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9510D" w:rsidRPr="008B2CC1" w:rsidTr="00B257DE">
        <w:tc>
          <w:tcPr>
            <w:tcW w:w="4513" w:type="dxa"/>
            <w:tcBorders>
              <w:bottom w:val="single" w:sz="4" w:space="0" w:color="auto"/>
            </w:tcBorders>
            <w:tcMar>
              <w:bottom w:w="170" w:type="dxa"/>
            </w:tcMar>
          </w:tcPr>
          <w:p w:rsidR="0039510D" w:rsidRPr="008B2CC1" w:rsidRDefault="0039510D" w:rsidP="00B257DE"/>
        </w:tc>
        <w:tc>
          <w:tcPr>
            <w:tcW w:w="4337" w:type="dxa"/>
            <w:tcBorders>
              <w:bottom w:val="single" w:sz="4" w:space="0" w:color="auto"/>
            </w:tcBorders>
            <w:tcMar>
              <w:left w:w="0" w:type="dxa"/>
              <w:bottom w:w="170" w:type="dxa"/>
              <w:right w:w="0" w:type="dxa"/>
            </w:tcMar>
          </w:tcPr>
          <w:p w:rsidR="0039510D" w:rsidRPr="008B2CC1" w:rsidRDefault="0039510D" w:rsidP="00B257DE">
            <w:r>
              <w:rPr>
                <w:noProof/>
              </w:rPr>
              <w:drawing>
                <wp:inline distT="0" distB="0" distL="0" distR="0" wp14:anchorId="79EF0529" wp14:editId="61A5DDD2">
                  <wp:extent cx="1858645" cy="132207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207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39510D" w:rsidRPr="008B2CC1" w:rsidRDefault="0039510D" w:rsidP="00B257DE">
            <w:pPr>
              <w:jc w:val="right"/>
            </w:pPr>
            <w:r w:rsidRPr="00605827">
              <w:rPr>
                <w:b/>
                <w:sz w:val="40"/>
                <w:szCs w:val="40"/>
              </w:rPr>
              <w:t>E</w:t>
            </w:r>
          </w:p>
        </w:tc>
      </w:tr>
      <w:tr w:rsidR="0039510D" w:rsidRPr="001832A6" w:rsidTr="00B257DE">
        <w:tc>
          <w:tcPr>
            <w:tcW w:w="9356" w:type="dxa"/>
            <w:gridSpan w:val="3"/>
            <w:tcBorders>
              <w:top w:val="single" w:sz="4" w:space="0" w:color="auto"/>
            </w:tcBorders>
            <w:tcMar>
              <w:top w:w="170" w:type="dxa"/>
              <w:left w:w="0" w:type="dxa"/>
              <w:right w:w="0" w:type="dxa"/>
            </w:tcMar>
            <w:vAlign w:val="bottom"/>
          </w:tcPr>
          <w:p w:rsidR="0039510D" w:rsidRPr="0090731E" w:rsidRDefault="0039510D" w:rsidP="00A81A5D">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CDIP/17/</w:t>
            </w:r>
            <w:r w:rsidR="00A81A5D">
              <w:rPr>
                <w:rFonts w:ascii="Arial Black" w:hAnsi="Arial Black"/>
                <w:caps/>
                <w:sz w:val="15"/>
              </w:rPr>
              <w:t>9</w:t>
            </w:r>
          </w:p>
        </w:tc>
      </w:tr>
      <w:tr w:rsidR="0039510D" w:rsidRPr="001832A6" w:rsidTr="00B257DE">
        <w:trPr>
          <w:trHeight w:hRule="exact" w:val="170"/>
        </w:trPr>
        <w:tc>
          <w:tcPr>
            <w:tcW w:w="9356" w:type="dxa"/>
            <w:gridSpan w:val="3"/>
            <w:noWrap/>
            <w:tcMar>
              <w:left w:w="0" w:type="dxa"/>
              <w:right w:w="0" w:type="dxa"/>
            </w:tcMar>
            <w:vAlign w:val="bottom"/>
          </w:tcPr>
          <w:p w:rsidR="0039510D" w:rsidRPr="0090731E" w:rsidRDefault="0039510D" w:rsidP="00B257DE">
            <w:pPr>
              <w:jc w:val="right"/>
              <w:rPr>
                <w:rFonts w:ascii="Arial Black" w:hAnsi="Arial Black"/>
                <w:caps/>
                <w:sz w:val="15"/>
              </w:rPr>
            </w:pPr>
            <w:r w:rsidRPr="0090731E">
              <w:rPr>
                <w:rFonts w:ascii="Arial Black" w:hAnsi="Arial Black"/>
                <w:caps/>
                <w:sz w:val="15"/>
              </w:rPr>
              <w:t>ORIGINAL:</w:t>
            </w:r>
            <w:r w:rsidR="00A81A5D">
              <w:rPr>
                <w:rFonts w:ascii="Arial Black" w:hAnsi="Arial Black"/>
                <w:caps/>
                <w:sz w:val="15"/>
              </w:rPr>
              <w:t xml:space="preserve">  </w:t>
            </w:r>
            <w:r>
              <w:rPr>
                <w:rFonts w:ascii="Arial Black" w:hAnsi="Arial Black"/>
                <w:caps/>
                <w:sz w:val="15"/>
              </w:rPr>
              <w:t xml:space="preserve">English </w:t>
            </w:r>
            <w:r w:rsidRPr="0090731E">
              <w:rPr>
                <w:rFonts w:ascii="Arial Black" w:hAnsi="Arial Black"/>
                <w:caps/>
                <w:sz w:val="15"/>
              </w:rPr>
              <w:t xml:space="preserve"> </w:t>
            </w:r>
            <w:bookmarkStart w:id="1" w:name="Original"/>
            <w:bookmarkEnd w:id="1"/>
          </w:p>
        </w:tc>
      </w:tr>
      <w:tr w:rsidR="0039510D" w:rsidRPr="001832A6" w:rsidTr="00B257DE">
        <w:trPr>
          <w:trHeight w:hRule="exact" w:val="198"/>
        </w:trPr>
        <w:tc>
          <w:tcPr>
            <w:tcW w:w="9356" w:type="dxa"/>
            <w:gridSpan w:val="3"/>
            <w:tcMar>
              <w:left w:w="0" w:type="dxa"/>
              <w:right w:w="0" w:type="dxa"/>
            </w:tcMar>
            <w:vAlign w:val="bottom"/>
          </w:tcPr>
          <w:p w:rsidR="0039510D" w:rsidRPr="0090731E" w:rsidRDefault="0039510D" w:rsidP="00287D21">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DATE:</w:t>
            </w:r>
            <w:r>
              <w:rPr>
                <w:rFonts w:ascii="Arial Black" w:hAnsi="Arial Black"/>
                <w:caps/>
                <w:sz w:val="15"/>
              </w:rPr>
              <w:t xml:space="preserve">  </w:t>
            </w:r>
            <w:r w:rsidR="00287D21">
              <w:rPr>
                <w:rFonts w:ascii="Arial Black" w:hAnsi="Arial Black"/>
                <w:caps/>
                <w:sz w:val="15"/>
              </w:rPr>
              <w:t>march 14</w:t>
            </w:r>
            <w:bookmarkStart w:id="2" w:name="_GoBack"/>
            <w:bookmarkEnd w:id="2"/>
            <w:r>
              <w:rPr>
                <w:rFonts w:ascii="Arial Black" w:hAnsi="Arial Black"/>
                <w:caps/>
                <w:sz w:val="15"/>
              </w:rPr>
              <w:t>, 2016</w:t>
            </w:r>
            <w:r w:rsidRPr="0090731E">
              <w:rPr>
                <w:rFonts w:ascii="Arial Black" w:hAnsi="Arial Black"/>
                <w:caps/>
                <w:sz w:val="15"/>
              </w:rPr>
              <w:t xml:space="preserve"> </w:t>
            </w:r>
            <w:bookmarkStart w:id="3" w:name="Date"/>
            <w:bookmarkEnd w:id="3"/>
          </w:p>
        </w:tc>
      </w:tr>
    </w:tbl>
    <w:p w:rsidR="0039510D" w:rsidRPr="008B2CC1" w:rsidRDefault="0039510D" w:rsidP="0039510D"/>
    <w:p w:rsidR="0039510D" w:rsidRPr="008B2CC1" w:rsidRDefault="0039510D" w:rsidP="0039510D"/>
    <w:p w:rsidR="0039510D" w:rsidRPr="008B2CC1" w:rsidRDefault="0039510D" w:rsidP="0039510D"/>
    <w:p w:rsidR="0039510D" w:rsidRPr="008B2CC1" w:rsidRDefault="0039510D" w:rsidP="0039510D"/>
    <w:p w:rsidR="0039510D" w:rsidRPr="008B2CC1" w:rsidRDefault="0039510D" w:rsidP="0039510D"/>
    <w:p w:rsidR="0039510D" w:rsidRPr="003845C1" w:rsidRDefault="0039510D" w:rsidP="0039510D">
      <w:pPr>
        <w:rPr>
          <w:b/>
          <w:sz w:val="28"/>
          <w:szCs w:val="28"/>
        </w:rPr>
      </w:pPr>
      <w:r>
        <w:rPr>
          <w:b/>
          <w:sz w:val="28"/>
          <w:szCs w:val="28"/>
        </w:rPr>
        <w:t>Committee on Development and Intellectual Property (CDIP)</w:t>
      </w:r>
    </w:p>
    <w:p w:rsidR="0039510D" w:rsidRDefault="0039510D" w:rsidP="0039510D"/>
    <w:p w:rsidR="0039510D" w:rsidRDefault="0039510D" w:rsidP="0039510D"/>
    <w:p w:rsidR="0039510D" w:rsidRPr="003845C1" w:rsidRDefault="0039510D" w:rsidP="0039510D">
      <w:pPr>
        <w:rPr>
          <w:b/>
          <w:sz w:val="24"/>
          <w:szCs w:val="24"/>
        </w:rPr>
      </w:pPr>
      <w:r>
        <w:rPr>
          <w:b/>
          <w:sz w:val="24"/>
          <w:szCs w:val="24"/>
        </w:rPr>
        <w:t>Seventeenth Session</w:t>
      </w:r>
    </w:p>
    <w:p w:rsidR="0039510D" w:rsidRPr="004155BB" w:rsidRDefault="0039510D" w:rsidP="0039510D">
      <w:pPr>
        <w:rPr>
          <w:b/>
          <w:sz w:val="24"/>
          <w:szCs w:val="24"/>
        </w:rPr>
      </w:pPr>
      <w:r>
        <w:rPr>
          <w:b/>
          <w:sz w:val="24"/>
          <w:szCs w:val="24"/>
        </w:rPr>
        <w:t>Geneva, April 11 to 15, 2016</w:t>
      </w:r>
    </w:p>
    <w:p w:rsidR="0039510D" w:rsidRPr="008B2CC1" w:rsidRDefault="0039510D" w:rsidP="0039510D"/>
    <w:p w:rsidR="0039510D" w:rsidRPr="008B2CC1" w:rsidRDefault="0039510D" w:rsidP="0039510D"/>
    <w:p w:rsidR="0039510D" w:rsidRDefault="0039510D" w:rsidP="0039510D"/>
    <w:p w:rsidR="00025A9C" w:rsidRDefault="00025A9C" w:rsidP="00025A9C">
      <w:pPr>
        <w:rPr>
          <w:szCs w:val="22"/>
        </w:rPr>
      </w:pPr>
    </w:p>
    <w:p w:rsidR="00025A9C" w:rsidRPr="0039510D" w:rsidRDefault="00EE792B" w:rsidP="00505805">
      <w:pPr>
        <w:rPr>
          <w:caps/>
          <w:szCs w:val="22"/>
        </w:rPr>
      </w:pPr>
      <w:r w:rsidRPr="0039510D">
        <w:rPr>
          <w:szCs w:val="22"/>
        </w:rPr>
        <w:t>MAP</w:t>
      </w:r>
      <w:r>
        <w:rPr>
          <w:szCs w:val="22"/>
        </w:rPr>
        <w:t>PING O</w:t>
      </w:r>
      <w:r w:rsidRPr="0039510D">
        <w:rPr>
          <w:szCs w:val="22"/>
        </w:rPr>
        <w:t xml:space="preserve">F ACTIVITIES RELATED </w:t>
      </w:r>
      <w:r>
        <w:rPr>
          <w:szCs w:val="22"/>
        </w:rPr>
        <w:t xml:space="preserve">TO </w:t>
      </w:r>
      <w:r w:rsidRPr="0039510D">
        <w:rPr>
          <w:szCs w:val="22"/>
        </w:rPr>
        <w:t>TECHNOLOGY TRANSFER</w:t>
      </w:r>
      <w:r w:rsidR="008B26B5" w:rsidRPr="0039510D">
        <w:rPr>
          <w:szCs w:val="22"/>
        </w:rPr>
        <w:t xml:space="preserve"> </w:t>
      </w:r>
    </w:p>
    <w:p w:rsidR="00025A9C" w:rsidRDefault="00025A9C" w:rsidP="00025A9C">
      <w:pPr>
        <w:rPr>
          <w:szCs w:val="22"/>
        </w:rPr>
      </w:pPr>
    </w:p>
    <w:p w:rsidR="00C441DA" w:rsidRDefault="00C441DA" w:rsidP="00025A9C">
      <w:pPr>
        <w:rPr>
          <w:szCs w:val="22"/>
        </w:rPr>
      </w:pPr>
    </w:p>
    <w:p w:rsidR="000F5E56" w:rsidRPr="0039510D" w:rsidRDefault="005C3131" w:rsidP="00A81A5D">
      <w:pPr>
        <w:rPr>
          <w:i/>
        </w:rPr>
      </w:pPr>
      <w:r>
        <w:rPr>
          <w:i/>
        </w:rPr>
        <w:t xml:space="preserve">Document </w:t>
      </w:r>
      <w:r w:rsidR="0039510D" w:rsidRPr="0039510D">
        <w:rPr>
          <w:i/>
        </w:rPr>
        <w:t xml:space="preserve">prepared by the </w:t>
      </w:r>
      <w:r w:rsidR="00A81A5D">
        <w:rPr>
          <w:i/>
        </w:rPr>
        <w:t>Secretariat</w:t>
      </w:r>
    </w:p>
    <w:p w:rsidR="00025A9C" w:rsidRDefault="00025A9C" w:rsidP="00804DB7"/>
    <w:p w:rsidR="00C441DA" w:rsidRDefault="00C441DA" w:rsidP="00804DB7"/>
    <w:p w:rsidR="00A17161" w:rsidRPr="006F6951" w:rsidRDefault="0039510D" w:rsidP="000556BB">
      <w:pPr>
        <w:pStyle w:val="Default"/>
        <w:rPr>
          <w:sz w:val="22"/>
          <w:szCs w:val="22"/>
        </w:rPr>
      </w:pPr>
      <w:r w:rsidRPr="006F6951">
        <w:rPr>
          <w:sz w:val="22"/>
          <w:szCs w:val="22"/>
        </w:rPr>
        <w:fldChar w:fldCharType="begin"/>
      </w:r>
      <w:r w:rsidRPr="006F6951">
        <w:rPr>
          <w:sz w:val="22"/>
          <w:szCs w:val="22"/>
        </w:rPr>
        <w:instrText xml:space="preserve"> AUTONUM  </w:instrText>
      </w:r>
      <w:r w:rsidRPr="006F6951">
        <w:rPr>
          <w:sz w:val="22"/>
          <w:szCs w:val="22"/>
        </w:rPr>
        <w:fldChar w:fldCharType="end"/>
      </w:r>
      <w:r w:rsidRPr="006F6951">
        <w:rPr>
          <w:sz w:val="22"/>
          <w:szCs w:val="22"/>
        </w:rPr>
        <w:tab/>
      </w:r>
      <w:proofErr w:type="gramStart"/>
      <w:r w:rsidR="00A17161" w:rsidRPr="006F6951">
        <w:rPr>
          <w:iCs/>
          <w:sz w:val="22"/>
          <w:szCs w:val="22"/>
        </w:rPr>
        <w:t xml:space="preserve">During </w:t>
      </w:r>
      <w:r w:rsidR="000556BB">
        <w:rPr>
          <w:iCs/>
          <w:sz w:val="22"/>
          <w:szCs w:val="22"/>
        </w:rPr>
        <w:t>its sixteenth session</w:t>
      </w:r>
      <w:r w:rsidR="00A81A5D">
        <w:rPr>
          <w:iCs/>
          <w:sz w:val="22"/>
          <w:szCs w:val="22"/>
        </w:rPr>
        <w:t>,</w:t>
      </w:r>
      <w:r w:rsidR="000556BB">
        <w:rPr>
          <w:iCs/>
          <w:sz w:val="22"/>
          <w:szCs w:val="22"/>
        </w:rPr>
        <w:t xml:space="preserve"> held from</w:t>
      </w:r>
      <w:r w:rsidR="000556BB" w:rsidRPr="000556BB">
        <w:t xml:space="preserve"> </w:t>
      </w:r>
      <w:r w:rsidR="00801C13">
        <w:rPr>
          <w:iCs/>
          <w:sz w:val="22"/>
          <w:szCs w:val="22"/>
        </w:rPr>
        <w:t>November 9</w:t>
      </w:r>
      <w:r w:rsidR="000556BB" w:rsidRPr="000556BB">
        <w:rPr>
          <w:iCs/>
          <w:sz w:val="22"/>
          <w:szCs w:val="22"/>
        </w:rPr>
        <w:t xml:space="preserve"> </w:t>
      </w:r>
      <w:r w:rsidR="000556BB">
        <w:rPr>
          <w:iCs/>
          <w:sz w:val="22"/>
          <w:szCs w:val="22"/>
        </w:rPr>
        <w:t>to</w:t>
      </w:r>
      <w:r w:rsidR="00801C13">
        <w:rPr>
          <w:iCs/>
          <w:sz w:val="22"/>
          <w:szCs w:val="22"/>
        </w:rPr>
        <w:t xml:space="preserve"> 13</w:t>
      </w:r>
      <w:r w:rsidR="000556BB" w:rsidRPr="000556BB">
        <w:rPr>
          <w:iCs/>
          <w:sz w:val="22"/>
          <w:szCs w:val="22"/>
        </w:rPr>
        <w:t>, 2015</w:t>
      </w:r>
      <w:r w:rsidR="000556BB">
        <w:rPr>
          <w:iCs/>
          <w:sz w:val="22"/>
          <w:szCs w:val="22"/>
        </w:rPr>
        <w:t>, the</w:t>
      </w:r>
      <w:r w:rsidR="00A17161" w:rsidRPr="006F6951">
        <w:rPr>
          <w:i/>
          <w:iCs/>
          <w:sz w:val="22"/>
          <w:szCs w:val="22"/>
        </w:rPr>
        <w:t xml:space="preserve"> Committee on Development and Intellectual Property (CDIP),</w:t>
      </w:r>
      <w:r w:rsidR="00A17161" w:rsidRPr="006F6951">
        <w:rPr>
          <w:sz w:val="22"/>
          <w:szCs w:val="22"/>
        </w:rPr>
        <w:t xml:space="preserve"> </w:t>
      </w:r>
      <w:r w:rsidR="000556BB">
        <w:rPr>
          <w:sz w:val="22"/>
          <w:szCs w:val="22"/>
        </w:rPr>
        <w:t>while discussing the</w:t>
      </w:r>
      <w:r w:rsidR="000556BB" w:rsidRPr="000556BB">
        <w:t xml:space="preserve"> </w:t>
      </w:r>
      <w:r w:rsidR="000556BB" w:rsidRPr="000556BB">
        <w:rPr>
          <w:sz w:val="22"/>
          <w:szCs w:val="22"/>
        </w:rPr>
        <w:t>Evaluation Report on the Project</w:t>
      </w:r>
      <w:r w:rsidR="000556BB">
        <w:rPr>
          <w:sz w:val="22"/>
          <w:szCs w:val="22"/>
        </w:rPr>
        <w:t xml:space="preserve"> </w:t>
      </w:r>
      <w:r w:rsidR="00A17161" w:rsidRPr="006F6951">
        <w:rPr>
          <w:sz w:val="22"/>
          <w:szCs w:val="22"/>
        </w:rPr>
        <w:t xml:space="preserve">on </w:t>
      </w:r>
      <w:r w:rsidR="00A17161" w:rsidRPr="006F6951">
        <w:rPr>
          <w:i/>
          <w:iCs/>
          <w:sz w:val="22"/>
          <w:szCs w:val="22"/>
        </w:rPr>
        <w:t>Intellectual Property and Technology Transfer:</w:t>
      </w:r>
      <w:r w:rsidR="008E1059">
        <w:rPr>
          <w:i/>
          <w:iCs/>
          <w:sz w:val="22"/>
          <w:szCs w:val="22"/>
        </w:rPr>
        <w:t xml:space="preserve"> </w:t>
      </w:r>
      <w:r w:rsidR="00A17161" w:rsidRPr="006F6951">
        <w:rPr>
          <w:i/>
          <w:iCs/>
          <w:sz w:val="22"/>
          <w:szCs w:val="22"/>
        </w:rPr>
        <w:t xml:space="preserve"> Common Challenges – Building Solutions</w:t>
      </w:r>
      <w:r w:rsidR="008E1059">
        <w:rPr>
          <w:i/>
          <w:iCs/>
          <w:sz w:val="22"/>
          <w:szCs w:val="22"/>
        </w:rPr>
        <w:t>,</w:t>
      </w:r>
      <w:r w:rsidR="00A17161" w:rsidRPr="006F6951">
        <w:rPr>
          <w:sz w:val="22"/>
          <w:szCs w:val="22"/>
        </w:rPr>
        <w:t xml:space="preserve"> </w:t>
      </w:r>
      <w:r w:rsidR="000556BB">
        <w:rPr>
          <w:sz w:val="22"/>
          <w:szCs w:val="22"/>
        </w:rPr>
        <w:t>requested the</w:t>
      </w:r>
      <w:r w:rsidR="007C1147" w:rsidRPr="006F6951">
        <w:rPr>
          <w:sz w:val="22"/>
          <w:szCs w:val="22"/>
        </w:rPr>
        <w:t xml:space="preserve"> </w:t>
      </w:r>
      <w:r w:rsidR="00A17161" w:rsidRPr="006F6951">
        <w:rPr>
          <w:sz w:val="22"/>
          <w:szCs w:val="22"/>
        </w:rPr>
        <w:t xml:space="preserve">WIPO Secretariat </w:t>
      </w:r>
      <w:r w:rsidR="000556BB">
        <w:rPr>
          <w:sz w:val="22"/>
          <w:szCs w:val="22"/>
        </w:rPr>
        <w:t>to</w:t>
      </w:r>
      <w:r w:rsidR="00A17161" w:rsidRPr="006F6951">
        <w:rPr>
          <w:sz w:val="22"/>
          <w:szCs w:val="22"/>
        </w:rPr>
        <w:t xml:space="preserve"> </w:t>
      </w:r>
      <w:r w:rsidR="006E40E9">
        <w:rPr>
          <w:sz w:val="22"/>
          <w:szCs w:val="22"/>
        </w:rPr>
        <w:t>“</w:t>
      </w:r>
      <w:r w:rsidR="00A17161" w:rsidRPr="006F6951">
        <w:rPr>
          <w:sz w:val="22"/>
          <w:szCs w:val="22"/>
        </w:rPr>
        <w:t>map existing WIPO activities related to technology transfer</w:t>
      </w:r>
      <w:r w:rsidR="006E40E9">
        <w:rPr>
          <w:sz w:val="22"/>
          <w:szCs w:val="22"/>
        </w:rPr>
        <w:t>”</w:t>
      </w:r>
      <w:r w:rsidR="000556BB">
        <w:rPr>
          <w:sz w:val="22"/>
          <w:szCs w:val="22"/>
        </w:rPr>
        <w:t>.</w:t>
      </w:r>
      <w:proofErr w:type="gramEnd"/>
    </w:p>
    <w:p w:rsidR="00CD7D32" w:rsidRPr="006F6951" w:rsidRDefault="00CD7D32" w:rsidP="00804DB7">
      <w:pPr>
        <w:rPr>
          <w:szCs w:val="22"/>
          <w:u w:val="single"/>
        </w:rPr>
      </w:pPr>
    </w:p>
    <w:p w:rsidR="002A6D8F" w:rsidRDefault="0039510D">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0556BB">
        <w:rPr>
          <w:szCs w:val="22"/>
        </w:rPr>
        <w:t xml:space="preserve">Accordingly, </w:t>
      </w:r>
      <w:r w:rsidR="00CB53F9" w:rsidRPr="006F6951">
        <w:rPr>
          <w:szCs w:val="22"/>
        </w:rPr>
        <w:t xml:space="preserve">the </w:t>
      </w:r>
      <w:r w:rsidR="005C3131">
        <w:rPr>
          <w:szCs w:val="22"/>
        </w:rPr>
        <w:t>A</w:t>
      </w:r>
      <w:r w:rsidR="000556BB">
        <w:rPr>
          <w:szCs w:val="22"/>
        </w:rPr>
        <w:t xml:space="preserve">nnex to this document </w:t>
      </w:r>
      <w:r w:rsidR="00505805">
        <w:rPr>
          <w:szCs w:val="22"/>
        </w:rPr>
        <w:t xml:space="preserve">contains the said </w:t>
      </w:r>
      <w:r w:rsidR="000556BB">
        <w:rPr>
          <w:szCs w:val="22"/>
        </w:rPr>
        <w:t xml:space="preserve">mapping of </w:t>
      </w:r>
      <w:r w:rsidR="00450B3B" w:rsidRPr="006F6951">
        <w:rPr>
          <w:szCs w:val="22"/>
        </w:rPr>
        <w:t>activities</w:t>
      </w:r>
      <w:r w:rsidR="008E1059">
        <w:rPr>
          <w:szCs w:val="22"/>
        </w:rPr>
        <w:t xml:space="preserve"> underta</w:t>
      </w:r>
      <w:r w:rsidR="002D72BF">
        <w:rPr>
          <w:szCs w:val="22"/>
        </w:rPr>
        <w:t>ken by WIPO during the 2014/15 b</w:t>
      </w:r>
      <w:r w:rsidR="008E1059">
        <w:rPr>
          <w:szCs w:val="22"/>
        </w:rPr>
        <w:t>iennium.</w:t>
      </w:r>
    </w:p>
    <w:p w:rsidR="002A6D8F" w:rsidRDefault="002A6D8F" w:rsidP="002A6D8F">
      <w:pPr>
        <w:rPr>
          <w:szCs w:val="22"/>
        </w:rPr>
      </w:pPr>
    </w:p>
    <w:p w:rsidR="002A6D8F" w:rsidRPr="002D72BF" w:rsidRDefault="002A6D8F" w:rsidP="002A6D8F">
      <w:pPr>
        <w:ind w:left="4536"/>
        <w:rPr>
          <w:i/>
          <w:iCs/>
          <w:szCs w:val="22"/>
        </w:rPr>
      </w:pPr>
      <w:r>
        <w:rPr>
          <w:szCs w:val="22"/>
        </w:rPr>
        <w:fldChar w:fldCharType="begin"/>
      </w:r>
      <w:r>
        <w:rPr>
          <w:szCs w:val="22"/>
        </w:rPr>
        <w:instrText xml:space="preserve"> AUTONUM  </w:instrText>
      </w:r>
      <w:r>
        <w:rPr>
          <w:szCs w:val="22"/>
        </w:rPr>
        <w:fldChar w:fldCharType="end"/>
      </w:r>
      <w:r>
        <w:rPr>
          <w:szCs w:val="22"/>
        </w:rPr>
        <w:tab/>
      </w:r>
      <w:r w:rsidRPr="002D72BF">
        <w:rPr>
          <w:i/>
          <w:iCs/>
          <w:szCs w:val="22"/>
        </w:rPr>
        <w:t>The CDIP is invited to take note of the information contained in the Annex to this document.</w:t>
      </w:r>
    </w:p>
    <w:p w:rsidR="008E1059" w:rsidRDefault="008E1059" w:rsidP="002A6D8F">
      <w:pPr>
        <w:ind w:left="4536"/>
        <w:rPr>
          <w:szCs w:val="22"/>
        </w:rPr>
      </w:pPr>
    </w:p>
    <w:p w:rsidR="008E1059" w:rsidRDefault="008E1059" w:rsidP="002A6D8F">
      <w:pPr>
        <w:ind w:left="4536"/>
        <w:rPr>
          <w:szCs w:val="22"/>
        </w:rPr>
      </w:pPr>
    </w:p>
    <w:p w:rsidR="008E1059" w:rsidRDefault="008E1059" w:rsidP="002A6D8F">
      <w:pPr>
        <w:ind w:left="4536"/>
        <w:rPr>
          <w:szCs w:val="22"/>
        </w:rPr>
      </w:pPr>
    </w:p>
    <w:p w:rsidR="008E1059" w:rsidRDefault="008E1059" w:rsidP="002A6D8F">
      <w:pPr>
        <w:ind w:left="4536"/>
        <w:rPr>
          <w:szCs w:val="22"/>
        </w:rPr>
      </w:pPr>
      <w:r>
        <w:rPr>
          <w:szCs w:val="22"/>
        </w:rPr>
        <w:t>[Annex follows]</w:t>
      </w:r>
    </w:p>
    <w:p w:rsidR="008E1059" w:rsidRDefault="008E1059" w:rsidP="002A6D8F">
      <w:pPr>
        <w:ind w:left="4536"/>
        <w:rPr>
          <w:szCs w:val="22"/>
        </w:rPr>
      </w:pPr>
    </w:p>
    <w:p w:rsidR="008E1059" w:rsidRDefault="008E1059">
      <w:pPr>
        <w:rPr>
          <w:szCs w:val="22"/>
        </w:rPr>
        <w:sectPr w:rsidR="008E1059" w:rsidSect="00630764">
          <w:headerReference w:type="default" r:id="rId10"/>
          <w:footerReference w:type="default" r:id="rId11"/>
          <w:pgSz w:w="11907" w:h="16840" w:code="9"/>
          <w:pgMar w:top="567" w:right="1418" w:bottom="1418" w:left="1418" w:header="709" w:footer="709" w:gutter="0"/>
          <w:cols w:space="720"/>
          <w:titlePg/>
          <w:docGrid w:linePitch="299"/>
        </w:sectPr>
      </w:pPr>
    </w:p>
    <w:p w:rsidR="00EC01BC" w:rsidRPr="006F6951" w:rsidRDefault="008E1059" w:rsidP="008E1059">
      <w:pPr>
        <w:pStyle w:val="Heading2"/>
        <w:ind w:left="567" w:hanging="567"/>
      </w:pPr>
      <w:r>
        <w:lastRenderedPageBreak/>
        <w:t>I.</w:t>
      </w:r>
      <w:r>
        <w:tab/>
      </w:r>
      <w:r w:rsidR="00EC01BC" w:rsidRPr="006F6951">
        <w:t xml:space="preserve">WIPO Technology Transfer Support Services and Activities for Universities and Research Institutions </w:t>
      </w:r>
    </w:p>
    <w:p w:rsidR="007870AB" w:rsidRPr="006F6951" w:rsidRDefault="007870AB" w:rsidP="00EF7920">
      <w:pPr>
        <w:autoSpaceDE w:val="0"/>
        <w:autoSpaceDN w:val="0"/>
        <w:adjustRightInd w:val="0"/>
        <w:rPr>
          <w:rFonts w:eastAsia="SimSun"/>
          <w:szCs w:val="22"/>
          <w:lang w:eastAsia="zh-CN"/>
        </w:rPr>
      </w:pPr>
    </w:p>
    <w:p w:rsidR="00B678A7" w:rsidRPr="006F6951" w:rsidRDefault="002D72BF" w:rsidP="002D72BF">
      <w:pPr>
        <w:rPr>
          <w:szCs w:val="22"/>
        </w:rPr>
      </w:pPr>
      <w:r>
        <w:rPr>
          <w:szCs w:val="22"/>
        </w:rPr>
        <w:t>1.</w:t>
      </w:r>
      <w:r>
        <w:rPr>
          <w:szCs w:val="22"/>
        </w:rPr>
        <w:tab/>
      </w:r>
      <w:r w:rsidR="007C1147" w:rsidRPr="006F6951">
        <w:rPr>
          <w:szCs w:val="22"/>
        </w:rPr>
        <w:t xml:space="preserve">The </w:t>
      </w:r>
      <w:r w:rsidR="00CF2C73" w:rsidRPr="006F6951">
        <w:rPr>
          <w:szCs w:val="22"/>
        </w:rPr>
        <w:t>Secretariat</w:t>
      </w:r>
      <w:r w:rsidR="00E720B6" w:rsidRPr="006F6951">
        <w:rPr>
          <w:szCs w:val="22"/>
        </w:rPr>
        <w:t xml:space="preserve"> provided informat</w:t>
      </w:r>
      <w:r w:rsidR="001512B0" w:rsidRPr="006F6951">
        <w:rPr>
          <w:szCs w:val="22"/>
        </w:rPr>
        <w:t xml:space="preserve">ion regarding existing </w:t>
      </w:r>
      <w:r w:rsidR="00CF2C73" w:rsidRPr="006F6951">
        <w:rPr>
          <w:szCs w:val="22"/>
        </w:rPr>
        <w:t>technology transfer</w:t>
      </w:r>
      <w:r w:rsidR="005F0955" w:rsidRPr="006F6951">
        <w:rPr>
          <w:szCs w:val="22"/>
        </w:rPr>
        <w:t>-</w:t>
      </w:r>
      <w:r w:rsidR="00CF2C73" w:rsidRPr="006F6951">
        <w:rPr>
          <w:szCs w:val="22"/>
        </w:rPr>
        <w:t xml:space="preserve">related </w:t>
      </w:r>
      <w:r w:rsidR="001512B0" w:rsidRPr="006F6951">
        <w:rPr>
          <w:szCs w:val="22"/>
        </w:rPr>
        <w:t>services</w:t>
      </w:r>
      <w:r w:rsidR="00CF2C73" w:rsidRPr="006F6951">
        <w:rPr>
          <w:szCs w:val="22"/>
        </w:rPr>
        <w:t xml:space="preserve"> by the groups of their expected impact</w:t>
      </w:r>
      <w:r w:rsidR="007C1147" w:rsidRPr="006F6951">
        <w:rPr>
          <w:szCs w:val="22"/>
        </w:rPr>
        <w:t xml:space="preserve"> on the pillars of enabling eco</w:t>
      </w:r>
      <w:r w:rsidR="00CF2C73" w:rsidRPr="006F6951">
        <w:rPr>
          <w:szCs w:val="22"/>
        </w:rPr>
        <w:t>system</w:t>
      </w:r>
      <w:r w:rsidR="007C1147" w:rsidRPr="006F6951">
        <w:rPr>
          <w:szCs w:val="22"/>
        </w:rPr>
        <w:t>s</w:t>
      </w:r>
      <w:r w:rsidR="00CF2C73" w:rsidRPr="006F6951">
        <w:rPr>
          <w:szCs w:val="22"/>
        </w:rPr>
        <w:t xml:space="preserve"> for the main knowledge and IP gen</w:t>
      </w:r>
      <w:r w:rsidR="00D02786" w:rsidRPr="006F6951">
        <w:rPr>
          <w:szCs w:val="22"/>
        </w:rPr>
        <w:t xml:space="preserve">erators in developing countries (Universities and </w:t>
      </w:r>
      <w:r w:rsidR="00BE2F82">
        <w:rPr>
          <w:szCs w:val="22"/>
        </w:rPr>
        <w:t>Research and Development (</w:t>
      </w:r>
      <w:r w:rsidR="00D02786" w:rsidRPr="006F6951">
        <w:rPr>
          <w:szCs w:val="22"/>
        </w:rPr>
        <w:t>R&amp;D</w:t>
      </w:r>
      <w:r>
        <w:rPr>
          <w:szCs w:val="22"/>
        </w:rPr>
        <w:t>)</w:t>
      </w:r>
      <w:r w:rsidR="00D02786" w:rsidRPr="006F6951">
        <w:rPr>
          <w:szCs w:val="22"/>
        </w:rPr>
        <w:t xml:space="preserve"> Institutions).</w:t>
      </w:r>
      <w:r w:rsidR="00CF2C73" w:rsidRPr="006F6951">
        <w:rPr>
          <w:szCs w:val="22"/>
        </w:rPr>
        <w:t xml:space="preserve"> </w:t>
      </w:r>
      <w:r w:rsidR="007C1147" w:rsidRPr="006F6951">
        <w:rPr>
          <w:szCs w:val="22"/>
        </w:rPr>
        <w:t xml:space="preserve"> </w:t>
      </w:r>
      <w:r w:rsidR="00D02786" w:rsidRPr="006F6951">
        <w:rPr>
          <w:szCs w:val="22"/>
        </w:rPr>
        <w:t>In addition,</w:t>
      </w:r>
      <w:r w:rsidR="00CF2C73" w:rsidRPr="006F6951">
        <w:rPr>
          <w:szCs w:val="22"/>
        </w:rPr>
        <w:t xml:space="preserve"> </w:t>
      </w:r>
      <w:r w:rsidR="00D02786" w:rsidRPr="006F6951">
        <w:rPr>
          <w:szCs w:val="22"/>
        </w:rPr>
        <w:t xml:space="preserve">below are </w:t>
      </w:r>
      <w:r w:rsidR="00CF2C73" w:rsidRPr="006F6951">
        <w:rPr>
          <w:szCs w:val="22"/>
        </w:rPr>
        <w:t xml:space="preserve">WIPO activities </w:t>
      </w:r>
      <w:r w:rsidR="00D02786" w:rsidRPr="006F6951">
        <w:rPr>
          <w:szCs w:val="22"/>
        </w:rPr>
        <w:t>related to</w:t>
      </w:r>
      <w:r w:rsidR="00CF2C73" w:rsidRPr="006F6951">
        <w:rPr>
          <w:szCs w:val="22"/>
        </w:rPr>
        <w:t xml:space="preserve"> </w:t>
      </w:r>
      <w:r w:rsidR="007105FD" w:rsidRPr="006F6951">
        <w:rPr>
          <w:szCs w:val="22"/>
        </w:rPr>
        <w:t>collaboration and exchange of information with other relevant international and regional organizations that can provide knowledge transfer services beyond WIPO</w:t>
      </w:r>
      <w:r w:rsidR="006E40E9">
        <w:rPr>
          <w:szCs w:val="22"/>
        </w:rPr>
        <w:t>’</w:t>
      </w:r>
      <w:r w:rsidR="007C1147" w:rsidRPr="006F6951">
        <w:rPr>
          <w:szCs w:val="22"/>
        </w:rPr>
        <w:t>s</w:t>
      </w:r>
      <w:r w:rsidR="007105FD" w:rsidRPr="006F6951">
        <w:rPr>
          <w:szCs w:val="22"/>
        </w:rPr>
        <w:t xml:space="preserve"> mandate,</w:t>
      </w:r>
      <w:r w:rsidR="00CF2C73" w:rsidRPr="006F6951">
        <w:rPr>
          <w:szCs w:val="22"/>
        </w:rPr>
        <w:t xml:space="preserve"> with concrete information regarding events and/or countries where those services were delivered in </w:t>
      </w:r>
      <w:r>
        <w:rPr>
          <w:szCs w:val="22"/>
        </w:rPr>
        <w:t>the most recent 2014/</w:t>
      </w:r>
      <w:r w:rsidR="00CF2C73" w:rsidRPr="006F6951">
        <w:rPr>
          <w:szCs w:val="22"/>
        </w:rPr>
        <w:t>15</w:t>
      </w:r>
      <w:r>
        <w:rPr>
          <w:szCs w:val="22"/>
        </w:rPr>
        <w:t xml:space="preserve"> biennium</w:t>
      </w:r>
      <w:r w:rsidR="00CF2C73" w:rsidRPr="006F6951">
        <w:rPr>
          <w:szCs w:val="22"/>
        </w:rPr>
        <w:t xml:space="preserve">.  </w:t>
      </w:r>
      <w:r w:rsidR="005F0955" w:rsidRPr="006F6951">
        <w:rPr>
          <w:szCs w:val="22"/>
        </w:rPr>
        <w:t>M</w:t>
      </w:r>
      <w:r w:rsidR="007105FD" w:rsidRPr="006F6951">
        <w:rPr>
          <w:szCs w:val="22"/>
        </w:rPr>
        <w:t>apped services are presented in following thematic chapters</w:t>
      </w:r>
      <w:r w:rsidR="00E720B6" w:rsidRPr="006F6951">
        <w:rPr>
          <w:szCs w:val="22"/>
        </w:rPr>
        <w:t>:</w:t>
      </w:r>
    </w:p>
    <w:p w:rsidR="00A41269" w:rsidRPr="006F6951" w:rsidRDefault="00A41269" w:rsidP="00E720B6">
      <w:pPr>
        <w:rPr>
          <w:szCs w:val="22"/>
        </w:rPr>
      </w:pPr>
    </w:p>
    <w:p w:rsidR="00E720B6" w:rsidRDefault="00A41269" w:rsidP="00607EF3">
      <w:pPr>
        <w:numPr>
          <w:ilvl w:val="0"/>
          <w:numId w:val="29"/>
        </w:numPr>
        <w:ind w:left="574" w:hanging="7"/>
        <w:rPr>
          <w:szCs w:val="22"/>
        </w:rPr>
      </w:pPr>
      <w:r w:rsidRPr="006F6951">
        <w:rPr>
          <w:szCs w:val="22"/>
        </w:rPr>
        <w:t>Advisory Services and Programs R</w:t>
      </w:r>
      <w:r w:rsidR="00F6040F" w:rsidRPr="006F6951">
        <w:rPr>
          <w:szCs w:val="22"/>
        </w:rPr>
        <w:t>elated to Creation of Enabling</w:t>
      </w:r>
      <w:r w:rsidR="00E720B6" w:rsidRPr="006F6951">
        <w:rPr>
          <w:szCs w:val="22"/>
        </w:rPr>
        <w:t xml:space="preserve"> Legal Framework</w:t>
      </w:r>
      <w:r w:rsidRPr="006F6951">
        <w:rPr>
          <w:szCs w:val="22"/>
        </w:rPr>
        <w:t xml:space="preserve"> for </w:t>
      </w:r>
      <w:r w:rsidR="000F36B9" w:rsidRPr="006F6951">
        <w:rPr>
          <w:szCs w:val="22"/>
        </w:rPr>
        <w:t>K</w:t>
      </w:r>
      <w:r w:rsidR="00F6040F" w:rsidRPr="006F6951">
        <w:rPr>
          <w:szCs w:val="22"/>
        </w:rPr>
        <w:t xml:space="preserve">nowledge / </w:t>
      </w:r>
      <w:r w:rsidRPr="006F6951">
        <w:rPr>
          <w:szCs w:val="22"/>
        </w:rPr>
        <w:t>Technology Transfer</w:t>
      </w:r>
      <w:r w:rsidR="00E720B6" w:rsidRPr="006F6951">
        <w:rPr>
          <w:szCs w:val="22"/>
        </w:rPr>
        <w:t>;</w:t>
      </w:r>
    </w:p>
    <w:p w:rsidR="00607EF3" w:rsidRPr="006F6951" w:rsidRDefault="00607EF3" w:rsidP="00607EF3">
      <w:pPr>
        <w:ind w:left="574"/>
        <w:rPr>
          <w:szCs w:val="22"/>
        </w:rPr>
      </w:pPr>
    </w:p>
    <w:p w:rsidR="00E720B6" w:rsidRDefault="00E720B6" w:rsidP="00607EF3">
      <w:pPr>
        <w:numPr>
          <w:ilvl w:val="0"/>
          <w:numId w:val="29"/>
        </w:numPr>
        <w:ind w:left="574" w:hanging="7"/>
        <w:rPr>
          <w:szCs w:val="22"/>
        </w:rPr>
      </w:pPr>
      <w:r w:rsidRPr="006F6951">
        <w:rPr>
          <w:szCs w:val="22"/>
        </w:rPr>
        <w:t>Establishment of Knowledge / T</w:t>
      </w:r>
      <w:r w:rsidR="00A41269" w:rsidRPr="006F6951">
        <w:rPr>
          <w:szCs w:val="22"/>
        </w:rPr>
        <w:t>echnology T</w:t>
      </w:r>
      <w:r w:rsidRPr="006F6951">
        <w:rPr>
          <w:szCs w:val="22"/>
        </w:rPr>
        <w:t>ransfer Organizational Structures;</w:t>
      </w:r>
    </w:p>
    <w:p w:rsidR="00607EF3" w:rsidRPr="006F6951" w:rsidRDefault="00607EF3" w:rsidP="00607EF3">
      <w:pPr>
        <w:ind w:left="574"/>
        <w:rPr>
          <w:szCs w:val="22"/>
        </w:rPr>
      </w:pPr>
    </w:p>
    <w:p w:rsidR="00E720B6" w:rsidRDefault="00E720B6" w:rsidP="00607EF3">
      <w:pPr>
        <w:numPr>
          <w:ilvl w:val="0"/>
          <w:numId w:val="29"/>
        </w:numPr>
        <w:ind w:left="574" w:hanging="7"/>
        <w:rPr>
          <w:szCs w:val="22"/>
        </w:rPr>
      </w:pPr>
      <w:r w:rsidRPr="006F6951">
        <w:rPr>
          <w:szCs w:val="22"/>
        </w:rPr>
        <w:t>Development of Human Capital – Capacity Building Programs;</w:t>
      </w:r>
    </w:p>
    <w:p w:rsidR="00607EF3" w:rsidRPr="006F6951" w:rsidRDefault="00607EF3" w:rsidP="00607EF3">
      <w:pPr>
        <w:ind w:left="574"/>
        <w:rPr>
          <w:szCs w:val="22"/>
        </w:rPr>
      </w:pPr>
    </w:p>
    <w:p w:rsidR="00E720B6" w:rsidRDefault="00A41269" w:rsidP="00607EF3">
      <w:pPr>
        <w:numPr>
          <w:ilvl w:val="0"/>
          <w:numId w:val="29"/>
        </w:numPr>
        <w:ind w:left="574" w:hanging="7"/>
        <w:rPr>
          <w:szCs w:val="22"/>
        </w:rPr>
      </w:pPr>
      <w:r w:rsidRPr="006F6951">
        <w:rPr>
          <w:szCs w:val="22"/>
        </w:rPr>
        <w:t>Creation of Tools, Manuals and Training Materials;</w:t>
      </w:r>
    </w:p>
    <w:p w:rsidR="00607EF3" w:rsidRPr="006F6951" w:rsidRDefault="00607EF3" w:rsidP="00607EF3">
      <w:pPr>
        <w:ind w:left="574"/>
        <w:rPr>
          <w:szCs w:val="22"/>
        </w:rPr>
      </w:pPr>
    </w:p>
    <w:p w:rsidR="0015609D" w:rsidRDefault="00730497" w:rsidP="00607EF3">
      <w:pPr>
        <w:numPr>
          <w:ilvl w:val="0"/>
          <w:numId w:val="29"/>
        </w:numPr>
        <w:ind w:left="574" w:hanging="7"/>
        <w:rPr>
          <w:szCs w:val="22"/>
        </w:rPr>
      </w:pPr>
      <w:r w:rsidRPr="006F6951">
        <w:rPr>
          <w:szCs w:val="22"/>
        </w:rPr>
        <w:t>WIPO Standing Committees Addressing Technology Transfer</w:t>
      </w:r>
      <w:r w:rsidRPr="00607EF3">
        <w:rPr>
          <w:szCs w:val="22"/>
        </w:rPr>
        <w:t xml:space="preserve"> </w:t>
      </w:r>
      <w:r w:rsidRPr="006F6951">
        <w:rPr>
          <w:szCs w:val="22"/>
        </w:rPr>
        <w:t>Issues;</w:t>
      </w:r>
    </w:p>
    <w:p w:rsidR="00607EF3" w:rsidRPr="006F6951" w:rsidRDefault="00607EF3" w:rsidP="00607EF3">
      <w:pPr>
        <w:ind w:left="574"/>
        <w:rPr>
          <w:szCs w:val="22"/>
        </w:rPr>
      </w:pPr>
    </w:p>
    <w:p w:rsidR="0015609D" w:rsidRDefault="0015609D" w:rsidP="00607EF3">
      <w:pPr>
        <w:numPr>
          <w:ilvl w:val="0"/>
          <w:numId w:val="29"/>
        </w:numPr>
        <w:ind w:left="574" w:hanging="7"/>
        <w:rPr>
          <w:szCs w:val="22"/>
        </w:rPr>
      </w:pPr>
      <w:r w:rsidRPr="006F6951">
        <w:rPr>
          <w:szCs w:val="22"/>
        </w:rPr>
        <w:t>WIPO Facilitated Collaborations in Specific Areas of Knowledge / Technology Transfer</w:t>
      </w:r>
      <w:r w:rsidR="00C12EC2">
        <w:rPr>
          <w:szCs w:val="22"/>
        </w:rPr>
        <w:t>;</w:t>
      </w:r>
      <w:r w:rsidRPr="006F6951">
        <w:rPr>
          <w:szCs w:val="22"/>
        </w:rPr>
        <w:t xml:space="preserve"> </w:t>
      </w:r>
    </w:p>
    <w:p w:rsidR="00607EF3" w:rsidRPr="006F6951" w:rsidRDefault="00607EF3" w:rsidP="00607EF3">
      <w:pPr>
        <w:ind w:left="574"/>
        <w:rPr>
          <w:szCs w:val="22"/>
        </w:rPr>
      </w:pPr>
    </w:p>
    <w:p w:rsidR="00A41269" w:rsidRDefault="000F36B9" w:rsidP="00607EF3">
      <w:pPr>
        <w:numPr>
          <w:ilvl w:val="0"/>
          <w:numId w:val="29"/>
        </w:numPr>
        <w:ind w:left="574" w:hanging="7"/>
        <w:rPr>
          <w:szCs w:val="22"/>
        </w:rPr>
      </w:pPr>
      <w:r w:rsidRPr="006F6951">
        <w:rPr>
          <w:szCs w:val="22"/>
        </w:rPr>
        <w:t xml:space="preserve">WIPO </w:t>
      </w:r>
      <w:r w:rsidR="00A41269" w:rsidRPr="006F6951">
        <w:rPr>
          <w:szCs w:val="22"/>
        </w:rPr>
        <w:t>P</w:t>
      </w:r>
      <w:r w:rsidRPr="006F6951">
        <w:rPr>
          <w:szCs w:val="22"/>
        </w:rPr>
        <w:t>articipation</w:t>
      </w:r>
      <w:r w:rsidR="00A41269" w:rsidRPr="006F6951">
        <w:rPr>
          <w:szCs w:val="22"/>
        </w:rPr>
        <w:t xml:space="preserve"> in Relevant </w:t>
      </w:r>
      <w:r w:rsidRPr="006F6951">
        <w:rPr>
          <w:szCs w:val="22"/>
        </w:rPr>
        <w:t>Knowledge Transfer Forums</w:t>
      </w:r>
      <w:r w:rsidR="00E812E1">
        <w:rPr>
          <w:szCs w:val="22"/>
        </w:rPr>
        <w:t>;</w:t>
      </w:r>
      <w:r w:rsidR="00607EF3">
        <w:rPr>
          <w:szCs w:val="22"/>
        </w:rPr>
        <w:t xml:space="preserve">  and</w:t>
      </w:r>
    </w:p>
    <w:p w:rsidR="00607EF3" w:rsidRDefault="00607EF3" w:rsidP="00607EF3">
      <w:pPr>
        <w:ind w:left="574"/>
        <w:rPr>
          <w:szCs w:val="22"/>
        </w:rPr>
      </w:pPr>
    </w:p>
    <w:p w:rsidR="00E812E1" w:rsidRPr="006F6951" w:rsidRDefault="00E812E1" w:rsidP="00607EF3">
      <w:pPr>
        <w:numPr>
          <w:ilvl w:val="0"/>
          <w:numId w:val="29"/>
        </w:numPr>
        <w:ind w:left="574" w:hanging="7"/>
        <w:rPr>
          <w:szCs w:val="22"/>
        </w:rPr>
      </w:pPr>
      <w:r>
        <w:rPr>
          <w:szCs w:val="22"/>
        </w:rPr>
        <w:t>Economic Research and Studies on Policies and Outcomes of Technology Transfer.</w:t>
      </w:r>
    </w:p>
    <w:p w:rsidR="00317308" w:rsidRPr="006F6951" w:rsidRDefault="00317308" w:rsidP="00EF7920">
      <w:pPr>
        <w:rPr>
          <w:szCs w:val="22"/>
        </w:rPr>
      </w:pPr>
    </w:p>
    <w:p w:rsidR="000510AB" w:rsidRPr="006F6951" w:rsidRDefault="00607EF3" w:rsidP="00607EF3">
      <w:pPr>
        <w:pStyle w:val="Heading2"/>
        <w:ind w:left="567" w:hanging="567"/>
      </w:pPr>
      <w:r>
        <w:t>II.</w:t>
      </w:r>
      <w:r>
        <w:tab/>
      </w:r>
      <w:r w:rsidR="000510AB" w:rsidRPr="006F6951">
        <w:t>Advisory Services and Programs Related to Creation of Enabling Legal Fr</w:t>
      </w:r>
      <w:r w:rsidR="00FA3222" w:rsidRPr="006F6951">
        <w:t>amework for Technology Transfer</w:t>
      </w:r>
    </w:p>
    <w:p w:rsidR="00A727B5" w:rsidRPr="006F6951" w:rsidRDefault="00A727B5" w:rsidP="00EF7920">
      <w:pPr>
        <w:rPr>
          <w:szCs w:val="22"/>
          <w:u w:val="single"/>
        </w:rPr>
      </w:pPr>
    </w:p>
    <w:p w:rsidR="005F0955" w:rsidRPr="006F6951" w:rsidRDefault="00CB7ADA" w:rsidP="005F0955">
      <w:pPr>
        <w:rPr>
          <w:szCs w:val="22"/>
        </w:rPr>
      </w:pPr>
      <w:r>
        <w:rPr>
          <w:szCs w:val="22"/>
        </w:rPr>
        <w:t>2.</w:t>
      </w:r>
      <w:r>
        <w:rPr>
          <w:szCs w:val="22"/>
        </w:rPr>
        <w:tab/>
      </w:r>
      <w:r w:rsidR="00A727B5" w:rsidRPr="00076566">
        <w:rPr>
          <w:bCs/>
          <w:i/>
          <w:iCs/>
          <w:szCs w:val="22"/>
        </w:rPr>
        <w:t>Innovation Policies</w:t>
      </w:r>
      <w:r w:rsidR="000510AB" w:rsidRPr="006F6951">
        <w:rPr>
          <w:szCs w:val="22"/>
        </w:rPr>
        <w:t xml:space="preserve"> – </w:t>
      </w:r>
      <w:r w:rsidR="005F0955" w:rsidRPr="006F6951">
        <w:rPr>
          <w:szCs w:val="22"/>
        </w:rPr>
        <w:t xml:space="preserve">During 2014 and 2015, the Innovation Policy Section in the </w:t>
      </w:r>
      <w:r w:rsidR="005C3131">
        <w:rPr>
          <w:szCs w:val="22"/>
        </w:rPr>
        <w:t>small and medium-sized enterprises (</w:t>
      </w:r>
      <w:r w:rsidR="005F0955" w:rsidRPr="006F6951">
        <w:rPr>
          <w:szCs w:val="22"/>
        </w:rPr>
        <w:t>SMEs</w:t>
      </w:r>
      <w:r w:rsidR="005C3131">
        <w:rPr>
          <w:szCs w:val="22"/>
        </w:rPr>
        <w:t>)</w:t>
      </w:r>
      <w:r w:rsidR="005F0955" w:rsidRPr="006F6951">
        <w:rPr>
          <w:szCs w:val="22"/>
        </w:rPr>
        <w:t xml:space="preserve"> and Entrepreneurship Support Division undertook a</w:t>
      </w:r>
      <w:r w:rsidR="00B94303">
        <w:rPr>
          <w:szCs w:val="22"/>
        </w:rPr>
        <w:t xml:space="preserve"> series of projects to support Member S</w:t>
      </w:r>
      <w:r w:rsidR="005F0955" w:rsidRPr="006F6951">
        <w:rPr>
          <w:szCs w:val="22"/>
        </w:rPr>
        <w:t xml:space="preserve">tates integrate IP considerations into their innovation policies. </w:t>
      </w:r>
      <w:r w:rsidR="00317308">
        <w:rPr>
          <w:szCs w:val="22"/>
        </w:rPr>
        <w:t xml:space="preserve"> </w:t>
      </w:r>
      <w:r w:rsidR="005F0955" w:rsidRPr="006F6951">
        <w:rPr>
          <w:szCs w:val="22"/>
        </w:rPr>
        <w:t xml:space="preserve">In that context, recommendations made to Cameroon, Sri Lanka, Rwanda, Jamaica and Trinidad and Tobago, the developing and least developed countries </w:t>
      </w:r>
      <w:r w:rsidR="00A74ED6">
        <w:rPr>
          <w:szCs w:val="22"/>
        </w:rPr>
        <w:t xml:space="preserve">(LDCs) </w:t>
      </w:r>
      <w:r w:rsidR="005F0955" w:rsidRPr="006F6951">
        <w:rPr>
          <w:szCs w:val="22"/>
        </w:rPr>
        <w:t xml:space="preserve">that benefitted from this assistance, included specific recommendations on how innovation policies may rely on the IP system for creating the necessary framework for technology transfer. </w:t>
      </w:r>
    </w:p>
    <w:p w:rsidR="005F0955" w:rsidRPr="006F6951" w:rsidRDefault="005F0955" w:rsidP="005F0955">
      <w:pPr>
        <w:rPr>
          <w:szCs w:val="22"/>
        </w:rPr>
      </w:pPr>
    </w:p>
    <w:p w:rsidR="005F0955" w:rsidRDefault="00CB7ADA" w:rsidP="005F0955">
      <w:pPr>
        <w:rPr>
          <w:szCs w:val="22"/>
        </w:rPr>
      </w:pPr>
      <w:r>
        <w:rPr>
          <w:szCs w:val="22"/>
        </w:rPr>
        <w:t>3.</w:t>
      </w:r>
      <w:r>
        <w:rPr>
          <w:szCs w:val="22"/>
        </w:rPr>
        <w:tab/>
      </w:r>
      <w:r w:rsidR="005F0955" w:rsidRPr="006F6951">
        <w:rPr>
          <w:szCs w:val="22"/>
        </w:rPr>
        <w:t xml:space="preserve">For example the recommendations for Sri Lanka included, under the expected outcome of effective management of research the following outputs: </w:t>
      </w:r>
    </w:p>
    <w:p w:rsidR="00317308" w:rsidRPr="006F6951" w:rsidRDefault="00317308" w:rsidP="005F0955">
      <w:pPr>
        <w:rPr>
          <w:szCs w:val="22"/>
        </w:rPr>
      </w:pPr>
    </w:p>
    <w:p w:rsidR="005F0955" w:rsidRDefault="005F0955" w:rsidP="00CB7ADA">
      <w:pPr>
        <w:numPr>
          <w:ilvl w:val="0"/>
          <w:numId w:val="41"/>
        </w:numPr>
        <w:ind w:left="574" w:hanging="7"/>
        <w:rPr>
          <w:szCs w:val="22"/>
        </w:rPr>
      </w:pPr>
      <w:r w:rsidRPr="006F6951">
        <w:rPr>
          <w:szCs w:val="22"/>
        </w:rPr>
        <w:t xml:space="preserve">Policy that ownership of intellectual property arising from research funded by government vest in the university or institution which generated that intellectual property </w:t>
      </w:r>
      <w:r w:rsidR="00823087">
        <w:rPr>
          <w:szCs w:val="22"/>
        </w:rPr>
        <w:t xml:space="preserve">(IP) </w:t>
      </w:r>
      <w:r w:rsidRPr="006F6951">
        <w:rPr>
          <w:szCs w:val="22"/>
        </w:rPr>
        <w:t>adopted</w:t>
      </w:r>
      <w:r w:rsidR="00443598">
        <w:rPr>
          <w:szCs w:val="22"/>
        </w:rPr>
        <w:t>;</w:t>
      </w:r>
    </w:p>
    <w:p w:rsidR="00CB7ADA" w:rsidRPr="006F6951" w:rsidRDefault="00CB7ADA" w:rsidP="00CB7ADA">
      <w:pPr>
        <w:ind w:left="574"/>
        <w:rPr>
          <w:szCs w:val="22"/>
        </w:rPr>
      </w:pPr>
    </w:p>
    <w:p w:rsidR="005F0955" w:rsidRDefault="005F0955" w:rsidP="00CB7ADA">
      <w:pPr>
        <w:numPr>
          <w:ilvl w:val="0"/>
          <w:numId w:val="41"/>
        </w:numPr>
        <w:ind w:left="574" w:hanging="7"/>
        <w:rPr>
          <w:szCs w:val="22"/>
        </w:rPr>
      </w:pPr>
      <w:r w:rsidRPr="006F6951">
        <w:rPr>
          <w:szCs w:val="22"/>
        </w:rPr>
        <w:lastRenderedPageBreak/>
        <w:t>The Universities Act 1978 amended to expressly refer to research and commercialization being part of the mission of universities</w:t>
      </w:r>
      <w:r w:rsidR="00443598">
        <w:rPr>
          <w:szCs w:val="22"/>
        </w:rPr>
        <w:t>;</w:t>
      </w:r>
    </w:p>
    <w:p w:rsidR="00577DCA" w:rsidRPr="006F6951" w:rsidRDefault="00577DCA" w:rsidP="00577DCA">
      <w:pPr>
        <w:ind w:left="574"/>
        <w:rPr>
          <w:szCs w:val="22"/>
        </w:rPr>
      </w:pPr>
    </w:p>
    <w:p w:rsidR="005F0955" w:rsidRDefault="005F0955" w:rsidP="00CB7ADA">
      <w:pPr>
        <w:numPr>
          <w:ilvl w:val="0"/>
          <w:numId w:val="41"/>
        </w:numPr>
        <w:ind w:left="574" w:hanging="7"/>
        <w:rPr>
          <w:szCs w:val="22"/>
        </w:rPr>
      </w:pPr>
      <w:r w:rsidRPr="006F6951">
        <w:rPr>
          <w:szCs w:val="22"/>
        </w:rPr>
        <w:t xml:space="preserve">Guidelines on the advantages and disadvantages of particular commercialization pathways (utilization, licensing, and assignment) for the assistance of </w:t>
      </w:r>
      <w:r w:rsidR="00443598">
        <w:rPr>
          <w:szCs w:val="22"/>
        </w:rPr>
        <w:t>research organizations prepared;</w:t>
      </w:r>
    </w:p>
    <w:p w:rsidR="00CB7ADA" w:rsidRPr="006F6951" w:rsidRDefault="00CB7ADA" w:rsidP="00CB7ADA">
      <w:pPr>
        <w:ind w:left="574"/>
        <w:rPr>
          <w:szCs w:val="22"/>
        </w:rPr>
      </w:pPr>
    </w:p>
    <w:p w:rsidR="005F0955" w:rsidRDefault="005F0955" w:rsidP="00CB7ADA">
      <w:pPr>
        <w:numPr>
          <w:ilvl w:val="0"/>
          <w:numId w:val="41"/>
        </w:numPr>
        <w:ind w:left="574" w:hanging="7"/>
        <w:rPr>
          <w:szCs w:val="22"/>
        </w:rPr>
      </w:pPr>
      <w:r w:rsidRPr="006F6951">
        <w:rPr>
          <w:szCs w:val="22"/>
        </w:rPr>
        <w:t>In larger universities and research organizations technology management offices (TMOs) and a single TMO to serve the collective needs of smaller universities and resea</w:t>
      </w:r>
      <w:r w:rsidR="00443598">
        <w:rPr>
          <w:szCs w:val="22"/>
        </w:rPr>
        <w:t>rch organizations established;</w:t>
      </w:r>
    </w:p>
    <w:p w:rsidR="00CB7ADA" w:rsidRPr="006F6951" w:rsidRDefault="00CB7ADA" w:rsidP="00CB7ADA">
      <w:pPr>
        <w:ind w:left="574"/>
        <w:rPr>
          <w:szCs w:val="22"/>
        </w:rPr>
      </w:pPr>
    </w:p>
    <w:p w:rsidR="005F0955" w:rsidRDefault="005F0955" w:rsidP="00CB7ADA">
      <w:pPr>
        <w:numPr>
          <w:ilvl w:val="0"/>
          <w:numId w:val="41"/>
        </w:numPr>
        <w:ind w:left="574" w:hanging="7"/>
        <w:rPr>
          <w:szCs w:val="22"/>
        </w:rPr>
      </w:pPr>
      <w:r w:rsidRPr="006F6951">
        <w:rPr>
          <w:szCs w:val="22"/>
        </w:rPr>
        <w:t>The formation by universities of technology start-up companies facilitated</w:t>
      </w:r>
      <w:r w:rsidR="00443598">
        <w:rPr>
          <w:szCs w:val="22"/>
        </w:rPr>
        <w:t>;  and</w:t>
      </w:r>
    </w:p>
    <w:p w:rsidR="00CB7ADA" w:rsidRPr="006F6951" w:rsidRDefault="00CB7ADA" w:rsidP="00CB7ADA">
      <w:pPr>
        <w:ind w:left="574"/>
        <w:rPr>
          <w:szCs w:val="22"/>
        </w:rPr>
      </w:pPr>
    </w:p>
    <w:p w:rsidR="005F0955" w:rsidRPr="006F6951" w:rsidRDefault="005F0955" w:rsidP="00CB7ADA">
      <w:pPr>
        <w:numPr>
          <w:ilvl w:val="0"/>
          <w:numId w:val="41"/>
        </w:numPr>
        <w:ind w:left="560" w:firstLine="7"/>
        <w:rPr>
          <w:szCs w:val="22"/>
        </w:rPr>
      </w:pPr>
      <w:r w:rsidRPr="006F6951">
        <w:rPr>
          <w:szCs w:val="22"/>
        </w:rPr>
        <w:t>Intellectual property management policies established in universities and public research organizations.</w:t>
      </w:r>
    </w:p>
    <w:p w:rsidR="005F0955" w:rsidRPr="006F6951" w:rsidRDefault="005F0955" w:rsidP="005F0955">
      <w:pPr>
        <w:rPr>
          <w:szCs w:val="22"/>
        </w:rPr>
      </w:pPr>
    </w:p>
    <w:p w:rsidR="005F0955" w:rsidRDefault="0039510D" w:rsidP="005F0955">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5F0955" w:rsidRPr="006F6951">
        <w:rPr>
          <w:szCs w:val="22"/>
        </w:rPr>
        <w:t>Similarly</w:t>
      </w:r>
      <w:r w:rsidR="006E40E9">
        <w:rPr>
          <w:szCs w:val="22"/>
        </w:rPr>
        <w:t>,</w:t>
      </w:r>
      <w:r w:rsidR="005F0955" w:rsidRPr="006F6951">
        <w:rPr>
          <w:szCs w:val="22"/>
        </w:rPr>
        <w:t xml:space="preserve"> under the expected outcome of the practice of searching patent databases integrated into the research practices of all universities and research organizations the following outputs w</w:t>
      </w:r>
      <w:r w:rsidR="00653B4E">
        <w:rPr>
          <w:szCs w:val="22"/>
        </w:rPr>
        <w:t>ere included:</w:t>
      </w:r>
    </w:p>
    <w:p w:rsidR="00653B4E" w:rsidRPr="006F6951" w:rsidRDefault="00653B4E" w:rsidP="005F0955">
      <w:pPr>
        <w:rPr>
          <w:szCs w:val="22"/>
        </w:rPr>
      </w:pPr>
    </w:p>
    <w:p w:rsidR="00CB7ADA" w:rsidRDefault="005F0955" w:rsidP="00CB7ADA">
      <w:pPr>
        <w:numPr>
          <w:ilvl w:val="0"/>
          <w:numId w:val="30"/>
        </w:numPr>
        <w:ind w:left="574" w:hanging="7"/>
        <w:rPr>
          <w:szCs w:val="22"/>
        </w:rPr>
      </w:pPr>
      <w:r w:rsidRPr="006F6951">
        <w:rPr>
          <w:szCs w:val="22"/>
        </w:rPr>
        <w:t>Research organizations adopt a process of literature and patent searchin</w:t>
      </w:r>
      <w:r w:rsidR="00CB7ADA">
        <w:rPr>
          <w:szCs w:val="22"/>
        </w:rPr>
        <w:t>g in the project planning phase;  and</w:t>
      </w:r>
    </w:p>
    <w:p w:rsidR="005F0955" w:rsidRPr="006F6951" w:rsidRDefault="005F0955" w:rsidP="00CB7ADA">
      <w:pPr>
        <w:ind w:left="574" w:hanging="7"/>
        <w:rPr>
          <w:szCs w:val="22"/>
        </w:rPr>
      </w:pPr>
      <w:r w:rsidRPr="006F6951">
        <w:rPr>
          <w:szCs w:val="22"/>
        </w:rPr>
        <w:t xml:space="preserve"> </w:t>
      </w:r>
    </w:p>
    <w:p w:rsidR="005F0955" w:rsidRDefault="005F0955" w:rsidP="00CB7ADA">
      <w:pPr>
        <w:numPr>
          <w:ilvl w:val="0"/>
          <w:numId w:val="30"/>
        </w:numPr>
        <w:ind w:left="574" w:hanging="7"/>
        <w:rPr>
          <w:szCs w:val="22"/>
        </w:rPr>
      </w:pPr>
      <w:r w:rsidRPr="006F6951">
        <w:rPr>
          <w:szCs w:val="22"/>
        </w:rPr>
        <w:t>Identification of technology patented in other countries, but not in Sri Lanka, which can be adapted to meet the ne</w:t>
      </w:r>
      <w:r w:rsidR="00620983">
        <w:rPr>
          <w:szCs w:val="22"/>
        </w:rPr>
        <w:t>eds and conditions in Sri Lanka.</w:t>
      </w:r>
    </w:p>
    <w:p w:rsidR="00620983" w:rsidRPr="006F6951" w:rsidRDefault="00620983" w:rsidP="00CB7ADA">
      <w:pPr>
        <w:ind w:left="574" w:hanging="7"/>
        <w:rPr>
          <w:szCs w:val="22"/>
        </w:rPr>
      </w:pPr>
    </w:p>
    <w:p w:rsidR="00076566" w:rsidRPr="00076566" w:rsidRDefault="0039510D" w:rsidP="00076566">
      <w:pPr>
        <w:rPr>
          <w:color w:val="0000FF" w:themeColor="hyperlink"/>
          <w:szCs w:val="22"/>
          <w:u w:val="single"/>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5F0955" w:rsidRPr="006F6951">
        <w:rPr>
          <w:szCs w:val="22"/>
        </w:rPr>
        <w:t xml:space="preserve">Similar recommendations specific to the needs of the country were made with respect to the other countries that benefitted under these projects. </w:t>
      </w:r>
      <w:r w:rsidR="00317308">
        <w:rPr>
          <w:szCs w:val="22"/>
        </w:rPr>
        <w:t xml:space="preserve"> </w:t>
      </w:r>
      <w:r w:rsidR="005F0955" w:rsidRPr="006F6951">
        <w:rPr>
          <w:szCs w:val="22"/>
        </w:rPr>
        <w:t xml:space="preserve">Some of these reports are available at </w:t>
      </w:r>
      <w:hyperlink r:id="rId12" w:history="1">
        <w:r w:rsidR="005F0955" w:rsidRPr="00076566">
          <w:rPr>
            <w:rStyle w:val="Hyperlink"/>
            <w:color w:val="auto"/>
            <w:szCs w:val="22"/>
          </w:rPr>
          <w:t>http://www.wipo.int/ipstrategies/en/</w:t>
        </w:r>
      </w:hyperlink>
      <w:r w:rsidR="00076566" w:rsidRPr="00076566">
        <w:rPr>
          <w:rStyle w:val="Hyperlink"/>
          <w:color w:val="auto"/>
          <w:szCs w:val="22"/>
          <w:u w:val="none"/>
        </w:rPr>
        <w:t>.</w:t>
      </w:r>
    </w:p>
    <w:p w:rsidR="00A727B5" w:rsidRPr="006F6951" w:rsidRDefault="00A727B5" w:rsidP="00EF7920">
      <w:pPr>
        <w:rPr>
          <w:szCs w:val="22"/>
        </w:rPr>
      </w:pPr>
    </w:p>
    <w:p w:rsidR="00A518AF" w:rsidRPr="006F6951" w:rsidRDefault="0039510D" w:rsidP="00A518AF">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A727B5" w:rsidRPr="00076566">
        <w:rPr>
          <w:bCs/>
          <w:i/>
          <w:iCs/>
          <w:szCs w:val="22"/>
        </w:rPr>
        <w:t>IP Institutional Policies</w:t>
      </w:r>
      <w:r w:rsidR="000510AB" w:rsidRPr="006F6951">
        <w:rPr>
          <w:szCs w:val="22"/>
        </w:rPr>
        <w:t xml:space="preserve"> – </w:t>
      </w:r>
      <w:r w:rsidR="005547DB" w:rsidRPr="006F6951">
        <w:rPr>
          <w:szCs w:val="22"/>
        </w:rPr>
        <w:t>T</w:t>
      </w:r>
      <w:r w:rsidR="00A518AF" w:rsidRPr="006F6951">
        <w:rPr>
          <w:szCs w:val="22"/>
        </w:rPr>
        <w:t>he activities concerning the development of IP Institutional Policies for Universities emphasized the important role of technology transfer and dissemination of research results for the benefit of society.</w:t>
      </w:r>
      <w:r w:rsidR="00317308">
        <w:rPr>
          <w:szCs w:val="22"/>
        </w:rPr>
        <w:t xml:space="preserve"> </w:t>
      </w:r>
      <w:r w:rsidR="00A518AF" w:rsidRPr="006F6951">
        <w:rPr>
          <w:szCs w:val="22"/>
        </w:rPr>
        <w:t xml:space="preserve"> The purpose is to create a legal certainty that promotes scientific research and a harmonious working relationship between industry and academia. </w:t>
      </w:r>
      <w:r w:rsidR="00317308">
        <w:rPr>
          <w:szCs w:val="22"/>
        </w:rPr>
        <w:t xml:space="preserve"> </w:t>
      </w:r>
      <w:r w:rsidR="00A518AF" w:rsidRPr="006F6951">
        <w:rPr>
          <w:szCs w:val="22"/>
        </w:rPr>
        <w:t>WIPO</w:t>
      </w:r>
      <w:r w:rsidR="006E40E9">
        <w:rPr>
          <w:szCs w:val="22"/>
        </w:rPr>
        <w:t>’</w:t>
      </w:r>
      <w:r w:rsidR="00A518AF" w:rsidRPr="006F6951">
        <w:rPr>
          <w:szCs w:val="22"/>
        </w:rPr>
        <w:t>s work aims at setting the framework through which an institution intends to deal with the ownership and management of its IP with fair sharing of benefits including the widest dissemination of research results.</w:t>
      </w:r>
      <w:r w:rsidR="00317308">
        <w:rPr>
          <w:szCs w:val="22"/>
        </w:rPr>
        <w:t xml:space="preserve"> </w:t>
      </w:r>
      <w:r w:rsidR="00A518AF" w:rsidRPr="006F6951">
        <w:rPr>
          <w:szCs w:val="22"/>
        </w:rPr>
        <w:t xml:space="preserve"> The overall objective was to strengthen the ability of universities and research institutions in taking full advantage of the IP system.</w:t>
      </w:r>
    </w:p>
    <w:p w:rsidR="005547DB" w:rsidRPr="006F6951" w:rsidRDefault="005547DB" w:rsidP="00A518AF">
      <w:pPr>
        <w:rPr>
          <w:szCs w:val="22"/>
        </w:rPr>
      </w:pPr>
    </w:p>
    <w:p w:rsidR="005547DB" w:rsidRPr="006F6951" w:rsidRDefault="0039510D">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5547DB" w:rsidRPr="006F6951">
        <w:rPr>
          <w:szCs w:val="22"/>
        </w:rPr>
        <w:t xml:space="preserve">In supporting universities and R&amp;D institutions to develop appropriate IP institutional policies, WIPO carried out several activities also as part of broader projects, such as the </w:t>
      </w:r>
      <w:r w:rsidR="006E40E9">
        <w:rPr>
          <w:szCs w:val="22"/>
        </w:rPr>
        <w:t>“</w:t>
      </w:r>
      <w:r w:rsidR="005547DB" w:rsidRPr="006F6951">
        <w:rPr>
          <w:szCs w:val="22"/>
        </w:rPr>
        <w:t>Es</w:t>
      </w:r>
      <w:r w:rsidR="002C1392" w:rsidRPr="006F6951">
        <w:rPr>
          <w:szCs w:val="22"/>
        </w:rPr>
        <w:t>tablishment of TTOs in Tunisia</w:t>
      </w:r>
      <w:r w:rsidR="006E40E9">
        <w:rPr>
          <w:szCs w:val="22"/>
        </w:rPr>
        <w:t>”</w:t>
      </w:r>
      <w:r w:rsidR="002C1392" w:rsidRPr="006F6951">
        <w:rPr>
          <w:szCs w:val="22"/>
        </w:rPr>
        <w:t xml:space="preserve">. </w:t>
      </w:r>
      <w:r w:rsidR="00076566">
        <w:rPr>
          <w:szCs w:val="22"/>
        </w:rPr>
        <w:t xml:space="preserve"> </w:t>
      </w:r>
      <w:r w:rsidR="002C1392" w:rsidRPr="006F6951">
        <w:rPr>
          <w:szCs w:val="22"/>
        </w:rPr>
        <w:t>In this project, W</w:t>
      </w:r>
      <w:r w:rsidR="00317308">
        <w:rPr>
          <w:szCs w:val="22"/>
        </w:rPr>
        <w:t>IPO</w:t>
      </w:r>
      <w:r w:rsidR="002C1392" w:rsidRPr="006F6951">
        <w:rPr>
          <w:szCs w:val="22"/>
        </w:rPr>
        <w:t xml:space="preserve"> provided </w:t>
      </w:r>
      <w:r w:rsidR="005547DB" w:rsidRPr="006F6951">
        <w:rPr>
          <w:szCs w:val="22"/>
        </w:rPr>
        <w:t xml:space="preserve">Training on IP Institutional </w:t>
      </w:r>
      <w:proofErr w:type="gramStart"/>
      <w:r w:rsidR="006E40E9">
        <w:rPr>
          <w:szCs w:val="22"/>
        </w:rPr>
        <w:t>Policies</w:t>
      </w:r>
      <w:r w:rsidR="002C1392" w:rsidRPr="006F6951">
        <w:rPr>
          <w:szCs w:val="22"/>
        </w:rPr>
        <w:t>(</w:t>
      </w:r>
      <w:proofErr w:type="gramEnd"/>
      <w:r w:rsidR="002C1392" w:rsidRPr="006F6951">
        <w:rPr>
          <w:szCs w:val="22"/>
        </w:rPr>
        <w:t>Tunisia, April, 2015),</w:t>
      </w:r>
      <w:r w:rsidR="005547DB" w:rsidRPr="006F6951">
        <w:rPr>
          <w:szCs w:val="22"/>
        </w:rPr>
        <w:t xml:space="preserve"> foll</w:t>
      </w:r>
      <w:r w:rsidR="00317308">
        <w:rPr>
          <w:szCs w:val="22"/>
        </w:rPr>
        <w:t xml:space="preserve">owed by </w:t>
      </w:r>
      <w:r w:rsidR="00823087">
        <w:rPr>
          <w:szCs w:val="22"/>
        </w:rPr>
        <w:t>three</w:t>
      </w:r>
      <w:r w:rsidR="00317308">
        <w:rPr>
          <w:szCs w:val="22"/>
        </w:rPr>
        <w:t xml:space="preserve"> video conferences and</w:t>
      </w:r>
      <w:r w:rsidR="005547DB" w:rsidRPr="006F6951">
        <w:rPr>
          <w:szCs w:val="22"/>
        </w:rPr>
        <w:t xml:space="preserve"> finalized the approval of IP Institutional</w:t>
      </w:r>
      <w:r w:rsidR="002C1392" w:rsidRPr="006F6951">
        <w:rPr>
          <w:szCs w:val="22"/>
        </w:rPr>
        <w:t xml:space="preserve"> Policies in four Institutions: the </w:t>
      </w:r>
      <w:r w:rsidR="005547DB" w:rsidRPr="006F6951">
        <w:rPr>
          <w:szCs w:val="22"/>
        </w:rPr>
        <w:t xml:space="preserve">Technical Center for Chemistry (CTC) – </w:t>
      </w:r>
      <w:r w:rsidR="006E40E9">
        <w:rPr>
          <w:szCs w:val="22"/>
        </w:rPr>
        <w:t>“</w:t>
      </w:r>
      <w:r w:rsidR="00317308" w:rsidRPr="006E40E9">
        <w:rPr>
          <w:i/>
          <w:iCs/>
          <w:szCs w:val="22"/>
        </w:rPr>
        <w:t>Le </w:t>
      </w:r>
      <w:proofErr w:type="spellStart"/>
      <w:r w:rsidR="005547DB" w:rsidRPr="006E40E9">
        <w:rPr>
          <w:i/>
          <w:iCs/>
          <w:szCs w:val="22"/>
        </w:rPr>
        <w:t>centre</w:t>
      </w:r>
      <w:proofErr w:type="spellEnd"/>
      <w:r w:rsidR="005547DB" w:rsidRPr="006E40E9">
        <w:rPr>
          <w:i/>
          <w:iCs/>
          <w:szCs w:val="22"/>
        </w:rPr>
        <w:t xml:space="preserve"> technique de la </w:t>
      </w:r>
      <w:proofErr w:type="spellStart"/>
      <w:r w:rsidR="005547DB" w:rsidRPr="006E40E9">
        <w:rPr>
          <w:i/>
          <w:iCs/>
          <w:szCs w:val="22"/>
        </w:rPr>
        <w:t>chimie</w:t>
      </w:r>
      <w:proofErr w:type="spellEnd"/>
      <w:r w:rsidR="006E40E9">
        <w:rPr>
          <w:szCs w:val="22"/>
        </w:rPr>
        <w:t>”</w:t>
      </w:r>
      <w:r w:rsidR="005547DB" w:rsidRPr="006F6951">
        <w:rPr>
          <w:szCs w:val="22"/>
        </w:rPr>
        <w:t>;</w:t>
      </w:r>
      <w:r w:rsidR="002C1392" w:rsidRPr="006F6951">
        <w:rPr>
          <w:szCs w:val="22"/>
        </w:rPr>
        <w:t xml:space="preserve"> </w:t>
      </w:r>
      <w:r w:rsidR="00317308">
        <w:rPr>
          <w:szCs w:val="22"/>
        </w:rPr>
        <w:t xml:space="preserve"> </w:t>
      </w:r>
      <w:r w:rsidR="002C1392" w:rsidRPr="006F6951">
        <w:rPr>
          <w:szCs w:val="22"/>
        </w:rPr>
        <w:t xml:space="preserve">the </w:t>
      </w:r>
      <w:r w:rsidR="006E40E9">
        <w:rPr>
          <w:szCs w:val="22"/>
        </w:rPr>
        <w:t xml:space="preserve">Techno-Park “El </w:t>
      </w:r>
      <w:proofErr w:type="spellStart"/>
      <w:r w:rsidR="006E40E9">
        <w:rPr>
          <w:szCs w:val="22"/>
        </w:rPr>
        <w:t>Gazala</w:t>
      </w:r>
      <w:proofErr w:type="spellEnd"/>
      <w:r w:rsidR="006E40E9">
        <w:rPr>
          <w:szCs w:val="22"/>
        </w:rPr>
        <w:t>”</w:t>
      </w:r>
      <w:r w:rsidR="005547DB" w:rsidRPr="006F6951">
        <w:rPr>
          <w:szCs w:val="22"/>
        </w:rPr>
        <w:t xml:space="preserve"> (dealing with IT technologies);</w:t>
      </w:r>
      <w:r w:rsidR="00317308">
        <w:rPr>
          <w:szCs w:val="22"/>
        </w:rPr>
        <w:t xml:space="preserve">  </w:t>
      </w:r>
      <w:r w:rsidR="002C1392" w:rsidRPr="006F6951">
        <w:rPr>
          <w:szCs w:val="22"/>
        </w:rPr>
        <w:t xml:space="preserve">the </w:t>
      </w:r>
      <w:r w:rsidR="006E40E9">
        <w:rPr>
          <w:szCs w:val="22"/>
        </w:rPr>
        <w:t>Techno-Park “</w:t>
      </w:r>
      <w:r w:rsidR="005547DB" w:rsidRPr="006F6951">
        <w:rPr>
          <w:szCs w:val="22"/>
        </w:rPr>
        <w:t xml:space="preserve">Sidi </w:t>
      </w:r>
      <w:proofErr w:type="spellStart"/>
      <w:r w:rsidR="005547DB" w:rsidRPr="006F6951">
        <w:rPr>
          <w:szCs w:val="22"/>
        </w:rPr>
        <w:t>T</w:t>
      </w:r>
      <w:r w:rsidR="006E40E9">
        <w:rPr>
          <w:szCs w:val="22"/>
        </w:rPr>
        <w:t>habet</w:t>
      </w:r>
      <w:proofErr w:type="spellEnd"/>
      <w:r w:rsidR="006E40E9">
        <w:rPr>
          <w:szCs w:val="22"/>
        </w:rPr>
        <w:t>”</w:t>
      </w:r>
      <w:r w:rsidR="002C1392" w:rsidRPr="006F6951">
        <w:rPr>
          <w:szCs w:val="22"/>
        </w:rPr>
        <w:t xml:space="preserve"> (biotechnology center )</w:t>
      </w:r>
      <w:r w:rsidR="00317308">
        <w:rPr>
          <w:szCs w:val="22"/>
        </w:rPr>
        <w:t xml:space="preserve">; </w:t>
      </w:r>
      <w:r w:rsidR="002C1392" w:rsidRPr="006F6951">
        <w:rPr>
          <w:szCs w:val="22"/>
        </w:rPr>
        <w:t xml:space="preserve"> and the </w:t>
      </w:r>
      <w:r w:rsidR="005547DB" w:rsidRPr="006F6951">
        <w:rPr>
          <w:szCs w:val="22"/>
        </w:rPr>
        <w:t xml:space="preserve">Technical Center for Packaging </w:t>
      </w:r>
      <w:r w:rsidR="006E40E9">
        <w:rPr>
          <w:szCs w:val="22"/>
        </w:rPr>
        <w:t>“</w:t>
      </w:r>
      <w:r w:rsidR="005547DB" w:rsidRPr="006F6951">
        <w:rPr>
          <w:szCs w:val="22"/>
        </w:rPr>
        <w:t>PACKTEC.</w:t>
      </w:r>
      <w:r w:rsidR="006E40E9">
        <w:rPr>
          <w:szCs w:val="22"/>
        </w:rPr>
        <w:t>”</w:t>
      </w:r>
      <w:r w:rsidR="005547DB" w:rsidRPr="006F6951">
        <w:rPr>
          <w:szCs w:val="22"/>
        </w:rPr>
        <w:t>)</w:t>
      </w:r>
    </w:p>
    <w:p w:rsidR="00A518AF" w:rsidRPr="006F6951" w:rsidRDefault="00A518AF" w:rsidP="00A518AF">
      <w:pPr>
        <w:rPr>
          <w:szCs w:val="22"/>
        </w:rPr>
      </w:pPr>
    </w:p>
    <w:p w:rsidR="00A518AF" w:rsidRPr="006F6951" w:rsidRDefault="0039510D" w:rsidP="00A518AF">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A518AF" w:rsidRPr="006F6951">
        <w:rPr>
          <w:szCs w:val="22"/>
        </w:rPr>
        <w:t xml:space="preserve">In </w:t>
      </w:r>
      <w:r w:rsidR="002C1392" w:rsidRPr="006F6951">
        <w:rPr>
          <w:szCs w:val="22"/>
        </w:rPr>
        <w:t>addition, WIPO or</w:t>
      </w:r>
      <w:r w:rsidR="00C12EC2">
        <w:rPr>
          <w:szCs w:val="22"/>
        </w:rPr>
        <w:t>ganized the following capacity building programs to raise awareness about the importance of creating suitable IP related framework on the level of institution, and to facilitate the process of its definition</w:t>
      </w:r>
      <w:r w:rsidR="002C1392" w:rsidRPr="006F6951">
        <w:rPr>
          <w:szCs w:val="22"/>
        </w:rPr>
        <w:t>:</w:t>
      </w:r>
    </w:p>
    <w:p w:rsidR="00A518AF" w:rsidRPr="006F6951" w:rsidRDefault="00A518AF" w:rsidP="00A518AF">
      <w:pPr>
        <w:rPr>
          <w:szCs w:val="22"/>
        </w:rPr>
      </w:pPr>
    </w:p>
    <w:p w:rsidR="00A518AF" w:rsidRDefault="00A518AF" w:rsidP="005A4DD1">
      <w:pPr>
        <w:numPr>
          <w:ilvl w:val="0"/>
          <w:numId w:val="42"/>
        </w:numPr>
        <w:ind w:hanging="153"/>
        <w:rPr>
          <w:szCs w:val="22"/>
        </w:rPr>
      </w:pPr>
      <w:r w:rsidRPr="00620983">
        <w:rPr>
          <w:szCs w:val="22"/>
        </w:rPr>
        <w:t xml:space="preserve">National Seminar on IP Policies </w:t>
      </w:r>
      <w:r w:rsidR="005A4DD1">
        <w:rPr>
          <w:szCs w:val="22"/>
        </w:rPr>
        <w:t>in Universities (Belarus, April</w:t>
      </w:r>
      <w:r w:rsidRPr="00620983">
        <w:rPr>
          <w:szCs w:val="22"/>
        </w:rPr>
        <w:t xml:space="preserve"> 2015)</w:t>
      </w:r>
      <w:r w:rsidR="00CB7ADA">
        <w:rPr>
          <w:szCs w:val="22"/>
        </w:rPr>
        <w:t>;</w:t>
      </w:r>
    </w:p>
    <w:p w:rsidR="00CB7ADA" w:rsidRPr="00620983" w:rsidRDefault="00CB7ADA" w:rsidP="00CB7ADA">
      <w:pPr>
        <w:pStyle w:val="ListParagraph"/>
        <w:ind w:left="993"/>
        <w:rPr>
          <w:szCs w:val="22"/>
        </w:rPr>
      </w:pPr>
    </w:p>
    <w:p w:rsidR="00A518AF" w:rsidRDefault="00A518AF" w:rsidP="005A4DD1">
      <w:pPr>
        <w:numPr>
          <w:ilvl w:val="0"/>
          <w:numId w:val="42"/>
        </w:numPr>
        <w:ind w:left="567" w:firstLine="0"/>
        <w:rPr>
          <w:szCs w:val="22"/>
        </w:rPr>
      </w:pPr>
      <w:r w:rsidRPr="00620983">
        <w:rPr>
          <w:szCs w:val="22"/>
        </w:rPr>
        <w:lastRenderedPageBreak/>
        <w:t>National Seminar on Intellectual Property Policies in Universities and Research</w:t>
      </w:r>
      <w:r w:rsidR="005A4DD1">
        <w:rPr>
          <w:szCs w:val="22"/>
        </w:rPr>
        <w:t xml:space="preserve"> Institutions (Kyrgyzstan, June</w:t>
      </w:r>
      <w:r w:rsidRPr="00620983">
        <w:rPr>
          <w:szCs w:val="22"/>
        </w:rPr>
        <w:t xml:space="preserve"> 2015)</w:t>
      </w:r>
      <w:r w:rsidR="00CB7ADA">
        <w:rPr>
          <w:szCs w:val="22"/>
        </w:rPr>
        <w:t>;</w:t>
      </w:r>
    </w:p>
    <w:p w:rsidR="00100AA3" w:rsidRPr="00620983" w:rsidRDefault="00100AA3" w:rsidP="00100AA3">
      <w:pPr>
        <w:ind w:left="567"/>
        <w:rPr>
          <w:szCs w:val="22"/>
        </w:rPr>
      </w:pPr>
    </w:p>
    <w:p w:rsidR="00A518AF" w:rsidRDefault="00A518AF" w:rsidP="00E23EA6">
      <w:pPr>
        <w:numPr>
          <w:ilvl w:val="0"/>
          <w:numId w:val="42"/>
        </w:numPr>
        <w:ind w:left="567" w:firstLine="0"/>
        <w:rPr>
          <w:szCs w:val="22"/>
        </w:rPr>
      </w:pPr>
      <w:r w:rsidRPr="00620983">
        <w:rPr>
          <w:szCs w:val="22"/>
        </w:rPr>
        <w:t>National Conference on Intellectual Property Policies for Universities and Innovation (Bul</w:t>
      </w:r>
      <w:r w:rsidR="00E23EA6">
        <w:rPr>
          <w:szCs w:val="22"/>
        </w:rPr>
        <w:t>garia, November</w:t>
      </w:r>
      <w:r w:rsidRPr="00620983">
        <w:rPr>
          <w:szCs w:val="22"/>
        </w:rPr>
        <w:t xml:space="preserve"> 2015)</w:t>
      </w:r>
      <w:r w:rsidR="00E23EA6">
        <w:rPr>
          <w:szCs w:val="22"/>
        </w:rPr>
        <w:t>;  and</w:t>
      </w:r>
    </w:p>
    <w:p w:rsidR="00E23EA6" w:rsidRPr="00620983" w:rsidRDefault="00E23EA6" w:rsidP="00E23EA6">
      <w:pPr>
        <w:ind w:left="567"/>
        <w:rPr>
          <w:szCs w:val="22"/>
        </w:rPr>
      </w:pPr>
    </w:p>
    <w:p w:rsidR="00A518AF" w:rsidRPr="00620983" w:rsidRDefault="00A518AF" w:rsidP="00E23EA6">
      <w:pPr>
        <w:numPr>
          <w:ilvl w:val="0"/>
          <w:numId w:val="42"/>
        </w:numPr>
        <w:ind w:left="567" w:firstLine="0"/>
        <w:rPr>
          <w:szCs w:val="22"/>
        </w:rPr>
      </w:pPr>
      <w:r w:rsidRPr="00620983">
        <w:rPr>
          <w:szCs w:val="22"/>
        </w:rPr>
        <w:t>Country project to provide technical assistance to Botswana governmen</w:t>
      </w:r>
      <w:r w:rsidR="00E23EA6">
        <w:rPr>
          <w:szCs w:val="22"/>
        </w:rPr>
        <w:t>t-funded research institutions and</w:t>
      </w:r>
      <w:r w:rsidRPr="00620983">
        <w:rPr>
          <w:szCs w:val="22"/>
        </w:rPr>
        <w:t xml:space="preserve"> universities in support of innovation and IP mainstreaming in ins</w:t>
      </w:r>
      <w:r w:rsidR="00E23EA6">
        <w:rPr>
          <w:szCs w:val="22"/>
        </w:rPr>
        <w:t>titutional strategies (</w:t>
      </w:r>
      <w:r w:rsidR="006E40E9">
        <w:rPr>
          <w:szCs w:val="22"/>
        </w:rPr>
        <w:t xml:space="preserve">Botswana, </w:t>
      </w:r>
      <w:r w:rsidR="00E23EA6">
        <w:rPr>
          <w:szCs w:val="22"/>
        </w:rPr>
        <w:t>November</w:t>
      </w:r>
      <w:r w:rsidRPr="00620983">
        <w:rPr>
          <w:szCs w:val="22"/>
        </w:rPr>
        <w:t xml:space="preserve"> 2015)</w:t>
      </w:r>
      <w:r w:rsidR="00BC7402">
        <w:rPr>
          <w:szCs w:val="22"/>
        </w:rPr>
        <w:t>.</w:t>
      </w:r>
    </w:p>
    <w:p w:rsidR="00A518AF" w:rsidRPr="006F6951" w:rsidRDefault="00A518AF" w:rsidP="00A518AF">
      <w:pPr>
        <w:rPr>
          <w:szCs w:val="22"/>
        </w:rPr>
      </w:pPr>
    </w:p>
    <w:p w:rsidR="00FA3222" w:rsidRPr="006F6951" w:rsidRDefault="0001026A" w:rsidP="0001026A">
      <w:pPr>
        <w:pStyle w:val="Heading2"/>
        <w:ind w:left="567" w:hanging="567"/>
      </w:pPr>
      <w:r>
        <w:t>III.</w:t>
      </w:r>
      <w:r>
        <w:tab/>
      </w:r>
      <w:r w:rsidR="00FA3222" w:rsidRPr="006F6951">
        <w:t>Establishment of Knowledge / Technology Transfer Organizational Structures</w:t>
      </w:r>
    </w:p>
    <w:p w:rsidR="00A727B5" w:rsidRPr="006F6951" w:rsidRDefault="00A727B5" w:rsidP="00EF7920">
      <w:pPr>
        <w:rPr>
          <w:szCs w:val="22"/>
          <w:u w:val="single"/>
        </w:rPr>
      </w:pPr>
    </w:p>
    <w:p w:rsidR="00E25828" w:rsidRPr="006F6951" w:rsidRDefault="0039510D" w:rsidP="00EF7920">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12EC2">
        <w:rPr>
          <w:szCs w:val="22"/>
        </w:rPr>
        <w:t>The</w:t>
      </w:r>
      <w:r w:rsidR="00FA3222" w:rsidRPr="006F6951">
        <w:rPr>
          <w:szCs w:val="22"/>
        </w:rPr>
        <w:t xml:space="preserve"> work on </w:t>
      </w:r>
      <w:r w:rsidR="00C12EC2">
        <w:rPr>
          <w:szCs w:val="22"/>
        </w:rPr>
        <w:t xml:space="preserve">awareness raising and </w:t>
      </w:r>
      <w:r w:rsidR="00BC7402">
        <w:rPr>
          <w:szCs w:val="22"/>
        </w:rPr>
        <w:t>promotion</w:t>
      </w:r>
      <w:r w:rsidR="00C12EC2">
        <w:rPr>
          <w:szCs w:val="22"/>
        </w:rPr>
        <w:t xml:space="preserve"> of </w:t>
      </w:r>
      <w:r w:rsidR="00FA3222" w:rsidRPr="006F6951">
        <w:rPr>
          <w:szCs w:val="22"/>
        </w:rPr>
        <w:t>IP</w:t>
      </w:r>
      <w:r w:rsidR="003E393E" w:rsidRPr="006F6951">
        <w:rPr>
          <w:szCs w:val="22"/>
        </w:rPr>
        <w:t xml:space="preserve"> rights</w:t>
      </w:r>
      <w:r w:rsidR="00FA3222" w:rsidRPr="006F6951">
        <w:rPr>
          <w:szCs w:val="22"/>
        </w:rPr>
        <w:t xml:space="preserve"> management and knowledge transfer </w:t>
      </w:r>
      <w:r w:rsidR="00C12EC2">
        <w:rPr>
          <w:szCs w:val="22"/>
        </w:rPr>
        <w:t>processes and procedures</w:t>
      </w:r>
      <w:r w:rsidR="00FA3222" w:rsidRPr="006F6951">
        <w:rPr>
          <w:szCs w:val="22"/>
        </w:rPr>
        <w:t xml:space="preserve"> in LDCs, developing </w:t>
      </w:r>
      <w:r w:rsidR="00B04EF3">
        <w:rPr>
          <w:szCs w:val="22"/>
        </w:rPr>
        <w:t xml:space="preserve">countries </w:t>
      </w:r>
      <w:r w:rsidR="00FA3222" w:rsidRPr="006F6951">
        <w:rPr>
          <w:szCs w:val="22"/>
        </w:rPr>
        <w:t>and</w:t>
      </w:r>
      <w:r w:rsidR="00C12EC2">
        <w:rPr>
          <w:szCs w:val="22"/>
        </w:rPr>
        <w:t xml:space="preserve"> countries in transition intensified</w:t>
      </w:r>
      <w:r w:rsidR="00FA3222" w:rsidRPr="006F6951">
        <w:rPr>
          <w:szCs w:val="22"/>
        </w:rPr>
        <w:t xml:space="preserve"> in WIPO from early 2000, </w:t>
      </w:r>
      <w:r w:rsidR="00A41C34">
        <w:rPr>
          <w:szCs w:val="22"/>
        </w:rPr>
        <w:t>and resulted in a number of studies and programs regarding an importance of IP policies / strategies on the national level, capacity building programs and specific thematic and countries projects enhancing capacity of creators and users of knowledge and IP to further develop it and manage towards competitive markets.  In that context</w:t>
      </w:r>
      <w:r w:rsidR="00BC7402">
        <w:rPr>
          <w:szCs w:val="22"/>
        </w:rPr>
        <w:t>,</w:t>
      </w:r>
      <w:r w:rsidR="00A41C34">
        <w:rPr>
          <w:szCs w:val="22"/>
        </w:rPr>
        <w:t xml:space="preserve"> particular importance was given to universities and R&amp;D institutions, as a major ge</w:t>
      </w:r>
      <w:r w:rsidR="005D363C">
        <w:rPr>
          <w:szCs w:val="22"/>
        </w:rPr>
        <w:t>nerator</w:t>
      </w:r>
      <w:r w:rsidR="00A65F47">
        <w:rPr>
          <w:szCs w:val="22"/>
        </w:rPr>
        <w:t xml:space="preserve"> of IP in developing countries.</w:t>
      </w:r>
    </w:p>
    <w:p w:rsidR="00FA3222" w:rsidRPr="006F6951" w:rsidRDefault="00FA3222" w:rsidP="00EF7920">
      <w:pPr>
        <w:rPr>
          <w:szCs w:val="22"/>
        </w:rPr>
      </w:pPr>
    </w:p>
    <w:p w:rsidR="00A44CE0" w:rsidRPr="006F6951" w:rsidRDefault="0039510D" w:rsidP="00EF7920">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FA3222" w:rsidRPr="006F6951">
        <w:rPr>
          <w:szCs w:val="22"/>
        </w:rPr>
        <w:t>As a resu</w:t>
      </w:r>
      <w:r w:rsidR="00A44CE0" w:rsidRPr="006F6951">
        <w:rPr>
          <w:szCs w:val="22"/>
        </w:rPr>
        <w:t>lt of numerous IP related</w:t>
      </w:r>
      <w:r w:rsidR="00FA3222" w:rsidRPr="006F6951">
        <w:rPr>
          <w:szCs w:val="22"/>
        </w:rPr>
        <w:t xml:space="preserve"> capacity building </w:t>
      </w:r>
      <w:r w:rsidR="00A44CE0" w:rsidRPr="006F6951">
        <w:rPr>
          <w:szCs w:val="22"/>
        </w:rPr>
        <w:t>WIPO programs</w:t>
      </w:r>
      <w:r w:rsidR="00FA3222" w:rsidRPr="006F6951">
        <w:rPr>
          <w:szCs w:val="22"/>
        </w:rPr>
        <w:t xml:space="preserve"> for academic professionals, there is a general </w:t>
      </w:r>
      <w:r w:rsidR="00A44CE0" w:rsidRPr="006F6951">
        <w:rPr>
          <w:szCs w:val="22"/>
        </w:rPr>
        <w:t>awareness in those institutions that research results are potential intellectual assets</w:t>
      </w:r>
      <w:r w:rsidR="007934F0">
        <w:rPr>
          <w:szCs w:val="22"/>
        </w:rPr>
        <w:t>,</w:t>
      </w:r>
      <w:r w:rsidR="00A44CE0" w:rsidRPr="006F6951">
        <w:rPr>
          <w:szCs w:val="22"/>
        </w:rPr>
        <w:t xml:space="preserve"> and that there are legitimate expectations of national societies that universities should manage created knowledge and IP in a way to transform them in assets that can be transferred and if applicable</w:t>
      </w:r>
      <w:r w:rsidR="00B04EF3">
        <w:rPr>
          <w:szCs w:val="22"/>
        </w:rPr>
        <w:t>,</w:t>
      </w:r>
      <w:r w:rsidR="00A44CE0" w:rsidRPr="006F6951">
        <w:rPr>
          <w:szCs w:val="22"/>
        </w:rPr>
        <w:t xml:space="preserve"> commercialized.  However, most universities in </w:t>
      </w:r>
      <w:r w:rsidR="00436E20" w:rsidRPr="006F6951">
        <w:rPr>
          <w:szCs w:val="22"/>
        </w:rPr>
        <w:t>beneficiary countries</w:t>
      </w:r>
      <w:r w:rsidR="00A44CE0" w:rsidRPr="006F6951">
        <w:rPr>
          <w:szCs w:val="22"/>
        </w:rPr>
        <w:t xml:space="preserve"> are </w:t>
      </w:r>
      <w:r w:rsidR="00A65F47">
        <w:rPr>
          <w:szCs w:val="22"/>
        </w:rPr>
        <w:t xml:space="preserve">still </w:t>
      </w:r>
      <w:r w:rsidR="00A44CE0" w:rsidRPr="006F6951">
        <w:rPr>
          <w:szCs w:val="22"/>
        </w:rPr>
        <w:t xml:space="preserve">lacking practical </w:t>
      </w:r>
      <w:r w:rsidR="00436E20" w:rsidRPr="006F6951">
        <w:rPr>
          <w:szCs w:val="22"/>
        </w:rPr>
        <w:t>knowledge on how</w:t>
      </w:r>
      <w:r w:rsidR="00A44CE0" w:rsidRPr="006F6951">
        <w:rPr>
          <w:szCs w:val="22"/>
        </w:rPr>
        <w:t xml:space="preserve"> to establish organization structures – such as professional technology management units that will take over the process of </w:t>
      </w:r>
      <w:r w:rsidR="007934F0">
        <w:rPr>
          <w:szCs w:val="22"/>
        </w:rPr>
        <w:t>i</w:t>
      </w:r>
      <w:r w:rsidR="00B94303">
        <w:rPr>
          <w:szCs w:val="22"/>
        </w:rPr>
        <w:t xml:space="preserve">ntellectual </w:t>
      </w:r>
      <w:r w:rsidR="007934F0">
        <w:rPr>
          <w:szCs w:val="22"/>
        </w:rPr>
        <w:t>p</w:t>
      </w:r>
      <w:r w:rsidR="00B94303">
        <w:rPr>
          <w:szCs w:val="22"/>
        </w:rPr>
        <w:t xml:space="preserve">roperty </w:t>
      </w:r>
      <w:r w:rsidR="007934F0">
        <w:rPr>
          <w:szCs w:val="22"/>
        </w:rPr>
        <w:t>r</w:t>
      </w:r>
      <w:r w:rsidR="00B94303">
        <w:rPr>
          <w:szCs w:val="22"/>
        </w:rPr>
        <w:t>ights (</w:t>
      </w:r>
      <w:r w:rsidR="00A44CE0" w:rsidRPr="006F6951">
        <w:rPr>
          <w:szCs w:val="22"/>
        </w:rPr>
        <w:t>IPR</w:t>
      </w:r>
      <w:r w:rsidR="007934F0">
        <w:rPr>
          <w:szCs w:val="22"/>
        </w:rPr>
        <w:t>s</w:t>
      </w:r>
      <w:r w:rsidR="00B94303">
        <w:rPr>
          <w:szCs w:val="22"/>
        </w:rPr>
        <w:t>)</w:t>
      </w:r>
      <w:r w:rsidR="00A44CE0" w:rsidRPr="006F6951">
        <w:rPr>
          <w:szCs w:val="22"/>
        </w:rPr>
        <w:t xml:space="preserve"> management, based on national laws and institutional IP Policies.</w:t>
      </w:r>
    </w:p>
    <w:p w:rsidR="00A44CE0" w:rsidRPr="006F6951" w:rsidRDefault="00A44CE0" w:rsidP="00EF7920">
      <w:pPr>
        <w:rPr>
          <w:szCs w:val="22"/>
        </w:rPr>
      </w:pPr>
    </w:p>
    <w:p w:rsidR="000D629D" w:rsidRPr="006F6951" w:rsidRDefault="0039510D" w:rsidP="00B94303">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A44CE0" w:rsidRPr="006F6951">
        <w:rPr>
          <w:szCs w:val="22"/>
        </w:rPr>
        <w:t xml:space="preserve">Therefore, WIPO </w:t>
      </w:r>
      <w:r w:rsidR="003E393E" w:rsidRPr="006F6951">
        <w:rPr>
          <w:szCs w:val="22"/>
        </w:rPr>
        <w:t xml:space="preserve">has been </w:t>
      </w:r>
      <w:r w:rsidR="00A44CE0" w:rsidRPr="006F6951">
        <w:rPr>
          <w:szCs w:val="22"/>
        </w:rPr>
        <w:t>providing expert advi</w:t>
      </w:r>
      <w:r w:rsidR="003E393E" w:rsidRPr="006F6951">
        <w:rPr>
          <w:szCs w:val="22"/>
        </w:rPr>
        <w:t>ce</w:t>
      </w:r>
      <w:r w:rsidR="00573898" w:rsidRPr="006F6951">
        <w:rPr>
          <w:szCs w:val="22"/>
        </w:rPr>
        <w:t xml:space="preserve">, through customized capacity building programs or </w:t>
      </w:r>
      <w:r w:rsidR="00A65F47">
        <w:rPr>
          <w:szCs w:val="22"/>
        </w:rPr>
        <w:t xml:space="preserve">specific Projects </w:t>
      </w:r>
      <w:r w:rsidR="00A323F7" w:rsidRPr="006F6951">
        <w:rPr>
          <w:szCs w:val="22"/>
        </w:rPr>
        <w:t>based on needs assessment</w:t>
      </w:r>
      <w:r w:rsidR="00A65F47">
        <w:rPr>
          <w:szCs w:val="22"/>
        </w:rPr>
        <w:t xml:space="preserve"> surveys that provid</w:t>
      </w:r>
      <w:r w:rsidR="00B94303">
        <w:rPr>
          <w:szCs w:val="22"/>
        </w:rPr>
        <w:t>ed to beneficiary institutions a</w:t>
      </w:r>
      <w:r w:rsidR="00A65F47">
        <w:rPr>
          <w:szCs w:val="22"/>
        </w:rPr>
        <w:t xml:space="preserve">ction </w:t>
      </w:r>
      <w:r w:rsidR="00B94303">
        <w:rPr>
          <w:szCs w:val="22"/>
        </w:rPr>
        <w:t>p</w:t>
      </w:r>
      <w:r w:rsidR="00A65F47">
        <w:rPr>
          <w:szCs w:val="22"/>
        </w:rPr>
        <w:t>lans on how to establish</w:t>
      </w:r>
      <w:r w:rsidR="00A323F7" w:rsidRPr="006F6951">
        <w:rPr>
          <w:szCs w:val="22"/>
        </w:rPr>
        <w:t xml:space="preserve"> professional </w:t>
      </w:r>
      <w:r w:rsidR="00A65F47">
        <w:rPr>
          <w:szCs w:val="22"/>
        </w:rPr>
        <w:t xml:space="preserve">IP management </w:t>
      </w:r>
      <w:r w:rsidR="00A323F7" w:rsidRPr="006F6951">
        <w:rPr>
          <w:szCs w:val="22"/>
        </w:rPr>
        <w:t>offices</w:t>
      </w:r>
      <w:r w:rsidR="00A44CE0" w:rsidRPr="006F6951">
        <w:rPr>
          <w:szCs w:val="22"/>
        </w:rPr>
        <w:t xml:space="preserve">, how to identify and recruit </w:t>
      </w:r>
      <w:r w:rsidR="00A323F7" w:rsidRPr="006F6951">
        <w:rPr>
          <w:szCs w:val="22"/>
        </w:rPr>
        <w:t>staff</w:t>
      </w:r>
      <w:r w:rsidR="00A65F47">
        <w:rPr>
          <w:szCs w:val="22"/>
        </w:rPr>
        <w:t xml:space="preserve"> for those IP related service providers</w:t>
      </w:r>
      <w:r w:rsidR="00A44CE0" w:rsidRPr="006F6951">
        <w:rPr>
          <w:szCs w:val="22"/>
        </w:rPr>
        <w:t>, h</w:t>
      </w:r>
      <w:r w:rsidR="00A65F47">
        <w:rPr>
          <w:szCs w:val="22"/>
        </w:rPr>
        <w:t>ow to provide education for professionals</w:t>
      </w:r>
      <w:r w:rsidR="00A44CE0" w:rsidRPr="006F6951">
        <w:rPr>
          <w:szCs w:val="22"/>
        </w:rPr>
        <w:t xml:space="preserve"> and how to establish incentives for </w:t>
      </w:r>
      <w:r w:rsidR="00A323F7" w:rsidRPr="006F6951">
        <w:rPr>
          <w:szCs w:val="22"/>
        </w:rPr>
        <w:t xml:space="preserve">researchers in order to take fully part in knowledge management processes.  </w:t>
      </w:r>
      <w:r w:rsidR="00A65F47">
        <w:rPr>
          <w:szCs w:val="22"/>
        </w:rPr>
        <w:t>For example,</w:t>
      </w:r>
      <w:r w:rsidR="000D629D" w:rsidRPr="006F6951">
        <w:rPr>
          <w:szCs w:val="22"/>
        </w:rPr>
        <w:t xml:space="preserve"> in 2013</w:t>
      </w:r>
      <w:r w:rsidR="00B257DE">
        <w:rPr>
          <w:szCs w:val="22"/>
        </w:rPr>
        <w:t>–2014</w:t>
      </w:r>
      <w:r w:rsidR="003E393E" w:rsidRPr="006F6951">
        <w:rPr>
          <w:szCs w:val="22"/>
        </w:rPr>
        <w:t>, an</w:t>
      </w:r>
      <w:r w:rsidR="00436E20" w:rsidRPr="006F6951">
        <w:rPr>
          <w:szCs w:val="22"/>
        </w:rPr>
        <w:t xml:space="preserve"> </w:t>
      </w:r>
      <w:r w:rsidR="006E40E9">
        <w:rPr>
          <w:szCs w:val="22"/>
        </w:rPr>
        <w:t>“</w:t>
      </w:r>
      <w:r w:rsidR="000D629D" w:rsidRPr="006F6951">
        <w:rPr>
          <w:szCs w:val="22"/>
        </w:rPr>
        <w:t>Action Plan</w:t>
      </w:r>
      <w:r w:rsidR="006E40E9">
        <w:rPr>
          <w:szCs w:val="22"/>
        </w:rPr>
        <w:t>”</w:t>
      </w:r>
      <w:r w:rsidR="000D629D" w:rsidRPr="006F6951">
        <w:rPr>
          <w:szCs w:val="22"/>
        </w:rPr>
        <w:t xml:space="preserve"> was defined for </w:t>
      </w:r>
      <w:r w:rsidR="00B04EF3">
        <w:rPr>
          <w:szCs w:val="22"/>
        </w:rPr>
        <w:t xml:space="preserve">the </w:t>
      </w:r>
      <w:r w:rsidR="000D629D" w:rsidRPr="006F6951">
        <w:rPr>
          <w:szCs w:val="22"/>
        </w:rPr>
        <w:t>Technology Transfer Center of Georgia</w:t>
      </w:r>
      <w:r w:rsidR="00A65F47">
        <w:rPr>
          <w:szCs w:val="22"/>
        </w:rPr>
        <w:t xml:space="preserve">, with </w:t>
      </w:r>
      <w:r w:rsidR="006E40E9">
        <w:rPr>
          <w:szCs w:val="22"/>
        </w:rPr>
        <w:t>“</w:t>
      </w:r>
      <w:r w:rsidR="00A65F47">
        <w:rPr>
          <w:szCs w:val="22"/>
        </w:rPr>
        <w:t>step by step</w:t>
      </w:r>
      <w:r w:rsidR="006E40E9">
        <w:rPr>
          <w:szCs w:val="22"/>
        </w:rPr>
        <w:t>”</w:t>
      </w:r>
      <w:r w:rsidR="00A65F47">
        <w:rPr>
          <w:szCs w:val="22"/>
        </w:rPr>
        <w:t xml:space="preserve"> approach in creating legal and organizational structures in the center.  I</w:t>
      </w:r>
      <w:r w:rsidR="000D629D" w:rsidRPr="006F6951">
        <w:rPr>
          <w:szCs w:val="22"/>
        </w:rPr>
        <w:t xml:space="preserve">n </w:t>
      </w:r>
      <w:r w:rsidR="00A65F47">
        <w:rPr>
          <w:szCs w:val="22"/>
        </w:rPr>
        <w:t xml:space="preserve">addition in </w:t>
      </w:r>
      <w:r w:rsidR="00B257DE">
        <w:rPr>
          <w:szCs w:val="22"/>
        </w:rPr>
        <w:t>2014–</w:t>
      </w:r>
      <w:r w:rsidR="006F33AF" w:rsidRPr="006F6951">
        <w:rPr>
          <w:szCs w:val="22"/>
        </w:rPr>
        <w:t>15 follow</w:t>
      </w:r>
      <w:r w:rsidR="00B04EF3">
        <w:rPr>
          <w:szCs w:val="22"/>
        </w:rPr>
        <w:t>-up</w:t>
      </w:r>
      <w:r w:rsidR="009204D5" w:rsidRPr="006F6951">
        <w:rPr>
          <w:szCs w:val="22"/>
        </w:rPr>
        <w:t xml:space="preserve"> technology t</w:t>
      </w:r>
      <w:r w:rsidR="000D629D" w:rsidRPr="006F6951">
        <w:rPr>
          <w:szCs w:val="22"/>
        </w:rPr>
        <w:t xml:space="preserve">ransfer </w:t>
      </w:r>
      <w:r w:rsidR="009204D5" w:rsidRPr="006F6951">
        <w:rPr>
          <w:szCs w:val="22"/>
        </w:rPr>
        <w:t>related w</w:t>
      </w:r>
      <w:r w:rsidR="000D629D" w:rsidRPr="006F6951">
        <w:rPr>
          <w:szCs w:val="22"/>
        </w:rPr>
        <w:t xml:space="preserve">orkshops, addressing </w:t>
      </w:r>
      <w:r w:rsidR="00B04EF3">
        <w:rPr>
          <w:szCs w:val="22"/>
        </w:rPr>
        <w:t xml:space="preserve">the </w:t>
      </w:r>
      <w:r w:rsidR="000D629D" w:rsidRPr="006F6951">
        <w:rPr>
          <w:szCs w:val="22"/>
        </w:rPr>
        <w:t>problems of setting up necessary organizational structure</w:t>
      </w:r>
      <w:r w:rsidR="00A65F47">
        <w:rPr>
          <w:szCs w:val="22"/>
        </w:rPr>
        <w:t>s</w:t>
      </w:r>
      <w:r w:rsidR="000D629D" w:rsidRPr="006F6951">
        <w:rPr>
          <w:szCs w:val="22"/>
        </w:rPr>
        <w:t xml:space="preserve">, </w:t>
      </w:r>
      <w:r w:rsidR="00A65F47">
        <w:rPr>
          <w:szCs w:val="22"/>
        </w:rPr>
        <w:t>were</w:t>
      </w:r>
      <w:r w:rsidR="003E393E" w:rsidRPr="006F6951">
        <w:rPr>
          <w:szCs w:val="22"/>
        </w:rPr>
        <w:t xml:space="preserve"> </w:t>
      </w:r>
      <w:r w:rsidR="000D629D" w:rsidRPr="006F6951">
        <w:rPr>
          <w:szCs w:val="22"/>
        </w:rPr>
        <w:t>delivered:</w:t>
      </w:r>
    </w:p>
    <w:p w:rsidR="00A9612E" w:rsidRPr="006F6951" w:rsidRDefault="00A9612E" w:rsidP="00EF7920">
      <w:pPr>
        <w:rPr>
          <w:szCs w:val="22"/>
        </w:rPr>
      </w:pPr>
    </w:p>
    <w:p w:rsidR="000D629D" w:rsidRDefault="006E40E9" w:rsidP="00397A8A">
      <w:pPr>
        <w:numPr>
          <w:ilvl w:val="0"/>
          <w:numId w:val="43"/>
        </w:numPr>
        <w:ind w:left="567" w:firstLine="0"/>
        <w:rPr>
          <w:szCs w:val="22"/>
        </w:rPr>
      </w:pPr>
      <w:r>
        <w:rPr>
          <w:szCs w:val="22"/>
        </w:rPr>
        <w:t>“</w:t>
      </w:r>
      <w:r w:rsidR="000D629D" w:rsidRPr="006F6951">
        <w:rPr>
          <w:szCs w:val="22"/>
        </w:rPr>
        <w:t>Working Together for Promoting Knowledge Transfer and IP Commercialization in Georgia</w:t>
      </w:r>
      <w:r>
        <w:rPr>
          <w:szCs w:val="22"/>
        </w:rPr>
        <w:t>”</w:t>
      </w:r>
      <w:r w:rsidR="000D629D" w:rsidRPr="006F6951">
        <w:rPr>
          <w:szCs w:val="22"/>
        </w:rPr>
        <w:t>, March 10 to 11, 2014, Tbilisi, Georgia;</w:t>
      </w:r>
    </w:p>
    <w:p w:rsidR="00397A8A" w:rsidRDefault="00397A8A" w:rsidP="00397A8A">
      <w:pPr>
        <w:ind w:left="567"/>
        <w:rPr>
          <w:szCs w:val="22"/>
        </w:rPr>
      </w:pPr>
    </w:p>
    <w:p w:rsidR="00A9612E" w:rsidRDefault="006E40E9" w:rsidP="00397A8A">
      <w:pPr>
        <w:numPr>
          <w:ilvl w:val="0"/>
          <w:numId w:val="43"/>
        </w:numPr>
        <w:ind w:left="567" w:firstLine="0"/>
        <w:rPr>
          <w:szCs w:val="22"/>
        </w:rPr>
      </w:pPr>
      <w:r>
        <w:rPr>
          <w:szCs w:val="22"/>
        </w:rPr>
        <w:t>“</w:t>
      </w:r>
      <w:r w:rsidR="00A9612E" w:rsidRPr="00397A8A">
        <w:rPr>
          <w:szCs w:val="22"/>
        </w:rPr>
        <w:t>National Workshop on Technology Management for Universities</w:t>
      </w:r>
      <w:r>
        <w:rPr>
          <w:szCs w:val="22"/>
        </w:rPr>
        <w:t>”</w:t>
      </w:r>
      <w:r w:rsidR="00A9612E" w:rsidRPr="00397A8A">
        <w:rPr>
          <w:szCs w:val="22"/>
        </w:rPr>
        <w:t xml:space="preserve">, May 12 </w:t>
      </w:r>
      <w:r w:rsidR="00397A8A">
        <w:rPr>
          <w:szCs w:val="22"/>
        </w:rPr>
        <w:br/>
      </w:r>
      <w:r w:rsidR="00A9612E" w:rsidRPr="00397A8A">
        <w:rPr>
          <w:szCs w:val="22"/>
        </w:rPr>
        <w:t>and 13, 2014, Brunei Darussalam;</w:t>
      </w:r>
    </w:p>
    <w:p w:rsidR="00397A8A" w:rsidRDefault="00397A8A" w:rsidP="00397A8A">
      <w:pPr>
        <w:ind w:left="567"/>
        <w:rPr>
          <w:szCs w:val="22"/>
        </w:rPr>
      </w:pPr>
    </w:p>
    <w:p w:rsidR="000D629D" w:rsidRDefault="006E40E9" w:rsidP="00397A8A">
      <w:pPr>
        <w:numPr>
          <w:ilvl w:val="0"/>
          <w:numId w:val="43"/>
        </w:numPr>
        <w:ind w:left="567" w:firstLine="0"/>
        <w:rPr>
          <w:szCs w:val="22"/>
        </w:rPr>
      </w:pPr>
      <w:r>
        <w:rPr>
          <w:szCs w:val="22"/>
        </w:rPr>
        <w:t>“</w:t>
      </w:r>
      <w:r w:rsidR="00BB23CD" w:rsidRPr="00397A8A">
        <w:rPr>
          <w:szCs w:val="22"/>
        </w:rPr>
        <w:t>WIPO Sub-</w:t>
      </w:r>
      <w:r w:rsidR="004E171C" w:rsidRPr="00397A8A">
        <w:rPr>
          <w:szCs w:val="22"/>
        </w:rPr>
        <w:t xml:space="preserve"> r</w:t>
      </w:r>
      <w:r w:rsidR="00BB23CD" w:rsidRPr="00397A8A">
        <w:rPr>
          <w:szCs w:val="22"/>
        </w:rPr>
        <w:t>egional Workshop for Technology Transfer Offices</w:t>
      </w:r>
      <w:r>
        <w:rPr>
          <w:szCs w:val="22"/>
        </w:rPr>
        <w:t>”</w:t>
      </w:r>
      <w:r w:rsidR="00BB23CD" w:rsidRPr="00397A8A">
        <w:rPr>
          <w:szCs w:val="22"/>
        </w:rPr>
        <w:t>, May 20 – 21, 2014 Skopje, FYR Macedonia</w:t>
      </w:r>
      <w:r w:rsidR="004E171C" w:rsidRPr="00397A8A">
        <w:rPr>
          <w:szCs w:val="22"/>
        </w:rPr>
        <w:t>;</w:t>
      </w:r>
      <w:r w:rsidR="00BB23CD" w:rsidRPr="00397A8A">
        <w:rPr>
          <w:szCs w:val="22"/>
        </w:rPr>
        <w:t xml:space="preserve"> </w:t>
      </w:r>
    </w:p>
    <w:p w:rsidR="00397A8A" w:rsidRDefault="00397A8A" w:rsidP="00397A8A">
      <w:pPr>
        <w:ind w:left="567"/>
        <w:rPr>
          <w:szCs w:val="22"/>
        </w:rPr>
      </w:pPr>
    </w:p>
    <w:p w:rsidR="004E171C" w:rsidRDefault="006E40E9" w:rsidP="00397A8A">
      <w:pPr>
        <w:numPr>
          <w:ilvl w:val="0"/>
          <w:numId w:val="43"/>
        </w:numPr>
        <w:ind w:left="567" w:firstLine="0"/>
        <w:rPr>
          <w:szCs w:val="22"/>
        </w:rPr>
      </w:pPr>
      <w:r>
        <w:rPr>
          <w:szCs w:val="22"/>
        </w:rPr>
        <w:lastRenderedPageBreak/>
        <w:t>“</w:t>
      </w:r>
      <w:r w:rsidR="004E171C" w:rsidRPr="00397A8A">
        <w:rPr>
          <w:szCs w:val="22"/>
        </w:rPr>
        <w:t xml:space="preserve">WIPO Sub – regional Workshop on IP Commercialization </w:t>
      </w:r>
      <w:r>
        <w:rPr>
          <w:szCs w:val="22"/>
        </w:rPr>
        <w:t>“</w:t>
      </w:r>
      <w:r w:rsidR="004E171C" w:rsidRPr="00397A8A">
        <w:rPr>
          <w:szCs w:val="22"/>
        </w:rPr>
        <w:t>Working Together</w:t>
      </w:r>
      <w:r>
        <w:rPr>
          <w:szCs w:val="22"/>
        </w:rPr>
        <w:t>”</w:t>
      </w:r>
      <w:r w:rsidR="004E171C" w:rsidRPr="00397A8A">
        <w:rPr>
          <w:szCs w:val="22"/>
        </w:rPr>
        <w:t xml:space="preserve"> for Technology</w:t>
      </w:r>
      <w:r w:rsidR="00397A8A">
        <w:rPr>
          <w:szCs w:val="22"/>
        </w:rPr>
        <w:t xml:space="preserve"> Transfer Offices in the Region, September 15 and</w:t>
      </w:r>
      <w:r w:rsidR="004E171C" w:rsidRPr="00397A8A">
        <w:rPr>
          <w:szCs w:val="22"/>
        </w:rPr>
        <w:t xml:space="preserve"> 16, 2014, Belgrade, Serbia;</w:t>
      </w:r>
    </w:p>
    <w:p w:rsidR="00100AA3" w:rsidRPr="00397A8A" w:rsidRDefault="00100AA3" w:rsidP="00100AA3">
      <w:pPr>
        <w:ind w:left="567"/>
        <w:rPr>
          <w:szCs w:val="22"/>
        </w:rPr>
      </w:pPr>
    </w:p>
    <w:p w:rsidR="006F33AF" w:rsidRDefault="006E40E9" w:rsidP="00A4550C">
      <w:pPr>
        <w:numPr>
          <w:ilvl w:val="0"/>
          <w:numId w:val="43"/>
        </w:numPr>
        <w:ind w:left="567" w:firstLine="0"/>
        <w:rPr>
          <w:szCs w:val="22"/>
        </w:rPr>
      </w:pPr>
      <w:r>
        <w:rPr>
          <w:szCs w:val="22"/>
        </w:rPr>
        <w:t>“</w:t>
      </w:r>
      <w:r w:rsidR="006F33AF" w:rsidRPr="006F6951">
        <w:rPr>
          <w:szCs w:val="22"/>
        </w:rPr>
        <w:t>WIPO IPR Management Workshop for Universities and Research and Development Institutions from Developing Countries</w:t>
      </w:r>
      <w:r>
        <w:rPr>
          <w:szCs w:val="22"/>
        </w:rPr>
        <w:t>”</w:t>
      </w:r>
      <w:r w:rsidR="006F33AF" w:rsidRPr="006F6951">
        <w:rPr>
          <w:szCs w:val="22"/>
        </w:rPr>
        <w:t xml:space="preserve">, members of the WIPO </w:t>
      </w:r>
      <w:proofErr w:type="spellStart"/>
      <w:r w:rsidR="006F33AF" w:rsidRPr="006F6951">
        <w:rPr>
          <w:szCs w:val="22"/>
        </w:rPr>
        <w:t>Re:Search</w:t>
      </w:r>
      <w:proofErr w:type="spellEnd"/>
      <w:r w:rsidR="006F33AF" w:rsidRPr="006F6951">
        <w:rPr>
          <w:szCs w:val="22"/>
        </w:rPr>
        <w:t xml:space="preserve"> Program, November 4 and 5, 2014, New York, United States</w:t>
      </w:r>
      <w:r w:rsidR="00A4550C">
        <w:rPr>
          <w:szCs w:val="22"/>
        </w:rPr>
        <w:t>;</w:t>
      </w:r>
    </w:p>
    <w:p w:rsidR="00A4550C" w:rsidRDefault="00A4550C" w:rsidP="00A4550C">
      <w:pPr>
        <w:ind w:left="567"/>
        <w:rPr>
          <w:szCs w:val="22"/>
        </w:rPr>
      </w:pPr>
    </w:p>
    <w:p w:rsidR="004E171C" w:rsidRDefault="006E40E9" w:rsidP="00A4550C">
      <w:pPr>
        <w:numPr>
          <w:ilvl w:val="0"/>
          <w:numId w:val="43"/>
        </w:numPr>
        <w:ind w:left="567" w:firstLine="0"/>
        <w:rPr>
          <w:szCs w:val="22"/>
        </w:rPr>
      </w:pPr>
      <w:r>
        <w:rPr>
          <w:szCs w:val="22"/>
        </w:rPr>
        <w:t>“</w:t>
      </w:r>
      <w:r w:rsidR="004E171C" w:rsidRPr="00A4550C">
        <w:rPr>
          <w:szCs w:val="22"/>
        </w:rPr>
        <w:t>WIPO Sub- regional Seminar on International Technology Transfer and Open Innovation</w:t>
      </w:r>
      <w:r>
        <w:rPr>
          <w:szCs w:val="22"/>
        </w:rPr>
        <w:t>”</w:t>
      </w:r>
      <w:r w:rsidR="004E171C" w:rsidRPr="00A4550C">
        <w:rPr>
          <w:szCs w:val="22"/>
        </w:rPr>
        <w:t>, November 17 to 19, 2014, Katmandu, Nepal;</w:t>
      </w:r>
      <w:r w:rsidR="00A4550C">
        <w:rPr>
          <w:szCs w:val="22"/>
        </w:rPr>
        <w:t xml:space="preserve">  and</w:t>
      </w:r>
    </w:p>
    <w:p w:rsidR="00A4550C" w:rsidRDefault="00A4550C" w:rsidP="00A4550C">
      <w:pPr>
        <w:ind w:left="567"/>
        <w:rPr>
          <w:szCs w:val="22"/>
        </w:rPr>
      </w:pPr>
    </w:p>
    <w:p w:rsidR="008D3227" w:rsidRPr="00A4550C" w:rsidRDefault="008D3227" w:rsidP="00A4550C">
      <w:pPr>
        <w:numPr>
          <w:ilvl w:val="0"/>
          <w:numId w:val="43"/>
        </w:numPr>
        <w:ind w:left="567" w:firstLine="0"/>
        <w:rPr>
          <w:szCs w:val="22"/>
        </w:rPr>
      </w:pPr>
      <w:r w:rsidRPr="00A4550C">
        <w:rPr>
          <w:szCs w:val="22"/>
        </w:rPr>
        <w:t xml:space="preserve">WIPO Sub-regional Workshop on WIPO Pilot Project for Universities and Research Centers in Central American Countries, </w:t>
      </w:r>
      <w:r w:rsidR="00B04EF3" w:rsidRPr="00A4550C">
        <w:rPr>
          <w:szCs w:val="22"/>
        </w:rPr>
        <w:t xml:space="preserve">November 24 to 26, 2015, </w:t>
      </w:r>
      <w:r w:rsidRPr="00A4550C">
        <w:rPr>
          <w:szCs w:val="22"/>
        </w:rPr>
        <w:t>Panama Knowledge City, Panama.</w:t>
      </w:r>
    </w:p>
    <w:p w:rsidR="00733B70" w:rsidRPr="006F6951" w:rsidRDefault="00733B70" w:rsidP="00EF7920">
      <w:pPr>
        <w:rPr>
          <w:szCs w:val="22"/>
        </w:rPr>
      </w:pPr>
    </w:p>
    <w:p w:rsidR="000D629D" w:rsidRPr="006F6951" w:rsidRDefault="0039510D" w:rsidP="00EF7920">
      <w:pPr>
        <w:rPr>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733B70" w:rsidRPr="006F6951">
        <w:rPr>
          <w:szCs w:val="22"/>
        </w:rPr>
        <w:t xml:space="preserve">WIPO also developed Pilot Projects for </w:t>
      </w:r>
      <w:r w:rsidR="00BF178A">
        <w:rPr>
          <w:szCs w:val="22"/>
        </w:rPr>
        <w:t xml:space="preserve">the </w:t>
      </w:r>
      <w:r w:rsidR="00733B70" w:rsidRPr="006F6951">
        <w:rPr>
          <w:szCs w:val="22"/>
        </w:rPr>
        <w:t xml:space="preserve">Establishment of Technology Transfer Offices (TTOs) in developing countries, as a way to create a model of infrastructure for demonstration purposes, so that the knowledge acquired during implementation of those Pilot Projects can be further disseminated in the country and the region.  The Project was launched in 2014 in Tunisia, and in 2015 activities focused on </w:t>
      </w:r>
      <w:r w:rsidR="006E40E9">
        <w:rPr>
          <w:szCs w:val="22"/>
        </w:rPr>
        <w:t>“</w:t>
      </w:r>
      <w:r w:rsidR="00733B70" w:rsidRPr="006F6951">
        <w:rPr>
          <w:szCs w:val="22"/>
        </w:rPr>
        <w:t>bottom up</w:t>
      </w:r>
      <w:r w:rsidR="006E40E9">
        <w:rPr>
          <w:szCs w:val="22"/>
        </w:rPr>
        <w:t>”</w:t>
      </w:r>
      <w:r w:rsidR="00733B70" w:rsidRPr="006F6951">
        <w:rPr>
          <w:szCs w:val="22"/>
        </w:rPr>
        <w:t xml:space="preserve"> development of legal framework for TTOs, with the view to finalize the action plan and to create fully operational TTOs for nominated institutions in Tunisia</w:t>
      </w:r>
      <w:r w:rsidR="00A65F47">
        <w:rPr>
          <w:szCs w:val="22"/>
        </w:rPr>
        <w:t xml:space="preserve"> in 2016</w:t>
      </w:r>
      <w:r w:rsidR="00733B70" w:rsidRPr="006F6951">
        <w:rPr>
          <w:szCs w:val="22"/>
        </w:rPr>
        <w:t xml:space="preserve">.  WIPO also organized in 2014 a fact finding mission in Algeria, in order to assess </w:t>
      </w:r>
      <w:r w:rsidR="00BF178A">
        <w:rPr>
          <w:szCs w:val="22"/>
        </w:rPr>
        <w:t xml:space="preserve">the </w:t>
      </w:r>
      <w:r w:rsidR="00733B70" w:rsidRPr="006F6951">
        <w:rPr>
          <w:szCs w:val="22"/>
        </w:rPr>
        <w:t xml:space="preserve">current situation regarding knowledge transfer and define an Action Plan for </w:t>
      </w:r>
      <w:r w:rsidR="00BF178A">
        <w:rPr>
          <w:szCs w:val="22"/>
        </w:rPr>
        <w:t xml:space="preserve">the </w:t>
      </w:r>
      <w:r w:rsidR="00733B70" w:rsidRPr="006F6951">
        <w:rPr>
          <w:szCs w:val="22"/>
        </w:rPr>
        <w:t>establishment of a model TTO.</w:t>
      </w:r>
    </w:p>
    <w:p w:rsidR="007105FD" w:rsidRDefault="007105FD" w:rsidP="00EF7920">
      <w:pPr>
        <w:rPr>
          <w:b/>
          <w:szCs w:val="22"/>
          <w:u w:val="single"/>
        </w:rPr>
      </w:pPr>
    </w:p>
    <w:p w:rsidR="009E640E" w:rsidRDefault="009E640E" w:rsidP="00EF7920">
      <w:pPr>
        <w:rPr>
          <w:b/>
          <w:szCs w:val="22"/>
          <w:u w:val="single"/>
        </w:rPr>
      </w:pPr>
    </w:p>
    <w:p w:rsidR="009E640E" w:rsidRDefault="007E661E" w:rsidP="00EF7920">
      <w:pPr>
        <w:rPr>
          <w:b/>
          <w:szCs w:val="22"/>
          <w:u w:val="single"/>
        </w:rPr>
      </w:pPr>
      <w:r w:rsidRPr="00577DCA">
        <w:rPr>
          <w:bCs/>
          <w:szCs w:val="22"/>
        </w:rPr>
        <w:t>IV.</w:t>
      </w:r>
      <w:r w:rsidRPr="00577DCA">
        <w:rPr>
          <w:bCs/>
          <w:szCs w:val="22"/>
        </w:rPr>
        <w:tab/>
      </w:r>
      <w:r w:rsidR="009E640E" w:rsidRPr="006F6951">
        <w:rPr>
          <w:rFonts w:eastAsia="SimSun"/>
          <w:szCs w:val="22"/>
        </w:rPr>
        <w:t>TECHNOLOGY AND I</w:t>
      </w:r>
      <w:r w:rsidR="009E640E">
        <w:rPr>
          <w:rFonts w:eastAsia="SimSun"/>
          <w:szCs w:val="22"/>
        </w:rPr>
        <w:t>NNOVATION SUPPORT CENTERS (TISCs)</w:t>
      </w:r>
    </w:p>
    <w:p w:rsidR="009E640E" w:rsidRPr="006F6951" w:rsidRDefault="009E640E" w:rsidP="00EF7920">
      <w:pPr>
        <w:rPr>
          <w:b/>
          <w:szCs w:val="22"/>
          <w:u w:val="single"/>
        </w:rPr>
      </w:pPr>
    </w:p>
    <w:p w:rsidR="00C95F13" w:rsidRPr="006F6951" w:rsidRDefault="0039510D" w:rsidP="00C95F13">
      <w:pPr>
        <w:tabs>
          <w:tab w:val="num" w:pos="0"/>
        </w:tabs>
        <w:spacing w:after="220"/>
        <w:rPr>
          <w:rFonts w:eastAsia="SimSun"/>
          <w:szCs w:val="22"/>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szCs w:val="22"/>
        </w:rPr>
        <w:t xml:space="preserve">WIPO in cooperation with national and regional industrial property offices supports the establishment and development of Technology and Innovation Support </w:t>
      </w:r>
      <w:proofErr w:type="gramStart"/>
      <w:r w:rsidR="00C95F13" w:rsidRPr="006F6951">
        <w:rPr>
          <w:rFonts w:eastAsia="SimSun"/>
          <w:szCs w:val="22"/>
        </w:rPr>
        <w:t>Centers ,</w:t>
      </w:r>
      <w:proofErr w:type="gramEnd"/>
      <w:r w:rsidR="00C95F13" w:rsidRPr="006F6951">
        <w:rPr>
          <w:rFonts w:eastAsia="SimSun"/>
          <w:szCs w:val="22"/>
        </w:rPr>
        <w:t xml:space="preserve"> which are designed to provide innovators in developing countries with access to locally based, high quality technology information services and other related services. </w:t>
      </w:r>
      <w:r w:rsidR="00BF178A">
        <w:rPr>
          <w:rFonts w:eastAsia="SimSun"/>
          <w:szCs w:val="22"/>
        </w:rPr>
        <w:t xml:space="preserve"> </w:t>
      </w:r>
      <w:r w:rsidR="00B94303">
        <w:rPr>
          <w:rFonts w:eastAsia="SimSun"/>
          <w:szCs w:val="22"/>
        </w:rPr>
        <w:t>To date there are 50 WIPO M</w:t>
      </w:r>
      <w:r w:rsidR="00C95F13" w:rsidRPr="006F6951">
        <w:rPr>
          <w:rFonts w:eastAsia="SimSun"/>
          <w:szCs w:val="22"/>
        </w:rPr>
        <w:t xml:space="preserve">ember States implementing </w:t>
      </w:r>
      <w:r w:rsidR="00BF178A">
        <w:rPr>
          <w:rFonts w:eastAsia="SimSun"/>
          <w:szCs w:val="22"/>
        </w:rPr>
        <w:t xml:space="preserve">a </w:t>
      </w:r>
      <w:r w:rsidR="00C95F13" w:rsidRPr="006F6951">
        <w:rPr>
          <w:rFonts w:eastAsia="SimSun"/>
          <w:szCs w:val="22"/>
        </w:rPr>
        <w:t xml:space="preserve">national project developing TISC networks and over 350 individual TISCs within these </w:t>
      </w:r>
      <w:proofErr w:type="gramStart"/>
      <w:r w:rsidR="00C95F13" w:rsidRPr="006F6951">
        <w:rPr>
          <w:rFonts w:eastAsia="SimSun"/>
          <w:szCs w:val="22"/>
        </w:rPr>
        <w:t>networks.</w:t>
      </w:r>
      <w:proofErr w:type="gramEnd"/>
      <w:r w:rsidR="00C95F13" w:rsidRPr="006F6951">
        <w:rPr>
          <w:rFonts w:eastAsia="SimSun"/>
          <w:szCs w:val="22"/>
        </w:rPr>
        <w:t xml:space="preserve">  </w:t>
      </w:r>
      <w:r w:rsidR="00C95F13" w:rsidRPr="006F6951">
        <w:rPr>
          <w:rFonts w:eastAsia="SimSun"/>
          <w:bCs/>
          <w:szCs w:val="22"/>
        </w:rPr>
        <w:t>For more information</w:t>
      </w:r>
      <w:r w:rsidR="00B73CC9">
        <w:rPr>
          <w:rFonts w:eastAsia="SimSun"/>
          <w:bCs/>
          <w:szCs w:val="22"/>
        </w:rPr>
        <w:t xml:space="preserve"> please consult the TISCs web</w:t>
      </w:r>
      <w:r w:rsidR="00C95F13" w:rsidRPr="006F6951">
        <w:rPr>
          <w:rFonts w:eastAsia="SimSun"/>
          <w:bCs/>
          <w:szCs w:val="22"/>
        </w:rPr>
        <w:t>site (</w:t>
      </w:r>
      <w:hyperlink r:id="rId13" w:tooltip="http://www.wipo.int/tisc" w:history="1">
        <w:r w:rsidR="00C95F13" w:rsidRPr="00076566">
          <w:rPr>
            <w:rFonts w:eastAsia="SimSun"/>
            <w:szCs w:val="22"/>
            <w:u w:val="single"/>
            <w:lang w:eastAsia="zh-CN"/>
          </w:rPr>
          <w:t>www.wipo.int/tisc</w:t>
        </w:r>
      </w:hyperlink>
      <w:r w:rsidR="00C95F13" w:rsidRPr="006F6951">
        <w:rPr>
          <w:rFonts w:eastAsia="SimSun"/>
          <w:szCs w:val="22"/>
          <w:lang w:eastAsia="zh-CN"/>
        </w:rPr>
        <w:t>).</w:t>
      </w:r>
    </w:p>
    <w:p w:rsidR="00C95F13" w:rsidRPr="006F6951" w:rsidRDefault="0039510D">
      <w:pPr>
        <w:tabs>
          <w:tab w:val="num" w:pos="0"/>
        </w:tabs>
        <w:spacing w:after="220"/>
        <w:rPr>
          <w:rFonts w:eastAsia="SimSun"/>
          <w:szCs w:val="22"/>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szCs w:val="22"/>
        </w:rPr>
        <w:t xml:space="preserve">To support the development of TISCs and raise awareness of </w:t>
      </w:r>
      <w:r w:rsidR="00AE556D">
        <w:rPr>
          <w:rFonts w:eastAsia="SimSun"/>
          <w:szCs w:val="22"/>
        </w:rPr>
        <w:t xml:space="preserve">IP </w:t>
      </w:r>
      <w:r w:rsidR="00C95F13" w:rsidRPr="006F6951">
        <w:rPr>
          <w:rFonts w:eastAsia="SimSun"/>
          <w:szCs w:val="22"/>
        </w:rPr>
        <w:t>and technology information among local stakeholders during the 2014/2015 biennium, 50 national planning and training events were organized on-site, focusing on accessing and effectively using patent and scientific and technical journal databases, as well as 10 sub-regional meetings organized promoting the sharing of best practices and experiences on a regional level.</w:t>
      </w:r>
    </w:p>
    <w:p w:rsidR="00C95F13" w:rsidRPr="006F6951" w:rsidRDefault="0039510D" w:rsidP="0039510D">
      <w:pPr>
        <w:tabs>
          <w:tab w:val="num" w:pos="0"/>
        </w:tabs>
        <w:rPr>
          <w:rFonts w:eastAsia="SimSun"/>
          <w:szCs w:val="22"/>
          <w:u w:val="single"/>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szCs w:val="22"/>
          <w:lang w:eastAsia="zh-CN"/>
        </w:rPr>
        <w:t xml:space="preserve">In order to further strengthen online training and encourage the exchange of experiences, the </w:t>
      </w:r>
      <w:r w:rsidR="006E40E9">
        <w:rPr>
          <w:rFonts w:eastAsia="SimSun"/>
          <w:szCs w:val="22"/>
          <w:lang w:eastAsia="zh-CN"/>
        </w:rPr>
        <w:t>“</w:t>
      </w:r>
      <w:proofErr w:type="spellStart"/>
      <w:r w:rsidR="00C95F13" w:rsidRPr="006F6951">
        <w:rPr>
          <w:rFonts w:eastAsia="SimSun"/>
          <w:szCs w:val="22"/>
          <w:lang w:eastAsia="zh-CN"/>
        </w:rPr>
        <w:t>eTISC</w:t>
      </w:r>
      <w:proofErr w:type="spellEnd"/>
      <w:r w:rsidR="006E40E9">
        <w:rPr>
          <w:rFonts w:eastAsia="SimSun"/>
          <w:szCs w:val="22"/>
          <w:lang w:eastAsia="zh-CN"/>
        </w:rPr>
        <w:t>”</w:t>
      </w:r>
      <w:r w:rsidR="00C95F13" w:rsidRPr="006F6951">
        <w:rPr>
          <w:rFonts w:eastAsia="SimSun"/>
          <w:szCs w:val="22"/>
          <w:lang w:eastAsia="zh-CN"/>
        </w:rPr>
        <w:t xml:space="preserve"> knowledge management platform provides social media tools and integrates new services aimed at reinforcing WIPO</w:t>
      </w:r>
      <w:r w:rsidR="006E40E9">
        <w:rPr>
          <w:rFonts w:eastAsia="SimSun"/>
          <w:szCs w:val="22"/>
          <w:lang w:eastAsia="zh-CN"/>
        </w:rPr>
        <w:t>’</w:t>
      </w:r>
      <w:r w:rsidR="00C95F13" w:rsidRPr="006F6951">
        <w:rPr>
          <w:rFonts w:eastAsia="SimSun"/>
          <w:szCs w:val="22"/>
          <w:lang w:eastAsia="zh-CN"/>
        </w:rPr>
        <w:t xml:space="preserve">s activities in supporting the development of TISCs worldwide, including specially targeted e-learning modules, tutorials and webinars. The TISC community of nearly 1,500 people can be joined online at </w:t>
      </w:r>
      <w:hyperlink r:id="rId14" w:history="1">
        <w:r w:rsidR="00C95F13" w:rsidRPr="00D52953">
          <w:rPr>
            <w:rFonts w:eastAsia="SimSun"/>
            <w:szCs w:val="22"/>
            <w:u w:val="single"/>
            <w:lang w:eastAsia="zh-CN"/>
          </w:rPr>
          <w:t>http://etisc.wipo.org</w:t>
        </w:r>
      </w:hyperlink>
      <w:r w:rsidR="00C95F13" w:rsidRPr="006F6951">
        <w:rPr>
          <w:rFonts w:eastAsia="SimSun"/>
          <w:szCs w:val="22"/>
          <w:u w:val="single"/>
          <w:lang w:eastAsia="zh-CN"/>
        </w:rPr>
        <w:t>.</w:t>
      </w:r>
    </w:p>
    <w:p w:rsidR="0039510D" w:rsidRPr="006F6951" w:rsidRDefault="0039510D" w:rsidP="0039510D">
      <w:pPr>
        <w:tabs>
          <w:tab w:val="num" w:pos="0"/>
        </w:tabs>
        <w:rPr>
          <w:rFonts w:eastAsia="SimSun"/>
          <w:szCs w:val="22"/>
          <w:u w:val="single"/>
          <w:lang w:eastAsia="zh-CN"/>
        </w:rPr>
      </w:pPr>
    </w:p>
    <w:p w:rsidR="00C95F13" w:rsidRDefault="0039510D" w:rsidP="00C95F13">
      <w:pPr>
        <w:tabs>
          <w:tab w:val="num" w:pos="0"/>
        </w:tabs>
        <w:spacing w:after="220"/>
        <w:rPr>
          <w:rFonts w:eastAsia="SimSun"/>
          <w:bCs/>
          <w:szCs w:val="22"/>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bCs/>
          <w:szCs w:val="22"/>
          <w:lang w:eastAsia="zh-CN"/>
        </w:rPr>
        <w:t xml:space="preserve">Moreover, new TISC Clinic services in conjunction with the Inventor Assistance Program (IAP) were launched in 2015 as pilot projects in Colombia and in Morocco, providing </w:t>
      </w:r>
      <w:r w:rsidR="00C95F13" w:rsidRPr="00D52953">
        <w:rPr>
          <w:rFonts w:eastAsia="SimSun"/>
          <w:bCs/>
          <w:i/>
          <w:iCs/>
          <w:szCs w:val="22"/>
          <w:lang w:eastAsia="zh-CN"/>
        </w:rPr>
        <w:t>pro bono</w:t>
      </w:r>
      <w:r w:rsidR="00C95F13" w:rsidRPr="006F6951">
        <w:rPr>
          <w:rFonts w:eastAsia="SimSun"/>
          <w:bCs/>
          <w:szCs w:val="22"/>
          <w:lang w:eastAsia="zh-CN"/>
        </w:rPr>
        <w:t xml:space="preserve"> legal assistance to eligible under-resourced inventors and small businesses.  </w:t>
      </w:r>
    </w:p>
    <w:p w:rsidR="009E640E" w:rsidRDefault="009E640E" w:rsidP="00C95F13">
      <w:pPr>
        <w:tabs>
          <w:tab w:val="num" w:pos="0"/>
        </w:tabs>
        <w:spacing w:after="220"/>
        <w:rPr>
          <w:rFonts w:eastAsia="SimSun"/>
          <w:bCs/>
          <w:szCs w:val="22"/>
          <w:lang w:eastAsia="zh-CN"/>
        </w:rPr>
      </w:pPr>
    </w:p>
    <w:p w:rsidR="007E661E" w:rsidRDefault="007E661E" w:rsidP="00C95F13">
      <w:pPr>
        <w:tabs>
          <w:tab w:val="num" w:pos="0"/>
        </w:tabs>
        <w:spacing w:after="220"/>
        <w:rPr>
          <w:rFonts w:eastAsia="SimSun"/>
          <w:bCs/>
          <w:szCs w:val="22"/>
          <w:lang w:eastAsia="zh-CN"/>
        </w:rPr>
      </w:pPr>
    </w:p>
    <w:p w:rsidR="009E640E" w:rsidRPr="00577DCA" w:rsidRDefault="009E640E" w:rsidP="00C95F13">
      <w:pPr>
        <w:tabs>
          <w:tab w:val="num" w:pos="0"/>
        </w:tabs>
        <w:spacing w:after="220"/>
        <w:rPr>
          <w:rFonts w:eastAsia="SimSun"/>
          <w:bCs/>
          <w:szCs w:val="22"/>
          <w:u w:val="single"/>
          <w:lang w:eastAsia="zh-CN"/>
        </w:rPr>
      </w:pPr>
      <w:r w:rsidRPr="00577DCA">
        <w:rPr>
          <w:rFonts w:eastAsia="SimSun"/>
          <w:bCs/>
          <w:szCs w:val="22"/>
          <w:u w:val="single"/>
          <w:lang w:val="en" w:eastAsia="zh-CN"/>
        </w:rPr>
        <w:t>Access to Research for Development and Innovation (</w:t>
      </w:r>
      <w:proofErr w:type="spellStart"/>
      <w:r w:rsidRPr="00577DCA">
        <w:rPr>
          <w:rFonts w:eastAsia="SimSun"/>
          <w:bCs/>
          <w:szCs w:val="22"/>
          <w:u w:val="single"/>
          <w:lang w:val="en" w:eastAsia="zh-CN"/>
        </w:rPr>
        <w:t>aRDi</w:t>
      </w:r>
      <w:proofErr w:type="spellEnd"/>
      <w:r w:rsidRPr="00577DCA">
        <w:rPr>
          <w:rFonts w:eastAsia="SimSun"/>
          <w:bCs/>
          <w:szCs w:val="22"/>
          <w:u w:val="single"/>
          <w:lang w:val="en" w:eastAsia="zh-CN"/>
        </w:rPr>
        <w:t>)</w:t>
      </w:r>
    </w:p>
    <w:p w:rsidR="00C95F13" w:rsidRDefault="006F6951" w:rsidP="00AE556D">
      <w:pPr>
        <w:tabs>
          <w:tab w:val="num" w:pos="0"/>
        </w:tabs>
        <w:spacing w:after="220"/>
        <w:rPr>
          <w:rFonts w:eastAsia="SimSun"/>
          <w:bCs/>
          <w:szCs w:val="22"/>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bCs/>
          <w:szCs w:val="22"/>
          <w:lang w:eastAsia="zh-CN"/>
        </w:rPr>
        <w:t>Two public-private partnership programs facilitate access to subscription based databases.</w:t>
      </w:r>
      <w:r w:rsidR="00BF178A">
        <w:rPr>
          <w:rFonts w:eastAsia="SimSun"/>
          <w:bCs/>
          <w:szCs w:val="22"/>
          <w:lang w:eastAsia="zh-CN"/>
        </w:rPr>
        <w:t xml:space="preserve"> </w:t>
      </w:r>
      <w:r w:rsidR="00C95F13" w:rsidRPr="006F6951">
        <w:rPr>
          <w:rFonts w:eastAsia="SimSun"/>
          <w:bCs/>
          <w:szCs w:val="22"/>
          <w:lang w:eastAsia="zh-CN"/>
        </w:rPr>
        <w:t xml:space="preserve"> </w:t>
      </w:r>
      <w:r w:rsidR="00C95F13" w:rsidRPr="006F6951">
        <w:rPr>
          <w:rFonts w:eastAsia="SimSun"/>
          <w:bCs/>
          <w:szCs w:val="22"/>
          <w:lang w:val="en" w:eastAsia="zh-CN"/>
        </w:rPr>
        <w:t xml:space="preserve">The Access to Research for Development and Innovation program provides access to scientific and technical information in developing countries.  By improving access to scholarly literature from diverse fields of science and technology, the </w:t>
      </w:r>
      <w:proofErr w:type="spellStart"/>
      <w:r w:rsidR="00AE556D" w:rsidRPr="006F6951">
        <w:rPr>
          <w:rFonts w:eastAsia="SimSun"/>
          <w:bCs/>
          <w:szCs w:val="22"/>
          <w:lang w:val="en" w:eastAsia="zh-CN"/>
        </w:rPr>
        <w:t>aRDi</w:t>
      </w:r>
      <w:proofErr w:type="spellEnd"/>
      <w:r w:rsidR="00C95F13" w:rsidRPr="006F6951">
        <w:rPr>
          <w:rFonts w:eastAsia="SimSun"/>
          <w:bCs/>
          <w:szCs w:val="22"/>
          <w:lang w:val="en" w:eastAsia="zh-CN"/>
        </w:rPr>
        <w:t xml:space="preserve"> program seeks to reinforce the capacity of developing countries to participate in the global knowledge economy and to support researchers in developing countries in creating and developing new solutions to technical challenges faced on a local and global level.</w:t>
      </w:r>
      <w:r w:rsidR="00BF178A">
        <w:rPr>
          <w:rFonts w:eastAsia="SimSun"/>
          <w:bCs/>
          <w:szCs w:val="22"/>
          <w:lang w:val="en" w:eastAsia="zh-CN"/>
        </w:rPr>
        <w:t xml:space="preserve"> </w:t>
      </w:r>
      <w:r w:rsidR="00C95F13" w:rsidRPr="006F6951">
        <w:rPr>
          <w:rFonts w:eastAsia="SimSun"/>
          <w:bCs/>
          <w:szCs w:val="22"/>
          <w:lang w:eastAsia="zh-CN"/>
        </w:rPr>
        <w:t xml:space="preserve"> </w:t>
      </w:r>
      <w:proofErr w:type="spellStart"/>
      <w:proofErr w:type="gramStart"/>
      <w:r w:rsidR="00AE556D" w:rsidRPr="006F6951">
        <w:rPr>
          <w:rFonts w:eastAsia="SimSun"/>
          <w:bCs/>
          <w:szCs w:val="22"/>
          <w:lang w:val="en" w:eastAsia="zh-CN"/>
        </w:rPr>
        <w:t>aRDi</w:t>
      </w:r>
      <w:proofErr w:type="spellEnd"/>
      <w:proofErr w:type="gramEnd"/>
      <w:r w:rsidR="00C95F13" w:rsidRPr="006F6951">
        <w:rPr>
          <w:rFonts w:eastAsia="SimSun"/>
          <w:bCs/>
          <w:szCs w:val="22"/>
          <w:lang w:eastAsia="zh-CN"/>
        </w:rPr>
        <w:t xml:space="preserve"> offers access to over 25,000 peer-reviewed scientific and technical journals and e-books, with over 550 user institutions registered at the end of 2015. </w:t>
      </w:r>
      <w:r w:rsidR="00BF178A">
        <w:rPr>
          <w:rFonts w:eastAsia="SimSun"/>
          <w:bCs/>
          <w:szCs w:val="22"/>
          <w:lang w:eastAsia="zh-CN"/>
        </w:rPr>
        <w:t xml:space="preserve"> </w:t>
      </w:r>
      <w:r w:rsidR="00C95F13" w:rsidRPr="006F6951">
        <w:rPr>
          <w:rFonts w:eastAsia="SimSun"/>
          <w:bCs/>
          <w:szCs w:val="22"/>
          <w:lang w:eastAsia="zh-CN"/>
        </w:rPr>
        <w:t>For more informat</w:t>
      </w:r>
      <w:r w:rsidR="00B73CC9">
        <w:rPr>
          <w:rFonts w:eastAsia="SimSun"/>
          <w:bCs/>
          <w:szCs w:val="22"/>
          <w:lang w:eastAsia="zh-CN"/>
        </w:rPr>
        <w:t xml:space="preserve">ion please consult the </w:t>
      </w:r>
      <w:proofErr w:type="spellStart"/>
      <w:r w:rsidR="00AE556D" w:rsidRPr="006F6951">
        <w:rPr>
          <w:rFonts w:eastAsia="SimSun"/>
          <w:bCs/>
          <w:szCs w:val="22"/>
          <w:lang w:val="en" w:eastAsia="zh-CN"/>
        </w:rPr>
        <w:t>aRDi</w:t>
      </w:r>
      <w:proofErr w:type="spellEnd"/>
      <w:r w:rsidR="00B73CC9">
        <w:rPr>
          <w:rFonts w:eastAsia="SimSun"/>
          <w:bCs/>
          <w:szCs w:val="22"/>
          <w:lang w:eastAsia="zh-CN"/>
        </w:rPr>
        <w:t xml:space="preserve"> web</w:t>
      </w:r>
      <w:r w:rsidR="00C95F13" w:rsidRPr="006F6951">
        <w:rPr>
          <w:rFonts w:eastAsia="SimSun"/>
          <w:bCs/>
          <w:szCs w:val="22"/>
          <w:lang w:eastAsia="zh-CN"/>
        </w:rPr>
        <w:t>site (</w:t>
      </w:r>
      <w:hyperlink r:id="rId15" w:tooltip="http://www.wipo.int/ardi" w:history="1">
        <w:r w:rsidR="00C95F13" w:rsidRPr="00D52953">
          <w:rPr>
            <w:rFonts w:eastAsia="SimSun"/>
            <w:bCs/>
            <w:szCs w:val="22"/>
            <w:u w:val="single"/>
            <w:lang w:eastAsia="zh-CN"/>
          </w:rPr>
          <w:t>www.wipo.int/ardi</w:t>
        </w:r>
      </w:hyperlink>
      <w:r w:rsidR="00C95F13" w:rsidRPr="006F6951">
        <w:rPr>
          <w:rFonts w:eastAsia="SimSun"/>
          <w:bCs/>
          <w:szCs w:val="22"/>
          <w:lang w:eastAsia="zh-CN"/>
        </w:rPr>
        <w:t xml:space="preserve">). </w:t>
      </w:r>
      <w:r w:rsidR="00BF178A">
        <w:rPr>
          <w:rFonts w:eastAsia="SimSun"/>
          <w:bCs/>
          <w:szCs w:val="22"/>
          <w:lang w:eastAsia="zh-CN"/>
        </w:rPr>
        <w:t xml:space="preserve"> </w:t>
      </w:r>
      <w:proofErr w:type="spellStart"/>
      <w:proofErr w:type="gramStart"/>
      <w:r w:rsidR="00AE556D" w:rsidRPr="006F6951">
        <w:rPr>
          <w:rFonts w:eastAsia="SimSun"/>
          <w:bCs/>
          <w:szCs w:val="22"/>
          <w:lang w:val="en" w:eastAsia="zh-CN"/>
        </w:rPr>
        <w:t>aRDi</w:t>
      </w:r>
      <w:proofErr w:type="spellEnd"/>
      <w:proofErr w:type="gramEnd"/>
      <w:r w:rsidR="00AE556D" w:rsidRPr="006F6951" w:rsidDel="00AE556D">
        <w:rPr>
          <w:rFonts w:eastAsia="SimSun"/>
          <w:bCs/>
          <w:szCs w:val="22"/>
          <w:lang w:eastAsia="zh-CN"/>
        </w:rPr>
        <w:t xml:space="preserve"> </w:t>
      </w:r>
      <w:r w:rsidR="00C95F13" w:rsidRPr="006F6951">
        <w:rPr>
          <w:rFonts w:eastAsia="SimSun"/>
          <w:bCs/>
          <w:szCs w:val="22"/>
          <w:lang w:eastAsia="zh-CN"/>
        </w:rPr>
        <w:t xml:space="preserve">is a member since 2011 of the Research4Life (R4L) partnership, which includes </w:t>
      </w:r>
      <w:r w:rsidR="00AE556D">
        <w:rPr>
          <w:rFonts w:eastAsia="SimSun"/>
          <w:bCs/>
          <w:szCs w:val="22"/>
          <w:lang w:eastAsia="zh-CN"/>
        </w:rPr>
        <w:t>the World Health Organization’s (</w:t>
      </w:r>
      <w:r w:rsidR="00C95F13" w:rsidRPr="006F6951">
        <w:rPr>
          <w:rFonts w:eastAsia="SimSun"/>
          <w:bCs/>
          <w:szCs w:val="22"/>
          <w:lang w:eastAsia="zh-CN"/>
        </w:rPr>
        <w:t>WHO</w:t>
      </w:r>
      <w:r w:rsidR="00EB14A5">
        <w:rPr>
          <w:rFonts w:eastAsia="SimSun"/>
          <w:bCs/>
          <w:szCs w:val="22"/>
          <w:lang w:eastAsia="zh-CN"/>
        </w:rPr>
        <w:t>)</w:t>
      </w:r>
      <w:r w:rsidR="00C95F13" w:rsidRPr="006F6951">
        <w:rPr>
          <w:rFonts w:eastAsia="SimSun"/>
          <w:bCs/>
          <w:szCs w:val="22"/>
          <w:lang w:eastAsia="zh-CN"/>
        </w:rPr>
        <w:t xml:space="preserve"> HINARI program focusing on biomedical and health journals, </w:t>
      </w:r>
      <w:r w:rsidR="00D52953">
        <w:rPr>
          <w:rFonts w:eastAsia="SimSun"/>
          <w:bCs/>
          <w:lang w:eastAsia="zh-CN"/>
        </w:rPr>
        <w:t>the Food and Agriculture Organization of the United Nations (FAO)</w:t>
      </w:r>
      <w:r w:rsidR="006E40E9">
        <w:rPr>
          <w:rFonts w:eastAsia="SimSun"/>
          <w:bCs/>
          <w:lang w:eastAsia="zh-CN"/>
        </w:rPr>
        <w:t>’</w:t>
      </w:r>
      <w:r w:rsidR="00E2699E">
        <w:rPr>
          <w:rFonts w:eastAsia="SimSun"/>
          <w:bCs/>
          <w:lang w:eastAsia="zh-CN"/>
        </w:rPr>
        <w:t>s</w:t>
      </w:r>
      <w:r w:rsidR="00C95F13" w:rsidRPr="006F6951">
        <w:rPr>
          <w:rFonts w:eastAsia="SimSun"/>
          <w:bCs/>
          <w:szCs w:val="22"/>
          <w:lang w:eastAsia="zh-CN"/>
        </w:rPr>
        <w:t xml:space="preserve"> AGORA program for agriculture based journals, and </w:t>
      </w:r>
      <w:r w:rsidR="00E2699E">
        <w:rPr>
          <w:rFonts w:eastAsia="SimSun"/>
          <w:bCs/>
          <w:szCs w:val="22"/>
          <w:lang w:eastAsia="zh-CN"/>
        </w:rPr>
        <w:t xml:space="preserve">the United Nations Environment </w:t>
      </w:r>
      <w:proofErr w:type="spellStart"/>
      <w:r w:rsidR="00E2699E">
        <w:rPr>
          <w:rFonts w:eastAsia="SimSun"/>
          <w:bCs/>
          <w:szCs w:val="22"/>
          <w:lang w:eastAsia="zh-CN"/>
        </w:rPr>
        <w:t>Programme</w:t>
      </w:r>
      <w:proofErr w:type="spellEnd"/>
      <w:r w:rsidR="00E2699E">
        <w:rPr>
          <w:rFonts w:eastAsia="SimSun"/>
          <w:bCs/>
          <w:szCs w:val="22"/>
          <w:lang w:eastAsia="zh-CN"/>
        </w:rPr>
        <w:t xml:space="preserve"> (</w:t>
      </w:r>
      <w:r w:rsidR="00C95F13" w:rsidRPr="006F6951">
        <w:rPr>
          <w:rFonts w:eastAsia="SimSun"/>
          <w:bCs/>
          <w:szCs w:val="22"/>
          <w:lang w:eastAsia="zh-CN"/>
        </w:rPr>
        <w:t>UNEP</w:t>
      </w:r>
      <w:r w:rsidR="00E2699E">
        <w:rPr>
          <w:rFonts w:eastAsia="SimSun"/>
          <w:bCs/>
          <w:szCs w:val="22"/>
          <w:lang w:eastAsia="zh-CN"/>
        </w:rPr>
        <w:t>)</w:t>
      </w:r>
      <w:r w:rsidR="006E40E9">
        <w:rPr>
          <w:rFonts w:eastAsia="SimSun"/>
          <w:bCs/>
          <w:szCs w:val="22"/>
          <w:lang w:eastAsia="zh-CN"/>
        </w:rPr>
        <w:t>’</w:t>
      </w:r>
      <w:r w:rsidR="00C95F13" w:rsidRPr="006F6951">
        <w:rPr>
          <w:rFonts w:eastAsia="SimSun"/>
          <w:bCs/>
          <w:szCs w:val="22"/>
          <w:lang w:eastAsia="zh-CN"/>
        </w:rPr>
        <w:t xml:space="preserve">s OARE program on environmental issues. </w:t>
      </w:r>
    </w:p>
    <w:p w:rsidR="003B22EC" w:rsidRDefault="003B22EC" w:rsidP="00AE556D">
      <w:pPr>
        <w:tabs>
          <w:tab w:val="num" w:pos="0"/>
        </w:tabs>
        <w:spacing w:after="220"/>
        <w:rPr>
          <w:rFonts w:eastAsia="SimSun"/>
          <w:bCs/>
          <w:szCs w:val="22"/>
          <w:lang w:eastAsia="zh-CN"/>
        </w:rPr>
      </w:pPr>
    </w:p>
    <w:p w:rsidR="003B22EC" w:rsidRPr="00577DCA" w:rsidRDefault="003B22EC" w:rsidP="00AE556D">
      <w:pPr>
        <w:tabs>
          <w:tab w:val="num" w:pos="0"/>
        </w:tabs>
        <w:spacing w:after="220"/>
        <w:rPr>
          <w:rFonts w:eastAsia="SimSun"/>
          <w:bCs/>
          <w:szCs w:val="22"/>
          <w:u w:val="single"/>
          <w:lang w:eastAsia="zh-CN"/>
        </w:rPr>
      </w:pPr>
      <w:r w:rsidRPr="00577DCA">
        <w:rPr>
          <w:rFonts w:eastAsia="SimSun"/>
          <w:bCs/>
          <w:szCs w:val="22"/>
          <w:u w:val="single"/>
          <w:lang w:eastAsia="zh-CN"/>
        </w:rPr>
        <w:t>Access to Specialized Patent Information (ASPI)</w:t>
      </w:r>
    </w:p>
    <w:p w:rsidR="00C95F13" w:rsidRPr="006F6951" w:rsidRDefault="006F6951">
      <w:pPr>
        <w:tabs>
          <w:tab w:val="num" w:pos="0"/>
        </w:tabs>
        <w:spacing w:after="220"/>
        <w:rPr>
          <w:rFonts w:eastAsia="SimSun"/>
          <w:bCs/>
          <w:szCs w:val="22"/>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bCs/>
          <w:szCs w:val="22"/>
          <w:lang w:eastAsia="zh-CN"/>
        </w:rPr>
        <w:t>The Access to Specialized Patent Information</w:t>
      </w:r>
      <w:r w:rsidR="00BF178A">
        <w:rPr>
          <w:rFonts w:eastAsia="SimSun"/>
          <w:bCs/>
          <w:szCs w:val="22"/>
          <w:lang w:eastAsia="zh-CN"/>
        </w:rPr>
        <w:t xml:space="preserve"> program is similarly a public</w:t>
      </w:r>
      <w:r w:rsidR="00BF178A">
        <w:rPr>
          <w:rFonts w:eastAsia="SimSun"/>
          <w:bCs/>
          <w:szCs w:val="22"/>
          <w:lang w:eastAsia="zh-CN"/>
        </w:rPr>
        <w:noBreakHyphen/>
      </w:r>
      <w:r w:rsidR="00C95F13" w:rsidRPr="006F6951">
        <w:rPr>
          <w:rFonts w:eastAsia="SimSun"/>
          <w:bCs/>
          <w:szCs w:val="22"/>
          <w:lang w:eastAsia="zh-CN"/>
        </w:rPr>
        <w:t>private partnership with the world</w:t>
      </w:r>
      <w:r w:rsidR="006E40E9">
        <w:rPr>
          <w:rFonts w:eastAsia="SimSun"/>
          <w:bCs/>
          <w:szCs w:val="22"/>
          <w:lang w:eastAsia="zh-CN"/>
        </w:rPr>
        <w:t>’</w:t>
      </w:r>
      <w:r w:rsidR="00C95F13" w:rsidRPr="006F6951">
        <w:rPr>
          <w:rFonts w:eastAsia="SimSun"/>
          <w:bCs/>
          <w:szCs w:val="22"/>
          <w:lang w:eastAsia="zh-CN"/>
        </w:rPr>
        <w:t xml:space="preserve">s major commercial patent database vendors, and provides access to more advanced and sophisticated search and analysis tools for use by institutions in </w:t>
      </w:r>
      <w:r w:rsidR="00EB14A5">
        <w:rPr>
          <w:rFonts w:eastAsia="SimSun"/>
          <w:bCs/>
          <w:szCs w:val="22"/>
          <w:lang w:eastAsia="zh-CN"/>
        </w:rPr>
        <w:t>LDCs</w:t>
      </w:r>
      <w:r w:rsidR="00C95F13" w:rsidRPr="006F6951">
        <w:rPr>
          <w:rFonts w:eastAsia="SimSun"/>
          <w:bCs/>
          <w:szCs w:val="22"/>
          <w:lang w:eastAsia="zh-CN"/>
        </w:rPr>
        <w:t>.</w:t>
      </w:r>
      <w:r w:rsidR="00BF178A">
        <w:rPr>
          <w:rFonts w:eastAsia="SimSun"/>
          <w:bCs/>
          <w:szCs w:val="22"/>
          <w:lang w:eastAsia="zh-CN"/>
        </w:rPr>
        <w:t xml:space="preserve"> </w:t>
      </w:r>
      <w:r w:rsidR="00C95F13" w:rsidRPr="006F6951">
        <w:rPr>
          <w:rFonts w:eastAsia="SimSun"/>
          <w:bCs/>
          <w:szCs w:val="22"/>
          <w:lang w:eastAsia="zh-CN"/>
        </w:rPr>
        <w:t xml:space="preserve"> The number of institutional users is also steadily increasing to over 50.  For more information pl</w:t>
      </w:r>
      <w:r w:rsidR="00B73CC9">
        <w:rPr>
          <w:rFonts w:eastAsia="SimSun"/>
          <w:bCs/>
          <w:szCs w:val="22"/>
          <w:lang w:eastAsia="zh-CN"/>
        </w:rPr>
        <w:t>ease see the ASPI web</w:t>
      </w:r>
      <w:r w:rsidR="00C95F13" w:rsidRPr="006F6951">
        <w:rPr>
          <w:rFonts w:eastAsia="SimSun"/>
          <w:bCs/>
          <w:szCs w:val="22"/>
          <w:lang w:eastAsia="zh-CN"/>
        </w:rPr>
        <w:t>site (</w:t>
      </w:r>
      <w:hyperlink r:id="rId16" w:history="1">
        <w:r w:rsidR="00C95F13" w:rsidRPr="00E2699E">
          <w:rPr>
            <w:rFonts w:eastAsia="SimSun"/>
            <w:bCs/>
            <w:szCs w:val="22"/>
            <w:u w:val="single"/>
            <w:lang w:eastAsia="zh-CN"/>
          </w:rPr>
          <w:t>www.wipo.int/aspi</w:t>
        </w:r>
      </w:hyperlink>
      <w:r w:rsidR="00C95F13" w:rsidRPr="006F6951">
        <w:rPr>
          <w:rFonts w:eastAsia="SimSun"/>
          <w:bCs/>
          <w:szCs w:val="22"/>
          <w:lang w:eastAsia="zh-CN"/>
        </w:rPr>
        <w:t>).</w:t>
      </w:r>
    </w:p>
    <w:p w:rsidR="00C95F13" w:rsidRPr="006F6951" w:rsidRDefault="006F6951" w:rsidP="00BF178A">
      <w:pPr>
        <w:tabs>
          <w:tab w:val="num" w:pos="0"/>
        </w:tabs>
        <w:rPr>
          <w:rFonts w:eastAsia="SimSun"/>
          <w:bCs/>
          <w:szCs w:val="22"/>
          <w:lang w:eastAsia="zh-CN"/>
        </w:rPr>
      </w:pPr>
      <w:r w:rsidRPr="006F6951">
        <w:rPr>
          <w:szCs w:val="22"/>
        </w:rPr>
        <w:fldChar w:fldCharType="begin"/>
      </w:r>
      <w:r w:rsidRPr="006F6951">
        <w:rPr>
          <w:szCs w:val="22"/>
        </w:rPr>
        <w:instrText xml:space="preserve"> AUTONUM  </w:instrText>
      </w:r>
      <w:r w:rsidRPr="006F6951">
        <w:rPr>
          <w:szCs w:val="22"/>
        </w:rPr>
        <w:fldChar w:fldCharType="end"/>
      </w:r>
      <w:r w:rsidRPr="006F6951">
        <w:rPr>
          <w:szCs w:val="22"/>
        </w:rPr>
        <w:tab/>
      </w:r>
      <w:r w:rsidR="00C95F13" w:rsidRPr="006F6951">
        <w:rPr>
          <w:rFonts w:eastAsia="SimSun"/>
          <w:bCs/>
          <w:szCs w:val="22"/>
          <w:lang w:eastAsia="zh-CN"/>
        </w:rPr>
        <w:t xml:space="preserve">Patent Landscape Reports (PLRs) provide a comprehensive overview and analysis of the innovation and patenting activity in a specific technological field, globally or in a specific geographical area. </w:t>
      </w:r>
      <w:r w:rsidR="00BF178A">
        <w:rPr>
          <w:rFonts w:eastAsia="SimSun"/>
          <w:bCs/>
          <w:szCs w:val="22"/>
          <w:lang w:eastAsia="zh-CN"/>
        </w:rPr>
        <w:t xml:space="preserve"> </w:t>
      </w:r>
      <w:r w:rsidR="00C95F13" w:rsidRPr="006F6951">
        <w:rPr>
          <w:rFonts w:eastAsia="SimSun"/>
          <w:bCs/>
          <w:szCs w:val="22"/>
          <w:lang w:eastAsia="zh-CN"/>
        </w:rPr>
        <w:t>The results are presented and analyzed in a comprehensive manner and are visualized through graphs and statistics with the help of various analytical tools.  New patent landscape reports were published in 2014 on Animal Genetic Resources, Selected Neglected Diseases and on Assistive Devices for Visually Impaired Persons, the latter also produced in an accessible format for print disabled persons.</w:t>
      </w:r>
      <w:r w:rsidR="00BF178A">
        <w:rPr>
          <w:rFonts w:eastAsia="SimSun"/>
          <w:bCs/>
          <w:szCs w:val="22"/>
          <w:lang w:eastAsia="zh-CN"/>
        </w:rPr>
        <w:t xml:space="preserve"> </w:t>
      </w:r>
      <w:r w:rsidR="00B94303">
        <w:rPr>
          <w:rFonts w:eastAsia="SimSun"/>
          <w:bCs/>
          <w:szCs w:val="22"/>
          <w:lang w:eastAsia="zh-CN"/>
        </w:rPr>
        <w:t xml:space="preserve"> The reports were presented to Member S</w:t>
      </w:r>
      <w:r w:rsidR="00C95F13" w:rsidRPr="006F6951">
        <w:rPr>
          <w:rFonts w:eastAsia="SimSun"/>
          <w:bCs/>
          <w:szCs w:val="22"/>
          <w:lang w:eastAsia="zh-CN"/>
        </w:rPr>
        <w:t>tates at promotional events with additional infographics summarizing the key findings of these reports.</w:t>
      </w:r>
      <w:r w:rsidR="00BF178A">
        <w:rPr>
          <w:rFonts w:eastAsia="SimSun"/>
          <w:bCs/>
          <w:szCs w:val="22"/>
          <w:lang w:eastAsia="zh-CN"/>
        </w:rPr>
        <w:t xml:space="preserve"> </w:t>
      </w:r>
      <w:r w:rsidR="00C95F13" w:rsidRPr="006F6951">
        <w:rPr>
          <w:rFonts w:eastAsia="SimSun"/>
          <w:bCs/>
          <w:szCs w:val="22"/>
          <w:lang w:eastAsia="zh-CN"/>
        </w:rPr>
        <w:t xml:space="preserve"> Two new patent landscape reports were drafted in 2015 on Technologies Related to Palm Oil Production, Waste Treatment and Exploitation, and on Technologies Related to Algae, in response to </w:t>
      </w:r>
      <w:r w:rsidR="00B94303">
        <w:rPr>
          <w:rFonts w:eastAsia="SimSun"/>
          <w:bCs/>
          <w:szCs w:val="22"/>
          <w:lang w:eastAsia="zh-CN"/>
        </w:rPr>
        <w:t>specific requests and needs of Member S</w:t>
      </w:r>
      <w:r w:rsidR="00C95F13" w:rsidRPr="006F6951">
        <w:rPr>
          <w:rFonts w:eastAsia="SimSun"/>
          <w:bCs/>
          <w:szCs w:val="22"/>
          <w:lang w:eastAsia="zh-CN"/>
        </w:rPr>
        <w:t xml:space="preserve">tates working in these technologies. </w:t>
      </w:r>
      <w:r w:rsidR="00BF178A">
        <w:rPr>
          <w:rFonts w:eastAsia="SimSun"/>
          <w:bCs/>
          <w:szCs w:val="22"/>
          <w:lang w:eastAsia="zh-CN"/>
        </w:rPr>
        <w:t xml:space="preserve"> </w:t>
      </w:r>
      <w:r w:rsidR="00C95F13" w:rsidRPr="006F6951">
        <w:rPr>
          <w:rFonts w:eastAsia="SimSun"/>
          <w:bCs/>
          <w:szCs w:val="22"/>
          <w:lang w:eastAsia="zh-CN"/>
        </w:rPr>
        <w:t>Moreover, Guidelines for Preparing PLRs were published in August 2015, while a Manual on Open Source and Free Tools for Patent Analytics has been finalized and will be published in early 2016.</w:t>
      </w:r>
      <w:r w:rsidR="00BF178A">
        <w:rPr>
          <w:rFonts w:eastAsia="SimSun"/>
          <w:bCs/>
          <w:szCs w:val="22"/>
          <w:lang w:eastAsia="zh-CN"/>
        </w:rPr>
        <w:t xml:space="preserve"> </w:t>
      </w:r>
      <w:r w:rsidR="00C95F13" w:rsidRPr="006F6951">
        <w:rPr>
          <w:rFonts w:eastAsia="SimSun"/>
          <w:bCs/>
          <w:szCs w:val="22"/>
          <w:lang w:eastAsia="zh-CN"/>
        </w:rPr>
        <w:t xml:space="preserve"> Further details on all aspects of PLRs can be found at: </w:t>
      </w:r>
      <w:r w:rsidR="00E2699E">
        <w:rPr>
          <w:rFonts w:eastAsia="SimSun"/>
          <w:bCs/>
          <w:szCs w:val="22"/>
          <w:lang w:eastAsia="zh-CN"/>
        </w:rPr>
        <w:t xml:space="preserve"> </w:t>
      </w:r>
      <w:hyperlink r:id="rId17" w:history="1">
        <w:r w:rsidR="00C95F13" w:rsidRPr="00E2699E">
          <w:rPr>
            <w:rFonts w:eastAsia="SimSun"/>
            <w:bCs/>
            <w:szCs w:val="22"/>
            <w:u w:val="single"/>
            <w:lang w:eastAsia="zh-CN"/>
          </w:rPr>
          <w:t>http://www.wipo.int/patentscope/en/programs/patent_landscapes/index.html</w:t>
        </w:r>
      </w:hyperlink>
    </w:p>
    <w:p w:rsidR="007105FD" w:rsidRDefault="007105FD" w:rsidP="00EF7920">
      <w:pPr>
        <w:rPr>
          <w:b/>
          <w:szCs w:val="22"/>
          <w:u w:val="single"/>
        </w:rPr>
      </w:pPr>
    </w:p>
    <w:p w:rsidR="00BD5720" w:rsidRDefault="009D4FEC" w:rsidP="00BD5720">
      <w:pPr>
        <w:tabs>
          <w:tab w:val="num" w:pos="0"/>
        </w:tabs>
        <w:spacing w:after="220"/>
        <w:rPr>
          <w:rFonts w:eastAsia="SimSun"/>
          <w:bCs/>
          <w:lang w:eastAsia="zh-CN"/>
        </w:rPr>
      </w:pPr>
      <w:r>
        <w:rPr>
          <w:rFonts w:eastAsia="SimSun"/>
          <w:bCs/>
          <w:lang w:eastAsia="zh-CN"/>
        </w:rPr>
        <w:t>20.</w:t>
      </w:r>
      <w:r>
        <w:rPr>
          <w:rFonts w:eastAsia="SimSun"/>
          <w:bCs/>
          <w:lang w:eastAsia="zh-CN"/>
        </w:rPr>
        <w:tab/>
      </w:r>
      <w:r w:rsidR="00BD5720">
        <w:rPr>
          <w:rFonts w:eastAsia="SimSun"/>
          <w:bCs/>
          <w:lang w:eastAsia="zh-CN"/>
        </w:rPr>
        <w:t xml:space="preserve">Next to the establishment of organizational structures offering capacity building and support services promoting technology transfer, WIPO provides on demand to its Member States also specific data which supports technology transfer-related decisions.  </w:t>
      </w:r>
      <w:r w:rsidR="00BD5720" w:rsidRPr="00C95F13">
        <w:rPr>
          <w:rFonts w:eastAsia="SimSun"/>
          <w:bCs/>
          <w:lang w:eastAsia="zh-CN"/>
        </w:rPr>
        <w:t>Patent Landscape Reports (PLRs) provide a</w:t>
      </w:r>
      <w:r w:rsidR="00BD5720">
        <w:rPr>
          <w:rFonts w:eastAsia="SimSun"/>
          <w:bCs/>
          <w:lang w:eastAsia="zh-CN"/>
        </w:rPr>
        <w:t>n</w:t>
      </w:r>
      <w:r w:rsidR="00BD5720" w:rsidRPr="00C95F13">
        <w:rPr>
          <w:rFonts w:eastAsia="SimSun"/>
          <w:bCs/>
          <w:lang w:eastAsia="zh-CN"/>
        </w:rPr>
        <w:t xml:space="preserve"> overview </w:t>
      </w:r>
      <w:r w:rsidR="00BD5720">
        <w:rPr>
          <w:rFonts w:eastAsia="SimSun"/>
          <w:bCs/>
          <w:lang w:eastAsia="zh-CN"/>
        </w:rPr>
        <w:t>of</w:t>
      </w:r>
      <w:r w:rsidR="00BD5720" w:rsidRPr="00C95F13">
        <w:rPr>
          <w:rFonts w:eastAsia="SimSun"/>
          <w:bCs/>
          <w:lang w:eastAsia="zh-CN"/>
        </w:rPr>
        <w:t xml:space="preserve"> </w:t>
      </w:r>
      <w:r w:rsidR="00BD5720">
        <w:rPr>
          <w:rFonts w:eastAsia="SimSun"/>
          <w:bCs/>
          <w:lang w:eastAsia="zh-CN"/>
        </w:rPr>
        <w:t>innovation trends,</w:t>
      </w:r>
      <w:r w:rsidR="00BD5720" w:rsidRPr="00C95F13">
        <w:rPr>
          <w:rFonts w:eastAsia="SimSun"/>
          <w:bCs/>
          <w:lang w:eastAsia="zh-CN"/>
        </w:rPr>
        <w:t xml:space="preserve"> patenting </w:t>
      </w:r>
      <w:r w:rsidR="00BD5720">
        <w:rPr>
          <w:rFonts w:eastAsia="SimSun"/>
          <w:bCs/>
          <w:lang w:eastAsia="zh-CN"/>
        </w:rPr>
        <w:t>activity, key players, and the geographical distribution</w:t>
      </w:r>
      <w:r w:rsidR="00BD5720" w:rsidRPr="00C95F13">
        <w:rPr>
          <w:rFonts w:eastAsia="SimSun"/>
          <w:bCs/>
          <w:lang w:eastAsia="zh-CN"/>
        </w:rPr>
        <w:t xml:space="preserve"> </w:t>
      </w:r>
      <w:r w:rsidR="00BD5720">
        <w:rPr>
          <w:rFonts w:eastAsia="SimSun"/>
          <w:bCs/>
          <w:lang w:eastAsia="zh-CN"/>
        </w:rPr>
        <w:t xml:space="preserve">of patent protection </w:t>
      </w:r>
      <w:r w:rsidR="00BD5720" w:rsidRPr="00C95F13">
        <w:rPr>
          <w:rFonts w:eastAsia="SimSun"/>
          <w:bCs/>
          <w:lang w:eastAsia="zh-CN"/>
        </w:rPr>
        <w:t xml:space="preserve">in a specific technological field, globally or in a specific geographical area. </w:t>
      </w:r>
      <w:r w:rsidR="00BD5720">
        <w:rPr>
          <w:rFonts w:eastAsia="SimSun"/>
          <w:bCs/>
          <w:lang w:eastAsia="zh-CN"/>
        </w:rPr>
        <w:t xml:space="preserve"> The analysis in the report also includes information about emerging trends in technologies, major and emerging players in the field, distribution of patent filings among academia, research institutes and private sector, as well as cooperation networks between applicants and inventors, public and private sector.  </w:t>
      </w:r>
      <w:r w:rsidR="00BD5720" w:rsidRPr="00C95F13">
        <w:rPr>
          <w:rFonts w:eastAsia="SimSun"/>
          <w:bCs/>
          <w:lang w:eastAsia="zh-CN"/>
        </w:rPr>
        <w:t xml:space="preserve">The </w:t>
      </w:r>
      <w:r w:rsidR="00BD5720" w:rsidRPr="00C95F13">
        <w:rPr>
          <w:rFonts w:eastAsia="SimSun"/>
          <w:bCs/>
          <w:lang w:eastAsia="zh-CN"/>
        </w:rPr>
        <w:lastRenderedPageBreak/>
        <w:t xml:space="preserve">results </w:t>
      </w:r>
      <w:r w:rsidR="00BD5720">
        <w:rPr>
          <w:rFonts w:eastAsia="SimSun"/>
          <w:bCs/>
          <w:lang w:eastAsia="zh-CN"/>
        </w:rPr>
        <w:t xml:space="preserve">of the reports </w:t>
      </w:r>
      <w:r w:rsidR="00BD5720" w:rsidRPr="00C95F13">
        <w:rPr>
          <w:rFonts w:eastAsia="SimSun"/>
          <w:bCs/>
          <w:lang w:eastAsia="zh-CN"/>
        </w:rPr>
        <w:t xml:space="preserve">are presented and analyzed in a </w:t>
      </w:r>
      <w:r w:rsidR="00BD5720">
        <w:rPr>
          <w:rFonts w:eastAsia="SimSun"/>
          <w:bCs/>
          <w:lang w:eastAsia="zh-CN"/>
        </w:rPr>
        <w:t>non-expert friendly way</w:t>
      </w:r>
      <w:r w:rsidR="00BD5720" w:rsidRPr="00C95F13">
        <w:rPr>
          <w:rFonts w:eastAsia="SimSun"/>
          <w:bCs/>
          <w:lang w:eastAsia="zh-CN"/>
        </w:rPr>
        <w:t xml:space="preserve"> and are visualized through graphs and statistics with the help of various analytical tools.</w:t>
      </w:r>
      <w:r w:rsidR="00BD5720">
        <w:rPr>
          <w:rFonts w:eastAsia="SimSun"/>
          <w:bCs/>
          <w:lang w:eastAsia="zh-CN"/>
        </w:rPr>
        <w:t xml:space="preserve"> </w:t>
      </w:r>
      <w:r w:rsidR="007746C2">
        <w:rPr>
          <w:rFonts w:eastAsia="SimSun"/>
          <w:bCs/>
          <w:lang w:eastAsia="zh-CN"/>
        </w:rPr>
        <w:t xml:space="preserve"> </w:t>
      </w:r>
      <w:r w:rsidR="00BD5720">
        <w:rPr>
          <w:rFonts w:eastAsia="SimSun"/>
          <w:bCs/>
          <w:lang w:eastAsia="zh-CN"/>
        </w:rPr>
        <w:t>The information included in the reports, mainly on emerging technologies, potential market and partners provides the input for decision making related to technology acquisition and technology transfer.</w:t>
      </w:r>
      <w:r w:rsidR="00BD5720" w:rsidRPr="00C95F13">
        <w:rPr>
          <w:rFonts w:eastAsia="SimSun"/>
          <w:bCs/>
          <w:lang w:eastAsia="zh-CN"/>
        </w:rPr>
        <w:t xml:space="preserve">  </w:t>
      </w:r>
    </w:p>
    <w:p w:rsidR="00BD5720" w:rsidRDefault="009D4FEC">
      <w:pPr>
        <w:rPr>
          <w:rFonts w:eastAsia="SimSun"/>
          <w:bCs/>
          <w:lang w:eastAsia="zh-CN"/>
        </w:rPr>
      </w:pPr>
      <w:r>
        <w:rPr>
          <w:rFonts w:eastAsia="SimSun"/>
          <w:bCs/>
          <w:lang w:eastAsia="zh-CN"/>
        </w:rPr>
        <w:t>21.</w:t>
      </w:r>
      <w:r>
        <w:rPr>
          <w:rFonts w:eastAsia="SimSun"/>
          <w:bCs/>
          <w:lang w:eastAsia="zh-CN"/>
        </w:rPr>
        <w:tab/>
      </w:r>
      <w:r w:rsidR="00BD5720">
        <w:rPr>
          <w:rFonts w:eastAsia="SimSun"/>
          <w:bCs/>
          <w:lang w:eastAsia="zh-CN"/>
        </w:rPr>
        <w:t xml:space="preserve">Examples of WIPO Patent Landscape Reports which contributed to discussions related to technology transfer in the period 2014-2015 include the Patent Landscape Reports on </w:t>
      </w:r>
      <w:r w:rsidR="007746C2">
        <w:rPr>
          <w:rFonts w:eastAsia="SimSun"/>
          <w:bCs/>
          <w:lang w:eastAsia="zh-CN"/>
        </w:rPr>
        <w:br/>
      </w:r>
      <w:r w:rsidR="00BD5720">
        <w:rPr>
          <w:rFonts w:eastAsia="SimSun"/>
          <w:bCs/>
          <w:lang w:eastAsia="zh-CN"/>
        </w:rPr>
        <w:t xml:space="preserve">E-waste Recycling and Material Recovery, prepared in cooperation with the Basel Convention Secretariat. </w:t>
      </w:r>
      <w:r w:rsidR="007746C2">
        <w:rPr>
          <w:rFonts w:eastAsia="SimSun"/>
          <w:bCs/>
          <w:lang w:eastAsia="zh-CN"/>
        </w:rPr>
        <w:t xml:space="preserve"> </w:t>
      </w:r>
      <w:r w:rsidR="00BD5720">
        <w:rPr>
          <w:rFonts w:eastAsia="SimSun"/>
          <w:bCs/>
          <w:lang w:eastAsia="zh-CN"/>
        </w:rPr>
        <w:t>The report findings were used for joint UN Agencies discussions on e-waste management in Latin America, resulting in a joint UN publication in May 2015 (</w:t>
      </w:r>
      <w:r w:rsidR="004244B8">
        <w:rPr>
          <w:rFonts w:eastAsia="SimSun"/>
          <w:bCs/>
          <w:lang w:eastAsia="zh-CN"/>
        </w:rPr>
        <w:t xml:space="preserve">the </w:t>
      </w:r>
      <w:r w:rsidR="00F40223">
        <w:rPr>
          <w:rFonts w:eastAsia="SimSun"/>
          <w:bCs/>
          <w:lang w:eastAsia="zh-CN"/>
        </w:rPr>
        <w:t>International Telecommunication Union (</w:t>
      </w:r>
      <w:r w:rsidR="00BD5720" w:rsidRPr="00B76536">
        <w:rPr>
          <w:rFonts w:eastAsia="SimSun"/>
          <w:bCs/>
          <w:lang w:eastAsia="zh-CN"/>
        </w:rPr>
        <w:t>ITU</w:t>
      </w:r>
      <w:r w:rsidR="00F40223">
        <w:rPr>
          <w:rFonts w:eastAsia="SimSun"/>
          <w:bCs/>
          <w:lang w:eastAsia="zh-CN"/>
        </w:rPr>
        <w:t>)</w:t>
      </w:r>
      <w:r w:rsidR="00BD5720" w:rsidRPr="00B76536">
        <w:rPr>
          <w:rFonts w:eastAsia="SimSun"/>
          <w:bCs/>
          <w:lang w:eastAsia="zh-CN"/>
        </w:rPr>
        <w:t xml:space="preserve">, Basel Convention, UNEP, </w:t>
      </w:r>
      <w:r w:rsidR="004244B8">
        <w:rPr>
          <w:rFonts w:eastAsia="SimSun"/>
          <w:bCs/>
          <w:lang w:eastAsia="zh-CN"/>
        </w:rPr>
        <w:t>the United Nations Educational Scientific and Cultural Organization (</w:t>
      </w:r>
      <w:r w:rsidR="00BD5720" w:rsidRPr="00B76536">
        <w:rPr>
          <w:rFonts w:eastAsia="SimSun"/>
          <w:bCs/>
          <w:lang w:eastAsia="zh-CN"/>
        </w:rPr>
        <w:t>UNESCO</w:t>
      </w:r>
      <w:r w:rsidR="004244B8">
        <w:rPr>
          <w:rFonts w:eastAsia="SimSun"/>
          <w:bCs/>
          <w:lang w:eastAsia="zh-CN"/>
        </w:rPr>
        <w:t>)</w:t>
      </w:r>
      <w:r w:rsidR="00BD5720" w:rsidRPr="00B76536">
        <w:rPr>
          <w:rFonts w:eastAsia="SimSun"/>
          <w:bCs/>
          <w:lang w:eastAsia="zh-CN"/>
        </w:rPr>
        <w:t xml:space="preserve">, </w:t>
      </w:r>
      <w:r w:rsidR="00221507">
        <w:rPr>
          <w:rFonts w:eastAsia="SimSun"/>
          <w:bCs/>
          <w:lang w:eastAsia="zh-CN"/>
        </w:rPr>
        <w:t>the United Nations Industrial Development Organization (</w:t>
      </w:r>
      <w:r w:rsidR="00BD5720" w:rsidRPr="00B76536">
        <w:rPr>
          <w:rFonts w:eastAsia="SimSun"/>
          <w:bCs/>
          <w:lang w:eastAsia="zh-CN"/>
        </w:rPr>
        <w:t>UNIDO</w:t>
      </w:r>
      <w:r w:rsidR="00221507">
        <w:rPr>
          <w:rFonts w:eastAsia="SimSun"/>
          <w:bCs/>
          <w:lang w:eastAsia="zh-CN"/>
        </w:rPr>
        <w:t>)</w:t>
      </w:r>
      <w:r w:rsidR="00BD5720" w:rsidRPr="00B76536">
        <w:rPr>
          <w:rFonts w:eastAsia="SimSun"/>
          <w:bCs/>
          <w:lang w:eastAsia="zh-CN"/>
        </w:rPr>
        <w:t xml:space="preserve">, WIPO, UNU, </w:t>
      </w:r>
      <w:r w:rsidR="00BD5720" w:rsidRPr="00896377">
        <w:rPr>
          <w:rFonts w:eastAsia="SimSun"/>
          <w:bCs/>
          <w:lang w:eastAsia="zh-CN"/>
        </w:rPr>
        <w:t>BCRC-South America</w:t>
      </w:r>
      <w:r w:rsidR="00BD5720" w:rsidRPr="00B76536">
        <w:rPr>
          <w:rFonts w:eastAsia="SimSun"/>
          <w:bCs/>
          <w:lang w:eastAsia="zh-CN"/>
        </w:rPr>
        <w:t>, ECLAC, WHO</w:t>
      </w:r>
      <w:r w:rsidR="00BD5720">
        <w:rPr>
          <w:rFonts w:eastAsia="SimSun"/>
          <w:bCs/>
          <w:lang w:eastAsia="zh-CN"/>
        </w:rPr>
        <w:t xml:space="preserve">. </w:t>
      </w:r>
      <w:r w:rsidR="007746C2">
        <w:rPr>
          <w:rFonts w:eastAsia="SimSun"/>
          <w:bCs/>
          <w:lang w:eastAsia="zh-CN"/>
        </w:rPr>
        <w:t xml:space="preserve"> </w:t>
      </w:r>
      <w:r w:rsidR="00BD5720">
        <w:rPr>
          <w:rFonts w:eastAsia="SimSun"/>
          <w:bCs/>
          <w:lang w:eastAsia="zh-CN"/>
        </w:rPr>
        <w:t>The publication includes various aspects of the topic, among others availability of related technologies and opportunities for technology transfer and is available in Spanish and English (</w:t>
      </w:r>
      <w:r w:rsidR="00AA665D">
        <w:rPr>
          <w:rFonts w:eastAsia="SimSun"/>
          <w:bCs/>
          <w:lang w:eastAsia="zh-CN"/>
        </w:rPr>
        <w:t>the</w:t>
      </w:r>
      <w:r w:rsidR="00BD5720">
        <w:rPr>
          <w:rFonts w:eastAsia="SimSun"/>
          <w:bCs/>
          <w:lang w:eastAsia="zh-CN"/>
        </w:rPr>
        <w:t xml:space="preserve"> report is available at</w:t>
      </w:r>
      <w:r w:rsidR="00AA665D">
        <w:rPr>
          <w:rFonts w:eastAsia="SimSun"/>
          <w:bCs/>
          <w:lang w:eastAsia="zh-CN"/>
        </w:rPr>
        <w:t xml:space="preserve">:  </w:t>
      </w:r>
      <w:r w:rsidR="00896377">
        <w:rPr>
          <w:rFonts w:eastAsia="SimSun"/>
          <w:bCs/>
          <w:lang w:eastAsia="zh-CN"/>
        </w:rPr>
        <w:br/>
      </w:r>
      <w:hyperlink r:id="rId18" w:history="1">
        <w:r w:rsidR="00BD5720" w:rsidRPr="00B76536">
          <w:rPr>
            <w:rFonts w:eastAsia="SimSun"/>
            <w:bCs/>
            <w:lang w:eastAsia="zh-CN"/>
          </w:rPr>
          <w:t>http://www.itu.int/dms_pub/itu-t/oth/0b/11/T0B110000273301PDFS.pdf</w:t>
        </w:r>
      </w:hyperlink>
      <w:r w:rsidR="00BD5720">
        <w:rPr>
          <w:rFonts w:eastAsia="SimSun"/>
          <w:bCs/>
          <w:lang w:eastAsia="zh-CN"/>
        </w:rPr>
        <w:t xml:space="preserve">). </w:t>
      </w:r>
    </w:p>
    <w:p w:rsidR="00BD5720" w:rsidRDefault="00BD5720" w:rsidP="00BD5720">
      <w:pPr>
        <w:rPr>
          <w:rFonts w:eastAsia="SimSun"/>
          <w:bCs/>
          <w:lang w:eastAsia="zh-CN"/>
        </w:rPr>
      </w:pPr>
    </w:p>
    <w:p w:rsidR="00BD5720" w:rsidRDefault="009D4FEC" w:rsidP="00AA665D">
      <w:pPr>
        <w:rPr>
          <w:rFonts w:eastAsia="SimSun"/>
          <w:bCs/>
          <w:lang w:eastAsia="zh-CN"/>
        </w:rPr>
      </w:pPr>
      <w:r>
        <w:rPr>
          <w:rFonts w:eastAsia="SimSun"/>
          <w:bCs/>
          <w:lang w:eastAsia="zh-CN"/>
        </w:rPr>
        <w:t>22.</w:t>
      </w:r>
      <w:r>
        <w:rPr>
          <w:rFonts w:eastAsia="SimSun"/>
          <w:bCs/>
          <w:lang w:eastAsia="zh-CN"/>
        </w:rPr>
        <w:tab/>
      </w:r>
      <w:r w:rsidR="00BD5720">
        <w:rPr>
          <w:rFonts w:eastAsia="SimSun"/>
          <w:bCs/>
          <w:lang w:eastAsia="zh-CN"/>
        </w:rPr>
        <w:t xml:space="preserve">Another example is the Patent Landscape Report </w:t>
      </w:r>
      <w:r w:rsidR="00BD5720" w:rsidRPr="00C95F13">
        <w:rPr>
          <w:rFonts w:eastAsia="SimSun"/>
          <w:bCs/>
          <w:lang w:eastAsia="zh-CN"/>
        </w:rPr>
        <w:t>on Animal Genetic Resources</w:t>
      </w:r>
      <w:r w:rsidR="00BD5720">
        <w:rPr>
          <w:rFonts w:eastAsia="SimSun"/>
          <w:bCs/>
          <w:lang w:eastAsia="zh-CN"/>
        </w:rPr>
        <w:t xml:space="preserve"> for Food and Agriculture, in cooperation with </w:t>
      </w:r>
      <w:r w:rsidR="00AA665D">
        <w:rPr>
          <w:rFonts w:eastAsia="SimSun"/>
          <w:bCs/>
          <w:lang w:eastAsia="zh-CN"/>
        </w:rPr>
        <w:t>FAO</w:t>
      </w:r>
      <w:r w:rsidR="00BD5720">
        <w:rPr>
          <w:rFonts w:eastAsia="SimSun"/>
          <w:bCs/>
          <w:lang w:eastAsia="zh-CN"/>
        </w:rPr>
        <w:t xml:space="preserve">. </w:t>
      </w:r>
      <w:r w:rsidR="00AA665D">
        <w:rPr>
          <w:rFonts w:eastAsia="SimSun"/>
          <w:bCs/>
          <w:lang w:eastAsia="zh-CN"/>
        </w:rPr>
        <w:t xml:space="preserve"> </w:t>
      </w:r>
      <w:r w:rsidR="00BD5720">
        <w:rPr>
          <w:rFonts w:eastAsia="SimSun"/>
          <w:bCs/>
          <w:lang w:eastAsia="zh-CN"/>
        </w:rPr>
        <w:t xml:space="preserve">The report explored the research focus areas related to animal genetic resources for food and agriculture. </w:t>
      </w:r>
      <w:r w:rsidR="00AA665D">
        <w:rPr>
          <w:rFonts w:eastAsia="SimSun"/>
          <w:bCs/>
          <w:lang w:eastAsia="zh-CN"/>
        </w:rPr>
        <w:t xml:space="preserve"> </w:t>
      </w:r>
      <w:r w:rsidR="00BD5720">
        <w:rPr>
          <w:rFonts w:eastAsia="SimSun"/>
          <w:bCs/>
          <w:lang w:eastAsia="zh-CN"/>
        </w:rPr>
        <w:t xml:space="preserve">The findings of the Patent Landscape Report showed that the main identified technologies were focused on medical and pharmaceutical market. </w:t>
      </w:r>
      <w:r w:rsidR="00AA665D">
        <w:rPr>
          <w:rFonts w:eastAsia="SimSun"/>
          <w:bCs/>
          <w:lang w:eastAsia="zh-CN"/>
        </w:rPr>
        <w:t xml:space="preserve"> </w:t>
      </w:r>
      <w:r w:rsidR="00BD5720">
        <w:rPr>
          <w:rFonts w:eastAsia="SimSun"/>
          <w:bCs/>
          <w:lang w:eastAsia="zh-CN"/>
        </w:rPr>
        <w:t>The report findings fed into FAO</w:t>
      </w:r>
      <w:r w:rsidR="006E40E9">
        <w:rPr>
          <w:rFonts w:eastAsia="SimSun"/>
          <w:bCs/>
          <w:lang w:eastAsia="zh-CN"/>
        </w:rPr>
        <w:t>’</w:t>
      </w:r>
      <w:r w:rsidR="00BD5720">
        <w:rPr>
          <w:rFonts w:eastAsia="SimSun"/>
          <w:bCs/>
          <w:lang w:eastAsia="zh-CN"/>
        </w:rPr>
        <w:t>s</w:t>
      </w:r>
      <w:r w:rsidR="00BD5720" w:rsidRPr="00B76536">
        <w:rPr>
          <w:rFonts w:eastAsia="SimSun"/>
          <w:bCs/>
          <w:lang w:eastAsia="zh-CN"/>
        </w:rPr>
        <w:t xml:space="preserve"> Second Global Assessment of Animal Genetic Resources </w:t>
      </w:r>
      <w:r w:rsidR="00BD5720">
        <w:rPr>
          <w:rFonts w:eastAsia="SimSun"/>
          <w:bCs/>
          <w:lang w:eastAsia="zh-CN"/>
        </w:rPr>
        <w:t xml:space="preserve">(accessible at </w:t>
      </w:r>
      <w:r w:rsidR="00BD5720" w:rsidRPr="00355371">
        <w:rPr>
          <w:rFonts w:eastAsia="SimSun"/>
          <w:bCs/>
          <w:lang w:eastAsia="zh-CN"/>
        </w:rPr>
        <w:t>ht</w:t>
      </w:r>
      <w:r w:rsidR="00AA665D">
        <w:rPr>
          <w:rFonts w:eastAsia="SimSun"/>
          <w:bCs/>
          <w:lang w:eastAsia="zh-CN"/>
        </w:rPr>
        <w:t>tp://www.fao.org/3/a-i4787e.pdf</w:t>
      </w:r>
      <w:r w:rsidR="00BD5720">
        <w:rPr>
          <w:rFonts w:eastAsia="SimSun"/>
          <w:bCs/>
          <w:lang w:eastAsia="zh-CN"/>
        </w:rPr>
        <w:t xml:space="preserve">). </w:t>
      </w:r>
      <w:r w:rsidR="00AA665D">
        <w:rPr>
          <w:rFonts w:eastAsia="SimSun"/>
          <w:bCs/>
          <w:lang w:eastAsia="zh-CN"/>
        </w:rPr>
        <w:t xml:space="preserve"> </w:t>
      </w:r>
      <w:r w:rsidR="00BD5720">
        <w:rPr>
          <w:rFonts w:eastAsia="SimSun"/>
          <w:bCs/>
          <w:lang w:eastAsia="zh-CN"/>
        </w:rPr>
        <w:t xml:space="preserve">Among the key findings of the latter report was that </w:t>
      </w:r>
      <w:r w:rsidR="006E40E9">
        <w:rPr>
          <w:rFonts w:eastAsia="SimSun"/>
          <w:bCs/>
          <w:lang w:eastAsia="zh-CN"/>
        </w:rPr>
        <w:t>“</w:t>
      </w:r>
      <w:r w:rsidR="00BD5720">
        <w:rPr>
          <w:rFonts w:eastAsia="SimSun"/>
          <w:bCs/>
          <w:lang w:eastAsia="zh-CN"/>
        </w:rPr>
        <w:t>e</w:t>
      </w:r>
      <w:r w:rsidR="00BD5720" w:rsidRPr="00B76536">
        <w:rPr>
          <w:rFonts w:eastAsia="SimSun"/>
          <w:bCs/>
          <w:lang w:eastAsia="zh-CN"/>
        </w:rPr>
        <w:t>merging technologies are creating new opportunities in animal genetic resources management</w:t>
      </w:r>
      <w:r w:rsidR="006E40E9">
        <w:rPr>
          <w:rFonts w:eastAsia="SimSun"/>
          <w:bCs/>
          <w:lang w:eastAsia="zh-CN"/>
        </w:rPr>
        <w:t>”</w:t>
      </w:r>
      <w:r w:rsidR="00BD5720" w:rsidRPr="00B76536">
        <w:rPr>
          <w:rFonts w:eastAsia="SimSun"/>
          <w:bCs/>
          <w:lang w:eastAsia="zh-CN"/>
        </w:rPr>
        <w:t>.</w:t>
      </w:r>
    </w:p>
    <w:p w:rsidR="00BD5720" w:rsidRPr="00895E64" w:rsidRDefault="00BD5720" w:rsidP="00BD5720">
      <w:pPr>
        <w:rPr>
          <w:rFonts w:eastAsia="SimSun"/>
          <w:bCs/>
          <w:lang w:eastAsia="zh-CN"/>
        </w:rPr>
      </w:pPr>
      <w:r>
        <w:rPr>
          <w:rFonts w:eastAsia="SimSun"/>
          <w:bCs/>
          <w:lang w:eastAsia="zh-CN"/>
        </w:rPr>
        <w:t xml:space="preserve">  </w:t>
      </w:r>
    </w:p>
    <w:p w:rsidR="00BD5720" w:rsidRPr="00C95F13" w:rsidRDefault="009D4FEC" w:rsidP="00BD5720">
      <w:pPr>
        <w:tabs>
          <w:tab w:val="num" w:pos="0"/>
        </w:tabs>
        <w:spacing w:after="220"/>
        <w:rPr>
          <w:rFonts w:eastAsia="SimSun"/>
          <w:bCs/>
          <w:lang w:eastAsia="zh-CN"/>
        </w:rPr>
      </w:pPr>
      <w:r>
        <w:rPr>
          <w:rFonts w:eastAsia="SimSun"/>
          <w:bCs/>
          <w:lang w:eastAsia="zh-CN"/>
        </w:rPr>
        <w:t>23.</w:t>
      </w:r>
      <w:r>
        <w:rPr>
          <w:rFonts w:eastAsia="SimSun"/>
          <w:bCs/>
          <w:lang w:eastAsia="zh-CN"/>
        </w:rPr>
        <w:tab/>
      </w:r>
      <w:r w:rsidR="00BD5720">
        <w:rPr>
          <w:rFonts w:eastAsia="SimSun"/>
          <w:bCs/>
          <w:lang w:eastAsia="zh-CN"/>
        </w:rPr>
        <w:t>A further</w:t>
      </w:r>
      <w:r w:rsidR="00BD5720" w:rsidRPr="00C95F13">
        <w:rPr>
          <w:rFonts w:eastAsia="SimSun"/>
          <w:bCs/>
          <w:lang w:eastAsia="zh-CN"/>
        </w:rPr>
        <w:t xml:space="preserve"> patent landscape report published </w:t>
      </w:r>
      <w:r w:rsidR="00BD5720">
        <w:rPr>
          <w:rFonts w:eastAsia="SimSun"/>
          <w:bCs/>
          <w:lang w:eastAsia="zh-CN"/>
        </w:rPr>
        <w:t xml:space="preserve">in the period </w:t>
      </w:r>
      <w:r w:rsidR="00BD5720" w:rsidRPr="00C95F13">
        <w:rPr>
          <w:rFonts w:eastAsia="SimSun"/>
          <w:bCs/>
          <w:lang w:eastAsia="zh-CN"/>
        </w:rPr>
        <w:t>2014</w:t>
      </w:r>
      <w:r w:rsidR="00BD5720">
        <w:rPr>
          <w:rFonts w:eastAsia="SimSun"/>
          <w:bCs/>
          <w:lang w:eastAsia="zh-CN"/>
        </w:rPr>
        <w:t>-2015</w:t>
      </w:r>
      <w:r w:rsidR="00AA665D">
        <w:rPr>
          <w:rFonts w:eastAsia="SimSun"/>
          <w:bCs/>
          <w:lang w:eastAsia="zh-CN"/>
        </w:rPr>
        <w:t xml:space="preserve"> </w:t>
      </w:r>
      <w:r w:rsidR="00BD5720">
        <w:rPr>
          <w:rFonts w:eastAsia="SimSun"/>
          <w:bCs/>
          <w:lang w:eastAsia="zh-CN"/>
        </w:rPr>
        <w:t xml:space="preserve">was the Patent Landscape Report on </w:t>
      </w:r>
      <w:r w:rsidR="00BD5720" w:rsidRPr="00C95F13">
        <w:rPr>
          <w:rFonts w:eastAsia="SimSun"/>
          <w:bCs/>
          <w:lang w:eastAsia="zh-CN"/>
        </w:rPr>
        <w:t xml:space="preserve">Assistive Devices for Visually Impaired Persons, also produced in an accessible format for print disabled persons. </w:t>
      </w:r>
      <w:r w:rsidR="00AA665D">
        <w:rPr>
          <w:rFonts w:eastAsia="SimSun"/>
          <w:bCs/>
          <w:lang w:eastAsia="zh-CN"/>
        </w:rPr>
        <w:t xml:space="preserve"> </w:t>
      </w:r>
      <w:r w:rsidR="00BD5720">
        <w:rPr>
          <w:rFonts w:eastAsia="SimSun"/>
          <w:bCs/>
          <w:lang w:eastAsia="zh-CN"/>
        </w:rPr>
        <w:t>The latter report intended to facilitate the identification of available assistive devices and technologies which could provide various stakeholders knowledge of available solutions, allowing for better negotiations in acquisition of technology, technology and know-how transfer discussions.</w:t>
      </w:r>
      <w:r w:rsidR="00AA665D">
        <w:rPr>
          <w:rFonts w:eastAsia="SimSun"/>
          <w:bCs/>
          <w:lang w:eastAsia="zh-CN"/>
        </w:rPr>
        <w:t xml:space="preserve"> </w:t>
      </w:r>
      <w:r w:rsidR="00BD5720">
        <w:rPr>
          <w:rFonts w:eastAsia="SimSun"/>
          <w:bCs/>
          <w:lang w:eastAsia="zh-CN"/>
        </w:rPr>
        <w:t xml:space="preserve"> All the aforementioned</w:t>
      </w:r>
      <w:r w:rsidR="00B94303">
        <w:rPr>
          <w:rFonts w:eastAsia="SimSun"/>
          <w:bCs/>
          <w:lang w:eastAsia="zh-CN"/>
        </w:rPr>
        <w:t xml:space="preserve"> reports were presented to Member S</w:t>
      </w:r>
      <w:r w:rsidR="00BD5720" w:rsidRPr="00C95F13">
        <w:rPr>
          <w:rFonts w:eastAsia="SimSun"/>
          <w:bCs/>
          <w:lang w:eastAsia="zh-CN"/>
        </w:rPr>
        <w:t xml:space="preserve">tates at promotional events with additional infographics summarizing the key findings of these reports. </w:t>
      </w:r>
      <w:r w:rsidR="00AA665D">
        <w:rPr>
          <w:rFonts w:eastAsia="SimSun"/>
          <w:bCs/>
          <w:lang w:eastAsia="zh-CN"/>
        </w:rPr>
        <w:t xml:space="preserve"> </w:t>
      </w:r>
      <w:r w:rsidR="00BD5720" w:rsidRPr="00C95F13">
        <w:rPr>
          <w:rFonts w:eastAsia="SimSun"/>
          <w:bCs/>
          <w:lang w:eastAsia="zh-CN"/>
        </w:rPr>
        <w:t xml:space="preserve">Two new patent landscape reports were drafted in 2015 on Technologies Related to Palm Oil Production, Waste Treatment and Exploitation, and on Technologies Related to </w:t>
      </w:r>
      <w:r w:rsidR="00BD5720">
        <w:rPr>
          <w:rFonts w:eastAsia="SimSun"/>
          <w:bCs/>
          <w:lang w:eastAsia="zh-CN"/>
        </w:rPr>
        <w:t>Microalgae</w:t>
      </w:r>
      <w:r w:rsidR="00BD5720" w:rsidRPr="00C95F13">
        <w:rPr>
          <w:rFonts w:eastAsia="SimSun"/>
          <w:bCs/>
          <w:lang w:eastAsia="zh-CN"/>
        </w:rPr>
        <w:t xml:space="preserve">, in response to </w:t>
      </w:r>
      <w:r w:rsidR="00B94303">
        <w:rPr>
          <w:rFonts w:eastAsia="SimSun"/>
          <w:bCs/>
          <w:lang w:eastAsia="zh-CN"/>
        </w:rPr>
        <w:t>specific requests and needs of Member S</w:t>
      </w:r>
      <w:r w:rsidR="00BD5720" w:rsidRPr="00C95F13">
        <w:rPr>
          <w:rFonts w:eastAsia="SimSun"/>
          <w:bCs/>
          <w:lang w:eastAsia="zh-CN"/>
        </w:rPr>
        <w:t xml:space="preserve">tates working in these technologies. </w:t>
      </w:r>
      <w:r w:rsidR="00AA665D">
        <w:rPr>
          <w:rFonts w:eastAsia="SimSun"/>
          <w:bCs/>
          <w:lang w:eastAsia="zh-CN"/>
        </w:rPr>
        <w:t xml:space="preserve"> </w:t>
      </w:r>
      <w:r w:rsidR="00BD5720" w:rsidRPr="00C95F13">
        <w:rPr>
          <w:rFonts w:eastAsia="SimSun"/>
          <w:bCs/>
          <w:lang w:eastAsia="zh-CN"/>
        </w:rPr>
        <w:t>Moreover, Guidelines for Preparing PLRs were published in August 2015</w:t>
      </w:r>
      <w:r w:rsidR="00896377">
        <w:rPr>
          <w:rFonts w:eastAsia="SimSun"/>
          <w:bCs/>
          <w:lang w:eastAsia="zh-CN"/>
        </w:rPr>
        <w:t xml:space="preserve"> at:</w:t>
      </w:r>
      <w:r w:rsidR="00BD5720">
        <w:rPr>
          <w:rFonts w:eastAsia="SimSun"/>
          <w:bCs/>
          <w:lang w:eastAsia="zh-CN"/>
        </w:rPr>
        <w:t xml:space="preserve"> (</w:t>
      </w:r>
      <w:r w:rsidR="00BD5720" w:rsidRPr="005C7880">
        <w:rPr>
          <w:rFonts w:eastAsia="SimSun"/>
          <w:bCs/>
          <w:u w:val="single"/>
          <w:lang w:eastAsia="zh-CN"/>
        </w:rPr>
        <w:t>http://www.wipo.int/edocs/pubdocs/en/wipo_pub_946.pdf</w:t>
      </w:r>
      <w:r w:rsidR="00BD5720">
        <w:rPr>
          <w:rFonts w:eastAsia="SimSun"/>
          <w:bCs/>
          <w:lang w:eastAsia="zh-CN"/>
        </w:rPr>
        <w:t>)</w:t>
      </w:r>
      <w:r w:rsidR="00BD5720" w:rsidRPr="00C95F13">
        <w:rPr>
          <w:rFonts w:eastAsia="SimSun"/>
          <w:bCs/>
          <w:lang w:eastAsia="zh-CN"/>
        </w:rPr>
        <w:t xml:space="preserve">, while a Manual on Open Source and Free Tools for Patent Analytics has been finalized and will be published in early 2016. Further details on all aspects of PLRs can be found at: </w:t>
      </w:r>
      <w:hyperlink r:id="rId19" w:history="1">
        <w:r w:rsidR="00BD5720" w:rsidRPr="00896377">
          <w:rPr>
            <w:rFonts w:eastAsia="SimSun"/>
            <w:bCs/>
            <w:u w:val="single"/>
            <w:lang w:eastAsia="zh-CN"/>
          </w:rPr>
          <w:t>http://www.wipo.int/patentscope/en/programs/patent_landscapes/index.html</w:t>
        </w:r>
      </w:hyperlink>
      <w:r w:rsidR="00896377" w:rsidRPr="00896377">
        <w:rPr>
          <w:rFonts w:eastAsia="SimSun"/>
          <w:bCs/>
          <w:lang w:eastAsia="zh-CN"/>
        </w:rPr>
        <w:t>.</w:t>
      </w:r>
    </w:p>
    <w:p w:rsidR="00AA665D" w:rsidRDefault="00AA665D" w:rsidP="00AA665D"/>
    <w:p w:rsidR="00E25828" w:rsidRPr="006F6951" w:rsidRDefault="00AA665D" w:rsidP="00896377">
      <w:pPr>
        <w:pStyle w:val="Heading2"/>
        <w:spacing w:before="0" w:after="0"/>
      </w:pPr>
      <w:r>
        <w:t>V</w:t>
      </w:r>
      <w:r w:rsidR="006F6951" w:rsidRPr="006F6951">
        <w:t>.</w:t>
      </w:r>
      <w:r w:rsidR="006F6951" w:rsidRPr="006F6951">
        <w:tab/>
      </w:r>
      <w:r w:rsidR="00E25828" w:rsidRPr="006F6951">
        <w:t>Development of Human Capital – Capacity Building Programs</w:t>
      </w:r>
    </w:p>
    <w:p w:rsidR="00E36FBC" w:rsidRPr="006F6951" w:rsidRDefault="00E36FBC" w:rsidP="00AA665D">
      <w:pPr>
        <w:rPr>
          <w:u w:val="single"/>
        </w:rPr>
      </w:pPr>
    </w:p>
    <w:p w:rsidR="00F6040F" w:rsidRPr="006F6951" w:rsidRDefault="009D4FEC" w:rsidP="00EF7920">
      <w:pPr>
        <w:rPr>
          <w:szCs w:val="22"/>
        </w:rPr>
      </w:pPr>
      <w:r>
        <w:rPr>
          <w:szCs w:val="22"/>
        </w:rPr>
        <w:t>24.</w:t>
      </w:r>
      <w:r>
        <w:rPr>
          <w:szCs w:val="22"/>
        </w:rPr>
        <w:tab/>
      </w:r>
      <w:r w:rsidR="0093324F" w:rsidRPr="006F6951">
        <w:rPr>
          <w:szCs w:val="22"/>
        </w:rPr>
        <w:t>Lack of human capital with necessary inter</w:t>
      </w:r>
      <w:r w:rsidR="003E393E" w:rsidRPr="006F6951">
        <w:rPr>
          <w:szCs w:val="22"/>
        </w:rPr>
        <w:t>-</w:t>
      </w:r>
      <w:r w:rsidR="0093324F" w:rsidRPr="006F6951">
        <w:rPr>
          <w:szCs w:val="22"/>
        </w:rPr>
        <w:t xml:space="preserve">disciplinary professional skills </w:t>
      </w:r>
      <w:r w:rsidR="003E393E" w:rsidRPr="006F6951">
        <w:rPr>
          <w:szCs w:val="22"/>
        </w:rPr>
        <w:t xml:space="preserve">able </w:t>
      </w:r>
      <w:r w:rsidR="0093324F" w:rsidRPr="006F6951">
        <w:rPr>
          <w:szCs w:val="22"/>
        </w:rPr>
        <w:t>to support innovation and knowledge transfer systems, was identified as a major gap between developed and developing countries</w:t>
      </w:r>
      <w:r w:rsidR="00F6040F" w:rsidRPr="006F6951">
        <w:rPr>
          <w:szCs w:val="22"/>
        </w:rPr>
        <w:t>, in proportion to their innovation outputs and results.</w:t>
      </w:r>
    </w:p>
    <w:p w:rsidR="00F6040F" w:rsidRPr="006F6951" w:rsidRDefault="00F6040F" w:rsidP="00EF7920">
      <w:pPr>
        <w:rPr>
          <w:szCs w:val="22"/>
        </w:rPr>
      </w:pPr>
    </w:p>
    <w:p w:rsidR="00E32B38" w:rsidRPr="006F6951" w:rsidRDefault="00AA665D" w:rsidP="00EF7920">
      <w:pPr>
        <w:rPr>
          <w:szCs w:val="22"/>
        </w:rPr>
      </w:pPr>
      <w:r>
        <w:rPr>
          <w:szCs w:val="22"/>
        </w:rPr>
        <w:t>25.</w:t>
      </w:r>
      <w:r>
        <w:rPr>
          <w:szCs w:val="22"/>
        </w:rPr>
        <w:tab/>
      </w:r>
      <w:r w:rsidR="00E32B38" w:rsidRPr="006F6951">
        <w:rPr>
          <w:szCs w:val="22"/>
        </w:rPr>
        <w:t>In response to this need</w:t>
      </w:r>
      <w:r w:rsidR="003E393E" w:rsidRPr="006F6951">
        <w:rPr>
          <w:szCs w:val="22"/>
        </w:rPr>
        <w:t>,</w:t>
      </w:r>
      <w:r w:rsidR="00E32B38" w:rsidRPr="006F6951">
        <w:rPr>
          <w:szCs w:val="22"/>
        </w:rPr>
        <w:t xml:space="preserve"> WIPO developed very practical, experience based capacity building programs for scientists, researchers, technology managers, students and others involved in the innovation processes or are part of organizations and services that are </w:t>
      </w:r>
      <w:r w:rsidR="00E32B38" w:rsidRPr="006F6951">
        <w:rPr>
          <w:szCs w:val="22"/>
        </w:rPr>
        <w:lastRenderedPageBreak/>
        <w:t>supposed to support those processes – such as policy makers and funders, or to act as intermediaries – IP related professionals engaged in knowledge transfer processes.</w:t>
      </w:r>
    </w:p>
    <w:p w:rsidR="00E32B38" w:rsidRPr="006F6951" w:rsidRDefault="00E32B38" w:rsidP="00EF7920">
      <w:pPr>
        <w:rPr>
          <w:szCs w:val="22"/>
        </w:rPr>
      </w:pPr>
    </w:p>
    <w:p w:rsidR="00E32B38" w:rsidRPr="006F6951" w:rsidRDefault="00AA665D" w:rsidP="00EF7920">
      <w:pPr>
        <w:rPr>
          <w:szCs w:val="22"/>
        </w:rPr>
      </w:pPr>
      <w:r>
        <w:rPr>
          <w:szCs w:val="22"/>
        </w:rPr>
        <w:t>26.</w:t>
      </w:r>
      <w:r>
        <w:rPr>
          <w:szCs w:val="22"/>
        </w:rPr>
        <w:tab/>
      </w:r>
      <w:r w:rsidR="00E32B38" w:rsidRPr="006F6951">
        <w:rPr>
          <w:szCs w:val="22"/>
        </w:rPr>
        <w:t>The approach was that the objective was not to creat</w:t>
      </w:r>
      <w:r w:rsidR="002446C7">
        <w:rPr>
          <w:szCs w:val="22"/>
        </w:rPr>
        <w:t>e IP legal experts, but inter</w:t>
      </w:r>
      <w:r w:rsidR="002446C7">
        <w:rPr>
          <w:szCs w:val="22"/>
        </w:rPr>
        <w:noBreakHyphen/>
      </w:r>
      <w:r w:rsidR="00E32B38" w:rsidRPr="006F6951">
        <w:rPr>
          <w:szCs w:val="22"/>
        </w:rPr>
        <w:t xml:space="preserve">disciplinary professionals with different background who </w:t>
      </w:r>
      <w:r w:rsidR="003E393E" w:rsidRPr="006F6951">
        <w:rPr>
          <w:szCs w:val="22"/>
        </w:rPr>
        <w:t xml:space="preserve">would </w:t>
      </w:r>
      <w:r w:rsidR="00E32B38" w:rsidRPr="006F6951">
        <w:rPr>
          <w:szCs w:val="22"/>
        </w:rPr>
        <w:t>be able to identify knowledge transfer opportunities and risks, to propose adequate knowledge and IP management options and procedures and to recognize the need when other experts – such as patent attorneys and IP lawyers, should be involved in one of the innovation cycle activities.</w:t>
      </w:r>
    </w:p>
    <w:p w:rsidR="00E32B38" w:rsidRPr="006F6951" w:rsidRDefault="00E32B38" w:rsidP="00EF7920">
      <w:pPr>
        <w:rPr>
          <w:szCs w:val="22"/>
        </w:rPr>
      </w:pPr>
    </w:p>
    <w:p w:rsidR="00E56DC0" w:rsidRPr="006F6951" w:rsidRDefault="00AA665D" w:rsidP="00EF7920">
      <w:pPr>
        <w:rPr>
          <w:szCs w:val="22"/>
        </w:rPr>
      </w:pPr>
      <w:r>
        <w:rPr>
          <w:szCs w:val="22"/>
        </w:rPr>
        <w:t>27.</w:t>
      </w:r>
      <w:r>
        <w:rPr>
          <w:szCs w:val="22"/>
        </w:rPr>
        <w:tab/>
      </w:r>
      <w:r w:rsidR="00E56DC0" w:rsidRPr="006F6951">
        <w:rPr>
          <w:szCs w:val="22"/>
        </w:rPr>
        <w:t xml:space="preserve">Training programs are mostly based on </w:t>
      </w:r>
      <w:r w:rsidR="00436E20" w:rsidRPr="006F6951">
        <w:rPr>
          <w:szCs w:val="22"/>
        </w:rPr>
        <w:t>specific Manuals</w:t>
      </w:r>
      <w:r w:rsidR="00E56DC0" w:rsidRPr="006F6951">
        <w:rPr>
          <w:szCs w:val="22"/>
        </w:rPr>
        <w:t>, WIPO publications and</w:t>
      </w:r>
      <w:r w:rsidR="00A65F47">
        <w:rPr>
          <w:szCs w:val="22"/>
        </w:rPr>
        <w:t xml:space="preserve"> documents which</w:t>
      </w:r>
      <w:r w:rsidR="00E56DC0" w:rsidRPr="006F6951">
        <w:rPr>
          <w:szCs w:val="22"/>
        </w:rPr>
        <w:t xml:space="preserve"> are conceptualized to be made available and licensed to interested developing countries for educational purposes, and on the principle of </w:t>
      </w:r>
      <w:r w:rsidR="006E40E9">
        <w:rPr>
          <w:szCs w:val="22"/>
        </w:rPr>
        <w:t>“</w:t>
      </w:r>
      <w:r w:rsidR="00E56DC0" w:rsidRPr="006F6951">
        <w:rPr>
          <w:szCs w:val="22"/>
        </w:rPr>
        <w:t>open source</w:t>
      </w:r>
      <w:r w:rsidR="006E40E9">
        <w:rPr>
          <w:szCs w:val="22"/>
        </w:rPr>
        <w:t>”</w:t>
      </w:r>
      <w:r w:rsidR="00E56DC0" w:rsidRPr="006F6951">
        <w:rPr>
          <w:szCs w:val="22"/>
        </w:rPr>
        <w:t xml:space="preserve"> – with the obligation to </w:t>
      </w:r>
      <w:r w:rsidR="006E40E9">
        <w:rPr>
          <w:szCs w:val="22"/>
        </w:rPr>
        <w:t>“</w:t>
      </w:r>
      <w:r w:rsidR="00E56DC0" w:rsidRPr="006F6951">
        <w:rPr>
          <w:szCs w:val="22"/>
        </w:rPr>
        <w:t>grant back</w:t>
      </w:r>
      <w:r w:rsidR="006E40E9">
        <w:rPr>
          <w:szCs w:val="22"/>
        </w:rPr>
        <w:t>”</w:t>
      </w:r>
      <w:r w:rsidR="00E56DC0" w:rsidRPr="006F6951">
        <w:rPr>
          <w:szCs w:val="22"/>
        </w:rPr>
        <w:t xml:space="preserve"> all the improvements </w:t>
      </w:r>
      <w:r w:rsidR="00A65F47">
        <w:rPr>
          <w:szCs w:val="22"/>
        </w:rPr>
        <w:t xml:space="preserve">of materials </w:t>
      </w:r>
      <w:r w:rsidR="00E56DC0" w:rsidRPr="006F6951">
        <w:rPr>
          <w:szCs w:val="22"/>
        </w:rPr>
        <w:t>to WIPO.</w:t>
      </w:r>
    </w:p>
    <w:p w:rsidR="00E56DC0" w:rsidRPr="006F6951" w:rsidRDefault="00E56DC0" w:rsidP="00EF7920">
      <w:pPr>
        <w:rPr>
          <w:szCs w:val="22"/>
        </w:rPr>
      </w:pPr>
    </w:p>
    <w:p w:rsidR="00E32B38" w:rsidRPr="006F6951" w:rsidRDefault="00AA665D" w:rsidP="00EF7920">
      <w:pPr>
        <w:rPr>
          <w:szCs w:val="22"/>
        </w:rPr>
      </w:pPr>
      <w:r>
        <w:rPr>
          <w:szCs w:val="22"/>
        </w:rPr>
        <w:t>28.</w:t>
      </w:r>
      <w:r>
        <w:rPr>
          <w:szCs w:val="22"/>
        </w:rPr>
        <w:tab/>
      </w:r>
      <w:r w:rsidR="00E32B38" w:rsidRPr="006F6951">
        <w:rPr>
          <w:szCs w:val="22"/>
        </w:rPr>
        <w:t xml:space="preserve">In </w:t>
      </w:r>
      <w:r w:rsidR="00E56DC0" w:rsidRPr="006F6951">
        <w:rPr>
          <w:szCs w:val="22"/>
        </w:rPr>
        <w:t xml:space="preserve">the creation of </w:t>
      </w:r>
      <w:r w:rsidR="00897D08" w:rsidRPr="006F6951">
        <w:rPr>
          <w:szCs w:val="22"/>
        </w:rPr>
        <w:t>essential programs, that were later made available in different variations for specific target audiences and stockholders,</w:t>
      </w:r>
      <w:r w:rsidR="00E32B38" w:rsidRPr="006F6951">
        <w:rPr>
          <w:szCs w:val="22"/>
        </w:rPr>
        <w:t xml:space="preserve"> we followed the path of </w:t>
      </w:r>
      <w:r w:rsidR="002446C7">
        <w:rPr>
          <w:szCs w:val="22"/>
        </w:rPr>
        <w:t xml:space="preserve">the </w:t>
      </w:r>
      <w:r w:rsidR="00E32B38" w:rsidRPr="006F6951">
        <w:rPr>
          <w:szCs w:val="22"/>
        </w:rPr>
        <w:t>idea from its inception to the mark</w:t>
      </w:r>
      <w:r w:rsidR="00897D08" w:rsidRPr="006F6951">
        <w:rPr>
          <w:szCs w:val="22"/>
        </w:rPr>
        <w:t>et and created following pillar trainings</w:t>
      </w:r>
      <w:r w:rsidR="00E32B38" w:rsidRPr="006F6951">
        <w:rPr>
          <w:szCs w:val="22"/>
        </w:rPr>
        <w:t xml:space="preserve"> in knowledge management teaching for universities:</w:t>
      </w:r>
    </w:p>
    <w:p w:rsidR="00E32B38" w:rsidRPr="006F6951" w:rsidRDefault="00E32B38" w:rsidP="00EF7920">
      <w:pPr>
        <w:rPr>
          <w:szCs w:val="22"/>
        </w:rPr>
      </w:pPr>
    </w:p>
    <w:p w:rsidR="0093324F" w:rsidRDefault="00AA665D" w:rsidP="007B445D">
      <w:pPr>
        <w:pStyle w:val="ListParagraph"/>
        <w:ind w:left="567"/>
        <w:rPr>
          <w:szCs w:val="22"/>
        </w:rPr>
      </w:pPr>
      <w:r w:rsidRPr="00063946">
        <w:rPr>
          <w:bCs/>
          <w:szCs w:val="22"/>
        </w:rPr>
        <w:t>(a)</w:t>
      </w:r>
      <w:r>
        <w:rPr>
          <w:bCs/>
          <w:i/>
          <w:iCs/>
          <w:szCs w:val="22"/>
        </w:rPr>
        <w:tab/>
      </w:r>
      <w:r w:rsidR="003E393E" w:rsidRPr="00AA665D">
        <w:rPr>
          <w:bCs/>
          <w:i/>
          <w:iCs/>
          <w:szCs w:val="22"/>
        </w:rPr>
        <w:t>Patent Drafting Trainings</w:t>
      </w:r>
      <w:r w:rsidR="003E393E" w:rsidRPr="006F6951">
        <w:rPr>
          <w:b/>
          <w:szCs w:val="22"/>
        </w:rPr>
        <w:t xml:space="preserve"> </w:t>
      </w:r>
      <w:r w:rsidR="003E393E" w:rsidRPr="006F6951">
        <w:rPr>
          <w:szCs w:val="22"/>
        </w:rPr>
        <w:t xml:space="preserve">– focusing on enhancing skills and techniques in drafting patent applications in order to support the use of the patent system by local inventors.  The main attendees of those trainings were professionals in technology transfer offices and </w:t>
      </w:r>
      <w:r w:rsidR="007B445D">
        <w:rPr>
          <w:szCs w:val="22"/>
        </w:rPr>
        <w:t>TISCs</w:t>
      </w:r>
      <w:r w:rsidR="003E393E" w:rsidRPr="006F6951">
        <w:rPr>
          <w:szCs w:val="22"/>
        </w:rPr>
        <w:t>, technology managers as well as IP practitioners from developing countries with a view to providing solid advice to local inventors to protect their inventions.  The face-to-face trainings were delivered in English, French, Spanish and Portuguese, on the basic and advanced levels, with follow-up on-line exercise and mentoring work.  The theoretical reference of the program is the Patent Drafting Manual (WIPO Publication No. 867) and Draft Strategic Patent Drafting Exercise Book.  In 2014–2015, WIPO delivered Patent Drafting trainings in nine countries (Brazil, Chile, Colombia, Ecuador, Indonesia, Sri Lanka, Thailand, Tunisia and Viet Nam) and for the Member and Observer States of the African Regional Intellectual Property Organization (ARIPO);</w:t>
      </w:r>
    </w:p>
    <w:p w:rsidR="00AA665D" w:rsidRPr="006F6951" w:rsidRDefault="00AA665D" w:rsidP="00AA665D">
      <w:pPr>
        <w:pStyle w:val="ListParagraph"/>
        <w:ind w:left="567"/>
        <w:rPr>
          <w:szCs w:val="22"/>
        </w:rPr>
      </w:pPr>
    </w:p>
    <w:p w:rsidR="000844A4" w:rsidRDefault="00AA665D" w:rsidP="00AA665D">
      <w:pPr>
        <w:pStyle w:val="ListParagraph"/>
        <w:ind w:left="567"/>
        <w:rPr>
          <w:rFonts w:eastAsia="SimSun"/>
          <w:szCs w:val="22"/>
          <w:lang w:eastAsia="zh-CN"/>
        </w:rPr>
      </w:pPr>
      <w:r w:rsidRPr="00063946">
        <w:rPr>
          <w:bCs/>
          <w:szCs w:val="22"/>
        </w:rPr>
        <w:t>(b)</w:t>
      </w:r>
      <w:r>
        <w:rPr>
          <w:bCs/>
          <w:i/>
          <w:iCs/>
          <w:szCs w:val="22"/>
        </w:rPr>
        <w:tab/>
      </w:r>
      <w:r w:rsidR="003E474B" w:rsidRPr="00AA665D">
        <w:rPr>
          <w:bCs/>
          <w:i/>
          <w:iCs/>
          <w:szCs w:val="22"/>
        </w:rPr>
        <w:t>Successful Technology Licensing (STL)</w:t>
      </w:r>
      <w:r w:rsidR="003E474B" w:rsidRPr="006F6951">
        <w:rPr>
          <w:b/>
          <w:szCs w:val="22"/>
        </w:rPr>
        <w:t xml:space="preserve"> </w:t>
      </w:r>
      <w:r w:rsidR="003E474B" w:rsidRPr="006F6951">
        <w:rPr>
          <w:szCs w:val="22"/>
        </w:rPr>
        <w:t xml:space="preserve">– </w:t>
      </w:r>
      <w:r w:rsidR="002446C7">
        <w:rPr>
          <w:szCs w:val="22"/>
        </w:rPr>
        <w:t xml:space="preserve">the </w:t>
      </w:r>
      <w:r w:rsidR="003E474B" w:rsidRPr="006F6951">
        <w:rPr>
          <w:szCs w:val="22"/>
        </w:rPr>
        <w:t xml:space="preserve">Program was created </w:t>
      </w:r>
      <w:r w:rsidR="002446C7">
        <w:rPr>
          <w:szCs w:val="22"/>
        </w:rPr>
        <w:t xml:space="preserve">to assist LDCs, </w:t>
      </w:r>
      <w:r w:rsidR="003E474B" w:rsidRPr="006F6951">
        <w:rPr>
          <w:szCs w:val="22"/>
        </w:rPr>
        <w:t>developing</w:t>
      </w:r>
      <w:r w:rsidR="002446C7">
        <w:rPr>
          <w:szCs w:val="22"/>
        </w:rPr>
        <w:t xml:space="preserve"> countries</w:t>
      </w:r>
      <w:r w:rsidR="003E474B" w:rsidRPr="006F6951">
        <w:rPr>
          <w:szCs w:val="22"/>
        </w:rPr>
        <w:t xml:space="preserve"> and countries in transition to develop human capital with necessary competences in the areas relevant for knowledge / technology transfer – such as using </w:t>
      </w:r>
      <w:r w:rsidR="002446C7">
        <w:rPr>
          <w:szCs w:val="22"/>
        </w:rPr>
        <w:t xml:space="preserve">a </w:t>
      </w:r>
      <w:r w:rsidR="003E474B" w:rsidRPr="006F6951">
        <w:rPr>
          <w:szCs w:val="22"/>
        </w:rPr>
        <w:t xml:space="preserve">licensing agreement as a tool for IP collaboration and transfer of technology, understanding key terms of </w:t>
      </w:r>
      <w:r w:rsidR="002446C7">
        <w:rPr>
          <w:szCs w:val="22"/>
        </w:rPr>
        <w:t xml:space="preserve">a </w:t>
      </w:r>
      <w:r w:rsidR="003E474B" w:rsidRPr="006F6951">
        <w:rPr>
          <w:szCs w:val="22"/>
        </w:rPr>
        <w:t xml:space="preserve">licensing agreement and negotiation techniques, as well as learning how to draft the agreement (advanced STL course).  </w:t>
      </w:r>
      <w:r w:rsidR="007423D1" w:rsidRPr="006F6951">
        <w:rPr>
          <w:szCs w:val="22"/>
        </w:rPr>
        <w:t>For the training purposes the STL</w:t>
      </w:r>
      <w:r w:rsidR="00B257DE">
        <w:rPr>
          <w:szCs w:val="22"/>
        </w:rPr>
        <w:t>, a</w:t>
      </w:r>
      <w:r w:rsidR="007423D1" w:rsidRPr="006F6951">
        <w:rPr>
          <w:szCs w:val="22"/>
        </w:rPr>
        <w:t xml:space="preserve"> Training Kit was developed, containing the Successful Technology T</w:t>
      </w:r>
      <w:r w:rsidR="003E474B" w:rsidRPr="006F6951">
        <w:rPr>
          <w:szCs w:val="22"/>
        </w:rPr>
        <w:t>ransfer (STL) Guide (WIPO publication 903 E</w:t>
      </w:r>
      <w:r w:rsidR="003469C1" w:rsidRPr="006F6951">
        <w:rPr>
          <w:szCs w:val="22"/>
        </w:rPr>
        <w:t xml:space="preserve"> - </w:t>
      </w:r>
      <w:r w:rsidR="007423D1" w:rsidRPr="006F6951">
        <w:rPr>
          <w:szCs w:val="22"/>
        </w:rPr>
        <w:t xml:space="preserve">reviewed </w:t>
      </w:r>
      <w:r w:rsidR="003469C1" w:rsidRPr="006F6951">
        <w:rPr>
          <w:szCs w:val="22"/>
        </w:rPr>
        <w:t>and new edition issued in 2015</w:t>
      </w:r>
      <w:r w:rsidR="002B6C69" w:rsidRPr="006F6951">
        <w:rPr>
          <w:szCs w:val="22"/>
        </w:rPr>
        <w:t xml:space="preserve"> with the new</w:t>
      </w:r>
      <w:r w:rsidR="003469C1" w:rsidRPr="006F6951">
        <w:rPr>
          <w:szCs w:val="22"/>
        </w:rPr>
        <w:t xml:space="preserve"> Chapter V on </w:t>
      </w:r>
      <w:r w:rsidR="002B6C69" w:rsidRPr="006F6951">
        <w:rPr>
          <w:i/>
          <w:szCs w:val="22"/>
        </w:rPr>
        <w:t xml:space="preserve">Understanding Certain Antitrust Concerns Related to Technology Licensing), </w:t>
      </w:r>
      <w:r w:rsidR="002B6C69" w:rsidRPr="006F6951">
        <w:rPr>
          <w:szCs w:val="22"/>
        </w:rPr>
        <w:t xml:space="preserve">with </w:t>
      </w:r>
      <w:r w:rsidR="00B257DE">
        <w:rPr>
          <w:szCs w:val="22"/>
        </w:rPr>
        <w:t xml:space="preserve">a </w:t>
      </w:r>
      <w:r w:rsidR="002B6C69" w:rsidRPr="006F6951">
        <w:rPr>
          <w:szCs w:val="22"/>
        </w:rPr>
        <w:t xml:space="preserve">standard model of the program for basic and an advanced course, standard presentations and set of hypothetical stories.  This training kit is available for universities and PROs for licensing, on the </w:t>
      </w:r>
      <w:r w:rsidR="006E40E9">
        <w:rPr>
          <w:szCs w:val="22"/>
        </w:rPr>
        <w:t>“</w:t>
      </w:r>
      <w:r w:rsidR="002B6C69" w:rsidRPr="006F6951">
        <w:rPr>
          <w:szCs w:val="22"/>
        </w:rPr>
        <w:t>open source</w:t>
      </w:r>
      <w:r w:rsidR="006E40E9">
        <w:rPr>
          <w:szCs w:val="22"/>
        </w:rPr>
        <w:t>”</w:t>
      </w:r>
      <w:r w:rsidR="002B6C69" w:rsidRPr="006F6951">
        <w:rPr>
          <w:szCs w:val="22"/>
        </w:rPr>
        <w:t xml:space="preserve"> principle.  In </w:t>
      </w:r>
      <w:r w:rsidR="00B257DE">
        <w:rPr>
          <w:szCs w:val="22"/>
        </w:rPr>
        <w:t xml:space="preserve">the </w:t>
      </w:r>
      <w:r w:rsidR="002B6C69" w:rsidRPr="006F6951">
        <w:rPr>
          <w:szCs w:val="22"/>
        </w:rPr>
        <w:t xml:space="preserve">last biennium </w:t>
      </w:r>
      <w:r w:rsidR="00B257DE">
        <w:rPr>
          <w:szCs w:val="22"/>
        </w:rPr>
        <w:t xml:space="preserve">the </w:t>
      </w:r>
      <w:r w:rsidR="002B6C69" w:rsidRPr="006F6951">
        <w:rPr>
          <w:szCs w:val="22"/>
        </w:rPr>
        <w:t xml:space="preserve">STL course was organized, </w:t>
      </w:r>
      <w:r w:rsidR="00B257DE">
        <w:rPr>
          <w:szCs w:val="22"/>
        </w:rPr>
        <w:t>at</w:t>
      </w:r>
      <w:r w:rsidR="002B6C69" w:rsidRPr="006F6951">
        <w:rPr>
          <w:szCs w:val="22"/>
        </w:rPr>
        <w:t xml:space="preserve"> basic and advanced level</w:t>
      </w:r>
      <w:r w:rsidR="00B257DE">
        <w:rPr>
          <w:szCs w:val="22"/>
        </w:rPr>
        <w:t>s</w:t>
      </w:r>
      <w:r w:rsidR="002B6C69" w:rsidRPr="006F6951">
        <w:rPr>
          <w:szCs w:val="22"/>
        </w:rPr>
        <w:t>, as national and regional event</w:t>
      </w:r>
      <w:r w:rsidR="00B257DE">
        <w:rPr>
          <w:szCs w:val="22"/>
        </w:rPr>
        <w:t>s</w:t>
      </w:r>
      <w:r w:rsidR="002B6C69" w:rsidRPr="006F6951">
        <w:rPr>
          <w:szCs w:val="22"/>
        </w:rPr>
        <w:t xml:space="preserve"> in </w:t>
      </w:r>
      <w:r w:rsidR="00B257DE">
        <w:rPr>
          <w:szCs w:val="22"/>
        </w:rPr>
        <w:t xml:space="preserve">the </w:t>
      </w:r>
      <w:r w:rsidR="00063946">
        <w:rPr>
          <w:szCs w:val="22"/>
        </w:rPr>
        <w:t>following countries</w:t>
      </w:r>
      <w:r w:rsidR="002B6C69" w:rsidRPr="006F6951">
        <w:rPr>
          <w:szCs w:val="22"/>
        </w:rPr>
        <w:t xml:space="preserve">:  </w:t>
      </w:r>
      <w:r w:rsidR="00CA1534" w:rsidRPr="006F6951">
        <w:rPr>
          <w:szCs w:val="22"/>
        </w:rPr>
        <w:t>Brazil, Italy (LLM Course on IP Law, with sponsored participants from developing countries), Indonesia, Mexico, Philippines, Singapore (video conference for National University of Singapore), T</w:t>
      </w:r>
      <w:r w:rsidR="000844A4" w:rsidRPr="006F6951">
        <w:rPr>
          <w:szCs w:val="22"/>
        </w:rPr>
        <w:t>urkey and in France where</w:t>
      </w:r>
      <w:r w:rsidR="000844A4" w:rsidRPr="006F6951">
        <w:rPr>
          <w:rFonts w:eastAsia="SimSun"/>
          <w:szCs w:val="22"/>
          <w:lang w:eastAsia="zh-CN"/>
        </w:rPr>
        <w:t xml:space="preserve"> the WIPO Academy, in collaboration with </w:t>
      </w:r>
      <w:r w:rsidR="00B257DE">
        <w:rPr>
          <w:rFonts w:eastAsia="SimSun"/>
          <w:szCs w:val="22"/>
          <w:lang w:eastAsia="zh-CN"/>
        </w:rPr>
        <w:t xml:space="preserve">the </w:t>
      </w:r>
      <w:r w:rsidR="000844A4" w:rsidRPr="006F6951">
        <w:rPr>
          <w:rFonts w:eastAsia="SimSun"/>
          <w:szCs w:val="22"/>
          <w:lang w:eastAsia="zh-CN"/>
        </w:rPr>
        <w:t>Centre for International Intellectual Property Studies (CEIPI) in Strasb</w:t>
      </w:r>
      <w:r w:rsidR="00B257DE">
        <w:rPr>
          <w:rFonts w:eastAsia="SimSun"/>
          <w:szCs w:val="22"/>
          <w:lang w:eastAsia="zh-CN"/>
        </w:rPr>
        <w:t>o</w:t>
      </w:r>
      <w:r w:rsidR="000844A4" w:rsidRPr="006F6951">
        <w:rPr>
          <w:rFonts w:eastAsia="SimSun"/>
          <w:szCs w:val="22"/>
          <w:lang w:eastAsia="zh-CN"/>
        </w:rPr>
        <w:t xml:space="preserve">urg, and </w:t>
      </w:r>
      <w:r w:rsidR="00B257DE">
        <w:rPr>
          <w:rFonts w:eastAsia="SimSun"/>
          <w:szCs w:val="22"/>
          <w:lang w:eastAsia="zh-CN"/>
        </w:rPr>
        <w:t xml:space="preserve">the </w:t>
      </w:r>
      <w:r w:rsidR="000844A4" w:rsidRPr="006F6951">
        <w:rPr>
          <w:rFonts w:eastAsia="SimSun"/>
          <w:szCs w:val="22"/>
          <w:lang w:eastAsia="zh-CN"/>
        </w:rPr>
        <w:t>French IP Office</w:t>
      </w:r>
      <w:r w:rsidR="00B257DE">
        <w:rPr>
          <w:rFonts w:eastAsia="SimSun"/>
          <w:szCs w:val="22"/>
          <w:lang w:eastAsia="zh-CN"/>
        </w:rPr>
        <w:t>,</w:t>
      </w:r>
      <w:r w:rsidR="000844A4" w:rsidRPr="006F6951">
        <w:rPr>
          <w:rFonts w:eastAsia="SimSun"/>
          <w:szCs w:val="22"/>
          <w:lang w:eastAsia="zh-CN"/>
        </w:rPr>
        <w:t xml:space="preserve"> WIPO developed </w:t>
      </w:r>
      <w:r w:rsidR="00B257DE">
        <w:rPr>
          <w:rFonts w:eastAsia="SimSun"/>
          <w:szCs w:val="22"/>
          <w:lang w:eastAsia="zh-CN"/>
        </w:rPr>
        <w:t xml:space="preserve">a </w:t>
      </w:r>
      <w:r w:rsidR="000844A4" w:rsidRPr="006F6951">
        <w:rPr>
          <w:rFonts w:eastAsia="SimSun"/>
          <w:szCs w:val="22"/>
          <w:lang w:eastAsia="zh-CN"/>
        </w:rPr>
        <w:t xml:space="preserve">new Advanced Training Course </w:t>
      </w:r>
      <w:r w:rsidR="006E40E9">
        <w:rPr>
          <w:rFonts w:eastAsia="SimSun"/>
          <w:szCs w:val="22"/>
          <w:lang w:eastAsia="zh-CN"/>
        </w:rPr>
        <w:t>“</w:t>
      </w:r>
      <w:r w:rsidR="000844A4" w:rsidRPr="006F6951">
        <w:rPr>
          <w:rFonts w:eastAsia="SimSun"/>
          <w:szCs w:val="22"/>
          <w:lang w:eastAsia="zh-CN"/>
        </w:rPr>
        <w:t>Technology Transfer, Licensing and Development</w:t>
      </w:r>
      <w:r w:rsidR="006E40E9">
        <w:rPr>
          <w:rFonts w:eastAsia="SimSun"/>
          <w:szCs w:val="22"/>
          <w:lang w:eastAsia="zh-CN"/>
        </w:rPr>
        <w:t>”</w:t>
      </w:r>
      <w:r w:rsidR="000844A4" w:rsidRPr="006F6951">
        <w:rPr>
          <w:rFonts w:eastAsia="SimSun"/>
          <w:szCs w:val="22"/>
          <w:lang w:eastAsia="zh-CN"/>
        </w:rPr>
        <w:t>, that was launched in CEIPI premises in Strasb</w:t>
      </w:r>
      <w:r w:rsidR="00B257DE">
        <w:rPr>
          <w:rFonts w:eastAsia="SimSun"/>
          <w:szCs w:val="22"/>
          <w:lang w:eastAsia="zh-CN"/>
        </w:rPr>
        <w:t>o</w:t>
      </w:r>
      <w:r w:rsidR="000844A4" w:rsidRPr="006F6951">
        <w:rPr>
          <w:rFonts w:eastAsia="SimSun"/>
          <w:szCs w:val="22"/>
          <w:lang w:eastAsia="zh-CN"/>
        </w:rPr>
        <w:t xml:space="preserve">urg on June 22 to 27, 2014 and attended by 22 participants from developing </w:t>
      </w:r>
      <w:r w:rsidR="000844A4" w:rsidRPr="006F6951">
        <w:rPr>
          <w:rFonts w:eastAsia="SimSun"/>
          <w:szCs w:val="22"/>
          <w:lang w:eastAsia="zh-CN"/>
        </w:rPr>
        <w:lastRenderedPageBreak/>
        <w:t>countries.</w:t>
      </w:r>
      <w:r w:rsidR="000F36B9" w:rsidRPr="006F6951">
        <w:rPr>
          <w:rFonts w:eastAsia="SimSun"/>
          <w:szCs w:val="22"/>
          <w:lang w:eastAsia="zh-CN"/>
        </w:rPr>
        <w:t xml:space="preserve">  In addition </w:t>
      </w:r>
      <w:r w:rsidR="00ED63EE" w:rsidRPr="006F6951">
        <w:rPr>
          <w:rFonts w:eastAsia="SimSun"/>
          <w:szCs w:val="22"/>
          <w:lang w:eastAsia="zh-CN"/>
        </w:rPr>
        <w:t>a number of</w:t>
      </w:r>
      <w:r w:rsidR="000F36B9" w:rsidRPr="006F6951">
        <w:rPr>
          <w:rFonts w:eastAsia="SimSun"/>
          <w:szCs w:val="22"/>
          <w:lang w:eastAsia="zh-CN"/>
        </w:rPr>
        <w:t xml:space="preserve"> </w:t>
      </w:r>
      <w:r w:rsidR="00B257DE">
        <w:rPr>
          <w:rFonts w:eastAsia="SimSun"/>
          <w:szCs w:val="22"/>
          <w:lang w:eastAsia="zh-CN"/>
        </w:rPr>
        <w:t xml:space="preserve">one-day </w:t>
      </w:r>
      <w:r w:rsidR="006E40E9">
        <w:rPr>
          <w:rFonts w:eastAsia="SimSun"/>
          <w:szCs w:val="22"/>
          <w:lang w:eastAsia="zh-CN"/>
        </w:rPr>
        <w:t>“</w:t>
      </w:r>
      <w:r w:rsidR="000F36B9" w:rsidRPr="006F6951">
        <w:rPr>
          <w:rFonts w:eastAsia="SimSun"/>
          <w:szCs w:val="22"/>
          <w:lang w:eastAsia="zh-CN"/>
        </w:rPr>
        <w:t>mini STL courses</w:t>
      </w:r>
      <w:r w:rsidR="00B257DE">
        <w:rPr>
          <w:rFonts w:eastAsia="SimSun"/>
          <w:szCs w:val="22"/>
          <w:lang w:eastAsia="zh-CN"/>
        </w:rPr>
        <w:t>,</w:t>
      </w:r>
      <w:r w:rsidR="006E40E9">
        <w:rPr>
          <w:rFonts w:eastAsia="SimSun"/>
          <w:szCs w:val="22"/>
          <w:lang w:eastAsia="zh-CN"/>
        </w:rPr>
        <w:t>”</w:t>
      </w:r>
      <w:r w:rsidR="000F36B9" w:rsidRPr="006F6951">
        <w:rPr>
          <w:rFonts w:eastAsia="SimSun"/>
          <w:szCs w:val="22"/>
          <w:lang w:eastAsia="zh-CN"/>
        </w:rPr>
        <w:t xml:space="preserve"> were organized in Geneva, in collaboration </w:t>
      </w:r>
      <w:r w:rsidR="00B257DE">
        <w:rPr>
          <w:rFonts w:eastAsia="SimSun"/>
          <w:szCs w:val="22"/>
          <w:lang w:eastAsia="zh-CN"/>
        </w:rPr>
        <w:t>with</w:t>
      </w:r>
      <w:r w:rsidR="000F36B9" w:rsidRPr="006F6951">
        <w:rPr>
          <w:rFonts w:eastAsia="SimSun"/>
          <w:szCs w:val="22"/>
          <w:lang w:eastAsia="zh-CN"/>
        </w:rPr>
        <w:t xml:space="preserve"> WIPO and </w:t>
      </w:r>
      <w:r w:rsidR="00ED63EE" w:rsidRPr="006F6951">
        <w:rPr>
          <w:rFonts w:eastAsia="SimSun"/>
          <w:szCs w:val="22"/>
          <w:lang w:eastAsia="zh-CN"/>
        </w:rPr>
        <w:t xml:space="preserve">the </w:t>
      </w:r>
      <w:r w:rsidR="000F36B9" w:rsidRPr="006F6951">
        <w:rPr>
          <w:rFonts w:eastAsia="SimSun"/>
          <w:szCs w:val="22"/>
          <w:lang w:eastAsia="zh-CN"/>
        </w:rPr>
        <w:t xml:space="preserve">World Trade Organization (WTO) </w:t>
      </w:r>
      <w:r w:rsidR="00ED63EE" w:rsidRPr="006F6951">
        <w:rPr>
          <w:rFonts w:eastAsia="SimSun"/>
          <w:szCs w:val="22"/>
          <w:lang w:eastAsia="zh-CN"/>
        </w:rPr>
        <w:t>for policy makers and IP teachers.</w:t>
      </w:r>
      <w:r w:rsidR="000F36B9" w:rsidRPr="006F6951">
        <w:rPr>
          <w:rFonts w:eastAsia="SimSun"/>
          <w:szCs w:val="22"/>
          <w:lang w:eastAsia="zh-CN"/>
        </w:rPr>
        <w:t xml:space="preserve"> </w:t>
      </w:r>
    </w:p>
    <w:p w:rsidR="00063946" w:rsidRPr="006F6951" w:rsidRDefault="00063946" w:rsidP="00AA665D">
      <w:pPr>
        <w:pStyle w:val="ListParagraph"/>
        <w:ind w:left="567"/>
        <w:rPr>
          <w:szCs w:val="22"/>
        </w:rPr>
      </w:pPr>
    </w:p>
    <w:p w:rsidR="000844A4" w:rsidRPr="006F6951" w:rsidRDefault="00063946" w:rsidP="00063946">
      <w:pPr>
        <w:pStyle w:val="ListParagraph"/>
        <w:ind w:left="567"/>
        <w:rPr>
          <w:szCs w:val="22"/>
        </w:rPr>
      </w:pPr>
      <w:r w:rsidRPr="00063946">
        <w:rPr>
          <w:bCs/>
          <w:szCs w:val="22"/>
        </w:rPr>
        <w:t>(c)</w:t>
      </w:r>
      <w:r>
        <w:rPr>
          <w:bCs/>
          <w:i/>
          <w:iCs/>
          <w:szCs w:val="22"/>
        </w:rPr>
        <w:tab/>
      </w:r>
      <w:r w:rsidR="008A047E" w:rsidRPr="00AA665D">
        <w:rPr>
          <w:bCs/>
          <w:i/>
          <w:iCs/>
          <w:szCs w:val="22"/>
        </w:rPr>
        <w:t>IP Valuation</w:t>
      </w:r>
      <w:r w:rsidR="00ED63EE" w:rsidRPr="006F6951">
        <w:rPr>
          <w:b/>
          <w:szCs w:val="22"/>
        </w:rPr>
        <w:t xml:space="preserve"> </w:t>
      </w:r>
      <w:r w:rsidR="008A047E" w:rsidRPr="006F6951">
        <w:rPr>
          <w:b/>
          <w:szCs w:val="22"/>
        </w:rPr>
        <w:t>–</w:t>
      </w:r>
      <w:r w:rsidR="00ED63EE" w:rsidRPr="006F6951">
        <w:rPr>
          <w:b/>
          <w:szCs w:val="22"/>
        </w:rPr>
        <w:t xml:space="preserve"> </w:t>
      </w:r>
      <w:r w:rsidR="008A047E" w:rsidRPr="006F6951">
        <w:rPr>
          <w:szCs w:val="22"/>
        </w:rPr>
        <w:t>Determining</w:t>
      </w:r>
      <w:r w:rsidR="008A047E" w:rsidRPr="006F6951">
        <w:rPr>
          <w:b/>
          <w:szCs w:val="22"/>
        </w:rPr>
        <w:t xml:space="preserve"> </w:t>
      </w:r>
      <w:r w:rsidR="008A047E" w:rsidRPr="006F6951">
        <w:rPr>
          <w:szCs w:val="22"/>
        </w:rPr>
        <w:t>the value of the research results in the process of IP commercialization is one of the greatest challenges for scientists and technology managers in most developing and countries in transition.  In the framework of</w:t>
      </w:r>
      <w:r w:rsidR="00B257DE">
        <w:rPr>
          <w:szCs w:val="22"/>
        </w:rPr>
        <w:t xml:space="preserve"> the</w:t>
      </w:r>
      <w:r w:rsidR="008A047E" w:rsidRPr="006F6951">
        <w:rPr>
          <w:szCs w:val="22"/>
        </w:rPr>
        <w:t xml:space="preserve"> implementation of DA Recommendation 10, WIPO developed two complementary guides – Practical Guide for Valuing Intangible Assets in Research </w:t>
      </w:r>
      <w:r w:rsidR="00647F98" w:rsidRPr="006F6951">
        <w:rPr>
          <w:szCs w:val="22"/>
        </w:rPr>
        <w:t xml:space="preserve">and Development </w:t>
      </w:r>
      <w:r w:rsidR="008A047E" w:rsidRPr="006F6951">
        <w:rPr>
          <w:szCs w:val="22"/>
        </w:rPr>
        <w:t>Institutions</w:t>
      </w:r>
      <w:r w:rsidR="00647F98" w:rsidRPr="006F6951">
        <w:rPr>
          <w:szCs w:val="22"/>
        </w:rPr>
        <w:t>, focusing on qualitative metho</w:t>
      </w:r>
      <w:r w:rsidR="00B257DE">
        <w:rPr>
          <w:szCs w:val="22"/>
        </w:rPr>
        <w:t>ds of valuation in pre</w:t>
      </w:r>
      <w:r w:rsidR="00647F98" w:rsidRPr="006F6951">
        <w:rPr>
          <w:szCs w:val="22"/>
        </w:rPr>
        <w:t xml:space="preserve">–commercialization phase, and </w:t>
      </w:r>
      <w:r w:rsidR="00B257DE">
        <w:rPr>
          <w:szCs w:val="22"/>
        </w:rPr>
        <w:t xml:space="preserve">an </w:t>
      </w:r>
      <w:r w:rsidR="00647F98" w:rsidRPr="006F6951">
        <w:rPr>
          <w:szCs w:val="22"/>
        </w:rPr>
        <w:t>IP Valuation Training Kit for Academic Institutions, addressing issues related to IP valuation in IP commercialization of research results – through licens</w:t>
      </w:r>
      <w:r w:rsidR="00B257DE">
        <w:rPr>
          <w:szCs w:val="22"/>
        </w:rPr>
        <w:t>ing or establishment of start–</w:t>
      </w:r>
      <w:r w:rsidR="00647F98" w:rsidRPr="006F6951">
        <w:rPr>
          <w:szCs w:val="22"/>
        </w:rPr>
        <w:t xml:space="preserve">up based on technology developed in university.  </w:t>
      </w:r>
      <w:r w:rsidR="00B257DE">
        <w:rPr>
          <w:szCs w:val="22"/>
        </w:rPr>
        <w:t>A m</w:t>
      </w:r>
      <w:r w:rsidR="00647F98" w:rsidRPr="006F6951">
        <w:rPr>
          <w:szCs w:val="22"/>
        </w:rPr>
        <w:t>odel program was also created, with flexibilities related to specific needs of target audience</w:t>
      </w:r>
      <w:r w:rsidR="00B257DE">
        <w:rPr>
          <w:szCs w:val="22"/>
        </w:rPr>
        <w:t>s</w:t>
      </w:r>
      <w:r w:rsidR="00647F98" w:rsidRPr="006F6951">
        <w:rPr>
          <w:szCs w:val="22"/>
        </w:rPr>
        <w:t xml:space="preserve"> and with </w:t>
      </w:r>
      <w:r w:rsidR="00B257DE">
        <w:rPr>
          <w:szCs w:val="22"/>
        </w:rPr>
        <w:t xml:space="preserve">a </w:t>
      </w:r>
      <w:r>
        <w:rPr>
          <w:szCs w:val="22"/>
        </w:rPr>
        <w:t>general vision that 30 – 50 per cent</w:t>
      </w:r>
      <w:r w:rsidR="00647F98" w:rsidRPr="006F6951">
        <w:rPr>
          <w:szCs w:val="22"/>
        </w:rPr>
        <w:t xml:space="preserve"> of the course should be devoted to monitored, practical exercises, based on real or hypothetical technologies developed in local research organizations.  </w:t>
      </w:r>
      <w:r w:rsidR="00B257DE">
        <w:rPr>
          <w:szCs w:val="22"/>
        </w:rPr>
        <w:t>In the 2014–</w:t>
      </w:r>
      <w:r w:rsidR="004D1EC0" w:rsidRPr="006F6951">
        <w:rPr>
          <w:szCs w:val="22"/>
        </w:rPr>
        <w:t xml:space="preserve">2015 </w:t>
      </w:r>
      <w:proofErr w:type="gramStart"/>
      <w:r w:rsidR="004D1EC0" w:rsidRPr="006F6951">
        <w:rPr>
          <w:szCs w:val="22"/>
        </w:rPr>
        <w:t>biennium</w:t>
      </w:r>
      <w:proofErr w:type="gramEnd"/>
      <w:r w:rsidR="003E393E" w:rsidRPr="006F6951">
        <w:rPr>
          <w:szCs w:val="22"/>
        </w:rPr>
        <w:t>, WIPO delivered the</w:t>
      </w:r>
      <w:r w:rsidR="004D1EC0" w:rsidRPr="006F6951">
        <w:rPr>
          <w:szCs w:val="22"/>
        </w:rPr>
        <w:t xml:space="preserve"> following IP valuation courses:</w:t>
      </w:r>
    </w:p>
    <w:p w:rsidR="000A3098" w:rsidRPr="006F6951" w:rsidRDefault="000A3098" w:rsidP="000A3098">
      <w:pPr>
        <w:pStyle w:val="ListParagraph"/>
        <w:rPr>
          <w:szCs w:val="22"/>
        </w:rPr>
      </w:pPr>
    </w:p>
    <w:p w:rsidR="005B7CE3" w:rsidRDefault="005B7CE3" w:rsidP="00896377">
      <w:pPr>
        <w:pStyle w:val="ListParagraph"/>
        <w:numPr>
          <w:ilvl w:val="1"/>
          <w:numId w:val="12"/>
        </w:numPr>
        <w:ind w:left="1134"/>
        <w:rPr>
          <w:szCs w:val="22"/>
        </w:rPr>
      </w:pPr>
      <w:r w:rsidRPr="006F6951">
        <w:rPr>
          <w:szCs w:val="22"/>
        </w:rPr>
        <w:t>IP Valuation Course in the framework of UC Davis Licensing Academy, organized in collaboration with PIPRA and UC Davis for technology managers, including from developing c</w:t>
      </w:r>
      <w:r w:rsidR="00B257DE">
        <w:rPr>
          <w:szCs w:val="22"/>
        </w:rPr>
        <w:t xml:space="preserve">ountries, June 4 </w:t>
      </w:r>
      <w:r w:rsidR="00B02359">
        <w:rPr>
          <w:szCs w:val="22"/>
        </w:rPr>
        <w:t>to</w:t>
      </w:r>
      <w:r w:rsidR="00B257DE">
        <w:rPr>
          <w:szCs w:val="22"/>
        </w:rPr>
        <w:t xml:space="preserve"> 10, 2014, UC </w:t>
      </w:r>
      <w:r w:rsidRPr="006F6951">
        <w:rPr>
          <w:szCs w:val="22"/>
        </w:rPr>
        <w:t>Davis, United States of America;</w:t>
      </w:r>
    </w:p>
    <w:p w:rsidR="00896377" w:rsidRPr="006F6951" w:rsidRDefault="00896377" w:rsidP="00896377">
      <w:pPr>
        <w:pStyle w:val="ListParagraph"/>
        <w:ind w:left="1134"/>
        <w:rPr>
          <w:szCs w:val="22"/>
        </w:rPr>
      </w:pPr>
    </w:p>
    <w:p w:rsidR="00792922" w:rsidRDefault="00EE019B" w:rsidP="00896377">
      <w:pPr>
        <w:pStyle w:val="ListParagraph"/>
        <w:numPr>
          <w:ilvl w:val="1"/>
          <w:numId w:val="12"/>
        </w:numPr>
        <w:ind w:left="1134"/>
        <w:rPr>
          <w:szCs w:val="22"/>
        </w:rPr>
      </w:pPr>
      <w:r w:rsidRPr="006F6951">
        <w:rPr>
          <w:szCs w:val="22"/>
        </w:rPr>
        <w:t xml:space="preserve">WIPO / FIT Australia </w:t>
      </w:r>
      <w:r w:rsidR="00792922" w:rsidRPr="006F6951">
        <w:rPr>
          <w:szCs w:val="22"/>
        </w:rPr>
        <w:t>IP Valuation</w:t>
      </w:r>
      <w:r w:rsidRPr="006F6951">
        <w:rPr>
          <w:szCs w:val="22"/>
        </w:rPr>
        <w:t xml:space="preserve"> Workshop, June 9 to 12, 2014, Jakarta, Indonesia;</w:t>
      </w:r>
    </w:p>
    <w:p w:rsidR="00896377" w:rsidRPr="006F6951" w:rsidRDefault="00896377" w:rsidP="00896377">
      <w:pPr>
        <w:pStyle w:val="ListParagraph"/>
        <w:ind w:left="1134"/>
        <w:rPr>
          <w:szCs w:val="22"/>
        </w:rPr>
      </w:pPr>
    </w:p>
    <w:p w:rsidR="004D1EC0" w:rsidRDefault="004D1EC0" w:rsidP="00896377">
      <w:pPr>
        <w:pStyle w:val="ListParagraph"/>
        <w:numPr>
          <w:ilvl w:val="1"/>
          <w:numId w:val="12"/>
        </w:numPr>
        <w:ind w:left="1134"/>
        <w:rPr>
          <w:szCs w:val="22"/>
        </w:rPr>
      </w:pPr>
      <w:r w:rsidRPr="006F6951">
        <w:rPr>
          <w:szCs w:val="22"/>
        </w:rPr>
        <w:t>WIPO Roving Seminar on IP Valuation and Technology Transfer for Universities, December 2 to 4, 2014, Klaipeda and Kaunas, Lithuania;</w:t>
      </w:r>
    </w:p>
    <w:p w:rsidR="00896377" w:rsidRPr="006F6951" w:rsidRDefault="00896377" w:rsidP="00896377">
      <w:pPr>
        <w:pStyle w:val="ListParagraph"/>
        <w:ind w:left="1134"/>
        <w:rPr>
          <w:szCs w:val="22"/>
        </w:rPr>
      </w:pPr>
    </w:p>
    <w:p w:rsidR="00EE019B" w:rsidRDefault="00EE019B" w:rsidP="00896377">
      <w:pPr>
        <w:pStyle w:val="ListParagraph"/>
        <w:numPr>
          <w:ilvl w:val="1"/>
          <w:numId w:val="12"/>
        </w:numPr>
        <w:ind w:left="1134"/>
        <w:rPr>
          <w:szCs w:val="22"/>
        </w:rPr>
      </w:pPr>
      <w:r w:rsidRPr="006F6951">
        <w:rPr>
          <w:szCs w:val="22"/>
        </w:rPr>
        <w:t>WIPO/PIPRA/UC Davis IP Valuation Course, UC Davis Licensing Academy, June 29, 2015, UC Davis, California, United States of America;</w:t>
      </w:r>
      <w:r w:rsidR="00896377">
        <w:rPr>
          <w:szCs w:val="22"/>
        </w:rPr>
        <w:t xml:space="preserve">  and</w:t>
      </w:r>
    </w:p>
    <w:p w:rsidR="00896377" w:rsidRPr="006F6951" w:rsidRDefault="00896377" w:rsidP="00896377">
      <w:pPr>
        <w:pStyle w:val="ListParagraph"/>
        <w:ind w:left="1134"/>
        <w:rPr>
          <w:szCs w:val="22"/>
        </w:rPr>
      </w:pPr>
    </w:p>
    <w:p w:rsidR="004D1EC0" w:rsidRPr="006F6951" w:rsidRDefault="00EE019B" w:rsidP="00896377">
      <w:pPr>
        <w:pStyle w:val="ListParagraph"/>
        <w:numPr>
          <w:ilvl w:val="1"/>
          <w:numId w:val="12"/>
        </w:numPr>
        <w:ind w:left="1134"/>
        <w:rPr>
          <w:szCs w:val="22"/>
        </w:rPr>
      </w:pPr>
      <w:r w:rsidRPr="006F6951">
        <w:rPr>
          <w:szCs w:val="22"/>
        </w:rPr>
        <w:t>WIPO Sub – Regional IP Valuation Workshop, October 21 to 23, 2015, Sibiu, Romania.</w:t>
      </w:r>
    </w:p>
    <w:p w:rsidR="000A3098" w:rsidRPr="006F6951" w:rsidRDefault="000A3098" w:rsidP="000A3098">
      <w:pPr>
        <w:pStyle w:val="ListParagraph"/>
        <w:rPr>
          <w:szCs w:val="22"/>
        </w:rPr>
      </w:pPr>
    </w:p>
    <w:p w:rsidR="00CA1534" w:rsidRPr="006F6951" w:rsidRDefault="00063946" w:rsidP="00063946">
      <w:pPr>
        <w:pStyle w:val="ListParagraph"/>
        <w:ind w:left="567"/>
        <w:rPr>
          <w:b/>
          <w:szCs w:val="22"/>
        </w:rPr>
      </w:pPr>
      <w:r w:rsidRPr="00063946">
        <w:rPr>
          <w:bCs/>
          <w:szCs w:val="22"/>
        </w:rPr>
        <w:t>(d)</w:t>
      </w:r>
      <w:r>
        <w:rPr>
          <w:b/>
          <w:szCs w:val="22"/>
        </w:rPr>
        <w:tab/>
      </w:r>
      <w:r w:rsidR="000A3098" w:rsidRPr="00063946">
        <w:rPr>
          <w:bCs/>
          <w:i/>
          <w:iCs/>
          <w:szCs w:val="22"/>
        </w:rPr>
        <w:t>IP Marketing and Valuation</w:t>
      </w:r>
      <w:r w:rsidR="000A3098" w:rsidRPr="006F6951">
        <w:rPr>
          <w:b/>
          <w:szCs w:val="22"/>
        </w:rPr>
        <w:t xml:space="preserve"> – </w:t>
      </w:r>
      <w:r w:rsidR="000A3098" w:rsidRPr="006F6951">
        <w:rPr>
          <w:szCs w:val="22"/>
        </w:rPr>
        <w:t>Newly created program in 2015, in response to requests of numerous research institutions facing challenges on how to market early stage technologies, how to identify the most appropriate collaborative or market partners, how to communicate information conc</w:t>
      </w:r>
      <w:r w:rsidR="00D50766" w:rsidRPr="006F6951">
        <w:rPr>
          <w:szCs w:val="22"/>
        </w:rPr>
        <w:t>erning technologies</w:t>
      </w:r>
      <w:r w:rsidR="000A3098" w:rsidRPr="006F6951">
        <w:rPr>
          <w:szCs w:val="22"/>
        </w:rPr>
        <w:t xml:space="preserve"> identified as commercially valuable and available for commercialization.  Currently training is available as a three or four</w:t>
      </w:r>
      <w:r w:rsidR="00436E20" w:rsidRPr="006F6951">
        <w:rPr>
          <w:szCs w:val="22"/>
        </w:rPr>
        <w:t>-day</w:t>
      </w:r>
      <w:r w:rsidR="000A3098" w:rsidRPr="006F6951">
        <w:rPr>
          <w:szCs w:val="22"/>
        </w:rPr>
        <w:t xml:space="preserve"> program, </w:t>
      </w:r>
      <w:r w:rsidR="00D50766" w:rsidRPr="006F6951">
        <w:rPr>
          <w:szCs w:val="22"/>
        </w:rPr>
        <w:t>where examples and exercises are created around real technologies, developed in local universities or research institutions</w:t>
      </w:r>
      <w:r w:rsidR="000A3098" w:rsidRPr="006F6951">
        <w:rPr>
          <w:szCs w:val="22"/>
        </w:rPr>
        <w:t>.  In</w:t>
      </w:r>
      <w:r>
        <w:rPr>
          <w:szCs w:val="22"/>
        </w:rPr>
        <w:t> </w:t>
      </w:r>
      <w:r w:rsidR="000A3098" w:rsidRPr="006F6951">
        <w:rPr>
          <w:szCs w:val="22"/>
        </w:rPr>
        <w:t>2015</w:t>
      </w:r>
      <w:r w:rsidR="005C48FA">
        <w:rPr>
          <w:szCs w:val="22"/>
        </w:rPr>
        <w:t>,</w:t>
      </w:r>
      <w:r w:rsidR="000A3098" w:rsidRPr="006F6951">
        <w:rPr>
          <w:szCs w:val="22"/>
        </w:rPr>
        <w:t xml:space="preserve"> this training was organized in </w:t>
      </w:r>
      <w:r w:rsidR="0098066E" w:rsidRPr="006F6951">
        <w:rPr>
          <w:szCs w:val="22"/>
        </w:rPr>
        <w:t>Brazil</w:t>
      </w:r>
      <w:r w:rsidR="00D50766" w:rsidRPr="006F6951">
        <w:rPr>
          <w:szCs w:val="22"/>
        </w:rPr>
        <w:t xml:space="preserve"> (in the context of an advanced STL course)</w:t>
      </w:r>
      <w:r w:rsidR="0098066E" w:rsidRPr="006F6951">
        <w:rPr>
          <w:szCs w:val="22"/>
        </w:rPr>
        <w:t xml:space="preserve">, </w:t>
      </w:r>
      <w:r w:rsidR="000A3098" w:rsidRPr="006F6951">
        <w:rPr>
          <w:szCs w:val="22"/>
        </w:rPr>
        <w:t xml:space="preserve">Philippines, </w:t>
      </w:r>
      <w:r w:rsidR="0098066E" w:rsidRPr="006F6951">
        <w:rPr>
          <w:szCs w:val="22"/>
        </w:rPr>
        <w:t>and Serbia.</w:t>
      </w:r>
    </w:p>
    <w:p w:rsidR="00B079AF" w:rsidRDefault="00B079AF" w:rsidP="00B079AF">
      <w:pPr>
        <w:rPr>
          <w:b/>
          <w:szCs w:val="22"/>
        </w:rPr>
      </w:pPr>
    </w:p>
    <w:p w:rsidR="00B079AF" w:rsidRDefault="003A517A" w:rsidP="00B079AF">
      <w:pPr>
        <w:rPr>
          <w:szCs w:val="22"/>
        </w:rPr>
      </w:pPr>
      <w:r w:rsidRPr="003A517A">
        <w:rPr>
          <w:bCs/>
          <w:szCs w:val="22"/>
        </w:rPr>
        <w:t>29</w:t>
      </w:r>
      <w:r>
        <w:rPr>
          <w:b/>
          <w:szCs w:val="22"/>
        </w:rPr>
        <w:t>.</w:t>
      </w:r>
      <w:r>
        <w:rPr>
          <w:b/>
          <w:szCs w:val="22"/>
        </w:rPr>
        <w:tab/>
      </w:r>
      <w:r w:rsidR="00B079AF" w:rsidRPr="00B079AF">
        <w:rPr>
          <w:szCs w:val="22"/>
        </w:rPr>
        <w:t>Capacity building programs were organized as well for specific scientific audiences, dealing with narrow scientific domains and knowledge transfer such as transfer and commercialization of research results related to neglected diseases</w:t>
      </w:r>
      <w:r w:rsidR="00B079AF">
        <w:rPr>
          <w:szCs w:val="22"/>
        </w:rPr>
        <w:t xml:space="preserve"> and public health</w:t>
      </w:r>
      <w:r w:rsidR="00B079AF" w:rsidRPr="00B079AF">
        <w:rPr>
          <w:szCs w:val="22"/>
        </w:rPr>
        <w:t>:</w:t>
      </w:r>
    </w:p>
    <w:p w:rsidR="002E3A0E" w:rsidRPr="00B079AF" w:rsidRDefault="002E3A0E" w:rsidP="002E3A0E">
      <w:pPr>
        <w:pStyle w:val="ListParagraph"/>
        <w:numPr>
          <w:ilvl w:val="0"/>
          <w:numId w:val="36"/>
        </w:numPr>
        <w:ind w:left="1134" w:hanging="567"/>
        <w:rPr>
          <w:bCs/>
          <w:szCs w:val="22"/>
        </w:rPr>
      </w:pPr>
      <w:r>
        <w:t xml:space="preserve">WIPO IP Management and Training Workshop. </w:t>
      </w:r>
      <w:r w:rsidRPr="00A72E5E">
        <w:rPr>
          <w:bCs/>
          <w:szCs w:val="22"/>
        </w:rPr>
        <w:t>New York, U</w:t>
      </w:r>
      <w:r w:rsidR="005C48FA">
        <w:rPr>
          <w:bCs/>
          <w:szCs w:val="22"/>
        </w:rPr>
        <w:t xml:space="preserve">nited </w:t>
      </w:r>
      <w:r w:rsidRPr="00A72E5E">
        <w:rPr>
          <w:bCs/>
          <w:szCs w:val="22"/>
        </w:rPr>
        <w:t>S</w:t>
      </w:r>
      <w:r w:rsidR="005C48FA">
        <w:rPr>
          <w:bCs/>
          <w:szCs w:val="22"/>
        </w:rPr>
        <w:t xml:space="preserve">tates of </w:t>
      </w:r>
      <w:r w:rsidRPr="00A72E5E">
        <w:rPr>
          <w:bCs/>
          <w:szCs w:val="22"/>
        </w:rPr>
        <w:t>A</w:t>
      </w:r>
      <w:r w:rsidR="005C48FA">
        <w:rPr>
          <w:bCs/>
          <w:szCs w:val="22"/>
        </w:rPr>
        <w:t>merica</w:t>
      </w:r>
      <w:r w:rsidRPr="00A72E5E">
        <w:rPr>
          <w:bCs/>
          <w:szCs w:val="22"/>
        </w:rPr>
        <w:t>.</w:t>
      </w:r>
      <w:r>
        <w:t xml:space="preserve"> November 4, 2014</w:t>
      </w:r>
      <w:r>
        <w:rPr>
          <w:bCs/>
          <w:szCs w:val="22"/>
        </w:rPr>
        <w:t xml:space="preserve">, for </w:t>
      </w:r>
      <w:r>
        <w:t xml:space="preserve">senior researchers and scientists from developing country institutions that are Members of WIPO </w:t>
      </w:r>
      <w:proofErr w:type="spellStart"/>
      <w:r>
        <w:t>Re:Search</w:t>
      </w:r>
      <w:proofErr w:type="spellEnd"/>
      <w:r>
        <w:t>;</w:t>
      </w:r>
    </w:p>
    <w:p w:rsidR="002E3A0E" w:rsidRPr="00BD67E4" w:rsidRDefault="002E3A0E" w:rsidP="002E3A0E">
      <w:pPr>
        <w:pStyle w:val="ListParagraph"/>
        <w:numPr>
          <w:ilvl w:val="0"/>
          <w:numId w:val="36"/>
        </w:numPr>
        <w:ind w:left="1134" w:hanging="567"/>
      </w:pPr>
      <w:r w:rsidRPr="00BD67E4">
        <w:rPr>
          <w:bCs/>
          <w:szCs w:val="22"/>
        </w:rPr>
        <w:t xml:space="preserve">WHO, WIPO, WTO Joint Symposium on </w:t>
      </w:r>
      <w:r w:rsidRPr="00BD67E4">
        <w:rPr>
          <w:bCs/>
          <w:i/>
          <w:szCs w:val="22"/>
        </w:rPr>
        <w:t xml:space="preserve">Innovation and Access to Medical Technologies – Challenges and Opportunities for Middle-Income Countries.  </w:t>
      </w:r>
      <w:r w:rsidRPr="00BD67E4">
        <w:rPr>
          <w:bCs/>
          <w:szCs w:val="22"/>
        </w:rPr>
        <w:t>Geneva, Switzerland. No</w:t>
      </w:r>
      <w:r>
        <w:rPr>
          <w:bCs/>
          <w:szCs w:val="22"/>
        </w:rPr>
        <w:t>vember 5, 2014;</w:t>
      </w:r>
    </w:p>
    <w:p w:rsidR="002E3A0E" w:rsidRDefault="002E3A0E" w:rsidP="002E3A0E">
      <w:pPr>
        <w:pStyle w:val="ListParagraph"/>
        <w:numPr>
          <w:ilvl w:val="0"/>
          <w:numId w:val="36"/>
        </w:numPr>
        <w:ind w:left="1134" w:hanging="567"/>
        <w:rPr>
          <w:szCs w:val="22"/>
        </w:rPr>
      </w:pPr>
      <w:r w:rsidRPr="00E65570">
        <w:rPr>
          <w:i/>
          <w:szCs w:val="22"/>
        </w:rPr>
        <w:lastRenderedPageBreak/>
        <w:t xml:space="preserve">COHRED Global Forum on Research and Innovation for Health 2015, </w:t>
      </w:r>
      <w:r w:rsidRPr="00E65570">
        <w:rPr>
          <w:szCs w:val="22"/>
        </w:rPr>
        <w:t xml:space="preserve">Manila, Philippines, August 24 </w:t>
      </w:r>
      <w:r w:rsidR="005C48FA">
        <w:rPr>
          <w:szCs w:val="22"/>
        </w:rPr>
        <w:t>to</w:t>
      </w:r>
      <w:r w:rsidRPr="00E65570">
        <w:rPr>
          <w:szCs w:val="22"/>
        </w:rPr>
        <w:t xml:space="preserve"> 27, 2015.</w:t>
      </w:r>
    </w:p>
    <w:p w:rsidR="002E3A0E" w:rsidRPr="00A72E5E" w:rsidRDefault="002E3A0E" w:rsidP="002E3A0E">
      <w:pPr>
        <w:pStyle w:val="ListParagraph"/>
        <w:numPr>
          <w:ilvl w:val="0"/>
          <w:numId w:val="36"/>
        </w:numPr>
        <w:ind w:left="1134" w:hanging="567"/>
        <w:rPr>
          <w:bCs/>
          <w:szCs w:val="22"/>
        </w:rPr>
      </w:pPr>
      <w:r w:rsidRPr="00A72E5E">
        <w:rPr>
          <w:bCs/>
          <w:szCs w:val="22"/>
        </w:rPr>
        <w:t xml:space="preserve">WHO, WIPO, WTO Joint </w:t>
      </w:r>
      <w:r w:rsidRPr="00A72E5E">
        <w:rPr>
          <w:szCs w:val="22"/>
        </w:rPr>
        <w:t xml:space="preserve">Symposium on </w:t>
      </w:r>
      <w:r w:rsidRPr="00A72E5E">
        <w:rPr>
          <w:i/>
          <w:szCs w:val="22"/>
        </w:rPr>
        <w:t>Public Health, Intellectual Property, and TRIPS at 20:</w:t>
      </w:r>
      <w:r w:rsidR="003A517A">
        <w:rPr>
          <w:i/>
          <w:szCs w:val="22"/>
        </w:rPr>
        <w:t xml:space="preserve"> </w:t>
      </w:r>
      <w:r w:rsidRPr="00A72E5E">
        <w:rPr>
          <w:i/>
          <w:szCs w:val="22"/>
        </w:rPr>
        <w:t xml:space="preserve"> Innovation and Access to Medicines; Learning from the Past, Illuminating the Future,</w:t>
      </w:r>
      <w:r w:rsidRPr="00A72E5E">
        <w:rPr>
          <w:szCs w:val="22"/>
        </w:rPr>
        <w:t xml:space="preserve"> Geneva, Switzerland. October 27 2015. </w:t>
      </w:r>
    </w:p>
    <w:p w:rsidR="002E3A0E" w:rsidRDefault="002E3A0E" w:rsidP="00B079AF">
      <w:pPr>
        <w:rPr>
          <w:szCs w:val="22"/>
        </w:rPr>
      </w:pPr>
    </w:p>
    <w:p w:rsidR="006E1258" w:rsidRDefault="003A517A" w:rsidP="003A517A">
      <w:pPr>
        <w:rPr>
          <w:szCs w:val="22"/>
        </w:rPr>
      </w:pPr>
      <w:r>
        <w:rPr>
          <w:szCs w:val="22"/>
        </w:rPr>
        <w:t>30.</w:t>
      </w:r>
      <w:r>
        <w:rPr>
          <w:szCs w:val="22"/>
        </w:rPr>
        <w:tab/>
      </w:r>
      <w:r w:rsidR="006C6C96">
        <w:rPr>
          <w:szCs w:val="22"/>
        </w:rPr>
        <w:t xml:space="preserve">The </w:t>
      </w:r>
      <w:r w:rsidR="002E3A0E">
        <w:rPr>
          <w:szCs w:val="22"/>
        </w:rPr>
        <w:t>WIPO Academy created a special pro</w:t>
      </w:r>
      <w:r w:rsidR="006E1258">
        <w:rPr>
          <w:szCs w:val="22"/>
        </w:rPr>
        <w:t xml:space="preserve">gram on technology transfer for WIPO </w:t>
      </w:r>
      <w:r w:rsidR="002E3A0E">
        <w:rPr>
          <w:szCs w:val="22"/>
        </w:rPr>
        <w:t>South Africa Summer School, which is organized on an annual base in Durban</w:t>
      </w:r>
      <w:r w:rsidR="006E1258">
        <w:rPr>
          <w:szCs w:val="22"/>
        </w:rPr>
        <w:t xml:space="preserve">, </w:t>
      </w:r>
      <w:r>
        <w:rPr>
          <w:szCs w:val="22"/>
        </w:rPr>
        <w:t xml:space="preserve">South Africa on November (2014 </w:t>
      </w:r>
      <w:r w:rsidR="006E1258">
        <w:rPr>
          <w:szCs w:val="22"/>
        </w:rPr>
        <w:t>and 2015</w:t>
      </w:r>
      <w:r w:rsidR="002E3A0E">
        <w:rPr>
          <w:szCs w:val="22"/>
        </w:rPr>
        <w:t>), for predominantly developing country</w:t>
      </w:r>
      <w:r w:rsidR="006E40E9">
        <w:rPr>
          <w:szCs w:val="22"/>
        </w:rPr>
        <w:t>’</w:t>
      </w:r>
      <w:r w:rsidR="002E3A0E">
        <w:rPr>
          <w:szCs w:val="22"/>
        </w:rPr>
        <w:t xml:space="preserve">s professionals.  The </w:t>
      </w:r>
      <w:r w:rsidR="005339B4">
        <w:rPr>
          <w:szCs w:val="22"/>
        </w:rPr>
        <w:t xml:space="preserve">one day training on technology transfer and licensing is also incorporated in the </w:t>
      </w:r>
    </w:p>
    <w:p w:rsidR="002E3A0E" w:rsidRDefault="005339B4" w:rsidP="00B079AF">
      <w:pPr>
        <w:rPr>
          <w:szCs w:val="22"/>
        </w:rPr>
      </w:pPr>
      <w:r>
        <w:rPr>
          <w:szCs w:val="22"/>
        </w:rPr>
        <w:t xml:space="preserve">WIPO / WTO Colloquium for Teachers of </w:t>
      </w:r>
      <w:proofErr w:type="gramStart"/>
      <w:r>
        <w:rPr>
          <w:szCs w:val="22"/>
        </w:rPr>
        <w:t>IP</w:t>
      </w:r>
      <w:r w:rsidR="006E1258">
        <w:rPr>
          <w:szCs w:val="22"/>
        </w:rPr>
        <w:t>, that</w:t>
      </w:r>
      <w:proofErr w:type="gramEnd"/>
      <w:r>
        <w:rPr>
          <w:szCs w:val="22"/>
        </w:rPr>
        <w:t xml:space="preserve"> </w:t>
      </w:r>
      <w:r w:rsidR="006E1258">
        <w:rPr>
          <w:szCs w:val="22"/>
        </w:rPr>
        <w:t>jointly provided</w:t>
      </w:r>
      <w:r>
        <w:rPr>
          <w:szCs w:val="22"/>
        </w:rPr>
        <w:t xml:space="preserve"> by </w:t>
      </w:r>
      <w:r w:rsidR="006E1258">
        <w:rPr>
          <w:szCs w:val="22"/>
        </w:rPr>
        <w:t xml:space="preserve">the </w:t>
      </w:r>
      <w:r>
        <w:rPr>
          <w:szCs w:val="22"/>
        </w:rPr>
        <w:t>two Organizations in Geneva</w:t>
      </w:r>
      <w:r w:rsidR="00BA7D7B">
        <w:rPr>
          <w:szCs w:val="22"/>
        </w:rPr>
        <w:t>, yearly</w:t>
      </w:r>
      <w:r>
        <w:rPr>
          <w:szCs w:val="22"/>
        </w:rPr>
        <w:t xml:space="preserve"> (June 2014 / June 2015)</w:t>
      </w:r>
      <w:r w:rsidR="00BA7D7B">
        <w:rPr>
          <w:szCs w:val="22"/>
        </w:rPr>
        <w:t>.  F</w:t>
      </w:r>
      <w:r>
        <w:rPr>
          <w:szCs w:val="22"/>
        </w:rPr>
        <w:t xml:space="preserve">or the government officials and policy makers from developing countries </w:t>
      </w:r>
      <w:r w:rsidR="00BA7D7B">
        <w:rPr>
          <w:szCs w:val="22"/>
        </w:rPr>
        <w:t xml:space="preserve">the topic is included </w:t>
      </w:r>
      <w:r>
        <w:rPr>
          <w:szCs w:val="22"/>
        </w:rPr>
        <w:t xml:space="preserve">in the WIPO / WTO Advanced Trade Policy Course, in Geneva, usually organized </w:t>
      </w:r>
      <w:r w:rsidR="00F25454">
        <w:rPr>
          <w:szCs w:val="22"/>
        </w:rPr>
        <w:t>two</w:t>
      </w:r>
      <w:r>
        <w:rPr>
          <w:szCs w:val="22"/>
        </w:rPr>
        <w:t xml:space="preserve"> to </w:t>
      </w:r>
      <w:r w:rsidR="00F25454">
        <w:rPr>
          <w:szCs w:val="22"/>
        </w:rPr>
        <w:t>three</w:t>
      </w:r>
      <w:r>
        <w:rPr>
          <w:szCs w:val="22"/>
        </w:rPr>
        <w:t xml:space="preserve"> times per year ( in 2014 trainings took place in February and October, and in 2015 the course was organized in February, July and November 2015).</w:t>
      </w:r>
      <w:r w:rsidR="002E3A0E">
        <w:rPr>
          <w:szCs w:val="22"/>
        </w:rPr>
        <w:t xml:space="preserve"> </w:t>
      </w:r>
    </w:p>
    <w:p w:rsidR="002E3A0E" w:rsidRDefault="002E3A0E" w:rsidP="00B079AF">
      <w:pPr>
        <w:rPr>
          <w:szCs w:val="22"/>
        </w:rPr>
      </w:pPr>
    </w:p>
    <w:p w:rsidR="00B079AF" w:rsidRDefault="003A517A" w:rsidP="00B079AF">
      <w:pPr>
        <w:rPr>
          <w:szCs w:val="22"/>
        </w:rPr>
      </w:pPr>
      <w:r>
        <w:rPr>
          <w:szCs w:val="22"/>
        </w:rPr>
        <w:t>31.</w:t>
      </w:r>
      <w:r>
        <w:rPr>
          <w:szCs w:val="22"/>
        </w:rPr>
        <w:tab/>
      </w:r>
      <w:r w:rsidR="006C6C96">
        <w:rPr>
          <w:szCs w:val="22"/>
        </w:rPr>
        <w:t xml:space="preserve">Through collaboration of Academy with various academic institutions WIPO also became a partner in creation of Master Courses (LLM) on Intellectual Property, where participation of students from developing countries is mainly sponsored by WIPO.  Issues related to knowledge / technology transfer are included in the curricula of those LLM courses </w:t>
      </w:r>
      <w:proofErr w:type="gramStart"/>
      <w:r w:rsidR="006E1258">
        <w:rPr>
          <w:szCs w:val="22"/>
        </w:rPr>
        <w:t>in a different forms</w:t>
      </w:r>
      <w:proofErr w:type="gramEnd"/>
      <w:r w:rsidR="006E1258">
        <w:rPr>
          <w:szCs w:val="22"/>
        </w:rPr>
        <w:t>, mostly combination of theoretical part and practical exercise related to use of IP in this context.  Such programs are developed in cooperation with the University of Turin (Turin, Italy), Africa University (</w:t>
      </w:r>
      <w:proofErr w:type="spellStart"/>
      <w:r w:rsidR="006E1258">
        <w:rPr>
          <w:szCs w:val="22"/>
        </w:rPr>
        <w:t>Mutare</w:t>
      </w:r>
      <w:proofErr w:type="spellEnd"/>
      <w:r w:rsidR="006E1258">
        <w:rPr>
          <w:szCs w:val="22"/>
        </w:rPr>
        <w:t xml:space="preserve">, Zimbabwe), Queensland University of Technology (Brisbane, Australia) and Austral University (Buenos </w:t>
      </w:r>
      <w:r w:rsidR="00BA7D7B">
        <w:rPr>
          <w:szCs w:val="22"/>
        </w:rPr>
        <w:t>Aires, Argentina</w:t>
      </w:r>
      <w:r w:rsidR="006E1258">
        <w:rPr>
          <w:szCs w:val="22"/>
        </w:rPr>
        <w:t xml:space="preserve">), and are available </w:t>
      </w:r>
      <w:r>
        <w:rPr>
          <w:szCs w:val="22"/>
        </w:rPr>
        <w:t>on annual bases</w:t>
      </w:r>
      <w:r w:rsidR="00BA7D7B">
        <w:rPr>
          <w:szCs w:val="22"/>
        </w:rPr>
        <w:t>, with scholarship for participants from LDCs, developing and countries in transition</w:t>
      </w:r>
      <w:r w:rsidR="006E1258">
        <w:rPr>
          <w:szCs w:val="22"/>
        </w:rPr>
        <w:t>.</w:t>
      </w:r>
    </w:p>
    <w:p w:rsidR="00843968" w:rsidRPr="006F6951" w:rsidRDefault="00843968" w:rsidP="007269E0">
      <w:pPr>
        <w:rPr>
          <w:b/>
          <w:szCs w:val="22"/>
        </w:rPr>
      </w:pPr>
    </w:p>
    <w:p w:rsidR="00843968" w:rsidRPr="006F6951" w:rsidRDefault="007269E0" w:rsidP="007269E0">
      <w:pPr>
        <w:pStyle w:val="Heading2"/>
      </w:pPr>
      <w:r>
        <w:t>V</w:t>
      </w:r>
      <w:r w:rsidR="00ED24D5">
        <w:t>I</w:t>
      </w:r>
      <w:r w:rsidR="006F6951" w:rsidRPr="006F6951">
        <w:t>.</w:t>
      </w:r>
      <w:r w:rsidR="006F6951" w:rsidRPr="006F6951">
        <w:tab/>
      </w:r>
      <w:r w:rsidR="0098066E" w:rsidRPr="006F6951">
        <w:t>Creation of Tools, Guides / Manuals and Training Materials</w:t>
      </w:r>
    </w:p>
    <w:p w:rsidR="0098066E" w:rsidRPr="006F6951" w:rsidRDefault="0098066E" w:rsidP="007269E0">
      <w:pPr>
        <w:rPr>
          <w:u w:val="single"/>
        </w:rPr>
      </w:pPr>
    </w:p>
    <w:p w:rsidR="0098066E" w:rsidRPr="006F6951" w:rsidRDefault="007269E0" w:rsidP="00EF7920">
      <w:pPr>
        <w:rPr>
          <w:szCs w:val="22"/>
        </w:rPr>
      </w:pPr>
      <w:r>
        <w:rPr>
          <w:szCs w:val="22"/>
        </w:rPr>
        <w:t>32.</w:t>
      </w:r>
      <w:r>
        <w:rPr>
          <w:szCs w:val="22"/>
        </w:rPr>
        <w:tab/>
      </w:r>
      <w:r w:rsidR="003E393E" w:rsidRPr="006F6951">
        <w:rPr>
          <w:szCs w:val="22"/>
        </w:rPr>
        <w:t>Most WIPO</w:t>
      </w:r>
      <w:r w:rsidR="0098066E" w:rsidRPr="006F6951">
        <w:rPr>
          <w:szCs w:val="22"/>
        </w:rPr>
        <w:t xml:space="preserve"> g</w:t>
      </w:r>
      <w:r w:rsidR="000F3E68" w:rsidRPr="006F6951">
        <w:rPr>
          <w:szCs w:val="22"/>
        </w:rPr>
        <w:t xml:space="preserve">uides and </w:t>
      </w:r>
      <w:r w:rsidR="0098066E" w:rsidRPr="006F6951">
        <w:rPr>
          <w:szCs w:val="22"/>
        </w:rPr>
        <w:t xml:space="preserve">manuals are </w:t>
      </w:r>
      <w:r w:rsidR="00270A5B" w:rsidRPr="006F6951">
        <w:rPr>
          <w:szCs w:val="22"/>
        </w:rPr>
        <w:t xml:space="preserve">developed </w:t>
      </w:r>
      <w:r w:rsidR="0098066E" w:rsidRPr="006F6951">
        <w:rPr>
          <w:szCs w:val="22"/>
        </w:rPr>
        <w:t xml:space="preserve">to be used </w:t>
      </w:r>
      <w:r w:rsidR="00270A5B" w:rsidRPr="006F6951">
        <w:rPr>
          <w:szCs w:val="22"/>
        </w:rPr>
        <w:t>in</w:t>
      </w:r>
      <w:r w:rsidR="0098066E" w:rsidRPr="006F6951">
        <w:rPr>
          <w:szCs w:val="22"/>
        </w:rPr>
        <w:t xml:space="preserve"> specific training program</w:t>
      </w:r>
      <w:r w:rsidR="008425FD" w:rsidRPr="006F6951">
        <w:rPr>
          <w:szCs w:val="22"/>
        </w:rPr>
        <w:t>s</w:t>
      </w:r>
      <w:r w:rsidR="007105FD" w:rsidRPr="006F6951">
        <w:rPr>
          <w:szCs w:val="22"/>
        </w:rPr>
        <w:t>,</w:t>
      </w:r>
      <w:r w:rsidR="0098066E" w:rsidRPr="006F6951">
        <w:rPr>
          <w:szCs w:val="22"/>
        </w:rPr>
        <w:t xml:space="preserve"> as </w:t>
      </w:r>
      <w:r w:rsidR="000F3E68" w:rsidRPr="006F6951">
        <w:rPr>
          <w:szCs w:val="22"/>
        </w:rPr>
        <w:t>in</w:t>
      </w:r>
      <w:r w:rsidR="007105FD" w:rsidRPr="006F6951">
        <w:rPr>
          <w:szCs w:val="22"/>
        </w:rPr>
        <w:t>dicated in the c</w:t>
      </w:r>
      <w:r w:rsidR="000F3E68" w:rsidRPr="006F6951">
        <w:rPr>
          <w:szCs w:val="22"/>
        </w:rPr>
        <w:t xml:space="preserve">hapter on Capacity Building Programs.  </w:t>
      </w:r>
      <w:r w:rsidR="00270A5B" w:rsidRPr="006F6951">
        <w:rPr>
          <w:szCs w:val="22"/>
        </w:rPr>
        <w:t>WIPO developed the</w:t>
      </w:r>
      <w:r w:rsidR="000F3E68" w:rsidRPr="006F6951">
        <w:rPr>
          <w:szCs w:val="22"/>
        </w:rPr>
        <w:t xml:space="preserve"> following manuals:</w:t>
      </w:r>
    </w:p>
    <w:p w:rsidR="000F3E68" w:rsidRPr="006F6951" w:rsidRDefault="000F3E68" w:rsidP="00EF7920">
      <w:pPr>
        <w:rPr>
          <w:szCs w:val="22"/>
        </w:rPr>
      </w:pPr>
    </w:p>
    <w:p w:rsidR="00D50766" w:rsidRPr="006F6951" w:rsidRDefault="00D50766" w:rsidP="00620983">
      <w:pPr>
        <w:pStyle w:val="ListParagraph"/>
        <w:numPr>
          <w:ilvl w:val="0"/>
          <w:numId w:val="13"/>
        </w:numPr>
        <w:ind w:left="1134" w:hanging="567"/>
        <w:rPr>
          <w:szCs w:val="22"/>
        </w:rPr>
      </w:pPr>
      <w:r w:rsidRPr="006F6951">
        <w:rPr>
          <w:szCs w:val="22"/>
        </w:rPr>
        <w:t xml:space="preserve">WIPO Patent Drafting Training Kit – Containing WIPO Patent Drafting Manual WIPO Publication no. 867 - </w:t>
      </w:r>
      <w:hyperlink r:id="rId20" w:history="1">
        <w:r w:rsidRPr="006F6951">
          <w:rPr>
            <w:rStyle w:val="Hyperlink"/>
            <w:szCs w:val="22"/>
          </w:rPr>
          <w:t>http://www.wipo.int/edocs/pubdocs/en/patents/867/wipo_pub_867.pdf</w:t>
        </w:r>
      </w:hyperlink>
      <w:r w:rsidRPr="006F6951">
        <w:rPr>
          <w:szCs w:val="22"/>
        </w:rPr>
        <w:t>), model of standard program and set of presentations aligned with the content of the Manual.  Materials are available in English, French and Spanish;</w:t>
      </w:r>
    </w:p>
    <w:p w:rsidR="008425FD" w:rsidRPr="006F6951" w:rsidRDefault="008425FD" w:rsidP="00620983">
      <w:pPr>
        <w:pStyle w:val="ListParagraph"/>
        <w:numPr>
          <w:ilvl w:val="0"/>
          <w:numId w:val="13"/>
        </w:numPr>
        <w:ind w:left="1134" w:hanging="567"/>
        <w:rPr>
          <w:szCs w:val="22"/>
        </w:rPr>
      </w:pPr>
      <w:r w:rsidRPr="006F6951">
        <w:rPr>
          <w:szCs w:val="22"/>
        </w:rPr>
        <w:t>Patent Drafting Exercise Book</w:t>
      </w:r>
      <w:r w:rsidR="00E42C79" w:rsidRPr="006F6951">
        <w:rPr>
          <w:szCs w:val="22"/>
        </w:rPr>
        <w:t xml:space="preserve"> – Mat</w:t>
      </w:r>
      <w:r w:rsidR="0061576A">
        <w:rPr>
          <w:szCs w:val="22"/>
        </w:rPr>
        <w:t>erial developed based on the DA </w:t>
      </w:r>
      <w:r w:rsidR="00E42C79" w:rsidRPr="006F6951">
        <w:rPr>
          <w:szCs w:val="22"/>
        </w:rPr>
        <w:t>Recommendation 10,</w:t>
      </w:r>
      <w:r w:rsidR="0010081D">
        <w:rPr>
          <w:szCs w:val="22"/>
        </w:rPr>
        <w:t xml:space="preserve"> </w:t>
      </w:r>
      <w:r w:rsidR="00E42C79" w:rsidRPr="006F6951">
        <w:rPr>
          <w:szCs w:val="22"/>
        </w:rPr>
        <w:t>currently available in the draft form and under review and expected to be soon available on WIPO Knowledge Transfer web – page;</w:t>
      </w:r>
    </w:p>
    <w:p w:rsidR="000E2239" w:rsidRPr="006F6951" w:rsidRDefault="0098066E" w:rsidP="00620983">
      <w:pPr>
        <w:pStyle w:val="ListParagraph"/>
        <w:numPr>
          <w:ilvl w:val="0"/>
          <w:numId w:val="13"/>
        </w:numPr>
        <w:ind w:left="1134" w:hanging="567"/>
        <w:textAlignment w:val="baseline"/>
        <w:rPr>
          <w:szCs w:val="22"/>
        </w:rPr>
      </w:pPr>
      <w:r w:rsidRPr="006F6951">
        <w:rPr>
          <w:szCs w:val="22"/>
        </w:rPr>
        <w:t xml:space="preserve">Successful Technology Licensing (STL) </w:t>
      </w:r>
      <w:r w:rsidR="00E42C79" w:rsidRPr="006F6951">
        <w:rPr>
          <w:szCs w:val="22"/>
        </w:rPr>
        <w:t>Training Kit –</w:t>
      </w:r>
      <w:r w:rsidRPr="006F6951">
        <w:rPr>
          <w:szCs w:val="22"/>
        </w:rPr>
        <w:t xml:space="preserve"> </w:t>
      </w:r>
      <w:r w:rsidR="00E42C79" w:rsidRPr="006F6951">
        <w:rPr>
          <w:szCs w:val="22"/>
        </w:rPr>
        <w:t xml:space="preserve">It is strategically developed as a combination of the basic theoretical STL Manual, </w:t>
      </w:r>
      <w:r w:rsidR="00851E8C" w:rsidRPr="006F6951">
        <w:rPr>
          <w:szCs w:val="22"/>
        </w:rPr>
        <w:t xml:space="preserve">standard programs for basic, advanced and train the trainers course.  The manual was </w:t>
      </w:r>
      <w:r w:rsidR="00E42C79" w:rsidRPr="006F6951">
        <w:rPr>
          <w:szCs w:val="22"/>
        </w:rPr>
        <w:t>first created in 2007</w:t>
      </w:r>
      <w:r w:rsidR="000E2239" w:rsidRPr="006F6951">
        <w:rPr>
          <w:szCs w:val="22"/>
        </w:rPr>
        <w:t>, and issued</w:t>
      </w:r>
      <w:r w:rsidR="00E42C79" w:rsidRPr="006F6951">
        <w:rPr>
          <w:szCs w:val="22"/>
        </w:rPr>
        <w:t xml:space="preserve"> in English and French </w:t>
      </w:r>
      <w:r w:rsidR="000E2239" w:rsidRPr="006F6951">
        <w:rPr>
          <w:szCs w:val="22"/>
        </w:rPr>
        <w:t xml:space="preserve">as WIPO publications 903 E and 903 F), translated in 8 other languages </w:t>
      </w:r>
      <w:r w:rsidR="00851E8C" w:rsidRPr="006F6951">
        <w:rPr>
          <w:szCs w:val="22"/>
        </w:rPr>
        <w:t>(</w:t>
      </w:r>
      <w:r w:rsidR="00851E8C" w:rsidRPr="006F6951">
        <w:rPr>
          <w:rFonts w:eastAsia="MS PGothic"/>
          <w:i/>
          <w:iCs/>
          <w:kern w:val="24"/>
          <w:szCs w:val="22"/>
        </w:rPr>
        <w:t>Spanish, Arabic, Russian, Chinese, Portuguese, Serbian, Vietnamese and Romanian)</w:t>
      </w:r>
      <w:r w:rsidR="00851E8C" w:rsidRPr="006F6951">
        <w:rPr>
          <w:szCs w:val="22"/>
        </w:rPr>
        <w:t>,</w:t>
      </w:r>
      <w:r w:rsidR="000E2239" w:rsidRPr="006F6951">
        <w:rPr>
          <w:szCs w:val="22"/>
        </w:rPr>
        <w:t xml:space="preserve"> in 2014 reviewed in order to include reference to competition law and licensing. </w:t>
      </w:r>
      <w:r w:rsidR="00E42C79" w:rsidRPr="006F6951">
        <w:rPr>
          <w:szCs w:val="22"/>
        </w:rPr>
        <w:t xml:space="preserve"> </w:t>
      </w:r>
      <w:r w:rsidR="000E2239" w:rsidRPr="006F6951">
        <w:rPr>
          <w:szCs w:val="22"/>
        </w:rPr>
        <w:t>C</w:t>
      </w:r>
      <w:r w:rsidR="00E42C79" w:rsidRPr="006F6951">
        <w:rPr>
          <w:szCs w:val="22"/>
        </w:rPr>
        <w:t xml:space="preserve">urrently </w:t>
      </w:r>
      <w:r w:rsidR="000E2239" w:rsidRPr="006F6951">
        <w:rPr>
          <w:szCs w:val="22"/>
        </w:rPr>
        <w:t xml:space="preserve">is </w:t>
      </w:r>
      <w:r w:rsidR="00E42C79" w:rsidRPr="006F6951">
        <w:rPr>
          <w:szCs w:val="22"/>
        </w:rPr>
        <w:t xml:space="preserve">available as a new edition </w:t>
      </w:r>
      <w:r w:rsidR="000E2239" w:rsidRPr="006F6951">
        <w:rPr>
          <w:szCs w:val="22"/>
        </w:rPr>
        <w:t xml:space="preserve">of </w:t>
      </w:r>
      <w:r w:rsidR="00E42C79" w:rsidRPr="006F6951">
        <w:rPr>
          <w:szCs w:val="22"/>
        </w:rPr>
        <w:t xml:space="preserve">WIPO publication 903E, with additional Chapter V </w:t>
      </w:r>
      <w:r w:rsidR="000E2239" w:rsidRPr="006F6951">
        <w:rPr>
          <w:i/>
          <w:szCs w:val="22"/>
        </w:rPr>
        <w:t>Understanding Certain Antitrust Concerns Related to Technology Licensing</w:t>
      </w:r>
      <w:r w:rsidR="00851E8C" w:rsidRPr="006F6951">
        <w:rPr>
          <w:i/>
          <w:szCs w:val="22"/>
        </w:rPr>
        <w:t>.</w:t>
      </w:r>
      <w:r w:rsidR="00E42C79" w:rsidRPr="006F6951">
        <w:rPr>
          <w:szCs w:val="22"/>
        </w:rPr>
        <w:t xml:space="preserve"> </w:t>
      </w:r>
      <w:hyperlink r:id="rId21" w:history="1">
        <w:r w:rsidR="000E2239" w:rsidRPr="006F6951">
          <w:rPr>
            <w:rStyle w:val="Hyperlink"/>
            <w:szCs w:val="22"/>
          </w:rPr>
          <w:t>http://www.wipo.int/edocs/pubdocs/en/licensing/903/wipo_pub_903.pdf</w:t>
        </w:r>
      </w:hyperlink>
      <w:r w:rsidR="00851E8C" w:rsidRPr="006F6951">
        <w:rPr>
          <w:szCs w:val="22"/>
        </w:rPr>
        <w:t>;</w:t>
      </w:r>
    </w:p>
    <w:p w:rsidR="00851E8C" w:rsidRPr="006F6951" w:rsidRDefault="00851E8C" w:rsidP="00620983">
      <w:pPr>
        <w:pStyle w:val="ListParagraph"/>
        <w:numPr>
          <w:ilvl w:val="0"/>
          <w:numId w:val="13"/>
        </w:numPr>
        <w:ind w:left="1134" w:hanging="567"/>
        <w:rPr>
          <w:szCs w:val="22"/>
        </w:rPr>
      </w:pPr>
      <w:r w:rsidRPr="006F6951">
        <w:rPr>
          <w:szCs w:val="22"/>
        </w:rPr>
        <w:lastRenderedPageBreak/>
        <w:t xml:space="preserve">IPR Management </w:t>
      </w:r>
      <w:r w:rsidR="006E40E9">
        <w:rPr>
          <w:szCs w:val="22"/>
        </w:rPr>
        <w:t>“</w:t>
      </w:r>
      <w:r w:rsidRPr="006F6951">
        <w:rPr>
          <w:szCs w:val="22"/>
        </w:rPr>
        <w:t>Tool Box</w:t>
      </w:r>
      <w:r w:rsidR="006E40E9">
        <w:rPr>
          <w:szCs w:val="22"/>
        </w:rPr>
        <w:t>”</w:t>
      </w:r>
      <w:r w:rsidRPr="006F6951">
        <w:rPr>
          <w:szCs w:val="22"/>
        </w:rPr>
        <w:t xml:space="preserve"> for Universities - With the support of </w:t>
      </w:r>
      <w:r w:rsidR="0061576A">
        <w:rPr>
          <w:szCs w:val="22"/>
        </w:rPr>
        <w:t>the Funds</w:t>
      </w:r>
      <w:r w:rsidR="0061576A">
        <w:rPr>
          <w:szCs w:val="22"/>
        </w:rPr>
        <w:noBreakHyphen/>
        <w:t>in</w:t>
      </w:r>
      <w:r w:rsidR="0061576A">
        <w:rPr>
          <w:szCs w:val="22"/>
        </w:rPr>
        <w:noBreakHyphen/>
      </w:r>
      <w:r w:rsidRPr="006F6951">
        <w:rPr>
          <w:szCs w:val="22"/>
        </w:rPr>
        <w:t xml:space="preserve">Trust of </w:t>
      </w:r>
      <w:r w:rsidR="0061576A">
        <w:rPr>
          <w:szCs w:val="22"/>
        </w:rPr>
        <w:t xml:space="preserve">the </w:t>
      </w:r>
      <w:r w:rsidRPr="006F6951">
        <w:rPr>
          <w:szCs w:val="22"/>
        </w:rPr>
        <w:t xml:space="preserve">Government of Australia WIPO developed in 2014 a </w:t>
      </w:r>
      <w:r w:rsidR="006E40E9">
        <w:rPr>
          <w:szCs w:val="22"/>
        </w:rPr>
        <w:t>“</w:t>
      </w:r>
      <w:r w:rsidRPr="006F6951">
        <w:rPr>
          <w:szCs w:val="22"/>
        </w:rPr>
        <w:t>Tool Box</w:t>
      </w:r>
      <w:r w:rsidR="006E40E9">
        <w:rPr>
          <w:szCs w:val="22"/>
        </w:rPr>
        <w:t>”</w:t>
      </w:r>
      <w:r w:rsidRPr="006F6951">
        <w:rPr>
          <w:szCs w:val="22"/>
        </w:rPr>
        <w:t xml:space="preserve"> for universities containing models of IP Institutional Policy and Technology Transfer Contracts that research institutions most frequently negotiate and sign.  Each model is accompanied by the guide and instructions regarding content, process of negotiation and drafting of the contract.  Soon will be available on the WIPO Knowledge Transfer web page; </w:t>
      </w:r>
    </w:p>
    <w:p w:rsidR="008425FD" w:rsidRPr="006F6951" w:rsidRDefault="008425FD" w:rsidP="00620983">
      <w:pPr>
        <w:pStyle w:val="ListParagraph"/>
        <w:numPr>
          <w:ilvl w:val="0"/>
          <w:numId w:val="13"/>
        </w:numPr>
        <w:ind w:left="1134" w:hanging="567"/>
        <w:rPr>
          <w:szCs w:val="22"/>
        </w:rPr>
      </w:pPr>
      <w:r w:rsidRPr="006F6951">
        <w:rPr>
          <w:szCs w:val="22"/>
        </w:rPr>
        <w:t>Practical Guide for Valuing Intangible Assets in Research and Development Institutions (CDIP document);</w:t>
      </w:r>
    </w:p>
    <w:p w:rsidR="008425FD" w:rsidRPr="006F6951" w:rsidRDefault="008425FD" w:rsidP="00620983">
      <w:pPr>
        <w:pStyle w:val="ListParagraph"/>
        <w:numPr>
          <w:ilvl w:val="0"/>
          <w:numId w:val="13"/>
        </w:numPr>
        <w:ind w:left="1134" w:hanging="567"/>
        <w:rPr>
          <w:szCs w:val="22"/>
        </w:rPr>
      </w:pPr>
      <w:r w:rsidRPr="006F6951">
        <w:rPr>
          <w:szCs w:val="22"/>
        </w:rPr>
        <w:t>IP Valuation Training Kit for Academic Institutions (CDIP document);</w:t>
      </w:r>
    </w:p>
    <w:p w:rsidR="008425FD" w:rsidRPr="006F6951" w:rsidRDefault="008425FD" w:rsidP="00620983">
      <w:pPr>
        <w:pStyle w:val="ListParagraph"/>
        <w:numPr>
          <w:ilvl w:val="0"/>
          <w:numId w:val="13"/>
        </w:numPr>
        <w:ind w:left="1134" w:hanging="567"/>
        <w:rPr>
          <w:szCs w:val="22"/>
        </w:rPr>
      </w:pPr>
      <w:r w:rsidRPr="006F6951">
        <w:rPr>
          <w:szCs w:val="22"/>
        </w:rPr>
        <w:t>IP Audit</w:t>
      </w:r>
      <w:r w:rsidR="00851E8C" w:rsidRPr="006F6951">
        <w:rPr>
          <w:szCs w:val="22"/>
        </w:rPr>
        <w:t xml:space="preserve"> Tool </w:t>
      </w:r>
      <w:r w:rsidR="00CE3E16" w:rsidRPr="006F6951">
        <w:rPr>
          <w:szCs w:val="22"/>
        </w:rPr>
        <w:t>–</w:t>
      </w:r>
      <w:r w:rsidR="00851E8C" w:rsidRPr="006F6951">
        <w:rPr>
          <w:szCs w:val="22"/>
        </w:rPr>
        <w:t xml:space="preserve"> </w:t>
      </w:r>
      <w:r w:rsidR="00CE3E16" w:rsidRPr="006F6951">
        <w:rPr>
          <w:szCs w:val="22"/>
        </w:rPr>
        <w:t xml:space="preserve">WIPO Publication 927, on issues to be addressed in </w:t>
      </w:r>
      <w:r w:rsidR="0061576A">
        <w:rPr>
          <w:szCs w:val="22"/>
        </w:rPr>
        <w:t xml:space="preserve">an </w:t>
      </w:r>
      <w:r w:rsidR="00CE3E16" w:rsidRPr="006F6951">
        <w:rPr>
          <w:szCs w:val="22"/>
        </w:rPr>
        <w:t xml:space="preserve">IP audit process on the national and institutional level when developing </w:t>
      </w:r>
      <w:r w:rsidR="0061576A">
        <w:rPr>
          <w:szCs w:val="22"/>
        </w:rPr>
        <w:t xml:space="preserve">an </w:t>
      </w:r>
      <w:r w:rsidR="00CE3E16" w:rsidRPr="006F6951">
        <w:rPr>
          <w:szCs w:val="22"/>
        </w:rPr>
        <w:t xml:space="preserve">IP strategy </w:t>
      </w:r>
      <w:hyperlink r:id="rId22" w:history="1">
        <w:r w:rsidR="00CE3E16" w:rsidRPr="006F6951">
          <w:rPr>
            <w:rStyle w:val="Hyperlink"/>
            <w:szCs w:val="22"/>
          </w:rPr>
          <w:t>http://www.wipo.int/edocs/pubdocs/en/intproperty/927/wipo_pub_927.pdf</w:t>
        </w:r>
      </w:hyperlink>
      <w:r w:rsidR="00CE3E16" w:rsidRPr="006F6951">
        <w:rPr>
          <w:szCs w:val="22"/>
        </w:rPr>
        <w:t>;</w:t>
      </w:r>
    </w:p>
    <w:p w:rsidR="00AF2790" w:rsidRPr="006F6951" w:rsidRDefault="00AF2790" w:rsidP="00620983">
      <w:pPr>
        <w:pStyle w:val="ListParagraph"/>
        <w:numPr>
          <w:ilvl w:val="0"/>
          <w:numId w:val="13"/>
        </w:numPr>
        <w:ind w:left="1134" w:hanging="567"/>
        <w:rPr>
          <w:szCs w:val="22"/>
        </w:rPr>
      </w:pPr>
      <w:r w:rsidRPr="006F6951">
        <w:rPr>
          <w:szCs w:val="22"/>
        </w:rPr>
        <w:t>IP Asset</w:t>
      </w:r>
      <w:r w:rsidR="008425FD" w:rsidRPr="006F6951">
        <w:rPr>
          <w:szCs w:val="22"/>
        </w:rPr>
        <w:t xml:space="preserve"> </w:t>
      </w:r>
      <w:r w:rsidRPr="006F6951">
        <w:rPr>
          <w:szCs w:val="22"/>
        </w:rPr>
        <w:t xml:space="preserve">Development and Management:  A Key Strategy for Economic Growth, WIPO Publication 896 on essential elements of IPR management - </w:t>
      </w:r>
      <w:hyperlink r:id="rId23" w:history="1">
        <w:r w:rsidRPr="006F6951">
          <w:rPr>
            <w:rStyle w:val="Hyperlink"/>
            <w:szCs w:val="22"/>
          </w:rPr>
          <w:t>http://www.wipo.int/edocs/pubdocs/en/intproperty/896/wipo_pub_896.pdf</w:t>
        </w:r>
      </w:hyperlink>
    </w:p>
    <w:p w:rsidR="00AF3D88" w:rsidRPr="006F6951" w:rsidRDefault="00AF2790" w:rsidP="00620983">
      <w:pPr>
        <w:pStyle w:val="ListParagraph"/>
        <w:numPr>
          <w:ilvl w:val="0"/>
          <w:numId w:val="13"/>
        </w:numPr>
        <w:ind w:left="1134" w:hanging="567"/>
        <w:rPr>
          <w:szCs w:val="22"/>
        </w:rPr>
      </w:pPr>
      <w:r w:rsidRPr="006F6951">
        <w:rPr>
          <w:szCs w:val="22"/>
        </w:rPr>
        <w:t xml:space="preserve">Exchange Value – Negotiation Technology Licensing </w:t>
      </w:r>
      <w:r w:rsidR="00AF3D88" w:rsidRPr="006F6951">
        <w:rPr>
          <w:szCs w:val="22"/>
        </w:rPr>
        <w:t xml:space="preserve">Agreements – Practical training material, available as WIPO publication 906E </w:t>
      </w:r>
      <w:hyperlink r:id="rId24" w:history="1">
        <w:r w:rsidR="00AF3D88" w:rsidRPr="006F6951">
          <w:rPr>
            <w:rStyle w:val="Hyperlink"/>
            <w:szCs w:val="22"/>
          </w:rPr>
          <w:t>http://www.wipo.int/export/sites/www/sme/en/documents/pdf/technology_licensing.pdf</w:t>
        </w:r>
      </w:hyperlink>
      <w:r w:rsidR="00AF3D88" w:rsidRPr="006F6951">
        <w:rPr>
          <w:szCs w:val="22"/>
        </w:rPr>
        <w:t>.</w:t>
      </w:r>
    </w:p>
    <w:p w:rsidR="00730497" w:rsidRPr="006F6951" w:rsidRDefault="00730497" w:rsidP="00620983">
      <w:pPr>
        <w:pStyle w:val="ListParagraph"/>
        <w:numPr>
          <w:ilvl w:val="0"/>
          <w:numId w:val="13"/>
        </w:numPr>
        <w:ind w:left="1134" w:hanging="567"/>
        <w:rPr>
          <w:bCs/>
          <w:szCs w:val="22"/>
        </w:rPr>
      </w:pPr>
      <w:r w:rsidRPr="006F6951">
        <w:rPr>
          <w:bCs/>
          <w:i/>
          <w:szCs w:val="22"/>
        </w:rPr>
        <w:t xml:space="preserve">WIPO GREEN case study:  Green Technology Diffusion: The Case of </w:t>
      </w:r>
      <w:proofErr w:type="spellStart"/>
      <w:r w:rsidRPr="006F6951">
        <w:rPr>
          <w:bCs/>
          <w:i/>
          <w:szCs w:val="22"/>
        </w:rPr>
        <w:t>Ecosan</w:t>
      </w:r>
      <w:proofErr w:type="spellEnd"/>
      <w:r w:rsidRPr="006F6951">
        <w:rPr>
          <w:bCs/>
          <w:i/>
          <w:szCs w:val="22"/>
        </w:rPr>
        <w:t xml:space="preserve"> Waterless Toilets</w:t>
      </w:r>
      <w:r w:rsidR="0051362C" w:rsidRPr="006F6951">
        <w:rPr>
          <w:bCs/>
          <w:szCs w:val="22"/>
        </w:rPr>
        <w:t xml:space="preserve"> </w:t>
      </w:r>
      <w:hyperlink r:id="rId25" w:history="1">
        <w:r w:rsidRPr="006F6951">
          <w:rPr>
            <w:rStyle w:val="Hyperlink"/>
            <w:bCs/>
            <w:szCs w:val="22"/>
          </w:rPr>
          <w:t>http://www.wipo.int/edocs/pubdocs/en/wipo_pub_951_6.pdf</w:t>
        </w:r>
      </w:hyperlink>
    </w:p>
    <w:p w:rsidR="00730497" w:rsidRPr="006F6951" w:rsidRDefault="00730497" w:rsidP="00620983">
      <w:pPr>
        <w:pStyle w:val="ListParagraph"/>
        <w:numPr>
          <w:ilvl w:val="0"/>
          <w:numId w:val="13"/>
        </w:numPr>
        <w:ind w:left="1134" w:hanging="567"/>
        <w:rPr>
          <w:bCs/>
          <w:szCs w:val="22"/>
        </w:rPr>
      </w:pPr>
      <w:r w:rsidRPr="006F6951">
        <w:rPr>
          <w:bCs/>
          <w:i/>
          <w:szCs w:val="22"/>
        </w:rPr>
        <w:t xml:space="preserve">WIPO GREEN case study:  Green Technology Diffusion: The Case of </w:t>
      </w:r>
      <w:proofErr w:type="spellStart"/>
      <w:r w:rsidRPr="006F6951">
        <w:rPr>
          <w:bCs/>
          <w:i/>
          <w:szCs w:val="22"/>
        </w:rPr>
        <w:t>Arivi</w:t>
      </w:r>
      <w:proofErr w:type="spellEnd"/>
      <w:r w:rsidRPr="006F6951">
        <w:rPr>
          <w:bCs/>
          <w:i/>
          <w:szCs w:val="22"/>
        </w:rPr>
        <w:t xml:space="preserve"> Paraffin </w:t>
      </w:r>
      <w:proofErr w:type="spellStart"/>
      <w:r w:rsidRPr="006F6951">
        <w:rPr>
          <w:bCs/>
          <w:i/>
          <w:szCs w:val="22"/>
        </w:rPr>
        <w:t>Cookstoves</w:t>
      </w:r>
      <w:proofErr w:type="spellEnd"/>
      <w:r w:rsidRPr="006F6951">
        <w:rPr>
          <w:bCs/>
          <w:szCs w:val="22"/>
        </w:rPr>
        <w:t xml:space="preserve">, </w:t>
      </w:r>
      <w:hyperlink r:id="rId26" w:history="1">
        <w:r w:rsidRPr="006F6951">
          <w:rPr>
            <w:rStyle w:val="Hyperlink"/>
            <w:bCs/>
            <w:szCs w:val="22"/>
          </w:rPr>
          <w:t>http://www.wipo.int/edocs/pubdocs/en/wipo_pub_951_5.pdf</w:t>
        </w:r>
      </w:hyperlink>
    </w:p>
    <w:p w:rsidR="00730497" w:rsidRPr="006F6951" w:rsidRDefault="00730497" w:rsidP="00620983">
      <w:pPr>
        <w:numPr>
          <w:ilvl w:val="0"/>
          <w:numId w:val="13"/>
        </w:numPr>
        <w:tabs>
          <w:tab w:val="left" w:pos="567"/>
        </w:tabs>
        <w:ind w:left="1134" w:hanging="567"/>
        <w:rPr>
          <w:szCs w:val="22"/>
        </w:rPr>
      </w:pPr>
      <w:r w:rsidRPr="006F6951">
        <w:rPr>
          <w:rFonts w:eastAsiaTheme="minorEastAsia"/>
          <w:szCs w:val="22"/>
          <w:lang w:eastAsia="ja-JP"/>
        </w:rPr>
        <w:t xml:space="preserve">Global Challenges Report by S.  Helm, Q.  </w:t>
      </w:r>
      <w:proofErr w:type="spellStart"/>
      <w:r w:rsidRPr="006F6951">
        <w:rPr>
          <w:rFonts w:eastAsiaTheme="minorEastAsia"/>
          <w:szCs w:val="22"/>
          <w:lang w:eastAsia="ja-JP"/>
        </w:rPr>
        <w:t>Tannock</w:t>
      </w:r>
      <w:proofErr w:type="spellEnd"/>
      <w:r w:rsidRPr="006F6951">
        <w:rPr>
          <w:rFonts w:eastAsiaTheme="minorEastAsia"/>
          <w:szCs w:val="22"/>
          <w:lang w:eastAsia="ja-JP"/>
        </w:rPr>
        <w:t xml:space="preserve"> and I.  </w:t>
      </w:r>
      <w:proofErr w:type="spellStart"/>
      <w:r w:rsidRPr="006F6951">
        <w:rPr>
          <w:rFonts w:eastAsiaTheme="minorEastAsia"/>
          <w:szCs w:val="22"/>
          <w:lang w:eastAsia="ja-JP"/>
        </w:rPr>
        <w:t>Iliev</w:t>
      </w:r>
      <w:proofErr w:type="spellEnd"/>
      <w:r w:rsidRPr="006F6951">
        <w:rPr>
          <w:rFonts w:eastAsiaTheme="minorEastAsia"/>
          <w:szCs w:val="22"/>
          <w:lang w:eastAsia="ja-JP"/>
        </w:rPr>
        <w:t xml:space="preserve">, 2014.  </w:t>
      </w:r>
      <w:r w:rsidRPr="006F6951">
        <w:rPr>
          <w:rFonts w:eastAsiaTheme="minorEastAsia"/>
          <w:i/>
          <w:iCs/>
          <w:szCs w:val="22"/>
          <w:lang w:eastAsia="ja-JP"/>
        </w:rPr>
        <w:t xml:space="preserve">Renewable Energy Technology: Evolution and Policy Implications—Evidence from Patent Literature;  </w:t>
      </w:r>
      <w:hyperlink r:id="rId27" w:history="1">
        <w:r w:rsidRPr="006F6951">
          <w:rPr>
            <w:rStyle w:val="Hyperlink"/>
            <w:szCs w:val="22"/>
          </w:rPr>
          <w:t>http://www.wipo.int/export/sites/www/policy/en/climate_change/pdf/ccmt_report.pdf</w:t>
        </w:r>
      </w:hyperlink>
    </w:p>
    <w:p w:rsidR="00730497" w:rsidRPr="006F6951" w:rsidRDefault="00730497" w:rsidP="00620983">
      <w:pPr>
        <w:numPr>
          <w:ilvl w:val="0"/>
          <w:numId w:val="13"/>
        </w:numPr>
        <w:tabs>
          <w:tab w:val="left" w:pos="567"/>
        </w:tabs>
        <w:ind w:left="1134" w:hanging="567"/>
        <w:rPr>
          <w:rFonts w:eastAsiaTheme="minorEastAsia"/>
          <w:szCs w:val="22"/>
          <w:lang w:eastAsia="ja-JP"/>
        </w:rPr>
      </w:pPr>
      <w:r w:rsidRPr="006F6951">
        <w:rPr>
          <w:rFonts w:eastAsiaTheme="minorEastAsia"/>
          <w:szCs w:val="22"/>
          <w:lang w:eastAsia="ja-JP"/>
        </w:rPr>
        <w:t xml:space="preserve">Global Challenges Report by Kristina M. </w:t>
      </w:r>
      <w:proofErr w:type="spellStart"/>
      <w:r w:rsidRPr="006F6951">
        <w:rPr>
          <w:rFonts w:eastAsiaTheme="minorEastAsia"/>
          <w:szCs w:val="22"/>
          <w:lang w:eastAsia="ja-JP"/>
        </w:rPr>
        <w:t>Lybecker</w:t>
      </w:r>
      <w:proofErr w:type="spellEnd"/>
      <w:r w:rsidRPr="006F6951">
        <w:rPr>
          <w:rFonts w:eastAsiaTheme="minorEastAsia"/>
          <w:szCs w:val="22"/>
          <w:lang w:eastAsia="ja-JP"/>
        </w:rPr>
        <w:t xml:space="preserve"> and Sebastian Lohse, 2015.  Innovation and Diffusion of Green Technologies:  The Role of Intellectual Property and Other Enabling Factors;  </w:t>
      </w:r>
      <w:hyperlink r:id="rId28" w:history="1">
        <w:r w:rsidRPr="006F6951">
          <w:rPr>
            <w:rStyle w:val="Hyperlink"/>
            <w:rFonts w:eastAsiaTheme="minorEastAsia"/>
            <w:szCs w:val="22"/>
            <w:lang w:eastAsia="ja-JP"/>
          </w:rPr>
          <w:t>https://webaccess.wipo.int/wipogreen/en/pdf/global_challenges_report_lybecker_lohse.pdf</w:t>
        </w:r>
      </w:hyperlink>
    </w:p>
    <w:p w:rsidR="00730497" w:rsidRPr="006F6951" w:rsidRDefault="00730497" w:rsidP="00620983">
      <w:pPr>
        <w:numPr>
          <w:ilvl w:val="0"/>
          <w:numId w:val="13"/>
        </w:numPr>
        <w:tabs>
          <w:tab w:val="left" w:pos="567"/>
        </w:tabs>
        <w:ind w:left="1134" w:hanging="567"/>
        <w:rPr>
          <w:szCs w:val="22"/>
        </w:rPr>
      </w:pPr>
      <w:r w:rsidRPr="006F6951">
        <w:rPr>
          <w:szCs w:val="22"/>
        </w:rPr>
        <w:t xml:space="preserve">Global Challenges Brief:  </w:t>
      </w:r>
      <w:r w:rsidRPr="006F6951">
        <w:rPr>
          <w:i/>
          <w:szCs w:val="22"/>
        </w:rPr>
        <w:t>When policy meets evidence:  What</w:t>
      </w:r>
      <w:r w:rsidR="006E40E9">
        <w:rPr>
          <w:i/>
          <w:szCs w:val="22"/>
        </w:rPr>
        <w:t>’</w:t>
      </w:r>
      <w:r w:rsidRPr="006F6951">
        <w:rPr>
          <w:i/>
          <w:szCs w:val="22"/>
        </w:rPr>
        <w:t>s next in the discussion on IP, technology transfer &amp; the environment?</w:t>
      </w:r>
      <w:r w:rsidRPr="006F6951">
        <w:rPr>
          <w:szCs w:val="22"/>
        </w:rPr>
        <w:t xml:space="preserve">, </w:t>
      </w:r>
      <w:hyperlink r:id="rId29" w:history="1">
        <w:r w:rsidRPr="006F6951">
          <w:rPr>
            <w:rStyle w:val="Hyperlink"/>
            <w:szCs w:val="22"/>
          </w:rPr>
          <w:t>http://www.wipo.int/export/sites/www/policy/en/climate_change/pdf/global_challenges_brief.pdf</w:t>
        </w:r>
      </w:hyperlink>
    </w:p>
    <w:p w:rsidR="00730497" w:rsidRPr="006F6951" w:rsidRDefault="00730497" w:rsidP="00620983">
      <w:pPr>
        <w:numPr>
          <w:ilvl w:val="0"/>
          <w:numId w:val="13"/>
        </w:numPr>
        <w:tabs>
          <w:tab w:val="left" w:pos="567"/>
        </w:tabs>
        <w:ind w:left="1134" w:hanging="567"/>
        <w:rPr>
          <w:szCs w:val="22"/>
        </w:rPr>
      </w:pPr>
      <w:r w:rsidRPr="006F6951">
        <w:rPr>
          <w:rFonts w:eastAsiaTheme="minorEastAsia"/>
          <w:szCs w:val="22"/>
          <w:lang w:eastAsia="ja-JP"/>
        </w:rPr>
        <w:t xml:space="preserve">Global Challenges Brief:  </w:t>
      </w:r>
      <w:r w:rsidRPr="006F6951">
        <w:rPr>
          <w:rFonts w:eastAsiaTheme="minorEastAsia"/>
          <w:i/>
          <w:iCs/>
          <w:szCs w:val="22"/>
          <w:lang w:eastAsia="ja-JP"/>
        </w:rPr>
        <w:t>The acceleration of climate change and mitigation technologies:</w:t>
      </w:r>
      <w:r w:rsidR="0061576A">
        <w:rPr>
          <w:rFonts w:eastAsiaTheme="minorEastAsia"/>
          <w:i/>
          <w:iCs/>
          <w:szCs w:val="22"/>
          <w:lang w:eastAsia="ja-JP"/>
        </w:rPr>
        <w:t xml:space="preserve"> </w:t>
      </w:r>
      <w:r w:rsidRPr="006F6951">
        <w:rPr>
          <w:rFonts w:eastAsiaTheme="minorEastAsia"/>
          <w:i/>
          <w:iCs/>
          <w:szCs w:val="22"/>
          <w:lang w:eastAsia="ja-JP"/>
        </w:rPr>
        <w:t xml:space="preserve"> Intellectual property trends in the renewable energy landscape;  </w:t>
      </w:r>
      <w:hyperlink r:id="rId30" w:history="1">
        <w:r w:rsidRPr="006F6951">
          <w:rPr>
            <w:rStyle w:val="Hyperlink"/>
            <w:szCs w:val="22"/>
          </w:rPr>
          <w:t>http://www.wipo.int/export/sites/www/policy/en/climate_change/pdf/ccmt_brief.pdf</w:t>
        </w:r>
      </w:hyperlink>
    </w:p>
    <w:p w:rsidR="00730497" w:rsidRPr="00620983" w:rsidRDefault="00730497" w:rsidP="00620983">
      <w:pPr>
        <w:numPr>
          <w:ilvl w:val="0"/>
          <w:numId w:val="13"/>
        </w:numPr>
        <w:tabs>
          <w:tab w:val="left" w:pos="567"/>
        </w:tabs>
        <w:ind w:left="1134" w:hanging="567"/>
        <w:rPr>
          <w:szCs w:val="22"/>
        </w:rPr>
      </w:pPr>
      <w:r w:rsidRPr="00620983">
        <w:rPr>
          <w:rFonts w:eastAsiaTheme="minorEastAsia"/>
          <w:szCs w:val="22"/>
          <w:lang w:eastAsia="ja-JP"/>
        </w:rPr>
        <w:t xml:space="preserve">Global Challenges Brief:  </w:t>
      </w:r>
      <w:r w:rsidRPr="00620983">
        <w:rPr>
          <w:i/>
          <w:szCs w:val="22"/>
        </w:rPr>
        <w:t>Incentivizing the adoption of green technology on a global scale</w:t>
      </w:r>
      <w:r w:rsidRPr="00620983">
        <w:rPr>
          <w:szCs w:val="22"/>
        </w:rPr>
        <w:t xml:space="preserve"> </w:t>
      </w:r>
      <w:r w:rsidRPr="00620983">
        <w:rPr>
          <w:rStyle w:val="Hyperlink"/>
          <w:szCs w:val="22"/>
        </w:rPr>
        <w:t>(http://www.wipo.int/export/sites/www/policy/en/climate_change/pdf/wipo_lohse_brief.pdf)</w:t>
      </w:r>
      <w:r w:rsidRPr="00620983">
        <w:rPr>
          <w:szCs w:val="22"/>
        </w:rPr>
        <w:t xml:space="preserve"> </w:t>
      </w:r>
    </w:p>
    <w:p w:rsidR="000F3E68" w:rsidRDefault="000F3E68" w:rsidP="00620983">
      <w:pPr>
        <w:pStyle w:val="ListParagraph"/>
        <w:numPr>
          <w:ilvl w:val="0"/>
          <w:numId w:val="13"/>
        </w:numPr>
        <w:ind w:left="1134" w:hanging="567"/>
        <w:rPr>
          <w:szCs w:val="22"/>
        </w:rPr>
      </w:pPr>
      <w:r w:rsidRPr="006F6951">
        <w:rPr>
          <w:szCs w:val="22"/>
        </w:rPr>
        <w:t xml:space="preserve">In addition to existing manuals, for each training program WIPO </w:t>
      </w:r>
      <w:r w:rsidR="00270A5B" w:rsidRPr="006F6951">
        <w:rPr>
          <w:szCs w:val="22"/>
        </w:rPr>
        <w:t>developed</w:t>
      </w:r>
      <w:r w:rsidRPr="006F6951">
        <w:rPr>
          <w:szCs w:val="22"/>
        </w:rPr>
        <w:t xml:space="preserve"> customized training materials, focusing on local case</w:t>
      </w:r>
      <w:r w:rsidR="00270A5B" w:rsidRPr="006F6951">
        <w:rPr>
          <w:szCs w:val="22"/>
        </w:rPr>
        <w:t xml:space="preserve"> studies</w:t>
      </w:r>
      <w:r w:rsidRPr="006F6951">
        <w:rPr>
          <w:szCs w:val="22"/>
        </w:rPr>
        <w:t xml:space="preserve"> and </w:t>
      </w:r>
      <w:r w:rsidR="00AF3D88" w:rsidRPr="006F6951">
        <w:rPr>
          <w:szCs w:val="22"/>
        </w:rPr>
        <w:t xml:space="preserve">practical exercises, often translated in the language of the host country and addressing IP issues in relation to </w:t>
      </w:r>
      <w:r w:rsidRPr="006F6951">
        <w:rPr>
          <w:szCs w:val="22"/>
        </w:rPr>
        <w:t>specific topic</w:t>
      </w:r>
      <w:r w:rsidR="00AF3D88" w:rsidRPr="006F6951">
        <w:rPr>
          <w:szCs w:val="22"/>
        </w:rPr>
        <w:t>s</w:t>
      </w:r>
      <w:r w:rsidRPr="006F6951">
        <w:rPr>
          <w:szCs w:val="22"/>
        </w:rPr>
        <w:t xml:space="preserve"> or area</w:t>
      </w:r>
      <w:r w:rsidR="00AF3D88" w:rsidRPr="006F6951">
        <w:rPr>
          <w:szCs w:val="22"/>
        </w:rPr>
        <w:t xml:space="preserve">s </w:t>
      </w:r>
      <w:r w:rsidR="00270A5B" w:rsidRPr="006F6951">
        <w:rPr>
          <w:szCs w:val="22"/>
        </w:rPr>
        <w:t>as indicated in the different</w:t>
      </w:r>
      <w:r w:rsidR="00436E20" w:rsidRPr="006F6951">
        <w:rPr>
          <w:szCs w:val="22"/>
        </w:rPr>
        <w:t xml:space="preserve"> </w:t>
      </w:r>
      <w:r w:rsidRPr="006F6951">
        <w:rPr>
          <w:szCs w:val="22"/>
        </w:rPr>
        <w:t>program</w:t>
      </w:r>
      <w:r w:rsidR="00270A5B" w:rsidRPr="006F6951">
        <w:rPr>
          <w:szCs w:val="22"/>
        </w:rPr>
        <w:t>s</w:t>
      </w:r>
      <w:r w:rsidRPr="006F6951">
        <w:rPr>
          <w:szCs w:val="22"/>
        </w:rPr>
        <w:t xml:space="preserve"> – such as </w:t>
      </w:r>
      <w:r w:rsidR="00AF3D88" w:rsidRPr="006F6951">
        <w:rPr>
          <w:szCs w:val="22"/>
        </w:rPr>
        <w:t xml:space="preserve">negotiation of licensing agreement regarding technology on </w:t>
      </w:r>
      <w:r w:rsidRPr="006F6951">
        <w:rPr>
          <w:szCs w:val="22"/>
        </w:rPr>
        <w:t>application of IT in life science.</w:t>
      </w:r>
    </w:p>
    <w:p w:rsidR="00653B4E" w:rsidRDefault="00653B4E" w:rsidP="00653B4E">
      <w:pPr>
        <w:pStyle w:val="ListParagraph"/>
        <w:ind w:left="1134"/>
        <w:rPr>
          <w:szCs w:val="22"/>
        </w:rPr>
      </w:pPr>
    </w:p>
    <w:p w:rsidR="0051362C" w:rsidRPr="007269E0" w:rsidRDefault="006F6951" w:rsidP="0010081D">
      <w:pPr>
        <w:pStyle w:val="Heading2"/>
        <w:ind w:left="567" w:hanging="567"/>
      </w:pPr>
      <w:r w:rsidRPr="007269E0">
        <w:lastRenderedPageBreak/>
        <w:t>VI</w:t>
      </w:r>
      <w:r w:rsidR="007B02F7">
        <w:t>I</w:t>
      </w:r>
      <w:r w:rsidRPr="007269E0">
        <w:t>.</w:t>
      </w:r>
      <w:r w:rsidRPr="007269E0">
        <w:tab/>
      </w:r>
      <w:r w:rsidR="0051362C" w:rsidRPr="007269E0">
        <w:t>WIPO Standing Committees Addressing Technology Transfer Issues</w:t>
      </w:r>
    </w:p>
    <w:p w:rsidR="0051362C" w:rsidRPr="00653B4E" w:rsidRDefault="0051362C" w:rsidP="00653B4E">
      <w:pPr>
        <w:rPr>
          <w:b/>
          <w:szCs w:val="22"/>
          <w:u w:val="single"/>
        </w:rPr>
      </w:pPr>
    </w:p>
    <w:p w:rsidR="0051362C" w:rsidRPr="00270E3E" w:rsidRDefault="007269E0" w:rsidP="00270E3E">
      <w:pPr>
        <w:autoSpaceDE w:val="0"/>
        <w:autoSpaceDN w:val="0"/>
        <w:adjustRightInd w:val="0"/>
        <w:rPr>
          <w:szCs w:val="22"/>
        </w:rPr>
      </w:pPr>
      <w:r>
        <w:rPr>
          <w:szCs w:val="22"/>
        </w:rPr>
        <w:t>33.</w:t>
      </w:r>
      <w:r>
        <w:rPr>
          <w:szCs w:val="22"/>
        </w:rPr>
        <w:tab/>
      </w:r>
      <w:r w:rsidR="0051362C" w:rsidRPr="00270E3E">
        <w:rPr>
          <w:szCs w:val="22"/>
        </w:rPr>
        <w:t>Since the 14</w:t>
      </w:r>
      <w:r w:rsidR="0051362C" w:rsidRPr="00577DCA">
        <w:rPr>
          <w:szCs w:val="22"/>
          <w:vertAlign w:val="superscript"/>
        </w:rPr>
        <w:t>th</w:t>
      </w:r>
      <w:r w:rsidR="0051362C" w:rsidRPr="00270E3E">
        <w:rPr>
          <w:szCs w:val="22"/>
        </w:rPr>
        <w:t xml:space="preserve"> session of the Standing Committee on the Law of Patents (SCP) held in January 2010, an item entitled </w:t>
      </w:r>
      <w:r w:rsidR="006E40E9">
        <w:rPr>
          <w:szCs w:val="22"/>
        </w:rPr>
        <w:t>“</w:t>
      </w:r>
      <w:r w:rsidR="0051362C" w:rsidRPr="00270E3E">
        <w:rPr>
          <w:szCs w:val="22"/>
        </w:rPr>
        <w:t>transfer of technology</w:t>
      </w:r>
      <w:r w:rsidR="006E40E9">
        <w:rPr>
          <w:szCs w:val="22"/>
        </w:rPr>
        <w:t>”</w:t>
      </w:r>
      <w:r w:rsidR="0051362C" w:rsidRPr="00270E3E">
        <w:rPr>
          <w:szCs w:val="22"/>
        </w:rPr>
        <w:t xml:space="preserve"> has been included in the agenda of the Committee.  Under that agenda item, discussions were held on the preliminary study on transfer of technology (documents SCP/14/4 and 4 Rev.), and since May 2012, Member States have been sharing information on practical examples and experiences regarding patent-related incentives and impediments to transfer of technology.  </w:t>
      </w:r>
    </w:p>
    <w:p w:rsidR="0051362C" w:rsidRPr="00653B4E" w:rsidRDefault="0051362C" w:rsidP="00653B4E">
      <w:pPr>
        <w:autoSpaceDE w:val="0"/>
        <w:autoSpaceDN w:val="0"/>
        <w:adjustRightInd w:val="0"/>
        <w:rPr>
          <w:szCs w:val="22"/>
        </w:rPr>
      </w:pPr>
    </w:p>
    <w:p w:rsidR="0051362C" w:rsidRPr="00270E3E" w:rsidRDefault="007269E0" w:rsidP="00270E3E">
      <w:pPr>
        <w:autoSpaceDE w:val="0"/>
        <w:autoSpaceDN w:val="0"/>
        <w:adjustRightInd w:val="0"/>
        <w:rPr>
          <w:szCs w:val="22"/>
        </w:rPr>
      </w:pPr>
      <w:r>
        <w:rPr>
          <w:szCs w:val="22"/>
        </w:rPr>
        <w:t>34.</w:t>
      </w:r>
      <w:r>
        <w:rPr>
          <w:szCs w:val="22"/>
        </w:rPr>
        <w:tab/>
      </w:r>
      <w:r w:rsidR="0051362C" w:rsidRPr="00270E3E">
        <w:rPr>
          <w:szCs w:val="22"/>
        </w:rPr>
        <w:t>In addition, on the margin of the 17</w:t>
      </w:r>
      <w:r w:rsidR="0051362C" w:rsidRPr="00577DCA">
        <w:rPr>
          <w:szCs w:val="22"/>
          <w:vertAlign w:val="superscript"/>
        </w:rPr>
        <w:t>th</w:t>
      </w:r>
      <w:r w:rsidR="0051362C" w:rsidRPr="00270E3E">
        <w:rPr>
          <w:szCs w:val="22"/>
        </w:rPr>
        <w:t xml:space="preserve"> session of the SCP held in December 2011, a special seminar on patents and transfer of technology was organized by the WIPO Chief Economist.</w:t>
      </w:r>
    </w:p>
    <w:p w:rsidR="0015609D" w:rsidRDefault="0015609D" w:rsidP="0015609D">
      <w:pPr>
        <w:rPr>
          <w:szCs w:val="22"/>
          <w:u w:val="single"/>
        </w:rPr>
      </w:pPr>
    </w:p>
    <w:p w:rsidR="0015609D" w:rsidRPr="006F6951" w:rsidRDefault="007269E0" w:rsidP="000C18C0">
      <w:pPr>
        <w:pStyle w:val="Heading2"/>
        <w:ind w:left="567" w:hanging="567"/>
      </w:pPr>
      <w:r>
        <w:t>VII</w:t>
      </w:r>
      <w:r w:rsidR="007B02F7">
        <w:t>I</w:t>
      </w:r>
      <w:r w:rsidR="006F6951" w:rsidRPr="006F6951">
        <w:t>.</w:t>
      </w:r>
      <w:r w:rsidR="006F6951" w:rsidRPr="006F6951">
        <w:tab/>
      </w:r>
      <w:r w:rsidR="0015609D" w:rsidRPr="006F6951">
        <w:t>WIPO Facilitated Collaborations in Specific Areas of Knowledge / Technology Transfer</w:t>
      </w:r>
      <w:r w:rsidR="005D02EE">
        <w:t xml:space="preserve"> – WIPO </w:t>
      </w:r>
      <w:proofErr w:type="spellStart"/>
      <w:r w:rsidR="005D02EE">
        <w:t>R</w:t>
      </w:r>
      <w:r w:rsidR="005D02EE">
        <w:rPr>
          <w:caps w:val="0"/>
        </w:rPr>
        <w:t>e</w:t>
      </w:r>
      <w:proofErr w:type="gramStart"/>
      <w:r w:rsidR="005D02EE">
        <w:rPr>
          <w:caps w:val="0"/>
        </w:rPr>
        <w:t>:Search</w:t>
      </w:r>
      <w:proofErr w:type="spellEnd"/>
      <w:proofErr w:type="gramEnd"/>
    </w:p>
    <w:p w:rsidR="0051362C" w:rsidRDefault="0051362C" w:rsidP="0051362C">
      <w:pPr>
        <w:rPr>
          <w:szCs w:val="22"/>
          <w:u w:val="single"/>
        </w:rPr>
      </w:pPr>
    </w:p>
    <w:p w:rsidR="00270E3E" w:rsidRPr="00311ADF" w:rsidRDefault="007269E0" w:rsidP="00270E3E">
      <w:pPr>
        <w:rPr>
          <w:szCs w:val="22"/>
        </w:rPr>
      </w:pPr>
      <w:r>
        <w:rPr>
          <w:szCs w:val="22"/>
        </w:rPr>
        <w:t>35.</w:t>
      </w:r>
      <w:r>
        <w:rPr>
          <w:szCs w:val="22"/>
        </w:rPr>
        <w:tab/>
      </w:r>
      <w:r w:rsidR="00270E3E" w:rsidRPr="00311ADF">
        <w:rPr>
          <w:szCs w:val="22"/>
        </w:rPr>
        <w:t xml:space="preserve">WIPO </w:t>
      </w:r>
      <w:proofErr w:type="spellStart"/>
      <w:r w:rsidR="00270E3E" w:rsidRPr="00311ADF">
        <w:rPr>
          <w:szCs w:val="22"/>
        </w:rPr>
        <w:t>Re</w:t>
      </w:r>
      <w:proofErr w:type="gramStart"/>
      <w:r w:rsidR="00270E3E" w:rsidRPr="00311ADF">
        <w:rPr>
          <w:szCs w:val="22"/>
        </w:rPr>
        <w:t>:Search</w:t>
      </w:r>
      <w:proofErr w:type="spellEnd"/>
      <w:proofErr w:type="gramEnd"/>
      <w:r w:rsidR="00270E3E" w:rsidRPr="00311ADF">
        <w:rPr>
          <w:szCs w:val="22"/>
        </w:rPr>
        <w:t xml:space="preserve"> developed over 50 collaborations during 2014 and 2015 that include the transfer of technologies from companies or universities for the development of drugs, vaccines and diagnostics on neglected tropical diseases, malaria and tuberculosis. </w:t>
      </w:r>
      <w:r>
        <w:rPr>
          <w:szCs w:val="22"/>
        </w:rPr>
        <w:t xml:space="preserve"> </w:t>
      </w:r>
      <w:r w:rsidR="00270E3E" w:rsidRPr="00311ADF">
        <w:rPr>
          <w:szCs w:val="22"/>
        </w:rPr>
        <w:t>A number of collaborations included institutions in developing countries.</w:t>
      </w:r>
    </w:p>
    <w:p w:rsidR="00270E3E" w:rsidRDefault="00270E3E" w:rsidP="00270E3E">
      <w:pPr>
        <w:rPr>
          <w:sz w:val="20"/>
        </w:rPr>
      </w:pPr>
    </w:p>
    <w:p w:rsidR="00311ADF" w:rsidRDefault="007269E0" w:rsidP="00311ADF">
      <w:pPr>
        <w:rPr>
          <w:szCs w:val="22"/>
        </w:rPr>
      </w:pPr>
      <w:r>
        <w:rPr>
          <w:szCs w:val="22"/>
        </w:rPr>
        <w:t>36.</w:t>
      </w:r>
      <w:r>
        <w:rPr>
          <w:szCs w:val="22"/>
        </w:rPr>
        <w:tab/>
      </w:r>
      <w:r w:rsidR="00270E3E">
        <w:rPr>
          <w:szCs w:val="22"/>
        </w:rPr>
        <w:t>One of examples o</w:t>
      </w:r>
      <w:r w:rsidR="00311ADF">
        <w:rPr>
          <w:szCs w:val="22"/>
        </w:rPr>
        <w:t>f such collaboration, between academic and business institutions, in developing and developed countries is the cooperation realized between University of Lagos and NIPD Genetics LTD,</w:t>
      </w:r>
      <w:r w:rsidR="00270E3E" w:rsidRPr="00270E3E">
        <w:rPr>
          <w:szCs w:val="22"/>
        </w:rPr>
        <w:t xml:space="preserve"> a private</w:t>
      </w:r>
      <w:r w:rsidR="00311ADF">
        <w:rPr>
          <w:szCs w:val="22"/>
        </w:rPr>
        <w:t>ly held spinoff from t</w:t>
      </w:r>
      <w:r w:rsidR="00311ADF" w:rsidRPr="00270E3E">
        <w:rPr>
          <w:szCs w:val="22"/>
        </w:rPr>
        <w:t>he Cyprus Institute of Neurology and Genetics</w:t>
      </w:r>
      <w:r w:rsidR="00270E3E">
        <w:rPr>
          <w:szCs w:val="22"/>
        </w:rPr>
        <w:t xml:space="preserve"> </w:t>
      </w:r>
      <w:r w:rsidR="00270E3E" w:rsidRPr="00270E3E">
        <w:rPr>
          <w:szCs w:val="22"/>
        </w:rPr>
        <w:t>in the field of cell-free DNA and non-inva</w:t>
      </w:r>
      <w:r w:rsidR="00311ADF">
        <w:rPr>
          <w:szCs w:val="22"/>
        </w:rPr>
        <w:t xml:space="preserve">sive genetic testing.  NIPD will host University of Lagos </w:t>
      </w:r>
      <w:r w:rsidR="00270E3E" w:rsidRPr="006F6951">
        <w:rPr>
          <w:szCs w:val="22"/>
        </w:rPr>
        <w:t>researcher to identify resistance to anti-malarial drugs using dry blood spots from Nigerian malaria patients treated with anti-</w:t>
      </w:r>
      <w:r w:rsidR="00311ADF" w:rsidRPr="006F6951">
        <w:rPr>
          <w:szCs w:val="22"/>
        </w:rPr>
        <w:t>malarial</w:t>
      </w:r>
      <w:r w:rsidR="00270E3E" w:rsidRPr="006F6951">
        <w:rPr>
          <w:szCs w:val="22"/>
        </w:rPr>
        <w:t xml:space="preserve">. </w:t>
      </w:r>
      <w:r w:rsidR="00270E3E">
        <w:rPr>
          <w:szCs w:val="22"/>
        </w:rPr>
        <w:t xml:space="preserve"> </w:t>
      </w:r>
      <w:r w:rsidR="00311ADF">
        <w:rPr>
          <w:szCs w:val="22"/>
        </w:rPr>
        <w:t>Further, collaboration will continue between</w:t>
      </w:r>
      <w:r w:rsidR="00311ADF" w:rsidRPr="006F6951">
        <w:rPr>
          <w:szCs w:val="22"/>
        </w:rPr>
        <w:t xml:space="preserve"> University of Lag</w:t>
      </w:r>
      <w:r w:rsidR="00311ADF">
        <w:rPr>
          <w:szCs w:val="22"/>
        </w:rPr>
        <w:t>os and</w:t>
      </w:r>
      <w:r w:rsidR="00311ADF" w:rsidRPr="006F6951">
        <w:rPr>
          <w:szCs w:val="22"/>
        </w:rPr>
        <w:t xml:space="preserve"> Novartis</w:t>
      </w:r>
      <w:r w:rsidR="00311ADF">
        <w:rPr>
          <w:szCs w:val="22"/>
        </w:rPr>
        <w:t>, which</w:t>
      </w:r>
      <w:r w:rsidR="00311ADF" w:rsidRPr="006F6951">
        <w:rPr>
          <w:szCs w:val="22"/>
        </w:rPr>
        <w:t xml:space="preserve"> will assess the feasibility of using dried blood spot sampling (DBSS) and next generation sequencing of Plasmodium falciparum in malaria patients in Nigeria. </w:t>
      </w:r>
    </w:p>
    <w:p w:rsidR="00146E73" w:rsidRDefault="00146E73" w:rsidP="00311ADF">
      <w:pPr>
        <w:rPr>
          <w:szCs w:val="22"/>
        </w:rPr>
      </w:pPr>
    </w:p>
    <w:p w:rsidR="00146E73" w:rsidRDefault="00146E73" w:rsidP="00146E73">
      <w:r>
        <w:rPr>
          <w:szCs w:val="22"/>
        </w:rPr>
        <w:t>37.</w:t>
      </w:r>
      <w:r>
        <w:rPr>
          <w:szCs w:val="22"/>
        </w:rPr>
        <w:tab/>
        <w:t>Other examples include</w:t>
      </w:r>
      <w:r w:rsidR="008F37DC">
        <w:rPr>
          <w:szCs w:val="22"/>
        </w:rPr>
        <w:t>:</w:t>
      </w:r>
      <w:r w:rsidRPr="00146E73">
        <w:t xml:space="preserve"> </w:t>
      </w:r>
    </w:p>
    <w:p w:rsidR="00146E73" w:rsidRDefault="00146E73" w:rsidP="00146E73"/>
    <w:p w:rsidR="00146E73" w:rsidRDefault="008F37DC" w:rsidP="00577DCA">
      <w:pPr>
        <w:ind w:left="567"/>
        <w:rPr>
          <w:szCs w:val="22"/>
        </w:rPr>
      </w:pPr>
      <w:r>
        <w:t>(</w:t>
      </w:r>
      <w:r w:rsidR="00146E73">
        <w:rPr>
          <w:szCs w:val="22"/>
        </w:rPr>
        <w:t>a</w:t>
      </w:r>
      <w:r>
        <w:rPr>
          <w:szCs w:val="22"/>
        </w:rPr>
        <w:t>)</w:t>
      </w:r>
      <w:r>
        <w:rPr>
          <w:szCs w:val="22"/>
        </w:rPr>
        <w:tab/>
      </w:r>
      <w:proofErr w:type="gramStart"/>
      <w:r>
        <w:rPr>
          <w:szCs w:val="22"/>
        </w:rPr>
        <w:t>a</w:t>
      </w:r>
      <w:proofErr w:type="gramEnd"/>
      <w:r>
        <w:rPr>
          <w:szCs w:val="22"/>
        </w:rPr>
        <w:t xml:space="preserve"> </w:t>
      </w:r>
      <w:r w:rsidR="00146E73">
        <w:rPr>
          <w:szCs w:val="22"/>
        </w:rPr>
        <w:t xml:space="preserve">collaboration between the University of British Columbia (Canada) and Lagos University. </w:t>
      </w:r>
      <w:r>
        <w:rPr>
          <w:szCs w:val="22"/>
        </w:rPr>
        <w:t xml:space="preserve"> </w:t>
      </w:r>
      <w:r w:rsidR="00146E73">
        <w:rPr>
          <w:szCs w:val="22"/>
        </w:rPr>
        <w:t>A UBC researcher provided</w:t>
      </w:r>
      <w:r w:rsidR="00146E73" w:rsidRPr="00146E73">
        <w:rPr>
          <w:szCs w:val="22"/>
        </w:rPr>
        <w:t xml:space="preserve"> a University of Lagos researcher with an antibody against a human host protein. </w:t>
      </w:r>
      <w:r>
        <w:rPr>
          <w:szCs w:val="22"/>
        </w:rPr>
        <w:t xml:space="preserve"> </w:t>
      </w:r>
      <w:r w:rsidR="00146E73" w:rsidRPr="00146E73">
        <w:rPr>
          <w:szCs w:val="22"/>
        </w:rPr>
        <w:t xml:space="preserve">The University of Lagos researcher will use the antibody to examine the effect of reducing the level of the host protein on the severity of malaria. </w:t>
      </w:r>
      <w:r>
        <w:rPr>
          <w:szCs w:val="22"/>
        </w:rPr>
        <w:t xml:space="preserve"> </w:t>
      </w:r>
      <w:r w:rsidR="00146E73">
        <w:rPr>
          <w:szCs w:val="22"/>
        </w:rPr>
        <w:t>At the same time, a</w:t>
      </w:r>
      <w:r w:rsidR="00146E73" w:rsidRPr="00146E73">
        <w:rPr>
          <w:szCs w:val="22"/>
        </w:rPr>
        <w:t xml:space="preserve"> University </w:t>
      </w:r>
      <w:r w:rsidR="00146E73">
        <w:rPr>
          <w:szCs w:val="22"/>
        </w:rPr>
        <w:t>of Lagos researcher provided</w:t>
      </w:r>
      <w:r w:rsidR="00146E73" w:rsidRPr="00146E73">
        <w:rPr>
          <w:szCs w:val="22"/>
        </w:rPr>
        <w:t xml:space="preserve"> a UBC researcher with serum, plasma, and urine samples from patients with severe malaria and asymptomatic malaria, as well as samples from healthy controls. </w:t>
      </w:r>
      <w:r>
        <w:rPr>
          <w:szCs w:val="22"/>
        </w:rPr>
        <w:t xml:space="preserve"> </w:t>
      </w:r>
      <w:r w:rsidR="00146E73" w:rsidRPr="00146E73">
        <w:rPr>
          <w:szCs w:val="22"/>
        </w:rPr>
        <w:t>The UBC researcher will use proteomics to ascertain whether these samples have differing protein profiles, which could be used to identify biom</w:t>
      </w:r>
      <w:r w:rsidR="00146E73">
        <w:rPr>
          <w:szCs w:val="22"/>
        </w:rPr>
        <w:t>arkers for a malaria diagnostic;</w:t>
      </w:r>
    </w:p>
    <w:p w:rsidR="00146E73" w:rsidRDefault="00146E73" w:rsidP="00577DCA">
      <w:pPr>
        <w:ind w:left="567"/>
        <w:rPr>
          <w:szCs w:val="22"/>
        </w:rPr>
      </w:pPr>
    </w:p>
    <w:p w:rsidR="00146E73" w:rsidRDefault="008F37DC" w:rsidP="00577DCA">
      <w:pPr>
        <w:ind w:left="567"/>
        <w:rPr>
          <w:szCs w:val="22"/>
        </w:rPr>
      </w:pPr>
      <w:r>
        <w:rPr>
          <w:szCs w:val="22"/>
        </w:rPr>
        <w:t>(b)</w:t>
      </w:r>
      <w:r>
        <w:rPr>
          <w:szCs w:val="22"/>
        </w:rPr>
        <w:tab/>
      </w:r>
      <w:proofErr w:type="gramStart"/>
      <w:r w:rsidR="009E640E">
        <w:rPr>
          <w:szCs w:val="22"/>
        </w:rPr>
        <w:t>t</w:t>
      </w:r>
      <w:r w:rsidR="00146E73" w:rsidRPr="00146E73">
        <w:rPr>
          <w:szCs w:val="22"/>
        </w:rPr>
        <w:t>he</w:t>
      </w:r>
      <w:proofErr w:type="gramEnd"/>
      <w:r w:rsidR="00146E73" w:rsidRPr="00146E73">
        <w:rPr>
          <w:szCs w:val="22"/>
        </w:rPr>
        <w:t xml:space="preserve"> Centre Pasteur du Cameroun provide</w:t>
      </w:r>
      <w:r w:rsidR="00146E73">
        <w:rPr>
          <w:szCs w:val="22"/>
        </w:rPr>
        <w:t>d the University of</w:t>
      </w:r>
      <w:r w:rsidR="00146E73" w:rsidRPr="00146E73">
        <w:rPr>
          <w:szCs w:val="22"/>
        </w:rPr>
        <w:t xml:space="preserve"> Stanford with approximately 250 samples from non-</w:t>
      </w:r>
      <w:proofErr w:type="spellStart"/>
      <w:r w:rsidR="00146E73" w:rsidRPr="00146E73">
        <w:rPr>
          <w:szCs w:val="22"/>
        </w:rPr>
        <w:t>malarious</w:t>
      </w:r>
      <w:proofErr w:type="spellEnd"/>
      <w:r w:rsidR="00146E73" w:rsidRPr="00146E73">
        <w:rPr>
          <w:szCs w:val="22"/>
        </w:rPr>
        <w:t xml:space="preserve"> febrile patients from Cameroon. Stanford </w:t>
      </w:r>
      <w:r w:rsidR="00146E73">
        <w:rPr>
          <w:szCs w:val="22"/>
        </w:rPr>
        <w:t>University used</w:t>
      </w:r>
      <w:r w:rsidR="00146E73" w:rsidRPr="00146E73">
        <w:rPr>
          <w:szCs w:val="22"/>
        </w:rPr>
        <w:t xml:space="preserve"> the samples to design a fever multiplex diagnostic best suited for Ca</w:t>
      </w:r>
      <w:r w:rsidR="00146E73">
        <w:rPr>
          <w:szCs w:val="22"/>
        </w:rPr>
        <w:t>meroon</w:t>
      </w:r>
      <w:proofErr w:type="gramStart"/>
      <w:r w:rsidR="00146E73">
        <w:rPr>
          <w:szCs w:val="22"/>
        </w:rPr>
        <w:t>;</w:t>
      </w:r>
      <w:r>
        <w:rPr>
          <w:szCs w:val="22"/>
        </w:rPr>
        <w:t xml:space="preserve">  and</w:t>
      </w:r>
      <w:proofErr w:type="gramEnd"/>
    </w:p>
    <w:p w:rsidR="00146E73" w:rsidRDefault="00146E73" w:rsidP="00577DCA">
      <w:pPr>
        <w:ind w:left="567"/>
        <w:rPr>
          <w:szCs w:val="22"/>
        </w:rPr>
      </w:pPr>
    </w:p>
    <w:p w:rsidR="00146E73" w:rsidRDefault="008F37DC" w:rsidP="00577DCA">
      <w:pPr>
        <w:ind w:left="567"/>
        <w:rPr>
          <w:szCs w:val="22"/>
        </w:rPr>
      </w:pPr>
      <w:r>
        <w:rPr>
          <w:szCs w:val="22"/>
        </w:rPr>
        <w:t>(c)</w:t>
      </w:r>
      <w:r>
        <w:rPr>
          <w:szCs w:val="22"/>
        </w:rPr>
        <w:tab/>
      </w:r>
      <w:r w:rsidR="009E640E" w:rsidRPr="009E640E">
        <w:rPr>
          <w:szCs w:val="22"/>
        </w:rPr>
        <w:t xml:space="preserve">Researchers from IP Tunis will be utilizing the preclinical services program </w:t>
      </w:r>
      <w:r w:rsidR="009E640E">
        <w:rPr>
          <w:szCs w:val="22"/>
        </w:rPr>
        <w:t xml:space="preserve">of the </w:t>
      </w:r>
      <w:r w:rsidR="009E640E" w:rsidRPr="009E640E">
        <w:rPr>
          <w:szCs w:val="22"/>
        </w:rPr>
        <w:t>National Institute of Allergy and Infectious Diseases</w:t>
      </w:r>
      <w:r w:rsidR="009E640E">
        <w:rPr>
          <w:szCs w:val="22"/>
        </w:rPr>
        <w:t xml:space="preserve"> (U</w:t>
      </w:r>
      <w:r>
        <w:rPr>
          <w:szCs w:val="22"/>
        </w:rPr>
        <w:t xml:space="preserve">nited </w:t>
      </w:r>
      <w:r w:rsidR="009E640E">
        <w:rPr>
          <w:szCs w:val="22"/>
        </w:rPr>
        <w:t>S</w:t>
      </w:r>
      <w:r>
        <w:rPr>
          <w:szCs w:val="22"/>
        </w:rPr>
        <w:t xml:space="preserve">tates of </w:t>
      </w:r>
      <w:r w:rsidR="009E640E">
        <w:rPr>
          <w:szCs w:val="22"/>
        </w:rPr>
        <w:t>A</w:t>
      </w:r>
      <w:r>
        <w:rPr>
          <w:szCs w:val="22"/>
        </w:rPr>
        <w:t>merica</w:t>
      </w:r>
      <w:r w:rsidR="009E640E">
        <w:rPr>
          <w:szCs w:val="22"/>
        </w:rPr>
        <w:t>)</w:t>
      </w:r>
      <w:r w:rsidR="009E640E" w:rsidRPr="009E640E">
        <w:rPr>
          <w:szCs w:val="22"/>
        </w:rPr>
        <w:t xml:space="preserve"> to increase </w:t>
      </w:r>
      <w:proofErr w:type="spellStart"/>
      <w:r w:rsidR="009E640E" w:rsidRPr="009E640E">
        <w:rPr>
          <w:szCs w:val="22"/>
        </w:rPr>
        <w:t>thermostability</w:t>
      </w:r>
      <w:proofErr w:type="spellEnd"/>
      <w:r w:rsidR="009E640E" w:rsidRPr="009E640E">
        <w:rPr>
          <w:szCs w:val="22"/>
        </w:rPr>
        <w:t xml:space="preserve"> of rabies vaccine.</w:t>
      </w:r>
      <w:r w:rsidR="009E640E">
        <w:rPr>
          <w:szCs w:val="22"/>
        </w:rPr>
        <w:t xml:space="preserve"> </w:t>
      </w:r>
    </w:p>
    <w:p w:rsidR="006F6951" w:rsidRDefault="006F6951" w:rsidP="007105FD">
      <w:pPr>
        <w:rPr>
          <w:b/>
          <w:szCs w:val="22"/>
          <w:u w:val="single"/>
        </w:rPr>
      </w:pPr>
    </w:p>
    <w:p w:rsidR="00D71738" w:rsidRPr="006F6951" w:rsidRDefault="00146E73" w:rsidP="00D71738">
      <w:pPr>
        <w:rPr>
          <w:szCs w:val="22"/>
        </w:rPr>
      </w:pPr>
      <w:r>
        <w:rPr>
          <w:szCs w:val="22"/>
        </w:rPr>
        <w:lastRenderedPageBreak/>
        <w:t>38</w:t>
      </w:r>
      <w:r w:rsidR="007269E0">
        <w:rPr>
          <w:szCs w:val="22"/>
        </w:rPr>
        <w:t>.</w:t>
      </w:r>
      <w:r w:rsidR="007269E0">
        <w:rPr>
          <w:szCs w:val="22"/>
        </w:rPr>
        <w:tab/>
      </w:r>
      <w:r w:rsidR="00D71738" w:rsidRPr="006F6951">
        <w:rPr>
          <w:szCs w:val="22"/>
        </w:rPr>
        <w:t xml:space="preserve">In the framework of IP and global challenges issues, WIPO was also partnering with public and private institutions - business and academic organizations, in the organization and contribution to the forums that had as an objective facilitation of matchmaking between technology providers and technology seekers, </w:t>
      </w:r>
      <w:r w:rsidR="00D71738">
        <w:rPr>
          <w:szCs w:val="22"/>
        </w:rPr>
        <w:t xml:space="preserve">in particular concerning environmentally clean technologies, </w:t>
      </w:r>
      <w:r w:rsidR="00D71738" w:rsidRPr="006F6951">
        <w:rPr>
          <w:szCs w:val="22"/>
        </w:rPr>
        <w:t>as it was the case in following forums:</w:t>
      </w:r>
    </w:p>
    <w:p w:rsidR="00D71738" w:rsidRPr="006F6951" w:rsidRDefault="00D71738" w:rsidP="00D71738">
      <w:pPr>
        <w:rPr>
          <w:szCs w:val="22"/>
        </w:rPr>
      </w:pPr>
    </w:p>
    <w:p w:rsidR="00D71738" w:rsidRPr="00653B4E" w:rsidRDefault="00D71738" w:rsidP="00653B4E">
      <w:pPr>
        <w:pStyle w:val="ListParagraph"/>
        <w:numPr>
          <w:ilvl w:val="0"/>
          <w:numId w:val="33"/>
        </w:numPr>
        <w:ind w:left="1134" w:hanging="567"/>
        <w:rPr>
          <w:szCs w:val="22"/>
        </w:rPr>
      </w:pPr>
      <w:r w:rsidRPr="00653B4E">
        <w:rPr>
          <w:bCs/>
          <w:szCs w:val="22"/>
        </w:rPr>
        <w:t>4</w:t>
      </w:r>
      <w:r w:rsidRPr="00577DCA">
        <w:rPr>
          <w:bCs/>
          <w:szCs w:val="22"/>
          <w:vertAlign w:val="superscript"/>
        </w:rPr>
        <w:t>th</w:t>
      </w:r>
      <w:r w:rsidRPr="00653B4E">
        <w:rPr>
          <w:bCs/>
          <w:szCs w:val="22"/>
        </w:rPr>
        <w:t xml:space="preserve"> Creative Industries and Emerging Technologies Fair &amp; International Design </w:t>
      </w:r>
      <w:r w:rsidR="007269E0">
        <w:rPr>
          <w:bCs/>
          <w:szCs w:val="22"/>
        </w:rPr>
        <w:t xml:space="preserve">Conferences. Istanbul, Turkey, </w:t>
      </w:r>
      <w:r w:rsidRPr="00653B4E">
        <w:rPr>
          <w:bCs/>
          <w:szCs w:val="22"/>
        </w:rPr>
        <w:t xml:space="preserve">February 19 to 21, 2015.  200 participants, where </w:t>
      </w:r>
      <w:r w:rsidRPr="00653B4E">
        <w:rPr>
          <w:szCs w:val="22"/>
        </w:rPr>
        <w:t xml:space="preserve">WIPO participated as part of </w:t>
      </w:r>
      <w:r w:rsidRPr="00653B4E">
        <w:rPr>
          <w:i/>
          <w:szCs w:val="22"/>
        </w:rPr>
        <w:t>Entrepreneurship and Investment Pane</w:t>
      </w:r>
      <w:r w:rsidRPr="00653B4E">
        <w:rPr>
          <w:szCs w:val="22"/>
        </w:rPr>
        <w:t xml:space="preserve">l and also had a booth at the fair to promote the WIPO GREEN database. </w:t>
      </w:r>
    </w:p>
    <w:p w:rsidR="00337DC3" w:rsidRPr="00337DC3" w:rsidRDefault="00337DC3" w:rsidP="00653B4E">
      <w:pPr>
        <w:ind w:left="1134" w:hanging="567"/>
        <w:rPr>
          <w:bCs/>
          <w:szCs w:val="22"/>
        </w:rPr>
      </w:pPr>
    </w:p>
    <w:p w:rsidR="00D71738" w:rsidRPr="00337DC3" w:rsidRDefault="00D71738">
      <w:pPr>
        <w:pStyle w:val="ListParagraph"/>
        <w:numPr>
          <w:ilvl w:val="0"/>
          <w:numId w:val="23"/>
        </w:numPr>
        <w:shd w:val="clear" w:color="auto" w:fill="FFFFFF"/>
        <w:tabs>
          <w:tab w:val="left" w:pos="567"/>
        </w:tabs>
        <w:ind w:left="1134" w:hanging="567"/>
        <w:rPr>
          <w:szCs w:val="22"/>
        </w:rPr>
      </w:pPr>
      <w:r w:rsidRPr="00337DC3">
        <w:rPr>
          <w:bCs/>
          <w:szCs w:val="22"/>
        </w:rPr>
        <w:t xml:space="preserve">Regional Seminar and Matchmaking Event:  Facilitating the Transfer and Diffusion of Clean Technology:  Opportunities from a Pilot Project on Wastewater Treatment in South East Asia, </w:t>
      </w:r>
      <w:r w:rsidRPr="00337DC3">
        <w:rPr>
          <w:bCs/>
          <w:iCs/>
          <w:szCs w:val="22"/>
        </w:rPr>
        <w:t>Manila, Philippines</w:t>
      </w:r>
      <w:r w:rsidRPr="00337DC3">
        <w:rPr>
          <w:szCs w:val="22"/>
        </w:rPr>
        <w:t xml:space="preserve">, April 23 </w:t>
      </w:r>
      <w:r w:rsidR="000C18C0">
        <w:rPr>
          <w:szCs w:val="22"/>
        </w:rPr>
        <w:t>and</w:t>
      </w:r>
      <w:r w:rsidR="000C18C0" w:rsidRPr="00337DC3">
        <w:rPr>
          <w:szCs w:val="22"/>
        </w:rPr>
        <w:t xml:space="preserve"> </w:t>
      </w:r>
      <w:r w:rsidRPr="00337DC3">
        <w:rPr>
          <w:szCs w:val="22"/>
        </w:rPr>
        <w:t>24, 2015. 100 participants.</w:t>
      </w:r>
      <w:r w:rsidR="00337DC3" w:rsidRPr="00337DC3">
        <w:rPr>
          <w:szCs w:val="22"/>
        </w:rPr>
        <w:t xml:space="preserve">  </w:t>
      </w:r>
      <w:r w:rsidRPr="00337DC3">
        <w:rPr>
          <w:szCs w:val="22"/>
        </w:rPr>
        <w:t>The event was preceded by needs assessment in Indonesia, Philippines and Vietnam on wastewater treatment technologies.  The event resulted in the signing of 16 letters of intent between technology providers and technology seekers to negotiate technology transfer.</w:t>
      </w:r>
    </w:p>
    <w:p w:rsidR="00D71738" w:rsidRPr="006F6951" w:rsidRDefault="00D71738" w:rsidP="00653B4E">
      <w:pPr>
        <w:pStyle w:val="ListParagraph"/>
        <w:shd w:val="clear" w:color="auto" w:fill="FFFFFF"/>
        <w:tabs>
          <w:tab w:val="left" w:pos="567"/>
        </w:tabs>
        <w:ind w:left="1134" w:hanging="567"/>
        <w:rPr>
          <w:szCs w:val="22"/>
        </w:rPr>
      </w:pPr>
    </w:p>
    <w:p w:rsidR="00D71738" w:rsidRDefault="00D71738">
      <w:pPr>
        <w:pStyle w:val="ListParagraph"/>
        <w:numPr>
          <w:ilvl w:val="0"/>
          <w:numId w:val="23"/>
        </w:numPr>
        <w:ind w:left="1134" w:hanging="567"/>
        <w:rPr>
          <w:szCs w:val="22"/>
        </w:rPr>
      </w:pPr>
      <w:r w:rsidRPr="00337DC3">
        <w:rPr>
          <w:bCs/>
          <w:szCs w:val="22"/>
        </w:rPr>
        <w:t xml:space="preserve">Global South-South Development (GSSD) Expo.  Washington, D.C, </w:t>
      </w:r>
      <w:r w:rsidR="000C18C0" w:rsidRPr="00337DC3">
        <w:rPr>
          <w:bCs/>
          <w:szCs w:val="22"/>
        </w:rPr>
        <w:t>November</w:t>
      </w:r>
      <w:r w:rsidR="000C18C0">
        <w:rPr>
          <w:bCs/>
          <w:szCs w:val="22"/>
        </w:rPr>
        <w:t> </w:t>
      </w:r>
      <w:r w:rsidRPr="00337DC3">
        <w:rPr>
          <w:bCs/>
          <w:szCs w:val="22"/>
        </w:rPr>
        <w:t>17 to 20, 2014. 120 participants.</w:t>
      </w:r>
      <w:r w:rsidR="00337DC3" w:rsidRPr="00337DC3">
        <w:rPr>
          <w:bCs/>
          <w:szCs w:val="22"/>
        </w:rPr>
        <w:t xml:space="preserve">  </w:t>
      </w:r>
      <w:r w:rsidRPr="00337DC3">
        <w:rPr>
          <w:szCs w:val="22"/>
        </w:rPr>
        <w:t>WIPO led one of the eight scaling-up sessions, session featuring successful partnerships and solutions in the field of green technologies, with panelists drawn from the WIPO GREEN network;</w:t>
      </w:r>
    </w:p>
    <w:p w:rsidR="00653B4E" w:rsidRPr="00653B4E" w:rsidRDefault="00653B4E" w:rsidP="00653B4E">
      <w:pPr>
        <w:pStyle w:val="ListParagraph"/>
        <w:shd w:val="clear" w:color="auto" w:fill="FFFFFF"/>
        <w:tabs>
          <w:tab w:val="left" w:pos="567"/>
        </w:tabs>
        <w:ind w:left="1134" w:hanging="567"/>
        <w:rPr>
          <w:szCs w:val="22"/>
        </w:rPr>
      </w:pPr>
    </w:p>
    <w:p w:rsidR="00D71738" w:rsidRDefault="00D71738" w:rsidP="00653B4E">
      <w:pPr>
        <w:pStyle w:val="ListParagraph"/>
        <w:numPr>
          <w:ilvl w:val="0"/>
          <w:numId w:val="23"/>
        </w:numPr>
        <w:ind w:left="1134" w:hanging="567"/>
        <w:rPr>
          <w:szCs w:val="22"/>
        </w:rPr>
      </w:pPr>
      <w:r w:rsidRPr="00337DC3">
        <w:rPr>
          <w:bCs/>
          <w:szCs w:val="22"/>
        </w:rPr>
        <w:t xml:space="preserve">What is </w:t>
      </w:r>
      <w:proofErr w:type="gramStart"/>
      <w:r w:rsidRPr="00337DC3">
        <w:rPr>
          <w:bCs/>
          <w:szCs w:val="22"/>
        </w:rPr>
        <w:t>Next</w:t>
      </w:r>
      <w:proofErr w:type="gramEnd"/>
      <w:r w:rsidRPr="00337DC3">
        <w:rPr>
          <w:bCs/>
          <w:szCs w:val="22"/>
        </w:rPr>
        <w:t xml:space="preserve"> with Public-Private Partnerships in Green Technology Dissemination? Organized by INPI France in collaboration with WIPO, December 9, 2015. 30 participants.</w:t>
      </w:r>
      <w:r w:rsidR="00337DC3" w:rsidRPr="00337DC3">
        <w:rPr>
          <w:bCs/>
          <w:szCs w:val="22"/>
        </w:rPr>
        <w:t xml:space="preserve">  </w:t>
      </w:r>
      <w:r w:rsidRPr="00337DC3">
        <w:rPr>
          <w:szCs w:val="22"/>
        </w:rPr>
        <w:t>The event, which was well received, was held on the sidelines of COP21, and featured 60</w:t>
      </w:r>
      <w:r w:rsidR="00896377">
        <w:rPr>
          <w:szCs w:val="22"/>
        </w:rPr>
        <w:t xml:space="preserve"> companies (30 from developing and</w:t>
      </w:r>
      <w:r w:rsidRPr="00337DC3">
        <w:rPr>
          <w:szCs w:val="22"/>
        </w:rPr>
        <w:t xml:space="preserve"> 30 from developed).</w:t>
      </w:r>
    </w:p>
    <w:p w:rsidR="007B02F7" w:rsidRPr="00577DCA" w:rsidRDefault="007B02F7" w:rsidP="00577DCA">
      <w:pPr>
        <w:pStyle w:val="ListParagraph"/>
        <w:rPr>
          <w:szCs w:val="22"/>
        </w:rPr>
      </w:pPr>
    </w:p>
    <w:p w:rsidR="007B02F7" w:rsidRPr="00337DC3" w:rsidRDefault="007B02F7" w:rsidP="00577DCA">
      <w:pPr>
        <w:pStyle w:val="ListParagraph"/>
        <w:ind w:left="1134"/>
        <w:rPr>
          <w:szCs w:val="22"/>
        </w:rPr>
      </w:pPr>
    </w:p>
    <w:p w:rsidR="007105FD" w:rsidRPr="007269E0" w:rsidRDefault="007B02F7" w:rsidP="00105D3F">
      <w:pPr>
        <w:pStyle w:val="Heading2"/>
      </w:pPr>
      <w:r>
        <w:t>IX</w:t>
      </w:r>
      <w:r w:rsidR="006F6951" w:rsidRPr="007269E0">
        <w:t>.</w:t>
      </w:r>
      <w:r w:rsidR="006F6951" w:rsidRPr="007269E0">
        <w:tab/>
      </w:r>
      <w:r w:rsidR="007105FD" w:rsidRPr="007269E0">
        <w:t>WIPO Participation in Rel</w:t>
      </w:r>
      <w:r w:rsidR="007870AB" w:rsidRPr="007269E0">
        <w:t>evant Knowledge Transfer Forums</w:t>
      </w:r>
    </w:p>
    <w:p w:rsidR="007105FD" w:rsidRPr="006F6951" w:rsidRDefault="007105FD" w:rsidP="007105FD">
      <w:pPr>
        <w:autoSpaceDE w:val="0"/>
        <w:autoSpaceDN w:val="0"/>
        <w:adjustRightInd w:val="0"/>
        <w:rPr>
          <w:rFonts w:eastAsia="SimSun"/>
          <w:bCs/>
          <w:szCs w:val="22"/>
          <w:u w:val="single"/>
          <w:lang w:eastAsia="zh-CN"/>
        </w:rPr>
      </w:pPr>
    </w:p>
    <w:p w:rsidR="007105FD" w:rsidRPr="006F6951" w:rsidRDefault="00146E73" w:rsidP="007105FD">
      <w:pPr>
        <w:rPr>
          <w:szCs w:val="22"/>
        </w:rPr>
      </w:pPr>
      <w:r>
        <w:rPr>
          <w:szCs w:val="22"/>
        </w:rPr>
        <w:t>39</w:t>
      </w:r>
      <w:r w:rsidR="00311ADF">
        <w:rPr>
          <w:szCs w:val="22"/>
        </w:rPr>
        <w:t>.</w:t>
      </w:r>
      <w:r w:rsidR="0061576A" w:rsidRPr="006F6951">
        <w:rPr>
          <w:szCs w:val="22"/>
        </w:rPr>
        <w:tab/>
      </w:r>
      <w:r w:rsidR="007105FD" w:rsidRPr="006F6951">
        <w:rPr>
          <w:szCs w:val="22"/>
        </w:rPr>
        <w:t>All efforts aimed at identifying the most successful model of innovation and knowledge transfer for the benefit of society, including WIPO Global Innovation Index Reports, showed the great importance and impact of created preconditions (inputs) in different areas such as institutions, infrastructure, human capital, sophistication of businesses and market etc. in order to be able to harvest good results in technology based innovation or creative industries.</w:t>
      </w:r>
    </w:p>
    <w:p w:rsidR="007105FD" w:rsidRPr="006F6951" w:rsidRDefault="007105FD" w:rsidP="007105FD">
      <w:pPr>
        <w:rPr>
          <w:szCs w:val="22"/>
        </w:rPr>
      </w:pPr>
    </w:p>
    <w:p w:rsidR="00A96CA3" w:rsidRPr="006F6951" w:rsidRDefault="00146E73" w:rsidP="002D655B">
      <w:pPr>
        <w:rPr>
          <w:rFonts w:eastAsia="SimSun"/>
          <w:szCs w:val="22"/>
          <w:lang w:eastAsia="zh-CN"/>
        </w:rPr>
      </w:pPr>
      <w:r>
        <w:rPr>
          <w:szCs w:val="22"/>
        </w:rPr>
        <w:t>40</w:t>
      </w:r>
      <w:r w:rsidR="00311ADF">
        <w:rPr>
          <w:szCs w:val="22"/>
        </w:rPr>
        <w:t>.</w:t>
      </w:r>
      <w:r w:rsidR="0061576A" w:rsidRPr="006F6951">
        <w:rPr>
          <w:szCs w:val="22"/>
        </w:rPr>
        <w:tab/>
      </w:r>
      <w:r w:rsidR="007105FD" w:rsidRPr="006F6951">
        <w:rPr>
          <w:szCs w:val="22"/>
        </w:rPr>
        <w:t xml:space="preserve">Therefore, </w:t>
      </w:r>
      <w:r w:rsidR="00256CC6" w:rsidRPr="006F6951">
        <w:rPr>
          <w:szCs w:val="22"/>
        </w:rPr>
        <w:t xml:space="preserve">WIPO created a network of partners able to provide complementary services relevant for knowledge transfer that goes beyond IP such as a network of partnerships with </w:t>
      </w:r>
      <w:r w:rsidR="007C6307">
        <w:rPr>
          <w:szCs w:val="22"/>
        </w:rPr>
        <w:t>the United Nations (</w:t>
      </w:r>
      <w:r w:rsidR="00256CC6" w:rsidRPr="006F6951">
        <w:rPr>
          <w:szCs w:val="22"/>
        </w:rPr>
        <w:t>UN</w:t>
      </w:r>
      <w:r w:rsidR="007C6307">
        <w:rPr>
          <w:szCs w:val="22"/>
        </w:rPr>
        <w:t>)</w:t>
      </w:r>
      <w:r w:rsidR="00256CC6" w:rsidRPr="006F6951">
        <w:rPr>
          <w:szCs w:val="22"/>
        </w:rPr>
        <w:t xml:space="preserve"> and other international and regional governmental organizations (such as </w:t>
      </w:r>
      <w:r w:rsidR="007C6307">
        <w:rPr>
          <w:szCs w:val="22"/>
        </w:rPr>
        <w:t xml:space="preserve">the </w:t>
      </w:r>
      <w:r w:rsidR="00FF40F4">
        <w:rPr>
          <w:szCs w:val="22"/>
        </w:rPr>
        <w:t>UN</w:t>
      </w:r>
      <w:r w:rsidR="007C6307" w:rsidRPr="00577DCA">
        <w:rPr>
          <w:szCs w:val="22"/>
        </w:rPr>
        <w:t xml:space="preserve"> Economic Commission for Europe (UNECE)</w:t>
      </w:r>
      <w:r w:rsidR="00256CC6" w:rsidRPr="006F6951">
        <w:rPr>
          <w:szCs w:val="22"/>
        </w:rPr>
        <w:t xml:space="preserve">, </w:t>
      </w:r>
      <w:r w:rsidR="00902284">
        <w:rPr>
          <w:szCs w:val="22"/>
        </w:rPr>
        <w:t xml:space="preserve">the </w:t>
      </w:r>
      <w:r w:rsidR="00FF40F4">
        <w:rPr>
          <w:szCs w:val="22"/>
        </w:rPr>
        <w:t>UN</w:t>
      </w:r>
      <w:r w:rsidR="00933421">
        <w:rPr>
          <w:szCs w:val="22"/>
        </w:rPr>
        <w:t xml:space="preserve"> Conference on Trade and Development (</w:t>
      </w:r>
      <w:r w:rsidR="00256CC6" w:rsidRPr="006F6951">
        <w:rPr>
          <w:szCs w:val="22"/>
        </w:rPr>
        <w:t>UNCTAD</w:t>
      </w:r>
      <w:r w:rsidR="00933421">
        <w:rPr>
          <w:szCs w:val="22"/>
        </w:rPr>
        <w:t>)</w:t>
      </w:r>
      <w:r w:rsidR="00256CC6" w:rsidRPr="006F6951">
        <w:rPr>
          <w:szCs w:val="22"/>
        </w:rPr>
        <w:t xml:space="preserve">, </w:t>
      </w:r>
      <w:r w:rsidR="00FF40F4" w:rsidRPr="00FF40F4">
        <w:rPr>
          <w:szCs w:val="22"/>
          <w:lang w:val="en"/>
        </w:rPr>
        <w:t xml:space="preserve">the </w:t>
      </w:r>
      <w:r w:rsidR="00FF40F4">
        <w:rPr>
          <w:szCs w:val="22"/>
          <w:lang w:val="en"/>
        </w:rPr>
        <w:t>UN</w:t>
      </w:r>
      <w:r w:rsidR="00FF40F4" w:rsidRPr="00FF40F4">
        <w:rPr>
          <w:szCs w:val="22"/>
          <w:lang w:val="en"/>
        </w:rPr>
        <w:t xml:space="preserve"> Framework Convention on Climate Change (UNFCCC)</w:t>
      </w:r>
      <w:r w:rsidR="00311ADF">
        <w:rPr>
          <w:szCs w:val="22"/>
        </w:rPr>
        <w:t xml:space="preserve">, </w:t>
      </w:r>
      <w:r w:rsidR="00933421" w:rsidRPr="00577DCA">
        <w:rPr>
          <w:szCs w:val="22"/>
        </w:rPr>
        <w:t>the European Organization for Nuclear Research</w:t>
      </w:r>
      <w:r w:rsidR="00933421" w:rsidRPr="006F6951">
        <w:rPr>
          <w:szCs w:val="22"/>
        </w:rPr>
        <w:t xml:space="preserve"> </w:t>
      </w:r>
      <w:r w:rsidR="00933421">
        <w:rPr>
          <w:szCs w:val="22"/>
        </w:rPr>
        <w:t>(</w:t>
      </w:r>
      <w:r w:rsidR="00256CC6" w:rsidRPr="006F6951">
        <w:rPr>
          <w:szCs w:val="22"/>
        </w:rPr>
        <w:t>CERN</w:t>
      </w:r>
      <w:r w:rsidR="00933421">
        <w:rPr>
          <w:szCs w:val="22"/>
        </w:rPr>
        <w:t>)</w:t>
      </w:r>
      <w:r w:rsidR="00256CC6" w:rsidRPr="006F6951">
        <w:rPr>
          <w:szCs w:val="22"/>
        </w:rPr>
        <w:t xml:space="preserve">, </w:t>
      </w:r>
      <w:r w:rsidR="00902284">
        <w:rPr>
          <w:szCs w:val="22"/>
        </w:rPr>
        <w:t xml:space="preserve">the </w:t>
      </w:r>
      <w:r w:rsidR="00256CC6" w:rsidRPr="006F6951">
        <w:rPr>
          <w:szCs w:val="22"/>
        </w:rPr>
        <w:t xml:space="preserve">World Bank, </w:t>
      </w:r>
      <w:r w:rsidR="00902284">
        <w:rPr>
          <w:szCs w:val="22"/>
        </w:rPr>
        <w:t xml:space="preserve">the </w:t>
      </w:r>
      <w:r w:rsidR="00256CC6" w:rsidRPr="006F6951">
        <w:rPr>
          <w:szCs w:val="22"/>
        </w:rPr>
        <w:t xml:space="preserve">Joint Research Center (JRC) of </w:t>
      </w:r>
      <w:r w:rsidR="00902284">
        <w:rPr>
          <w:szCs w:val="22"/>
        </w:rPr>
        <w:t xml:space="preserve">the </w:t>
      </w:r>
      <w:r w:rsidR="00256CC6" w:rsidRPr="006F6951">
        <w:rPr>
          <w:szCs w:val="22"/>
        </w:rPr>
        <w:t xml:space="preserve">European Commission (EC), </w:t>
      </w:r>
      <w:r w:rsidR="00902284">
        <w:rPr>
          <w:szCs w:val="22"/>
        </w:rPr>
        <w:t xml:space="preserve">the </w:t>
      </w:r>
      <w:r w:rsidR="00EA1F6E">
        <w:rPr>
          <w:szCs w:val="22"/>
        </w:rPr>
        <w:t>International Atomic Energy Agency (</w:t>
      </w:r>
      <w:r w:rsidR="00256CC6" w:rsidRPr="006F6951">
        <w:rPr>
          <w:szCs w:val="22"/>
        </w:rPr>
        <w:t>IAEA</w:t>
      </w:r>
      <w:r w:rsidR="00EA1F6E">
        <w:rPr>
          <w:szCs w:val="22"/>
        </w:rPr>
        <w:t>),</w:t>
      </w:r>
      <w:r w:rsidR="00256CC6" w:rsidRPr="006F6951">
        <w:rPr>
          <w:szCs w:val="22"/>
        </w:rPr>
        <w:t xml:space="preserve"> etc.), professional associations (</w:t>
      </w:r>
      <w:r w:rsidR="00F15008">
        <w:rPr>
          <w:szCs w:val="22"/>
        </w:rPr>
        <w:t xml:space="preserve">the </w:t>
      </w:r>
      <w:r w:rsidR="00F15008" w:rsidRPr="00577DCA">
        <w:rPr>
          <w:szCs w:val="22"/>
        </w:rPr>
        <w:t>Licensing Executives Society International (LESI)</w:t>
      </w:r>
      <w:r w:rsidR="00256CC6" w:rsidRPr="006F6951">
        <w:rPr>
          <w:szCs w:val="22"/>
        </w:rPr>
        <w:t>,</w:t>
      </w:r>
      <w:r w:rsidR="00105D3F">
        <w:rPr>
          <w:szCs w:val="22"/>
        </w:rPr>
        <w:t xml:space="preserve"> </w:t>
      </w:r>
      <w:r w:rsidR="0079356C" w:rsidRPr="00577DCA">
        <w:rPr>
          <w:szCs w:val="22"/>
        </w:rPr>
        <w:t>the Association of University Technology Managers</w:t>
      </w:r>
      <w:r w:rsidR="0079356C" w:rsidRPr="006F6951">
        <w:rPr>
          <w:szCs w:val="22"/>
        </w:rPr>
        <w:t xml:space="preserve"> </w:t>
      </w:r>
      <w:r w:rsidR="0079356C">
        <w:rPr>
          <w:szCs w:val="22"/>
        </w:rPr>
        <w:t>(</w:t>
      </w:r>
      <w:r w:rsidR="00256CC6" w:rsidRPr="006F6951">
        <w:rPr>
          <w:szCs w:val="22"/>
        </w:rPr>
        <w:t>AUTM</w:t>
      </w:r>
      <w:r w:rsidR="0079356C">
        <w:rPr>
          <w:szCs w:val="22"/>
        </w:rPr>
        <w:t>)</w:t>
      </w:r>
      <w:r w:rsidR="00256CC6" w:rsidRPr="006F6951">
        <w:rPr>
          <w:szCs w:val="22"/>
        </w:rPr>
        <w:t xml:space="preserve">, </w:t>
      </w:r>
      <w:r w:rsidR="00256CC6" w:rsidRPr="00071D3C">
        <w:rPr>
          <w:szCs w:val="22"/>
        </w:rPr>
        <w:t>ASTP</w:t>
      </w:r>
      <w:r w:rsidR="00256CC6" w:rsidRPr="006F6951">
        <w:rPr>
          <w:szCs w:val="22"/>
        </w:rPr>
        <w:t xml:space="preserve">, </w:t>
      </w:r>
      <w:r w:rsidR="002D655B">
        <w:rPr>
          <w:sz w:val="20"/>
        </w:rPr>
        <w:t>ASTPPROTON Knowledge Transfer Europe</w:t>
      </w:r>
      <w:r w:rsidR="00256CC6" w:rsidRPr="00071D3C">
        <w:rPr>
          <w:szCs w:val="22"/>
        </w:rPr>
        <w:t>)</w:t>
      </w:r>
      <w:r w:rsidR="00256CC6" w:rsidRPr="006F6951">
        <w:rPr>
          <w:szCs w:val="22"/>
        </w:rPr>
        <w:t xml:space="preserve"> and academic institutions in developing and developed countries (</w:t>
      </w:r>
      <w:r w:rsidR="00B56020">
        <w:rPr>
          <w:szCs w:val="22"/>
        </w:rPr>
        <w:t xml:space="preserve">the </w:t>
      </w:r>
      <w:r w:rsidR="00256CC6" w:rsidRPr="006F6951">
        <w:rPr>
          <w:szCs w:val="22"/>
        </w:rPr>
        <w:t>Center for Intellectual Property (CI</w:t>
      </w:r>
      <w:r w:rsidR="00FE357A" w:rsidRPr="006F6951">
        <w:rPr>
          <w:szCs w:val="22"/>
        </w:rPr>
        <w:t xml:space="preserve">P) of Chalmers University, </w:t>
      </w:r>
      <w:r w:rsidR="002508BB">
        <w:rPr>
          <w:szCs w:val="22"/>
        </w:rPr>
        <w:t xml:space="preserve">the </w:t>
      </w:r>
      <w:r w:rsidR="00FE357A" w:rsidRPr="006F6951">
        <w:rPr>
          <w:rFonts w:eastAsia="SimSun"/>
          <w:szCs w:val="22"/>
          <w:lang w:eastAsia="zh-CN"/>
        </w:rPr>
        <w:t>Centre for International Intellectual Property Studies (CEIPI) in Strasburg</w:t>
      </w:r>
      <w:r w:rsidR="00A96CA3" w:rsidRPr="006F6951">
        <w:rPr>
          <w:rFonts w:eastAsia="SimSun"/>
          <w:szCs w:val="22"/>
          <w:lang w:eastAsia="zh-CN"/>
        </w:rPr>
        <w:t>,</w:t>
      </w:r>
      <w:r w:rsidR="00A96CA3" w:rsidRPr="006F6951">
        <w:rPr>
          <w:szCs w:val="22"/>
        </w:rPr>
        <w:t xml:space="preserve"> </w:t>
      </w:r>
      <w:proofErr w:type="spellStart"/>
      <w:r w:rsidR="00A96CA3" w:rsidRPr="006F6951">
        <w:rPr>
          <w:rFonts w:eastAsia="SimSun"/>
          <w:szCs w:val="22"/>
          <w:lang w:eastAsia="zh-CN"/>
        </w:rPr>
        <w:t>Bogaziçi</w:t>
      </w:r>
      <w:proofErr w:type="spellEnd"/>
      <w:r w:rsidR="00A96CA3" w:rsidRPr="006F6951">
        <w:rPr>
          <w:rFonts w:eastAsia="SimSun"/>
          <w:szCs w:val="22"/>
          <w:lang w:eastAsia="zh-CN"/>
        </w:rPr>
        <w:t xml:space="preserve"> University, Istanbul, Turkey.</w:t>
      </w:r>
    </w:p>
    <w:p w:rsidR="00A96CA3" w:rsidRPr="006F6951" w:rsidRDefault="00A96CA3" w:rsidP="00A96CA3">
      <w:pPr>
        <w:rPr>
          <w:rFonts w:eastAsia="SimSun"/>
          <w:szCs w:val="22"/>
          <w:lang w:eastAsia="zh-CN"/>
        </w:rPr>
      </w:pPr>
    </w:p>
    <w:p w:rsidR="00A96CA3" w:rsidRPr="006F6951" w:rsidRDefault="00146E73" w:rsidP="00A96CA3">
      <w:pPr>
        <w:rPr>
          <w:rFonts w:eastAsia="SimSun"/>
          <w:szCs w:val="22"/>
          <w:lang w:eastAsia="zh-CN"/>
        </w:rPr>
      </w:pPr>
      <w:r>
        <w:rPr>
          <w:szCs w:val="22"/>
        </w:rPr>
        <w:lastRenderedPageBreak/>
        <w:t>41</w:t>
      </w:r>
      <w:r w:rsidR="00C25966">
        <w:rPr>
          <w:szCs w:val="22"/>
        </w:rPr>
        <w:t>.</w:t>
      </w:r>
      <w:r w:rsidR="00C25966">
        <w:rPr>
          <w:szCs w:val="22"/>
        </w:rPr>
        <w:tab/>
      </w:r>
      <w:r w:rsidR="00436E20" w:rsidRPr="006F6951">
        <w:rPr>
          <w:rFonts w:eastAsia="SimSun"/>
          <w:szCs w:val="22"/>
          <w:lang w:eastAsia="zh-CN"/>
        </w:rPr>
        <w:t>WIPO also</w:t>
      </w:r>
      <w:r w:rsidR="00A96CA3" w:rsidRPr="006F6951">
        <w:rPr>
          <w:rFonts w:eastAsia="SimSun"/>
          <w:szCs w:val="22"/>
          <w:lang w:eastAsia="zh-CN"/>
        </w:rPr>
        <w:t xml:space="preserve"> participated in a number of international and regional meetings </w:t>
      </w:r>
      <w:r w:rsidR="003F22F0" w:rsidRPr="006F6951">
        <w:rPr>
          <w:rFonts w:eastAsia="SimSun"/>
          <w:szCs w:val="22"/>
          <w:lang w:eastAsia="zh-CN"/>
        </w:rPr>
        <w:t>of universities and their technology management associations such as</w:t>
      </w:r>
      <w:r w:rsidR="00A96CA3" w:rsidRPr="006F6951">
        <w:rPr>
          <w:rFonts w:eastAsia="SimSun"/>
          <w:szCs w:val="22"/>
          <w:lang w:eastAsia="zh-CN"/>
        </w:rPr>
        <w:t>:</w:t>
      </w:r>
    </w:p>
    <w:p w:rsidR="00A96CA3" w:rsidRPr="006F6951" w:rsidRDefault="00A96CA3" w:rsidP="00A96CA3">
      <w:pPr>
        <w:rPr>
          <w:rFonts w:eastAsia="SimSun"/>
          <w:szCs w:val="22"/>
          <w:lang w:eastAsia="zh-CN"/>
        </w:rPr>
      </w:pPr>
    </w:p>
    <w:p w:rsidR="00A96CA3" w:rsidRPr="006F6951" w:rsidRDefault="00A96CA3" w:rsidP="00620983">
      <w:pPr>
        <w:pStyle w:val="ListParagraph"/>
        <w:numPr>
          <w:ilvl w:val="0"/>
          <w:numId w:val="19"/>
        </w:numPr>
        <w:ind w:left="1134" w:hanging="567"/>
        <w:rPr>
          <w:rFonts w:eastAsia="SimSun"/>
          <w:szCs w:val="22"/>
          <w:lang w:eastAsia="zh-CN"/>
        </w:rPr>
      </w:pPr>
      <w:r w:rsidRPr="006F6951">
        <w:rPr>
          <w:rFonts w:eastAsia="SimSun"/>
          <w:szCs w:val="22"/>
          <w:lang w:eastAsia="zh-CN"/>
        </w:rPr>
        <w:t xml:space="preserve">Annual meetings of the </w:t>
      </w:r>
      <w:r w:rsidR="006E40E9">
        <w:rPr>
          <w:rFonts w:eastAsia="SimSun"/>
          <w:szCs w:val="22"/>
          <w:lang w:eastAsia="zh-CN"/>
        </w:rPr>
        <w:t>“</w:t>
      </w:r>
      <w:r w:rsidRPr="006F6951">
        <w:rPr>
          <w:rFonts w:eastAsia="SimSun"/>
          <w:szCs w:val="22"/>
          <w:lang w:eastAsia="zh-CN"/>
        </w:rPr>
        <w:t>TTO Circle</w:t>
      </w:r>
      <w:r w:rsidR="006E40E9">
        <w:rPr>
          <w:rFonts w:eastAsia="SimSun"/>
          <w:szCs w:val="22"/>
          <w:lang w:eastAsia="zh-CN"/>
        </w:rPr>
        <w:t>”</w:t>
      </w:r>
      <w:r w:rsidRPr="006F6951">
        <w:rPr>
          <w:rFonts w:eastAsia="SimSun"/>
          <w:szCs w:val="22"/>
          <w:lang w:eastAsia="zh-CN"/>
        </w:rPr>
        <w:t>, a network of technology management units of the 25 largest research institutions in Europe, organized by EC JRC (JRC) to assess the impact on E</w:t>
      </w:r>
      <w:r w:rsidR="00C25966">
        <w:rPr>
          <w:rFonts w:eastAsia="SimSun"/>
          <w:szCs w:val="22"/>
          <w:lang w:eastAsia="zh-CN"/>
        </w:rPr>
        <w:t>uropean policies ( January 20 and</w:t>
      </w:r>
      <w:r w:rsidRPr="006F6951">
        <w:rPr>
          <w:rFonts w:eastAsia="SimSun"/>
          <w:szCs w:val="22"/>
          <w:lang w:eastAsia="zh-CN"/>
        </w:rPr>
        <w:t xml:space="preserve"> 21, 2014, </w:t>
      </w:r>
      <w:proofErr w:type="spellStart"/>
      <w:r w:rsidRPr="006F6951">
        <w:rPr>
          <w:rFonts w:eastAsia="SimSun"/>
          <w:szCs w:val="22"/>
          <w:lang w:eastAsia="zh-CN"/>
        </w:rPr>
        <w:t>Rehovot</w:t>
      </w:r>
      <w:proofErr w:type="spellEnd"/>
      <w:r w:rsidRPr="006F6951">
        <w:rPr>
          <w:rFonts w:eastAsia="SimSun"/>
          <w:szCs w:val="22"/>
          <w:lang w:eastAsia="zh-CN"/>
        </w:rPr>
        <w:t xml:space="preserve"> Israel);</w:t>
      </w:r>
    </w:p>
    <w:p w:rsidR="00A96CA3" w:rsidRPr="006F6951" w:rsidRDefault="00A96CA3" w:rsidP="00620983">
      <w:pPr>
        <w:pStyle w:val="ListParagraph"/>
        <w:numPr>
          <w:ilvl w:val="0"/>
          <w:numId w:val="19"/>
        </w:numPr>
        <w:ind w:left="1134" w:hanging="567"/>
        <w:rPr>
          <w:rFonts w:eastAsia="SimSun"/>
          <w:szCs w:val="22"/>
          <w:lang w:eastAsia="zh-CN"/>
        </w:rPr>
      </w:pPr>
      <w:r w:rsidRPr="006F6951">
        <w:rPr>
          <w:rFonts w:eastAsia="SimSun"/>
          <w:szCs w:val="22"/>
          <w:lang w:eastAsia="zh-CN"/>
        </w:rPr>
        <w:t xml:space="preserve">International Conference on </w:t>
      </w:r>
      <w:proofErr w:type="spellStart"/>
      <w:r w:rsidRPr="006F6951">
        <w:rPr>
          <w:rFonts w:eastAsia="SimSun"/>
          <w:szCs w:val="22"/>
          <w:lang w:eastAsia="zh-CN"/>
        </w:rPr>
        <w:t>IP@Universitiy</w:t>
      </w:r>
      <w:proofErr w:type="spellEnd"/>
      <w:r w:rsidRPr="006F6951">
        <w:rPr>
          <w:rFonts w:eastAsia="SimSun"/>
          <w:szCs w:val="22"/>
          <w:lang w:eastAsia="zh-CN"/>
        </w:rPr>
        <w:t xml:space="preserve">, organized by </w:t>
      </w:r>
      <w:proofErr w:type="spellStart"/>
      <w:r w:rsidRPr="006F6951">
        <w:rPr>
          <w:rFonts w:eastAsia="SimSun"/>
          <w:szCs w:val="22"/>
          <w:lang w:eastAsia="zh-CN"/>
        </w:rPr>
        <w:t>Bogaziçi</w:t>
      </w:r>
      <w:proofErr w:type="spellEnd"/>
      <w:r w:rsidRPr="006F6951">
        <w:rPr>
          <w:rFonts w:eastAsia="SimSun"/>
          <w:szCs w:val="22"/>
          <w:lang w:eastAsia="zh-CN"/>
        </w:rPr>
        <w:t xml:space="preserve"> University, Istanbul, Turkey (2014 and 2015);</w:t>
      </w:r>
    </w:p>
    <w:p w:rsidR="00A96CA3" w:rsidRDefault="00A96CA3" w:rsidP="00620983">
      <w:pPr>
        <w:pStyle w:val="ListParagraph"/>
        <w:numPr>
          <w:ilvl w:val="0"/>
          <w:numId w:val="19"/>
        </w:numPr>
        <w:ind w:left="1134" w:hanging="567"/>
        <w:rPr>
          <w:rFonts w:eastAsia="SimSun"/>
          <w:szCs w:val="22"/>
          <w:lang w:eastAsia="zh-CN"/>
        </w:rPr>
      </w:pPr>
      <w:r w:rsidRPr="006F6951">
        <w:rPr>
          <w:rFonts w:eastAsia="SimSun"/>
          <w:szCs w:val="22"/>
          <w:lang w:eastAsia="zh-CN"/>
        </w:rPr>
        <w:t>Third Congress of the Mexican Technology Transfer Offices Network</w:t>
      </w:r>
      <w:r w:rsidR="006E40E9">
        <w:rPr>
          <w:rFonts w:eastAsia="SimSun"/>
          <w:szCs w:val="22"/>
          <w:lang w:eastAsia="zh-CN"/>
        </w:rPr>
        <w:t>’</w:t>
      </w:r>
      <w:r w:rsidRPr="006F6951">
        <w:rPr>
          <w:rFonts w:eastAsia="SimSun"/>
          <w:szCs w:val="22"/>
          <w:lang w:eastAsia="zh-CN"/>
        </w:rPr>
        <w:t>s (Red OTT), on November 26 and 17, 2014 in Querétaro, Mexico;</w:t>
      </w:r>
    </w:p>
    <w:p w:rsidR="00365BD5" w:rsidRPr="00365BD5" w:rsidRDefault="00365BD5" w:rsidP="00365BD5">
      <w:pPr>
        <w:pStyle w:val="ListParagraph"/>
        <w:numPr>
          <w:ilvl w:val="0"/>
          <w:numId w:val="22"/>
        </w:numPr>
        <w:ind w:left="1134" w:hanging="567"/>
        <w:rPr>
          <w:bCs/>
          <w:szCs w:val="22"/>
        </w:rPr>
      </w:pPr>
      <w:r w:rsidRPr="006F6951">
        <w:rPr>
          <w:bCs/>
          <w:szCs w:val="22"/>
        </w:rPr>
        <w:t xml:space="preserve">Global Challenges Seminar, launching the Global Challenges Brief and Report by </w:t>
      </w:r>
      <w:proofErr w:type="spellStart"/>
      <w:r w:rsidRPr="006F6951">
        <w:rPr>
          <w:bCs/>
          <w:szCs w:val="22"/>
        </w:rPr>
        <w:t>CambridgeIP</w:t>
      </w:r>
      <w:proofErr w:type="spellEnd"/>
      <w:r w:rsidRPr="006F6951">
        <w:rPr>
          <w:bCs/>
          <w:szCs w:val="22"/>
        </w:rPr>
        <w:t xml:space="preserve"> on Intellectual property trends in the renewable energy landscape (June 11, 2014);</w:t>
      </w:r>
      <w:r w:rsidR="00105D3F">
        <w:rPr>
          <w:bCs/>
          <w:szCs w:val="22"/>
        </w:rPr>
        <w:t xml:space="preserve">  and</w:t>
      </w:r>
    </w:p>
    <w:p w:rsidR="00256CC6" w:rsidRDefault="00A96CA3" w:rsidP="00620983">
      <w:pPr>
        <w:pStyle w:val="ListParagraph"/>
        <w:numPr>
          <w:ilvl w:val="0"/>
          <w:numId w:val="19"/>
        </w:numPr>
        <w:ind w:left="1134" w:hanging="567"/>
        <w:rPr>
          <w:szCs w:val="22"/>
        </w:rPr>
      </w:pPr>
      <w:r w:rsidRPr="006F6951">
        <w:rPr>
          <w:rFonts w:eastAsia="SimSun"/>
          <w:szCs w:val="22"/>
          <w:lang w:eastAsia="zh-CN"/>
        </w:rPr>
        <w:t>Danube Initiative Summer School, organized by JRC and WIPO for technology managers from Danube Region Countries (Belgrade 2014 and Budapest 2015)</w:t>
      </w:r>
      <w:r w:rsidR="00365BD5">
        <w:rPr>
          <w:szCs w:val="22"/>
        </w:rPr>
        <w:t>.</w:t>
      </w:r>
    </w:p>
    <w:p w:rsidR="00365BD5" w:rsidRPr="006F6951" w:rsidRDefault="00365BD5" w:rsidP="00256CC6">
      <w:pPr>
        <w:rPr>
          <w:szCs w:val="22"/>
        </w:rPr>
      </w:pPr>
    </w:p>
    <w:p w:rsidR="003F22F0" w:rsidRDefault="00146E73" w:rsidP="00256CC6">
      <w:pPr>
        <w:rPr>
          <w:szCs w:val="22"/>
        </w:rPr>
      </w:pPr>
      <w:r>
        <w:rPr>
          <w:szCs w:val="22"/>
        </w:rPr>
        <w:t>42</w:t>
      </w:r>
      <w:r w:rsidR="00C968A2">
        <w:rPr>
          <w:szCs w:val="22"/>
        </w:rPr>
        <w:t>.</w:t>
      </w:r>
      <w:r w:rsidR="0061576A" w:rsidRPr="006F6951">
        <w:rPr>
          <w:szCs w:val="22"/>
        </w:rPr>
        <w:tab/>
      </w:r>
      <w:r w:rsidR="003F22F0" w:rsidRPr="006F6951">
        <w:rPr>
          <w:szCs w:val="22"/>
        </w:rPr>
        <w:t xml:space="preserve">In addition, through activities of External Relations WIPO provided contribution or </w:t>
      </w:r>
      <w:r w:rsidR="00C95F13" w:rsidRPr="006F6951">
        <w:rPr>
          <w:szCs w:val="22"/>
        </w:rPr>
        <w:t>participated in numerous meetings of other governmental and non–governmental organizations as it was</w:t>
      </w:r>
      <w:r w:rsidR="00EF5FA4">
        <w:rPr>
          <w:szCs w:val="22"/>
        </w:rPr>
        <w:t xml:space="preserve"> the case of following meetings</w:t>
      </w:r>
      <w:r w:rsidR="00C95F13" w:rsidRPr="006F6951">
        <w:rPr>
          <w:szCs w:val="22"/>
        </w:rPr>
        <w:t>:</w:t>
      </w:r>
    </w:p>
    <w:p w:rsidR="00365BD5" w:rsidRDefault="00365BD5" w:rsidP="00256CC6">
      <w:pPr>
        <w:rPr>
          <w:szCs w:val="22"/>
        </w:rPr>
      </w:pPr>
    </w:p>
    <w:p w:rsidR="00365BD5" w:rsidRPr="00365BD5" w:rsidRDefault="00365BD5" w:rsidP="00653B4E">
      <w:pPr>
        <w:pStyle w:val="ListParagraph"/>
        <w:numPr>
          <w:ilvl w:val="0"/>
          <w:numId w:val="35"/>
        </w:numPr>
        <w:ind w:left="1134" w:hanging="567"/>
        <w:rPr>
          <w:szCs w:val="22"/>
        </w:rPr>
      </w:pPr>
      <w:r w:rsidRPr="00365BD5">
        <w:rPr>
          <w:szCs w:val="22"/>
        </w:rPr>
        <w:t>Joint Side Event on Climate Change and Technology - Global Environment Facility 5th Assembly, May 27, 2014;</w:t>
      </w:r>
    </w:p>
    <w:p w:rsidR="00365BD5" w:rsidRPr="00365BD5" w:rsidRDefault="00365BD5" w:rsidP="00653B4E">
      <w:pPr>
        <w:pStyle w:val="ListParagraph"/>
        <w:numPr>
          <w:ilvl w:val="0"/>
          <w:numId w:val="17"/>
        </w:numPr>
        <w:ind w:left="1134" w:hanging="567"/>
        <w:contextualSpacing w:val="0"/>
        <w:rPr>
          <w:szCs w:val="22"/>
        </w:rPr>
      </w:pPr>
      <w:r w:rsidRPr="00365BD5">
        <w:rPr>
          <w:szCs w:val="22"/>
        </w:rPr>
        <w:t xml:space="preserve">21st session of the Intergovernmental Council of the International Hydrological </w:t>
      </w:r>
      <w:proofErr w:type="spellStart"/>
      <w:r w:rsidRPr="00365BD5">
        <w:rPr>
          <w:szCs w:val="22"/>
        </w:rPr>
        <w:t>Programme</w:t>
      </w:r>
      <w:proofErr w:type="spellEnd"/>
      <w:r w:rsidRPr="00365BD5">
        <w:rPr>
          <w:szCs w:val="22"/>
        </w:rPr>
        <w:t xml:space="preserve"> (IHP), UNESCO, Paris, June 18 to 20, 2014;</w:t>
      </w:r>
    </w:p>
    <w:p w:rsidR="00365BD5" w:rsidRPr="00365BD5" w:rsidRDefault="00365BD5" w:rsidP="00653B4E">
      <w:pPr>
        <w:pStyle w:val="ListParagraph"/>
        <w:numPr>
          <w:ilvl w:val="0"/>
          <w:numId w:val="17"/>
        </w:numPr>
        <w:ind w:left="1134" w:hanging="567"/>
        <w:contextualSpacing w:val="0"/>
        <w:rPr>
          <w:szCs w:val="22"/>
        </w:rPr>
      </w:pPr>
      <w:r w:rsidRPr="00365BD5">
        <w:rPr>
          <w:szCs w:val="22"/>
        </w:rPr>
        <w:t xml:space="preserve">3rd International Conference on Water Resources and Environmental Management (ICWRE-2014), Antalya, May 13 to 15, 2014; </w:t>
      </w:r>
    </w:p>
    <w:p w:rsidR="00365BD5" w:rsidRPr="00365BD5" w:rsidRDefault="00365BD5" w:rsidP="00653B4E">
      <w:pPr>
        <w:pStyle w:val="ListParagraph"/>
        <w:numPr>
          <w:ilvl w:val="0"/>
          <w:numId w:val="17"/>
        </w:numPr>
        <w:ind w:left="1134" w:hanging="567"/>
        <w:contextualSpacing w:val="0"/>
        <w:rPr>
          <w:szCs w:val="22"/>
        </w:rPr>
      </w:pPr>
      <w:r w:rsidRPr="00365BD5">
        <w:rPr>
          <w:szCs w:val="22"/>
        </w:rPr>
        <w:t xml:space="preserve">WIPO side event with IHP UNESCO at the </w:t>
      </w:r>
      <w:r w:rsidRPr="00365BD5">
        <w:rPr>
          <w:i/>
          <w:iCs/>
          <w:szCs w:val="22"/>
        </w:rPr>
        <w:t>World Water Week</w:t>
      </w:r>
      <w:r w:rsidRPr="00365BD5">
        <w:rPr>
          <w:szCs w:val="22"/>
        </w:rPr>
        <w:t>, Stockholm, August 31 to September 6, 2014;</w:t>
      </w:r>
    </w:p>
    <w:p w:rsidR="00365BD5" w:rsidRPr="00365BD5" w:rsidRDefault="00365BD5" w:rsidP="00653B4E">
      <w:pPr>
        <w:pStyle w:val="ListParagraph"/>
        <w:numPr>
          <w:ilvl w:val="0"/>
          <w:numId w:val="17"/>
        </w:numPr>
        <w:ind w:left="1134" w:hanging="567"/>
        <w:contextualSpacing w:val="0"/>
        <w:rPr>
          <w:szCs w:val="22"/>
        </w:rPr>
      </w:pPr>
      <w:r w:rsidRPr="00365BD5">
        <w:rPr>
          <w:szCs w:val="22"/>
        </w:rPr>
        <w:t>Joint UNU-ITU-UNIDO-ECLAC-WIPO-UNEP Basel Convention Event on 1st Global E-waste Monitor and the Specific Situation in Latin America held in Geneva on May</w:t>
      </w:r>
      <w:r w:rsidR="00653B4E">
        <w:rPr>
          <w:szCs w:val="22"/>
        </w:rPr>
        <w:t> </w:t>
      </w:r>
      <w:r w:rsidRPr="00365BD5">
        <w:rPr>
          <w:szCs w:val="22"/>
        </w:rPr>
        <w:t>11, 2015, during the Meetings of the Conferences of the Parties to the Basel, Rotterdam and Stockholm Conventions (BC COP12, RC COP7, SC COP7).</w:t>
      </w:r>
    </w:p>
    <w:p w:rsidR="00C95F13" w:rsidRPr="00365BD5" w:rsidRDefault="00C95F13" w:rsidP="00653B4E">
      <w:pPr>
        <w:pStyle w:val="ListParagraph"/>
        <w:numPr>
          <w:ilvl w:val="0"/>
          <w:numId w:val="17"/>
        </w:numPr>
        <w:ind w:left="1134" w:hanging="567"/>
        <w:rPr>
          <w:szCs w:val="22"/>
        </w:rPr>
      </w:pPr>
      <w:r w:rsidRPr="00365BD5">
        <w:rPr>
          <w:szCs w:val="22"/>
        </w:rPr>
        <w:t>WIPO Side Event on Policies and Evidence to Support Climate Change Technology Transfer and Innovation – UNFCCC Bon Climate Change Conference, June 8, 2015;</w:t>
      </w:r>
    </w:p>
    <w:p w:rsidR="00C95F13" w:rsidRPr="00365BD5" w:rsidRDefault="00C95F13" w:rsidP="00653B4E">
      <w:pPr>
        <w:pStyle w:val="ListParagraph"/>
        <w:numPr>
          <w:ilvl w:val="0"/>
          <w:numId w:val="17"/>
        </w:numPr>
        <w:ind w:left="1134" w:hanging="567"/>
        <w:rPr>
          <w:szCs w:val="22"/>
        </w:rPr>
      </w:pPr>
      <w:r w:rsidRPr="00365BD5">
        <w:rPr>
          <w:szCs w:val="22"/>
        </w:rPr>
        <w:t>WIPO participation in IRENA Side event on IRENA</w:t>
      </w:r>
      <w:r w:rsidR="006E40E9">
        <w:rPr>
          <w:szCs w:val="22"/>
        </w:rPr>
        <w:t>’</w:t>
      </w:r>
      <w:r w:rsidRPr="00365BD5">
        <w:rPr>
          <w:szCs w:val="22"/>
        </w:rPr>
        <w:t>s Interactive Web Tool on International Standards and Patents in Renewable Energy – UNFCCC Bon Climate Change Conference, June 5, 2015;</w:t>
      </w:r>
    </w:p>
    <w:p w:rsidR="00C95F13" w:rsidRPr="00365BD5" w:rsidRDefault="00C95F13">
      <w:pPr>
        <w:pStyle w:val="ListParagraph"/>
        <w:numPr>
          <w:ilvl w:val="0"/>
          <w:numId w:val="17"/>
        </w:numPr>
        <w:ind w:left="1134" w:hanging="567"/>
        <w:rPr>
          <w:szCs w:val="22"/>
        </w:rPr>
      </w:pPr>
      <w:r w:rsidRPr="00365BD5">
        <w:rPr>
          <w:szCs w:val="22"/>
        </w:rPr>
        <w:t xml:space="preserve">WIPO participation in workshop on </w:t>
      </w:r>
      <w:r w:rsidR="006E40E9">
        <w:rPr>
          <w:szCs w:val="22"/>
        </w:rPr>
        <w:t>“</w:t>
      </w:r>
      <w:r w:rsidRPr="00365BD5">
        <w:rPr>
          <w:szCs w:val="22"/>
        </w:rPr>
        <w:t>Strengthening national systems of innovation in developing countries, covering the entire technology cycle for climate technology</w:t>
      </w:r>
      <w:r w:rsidR="006E40E9">
        <w:rPr>
          <w:szCs w:val="22"/>
        </w:rPr>
        <w:t>”</w:t>
      </w:r>
      <w:r w:rsidRPr="00365BD5">
        <w:rPr>
          <w:szCs w:val="22"/>
        </w:rPr>
        <w:t xml:space="preserve"> - UNFCCC TEC Workshop, October 13 </w:t>
      </w:r>
      <w:r w:rsidR="002D2374">
        <w:rPr>
          <w:szCs w:val="22"/>
        </w:rPr>
        <w:t>and</w:t>
      </w:r>
      <w:r w:rsidR="002D2374" w:rsidRPr="00365BD5">
        <w:rPr>
          <w:szCs w:val="22"/>
        </w:rPr>
        <w:t xml:space="preserve"> </w:t>
      </w:r>
      <w:r w:rsidRPr="00365BD5">
        <w:rPr>
          <w:szCs w:val="22"/>
        </w:rPr>
        <w:t>14, 2014;</w:t>
      </w:r>
    </w:p>
    <w:p w:rsidR="00C95F13" w:rsidRPr="00137392" w:rsidRDefault="00C95F13" w:rsidP="00653B4E">
      <w:pPr>
        <w:pStyle w:val="ListParagraph"/>
        <w:numPr>
          <w:ilvl w:val="0"/>
          <w:numId w:val="17"/>
        </w:numPr>
        <w:ind w:left="1134" w:hanging="567"/>
        <w:rPr>
          <w:szCs w:val="22"/>
        </w:rPr>
      </w:pPr>
      <w:r w:rsidRPr="00137392">
        <w:rPr>
          <w:szCs w:val="22"/>
        </w:rPr>
        <w:t>WIPO/IRENA Side event on Renewable Energy Technologies: Technology Trends, Patents and Policy Implications – UNFCCC Bon Climate C</w:t>
      </w:r>
      <w:r w:rsidR="00365BD5" w:rsidRPr="00137392">
        <w:rPr>
          <w:szCs w:val="22"/>
        </w:rPr>
        <w:t>hange Conference, June 13, 2014.</w:t>
      </w:r>
    </w:p>
    <w:p w:rsidR="00653B4E" w:rsidRDefault="00653B4E" w:rsidP="00365BD5">
      <w:pPr>
        <w:pStyle w:val="ListParagraph"/>
        <w:contextualSpacing w:val="0"/>
        <w:rPr>
          <w:szCs w:val="22"/>
        </w:rPr>
      </w:pPr>
    </w:p>
    <w:p w:rsidR="007B02F7" w:rsidRDefault="007B02F7" w:rsidP="00365BD5">
      <w:pPr>
        <w:pStyle w:val="ListParagraph"/>
        <w:contextualSpacing w:val="0"/>
        <w:rPr>
          <w:szCs w:val="22"/>
        </w:rPr>
      </w:pPr>
    </w:p>
    <w:p w:rsidR="007B02F7" w:rsidRDefault="007B02F7" w:rsidP="00365BD5">
      <w:pPr>
        <w:pStyle w:val="ListParagraph"/>
        <w:contextualSpacing w:val="0"/>
        <w:rPr>
          <w:szCs w:val="22"/>
        </w:rPr>
      </w:pPr>
    </w:p>
    <w:p w:rsidR="007B02F7" w:rsidRDefault="007B02F7" w:rsidP="00365BD5">
      <w:pPr>
        <w:pStyle w:val="ListParagraph"/>
        <w:contextualSpacing w:val="0"/>
        <w:rPr>
          <w:szCs w:val="22"/>
        </w:rPr>
      </w:pPr>
    </w:p>
    <w:p w:rsidR="007B02F7" w:rsidRPr="00577DCA" w:rsidRDefault="007B02F7" w:rsidP="00577DCA"/>
    <w:p w:rsidR="00E812E1" w:rsidRPr="00105D3F" w:rsidRDefault="00105D3F" w:rsidP="00105D3F">
      <w:pPr>
        <w:pStyle w:val="Heading2"/>
        <w:ind w:left="567" w:hanging="567"/>
      </w:pPr>
      <w:r w:rsidRPr="00105D3F">
        <w:lastRenderedPageBreak/>
        <w:t>X.</w:t>
      </w:r>
      <w:r w:rsidRPr="00105D3F">
        <w:tab/>
      </w:r>
      <w:r w:rsidR="00E812E1" w:rsidRPr="00105D3F">
        <w:t>Economic Research and Studies on Policies and Outcomes of Technology Transfer</w:t>
      </w:r>
    </w:p>
    <w:p w:rsidR="0051362C" w:rsidRPr="00E812E1" w:rsidRDefault="0051362C" w:rsidP="0051362C">
      <w:pPr>
        <w:rPr>
          <w:b/>
          <w:szCs w:val="22"/>
        </w:rPr>
      </w:pPr>
    </w:p>
    <w:p w:rsidR="00E812E1" w:rsidRDefault="00146E73" w:rsidP="00E812E1">
      <w:pPr>
        <w:rPr>
          <w:sz w:val="20"/>
        </w:rPr>
      </w:pPr>
      <w:r>
        <w:rPr>
          <w:bCs/>
          <w:szCs w:val="22"/>
        </w:rPr>
        <w:t>43</w:t>
      </w:r>
      <w:r w:rsidR="00E812E1">
        <w:rPr>
          <w:bCs/>
          <w:szCs w:val="22"/>
        </w:rPr>
        <w:t>.</w:t>
      </w:r>
      <w:r w:rsidR="00E812E1">
        <w:rPr>
          <w:bCs/>
          <w:szCs w:val="22"/>
        </w:rPr>
        <w:tab/>
      </w:r>
      <w:r w:rsidR="00E812E1" w:rsidRPr="00596382">
        <w:rPr>
          <w:szCs w:val="22"/>
        </w:rPr>
        <w:t xml:space="preserve">Through its economic flagship publications such as the Global Innovation Index or the World IP Report, the Economics and Statistics Division (ESD) is led to study the extent and outcomes of knowledge transfer activities and policies. </w:t>
      </w:r>
      <w:r w:rsidR="00105D3F">
        <w:rPr>
          <w:szCs w:val="22"/>
        </w:rPr>
        <w:t xml:space="preserve"> </w:t>
      </w:r>
      <w:r w:rsidR="00E812E1" w:rsidRPr="00596382">
        <w:rPr>
          <w:szCs w:val="22"/>
        </w:rPr>
        <w:t>In 2011, Chapter 4 of the World IP Report was fully devoted to this topic.</w:t>
      </w:r>
      <w:r w:rsidR="00105D3F">
        <w:rPr>
          <w:szCs w:val="22"/>
        </w:rPr>
        <w:t xml:space="preserve"> </w:t>
      </w:r>
      <w:r w:rsidR="00E812E1" w:rsidRPr="00596382">
        <w:rPr>
          <w:szCs w:val="22"/>
        </w:rPr>
        <w:t xml:space="preserve"> Every year, the Global Innovation Index assesses the extent and importance of innovation linkages for innovation in one of its innovation index pill</w:t>
      </w:r>
      <w:r w:rsidR="00105D3F">
        <w:rPr>
          <w:szCs w:val="22"/>
        </w:rPr>
        <w:t>ars.  For the 2016/</w:t>
      </w:r>
      <w:r w:rsidR="00D96723">
        <w:rPr>
          <w:szCs w:val="22"/>
        </w:rPr>
        <w:t xml:space="preserve">17 biennium, </w:t>
      </w:r>
      <w:r w:rsidR="00E812E1" w:rsidRPr="00596382">
        <w:rPr>
          <w:szCs w:val="22"/>
        </w:rPr>
        <w:t xml:space="preserve">ESD was asked to conduct a comparative research project in six countries to assess knowledge transfer policies and outcomes. </w:t>
      </w:r>
      <w:r w:rsidR="00105D3F">
        <w:rPr>
          <w:szCs w:val="22"/>
        </w:rPr>
        <w:t xml:space="preserve"> </w:t>
      </w:r>
      <w:r w:rsidR="00E812E1" w:rsidRPr="00596382">
        <w:rPr>
          <w:szCs w:val="22"/>
        </w:rPr>
        <w:t>An integral part of this project is t</w:t>
      </w:r>
      <w:r w:rsidR="00105D3F">
        <w:rPr>
          <w:szCs w:val="22"/>
        </w:rPr>
        <w:t xml:space="preserve">o produce a set of key metrics </w:t>
      </w:r>
      <w:r w:rsidR="00E812E1" w:rsidRPr="00596382">
        <w:rPr>
          <w:szCs w:val="22"/>
        </w:rPr>
        <w:t>and survey templates which could be used by countries to monitor activities and outcomes in this field.</w:t>
      </w:r>
    </w:p>
    <w:p w:rsidR="00BA7D7B" w:rsidRDefault="00BA7D7B" w:rsidP="006F6951">
      <w:pPr>
        <w:tabs>
          <w:tab w:val="center" w:pos="6237"/>
        </w:tabs>
        <w:ind w:left="4536"/>
        <w:rPr>
          <w:bCs/>
          <w:szCs w:val="22"/>
        </w:rPr>
      </w:pPr>
    </w:p>
    <w:p w:rsidR="00105D3F" w:rsidRDefault="00105D3F" w:rsidP="006F6951">
      <w:pPr>
        <w:tabs>
          <w:tab w:val="center" w:pos="6237"/>
        </w:tabs>
        <w:ind w:left="4536"/>
        <w:rPr>
          <w:bCs/>
          <w:szCs w:val="22"/>
        </w:rPr>
      </w:pPr>
    </w:p>
    <w:p w:rsidR="00105D3F" w:rsidRDefault="00105D3F" w:rsidP="006F6951">
      <w:pPr>
        <w:tabs>
          <w:tab w:val="center" w:pos="6237"/>
        </w:tabs>
        <w:ind w:left="4536"/>
        <w:rPr>
          <w:bCs/>
          <w:szCs w:val="22"/>
        </w:rPr>
      </w:pPr>
    </w:p>
    <w:p w:rsidR="006F6951" w:rsidRPr="006F6951" w:rsidRDefault="006F6951" w:rsidP="006F6951">
      <w:pPr>
        <w:tabs>
          <w:tab w:val="center" w:pos="6237"/>
        </w:tabs>
        <w:ind w:left="4536"/>
        <w:rPr>
          <w:szCs w:val="22"/>
        </w:rPr>
      </w:pPr>
      <w:r>
        <w:rPr>
          <w:bCs/>
          <w:szCs w:val="22"/>
        </w:rPr>
        <w:t xml:space="preserve">[End of </w:t>
      </w:r>
      <w:r w:rsidR="00105D3F">
        <w:rPr>
          <w:bCs/>
          <w:szCs w:val="22"/>
        </w:rPr>
        <w:t xml:space="preserve">Annex and of </w:t>
      </w:r>
      <w:r>
        <w:rPr>
          <w:bCs/>
          <w:szCs w:val="22"/>
        </w:rPr>
        <w:t>document]</w:t>
      </w:r>
    </w:p>
    <w:sectPr w:rsidR="006F6951" w:rsidRPr="006F6951" w:rsidSect="008E1059">
      <w:headerReference w:type="default" r:id="rId31"/>
      <w:footerReference w:type="default" r:id="rId32"/>
      <w:headerReference w:type="first" r:id="rId33"/>
      <w:footerReference w:type="first" r:id="rId34"/>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F8" w:rsidRDefault="00A561F8" w:rsidP="00DE0D63">
      <w:r>
        <w:separator/>
      </w:r>
    </w:p>
  </w:endnote>
  <w:endnote w:type="continuationSeparator" w:id="0">
    <w:p w:rsidR="00A561F8" w:rsidRDefault="00A561F8" w:rsidP="00DE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DE" w:rsidRDefault="00B257DE">
    <w:pPr>
      <w:pStyle w:val="Footer"/>
    </w:pPr>
  </w:p>
  <w:p w:rsidR="00B257DE" w:rsidRDefault="00B25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2F" w:rsidRDefault="000E112F">
    <w:pPr>
      <w:pStyle w:val="Footer"/>
    </w:pPr>
  </w:p>
  <w:p w:rsidR="000E112F" w:rsidRDefault="000E1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59" w:rsidRDefault="008E1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F8" w:rsidRDefault="00A561F8" w:rsidP="00DE0D63">
      <w:r>
        <w:separator/>
      </w:r>
    </w:p>
  </w:footnote>
  <w:footnote w:type="continuationSeparator" w:id="0">
    <w:p w:rsidR="00A561F8" w:rsidRDefault="00A561F8" w:rsidP="00DE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DE" w:rsidRDefault="00B257DE" w:rsidP="0039510D">
    <w:pPr>
      <w:jc w:val="right"/>
    </w:pPr>
    <w:r>
      <w:t>CDIP/17/…</w:t>
    </w:r>
  </w:p>
  <w:p w:rsidR="00B257DE" w:rsidRDefault="00B257DE" w:rsidP="0039510D">
    <w:pP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33830">
      <w:rPr>
        <w:rStyle w:val="PageNumber"/>
        <w:noProof/>
      </w:rPr>
      <w:t>14</w:t>
    </w:r>
    <w:r>
      <w:rPr>
        <w:rStyle w:val="PageNumber"/>
      </w:rPr>
      <w:fldChar w:fldCharType="end"/>
    </w:r>
  </w:p>
  <w:p w:rsidR="00B257DE" w:rsidRDefault="00B257DE" w:rsidP="0039510D">
    <w:pPr>
      <w:jc w:val="right"/>
    </w:pPr>
  </w:p>
  <w:p w:rsidR="00B257DE" w:rsidRDefault="00B25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59" w:rsidRDefault="008E1059" w:rsidP="0039510D">
    <w:pPr>
      <w:jc w:val="right"/>
    </w:pPr>
    <w:r>
      <w:t>CDIP/17</w:t>
    </w:r>
    <w:r w:rsidR="00221507">
      <w:t>/</w:t>
    </w:r>
    <w:r>
      <w:t>9</w:t>
    </w:r>
  </w:p>
  <w:p w:rsidR="008E1059" w:rsidRDefault="008E1059" w:rsidP="008E1059">
    <w:pP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2874CD">
      <w:rPr>
        <w:rStyle w:val="PageNumber"/>
        <w:noProof/>
      </w:rPr>
      <w:t>14</w:t>
    </w:r>
    <w:r>
      <w:rPr>
        <w:rStyle w:val="PageNumber"/>
      </w:rPr>
      <w:fldChar w:fldCharType="end"/>
    </w:r>
  </w:p>
  <w:p w:rsidR="008E1059" w:rsidRDefault="008E1059" w:rsidP="0039510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59" w:rsidRDefault="008E1059" w:rsidP="008E1059">
    <w:pPr>
      <w:pStyle w:val="Header"/>
      <w:jc w:val="right"/>
    </w:pPr>
    <w:r>
      <w:t>CDIP/17/9</w:t>
    </w:r>
  </w:p>
  <w:p w:rsidR="008E1059" w:rsidRDefault="008E1059" w:rsidP="008E1059">
    <w:pPr>
      <w:pStyle w:val="Header"/>
      <w:jc w:val="right"/>
    </w:pPr>
    <w:r>
      <w:t>ANNEX</w:t>
    </w:r>
  </w:p>
  <w:p w:rsidR="008E1059" w:rsidRDefault="008E1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6.95pt;height:306.75pt" o:bullet="t">
        <v:imagedata r:id="rId1" o:title="art2A6D"/>
      </v:shape>
    </w:pict>
  </w:numPicBullet>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8891A4A"/>
    <w:multiLevelType w:val="hybridMultilevel"/>
    <w:tmpl w:val="885215A6"/>
    <w:lvl w:ilvl="0" w:tplc="2F1A4B42">
      <w:numFmt w:val="bullet"/>
      <w:lvlText w:val="-"/>
      <w:lvlJc w:val="left"/>
      <w:pPr>
        <w:ind w:left="1287" w:hanging="360"/>
      </w:pPr>
      <w:rPr>
        <w:rFonts w:ascii="Arial" w:eastAsia="Times New Roman" w:hAnsi="Arial" w:cs="Arial" w:hint="default"/>
      </w:rPr>
    </w:lvl>
    <w:lvl w:ilvl="1" w:tplc="2F1A4B42">
      <w:numFmt w:val="bullet"/>
      <w:lvlText w:val="-"/>
      <w:lvlJc w:val="left"/>
      <w:pPr>
        <w:ind w:left="2007" w:hanging="360"/>
      </w:pPr>
      <w:rPr>
        <w:rFonts w:ascii="Arial" w:eastAsia="Times New Roman"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9581EC9"/>
    <w:multiLevelType w:val="hybridMultilevel"/>
    <w:tmpl w:val="639A7EA2"/>
    <w:lvl w:ilvl="0" w:tplc="2F1A4B42">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BA31039"/>
    <w:multiLevelType w:val="hybridMultilevel"/>
    <w:tmpl w:val="3986580E"/>
    <w:lvl w:ilvl="0" w:tplc="F2765F4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AF1F03"/>
    <w:multiLevelType w:val="multilevel"/>
    <w:tmpl w:val="0FFE0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9353A8"/>
    <w:multiLevelType w:val="hybridMultilevel"/>
    <w:tmpl w:val="0CDCC110"/>
    <w:lvl w:ilvl="0" w:tplc="F2765F4A">
      <w:start w:val="1"/>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1A6126BD"/>
    <w:multiLevelType w:val="hybridMultilevel"/>
    <w:tmpl w:val="FF68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AD46AEB"/>
    <w:multiLevelType w:val="hybridMultilevel"/>
    <w:tmpl w:val="DD72D806"/>
    <w:lvl w:ilvl="0" w:tplc="821CF35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C035A61"/>
    <w:multiLevelType w:val="hybridMultilevel"/>
    <w:tmpl w:val="5588A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D4212"/>
    <w:multiLevelType w:val="hybridMultilevel"/>
    <w:tmpl w:val="C710447E"/>
    <w:lvl w:ilvl="0" w:tplc="1DBAAA24">
      <w:start w:val="1"/>
      <w:numFmt w:val="lowerLetter"/>
      <w:lvlText w:val="(%1)"/>
      <w:lvlJc w:val="left"/>
      <w:pPr>
        <w:ind w:left="420" w:hanging="360"/>
      </w:pPr>
      <w:rPr>
        <w:rFonts w:hint="default"/>
      </w:rPr>
    </w:lvl>
    <w:lvl w:ilvl="1" w:tplc="ECBA3CBC">
      <w:start w:val="1"/>
      <w:numFmt w:val="bullet"/>
      <w:lvlText w:val="-"/>
      <w:lvlJc w:val="left"/>
      <w:pPr>
        <w:ind w:left="1140" w:hanging="36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74B275B"/>
    <w:multiLevelType w:val="multilevel"/>
    <w:tmpl w:val="94423FC8"/>
    <w:lvl w:ilvl="0">
      <w:start w:val="1"/>
      <w:numFmt w:val="decimal"/>
      <w:lvlText w:val="%1)"/>
      <w:lvlJc w:val="left"/>
      <w:pPr>
        <w:ind w:left="360" w:hanging="360"/>
      </w:pPr>
      <w:rPr>
        <w:rFonts w:hint="default"/>
      </w:rPr>
    </w:lvl>
    <w:lvl w:ilvl="1">
      <w:start w:val="1"/>
      <w:numFmt w:val="lowerLetter"/>
      <w:lvlText w:val="(%2)"/>
      <w:lvlJc w:val="left"/>
      <w:pPr>
        <w:ind w:left="567" w:firstLine="0"/>
      </w:pPr>
      <w:rPr>
        <w:rFonts w:hint="default"/>
      </w:rPr>
    </w:lvl>
    <w:lvl w:ilvl="2">
      <w:start w:val="1"/>
      <w:numFmt w:val="lowerRoman"/>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98F13DA"/>
    <w:multiLevelType w:val="hybridMultilevel"/>
    <w:tmpl w:val="852E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40846"/>
    <w:multiLevelType w:val="hybridMultilevel"/>
    <w:tmpl w:val="19AE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A7129C"/>
    <w:multiLevelType w:val="hybridMultilevel"/>
    <w:tmpl w:val="7C0E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765F4A">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41B82"/>
    <w:multiLevelType w:val="hybridMultilevel"/>
    <w:tmpl w:val="0D5013FE"/>
    <w:lvl w:ilvl="0" w:tplc="50CE805A">
      <w:start w:val="1"/>
      <w:numFmt w:val="bullet"/>
      <w:lvlText w:val=""/>
      <w:lvlPicBulletId w:val="0"/>
      <w:lvlJc w:val="left"/>
      <w:pPr>
        <w:tabs>
          <w:tab w:val="num" w:pos="927"/>
        </w:tabs>
        <w:ind w:left="927" w:hanging="360"/>
      </w:pPr>
      <w:rPr>
        <w:rFonts w:ascii="Symbol" w:hAnsi="Symbol" w:hint="default"/>
      </w:rPr>
    </w:lvl>
    <w:lvl w:ilvl="1" w:tplc="95F66ED6" w:tentative="1">
      <w:start w:val="1"/>
      <w:numFmt w:val="bullet"/>
      <w:lvlText w:val=""/>
      <w:lvlPicBulletId w:val="0"/>
      <w:lvlJc w:val="left"/>
      <w:pPr>
        <w:tabs>
          <w:tab w:val="num" w:pos="1647"/>
        </w:tabs>
        <w:ind w:left="1647" w:hanging="360"/>
      </w:pPr>
      <w:rPr>
        <w:rFonts w:ascii="Symbol" w:hAnsi="Symbol" w:hint="default"/>
      </w:rPr>
    </w:lvl>
    <w:lvl w:ilvl="2" w:tplc="937A20EA" w:tentative="1">
      <w:start w:val="1"/>
      <w:numFmt w:val="bullet"/>
      <w:lvlText w:val=""/>
      <w:lvlPicBulletId w:val="0"/>
      <w:lvlJc w:val="left"/>
      <w:pPr>
        <w:tabs>
          <w:tab w:val="num" w:pos="2367"/>
        </w:tabs>
        <w:ind w:left="2367" w:hanging="360"/>
      </w:pPr>
      <w:rPr>
        <w:rFonts w:ascii="Symbol" w:hAnsi="Symbol" w:hint="default"/>
      </w:rPr>
    </w:lvl>
    <w:lvl w:ilvl="3" w:tplc="FB6C03B0" w:tentative="1">
      <w:start w:val="1"/>
      <w:numFmt w:val="bullet"/>
      <w:lvlText w:val=""/>
      <w:lvlPicBulletId w:val="0"/>
      <w:lvlJc w:val="left"/>
      <w:pPr>
        <w:tabs>
          <w:tab w:val="num" w:pos="3087"/>
        </w:tabs>
        <w:ind w:left="3087" w:hanging="360"/>
      </w:pPr>
      <w:rPr>
        <w:rFonts w:ascii="Symbol" w:hAnsi="Symbol" w:hint="default"/>
      </w:rPr>
    </w:lvl>
    <w:lvl w:ilvl="4" w:tplc="F1B405EE" w:tentative="1">
      <w:start w:val="1"/>
      <w:numFmt w:val="bullet"/>
      <w:lvlText w:val=""/>
      <w:lvlPicBulletId w:val="0"/>
      <w:lvlJc w:val="left"/>
      <w:pPr>
        <w:tabs>
          <w:tab w:val="num" w:pos="3807"/>
        </w:tabs>
        <w:ind w:left="3807" w:hanging="360"/>
      </w:pPr>
      <w:rPr>
        <w:rFonts w:ascii="Symbol" w:hAnsi="Symbol" w:hint="default"/>
      </w:rPr>
    </w:lvl>
    <w:lvl w:ilvl="5" w:tplc="BFFA8E54" w:tentative="1">
      <w:start w:val="1"/>
      <w:numFmt w:val="bullet"/>
      <w:lvlText w:val=""/>
      <w:lvlPicBulletId w:val="0"/>
      <w:lvlJc w:val="left"/>
      <w:pPr>
        <w:tabs>
          <w:tab w:val="num" w:pos="4527"/>
        </w:tabs>
        <w:ind w:left="4527" w:hanging="360"/>
      </w:pPr>
      <w:rPr>
        <w:rFonts w:ascii="Symbol" w:hAnsi="Symbol" w:hint="default"/>
      </w:rPr>
    </w:lvl>
    <w:lvl w:ilvl="6" w:tplc="8D6A9F24" w:tentative="1">
      <w:start w:val="1"/>
      <w:numFmt w:val="bullet"/>
      <w:lvlText w:val=""/>
      <w:lvlPicBulletId w:val="0"/>
      <w:lvlJc w:val="left"/>
      <w:pPr>
        <w:tabs>
          <w:tab w:val="num" w:pos="5247"/>
        </w:tabs>
        <w:ind w:left="5247" w:hanging="360"/>
      </w:pPr>
      <w:rPr>
        <w:rFonts w:ascii="Symbol" w:hAnsi="Symbol" w:hint="default"/>
      </w:rPr>
    </w:lvl>
    <w:lvl w:ilvl="7" w:tplc="D0968E34" w:tentative="1">
      <w:start w:val="1"/>
      <w:numFmt w:val="bullet"/>
      <w:lvlText w:val=""/>
      <w:lvlPicBulletId w:val="0"/>
      <w:lvlJc w:val="left"/>
      <w:pPr>
        <w:tabs>
          <w:tab w:val="num" w:pos="5967"/>
        </w:tabs>
        <w:ind w:left="5967" w:hanging="360"/>
      </w:pPr>
      <w:rPr>
        <w:rFonts w:ascii="Symbol" w:hAnsi="Symbol" w:hint="default"/>
      </w:rPr>
    </w:lvl>
    <w:lvl w:ilvl="8" w:tplc="D1CAEEEE" w:tentative="1">
      <w:start w:val="1"/>
      <w:numFmt w:val="bullet"/>
      <w:lvlText w:val=""/>
      <w:lvlPicBulletId w:val="0"/>
      <w:lvlJc w:val="left"/>
      <w:pPr>
        <w:tabs>
          <w:tab w:val="num" w:pos="6687"/>
        </w:tabs>
        <w:ind w:left="6687" w:hanging="360"/>
      </w:pPr>
      <w:rPr>
        <w:rFonts w:ascii="Symbol" w:hAnsi="Symbol" w:hint="default"/>
      </w:rPr>
    </w:lvl>
  </w:abstractNum>
  <w:abstractNum w:abstractNumId="16">
    <w:nsid w:val="39A70997"/>
    <w:multiLevelType w:val="hybridMultilevel"/>
    <w:tmpl w:val="1E0859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DF767EF"/>
    <w:multiLevelType w:val="hybridMultilevel"/>
    <w:tmpl w:val="DB20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72B09"/>
    <w:multiLevelType w:val="hybridMultilevel"/>
    <w:tmpl w:val="86C6E2F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632F7B"/>
    <w:multiLevelType w:val="hybridMultilevel"/>
    <w:tmpl w:val="AF0C00CE"/>
    <w:lvl w:ilvl="0" w:tplc="1DBAA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8C0A81"/>
    <w:multiLevelType w:val="hybridMultilevel"/>
    <w:tmpl w:val="48E25970"/>
    <w:lvl w:ilvl="0" w:tplc="663A509E">
      <w:start w:val="3"/>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nsid w:val="49836982"/>
    <w:multiLevelType w:val="hybridMultilevel"/>
    <w:tmpl w:val="D96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65880"/>
    <w:multiLevelType w:val="hybridMultilevel"/>
    <w:tmpl w:val="EDBA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B3450F"/>
    <w:multiLevelType w:val="hybridMultilevel"/>
    <w:tmpl w:val="AF0C00CE"/>
    <w:lvl w:ilvl="0" w:tplc="1DBAA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039D8"/>
    <w:multiLevelType w:val="multilevel"/>
    <w:tmpl w:val="7FD0F65C"/>
    <w:lvl w:ilvl="0">
      <w:start w:val="1"/>
      <w:numFmt w:val="decimal"/>
      <w:lvlText w:val="%1)"/>
      <w:lvlJc w:val="left"/>
      <w:pPr>
        <w:ind w:left="360" w:hanging="360"/>
      </w:pPr>
      <w:rPr>
        <w:rFonts w:hint="default"/>
      </w:rPr>
    </w:lvl>
    <w:lvl w:ilvl="1">
      <w:start w:val="1"/>
      <w:numFmt w:val="lowerLetter"/>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4AC1C85"/>
    <w:multiLevelType w:val="multilevel"/>
    <w:tmpl w:val="852EC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8C96112"/>
    <w:multiLevelType w:val="hybridMultilevel"/>
    <w:tmpl w:val="9886D320"/>
    <w:lvl w:ilvl="0" w:tplc="F2765F4A">
      <w:start w:val="1"/>
      <w:numFmt w:val="bullet"/>
      <w:lvlText w:val="-"/>
      <w:lvlJc w:val="left"/>
      <w:pPr>
        <w:ind w:left="1494" w:hanging="360"/>
      </w:pPr>
      <w:rPr>
        <w:rFonts w:ascii="Arial" w:eastAsia="Times New Roman" w:hAnsi="Arial" w:cs="Aria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5B035D14"/>
    <w:multiLevelType w:val="hybridMultilevel"/>
    <w:tmpl w:val="14FC6E48"/>
    <w:lvl w:ilvl="0" w:tplc="F2765F4A">
      <w:start w:val="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CAC73F2"/>
    <w:multiLevelType w:val="hybridMultilevel"/>
    <w:tmpl w:val="A19A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57F6B"/>
    <w:multiLevelType w:val="hybridMultilevel"/>
    <w:tmpl w:val="06DED3B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0D3E7A"/>
    <w:multiLevelType w:val="multilevel"/>
    <w:tmpl w:val="5AC23B02"/>
    <w:lvl w:ilvl="0">
      <w:start w:val="1"/>
      <w:numFmt w:val="decimal"/>
      <w:lvlText w:val="%1)"/>
      <w:lvlJc w:val="left"/>
      <w:pPr>
        <w:ind w:left="360" w:hanging="360"/>
      </w:pPr>
      <w:rPr>
        <w:rFonts w:hint="default"/>
      </w:rPr>
    </w:lvl>
    <w:lvl w:ilvl="1">
      <w:start w:val="1"/>
      <w:numFmt w:val="decimal"/>
      <w:lvlText w:val="%2."/>
      <w:lvlJc w:val="left"/>
      <w:pPr>
        <w:ind w:left="567" w:firstLine="0"/>
      </w:pPr>
      <w:rPr>
        <w:rFonts w:hint="default"/>
      </w:rPr>
    </w:lvl>
    <w:lvl w:ilvl="2">
      <w:start w:val="1"/>
      <w:numFmt w:val="lowerRoman"/>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83516AF"/>
    <w:multiLevelType w:val="hybridMultilevel"/>
    <w:tmpl w:val="D05C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AF3287B"/>
    <w:multiLevelType w:val="hybridMultilevel"/>
    <w:tmpl w:val="02BC4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F19C4"/>
    <w:multiLevelType w:val="hybridMultilevel"/>
    <w:tmpl w:val="586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7F576C"/>
    <w:multiLevelType w:val="hybridMultilevel"/>
    <w:tmpl w:val="A9141166"/>
    <w:lvl w:ilvl="0" w:tplc="BD90ECA2">
      <w:start w:val="1"/>
      <w:numFmt w:val="decimal"/>
      <w:lvlText w:val="%1."/>
      <w:lvlJc w:val="left"/>
      <w:pPr>
        <w:ind w:left="420" w:hanging="360"/>
      </w:pPr>
      <w:rPr>
        <w:rFonts w:hint="default"/>
      </w:rPr>
    </w:lvl>
    <w:lvl w:ilvl="1" w:tplc="ECBA3CBC">
      <w:start w:val="1"/>
      <w:numFmt w:val="bullet"/>
      <w:lvlText w:val="-"/>
      <w:lvlJc w:val="left"/>
      <w:pPr>
        <w:ind w:left="1140" w:hanging="36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74F4148B"/>
    <w:multiLevelType w:val="multilevel"/>
    <w:tmpl w:val="D29EA81C"/>
    <w:lvl w:ilvl="0">
      <w:start w:val="1"/>
      <w:numFmt w:val="decimal"/>
      <w:lvlText w:val="%1)"/>
      <w:lvlJc w:val="left"/>
      <w:pPr>
        <w:ind w:left="360" w:hanging="360"/>
      </w:pPr>
      <w:rPr>
        <w:rFonts w:hint="default"/>
      </w:rPr>
    </w:lvl>
    <w:lvl w:ilvl="1">
      <w:start w:val="1"/>
      <w:numFmt w:val="lowerLetter"/>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75F22810"/>
    <w:multiLevelType w:val="hybridMultilevel"/>
    <w:tmpl w:val="6DFA7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B715EE"/>
    <w:multiLevelType w:val="hybridMultilevel"/>
    <w:tmpl w:val="9712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7180C"/>
    <w:multiLevelType w:val="hybridMultilevel"/>
    <w:tmpl w:val="C710447E"/>
    <w:lvl w:ilvl="0" w:tplc="1DBAAA24">
      <w:start w:val="1"/>
      <w:numFmt w:val="lowerLetter"/>
      <w:lvlText w:val="(%1)"/>
      <w:lvlJc w:val="left"/>
      <w:pPr>
        <w:ind w:left="420" w:hanging="360"/>
      </w:pPr>
      <w:rPr>
        <w:rFonts w:hint="default"/>
      </w:rPr>
    </w:lvl>
    <w:lvl w:ilvl="1" w:tplc="ECBA3CBC">
      <w:start w:val="1"/>
      <w:numFmt w:val="bullet"/>
      <w:lvlText w:val="-"/>
      <w:lvlJc w:val="left"/>
      <w:pPr>
        <w:ind w:left="1140" w:hanging="360"/>
      </w:pPr>
      <w:rPr>
        <w:rFonts w:ascii="Arial" w:eastAsia="Times New Roman" w:hAnsi="Arial" w:cs="Aria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DEF20F7"/>
    <w:multiLevelType w:val="hybridMultilevel"/>
    <w:tmpl w:val="AF0C00CE"/>
    <w:lvl w:ilvl="0" w:tplc="1DBAA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39"/>
  </w:num>
  <w:num w:numId="4">
    <w:abstractNumId w:val="34"/>
  </w:num>
  <w:num w:numId="5">
    <w:abstractNumId w:val="0"/>
  </w:num>
  <w:num w:numId="6">
    <w:abstractNumId w:val="31"/>
  </w:num>
  <w:num w:numId="7">
    <w:abstractNumId w:val="35"/>
  </w:num>
  <w:num w:numId="8">
    <w:abstractNumId w:val="17"/>
  </w:num>
  <w:num w:numId="9">
    <w:abstractNumId w:val="40"/>
  </w:num>
  <w:num w:numId="10">
    <w:abstractNumId w:val="12"/>
  </w:num>
  <w:num w:numId="11">
    <w:abstractNumId w:val="22"/>
  </w:num>
  <w:num w:numId="12">
    <w:abstractNumId w:val="32"/>
  </w:num>
  <w:num w:numId="13">
    <w:abstractNumId w:val="16"/>
  </w:num>
  <w:num w:numId="14">
    <w:abstractNumId w:val="15"/>
  </w:num>
  <w:num w:numId="15">
    <w:abstractNumId w:val="37"/>
  </w:num>
  <w:num w:numId="16">
    <w:abstractNumId w:val="41"/>
  </w:num>
  <w:num w:numId="17">
    <w:abstractNumId w:val="7"/>
  </w:num>
  <w:num w:numId="18">
    <w:abstractNumId w:val="7"/>
  </w:num>
  <w:num w:numId="19">
    <w:abstractNumId w:val="33"/>
  </w:num>
  <w:num w:numId="20">
    <w:abstractNumId w:val="27"/>
  </w:num>
  <w:num w:numId="21">
    <w:abstractNumId w:val="28"/>
  </w:num>
  <w:num w:numId="22">
    <w:abstractNumId w:val="9"/>
  </w:num>
  <w:num w:numId="23">
    <w:abstractNumId w:val="14"/>
  </w:num>
  <w:num w:numId="24">
    <w:abstractNumId w:val="6"/>
  </w:num>
  <w:num w:numId="25">
    <w:abstractNumId w:val="21"/>
  </w:num>
  <w:num w:numId="26">
    <w:abstractNumId w:val="3"/>
  </w:num>
  <w:num w:numId="27">
    <w:abstractNumId w:val="2"/>
  </w:num>
  <w:num w:numId="28">
    <w:abstractNumId w:val="1"/>
  </w:num>
  <w:num w:numId="29">
    <w:abstractNumId w:val="10"/>
  </w:num>
  <w:num w:numId="30">
    <w:abstractNumId w:val="43"/>
  </w:num>
  <w:num w:numId="31">
    <w:abstractNumId w:val="18"/>
  </w:num>
  <w:num w:numId="32">
    <w:abstractNumId w:val="30"/>
  </w:num>
  <w:num w:numId="33">
    <w:abstractNumId w:val="29"/>
  </w:num>
  <w:num w:numId="34">
    <w:abstractNumId w:val="8"/>
  </w:num>
  <w:num w:numId="35">
    <w:abstractNumId w:val="36"/>
  </w:num>
  <w:num w:numId="36">
    <w:abstractNumId w:val="13"/>
  </w:num>
  <w:num w:numId="37">
    <w:abstractNumId w:val="23"/>
  </w:num>
  <w:num w:numId="38">
    <w:abstractNumId w:val="26"/>
  </w:num>
  <w:num w:numId="39">
    <w:abstractNumId w:val="25"/>
  </w:num>
  <w:num w:numId="40">
    <w:abstractNumId w:val="38"/>
  </w:num>
  <w:num w:numId="41">
    <w:abstractNumId w:val="42"/>
  </w:num>
  <w:num w:numId="42">
    <w:abstractNumId w:val="24"/>
  </w:num>
  <w:num w:numId="43">
    <w:abstractNumId w:val="20"/>
  </w:num>
  <w:num w:numId="44">
    <w:abstractNumId w:val="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9C"/>
    <w:rsid w:val="000030EB"/>
    <w:rsid w:val="0001026A"/>
    <w:rsid w:val="00025A9C"/>
    <w:rsid w:val="00027A23"/>
    <w:rsid w:val="0004600E"/>
    <w:rsid w:val="000510AB"/>
    <w:rsid w:val="000556BB"/>
    <w:rsid w:val="00063946"/>
    <w:rsid w:val="00071D3C"/>
    <w:rsid w:val="00076566"/>
    <w:rsid w:val="000844A4"/>
    <w:rsid w:val="000A3098"/>
    <w:rsid w:val="000B14AE"/>
    <w:rsid w:val="000B55CB"/>
    <w:rsid w:val="000C18C0"/>
    <w:rsid w:val="000C5E97"/>
    <w:rsid w:val="000D629D"/>
    <w:rsid w:val="000D7E6F"/>
    <w:rsid w:val="000E112F"/>
    <w:rsid w:val="000E2239"/>
    <w:rsid w:val="000F36B9"/>
    <w:rsid w:val="000F3E68"/>
    <w:rsid w:val="000F5E56"/>
    <w:rsid w:val="0010081D"/>
    <w:rsid w:val="00100AA3"/>
    <w:rsid w:val="00105D3F"/>
    <w:rsid w:val="001062AB"/>
    <w:rsid w:val="00106348"/>
    <w:rsid w:val="00137392"/>
    <w:rsid w:val="00146E73"/>
    <w:rsid w:val="00147E27"/>
    <w:rsid w:val="001512B0"/>
    <w:rsid w:val="0015609D"/>
    <w:rsid w:val="00160265"/>
    <w:rsid w:val="00183EEE"/>
    <w:rsid w:val="00190AE8"/>
    <w:rsid w:val="001C0AFF"/>
    <w:rsid w:val="001F14F4"/>
    <w:rsid w:val="00221507"/>
    <w:rsid w:val="002446C7"/>
    <w:rsid w:val="002508BB"/>
    <w:rsid w:val="00256CC6"/>
    <w:rsid w:val="00270A5B"/>
    <w:rsid w:val="00270E3E"/>
    <w:rsid w:val="0027580C"/>
    <w:rsid w:val="00280654"/>
    <w:rsid w:val="002874CD"/>
    <w:rsid w:val="00287D21"/>
    <w:rsid w:val="002A6D8F"/>
    <w:rsid w:val="002B6C69"/>
    <w:rsid w:val="002C1392"/>
    <w:rsid w:val="002D2374"/>
    <w:rsid w:val="002D5BC9"/>
    <w:rsid w:val="002D655B"/>
    <w:rsid w:val="002D72BF"/>
    <w:rsid w:val="002E3A0E"/>
    <w:rsid w:val="002F6F8B"/>
    <w:rsid w:val="00305379"/>
    <w:rsid w:val="00311ADF"/>
    <w:rsid w:val="00317308"/>
    <w:rsid w:val="003242C1"/>
    <w:rsid w:val="00333382"/>
    <w:rsid w:val="00337DC3"/>
    <w:rsid w:val="003469C1"/>
    <w:rsid w:val="0036545B"/>
    <w:rsid w:val="00365BD5"/>
    <w:rsid w:val="0039510D"/>
    <w:rsid w:val="00397A8A"/>
    <w:rsid w:val="003A517A"/>
    <w:rsid w:val="003B22EC"/>
    <w:rsid w:val="003C3CE1"/>
    <w:rsid w:val="003D651A"/>
    <w:rsid w:val="003E393E"/>
    <w:rsid w:val="003E474B"/>
    <w:rsid w:val="003F22F0"/>
    <w:rsid w:val="003F44B2"/>
    <w:rsid w:val="004071EC"/>
    <w:rsid w:val="004136CD"/>
    <w:rsid w:val="004244B8"/>
    <w:rsid w:val="00427B6D"/>
    <w:rsid w:val="00431118"/>
    <w:rsid w:val="00436E20"/>
    <w:rsid w:val="0044184C"/>
    <w:rsid w:val="00443598"/>
    <w:rsid w:val="00450B3B"/>
    <w:rsid w:val="00456462"/>
    <w:rsid w:val="0049617B"/>
    <w:rsid w:val="004D1EC0"/>
    <w:rsid w:val="004E171C"/>
    <w:rsid w:val="004E7F2F"/>
    <w:rsid w:val="00505805"/>
    <w:rsid w:val="0051362C"/>
    <w:rsid w:val="005339B4"/>
    <w:rsid w:val="00553011"/>
    <w:rsid w:val="005547DB"/>
    <w:rsid w:val="005722D6"/>
    <w:rsid w:val="00573898"/>
    <w:rsid w:val="00577DCA"/>
    <w:rsid w:val="00596382"/>
    <w:rsid w:val="005A2381"/>
    <w:rsid w:val="005A4DD1"/>
    <w:rsid w:val="005B240B"/>
    <w:rsid w:val="005B51AB"/>
    <w:rsid w:val="005B7CE3"/>
    <w:rsid w:val="005C3131"/>
    <w:rsid w:val="005C48FA"/>
    <w:rsid w:val="005C7880"/>
    <w:rsid w:val="005D02EE"/>
    <w:rsid w:val="005D363C"/>
    <w:rsid w:val="005F0955"/>
    <w:rsid w:val="00607EF3"/>
    <w:rsid w:val="00612DF8"/>
    <w:rsid w:val="0061576A"/>
    <w:rsid w:val="00620983"/>
    <w:rsid w:val="00626CE2"/>
    <w:rsid w:val="00630764"/>
    <w:rsid w:val="00635847"/>
    <w:rsid w:val="006358E6"/>
    <w:rsid w:val="00641B2F"/>
    <w:rsid w:val="00647F98"/>
    <w:rsid w:val="00653B4E"/>
    <w:rsid w:val="0069764C"/>
    <w:rsid w:val="006C1B50"/>
    <w:rsid w:val="006C4199"/>
    <w:rsid w:val="006C6C96"/>
    <w:rsid w:val="006E07CD"/>
    <w:rsid w:val="006E1258"/>
    <w:rsid w:val="006E409C"/>
    <w:rsid w:val="006E40E9"/>
    <w:rsid w:val="006F33AF"/>
    <w:rsid w:val="006F6951"/>
    <w:rsid w:val="007049E4"/>
    <w:rsid w:val="007105FD"/>
    <w:rsid w:val="00713F93"/>
    <w:rsid w:val="00722DCC"/>
    <w:rsid w:val="007269E0"/>
    <w:rsid w:val="00730497"/>
    <w:rsid w:val="00733B70"/>
    <w:rsid w:val="007423D1"/>
    <w:rsid w:val="007454EB"/>
    <w:rsid w:val="00763B27"/>
    <w:rsid w:val="007746C2"/>
    <w:rsid w:val="007756EC"/>
    <w:rsid w:val="007870AB"/>
    <w:rsid w:val="00792922"/>
    <w:rsid w:val="007934F0"/>
    <w:rsid w:val="0079356C"/>
    <w:rsid w:val="007A1141"/>
    <w:rsid w:val="007A2808"/>
    <w:rsid w:val="007B02F7"/>
    <w:rsid w:val="007B240C"/>
    <w:rsid w:val="007B32CD"/>
    <w:rsid w:val="007B445D"/>
    <w:rsid w:val="007C1147"/>
    <w:rsid w:val="007C6307"/>
    <w:rsid w:val="007D53C7"/>
    <w:rsid w:val="007D5F82"/>
    <w:rsid w:val="007D6D63"/>
    <w:rsid w:val="007E661E"/>
    <w:rsid w:val="007F2D2F"/>
    <w:rsid w:val="007F5D7A"/>
    <w:rsid w:val="00800391"/>
    <w:rsid w:val="00800D44"/>
    <w:rsid w:val="00801C13"/>
    <w:rsid w:val="00802DBA"/>
    <w:rsid w:val="00804DB7"/>
    <w:rsid w:val="00823087"/>
    <w:rsid w:val="008425FD"/>
    <w:rsid w:val="00843968"/>
    <w:rsid w:val="00851E8C"/>
    <w:rsid w:val="00896377"/>
    <w:rsid w:val="00897D08"/>
    <w:rsid w:val="008A047E"/>
    <w:rsid w:val="008A103B"/>
    <w:rsid w:val="008B26B5"/>
    <w:rsid w:val="008D21FC"/>
    <w:rsid w:val="008D3227"/>
    <w:rsid w:val="008E1059"/>
    <w:rsid w:val="008F37DC"/>
    <w:rsid w:val="00902284"/>
    <w:rsid w:val="00903154"/>
    <w:rsid w:val="009204D5"/>
    <w:rsid w:val="0093324F"/>
    <w:rsid w:val="00933421"/>
    <w:rsid w:val="00933830"/>
    <w:rsid w:val="00933FFC"/>
    <w:rsid w:val="0094351D"/>
    <w:rsid w:val="009505EE"/>
    <w:rsid w:val="0098066E"/>
    <w:rsid w:val="009D4FEC"/>
    <w:rsid w:val="009E5F9C"/>
    <w:rsid w:val="009E640E"/>
    <w:rsid w:val="00A0259C"/>
    <w:rsid w:val="00A17052"/>
    <w:rsid w:val="00A17161"/>
    <w:rsid w:val="00A2224E"/>
    <w:rsid w:val="00A323F7"/>
    <w:rsid w:val="00A41269"/>
    <w:rsid w:val="00A41C34"/>
    <w:rsid w:val="00A44CE0"/>
    <w:rsid w:val="00A4550C"/>
    <w:rsid w:val="00A518AF"/>
    <w:rsid w:val="00A561F8"/>
    <w:rsid w:val="00A65F47"/>
    <w:rsid w:val="00A727B5"/>
    <w:rsid w:val="00A74ED6"/>
    <w:rsid w:val="00A77E93"/>
    <w:rsid w:val="00A81A5D"/>
    <w:rsid w:val="00A9612E"/>
    <w:rsid w:val="00A96CA3"/>
    <w:rsid w:val="00AA0015"/>
    <w:rsid w:val="00AA665D"/>
    <w:rsid w:val="00AC52E2"/>
    <w:rsid w:val="00AD032A"/>
    <w:rsid w:val="00AE0C56"/>
    <w:rsid w:val="00AE556D"/>
    <w:rsid w:val="00AF2790"/>
    <w:rsid w:val="00AF3D88"/>
    <w:rsid w:val="00AF6C06"/>
    <w:rsid w:val="00B02359"/>
    <w:rsid w:val="00B04EF3"/>
    <w:rsid w:val="00B079AF"/>
    <w:rsid w:val="00B257DE"/>
    <w:rsid w:val="00B47487"/>
    <w:rsid w:val="00B56020"/>
    <w:rsid w:val="00B678A7"/>
    <w:rsid w:val="00B73CC9"/>
    <w:rsid w:val="00B74945"/>
    <w:rsid w:val="00B94303"/>
    <w:rsid w:val="00BA7D7B"/>
    <w:rsid w:val="00BB23CD"/>
    <w:rsid w:val="00BB6A4F"/>
    <w:rsid w:val="00BC7402"/>
    <w:rsid w:val="00BD0ACB"/>
    <w:rsid w:val="00BD5720"/>
    <w:rsid w:val="00BE2F82"/>
    <w:rsid w:val="00BF178A"/>
    <w:rsid w:val="00C12EC2"/>
    <w:rsid w:val="00C216F9"/>
    <w:rsid w:val="00C2453D"/>
    <w:rsid w:val="00C25966"/>
    <w:rsid w:val="00C441DA"/>
    <w:rsid w:val="00C459C2"/>
    <w:rsid w:val="00C554EC"/>
    <w:rsid w:val="00C77881"/>
    <w:rsid w:val="00C95F13"/>
    <w:rsid w:val="00C968A2"/>
    <w:rsid w:val="00CA1534"/>
    <w:rsid w:val="00CA2CF0"/>
    <w:rsid w:val="00CA31BC"/>
    <w:rsid w:val="00CA52AD"/>
    <w:rsid w:val="00CB1181"/>
    <w:rsid w:val="00CB53F9"/>
    <w:rsid w:val="00CB7ADA"/>
    <w:rsid w:val="00CD7D32"/>
    <w:rsid w:val="00CE3E16"/>
    <w:rsid w:val="00CF2C73"/>
    <w:rsid w:val="00D02786"/>
    <w:rsid w:val="00D42B75"/>
    <w:rsid w:val="00D4746A"/>
    <w:rsid w:val="00D50766"/>
    <w:rsid w:val="00D52953"/>
    <w:rsid w:val="00D56AD0"/>
    <w:rsid w:val="00D71738"/>
    <w:rsid w:val="00D83D2B"/>
    <w:rsid w:val="00D83D96"/>
    <w:rsid w:val="00D96723"/>
    <w:rsid w:val="00DB34E8"/>
    <w:rsid w:val="00DB52D0"/>
    <w:rsid w:val="00DB64AC"/>
    <w:rsid w:val="00DC20E6"/>
    <w:rsid w:val="00DC7992"/>
    <w:rsid w:val="00DE0D63"/>
    <w:rsid w:val="00DE1591"/>
    <w:rsid w:val="00DF2AAB"/>
    <w:rsid w:val="00E044AB"/>
    <w:rsid w:val="00E065AA"/>
    <w:rsid w:val="00E2006F"/>
    <w:rsid w:val="00E23EA6"/>
    <w:rsid w:val="00E25828"/>
    <w:rsid w:val="00E2699A"/>
    <w:rsid w:val="00E2699E"/>
    <w:rsid w:val="00E32B38"/>
    <w:rsid w:val="00E36FBC"/>
    <w:rsid w:val="00E42C79"/>
    <w:rsid w:val="00E518D1"/>
    <w:rsid w:val="00E56DC0"/>
    <w:rsid w:val="00E720B6"/>
    <w:rsid w:val="00E812E1"/>
    <w:rsid w:val="00E81531"/>
    <w:rsid w:val="00E870E5"/>
    <w:rsid w:val="00E97EF7"/>
    <w:rsid w:val="00EA0E5E"/>
    <w:rsid w:val="00EA1F6E"/>
    <w:rsid w:val="00EB14A5"/>
    <w:rsid w:val="00EC01BC"/>
    <w:rsid w:val="00ED21DE"/>
    <w:rsid w:val="00ED24D5"/>
    <w:rsid w:val="00ED63EE"/>
    <w:rsid w:val="00EE019B"/>
    <w:rsid w:val="00EE02EB"/>
    <w:rsid w:val="00EE355B"/>
    <w:rsid w:val="00EE792B"/>
    <w:rsid w:val="00EF5FA4"/>
    <w:rsid w:val="00EF7920"/>
    <w:rsid w:val="00F02289"/>
    <w:rsid w:val="00F0470A"/>
    <w:rsid w:val="00F15008"/>
    <w:rsid w:val="00F20443"/>
    <w:rsid w:val="00F25454"/>
    <w:rsid w:val="00F40223"/>
    <w:rsid w:val="00F6040F"/>
    <w:rsid w:val="00FA1614"/>
    <w:rsid w:val="00FA3222"/>
    <w:rsid w:val="00FA717E"/>
    <w:rsid w:val="00FE10D3"/>
    <w:rsid w:val="00FE357A"/>
    <w:rsid w:val="00FF4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A9C"/>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Default">
    <w:name w:val="Default"/>
    <w:rsid w:val="00025A9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25A9C"/>
    <w:pPr>
      <w:ind w:left="720"/>
      <w:contextualSpacing/>
    </w:pPr>
  </w:style>
  <w:style w:type="paragraph" w:styleId="BalloonText">
    <w:name w:val="Balloon Text"/>
    <w:basedOn w:val="Normal"/>
    <w:link w:val="BalloonTextChar"/>
    <w:rsid w:val="00EE02EB"/>
    <w:rPr>
      <w:rFonts w:ascii="Tahoma" w:hAnsi="Tahoma" w:cs="Tahoma"/>
      <w:sz w:val="16"/>
      <w:szCs w:val="16"/>
    </w:rPr>
  </w:style>
  <w:style w:type="character" w:customStyle="1" w:styleId="BalloonTextChar">
    <w:name w:val="Balloon Text Char"/>
    <w:basedOn w:val="DefaultParagraphFont"/>
    <w:link w:val="BalloonText"/>
    <w:rsid w:val="00EE02EB"/>
    <w:rPr>
      <w:rFonts w:ascii="Tahoma" w:hAnsi="Tahoma" w:cs="Tahoma"/>
      <w:sz w:val="16"/>
      <w:szCs w:val="16"/>
    </w:rPr>
  </w:style>
  <w:style w:type="character" w:customStyle="1" w:styleId="FooterChar">
    <w:name w:val="Footer Char"/>
    <w:basedOn w:val="DefaultParagraphFont"/>
    <w:link w:val="Footer"/>
    <w:uiPriority w:val="99"/>
    <w:rsid w:val="00DE0D63"/>
    <w:rPr>
      <w:rFonts w:ascii="Arial" w:hAnsi="Arial" w:cs="Arial"/>
      <w:sz w:val="22"/>
    </w:rPr>
  </w:style>
  <w:style w:type="character" w:styleId="Hyperlink">
    <w:name w:val="Hyperlink"/>
    <w:basedOn w:val="DefaultParagraphFont"/>
    <w:rsid w:val="00D50766"/>
    <w:rPr>
      <w:color w:val="0000FF" w:themeColor="hyperlink"/>
      <w:u w:val="single"/>
    </w:rPr>
  </w:style>
  <w:style w:type="character" w:styleId="PageNumber">
    <w:name w:val="page number"/>
    <w:basedOn w:val="DefaultParagraphFont"/>
    <w:rsid w:val="0039510D"/>
  </w:style>
  <w:style w:type="character" w:customStyle="1" w:styleId="st1">
    <w:name w:val="st1"/>
    <w:basedOn w:val="DefaultParagraphFont"/>
    <w:rsid w:val="00933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A9C"/>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Default">
    <w:name w:val="Default"/>
    <w:rsid w:val="00025A9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25A9C"/>
    <w:pPr>
      <w:ind w:left="720"/>
      <w:contextualSpacing/>
    </w:pPr>
  </w:style>
  <w:style w:type="paragraph" w:styleId="BalloonText">
    <w:name w:val="Balloon Text"/>
    <w:basedOn w:val="Normal"/>
    <w:link w:val="BalloonTextChar"/>
    <w:rsid w:val="00EE02EB"/>
    <w:rPr>
      <w:rFonts w:ascii="Tahoma" w:hAnsi="Tahoma" w:cs="Tahoma"/>
      <w:sz w:val="16"/>
      <w:szCs w:val="16"/>
    </w:rPr>
  </w:style>
  <w:style w:type="character" w:customStyle="1" w:styleId="BalloonTextChar">
    <w:name w:val="Balloon Text Char"/>
    <w:basedOn w:val="DefaultParagraphFont"/>
    <w:link w:val="BalloonText"/>
    <w:rsid w:val="00EE02EB"/>
    <w:rPr>
      <w:rFonts w:ascii="Tahoma" w:hAnsi="Tahoma" w:cs="Tahoma"/>
      <w:sz w:val="16"/>
      <w:szCs w:val="16"/>
    </w:rPr>
  </w:style>
  <w:style w:type="character" w:customStyle="1" w:styleId="FooterChar">
    <w:name w:val="Footer Char"/>
    <w:basedOn w:val="DefaultParagraphFont"/>
    <w:link w:val="Footer"/>
    <w:uiPriority w:val="99"/>
    <w:rsid w:val="00DE0D63"/>
    <w:rPr>
      <w:rFonts w:ascii="Arial" w:hAnsi="Arial" w:cs="Arial"/>
      <w:sz w:val="22"/>
    </w:rPr>
  </w:style>
  <w:style w:type="character" w:styleId="Hyperlink">
    <w:name w:val="Hyperlink"/>
    <w:basedOn w:val="DefaultParagraphFont"/>
    <w:rsid w:val="00D50766"/>
    <w:rPr>
      <w:color w:val="0000FF" w:themeColor="hyperlink"/>
      <w:u w:val="single"/>
    </w:rPr>
  </w:style>
  <w:style w:type="character" w:styleId="PageNumber">
    <w:name w:val="page number"/>
    <w:basedOn w:val="DefaultParagraphFont"/>
    <w:rsid w:val="0039510D"/>
  </w:style>
  <w:style w:type="character" w:customStyle="1" w:styleId="st1">
    <w:name w:val="st1"/>
    <w:basedOn w:val="DefaultParagraphFont"/>
    <w:rsid w:val="0093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48">
      <w:bodyDiv w:val="1"/>
      <w:marLeft w:val="0"/>
      <w:marRight w:val="0"/>
      <w:marTop w:val="0"/>
      <w:marBottom w:val="0"/>
      <w:divBdr>
        <w:top w:val="none" w:sz="0" w:space="0" w:color="auto"/>
        <w:left w:val="none" w:sz="0" w:space="0" w:color="auto"/>
        <w:bottom w:val="none" w:sz="0" w:space="0" w:color="auto"/>
        <w:right w:val="none" w:sz="0" w:space="0" w:color="auto"/>
      </w:divBdr>
    </w:div>
    <w:div w:id="216933830">
      <w:bodyDiv w:val="1"/>
      <w:marLeft w:val="0"/>
      <w:marRight w:val="0"/>
      <w:marTop w:val="0"/>
      <w:marBottom w:val="0"/>
      <w:divBdr>
        <w:top w:val="none" w:sz="0" w:space="0" w:color="auto"/>
        <w:left w:val="none" w:sz="0" w:space="0" w:color="auto"/>
        <w:bottom w:val="none" w:sz="0" w:space="0" w:color="auto"/>
        <w:right w:val="none" w:sz="0" w:space="0" w:color="auto"/>
      </w:divBdr>
    </w:div>
    <w:div w:id="825585182">
      <w:bodyDiv w:val="1"/>
      <w:marLeft w:val="0"/>
      <w:marRight w:val="0"/>
      <w:marTop w:val="0"/>
      <w:marBottom w:val="0"/>
      <w:divBdr>
        <w:top w:val="none" w:sz="0" w:space="0" w:color="auto"/>
        <w:left w:val="none" w:sz="0" w:space="0" w:color="auto"/>
        <w:bottom w:val="none" w:sz="0" w:space="0" w:color="auto"/>
        <w:right w:val="none" w:sz="0" w:space="0" w:color="auto"/>
      </w:divBdr>
    </w:div>
    <w:div w:id="1144394929">
      <w:bodyDiv w:val="1"/>
      <w:marLeft w:val="0"/>
      <w:marRight w:val="0"/>
      <w:marTop w:val="0"/>
      <w:marBottom w:val="0"/>
      <w:divBdr>
        <w:top w:val="none" w:sz="0" w:space="0" w:color="auto"/>
        <w:left w:val="none" w:sz="0" w:space="0" w:color="auto"/>
        <w:bottom w:val="none" w:sz="0" w:space="0" w:color="auto"/>
        <w:right w:val="none" w:sz="0" w:space="0" w:color="auto"/>
      </w:divBdr>
    </w:div>
    <w:div w:id="1698114829">
      <w:bodyDiv w:val="1"/>
      <w:marLeft w:val="0"/>
      <w:marRight w:val="0"/>
      <w:marTop w:val="0"/>
      <w:marBottom w:val="0"/>
      <w:divBdr>
        <w:top w:val="none" w:sz="0" w:space="0" w:color="auto"/>
        <w:left w:val="none" w:sz="0" w:space="0" w:color="auto"/>
        <w:bottom w:val="none" w:sz="0" w:space="0" w:color="auto"/>
        <w:right w:val="none" w:sz="0" w:space="0" w:color="auto"/>
      </w:divBdr>
      <w:divsChild>
        <w:div w:id="1034498301">
          <w:marLeft w:val="446"/>
          <w:marRight w:val="0"/>
          <w:marTop w:val="192"/>
          <w:marBottom w:val="0"/>
          <w:divBdr>
            <w:top w:val="none" w:sz="0" w:space="0" w:color="auto"/>
            <w:left w:val="none" w:sz="0" w:space="0" w:color="auto"/>
            <w:bottom w:val="none" w:sz="0" w:space="0" w:color="auto"/>
            <w:right w:val="none" w:sz="0" w:space="0" w:color="auto"/>
          </w:divBdr>
        </w:div>
      </w:divsChild>
    </w:div>
    <w:div w:id="1880432660">
      <w:bodyDiv w:val="1"/>
      <w:marLeft w:val="0"/>
      <w:marRight w:val="0"/>
      <w:marTop w:val="0"/>
      <w:marBottom w:val="0"/>
      <w:divBdr>
        <w:top w:val="none" w:sz="0" w:space="0" w:color="auto"/>
        <w:left w:val="none" w:sz="0" w:space="0" w:color="auto"/>
        <w:bottom w:val="none" w:sz="0" w:space="0" w:color="auto"/>
        <w:right w:val="none" w:sz="0" w:space="0" w:color="auto"/>
      </w:divBdr>
    </w:div>
    <w:div w:id="20446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isc" TargetMode="External"/><Relationship Id="rId18" Type="http://schemas.openxmlformats.org/officeDocument/2006/relationships/hyperlink" Target="http://www.itu.int/dms_pub/itu-t/oth/0b/11/T0B110000273301PDFS.pdf" TargetMode="External"/><Relationship Id="rId26" Type="http://schemas.openxmlformats.org/officeDocument/2006/relationships/hyperlink" Target="http://www.wipo.int/edocs/pubdocs/en/wipo_pub_951_5.pdf" TargetMode="External"/><Relationship Id="rId3" Type="http://schemas.openxmlformats.org/officeDocument/2006/relationships/styles" Target="styles.xml"/><Relationship Id="rId21" Type="http://schemas.openxmlformats.org/officeDocument/2006/relationships/hyperlink" Target="http://www.wipo.int/edocs/pubdocs/en/licensing/903/wipo_pub_903.pd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ipo.int/ipstrategies/en/" TargetMode="External"/><Relationship Id="rId17" Type="http://schemas.openxmlformats.org/officeDocument/2006/relationships/hyperlink" Target="http://www.wipo.int/patentscope/en/programs/patent_landscapes/index.html" TargetMode="External"/><Relationship Id="rId25" Type="http://schemas.openxmlformats.org/officeDocument/2006/relationships/hyperlink" Target="http://www.wipo.int/edocs/pubdocs/en/wipo_pub_951_6.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aspi" TargetMode="External"/><Relationship Id="rId20" Type="http://schemas.openxmlformats.org/officeDocument/2006/relationships/hyperlink" Target="http://www.wipo.int/edocs/pubdocs/en/patents/867/wipo_pub_867.pdf" TargetMode="External"/><Relationship Id="rId29" Type="http://schemas.openxmlformats.org/officeDocument/2006/relationships/hyperlink" Target="http://www.wipo.int/export/sites/www/policy/en/climate_change/pdf/global_challenges_brief.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wipo.int/export/sites/www/sme/en/documents/pdf/technology_licensing.pdf"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ipo.int/ardi" TargetMode="External"/><Relationship Id="rId23" Type="http://schemas.openxmlformats.org/officeDocument/2006/relationships/hyperlink" Target="http://www.wipo.int/edocs/pubdocs/en/intproperty/896/wipo_pub_896.pdf" TargetMode="External"/><Relationship Id="rId28" Type="http://schemas.openxmlformats.org/officeDocument/2006/relationships/hyperlink" Target="https://webaccess.wipo.int/wipogreen/en/pdf/global_challenges_report_lybecker_lohse.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wipo.int/patentscope/en/programs/patent_landscapes/index.html"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etisc.wipo.org" TargetMode="External"/><Relationship Id="rId22" Type="http://schemas.openxmlformats.org/officeDocument/2006/relationships/hyperlink" Target="http://www.wipo.int/edocs/pubdocs/en/intproperty/927/wipo_pub_927.pdf" TargetMode="External"/><Relationship Id="rId27" Type="http://schemas.openxmlformats.org/officeDocument/2006/relationships/hyperlink" Target="http://www.wipo.int/export/sites/www/policy/en/climate_change/pdf/ccmt_report.pdf" TargetMode="External"/><Relationship Id="rId30" Type="http://schemas.openxmlformats.org/officeDocument/2006/relationships/hyperlink" Target="http://www.wipo.int/export/sites/www/policy/en/climate_change/pdf/ccmt_brief.pdf"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707D8-3C05-43A7-8738-20CD0242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SPASIC Olga</dc:creator>
  <cp:lastModifiedBy>BRACI Biljana</cp:lastModifiedBy>
  <cp:revision>9</cp:revision>
  <cp:lastPrinted>2016-03-15T08:17:00Z</cp:lastPrinted>
  <dcterms:created xsi:type="dcterms:W3CDTF">2016-03-14T14:38:00Z</dcterms:created>
  <dcterms:modified xsi:type="dcterms:W3CDTF">2016-03-15T08:28:00Z</dcterms:modified>
</cp:coreProperties>
</file>