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0366EA"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0366EA" w:rsidP="00C45A59">
            <w:pPr>
              <w:jc w:val="right"/>
              <w:rPr>
                <w:rFonts w:ascii="Arial Black" w:hAnsi="Arial Black"/>
                <w:caps/>
                <w:sz w:val="15"/>
              </w:rPr>
            </w:pPr>
            <w:r>
              <w:rPr>
                <w:rFonts w:ascii="Arial Black" w:hAnsi="Arial Black"/>
                <w:caps/>
                <w:sz w:val="15"/>
              </w:rPr>
              <w:t>CDIP/16/</w:t>
            </w:r>
            <w:bookmarkStart w:id="1" w:name="Code"/>
            <w:bookmarkEnd w:id="1"/>
            <w:r w:rsidR="00C45A59">
              <w:rPr>
                <w:rFonts w:ascii="Arial Black" w:hAnsi="Arial Black"/>
                <w:caps/>
                <w:sz w:val="15"/>
              </w:rPr>
              <w:t>5</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2" w:name="Original"/>
            <w:bookmarkEnd w:id="2"/>
            <w:r w:rsidR="00827F61">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3" w:name="Date"/>
            <w:bookmarkEnd w:id="3"/>
            <w:r w:rsidR="00D602A1">
              <w:rPr>
                <w:rFonts w:ascii="Arial Black" w:hAnsi="Arial Black"/>
                <w:caps/>
                <w:sz w:val="15"/>
              </w:rPr>
              <w:t>August 27</w:t>
            </w:r>
            <w:r w:rsidR="00827F61">
              <w:rPr>
                <w:rFonts w:ascii="Arial Black" w:hAnsi="Arial Black"/>
                <w:caps/>
                <w:sz w:val="15"/>
              </w:rPr>
              <w:t>, 2015</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0366EA" w:rsidP="008B2CC1">
      <w:pPr>
        <w:rPr>
          <w:b/>
          <w:sz w:val="28"/>
          <w:szCs w:val="28"/>
        </w:rPr>
      </w:pPr>
      <w:r w:rsidRPr="000366EA">
        <w:rPr>
          <w:b/>
          <w:sz w:val="28"/>
          <w:szCs w:val="28"/>
        </w:rPr>
        <w:t>Committee on Development and Intellectual Property (CDIP)</w:t>
      </w:r>
    </w:p>
    <w:p w:rsidR="003845C1" w:rsidRDefault="003845C1" w:rsidP="003845C1"/>
    <w:p w:rsidR="003845C1" w:rsidRDefault="003845C1" w:rsidP="003845C1"/>
    <w:p w:rsidR="008B2CC1" w:rsidRPr="003845C1" w:rsidRDefault="003845C1" w:rsidP="008B2CC1">
      <w:pPr>
        <w:rPr>
          <w:b/>
          <w:sz w:val="24"/>
          <w:szCs w:val="24"/>
        </w:rPr>
      </w:pPr>
      <w:r w:rsidRPr="003845C1">
        <w:rPr>
          <w:b/>
          <w:sz w:val="24"/>
          <w:szCs w:val="24"/>
        </w:rPr>
        <w:t>S</w:t>
      </w:r>
      <w:r w:rsidR="000366EA">
        <w:rPr>
          <w:b/>
          <w:sz w:val="24"/>
          <w:szCs w:val="24"/>
        </w:rPr>
        <w:t>ixteenth S</w:t>
      </w:r>
      <w:r w:rsidRPr="003845C1">
        <w:rPr>
          <w:b/>
          <w:sz w:val="24"/>
          <w:szCs w:val="24"/>
        </w:rPr>
        <w:t>ession</w:t>
      </w:r>
    </w:p>
    <w:p w:rsidR="008B2CC1" w:rsidRPr="003845C1" w:rsidRDefault="000366EA" w:rsidP="008B2CC1">
      <w:pPr>
        <w:rPr>
          <w:b/>
          <w:sz w:val="24"/>
          <w:szCs w:val="24"/>
        </w:rPr>
      </w:pPr>
      <w:r w:rsidRPr="000366EA">
        <w:rPr>
          <w:b/>
          <w:sz w:val="24"/>
          <w:szCs w:val="24"/>
        </w:rPr>
        <w:t>Geneva, November 9 to 13, 2015</w:t>
      </w:r>
    </w:p>
    <w:p w:rsidR="008B2CC1" w:rsidRPr="008B2CC1" w:rsidRDefault="008B2CC1" w:rsidP="008B2CC1"/>
    <w:p w:rsidR="008B2CC1" w:rsidRPr="008B2CC1" w:rsidRDefault="008B2CC1" w:rsidP="008B2CC1"/>
    <w:p w:rsidR="008B2CC1" w:rsidRPr="008B2CC1" w:rsidRDefault="008B2CC1" w:rsidP="008B2CC1"/>
    <w:p w:rsidR="008B2CC1" w:rsidRPr="003845C1" w:rsidRDefault="00D602A1" w:rsidP="00827F61">
      <w:pPr>
        <w:rPr>
          <w:caps/>
          <w:sz w:val="24"/>
        </w:rPr>
      </w:pPr>
      <w:bookmarkStart w:id="4" w:name="TitleOfDoc"/>
      <w:bookmarkEnd w:id="4"/>
      <w:r>
        <w:rPr>
          <w:caps/>
          <w:sz w:val="24"/>
        </w:rPr>
        <w:t>report on the update of the database on flexibilities</w:t>
      </w:r>
    </w:p>
    <w:p w:rsidR="008B2CC1" w:rsidRPr="008B2CC1" w:rsidRDefault="008B2CC1" w:rsidP="008B2CC1"/>
    <w:p w:rsidR="00827F61" w:rsidRPr="008B2CC1" w:rsidRDefault="00827F61" w:rsidP="00324388">
      <w:pPr>
        <w:rPr>
          <w:i/>
        </w:rPr>
      </w:pPr>
      <w:bookmarkStart w:id="5" w:name="Prepared"/>
      <w:bookmarkEnd w:id="5"/>
      <w:proofErr w:type="gramStart"/>
      <w:r>
        <w:rPr>
          <w:i/>
        </w:rPr>
        <w:t>prepared</w:t>
      </w:r>
      <w:proofErr w:type="gramEnd"/>
      <w:r>
        <w:rPr>
          <w:i/>
        </w:rPr>
        <w:t xml:space="preserve"> by </w:t>
      </w:r>
      <w:r w:rsidR="00D602A1">
        <w:rPr>
          <w:i/>
        </w:rPr>
        <w:t>the Secretariat</w:t>
      </w:r>
    </w:p>
    <w:p w:rsidR="00827F61" w:rsidRPr="003B0B71" w:rsidRDefault="00827F61" w:rsidP="00827F61">
      <w:pPr>
        <w:rPr>
          <w:i/>
        </w:rPr>
      </w:pPr>
    </w:p>
    <w:p w:rsidR="00827F61" w:rsidRDefault="00827F61" w:rsidP="00827F61"/>
    <w:p w:rsidR="00827F61" w:rsidRDefault="00827F61" w:rsidP="00827F61"/>
    <w:p w:rsidR="00827F61" w:rsidRDefault="00827F61" w:rsidP="00827F61"/>
    <w:p w:rsidR="00827F61" w:rsidRPr="000E4925" w:rsidRDefault="00827F61" w:rsidP="00827F61"/>
    <w:p w:rsidR="00827F61" w:rsidRDefault="00827F61" w:rsidP="007315FF">
      <w:r>
        <w:fldChar w:fldCharType="begin"/>
      </w:r>
      <w:r>
        <w:instrText xml:space="preserve"> AUTONUM  </w:instrText>
      </w:r>
      <w:r>
        <w:fldChar w:fldCharType="end"/>
      </w:r>
      <w:r>
        <w:tab/>
      </w:r>
      <w:r w:rsidR="00D602A1">
        <w:t>At its fifteenth session, the Committee on Development and Intellectual Property (CDIP) requested the Secretariat to update the database on flexibilities, and to report back on it to the next session of the Committee.</w:t>
      </w:r>
    </w:p>
    <w:p w:rsidR="00D602A1" w:rsidRDefault="00D602A1" w:rsidP="007315FF"/>
    <w:p w:rsidR="00D602A1" w:rsidRDefault="00D602A1" w:rsidP="007315FF">
      <w:pPr>
        <w:rPr>
          <w:szCs w:val="22"/>
        </w:rPr>
      </w:pPr>
      <w:r>
        <w:rPr>
          <w:szCs w:val="22"/>
        </w:rPr>
        <w:fldChar w:fldCharType="begin"/>
      </w:r>
      <w:r>
        <w:rPr>
          <w:szCs w:val="22"/>
        </w:rPr>
        <w:instrText xml:space="preserve"> AUTONUM  </w:instrText>
      </w:r>
      <w:r>
        <w:rPr>
          <w:szCs w:val="22"/>
        </w:rPr>
        <w:fldChar w:fldCharType="end"/>
      </w:r>
      <w:r>
        <w:rPr>
          <w:szCs w:val="22"/>
        </w:rPr>
        <w:tab/>
        <w:t>Accordingly, the Annex to this document provides an update on the Database available on the webpage on Flexibilities in t</w:t>
      </w:r>
      <w:r w:rsidR="009A5468">
        <w:rPr>
          <w:szCs w:val="22"/>
        </w:rPr>
        <w:t xml:space="preserve">he Intellectual Property System, at: </w:t>
      </w:r>
      <w:r w:rsidR="0070070D">
        <w:rPr>
          <w:szCs w:val="22"/>
        </w:rPr>
        <w:br/>
      </w:r>
      <w:hyperlink r:id="rId10" w:history="1">
        <w:r w:rsidR="009A5468" w:rsidRPr="00A95769">
          <w:rPr>
            <w:rStyle w:val="Hyperlink"/>
            <w:szCs w:val="22"/>
          </w:rPr>
          <w:t>http://www.wipo.int/ip-development/en/agenda/flexibilities/</w:t>
        </w:r>
      </w:hyperlink>
      <w:r w:rsidR="00C62638">
        <w:rPr>
          <w:szCs w:val="22"/>
        </w:rPr>
        <w:t>.</w:t>
      </w:r>
    </w:p>
    <w:p w:rsidR="00827F61" w:rsidRDefault="00827F61" w:rsidP="00827F61">
      <w:pPr>
        <w:rPr>
          <w:szCs w:val="22"/>
        </w:rPr>
      </w:pPr>
    </w:p>
    <w:p w:rsidR="00827F61" w:rsidRPr="004907DF" w:rsidRDefault="00D602A1" w:rsidP="00827F61">
      <w:pPr>
        <w:pStyle w:val="Endofdocument-Annex"/>
        <w:tabs>
          <w:tab w:val="left" w:pos="567"/>
        </w:tabs>
        <w:ind w:left="4950"/>
        <w:rPr>
          <w:i/>
          <w:iCs/>
          <w:szCs w:val="22"/>
        </w:rPr>
      </w:pPr>
      <w:r>
        <w:rPr>
          <w:i/>
          <w:iCs/>
          <w:szCs w:val="22"/>
        </w:rPr>
        <w:fldChar w:fldCharType="begin"/>
      </w:r>
      <w:r>
        <w:rPr>
          <w:i/>
          <w:iCs/>
          <w:szCs w:val="22"/>
        </w:rPr>
        <w:instrText xml:space="preserve"> AUTONUM  </w:instrText>
      </w:r>
      <w:r>
        <w:rPr>
          <w:i/>
          <w:iCs/>
          <w:szCs w:val="22"/>
        </w:rPr>
        <w:fldChar w:fldCharType="end"/>
      </w:r>
      <w:r>
        <w:rPr>
          <w:i/>
          <w:iCs/>
          <w:szCs w:val="22"/>
        </w:rPr>
        <w:tab/>
      </w:r>
      <w:r w:rsidR="00827F61" w:rsidRPr="004907DF">
        <w:rPr>
          <w:i/>
          <w:iCs/>
          <w:szCs w:val="22"/>
        </w:rPr>
        <w:t>The CDIP is invited to take note of the information contained in the Annex to this document.</w:t>
      </w:r>
    </w:p>
    <w:p w:rsidR="00827F61" w:rsidRPr="004907DF" w:rsidRDefault="00827F61" w:rsidP="00827F61"/>
    <w:p w:rsidR="00827F61" w:rsidRPr="004907DF" w:rsidRDefault="00827F61" w:rsidP="00827F61"/>
    <w:p w:rsidR="00827F61" w:rsidRPr="004907DF" w:rsidRDefault="00827F61" w:rsidP="00827F61"/>
    <w:p w:rsidR="00827F61" w:rsidRPr="004907DF" w:rsidRDefault="00827F61" w:rsidP="00827F61">
      <w:pPr>
        <w:tabs>
          <w:tab w:val="left" w:pos="4950"/>
        </w:tabs>
      </w:pPr>
      <w:r w:rsidRPr="004907DF">
        <w:tab/>
        <w:t>[</w:t>
      </w:r>
      <w:r w:rsidRPr="004907DF">
        <w:rPr>
          <w:rStyle w:val="Endofdocument-AnnexChar"/>
        </w:rPr>
        <w:t>Annex</w:t>
      </w:r>
      <w:r w:rsidRPr="004907DF">
        <w:t xml:space="preserve"> follows]</w:t>
      </w:r>
      <w:r>
        <w:t xml:space="preserve"> </w:t>
      </w:r>
    </w:p>
    <w:p w:rsidR="008B2CC1" w:rsidRPr="008B2CC1" w:rsidRDefault="008B2CC1" w:rsidP="008B2CC1">
      <w:pPr>
        <w:rPr>
          <w:i/>
        </w:rPr>
      </w:pPr>
    </w:p>
    <w:p w:rsidR="00AC205C" w:rsidRDefault="00AC205C"/>
    <w:p w:rsidR="000F5E56" w:rsidRDefault="000F5E56"/>
    <w:p w:rsidR="002928D3" w:rsidRDefault="002928D3"/>
    <w:p w:rsidR="002928D3" w:rsidRDefault="002928D3" w:rsidP="0053057A"/>
    <w:p w:rsidR="00C9356A" w:rsidRDefault="00C9356A">
      <w:pPr>
        <w:sectPr w:rsidR="00C9356A" w:rsidSect="00827F61">
          <w:headerReference w:type="default" r:id="rId11"/>
          <w:endnotePr>
            <w:numFmt w:val="decimal"/>
          </w:endnotePr>
          <w:pgSz w:w="11907" w:h="16840" w:code="9"/>
          <w:pgMar w:top="567" w:right="1134" w:bottom="1418" w:left="1418" w:header="510" w:footer="1021" w:gutter="0"/>
          <w:cols w:space="720"/>
          <w:titlePg/>
          <w:docGrid w:linePitch="299"/>
        </w:sectPr>
      </w:pPr>
    </w:p>
    <w:p w:rsidR="0053407C" w:rsidRPr="007D0411" w:rsidRDefault="0053407C" w:rsidP="0053407C">
      <w:pPr>
        <w:rPr>
          <w:b/>
          <w:caps/>
          <w:sz w:val="24"/>
        </w:rPr>
      </w:pPr>
      <w:r w:rsidRPr="007D0411">
        <w:rPr>
          <w:b/>
          <w:caps/>
          <w:sz w:val="24"/>
        </w:rPr>
        <w:lastRenderedPageBreak/>
        <w:t>UPDATE OF THE DATABASE ON FLEXIBILITIES</w:t>
      </w:r>
    </w:p>
    <w:p w:rsidR="0053407C" w:rsidRDefault="0053407C" w:rsidP="0053407C">
      <w:pPr>
        <w:pStyle w:val="NormalWeb"/>
        <w:kinsoku w:val="0"/>
        <w:overflowPunct w:val="0"/>
        <w:spacing w:before="96"/>
        <w:textAlignment w:val="baseline"/>
        <w:rPr>
          <w:rFonts w:ascii="Arial" w:eastAsiaTheme="minorEastAsia" w:hAnsi="Arial" w:cs="Arial"/>
          <w:color w:val="000000" w:themeColor="text1"/>
          <w:sz w:val="22"/>
          <w:szCs w:val="22"/>
        </w:rPr>
      </w:pPr>
    </w:p>
    <w:p w:rsidR="0053407C" w:rsidRPr="00C823C7" w:rsidRDefault="0053407C" w:rsidP="0053407C">
      <w:pPr>
        <w:pStyle w:val="NormalWeb"/>
        <w:kinsoku w:val="0"/>
        <w:overflowPunct w:val="0"/>
        <w:spacing w:before="96"/>
        <w:textAlignment w:val="baseline"/>
        <w:rPr>
          <w:rFonts w:ascii="Arial" w:eastAsiaTheme="minorEastAsia" w:hAnsi="Arial" w:cs="Arial"/>
          <w:b/>
          <w:color w:val="000000" w:themeColor="text1"/>
          <w:sz w:val="22"/>
          <w:szCs w:val="22"/>
        </w:rPr>
      </w:pPr>
      <w:r w:rsidRPr="00C823C7">
        <w:rPr>
          <w:rFonts w:ascii="Arial" w:eastAsiaTheme="minorEastAsia" w:hAnsi="Arial" w:cs="Arial"/>
          <w:b/>
          <w:color w:val="000000" w:themeColor="text1"/>
          <w:sz w:val="22"/>
          <w:szCs w:val="22"/>
        </w:rPr>
        <w:t>BACKGROUND</w:t>
      </w:r>
    </w:p>
    <w:p w:rsidR="0053407C" w:rsidRDefault="0053407C" w:rsidP="0053407C">
      <w:pPr>
        <w:pStyle w:val="NormalWeb"/>
        <w:kinsoku w:val="0"/>
        <w:overflowPunct w:val="0"/>
        <w:spacing w:before="96"/>
        <w:textAlignment w:val="baseline"/>
        <w:rPr>
          <w:rFonts w:ascii="Arial" w:eastAsiaTheme="minorEastAsia" w:hAnsi="Arial" w:cs="Arial"/>
          <w:color w:val="000000" w:themeColor="text1"/>
          <w:sz w:val="22"/>
          <w:szCs w:val="22"/>
        </w:rPr>
      </w:pPr>
    </w:p>
    <w:p w:rsidR="0053407C" w:rsidRPr="001B45D6" w:rsidRDefault="0053407C" w:rsidP="0053407C">
      <w:pPr>
        <w:pStyle w:val="NormalWeb"/>
        <w:kinsoku w:val="0"/>
        <w:overflowPunct w:val="0"/>
        <w:spacing w:before="96"/>
        <w:textAlignment w:val="baseline"/>
        <w:rPr>
          <w:rFonts w:ascii="Arial" w:eastAsiaTheme="minorEastAsia" w:hAnsi="Arial" w:cs="Arial"/>
          <w:color w:val="000000" w:themeColor="text1"/>
          <w:sz w:val="22"/>
          <w:szCs w:val="22"/>
        </w:rPr>
      </w:pPr>
      <w:r>
        <w:rPr>
          <w:rFonts w:ascii="Arial" w:eastAsiaTheme="minorEastAsia" w:hAnsi="Arial" w:cs="Arial"/>
          <w:color w:val="000000" w:themeColor="text1"/>
          <w:sz w:val="22"/>
          <w:szCs w:val="22"/>
        </w:rPr>
        <w:t>At its</w:t>
      </w:r>
      <w:r w:rsidRPr="00046291">
        <w:rPr>
          <w:rFonts w:ascii="Arial" w:eastAsiaTheme="minorEastAsia" w:hAnsi="Arial" w:cs="Arial"/>
          <w:color w:val="000000" w:themeColor="text1"/>
          <w:sz w:val="22"/>
          <w:szCs w:val="22"/>
        </w:rPr>
        <w:t xml:space="preserve"> </w:t>
      </w:r>
      <w:r w:rsidRPr="001B45D6">
        <w:rPr>
          <w:rFonts w:ascii="Arial" w:eastAsiaTheme="minorEastAsia" w:hAnsi="Arial" w:cs="Arial"/>
          <w:bCs/>
          <w:color w:val="000000" w:themeColor="text1"/>
          <w:sz w:val="22"/>
          <w:szCs w:val="22"/>
        </w:rPr>
        <w:t>sixth session</w:t>
      </w:r>
      <w:r w:rsidRPr="001B45D6">
        <w:rPr>
          <w:rFonts w:ascii="Arial" w:eastAsiaTheme="minorEastAsia" w:hAnsi="Arial" w:cs="Arial"/>
          <w:color w:val="000000" w:themeColor="text1"/>
          <w:sz w:val="22"/>
          <w:szCs w:val="22"/>
        </w:rPr>
        <w:t>,</w:t>
      </w:r>
      <w:r>
        <w:rPr>
          <w:rFonts w:ascii="Arial" w:eastAsiaTheme="minorEastAsia" w:hAnsi="Arial" w:cs="Arial"/>
          <w:color w:val="000000" w:themeColor="text1"/>
          <w:sz w:val="22"/>
          <w:szCs w:val="22"/>
        </w:rPr>
        <w:t xml:space="preserve"> the Committee </w:t>
      </w:r>
      <w:r w:rsidRPr="00CD5430">
        <w:rPr>
          <w:rFonts w:ascii="Arial" w:eastAsiaTheme="minorEastAsia" w:hAnsi="Arial" w:cs="Arial"/>
          <w:color w:val="000000" w:themeColor="text1"/>
          <w:sz w:val="22"/>
          <w:szCs w:val="22"/>
        </w:rPr>
        <w:t xml:space="preserve">on Development and Intellectual Property (CDIP) </w:t>
      </w:r>
      <w:r>
        <w:rPr>
          <w:rFonts w:ascii="Arial" w:eastAsiaTheme="minorEastAsia" w:hAnsi="Arial" w:cs="Arial"/>
          <w:color w:val="000000" w:themeColor="text1"/>
          <w:sz w:val="22"/>
          <w:szCs w:val="22"/>
        </w:rPr>
        <w:t>agreed</w:t>
      </w:r>
      <w:r w:rsidRPr="001B45D6">
        <w:rPr>
          <w:rFonts w:ascii="Arial" w:eastAsiaTheme="minorEastAsia" w:hAnsi="Arial" w:cs="Arial"/>
          <w:color w:val="000000" w:themeColor="text1"/>
          <w:sz w:val="22"/>
          <w:szCs w:val="22"/>
        </w:rPr>
        <w:t xml:space="preserve"> to establish </w:t>
      </w:r>
      <w:r>
        <w:rPr>
          <w:rFonts w:ascii="Arial" w:eastAsiaTheme="minorEastAsia" w:hAnsi="Arial" w:cs="Arial"/>
          <w:color w:val="000000" w:themeColor="text1"/>
          <w:sz w:val="22"/>
          <w:szCs w:val="22"/>
        </w:rPr>
        <w:t>a</w:t>
      </w:r>
      <w:r w:rsidRPr="001B45D6">
        <w:rPr>
          <w:rFonts w:ascii="Arial" w:eastAsiaTheme="minorEastAsia" w:hAnsi="Arial" w:cs="Arial"/>
          <w:color w:val="000000" w:themeColor="text1"/>
          <w:sz w:val="22"/>
          <w:szCs w:val="22"/>
        </w:rPr>
        <w:t xml:space="preserve"> we</w:t>
      </w:r>
      <w:r>
        <w:rPr>
          <w:rFonts w:ascii="Arial" w:eastAsiaTheme="minorEastAsia" w:hAnsi="Arial" w:cs="Arial"/>
          <w:color w:val="000000" w:themeColor="text1"/>
          <w:sz w:val="22"/>
          <w:szCs w:val="22"/>
        </w:rPr>
        <w:t>bpage dedicated to flexibilities in the intellectual property (IP)</w:t>
      </w:r>
      <w:r w:rsidRPr="001B45D6">
        <w:rPr>
          <w:rFonts w:ascii="Arial" w:eastAsiaTheme="minorEastAsia" w:hAnsi="Arial" w:cs="Arial"/>
          <w:color w:val="000000" w:themeColor="text1"/>
          <w:sz w:val="22"/>
          <w:szCs w:val="22"/>
        </w:rPr>
        <w:t xml:space="preserve"> system,</w:t>
      </w:r>
      <w:r>
        <w:rPr>
          <w:rFonts w:ascii="Arial" w:eastAsiaTheme="minorEastAsia" w:hAnsi="Arial" w:cs="Arial"/>
          <w:color w:val="000000" w:themeColor="text1"/>
          <w:sz w:val="22"/>
          <w:szCs w:val="22"/>
        </w:rPr>
        <w:t xml:space="preserve"> containing</w:t>
      </w:r>
      <w:r w:rsidRPr="001B45D6">
        <w:rPr>
          <w:rFonts w:ascii="Arial" w:eastAsiaTheme="minorEastAsia" w:hAnsi="Arial" w:cs="Arial"/>
          <w:color w:val="000000" w:themeColor="text1"/>
          <w:sz w:val="22"/>
          <w:szCs w:val="22"/>
        </w:rPr>
        <w:t>:</w:t>
      </w:r>
    </w:p>
    <w:p w:rsidR="0053407C" w:rsidRPr="005E38C1" w:rsidRDefault="0053407C" w:rsidP="0053407C">
      <w:pPr>
        <w:pStyle w:val="ListParagraph"/>
        <w:jc w:val="both"/>
        <w:rPr>
          <w:color w:val="000000"/>
          <w:szCs w:val="22"/>
        </w:rPr>
      </w:pPr>
    </w:p>
    <w:p w:rsidR="0053407C" w:rsidRPr="00F93568" w:rsidRDefault="0053407C" w:rsidP="00AD1DB6">
      <w:pPr>
        <w:pStyle w:val="ListParagraph"/>
        <w:numPr>
          <w:ilvl w:val="0"/>
          <w:numId w:val="4"/>
        </w:numPr>
        <w:rPr>
          <w:color w:val="000000"/>
          <w:szCs w:val="22"/>
        </w:rPr>
      </w:pPr>
      <w:r w:rsidRPr="00F93568">
        <w:rPr>
          <w:color w:val="000000"/>
          <w:szCs w:val="22"/>
        </w:rPr>
        <w:t xml:space="preserve">A roadmap providing guidance on WIPO’s work on flexibilities in the substantive sectors and Committees; </w:t>
      </w:r>
    </w:p>
    <w:p w:rsidR="0053407C" w:rsidRPr="00F93568" w:rsidRDefault="0053407C" w:rsidP="00AD1DB6">
      <w:pPr>
        <w:pStyle w:val="ListParagraph"/>
        <w:ind w:left="1440"/>
        <w:rPr>
          <w:color w:val="000000"/>
          <w:szCs w:val="22"/>
        </w:rPr>
      </w:pPr>
    </w:p>
    <w:p w:rsidR="0053407C" w:rsidRPr="00F93568" w:rsidRDefault="0053407C" w:rsidP="00AD1DB6">
      <w:pPr>
        <w:pStyle w:val="ListParagraph"/>
        <w:numPr>
          <w:ilvl w:val="0"/>
          <w:numId w:val="4"/>
        </w:numPr>
        <w:rPr>
          <w:color w:val="000000"/>
          <w:szCs w:val="22"/>
        </w:rPr>
      </w:pPr>
      <w:r w:rsidRPr="00F93568">
        <w:rPr>
          <w:color w:val="000000"/>
          <w:szCs w:val="22"/>
        </w:rPr>
        <w:t xml:space="preserve">A database containing provisions on national legislation related to flexibilities in the </w:t>
      </w:r>
      <w:r>
        <w:rPr>
          <w:color w:val="000000"/>
          <w:szCs w:val="22"/>
        </w:rPr>
        <w:t>IP</w:t>
      </w:r>
      <w:r w:rsidRPr="00F93568">
        <w:rPr>
          <w:color w:val="000000"/>
          <w:szCs w:val="22"/>
        </w:rPr>
        <w:t xml:space="preserve"> system, as well as information on national experiences and case studies in implementing flex</w:t>
      </w:r>
      <w:r w:rsidR="00AD1DB6">
        <w:rPr>
          <w:color w:val="000000"/>
          <w:szCs w:val="22"/>
        </w:rPr>
        <w:t>ibilities at the national level;</w:t>
      </w:r>
      <w:r w:rsidRPr="00F93568">
        <w:rPr>
          <w:color w:val="000000"/>
          <w:szCs w:val="22"/>
        </w:rPr>
        <w:t xml:space="preserve"> </w:t>
      </w:r>
    </w:p>
    <w:p w:rsidR="0053407C" w:rsidRPr="00F93568" w:rsidRDefault="0053407C" w:rsidP="00AD1DB6">
      <w:pPr>
        <w:pStyle w:val="ListParagraph"/>
        <w:rPr>
          <w:color w:val="000000"/>
          <w:szCs w:val="22"/>
        </w:rPr>
      </w:pPr>
    </w:p>
    <w:p w:rsidR="0053407C" w:rsidRPr="00F93568" w:rsidRDefault="0053407C" w:rsidP="00AD1DB6">
      <w:pPr>
        <w:pStyle w:val="ListParagraph"/>
        <w:numPr>
          <w:ilvl w:val="0"/>
          <w:numId w:val="4"/>
        </w:numPr>
        <w:rPr>
          <w:color w:val="000000"/>
          <w:szCs w:val="22"/>
        </w:rPr>
      </w:pPr>
      <w:r w:rsidRPr="00F93568">
        <w:rPr>
          <w:color w:val="000000"/>
          <w:szCs w:val="22"/>
        </w:rPr>
        <w:t>Links to literature and resources on flexibilities produced by the Secretariat and WIPO-commissioned experts, and links to resources on flexibilities produced by other relev</w:t>
      </w:r>
      <w:r w:rsidR="00AD1DB6">
        <w:rPr>
          <w:color w:val="000000"/>
          <w:szCs w:val="22"/>
        </w:rPr>
        <w:t>ant international organizations;</w:t>
      </w:r>
    </w:p>
    <w:p w:rsidR="0053407C" w:rsidRPr="00F93568" w:rsidRDefault="0053407C" w:rsidP="00AD1DB6">
      <w:pPr>
        <w:pStyle w:val="ListParagraph"/>
        <w:rPr>
          <w:color w:val="000000"/>
          <w:szCs w:val="22"/>
        </w:rPr>
      </w:pPr>
    </w:p>
    <w:p w:rsidR="0053407C" w:rsidRPr="00F93568" w:rsidRDefault="0053407C" w:rsidP="00AD1DB6">
      <w:pPr>
        <w:pStyle w:val="ListParagraph"/>
        <w:numPr>
          <w:ilvl w:val="0"/>
          <w:numId w:val="4"/>
        </w:numPr>
        <w:rPr>
          <w:szCs w:val="22"/>
        </w:rPr>
      </w:pPr>
      <w:r w:rsidRPr="00F93568">
        <w:rPr>
          <w:szCs w:val="22"/>
        </w:rPr>
        <w:t xml:space="preserve">Materials and output from WIPO seminars, workshops and technical assistance activities dealing with the flexibilities. </w:t>
      </w:r>
    </w:p>
    <w:p w:rsidR="0053407C" w:rsidRDefault="0053407C" w:rsidP="00AD1DB6">
      <w:pPr>
        <w:pStyle w:val="NormalWeb"/>
        <w:kinsoku w:val="0"/>
        <w:overflowPunct w:val="0"/>
        <w:spacing w:before="96"/>
        <w:textAlignment w:val="baseline"/>
        <w:rPr>
          <w:rFonts w:ascii="Arial" w:eastAsiaTheme="minorEastAsia" w:hAnsi="Arial" w:cs="Arial"/>
          <w:color w:val="000000" w:themeColor="text1"/>
          <w:sz w:val="22"/>
          <w:szCs w:val="22"/>
        </w:rPr>
      </w:pPr>
    </w:p>
    <w:p w:rsidR="0053407C" w:rsidRDefault="0053407C" w:rsidP="00AD1DB6">
      <w:pPr>
        <w:rPr>
          <w:szCs w:val="22"/>
        </w:rPr>
      </w:pPr>
      <w:r>
        <w:rPr>
          <w:szCs w:val="22"/>
        </w:rPr>
        <w:t xml:space="preserve">At its eighth session, the Secretariat presented to the Committee the test version of the database. </w:t>
      </w:r>
      <w:r w:rsidR="00AD1DB6">
        <w:rPr>
          <w:szCs w:val="22"/>
        </w:rPr>
        <w:t xml:space="preserve"> </w:t>
      </w:r>
      <w:r>
        <w:rPr>
          <w:szCs w:val="22"/>
        </w:rPr>
        <w:t xml:space="preserve">It included information </w:t>
      </w:r>
      <w:r>
        <w:rPr>
          <w:color w:val="000000"/>
          <w:szCs w:val="22"/>
        </w:rPr>
        <w:t xml:space="preserve">on </w:t>
      </w:r>
      <w:r w:rsidRPr="00F93568">
        <w:rPr>
          <w:color w:val="000000"/>
          <w:szCs w:val="22"/>
        </w:rPr>
        <w:t>Patent Related Flexibilities in the Multilateral Legal Framework and their Legislative Implementation at t</w:t>
      </w:r>
      <w:r>
        <w:rPr>
          <w:color w:val="000000"/>
          <w:szCs w:val="22"/>
        </w:rPr>
        <w:t xml:space="preserve">he National and Regional Levels, contained in Document </w:t>
      </w:r>
      <w:r w:rsidRPr="00F93568">
        <w:rPr>
          <w:color w:val="000000"/>
          <w:szCs w:val="22"/>
        </w:rPr>
        <w:t>CDIP/5/4 Rev</w:t>
      </w:r>
      <w:r w:rsidRPr="00046291">
        <w:rPr>
          <w:color w:val="000000"/>
          <w:szCs w:val="22"/>
        </w:rPr>
        <w:t>.</w:t>
      </w:r>
      <w:r>
        <w:rPr>
          <w:color w:val="000000"/>
          <w:szCs w:val="22"/>
        </w:rPr>
        <w:t xml:space="preserve"> </w:t>
      </w:r>
      <w:r w:rsidR="00AD1DB6">
        <w:rPr>
          <w:color w:val="000000"/>
          <w:szCs w:val="22"/>
        </w:rPr>
        <w:t xml:space="preserve"> </w:t>
      </w:r>
      <w:r>
        <w:rPr>
          <w:color w:val="000000"/>
          <w:szCs w:val="22"/>
        </w:rPr>
        <w:t xml:space="preserve">This information was related to the following </w:t>
      </w:r>
      <w:r w:rsidR="00B15B66">
        <w:rPr>
          <w:color w:val="000000"/>
          <w:szCs w:val="22"/>
        </w:rPr>
        <w:t xml:space="preserve">five </w:t>
      </w:r>
      <w:r>
        <w:rPr>
          <w:color w:val="000000"/>
          <w:szCs w:val="22"/>
        </w:rPr>
        <w:t>flexibilities</w:t>
      </w:r>
      <w:r>
        <w:rPr>
          <w:szCs w:val="22"/>
        </w:rPr>
        <w:t xml:space="preserve">: </w:t>
      </w:r>
    </w:p>
    <w:p w:rsidR="0053407C" w:rsidRDefault="0053407C" w:rsidP="00AD1DB6">
      <w:pPr>
        <w:rPr>
          <w:szCs w:val="22"/>
        </w:rPr>
      </w:pPr>
    </w:p>
    <w:p w:rsidR="0053407C" w:rsidRPr="005E38C1" w:rsidRDefault="0053407C" w:rsidP="00AD1DB6">
      <w:pPr>
        <w:pStyle w:val="ListParagraph"/>
        <w:numPr>
          <w:ilvl w:val="0"/>
          <w:numId w:val="7"/>
        </w:numPr>
        <w:autoSpaceDE w:val="0"/>
        <w:autoSpaceDN w:val="0"/>
        <w:adjustRightInd w:val="0"/>
        <w:rPr>
          <w:szCs w:val="22"/>
        </w:rPr>
      </w:pPr>
      <w:r w:rsidRPr="005E38C1">
        <w:rPr>
          <w:szCs w:val="22"/>
        </w:rPr>
        <w:t xml:space="preserve">Compulsory Licenses and Government use </w:t>
      </w:r>
    </w:p>
    <w:p w:rsidR="0053407C" w:rsidRPr="005E38C1" w:rsidRDefault="0053407C" w:rsidP="00AD1DB6">
      <w:pPr>
        <w:pStyle w:val="ListParagraph"/>
        <w:numPr>
          <w:ilvl w:val="0"/>
          <w:numId w:val="7"/>
        </w:numPr>
        <w:autoSpaceDE w:val="0"/>
        <w:autoSpaceDN w:val="0"/>
        <w:adjustRightInd w:val="0"/>
        <w:rPr>
          <w:szCs w:val="22"/>
        </w:rPr>
      </w:pPr>
      <w:r w:rsidRPr="005E38C1">
        <w:rPr>
          <w:szCs w:val="22"/>
        </w:rPr>
        <w:t xml:space="preserve">Exhaustion of rights </w:t>
      </w:r>
    </w:p>
    <w:p w:rsidR="0053407C" w:rsidRPr="005E38C1" w:rsidRDefault="0053407C" w:rsidP="00AD1DB6">
      <w:pPr>
        <w:pStyle w:val="ListParagraph"/>
        <w:numPr>
          <w:ilvl w:val="0"/>
          <w:numId w:val="7"/>
        </w:numPr>
        <w:autoSpaceDE w:val="0"/>
        <w:autoSpaceDN w:val="0"/>
        <w:adjustRightInd w:val="0"/>
        <w:rPr>
          <w:szCs w:val="22"/>
        </w:rPr>
      </w:pPr>
      <w:r w:rsidRPr="005E38C1">
        <w:rPr>
          <w:szCs w:val="22"/>
        </w:rPr>
        <w:t>Regulatory Review Exemption</w:t>
      </w:r>
    </w:p>
    <w:p w:rsidR="0053407C" w:rsidRPr="005E38C1" w:rsidRDefault="0053407C" w:rsidP="00AD1DB6">
      <w:pPr>
        <w:pStyle w:val="ListParagraph"/>
        <w:numPr>
          <w:ilvl w:val="0"/>
          <w:numId w:val="7"/>
        </w:numPr>
        <w:autoSpaceDE w:val="0"/>
        <w:autoSpaceDN w:val="0"/>
        <w:adjustRightInd w:val="0"/>
        <w:rPr>
          <w:szCs w:val="22"/>
        </w:rPr>
      </w:pPr>
      <w:r w:rsidRPr="005E38C1">
        <w:rPr>
          <w:szCs w:val="22"/>
        </w:rPr>
        <w:t>Research Exemption</w:t>
      </w:r>
    </w:p>
    <w:p w:rsidR="0053407C" w:rsidRPr="005E38C1" w:rsidRDefault="0053407C" w:rsidP="00AD1DB6">
      <w:pPr>
        <w:pStyle w:val="ListParagraph"/>
        <w:numPr>
          <w:ilvl w:val="0"/>
          <w:numId w:val="7"/>
        </w:numPr>
        <w:autoSpaceDE w:val="0"/>
        <w:autoSpaceDN w:val="0"/>
        <w:adjustRightInd w:val="0"/>
        <w:rPr>
          <w:szCs w:val="22"/>
        </w:rPr>
      </w:pPr>
      <w:r w:rsidRPr="005E38C1">
        <w:rPr>
          <w:szCs w:val="22"/>
        </w:rPr>
        <w:t>Exclusions from Utility Model protection</w:t>
      </w:r>
    </w:p>
    <w:p w:rsidR="0053407C" w:rsidRDefault="0053407C" w:rsidP="00AD1DB6">
      <w:pPr>
        <w:rPr>
          <w:szCs w:val="22"/>
        </w:rPr>
      </w:pPr>
    </w:p>
    <w:p w:rsidR="0053407C" w:rsidRPr="00165D20" w:rsidRDefault="0053407C" w:rsidP="00AD1DB6">
      <w:pPr>
        <w:rPr>
          <w:color w:val="000000"/>
          <w:szCs w:val="22"/>
        </w:rPr>
      </w:pPr>
      <w:r>
        <w:rPr>
          <w:color w:val="000000"/>
          <w:szCs w:val="22"/>
        </w:rPr>
        <w:t>At its</w:t>
      </w:r>
      <w:r w:rsidRPr="00D32F29">
        <w:rPr>
          <w:color w:val="000000"/>
          <w:szCs w:val="22"/>
        </w:rPr>
        <w:t xml:space="preserve"> ninth session, the </w:t>
      </w:r>
      <w:r>
        <w:rPr>
          <w:color w:val="000000"/>
          <w:szCs w:val="22"/>
        </w:rPr>
        <w:t xml:space="preserve">Secretariat presented the </w:t>
      </w:r>
      <w:r w:rsidRPr="00D32F29">
        <w:rPr>
          <w:color w:val="000000"/>
          <w:szCs w:val="22"/>
        </w:rPr>
        <w:t xml:space="preserve">Work Program on Flexibilities in the </w:t>
      </w:r>
      <w:r>
        <w:rPr>
          <w:color w:val="000000"/>
          <w:szCs w:val="22"/>
        </w:rPr>
        <w:t xml:space="preserve">IP System – New elements proposed, contained in Document </w:t>
      </w:r>
      <w:r w:rsidRPr="00372082">
        <w:rPr>
          <w:color w:val="000000"/>
          <w:szCs w:val="22"/>
        </w:rPr>
        <w:t>CDIP/9/1</w:t>
      </w:r>
      <w:r w:rsidR="00B33173">
        <w:rPr>
          <w:color w:val="000000"/>
          <w:szCs w:val="22"/>
        </w:rPr>
        <w:t>1</w:t>
      </w:r>
      <w:r>
        <w:rPr>
          <w:color w:val="000000"/>
          <w:szCs w:val="22"/>
        </w:rPr>
        <w:t xml:space="preserve">, in response </w:t>
      </w:r>
      <w:r w:rsidR="00B15B66">
        <w:rPr>
          <w:color w:val="000000"/>
          <w:szCs w:val="22"/>
        </w:rPr>
        <w:t xml:space="preserve">to </w:t>
      </w:r>
      <w:r>
        <w:rPr>
          <w:color w:val="000000"/>
          <w:szCs w:val="22"/>
        </w:rPr>
        <w:t xml:space="preserve">the request made by Member States at the eight session of the CDIP. </w:t>
      </w:r>
      <w:r w:rsidR="00AD1DB6">
        <w:rPr>
          <w:color w:val="000000"/>
          <w:szCs w:val="22"/>
        </w:rPr>
        <w:t xml:space="preserve"> </w:t>
      </w:r>
      <w:r>
        <w:rPr>
          <w:color w:val="000000"/>
          <w:szCs w:val="22"/>
        </w:rPr>
        <w:t xml:space="preserve">The Committee discussed </w:t>
      </w:r>
      <w:r w:rsidRPr="00E75E95">
        <w:rPr>
          <w:color w:val="000000"/>
          <w:szCs w:val="22"/>
        </w:rPr>
        <w:t>the document</w:t>
      </w:r>
      <w:r>
        <w:rPr>
          <w:color w:val="000000"/>
          <w:szCs w:val="22"/>
        </w:rPr>
        <w:t xml:space="preserve"> and agreed, </w:t>
      </w:r>
      <w:r w:rsidRPr="00E75E95">
        <w:rPr>
          <w:i/>
          <w:color w:val="000000"/>
          <w:szCs w:val="22"/>
        </w:rPr>
        <w:t>inter alia</w:t>
      </w:r>
      <w:r>
        <w:rPr>
          <w:color w:val="000000"/>
          <w:szCs w:val="22"/>
        </w:rPr>
        <w:t xml:space="preserve">, to </w:t>
      </w:r>
      <w:r w:rsidRPr="00372082">
        <w:rPr>
          <w:color w:val="000000"/>
          <w:szCs w:val="22"/>
        </w:rPr>
        <w:t>include in the database, information submitted by Member States on their practical experience</w:t>
      </w:r>
      <w:r w:rsidR="0099343F">
        <w:rPr>
          <w:color w:val="000000"/>
          <w:szCs w:val="22"/>
        </w:rPr>
        <w:t>s</w:t>
      </w:r>
      <w:r w:rsidRPr="00372082">
        <w:rPr>
          <w:color w:val="000000"/>
          <w:szCs w:val="22"/>
        </w:rPr>
        <w:t xml:space="preserve"> in the implementation of flexibilities.</w:t>
      </w:r>
      <w:r>
        <w:rPr>
          <w:color w:val="000000"/>
          <w:szCs w:val="22"/>
        </w:rPr>
        <w:t xml:space="preserve"> </w:t>
      </w:r>
    </w:p>
    <w:p w:rsidR="0053407C" w:rsidRDefault="0053407C" w:rsidP="00AD1DB6">
      <w:pPr>
        <w:rPr>
          <w:color w:val="000000"/>
          <w:szCs w:val="22"/>
        </w:rPr>
      </w:pPr>
    </w:p>
    <w:p w:rsidR="0053407C" w:rsidRPr="003C32C4" w:rsidRDefault="0053407C" w:rsidP="00AD1DB6">
      <w:pPr>
        <w:tabs>
          <w:tab w:val="num" w:pos="1100"/>
        </w:tabs>
        <w:rPr>
          <w:color w:val="000000"/>
          <w:szCs w:val="22"/>
          <w:u w:val="single"/>
        </w:rPr>
      </w:pPr>
      <w:r>
        <w:rPr>
          <w:szCs w:val="22"/>
        </w:rPr>
        <w:t xml:space="preserve">At the tenth session of the CDIP, the Committee discussed </w:t>
      </w:r>
      <w:r w:rsidRPr="008A2AA4">
        <w:rPr>
          <w:szCs w:val="22"/>
        </w:rPr>
        <w:t>Further Steps in the Work Program on Flexibilities in the IP System</w:t>
      </w:r>
      <w:r>
        <w:rPr>
          <w:szCs w:val="22"/>
        </w:rPr>
        <w:t xml:space="preserve">, contained in Document CDIP/10/10. </w:t>
      </w:r>
      <w:r w:rsidR="00AD1DB6">
        <w:rPr>
          <w:szCs w:val="22"/>
        </w:rPr>
        <w:t xml:space="preserve"> </w:t>
      </w:r>
      <w:r>
        <w:rPr>
          <w:szCs w:val="22"/>
        </w:rPr>
        <w:t>The Secretariat sought guidance on the content of the database.</w:t>
      </w:r>
      <w:r w:rsidR="00AD1DB6">
        <w:rPr>
          <w:szCs w:val="22"/>
        </w:rPr>
        <w:t xml:space="preserve"> </w:t>
      </w:r>
      <w:r>
        <w:rPr>
          <w:szCs w:val="22"/>
        </w:rPr>
        <w:t xml:space="preserve"> A consensus was reached on the following type of information to be included in the database:</w:t>
      </w:r>
    </w:p>
    <w:p w:rsidR="0053407C" w:rsidRPr="008A2AA4" w:rsidRDefault="0053407C" w:rsidP="00AD1DB6">
      <w:pPr>
        <w:rPr>
          <w:szCs w:val="22"/>
        </w:rPr>
      </w:pPr>
    </w:p>
    <w:p w:rsidR="0053407C" w:rsidRPr="008A2AA4" w:rsidRDefault="0053407C" w:rsidP="00AD1DB6">
      <w:pPr>
        <w:pStyle w:val="ListParagraph"/>
        <w:numPr>
          <w:ilvl w:val="0"/>
          <w:numId w:val="5"/>
        </w:numPr>
        <w:rPr>
          <w:szCs w:val="22"/>
        </w:rPr>
      </w:pPr>
      <w:r w:rsidRPr="008A2AA4">
        <w:rPr>
          <w:szCs w:val="22"/>
        </w:rPr>
        <w:t>Links to court ca</w:t>
      </w:r>
      <w:r w:rsidR="006258FC">
        <w:rPr>
          <w:szCs w:val="22"/>
        </w:rPr>
        <w:t>ses, academic articles and case</w:t>
      </w:r>
      <w:r w:rsidRPr="008A2AA4">
        <w:rPr>
          <w:szCs w:val="22"/>
        </w:rPr>
        <w:t xml:space="preserve"> studies submitted by Member States; </w:t>
      </w:r>
    </w:p>
    <w:p w:rsidR="0053407C" w:rsidRPr="00DA4237" w:rsidRDefault="0053407C" w:rsidP="00AD1DB6">
      <w:pPr>
        <w:pStyle w:val="ListParagraph"/>
        <w:numPr>
          <w:ilvl w:val="0"/>
          <w:numId w:val="5"/>
        </w:numPr>
        <w:tabs>
          <w:tab w:val="num" w:pos="1100"/>
        </w:tabs>
        <w:rPr>
          <w:color w:val="000000"/>
          <w:szCs w:val="22"/>
        </w:rPr>
      </w:pPr>
      <w:r w:rsidRPr="00DA4237">
        <w:rPr>
          <w:color w:val="000000"/>
          <w:szCs w:val="22"/>
        </w:rPr>
        <w:t>Material written or commissioned by WIPO in the course of its regular technical assistance activities;  and</w:t>
      </w:r>
    </w:p>
    <w:p w:rsidR="0053407C" w:rsidRDefault="0053407C" w:rsidP="00AD1DB6">
      <w:pPr>
        <w:pStyle w:val="ListParagraph"/>
        <w:numPr>
          <w:ilvl w:val="0"/>
          <w:numId w:val="5"/>
        </w:numPr>
        <w:tabs>
          <w:tab w:val="num" w:pos="1100"/>
        </w:tabs>
        <w:rPr>
          <w:color w:val="000000"/>
          <w:szCs w:val="22"/>
        </w:rPr>
      </w:pPr>
      <w:r w:rsidRPr="00437A84">
        <w:rPr>
          <w:color w:val="000000"/>
          <w:szCs w:val="22"/>
        </w:rPr>
        <w:t xml:space="preserve">Documents </w:t>
      </w:r>
      <w:r>
        <w:rPr>
          <w:color w:val="000000"/>
          <w:szCs w:val="22"/>
        </w:rPr>
        <w:t xml:space="preserve">and presentations from WIPO </w:t>
      </w:r>
      <w:r w:rsidRPr="00437A84">
        <w:rPr>
          <w:color w:val="000000"/>
          <w:szCs w:val="22"/>
        </w:rPr>
        <w:t xml:space="preserve">seminars conducted in the course of its regular </w:t>
      </w:r>
      <w:r>
        <w:rPr>
          <w:color w:val="000000"/>
          <w:szCs w:val="22"/>
        </w:rPr>
        <w:t>technical assistance activities.</w:t>
      </w:r>
    </w:p>
    <w:p w:rsidR="007B5F9A" w:rsidRDefault="007B5F9A" w:rsidP="007B5F9A">
      <w:pPr>
        <w:tabs>
          <w:tab w:val="num" w:pos="1100"/>
        </w:tabs>
        <w:rPr>
          <w:color w:val="000000"/>
          <w:szCs w:val="22"/>
        </w:rPr>
      </w:pPr>
    </w:p>
    <w:p w:rsidR="007B5F9A" w:rsidRDefault="007B5F9A" w:rsidP="007B5F9A">
      <w:pPr>
        <w:tabs>
          <w:tab w:val="num" w:pos="1100"/>
        </w:tabs>
        <w:rPr>
          <w:color w:val="000000"/>
          <w:szCs w:val="22"/>
        </w:rPr>
      </w:pPr>
    </w:p>
    <w:p w:rsidR="007B5F9A" w:rsidRPr="007B5F9A" w:rsidRDefault="007B5F9A" w:rsidP="007B5F9A">
      <w:pPr>
        <w:tabs>
          <w:tab w:val="num" w:pos="1100"/>
        </w:tabs>
        <w:rPr>
          <w:color w:val="000000"/>
          <w:szCs w:val="22"/>
        </w:rPr>
      </w:pPr>
    </w:p>
    <w:p w:rsidR="0053407C" w:rsidRDefault="0053407C" w:rsidP="00AD1DB6">
      <w:pPr>
        <w:rPr>
          <w:szCs w:val="22"/>
        </w:rPr>
      </w:pPr>
    </w:p>
    <w:p w:rsidR="0053407C" w:rsidRPr="006A6CED" w:rsidRDefault="0053407C" w:rsidP="00AD1DB6">
      <w:pPr>
        <w:rPr>
          <w:b/>
        </w:rPr>
      </w:pPr>
      <w:r w:rsidRPr="006A6CED">
        <w:rPr>
          <w:b/>
        </w:rPr>
        <w:lastRenderedPageBreak/>
        <w:t>ESTABLISHEMENT OF THE DATABASE</w:t>
      </w:r>
    </w:p>
    <w:p w:rsidR="0053407C" w:rsidRDefault="0053407C" w:rsidP="00AD1DB6"/>
    <w:p w:rsidR="0053407C" w:rsidRPr="006A6CED" w:rsidRDefault="0053407C" w:rsidP="00AD1DB6">
      <w:r w:rsidRPr="008A2AA4">
        <w:t xml:space="preserve">The </w:t>
      </w:r>
      <w:r>
        <w:t xml:space="preserve">flexibilities </w:t>
      </w:r>
      <w:r w:rsidRPr="008A2AA4">
        <w:t xml:space="preserve">database was </w:t>
      </w:r>
      <w:r>
        <w:t>made available online</w:t>
      </w:r>
      <w:r w:rsidRPr="008A2AA4">
        <w:t xml:space="preserve"> in</w:t>
      </w:r>
      <w:r>
        <w:t xml:space="preserve"> June</w:t>
      </w:r>
      <w:r w:rsidRPr="008A2AA4">
        <w:t xml:space="preserve"> 2013</w:t>
      </w:r>
      <w:r>
        <w:t xml:space="preserve">, giving access to </w:t>
      </w:r>
      <w:r w:rsidRPr="00F0466A">
        <w:t>Member</w:t>
      </w:r>
      <w:r w:rsidR="00F0466A">
        <w:t xml:space="preserve"> States</w:t>
      </w:r>
      <w:r>
        <w:t xml:space="preserve"> to </w:t>
      </w:r>
      <w:r w:rsidRPr="006A6CED">
        <w:t xml:space="preserve">a </w:t>
      </w:r>
      <w:r w:rsidR="0099343F" w:rsidRPr="0099343F">
        <w:rPr>
          <w:i/>
        </w:rPr>
        <w:t>“</w:t>
      </w:r>
      <w:r w:rsidRPr="0099343F">
        <w:rPr>
          <w:i/>
        </w:rPr>
        <w:t>non</w:t>
      </w:r>
      <w:r w:rsidRPr="0099343F">
        <w:rPr>
          <w:i/>
        </w:rPr>
        <w:noBreakHyphen/>
        <w:t>exhaustive list of flexibilities in use, namely, compulsory licenses and government use;</w:t>
      </w:r>
      <w:proofErr w:type="gramStart"/>
      <w:r w:rsidRPr="0099343F">
        <w:rPr>
          <w:i/>
        </w:rPr>
        <w:t>  exhaustion</w:t>
      </w:r>
      <w:proofErr w:type="gramEnd"/>
      <w:r w:rsidRPr="0099343F">
        <w:rPr>
          <w:i/>
        </w:rPr>
        <w:t xml:space="preserve"> of rights;  research exemption;  regulatory review exception.</w:t>
      </w:r>
      <w:r w:rsidR="0099343F" w:rsidRPr="0099343F">
        <w:rPr>
          <w:i/>
        </w:rPr>
        <w:t>”</w:t>
      </w:r>
    </w:p>
    <w:p w:rsidR="0053407C" w:rsidRDefault="0053407C" w:rsidP="00AD1DB6">
      <w:pPr>
        <w:tabs>
          <w:tab w:val="num" w:pos="1100"/>
        </w:tabs>
      </w:pPr>
    </w:p>
    <w:p w:rsidR="0053407C" w:rsidRPr="006A6CED" w:rsidRDefault="00AD1DB6" w:rsidP="00AD1DB6">
      <w:r>
        <w:t xml:space="preserve">In </w:t>
      </w:r>
      <w:r w:rsidR="0053407C" w:rsidRPr="006A6CED">
        <w:t xml:space="preserve">addition, the Secretariat made available on the webpage of </w:t>
      </w:r>
      <w:r w:rsidR="0053407C">
        <w:t>flexibilities, the m</w:t>
      </w:r>
      <w:r w:rsidR="0053407C" w:rsidRPr="006A6CED">
        <w:t>aterial written or commissioned by WIPO in the course of its regular technical assistance activities, including seminars’ material.</w:t>
      </w:r>
    </w:p>
    <w:p w:rsidR="0053407C" w:rsidRDefault="0053407C" w:rsidP="00AD1DB6">
      <w:pPr>
        <w:autoSpaceDE w:val="0"/>
        <w:autoSpaceDN w:val="0"/>
        <w:adjustRightInd w:val="0"/>
        <w:rPr>
          <w:color w:val="000000"/>
          <w:szCs w:val="22"/>
        </w:rPr>
      </w:pPr>
    </w:p>
    <w:p w:rsidR="0053407C" w:rsidRDefault="0053407C" w:rsidP="00AD1DB6"/>
    <w:p w:rsidR="0053407C" w:rsidRPr="002A1A9B" w:rsidRDefault="0053407C" w:rsidP="00AD1DB6">
      <w:pPr>
        <w:rPr>
          <w:b/>
        </w:rPr>
      </w:pPr>
      <w:r>
        <w:rPr>
          <w:b/>
        </w:rPr>
        <w:t>UPDATE AND CURRENT SITUATION</w:t>
      </w:r>
    </w:p>
    <w:p w:rsidR="0053407C" w:rsidRDefault="0053407C" w:rsidP="00AD1DB6"/>
    <w:p w:rsidR="0053407C" w:rsidRDefault="0053407C" w:rsidP="00AD1DB6">
      <w:r w:rsidRPr="008A2AA4">
        <w:t>As requested by the CDIP</w:t>
      </w:r>
      <w:r>
        <w:t xml:space="preserve"> at its fifteenth session</w:t>
      </w:r>
      <w:r w:rsidRPr="008A2AA4">
        <w:t xml:space="preserve">, the </w:t>
      </w:r>
      <w:hyperlink r:id="rId12" w:history="1">
        <w:r w:rsidRPr="008A2AA4">
          <w:t>Flexibilities database</w:t>
        </w:r>
      </w:hyperlink>
      <w:r>
        <w:t xml:space="preserve"> </w:t>
      </w:r>
      <w:r w:rsidR="007B5F9A">
        <w:t>has been</w:t>
      </w:r>
      <w:r w:rsidRPr="008A2AA4">
        <w:t xml:space="preserve"> updated </w:t>
      </w:r>
      <w:r>
        <w:t>to include the:</w:t>
      </w:r>
    </w:p>
    <w:p w:rsidR="0053407C" w:rsidRPr="008A2AA4" w:rsidRDefault="0053407C" w:rsidP="00AD1DB6"/>
    <w:p w:rsidR="0053407C" w:rsidRDefault="0053407C" w:rsidP="00AD1DB6">
      <w:pPr>
        <w:pStyle w:val="ListParagraph"/>
        <w:numPr>
          <w:ilvl w:val="0"/>
          <w:numId w:val="8"/>
        </w:numPr>
      </w:pPr>
      <w:r w:rsidRPr="008A2AA4">
        <w:t xml:space="preserve">954 new provisions of law </w:t>
      </w:r>
      <w:r>
        <w:t>drawn from Documents</w:t>
      </w:r>
      <w:r w:rsidRPr="00B60BD6">
        <w:rPr>
          <w:szCs w:val="22"/>
        </w:rPr>
        <w:t xml:space="preserve"> </w:t>
      </w:r>
      <w:r w:rsidRPr="00B60BD6">
        <w:rPr>
          <w:color w:val="000000"/>
          <w:szCs w:val="22"/>
        </w:rPr>
        <w:t xml:space="preserve">on Patent Related Flexibilities in the Multilateral Legal Framework and their Legislative Implementation at the National and Regional Levels, contained in </w:t>
      </w:r>
      <w:r w:rsidRPr="008A2AA4">
        <w:t>CDIP/7/3 Add</w:t>
      </w:r>
      <w:r>
        <w:t>.</w:t>
      </w:r>
      <w:r w:rsidRPr="008A2AA4">
        <w:t>,</w:t>
      </w:r>
      <w:r>
        <w:t xml:space="preserve"> CDIP/13/10 Rev, and CDIP/15/6.</w:t>
      </w:r>
      <w:r w:rsidRPr="00B60BD6">
        <w:rPr>
          <w:color w:val="000000"/>
          <w:szCs w:val="22"/>
        </w:rPr>
        <w:t xml:space="preserve"> This information was related to the following </w:t>
      </w:r>
      <w:r>
        <w:rPr>
          <w:color w:val="000000"/>
          <w:szCs w:val="22"/>
        </w:rPr>
        <w:t>nine</w:t>
      </w:r>
      <w:r w:rsidRPr="00B60BD6">
        <w:rPr>
          <w:color w:val="000000"/>
          <w:szCs w:val="22"/>
        </w:rPr>
        <w:t xml:space="preserve"> flexibilities</w:t>
      </w:r>
      <w:r>
        <w:rPr>
          <w:color w:val="000000"/>
          <w:szCs w:val="22"/>
        </w:rPr>
        <w:t>:</w:t>
      </w:r>
    </w:p>
    <w:p w:rsidR="0053407C" w:rsidRDefault="0053407C" w:rsidP="00AD1DB6">
      <w:pPr>
        <w:pStyle w:val="ListParagraph"/>
        <w:ind w:left="1069"/>
      </w:pPr>
    </w:p>
    <w:p w:rsidR="0053407C" w:rsidRDefault="0053407C" w:rsidP="00AD1DB6">
      <w:pPr>
        <w:pStyle w:val="ListParagraph"/>
        <w:numPr>
          <w:ilvl w:val="0"/>
          <w:numId w:val="9"/>
        </w:numPr>
      </w:pPr>
      <w:r>
        <w:t>Transition periods</w:t>
      </w:r>
    </w:p>
    <w:p w:rsidR="0053407C" w:rsidRPr="00AD4513" w:rsidRDefault="0053407C" w:rsidP="00AD1DB6">
      <w:pPr>
        <w:pStyle w:val="ListParagraph"/>
        <w:numPr>
          <w:ilvl w:val="0"/>
          <w:numId w:val="9"/>
        </w:numPr>
      </w:pPr>
      <w:r w:rsidRPr="00AD4513">
        <w:t>Patentability of substances existing in nature</w:t>
      </w:r>
    </w:p>
    <w:p w:rsidR="0053407C" w:rsidRPr="00AD4513" w:rsidRDefault="0053407C" w:rsidP="00AD1DB6">
      <w:pPr>
        <w:pStyle w:val="ListParagraph"/>
        <w:numPr>
          <w:ilvl w:val="0"/>
          <w:numId w:val="9"/>
        </w:numPr>
      </w:pPr>
      <w:r w:rsidRPr="00AD4513">
        <w:t>Disclosure related flexibilities</w:t>
      </w:r>
    </w:p>
    <w:p w:rsidR="0053407C" w:rsidRDefault="0053407C" w:rsidP="00AD1DB6">
      <w:pPr>
        <w:pStyle w:val="ListParagraph"/>
        <w:numPr>
          <w:ilvl w:val="0"/>
          <w:numId w:val="9"/>
        </w:numPr>
      </w:pPr>
      <w:r w:rsidRPr="00AD4513">
        <w:t>Substantive examination</w:t>
      </w:r>
    </w:p>
    <w:p w:rsidR="0053407C" w:rsidRPr="002A1A9B" w:rsidRDefault="0053407C" w:rsidP="00AD1DB6">
      <w:pPr>
        <w:pStyle w:val="ListParagraph"/>
        <w:numPr>
          <w:ilvl w:val="0"/>
          <w:numId w:val="9"/>
        </w:numPr>
      </w:pPr>
      <w:r w:rsidRPr="002A1A9B">
        <w:t>Ex-officio IP office control of anti-competitive clauses in licensing agreements</w:t>
      </w:r>
    </w:p>
    <w:p w:rsidR="0053407C" w:rsidRPr="002A1A9B" w:rsidRDefault="0053407C" w:rsidP="00AD1DB6">
      <w:pPr>
        <w:pStyle w:val="ListParagraph"/>
        <w:numPr>
          <w:ilvl w:val="0"/>
          <w:numId w:val="9"/>
        </w:numPr>
      </w:pPr>
      <w:r w:rsidRPr="002A1A9B">
        <w:t xml:space="preserve">The scope of the exclusion from patentability of plants </w:t>
      </w:r>
    </w:p>
    <w:p w:rsidR="0053407C" w:rsidRPr="002A1A9B" w:rsidRDefault="0053407C" w:rsidP="00AD1DB6">
      <w:pPr>
        <w:pStyle w:val="ListParagraph"/>
        <w:numPr>
          <w:ilvl w:val="0"/>
          <w:numId w:val="9"/>
        </w:numPr>
      </w:pPr>
      <w:r w:rsidRPr="002A1A9B">
        <w:t>The patentability or exclusion from patentability  of software-related inventions</w:t>
      </w:r>
    </w:p>
    <w:p w:rsidR="0053407C" w:rsidRDefault="0053407C" w:rsidP="00AD1DB6">
      <w:pPr>
        <w:pStyle w:val="ListParagraph"/>
        <w:numPr>
          <w:ilvl w:val="0"/>
          <w:numId w:val="9"/>
        </w:numPr>
      </w:pPr>
      <w:r w:rsidRPr="002A1A9B">
        <w:t>The flexibility whether to apply criminal sanctions in patent enforcement</w:t>
      </w:r>
      <w:r w:rsidRPr="002A1A9B">
        <w:tab/>
      </w:r>
    </w:p>
    <w:p w:rsidR="0053407C" w:rsidRPr="002A1A9B" w:rsidRDefault="0053407C" w:rsidP="00AD1DB6">
      <w:pPr>
        <w:pStyle w:val="ListParagraph"/>
        <w:numPr>
          <w:ilvl w:val="0"/>
          <w:numId w:val="9"/>
        </w:numPr>
      </w:pPr>
      <w:r w:rsidRPr="002A1A9B">
        <w:t>Measures related to national security (so-called “security exception”)</w:t>
      </w:r>
      <w:r w:rsidRPr="002A1A9B">
        <w:tab/>
      </w:r>
    </w:p>
    <w:p w:rsidR="0053407C" w:rsidRDefault="0053407C" w:rsidP="00AD1DB6">
      <w:pPr>
        <w:pStyle w:val="ListParagraph"/>
        <w:ind w:left="1069"/>
      </w:pPr>
    </w:p>
    <w:p w:rsidR="0053407C" w:rsidRPr="008A2AA4" w:rsidRDefault="0053407C" w:rsidP="00AD1DB6">
      <w:pPr>
        <w:pStyle w:val="ListParagraph"/>
        <w:numPr>
          <w:ilvl w:val="0"/>
          <w:numId w:val="8"/>
        </w:numPr>
      </w:pPr>
      <w:r w:rsidRPr="008A2AA4">
        <w:t xml:space="preserve">Tables </w:t>
      </w:r>
      <w:r>
        <w:t>on categories of</w:t>
      </w:r>
      <w:r w:rsidRPr="008A2AA4">
        <w:t xml:space="preserve"> different provisions on specific flexibilities contained in </w:t>
      </w:r>
      <w:r>
        <w:t>the above mentioned documents.</w:t>
      </w:r>
    </w:p>
    <w:p w:rsidR="0053407C" w:rsidRDefault="0053407C" w:rsidP="00AD1DB6"/>
    <w:p w:rsidR="0053407C" w:rsidRDefault="0053407C" w:rsidP="00AD1DB6">
      <w:r>
        <w:t>Currently, t</w:t>
      </w:r>
      <w:r w:rsidRPr="002A1A9B">
        <w:t xml:space="preserve">he database </w:t>
      </w:r>
      <w:r>
        <w:t xml:space="preserve">contains 1371 </w:t>
      </w:r>
      <w:r w:rsidRPr="002B49AE">
        <w:t xml:space="preserve">provisions on national </w:t>
      </w:r>
      <w:r>
        <w:t xml:space="preserve">IP </w:t>
      </w:r>
      <w:r w:rsidRPr="002B49AE">
        <w:t xml:space="preserve">legislation related to flexibilities </w:t>
      </w:r>
      <w:r>
        <w:t xml:space="preserve">from 202 selected jurisdictions. </w:t>
      </w:r>
      <w:r w:rsidR="00AD1DB6">
        <w:t xml:space="preserve"> </w:t>
      </w:r>
      <w:r>
        <w:t xml:space="preserve">It </w:t>
      </w:r>
      <w:r w:rsidRPr="002A1A9B">
        <w:t>enable</w:t>
      </w:r>
      <w:r>
        <w:t>s</w:t>
      </w:r>
      <w:r w:rsidRPr="002A1A9B">
        <w:t xml:space="preserve"> users performing searches </w:t>
      </w:r>
      <w:r>
        <w:t xml:space="preserve">on fourteen types of flexibilities, namely: </w:t>
      </w:r>
    </w:p>
    <w:p w:rsidR="0053407C" w:rsidRDefault="0053407C" w:rsidP="00AD1DB6"/>
    <w:p w:rsidR="0053407C" w:rsidRPr="000E2879" w:rsidRDefault="0053407C" w:rsidP="000E2879">
      <w:pPr>
        <w:pStyle w:val="ListParagraph"/>
        <w:numPr>
          <w:ilvl w:val="0"/>
          <w:numId w:val="10"/>
        </w:numPr>
        <w:autoSpaceDE w:val="0"/>
        <w:autoSpaceDN w:val="0"/>
        <w:adjustRightInd w:val="0"/>
        <w:rPr>
          <w:szCs w:val="22"/>
        </w:rPr>
      </w:pPr>
      <w:r w:rsidRPr="000E2879">
        <w:rPr>
          <w:szCs w:val="22"/>
        </w:rPr>
        <w:t xml:space="preserve">Compulsory Licenses and Government use </w:t>
      </w:r>
    </w:p>
    <w:p w:rsidR="0053407C" w:rsidRPr="000E2879" w:rsidRDefault="0053407C" w:rsidP="000E2879">
      <w:pPr>
        <w:pStyle w:val="ListParagraph"/>
        <w:numPr>
          <w:ilvl w:val="0"/>
          <w:numId w:val="10"/>
        </w:numPr>
        <w:autoSpaceDE w:val="0"/>
        <w:autoSpaceDN w:val="0"/>
        <w:adjustRightInd w:val="0"/>
        <w:rPr>
          <w:szCs w:val="22"/>
        </w:rPr>
      </w:pPr>
      <w:r w:rsidRPr="000E2879">
        <w:rPr>
          <w:szCs w:val="22"/>
        </w:rPr>
        <w:t xml:space="preserve">Exhaustion of rights </w:t>
      </w:r>
    </w:p>
    <w:p w:rsidR="0053407C" w:rsidRPr="000E2879" w:rsidRDefault="0053407C" w:rsidP="000E2879">
      <w:pPr>
        <w:pStyle w:val="ListParagraph"/>
        <w:numPr>
          <w:ilvl w:val="0"/>
          <w:numId w:val="10"/>
        </w:numPr>
        <w:autoSpaceDE w:val="0"/>
        <w:autoSpaceDN w:val="0"/>
        <w:adjustRightInd w:val="0"/>
        <w:rPr>
          <w:szCs w:val="22"/>
        </w:rPr>
      </w:pPr>
      <w:r w:rsidRPr="000E2879">
        <w:rPr>
          <w:szCs w:val="22"/>
        </w:rPr>
        <w:t>Regulatory Review Exemption</w:t>
      </w:r>
    </w:p>
    <w:p w:rsidR="0053407C" w:rsidRPr="000E2879" w:rsidRDefault="0053407C" w:rsidP="000E2879">
      <w:pPr>
        <w:pStyle w:val="ListParagraph"/>
        <w:numPr>
          <w:ilvl w:val="0"/>
          <w:numId w:val="10"/>
        </w:numPr>
        <w:autoSpaceDE w:val="0"/>
        <w:autoSpaceDN w:val="0"/>
        <w:adjustRightInd w:val="0"/>
        <w:rPr>
          <w:szCs w:val="22"/>
        </w:rPr>
      </w:pPr>
      <w:r w:rsidRPr="000E2879">
        <w:rPr>
          <w:szCs w:val="22"/>
        </w:rPr>
        <w:t>Research Exemption</w:t>
      </w:r>
    </w:p>
    <w:p w:rsidR="0053407C" w:rsidRPr="000E2879" w:rsidRDefault="0053407C" w:rsidP="000E2879">
      <w:pPr>
        <w:pStyle w:val="ListParagraph"/>
        <w:numPr>
          <w:ilvl w:val="0"/>
          <w:numId w:val="10"/>
        </w:numPr>
        <w:autoSpaceDE w:val="0"/>
        <w:autoSpaceDN w:val="0"/>
        <w:adjustRightInd w:val="0"/>
        <w:rPr>
          <w:szCs w:val="22"/>
        </w:rPr>
      </w:pPr>
      <w:r w:rsidRPr="000E2879">
        <w:rPr>
          <w:szCs w:val="22"/>
        </w:rPr>
        <w:t>Exclusions from Utility Model protection</w:t>
      </w:r>
    </w:p>
    <w:p w:rsidR="0053407C" w:rsidRDefault="0053407C" w:rsidP="000E2879">
      <w:pPr>
        <w:pStyle w:val="ListParagraph"/>
        <w:numPr>
          <w:ilvl w:val="0"/>
          <w:numId w:val="10"/>
        </w:numPr>
      </w:pPr>
      <w:r>
        <w:t>Transition periods</w:t>
      </w:r>
    </w:p>
    <w:p w:rsidR="0053407C" w:rsidRPr="00AD4513" w:rsidRDefault="0053407C" w:rsidP="000E2879">
      <w:pPr>
        <w:pStyle w:val="ListParagraph"/>
        <w:numPr>
          <w:ilvl w:val="0"/>
          <w:numId w:val="10"/>
        </w:numPr>
      </w:pPr>
      <w:r w:rsidRPr="00AD4513">
        <w:t>Patentability of substances existing in nature</w:t>
      </w:r>
    </w:p>
    <w:p w:rsidR="0053407C" w:rsidRPr="00AD4513" w:rsidRDefault="0053407C" w:rsidP="000E2879">
      <w:pPr>
        <w:pStyle w:val="ListParagraph"/>
        <w:numPr>
          <w:ilvl w:val="0"/>
          <w:numId w:val="10"/>
        </w:numPr>
      </w:pPr>
      <w:r w:rsidRPr="00AD4513">
        <w:t>Disclosure related flexibilities</w:t>
      </w:r>
    </w:p>
    <w:p w:rsidR="0053407C" w:rsidRDefault="0053407C" w:rsidP="000E2879">
      <w:pPr>
        <w:pStyle w:val="ListParagraph"/>
        <w:numPr>
          <w:ilvl w:val="0"/>
          <w:numId w:val="10"/>
        </w:numPr>
      </w:pPr>
      <w:r w:rsidRPr="00AD4513">
        <w:t>Substantive examination</w:t>
      </w:r>
    </w:p>
    <w:p w:rsidR="0053407C" w:rsidRPr="002A1A9B" w:rsidRDefault="0053407C" w:rsidP="000E2879">
      <w:pPr>
        <w:pStyle w:val="ListParagraph"/>
        <w:numPr>
          <w:ilvl w:val="0"/>
          <w:numId w:val="10"/>
        </w:numPr>
      </w:pPr>
      <w:r w:rsidRPr="002A1A9B">
        <w:t>Ex-officio IP office control of anti-competitive clauses in licensing agreements</w:t>
      </w:r>
    </w:p>
    <w:p w:rsidR="0053407C" w:rsidRPr="002A1A9B" w:rsidRDefault="0053407C" w:rsidP="000E2879">
      <w:pPr>
        <w:pStyle w:val="ListParagraph"/>
        <w:numPr>
          <w:ilvl w:val="0"/>
          <w:numId w:val="10"/>
        </w:numPr>
      </w:pPr>
      <w:r w:rsidRPr="002A1A9B">
        <w:t xml:space="preserve">The scope of the exclusion from patentability of plants </w:t>
      </w:r>
    </w:p>
    <w:p w:rsidR="0053407C" w:rsidRPr="002A1A9B" w:rsidRDefault="0053407C" w:rsidP="000E2879">
      <w:pPr>
        <w:pStyle w:val="ListParagraph"/>
        <w:numPr>
          <w:ilvl w:val="0"/>
          <w:numId w:val="10"/>
        </w:numPr>
      </w:pPr>
      <w:r w:rsidRPr="002A1A9B">
        <w:t>The patentability or exclusion from patentability  of software-related inventions</w:t>
      </w:r>
    </w:p>
    <w:p w:rsidR="0053407C" w:rsidRPr="002A1A9B" w:rsidRDefault="0053407C" w:rsidP="000E2879">
      <w:pPr>
        <w:pStyle w:val="ListParagraph"/>
        <w:numPr>
          <w:ilvl w:val="0"/>
          <w:numId w:val="10"/>
        </w:numPr>
      </w:pPr>
      <w:r w:rsidRPr="002A1A9B">
        <w:t>The flexibility whether to apply criminal sanctions in patent enforcement</w:t>
      </w:r>
      <w:r w:rsidRPr="002A1A9B">
        <w:tab/>
      </w:r>
    </w:p>
    <w:p w:rsidR="0053407C" w:rsidRPr="002A1A9B" w:rsidRDefault="0053407C" w:rsidP="000E2879">
      <w:pPr>
        <w:pStyle w:val="ListParagraph"/>
        <w:numPr>
          <w:ilvl w:val="0"/>
          <w:numId w:val="10"/>
        </w:numPr>
      </w:pPr>
      <w:r w:rsidRPr="002A1A9B">
        <w:t>Measures related to national security (so-called “security exception”)</w:t>
      </w:r>
      <w:r w:rsidR="000E2879">
        <w:t>.</w:t>
      </w:r>
      <w:r w:rsidRPr="002A1A9B">
        <w:tab/>
      </w:r>
    </w:p>
    <w:p w:rsidR="0053407C" w:rsidRDefault="0053407C" w:rsidP="00AD1DB6">
      <w:pPr>
        <w:rPr>
          <w:szCs w:val="22"/>
        </w:rPr>
      </w:pPr>
    </w:p>
    <w:p w:rsidR="0053407C" w:rsidRDefault="0053407C" w:rsidP="00AD1DB6">
      <w:pPr>
        <w:autoSpaceDE w:val="0"/>
        <w:autoSpaceDN w:val="0"/>
        <w:adjustRightInd w:val="0"/>
      </w:pPr>
      <w:r w:rsidRPr="00B15B66">
        <w:lastRenderedPageBreak/>
        <w:t xml:space="preserve">Furthermore, users may also browse through the tables on categories of </w:t>
      </w:r>
      <w:r w:rsidR="00B15B66">
        <w:t>different provisions on</w:t>
      </w:r>
      <w:r w:rsidRPr="00B15B66">
        <w:t xml:space="preserve"> the aforesaid flexibilities.</w:t>
      </w:r>
    </w:p>
    <w:p w:rsidR="005F33A1" w:rsidRDefault="005F33A1" w:rsidP="00AD1DB6">
      <w:pPr>
        <w:autoSpaceDE w:val="0"/>
        <w:autoSpaceDN w:val="0"/>
        <w:adjustRightInd w:val="0"/>
      </w:pPr>
    </w:p>
    <w:p w:rsidR="005F33A1" w:rsidRDefault="005F33A1" w:rsidP="005F33A1">
      <w:pPr>
        <w:autoSpaceDE w:val="0"/>
        <w:autoSpaceDN w:val="0"/>
        <w:adjustRightInd w:val="0"/>
        <w:rPr>
          <w:b/>
          <w:color w:val="000000"/>
          <w:szCs w:val="22"/>
        </w:rPr>
      </w:pPr>
      <w:r>
        <w:rPr>
          <w:b/>
          <w:color w:val="000000"/>
          <w:szCs w:val="22"/>
        </w:rPr>
        <w:t xml:space="preserve">USAGE STATISTICS PRIOR TO </w:t>
      </w:r>
      <w:r w:rsidR="00C16C4E">
        <w:rPr>
          <w:b/>
          <w:color w:val="000000"/>
          <w:szCs w:val="22"/>
        </w:rPr>
        <w:t xml:space="preserve">THE </w:t>
      </w:r>
      <w:r>
        <w:rPr>
          <w:b/>
          <w:color w:val="000000"/>
          <w:szCs w:val="22"/>
        </w:rPr>
        <w:t>UPDATE</w:t>
      </w:r>
    </w:p>
    <w:p w:rsidR="005F33A1" w:rsidRPr="007B5F9A" w:rsidRDefault="005F33A1" w:rsidP="005F33A1">
      <w:pPr>
        <w:autoSpaceDE w:val="0"/>
        <w:autoSpaceDN w:val="0"/>
        <w:adjustRightInd w:val="0"/>
        <w:rPr>
          <w:b/>
          <w:color w:val="000000"/>
          <w:szCs w:val="22"/>
        </w:rPr>
      </w:pPr>
    </w:p>
    <w:p w:rsidR="005F33A1" w:rsidRDefault="005F33A1" w:rsidP="005F33A1">
      <w:pPr>
        <w:autoSpaceDE w:val="0"/>
        <w:autoSpaceDN w:val="0"/>
        <w:adjustRightInd w:val="0"/>
      </w:pPr>
      <w:r w:rsidRPr="006A6CED">
        <w:t>It is worth noting that since its establishment</w:t>
      </w:r>
      <w:r>
        <w:t xml:space="preserve"> on June 2013 </w:t>
      </w:r>
      <w:r w:rsidR="00712679">
        <w:t>until</w:t>
      </w:r>
      <w:r w:rsidRPr="006A6CED">
        <w:t xml:space="preserve"> the stage prior to </w:t>
      </w:r>
      <w:r>
        <w:t>its</w:t>
      </w:r>
      <w:r w:rsidRPr="006A6CED">
        <w:t xml:space="preserve"> update,</w:t>
      </w:r>
      <w:r>
        <w:t xml:space="preserve"> on June 2015, </w:t>
      </w:r>
      <w:r w:rsidRPr="006A6CED">
        <w:t xml:space="preserve">77 page viewers visited the flexibilities database, 43 of which were unique or first-time page viewers. </w:t>
      </w:r>
      <w:r>
        <w:t xml:space="preserve"> </w:t>
      </w:r>
      <w:r w:rsidRPr="006A6CED">
        <w:t>The bounce rate of the visitors was 50%, which means that half of the viewers left the database webpage without consulting any other content under it.</w:t>
      </w:r>
      <w:r>
        <w:t xml:space="preserve"> </w:t>
      </w:r>
      <w:r w:rsidRPr="006A6CED">
        <w:t xml:space="preserve"> The exit rate was 19.48%. </w:t>
      </w:r>
      <w:r>
        <w:t xml:space="preserve"> </w:t>
      </w:r>
      <w:r w:rsidRPr="006A6CED">
        <w:t>This percentage represents the number of viewers who left the database webpage after viewing it, without implying that they have not visited before other webpages under the same website.</w:t>
      </w:r>
    </w:p>
    <w:p w:rsidR="005F33A1" w:rsidRDefault="005F33A1" w:rsidP="00AD1DB6">
      <w:pPr>
        <w:autoSpaceDE w:val="0"/>
        <w:autoSpaceDN w:val="0"/>
        <w:adjustRightInd w:val="0"/>
      </w:pPr>
    </w:p>
    <w:p w:rsidR="005F33A1" w:rsidRDefault="005F33A1" w:rsidP="00AD1DB6">
      <w:pPr>
        <w:autoSpaceDE w:val="0"/>
        <w:autoSpaceDN w:val="0"/>
        <w:adjustRightInd w:val="0"/>
      </w:pPr>
    </w:p>
    <w:p w:rsidR="0053407C" w:rsidRDefault="0053407C" w:rsidP="00AD1DB6">
      <w:pPr>
        <w:autoSpaceDE w:val="0"/>
        <w:autoSpaceDN w:val="0"/>
        <w:adjustRightInd w:val="0"/>
        <w:rPr>
          <w:b/>
          <w:bCs/>
          <w:caps/>
          <w:kern w:val="32"/>
          <w:szCs w:val="32"/>
        </w:rPr>
      </w:pPr>
    </w:p>
    <w:p w:rsidR="000C51E3" w:rsidRPr="00F0322A" w:rsidRDefault="0053407C" w:rsidP="0053407C">
      <w:pPr>
        <w:pStyle w:val="Endofdocument-Annex"/>
      </w:pPr>
      <w:r>
        <w:t xml:space="preserve"> </w:t>
      </w:r>
      <w:r w:rsidR="00937B99">
        <w:t xml:space="preserve">[End of </w:t>
      </w:r>
      <w:r w:rsidR="007423A2">
        <w:t>Annex</w:t>
      </w:r>
      <w:r w:rsidR="00937B99">
        <w:t xml:space="preserve"> and of document]</w:t>
      </w:r>
    </w:p>
    <w:sectPr w:rsidR="000C51E3" w:rsidRPr="00F0322A" w:rsidSect="00790748">
      <w:headerReference w:type="default" r:id="rId13"/>
      <w:headerReference w:type="first" r:id="rId14"/>
      <w:footerReference w:type="first" r:id="rId15"/>
      <w:pgSz w:w="11907" w:h="16840" w:code="9"/>
      <w:pgMar w:top="567" w:right="1134" w:bottom="1418" w:left="1418" w:header="510" w:footer="102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F8A" w:rsidRDefault="00117F8A">
      <w:r>
        <w:separator/>
      </w:r>
    </w:p>
  </w:endnote>
  <w:endnote w:type="continuationSeparator" w:id="0">
    <w:p w:rsidR="00117F8A" w:rsidRDefault="00117F8A" w:rsidP="003B38C1">
      <w:r>
        <w:separator/>
      </w:r>
    </w:p>
    <w:p w:rsidR="00117F8A" w:rsidRPr="003B38C1" w:rsidRDefault="00117F8A" w:rsidP="003B38C1">
      <w:pPr>
        <w:spacing w:after="60"/>
        <w:rPr>
          <w:sz w:val="17"/>
        </w:rPr>
      </w:pPr>
      <w:r>
        <w:rPr>
          <w:sz w:val="17"/>
        </w:rPr>
        <w:t>[Endnote continued from previous page]</w:t>
      </w:r>
    </w:p>
  </w:endnote>
  <w:endnote w:type="continuationNotice" w:id="1">
    <w:p w:rsidR="00117F8A" w:rsidRPr="003B38C1" w:rsidRDefault="00117F8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F8A" w:rsidRDefault="00117F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F8A" w:rsidRDefault="00117F8A">
      <w:r>
        <w:separator/>
      </w:r>
    </w:p>
  </w:footnote>
  <w:footnote w:type="continuationSeparator" w:id="0">
    <w:p w:rsidR="00117F8A" w:rsidRDefault="00117F8A" w:rsidP="008B60B2">
      <w:r>
        <w:separator/>
      </w:r>
    </w:p>
    <w:p w:rsidR="00117F8A" w:rsidRPr="00ED77FB" w:rsidRDefault="00117F8A" w:rsidP="008B60B2">
      <w:pPr>
        <w:spacing w:after="60"/>
        <w:rPr>
          <w:sz w:val="17"/>
          <w:szCs w:val="17"/>
        </w:rPr>
      </w:pPr>
      <w:r w:rsidRPr="00ED77FB">
        <w:rPr>
          <w:sz w:val="17"/>
          <w:szCs w:val="17"/>
        </w:rPr>
        <w:t>[Footnote continued from previous page]</w:t>
      </w:r>
    </w:p>
  </w:footnote>
  <w:footnote w:type="continuationNotice" w:id="1">
    <w:p w:rsidR="00117F8A" w:rsidRPr="00ED77FB" w:rsidRDefault="00117F8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F8A" w:rsidRDefault="00117F8A" w:rsidP="00477D6B">
    <w:pPr>
      <w:jc w:val="right"/>
    </w:pPr>
    <w:bookmarkStart w:id="6" w:name="Code2"/>
    <w:bookmarkEnd w:id="6"/>
    <w:r>
      <w:t>CDIP/16/3</w:t>
    </w:r>
  </w:p>
  <w:p w:rsidR="00117F8A" w:rsidRDefault="00117F8A" w:rsidP="00477D6B">
    <w:pPr>
      <w:jc w:val="right"/>
    </w:pPr>
    <w:proofErr w:type="gramStart"/>
    <w:r>
      <w:t>page</w:t>
    </w:r>
    <w:proofErr w:type="gramEnd"/>
    <w:r>
      <w:t xml:space="preserve"> </w:t>
    </w:r>
    <w:r>
      <w:fldChar w:fldCharType="begin"/>
    </w:r>
    <w:r>
      <w:instrText xml:space="preserve"> PAGE  \* MERGEFORMAT </w:instrText>
    </w:r>
    <w:r>
      <w:fldChar w:fldCharType="separate"/>
    </w:r>
    <w:r w:rsidR="00AE61A1">
      <w:rPr>
        <w:noProof/>
      </w:rPr>
      <w:t>3</w:t>
    </w:r>
    <w:r>
      <w:fldChar w:fldCharType="end"/>
    </w:r>
  </w:p>
  <w:p w:rsidR="00117F8A" w:rsidRDefault="00117F8A"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F8A" w:rsidRDefault="007423A2" w:rsidP="00BA0CE1">
    <w:pPr>
      <w:pStyle w:val="Header"/>
      <w:jc w:val="right"/>
      <w:rPr>
        <w:lang w:val="fr-CH"/>
      </w:rPr>
    </w:pPr>
    <w:r>
      <w:rPr>
        <w:lang w:val="fr-CH"/>
      </w:rPr>
      <w:t>CDIP/16/5</w:t>
    </w:r>
  </w:p>
  <w:p w:rsidR="00117F8A" w:rsidRDefault="007423A2" w:rsidP="00BA0CE1">
    <w:pPr>
      <w:pStyle w:val="Header"/>
      <w:jc w:val="right"/>
      <w:rPr>
        <w:lang w:val="fr-CH"/>
      </w:rPr>
    </w:pPr>
    <w:proofErr w:type="spellStart"/>
    <w:r>
      <w:rPr>
        <w:lang w:val="fr-CH"/>
      </w:rPr>
      <w:t>Annex</w:t>
    </w:r>
    <w:proofErr w:type="spellEnd"/>
    <w:r w:rsidR="00117F8A">
      <w:rPr>
        <w:lang w:val="fr-CH"/>
      </w:rPr>
      <w:t xml:space="preserve">, page </w:t>
    </w:r>
    <w:r w:rsidR="00117F8A" w:rsidRPr="00790748">
      <w:rPr>
        <w:lang w:val="fr-CH"/>
      </w:rPr>
      <w:fldChar w:fldCharType="begin"/>
    </w:r>
    <w:r w:rsidR="00117F8A" w:rsidRPr="00790748">
      <w:rPr>
        <w:lang w:val="fr-CH"/>
      </w:rPr>
      <w:instrText xml:space="preserve"> PAGE   \* MERGEFORMAT </w:instrText>
    </w:r>
    <w:r w:rsidR="00117F8A" w:rsidRPr="00790748">
      <w:rPr>
        <w:lang w:val="fr-CH"/>
      </w:rPr>
      <w:fldChar w:fldCharType="separate"/>
    </w:r>
    <w:r w:rsidR="00AF6EF2">
      <w:rPr>
        <w:noProof/>
        <w:lang w:val="fr-CH"/>
      </w:rPr>
      <w:t>3</w:t>
    </w:r>
    <w:r w:rsidR="00117F8A" w:rsidRPr="00790748">
      <w:rPr>
        <w:noProof/>
        <w:lang w:val="fr-CH"/>
      </w:rPr>
      <w:fldChar w:fldCharType="end"/>
    </w:r>
  </w:p>
  <w:p w:rsidR="00117F8A" w:rsidRDefault="00117F8A" w:rsidP="00BA0CE1">
    <w:pPr>
      <w:pStyle w:val="Header"/>
      <w:jc w:val="right"/>
      <w:rPr>
        <w:lang w:val="fr-CH"/>
      </w:rPr>
    </w:pPr>
  </w:p>
  <w:p w:rsidR="00117F8A" w:rsidRPr="00DD4C78" w:rsidRDefault="00117F8A" w:rsidP="00BA0CE1">
    <w:pPr>
      <w:pStyle w:val="Header"/>
      <w:jc w:val="right"/>
      <w:rPr>
        <w:lang w:val="fr-CH"/>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F8A" w:rsidRDefault="007423A2" w:rsidP="00790748">
    <w:pPr>
      <w:pStyle w:val="Header"/>
      <w:jc w:val="right"/>
    </w:pPr>
    <w:r>
      <w:t>CDIP/16/5</w:t>
    </w:r>
  </w:p>
  <w:p w:rsidR="00117F8A" w:rsidRDefault="007423A2" w:rsidP="00790748">
    <w:pPr>
      <w:pStyle w:val="Header"/>
      <w:jc w:val="right"/>
    </w:pPr>
    <w:r>
      <w:t>ANNEX</w:t>
    </w:r>
  </w:p>
  <w:p w:rsidR="00117F8A" w:rsidRDefault="00117F8A" w:rsidP="00790748">
    <w:pPr>
      <w:pStyle w:val="Header"/>
      <w:jc w:val="right"/>
    </w:pPr>
  </w:p>
  <w:p w:rsidR="00117F8A" w:rsidRDefault="00117F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D48DDE4"/>
    <w:lvl w:ilvl="0">
      <w:start w:val="1"/>
      <w:numFmt w:val="decimal"/>
      <w:lvlRestart w:val="0"/>
      <w:pStyle w:val="ONUME"/>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26565F2B"/>
    <w:multiLevelType w:val="hybridMultilevel"/>
    <w:tmpl w:val="76F621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DC076F"/>
    <w:multiLevelType w:val="hybridMultilevel"/>
    <w:tmpl w:val="0458DD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380362F"/>
    <w:multiLevelType w:val="hybridMultilevel"/>
    <w:tmpl w:val="B418B46C"/>
    <w:lvl w:ilvl="0" w:tplc="04090001">
      <w:start w:val="1"/>
      <w:numFmt w:val="bullet"/>
      <w:lvlText w:val=""/>
      <w:lvlJc w:val="left"/>
      <w:pPr>
        <w:ind w:left="1069" w:hanging="360"/>
      </w:pPr>
      <w:rPr>
        <w:rFonts w:ascii="Symbol" w:hAnsi="Symbol"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438C0729"/>
    <w:multiLevelType w:val="hybridMultilevel"/>
    <w:tmpl w:val="BD5E5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07970EE"/>
    <w:multiLevelType w:val="hybridMultilevel"/>
    <w:tmpl w:val="65B2D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424EB4"/>
    <w:multiLevelType w:val="hybridMultilevel"/>
    <w:tmpl w:val="D61EBE5A"/>
    <w:lvl w:ilvl="0" w:tplc="B898458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C7A60F5"/>
    <w:multiLevelType w:val="hybridMultilevel"/>
    <w:tmpl w:val="261EB60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8"/>
  </w:num>
  <w:num w:numId="5">
    <w:abstractNumId w:val="7"/>
  </w:num>
  <w:num w:numId="6">
    <w:abstractNumId w:val="2"/>
  </w:num>
  <w:num w:numId="7">
    <w:abstractNumId w:val="3"/>
  </w:num>
  <w:num w:numId="8">
    <w:abstractNumId w:val="9"/>
  </w:num>
  <w:num w:numId="9">
    <w:abstractNumId w:val="4"/>
  </w:num>
  <w:num w:numId="1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F61"/>
    <w:rsid w:val="00003627"/>
    <w:rsid w:val="00003BE6"/>
    <w:rsid w:val="000366EA"/>
    <w:rsid w:val="0004361E"/>
    <w:rsid w:val="00043CAA"/>
    <w:rsid w:val="00045F9F"/>
    <w:rsid w:val="00052D3F"/>
    <w:rsid w:val="00075432"/>
    <w:rsid w:val="00092EEA"/>
    <w:rsid w:val="00094EE8"/>
    <w:rsid w:val="000968ED"/>
    <w:rsid w:val="000A0DE2"/>
    <w:rsid w:val="000A7840"/>
    <w:rsid w:val="000C51E3"/>
    <w:rsid w:val="000D23C2"/>
    <w:rsid w:val="000E2879"/>
    <w:rsid w:val="000F45DD"/>
    <w:rsid w:val="000F5E56"/>
    <w:rsid w:val="001000E6"/>
    <w:rsid w:val="00117F8A"/>
    <w:rsid w:val="00122517"/>
    <w:rsid w:val="001320D5"/>
    <w:rsid w:val="001362EE"/>
    <w:rsid w:val="001755E3"/>
    <w:rsid w:val="001832A6"/>
    <w:rsid w:val="00191A29"/>
    <w:rsid w:val="0019236A"/>
    <w:rsid w:val="001C5579"/>
    <w:rsid w:val="00226EEE"/>
    <w:rsid w:val="002634C4"/>
    <w:rsid w:val="0027556F"/>
    <w:rsid w:val="00275C5C"/>
    <w:rsid w:val="00282572"/>
    <w:rsid w:val="00283E6B"/>
    <w:rsid w:val="002928D3"/>
    <w:rsid w:val="002B2297"/>
    <w:rsid w:val="002C263F"/>
    <w:rsid w:val="002C2C9C"/>
    <w:rsid w:val="002D236D"/>
    <w:rsid w:val="002E2787"/>
    <w:rsid w:val="002E2F01"/>
    <w:rsid w:val="002E591E"/>
    <w:rsid w:val="002F1FE6"/>
    <w:rsid w:val="002F2E47"/>
    <w:rsid w:val="002F4E68"/>
    <w:rsid w:val="002F772F"/>
    <w:rsid w:val="00304E10"/>
    <w:rsid w:val="003106AA"/>
    <w:rsid w:val="00312F7F"/>
    <w:rsid w:val="00314764"/>
    <w:rsid w:val="00314DFF"/>
    <w:rsid w:val="00322772"/>
    <w:rsid w:val="00324388"/>
    <w:rsid w:val="00324E38"/>
    <w:rsid w:val="00331BEE"/>
    <w:rsid w:val="00353310"/>
    <w:rsid w:val="0035396C"/>
    <w:rsid w:val="00354EC2"/>
    <w:rsid w:val="00360E3D"/>
    <w:rsid w:val="00361450"/>
    <w:rsid w:val="003673CF"/>
    <w:rsid w:val="003769D7"/>
    <w:rsid w:val="003845C1"/>
    <w:rsid w:val="00394C94"/>
    <w:rsid w:val="003A6F89"/>
    <w:rsid w:val="003B0B71"/>
    <w:rsid w:val="003B38C1"/>
    <w:rsid w:val="003C06C1"/>
    <w:rsid w:val="003C3E71"/>
    <w:rsid w:val="003C5725"/>
    <w:rsid w:val="003D606B"/>
    <w:rsid w:val="003D6138"/>
    <w:rsid w:val="003D67A2"/>
    <w:rsid w:val="003D79D9"/>
    <w:rsid w:val="003F5B3E"/>
    <w:rsid w:val="00410A3B"/>
    <w:rsid w:val="00412717"/>
    <w:rsid w:val="00420DE1"/>
    <w:rsid w:val="00423E3E"/>
    <w:rsid w:val="00427AF4"/>
    <w:rsid w:val="00433582"/>
    <w:rsid w:val="004345D5"/>
    <w:rsid w:val="00441BF3"/>
    <w:rsid w:val="00457C76"/>
    <w:rsid w:val="004647DA"/>
    <w:rsid w:val="00474062"/>
    <w:rsid w:val="00477D6B"/>
    <w:rsid w:val="00492127"/>
    <w:rsid w:val="0049620F"/>
    <w:rsid w:val="004D1FF3"/>
    <w:rsid w:val="004E3036"/>
    <w:rsid w:val="004E6B66"/>
    <w:rsid w:val="005019FF"/>
    <w:rsid w:val="00520C62"/>
    <w:rsid w:val="00526F4B"/>
    <w:rsid w:val="0053057A"/>
    <w:rsid w:val="00530E4E"/>
    <w:rsid w:val="005318E2"/>
    <w:rsid w:val="0053407C"/>
    <w:rsid w:val="00543C2F"/>
    <w:rsid w:val="00550AEE"/>
    <w:rsid w:val="00552572"/>
    <w:rsid w:val="00560A29"/>
    <w:rsid w:val="005B2639"/>
    <w:rsid w:val="005B2C59"/>
    <w:rsid w:val="005C6649"/>
    <w:rsid w:val="005D54C3"/>
    <w:rsid w:val="005D65B9"/>
    <w:rsid w:val="005F33A1"/>
    <w:rsid w:val="00605827"/>
    <w:rsid w:val="006155D1"/>
    <w:rsid w:val="006258FC"/>
    <w:rsid w:val="0064332F"/>
    <w:rsid w:val="00646050"/>
    <w:rsid w:val="006524CF"/>
    <w:rsid w:val="00663023"/>
    <w:rsid w:val="006713CA"/>
    <w:rsid w:val="00675CFC"/>
    <w:rsid w:val="00676644"/>
    <w:rsid w:val="00676C5C"/>
    <w:rsid w:val="006C56AB"/>
    <w:rsid w:val="006E407E"/>
    <w:rsid w:val="006F16D0"/>
    <w:rsid w:val="0070070D"/>
    <w:rsid w:val="00712679"/>
    <w:rsid w:val="007127C2"/>
    <w:rsid w:val="007315FF"/>
    <w:rsid w:val="007341D0"/>
    <w:rsid w:val="00736EF3"/>
    <w:rsid w:val="007423A2"/>
    <w:rsid w:val="0075338C"/>
    <w:rsid w:val="00764174"/>
    <w:rsid w:val="007878BF"/>
    <w:rsid w:val="00790748"/>
    <w:rsid w:val="007A48BB"/>
    <w:rsid w:val="007B19B7"/>
    <w:rsid w:val="007B5F9A"/>
    <w:rsid w:val="007C6BFC"/>
    <w:rsid w:val="007D1613"/>
    <w:rsid w:val="00827F61"/>
    <w:rsid w:val="008550B5"/>
    <w:rsid w:val="00867249"/>
    <w:rsid w:val="0089640E"/>
    <w:rsid w:val="008B2CC1"/>
    <w:rsid w:val="008B60B2"/>
    <w:rsid w:val="008D0634"/>
    <w:rsid w:val="008F34EA"/>
    <w:rsid w:val="0090731E"/>
    <w:rsid w:val="00916EE2"/>
    <w:rsid w:val="00937ACE"/>
    <w:rsid w:val="00937B99"/>
    <w:rsid w:val="00950414"/>
    <w:rsid w:val="00952DBB"/>
    <w:rsid w:val="0096181D"/>
    <w:rsid w:val="00966A22"/>
    <w:rsid w:val="0096722F"/>
    <w:rsid w:val="00977BB9"/>
    <w:rsid w:val="00980843"/>
    <w:rsid w:val="0098507A"/>
    <w:rsid w:val="0099343F"/>
    <w:rsid w:val="009A5468"/>
    <w:rsid w:val="009B749B"/>
    <w:rsid w:val="009D2738"/>
    <w:rsid w:val="009E2791"/>
    <w:rsid w:val="009E3F6F"/>
    <w:rsid w:val="009F499F"/>
    <w:rsid w:val="009F6187"/>
    <w:rsid w:val="009F6D44"/>
    <w:rsid w:val="009F7616"/>
    <w:rsid w:val="00A00234"/>
    <w:rsid w:val="00A12CD0"/>
    <w:rsid w:val="00A14814"/>
    <w:rsid w:val="00A42DAF"/>
    <w:rsid w:val="00A45BD8"/>
    <w:rsid w:val="00A5124A"/>
    <w:rsid w:val="00A61F0D"/>
    <w:rsid w:val="00A869B7"/>
    <w:rsid w:val="00A87E0B"/>
    <w:rsid w:val="00AC0C8D"/>
    <w:rsid w:val="00AC205C"/>
    <w:rsid w:val="00AC230E"/>
    <w:rsid w:val="00AC3336"/>
    <w:rsid w:val="00AD1DB6"/>
    <w:rsid w:val="00AE61A1"/>
    <w:rsid w:val="00AE7216"/>
    <w:rsid w:val="00AF0A6B"/>
    <w:rsid w:val="00AF6EF2"/>
    <w:rsid w:val="00B05A69"/>
    <w:rsid w:val="00B07E1E"/>
    <w:rsid w:val="00B134DA"/>
    <w:rsid w:val="00B15B66"/>
    <w:rsid w:val="00B2489D"/>
    <w:rsid w:val="00B27781"/>
    <w:rsid w:val="00B33173"/>
    <w:rsid w:val="00B36CB7"/>
    <w:rsid w:val="00B55DE0"/>
    <w:rsid w:val="00B57FA2"/>
    <w:rsid w:val="00B9734B"/>
    <w:rsid w:val="00BA0CE1"/>
    <w:rsid w:val="00BB231F"/>
    <w:rsid w:val="00BB3B69"/>
    <w:rsid w:val="00BB4B28"/>
    <w:rsid w:val="00BC40C6"/>
    <w:rsid w:val="00BF3E47"/>
    <w:rsid w:val="00C11BFE"/>
    <w:rsid w:val="00C13343"/>
    <w:rsid w:val="00C16C4E"/>
    <w:rsid w:val="00C17A92"/>
    <w:rsid w:val="00C17E16"/>
    <w:rsid w:val="00C41ED5"/>
    <w:rsid w:val="00C43C38"/>
    <w:rsid w:val="00C45A59"/>
    <w:rsid w:val="00C55F0F"/>
    <w:rsid w:val="00C62638"/>
    <w:rsid w:val="00C70B0A"/>
    <w:rsid w:val="00C70EE3"/>
    <w:rsid w:val="00C719B6"/>
    <w:rsid w:val="00C71CA2"/>
    <w:rsid w:val="00C7433A"/>
    <w:rsid w:val="00C755D1"/>
    <w:rsid w:val="00C9356A"/>
    <w:rsid w:val="00CB50DD"/>
    <w:rsid w:val="00CB6639"/>
    <w:rsid w:val="00CC054D"/>
    <w:rsid w:val="00CE482F"/>
    <w:rsid w:val="00CF4D29"/>
    <w:rsid w:val="00CF4EEB"/>
    <w:rsid w:val="00D152C5"/>
    <w:rsid w:val="00D272AC"/>
    <w:rsid w:val="00D32D41"/>
    <w:rsid w:val="00D43440"/>
    <w:rsid w:val="00D44C50"/>
    <w:rsid w:val="00D45252"/>
    <w:rsid w:val="00D47363"/>
    <w:rsid w:val="00D602A1"/>
    <w:rsid w:val="00D71B4D"/>
    <w:rsid w:val="00D83368"/>
    <w:rsid w:val="00D844B3"/>
    <w:rsid w:val="00D93D55"/>
    <w:rsid w:val="00D93D7E"/>
    <w:rsid w:val="00DB09F3"/>
    <w:rsid w:val="00DE005B"/>
    <w:rsid w:val="00E335FE"/>
    <w:rsid w:val="00E45FD6"/>
    <w:rsid w:val="00E60C64"/>
    <w:rsid w:val="00E84B25"/>
    <w:rsid w:val="00EB7312"/>
    <w:rsid w:val="00EC4937"/>
    <w:rsid w:val="00EC4E49"/>
    <w:rsid w:val="00ED77FB"/>
    <w:rsid w:val="00EE0566"/>
    <w:rsid w:val="00EE45FA"/>
    <w:rsid w:val="00EE7CD8"/>
    <w:rsid w:val="00EF736E"/>
    <w:rsid w:val="00F0123F"/>
    <w:rsid w:val="00F0322A"/>
    <w:rsid w:val="00F0466A"/>
    <w:rsid w:val="00F53802"/>
    <w:rsid w:val="00F54B81"/>
    <w:rsid w:val="00F66152"/>
    <w:rsid w:val="00F83BAB"/>
    <w:rsid w:val="00F91646"/>
    <w:rsid w:val="00FB27BC"/>
    <w:rsid w:val="00FC2BB7"/>
    <w:rsid w:val="00FC60DF"/>
    <w:rsid w:val="00FD625B"/>
    <w:rsid w:val="00FF3A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1755E3"/>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aliases w:val="Footnote"/>
    <w:basedOn w:val="Normal"/>
    <w:link w:val="FootnoteTextChar"/>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827F61"/>
    <w:rPr>
      <w:rFonts w:ascii="Tahoma" w:hAnsi="Tahoma" w:cs="Tahoma"/>
      <w:sz w:val="16"/>
      <w:szCs w:val="16"/>
    </w:rPr>
  </w:style>
  <w:style w:type="character" w:customStyle="1" w:styleId="BalloonTextChar">
    <w:name w:val="Balloon Text Char"/>
    <w:basedOn w:val="DefaultParagraphFont"/>
    <w:link w:val="BalloonText"/>
    <w:rsid w:val="00827F61"/>
    <w:rPr>
      <w:rFonts w:ascii="Tahoma" w:eastAsia="SimSun" w:hAnsi="Tahoma" w:cs="Tahoma"/>
      <w:sz w:val="16"/>
      <w:szCs w:val="16"/>
      <w:lang w:eastAsia="zh-CN"/>
    </w:rPr>
  </w:style>
  <w:style w:type="character" w:customStyle="1" w:styleId="Endofdocument-AnnexChar">
    <w:name w:val="[End of document - Annex] Char"/>
    <w:link w:val="Endofdocument-Annex"/>
    <w:rsid w:val="00827F61"/>
    <w:rPr>
      <w:rFonts w:ascii="Arial" w:eastAsia="SimSun" w:hAnsi="Arial" w:cs="Arial"/>
      <w:sz w:val="22"/>
      <w:lang w:eastAsia="zh-CN"/>
    </w:rPr>
  </w:style>
  <w:style w:type="character" w:customStyle="1" w:styleId="FootnoteTextChar">
    <w:name w:val="Footnote Text Char"/>
    <w:aliases w:val="Footnote Char"/>
    <w:link w:val="FootnoteText"/>
    <w:locked/>
    <w:rsid w:val="000D23C2"/>
    <w:rPr>
      <w:rFonts w:ascii="Arial" w:eastAsia="SimSun" w:hAnsi="Arial" w:cs="Arial"/>
      <w:sz w:val="18"/>
      <w:lang w:eastAsia="zh-CN"/>
    </w:rPr>
  </w:style>
  <w:style w:type="character" w:customStyle="1" w:styleId="HeaderChar">
    <w:name w:val="Header Char"/>
    <w:link w:val="Header"/>
    <w:semiHidden/>
    <w:locked/>
    <w:rsid w:val="000D23C2"/>
    <w:rPr>
      <w:rFonts w:ascii="Arial" w:eastAsia="SimSun" w:hAnsi="Arial" w:cs="Arial"/>
      <w:sz w:val="22"/>
      <w:lang w:eastAsia="zh-CN"/>
    </w:rPr>
  </w:style>
  <w:style w:type="paragraph" w:styleId="TOC3">
    <w:name w:val="toc 3"/>
    <w:basedOn w:val="Normal"/>
    <w:next w:val="Normal"/>
    <w:autoRedefine/>
    <w:uiPriority w:val="39"/>
    <w:rsid w:val="000D23C2"/>
    <w:pPr>
      <w:tabs>
        <w:tab w:val="left" w:pos="851"/>
        <w:tab w:val="right" w:leader="dot" w:pos="9345"/>
      </w:tabs>
      <w:ind w:left="440"/>
    </w:pPr>
  </w:style>
  <w:style w:type="paragraph" w:styleId="TOC1">
    <w:name w:val="toc 1"/>
    <w:basedOn w:val="Normal"/>
    <w:next w:val="Normal"/>
    <w:autoRedefine/>
    <w:uiPriority w:val="39"/>
    <w:rsid w:val="000D23C2"/>
    <w:pPr>
      <w:spacing w:before="120" w:after="120"/>
    </w:pPr>
    <w:rPr>
      <w:rFonts w:ascii="arial bold" w:hAnsi="arial bold"/>
      <w:b/>
      <w:caps/>
    </w:rPr>
  </w:style>
  <w:style w:type="paragraph" w:styleId="TOC2">
    <w:name w:val="toc 2"/>
    <w:basedOn w:val="Normal"/>
    <w:next w:val="Normal"/>
    <w:autoRedefine/>
    <w:uiPriority w:val="39"/>
    <w:rsid w:val="000D23C2"/>
    <w:pPr>
      <w:spacing w:before="120" w:after="120"/>
      <w:ind w:left="221"/>
    </w:pPr>
    <w:rPr>
      <w:caps/>
    </w:rPr>
  </w:style>
  <w:style w:type="character" w:styleId="FootnoteReference">
    <w:name w:val="footnote reference"/>
    <w:rsid w:val="000D23C2"/>
    <w:rPr>
      <w:rFonts w:cs="Times New Roman"/>
      <w:vertAlign w:val="superscript"/>
    </w:rPr>
  </w:style>
  <w:style w:type="character" w:styleId="Hyperlink">
    <w:name w:val="Hyperlink"/>
    <w:uiPriority w:val="99"/>
    <w:rsid w:val="000D23C2"/>
    <w:rPr>
      <w:color w:val="0000FF"/>
      <w:u w:val="single"/>
    </w:rPr>
  </w:style>
  <w:style w:type="paragraph" w:styleId="BodyText3">
    <w:name w:val="Body Text 3"/>
    <w:basedOn w:val="Normal"/>
    <w:link w:val="BodyText3Char"/>
    <w:rsid w:val="000D23C2"/>
    <w:pPr>
      <w:spacing w:after="120" w:line="260" w:lineRule="atLeast"/>
      <w:ind w:left="1021"/>
    </w:pPr>
    <w:rPr>
      <w:rFonts w:eastAsia="Times New Roman" w:cs="Times New Roman"/>
      <w:sz w:val="16"/>
      <w:szCs w:val="16"/>
      <w:lang w:val="x-none" w:eastAsia="x-none"/>
    </w:rPr>
  </w:style>
  <w:style w:type="character" w:customStyle="1" w:styleId="BodyText3Char">
    <w:name w:val="Body Text 3 Char"/>
    <w:basedOn w:val="DefaultParagraphFont"/>
    <w:link w:val="BodyText3"/>
    <w:rsid w:val="000D23C2"/>
    <w:rPr>
      <w:rFonts w:ascii="Arial" w:hAnsi="Arial"/>
      <w:sz w:val="16"/>
      <w:szCs w:val="16"/>
      <w:lang w:val="x-none" w:eastAsia="x-none"/>
    </w:rPr>
  </w:style>
  <w:style w:type="paragraph" w:customStyle="1" w:styleId="MediumGrid1-Accent21">
    <w:name w:val="Medium Grid 1 - Accent 21"/>
    <w:basedOn w:val="Normal"/>
    <w:uiPriority w:val="34"/>
    <w:qFormat/>
    <w:rsid w:val="000D23C2"/>
    <w:pPr>
      <w:spacing w:after="200" w:line="276" w:lineRule="auto"/>
      <w:ind w:left="720"/>
      <w:contextualSpacing/>
    </w:pPr>
    <w:rPr>
      <w:rFonts w:ascii="Times New Roman" w:eastAsia="Calibri" w:hAnsi="Times New Roman" w:cs="Times New Roman"/>
      <w:sz w:val="28"/>
      <w:szCs w:val="22"/>
      <w:lang w:eastAsia="en-US"/>
    </w:rPr>
  </w:style>
  <w:style w:type="character" w:styleId="CommentReference">
    <w:name w:val="annotation reference"/>
    <w:rsid w:val="000D23C2"/>
    <w:rPr>
      <w:sz w:val="18"/>
      <w:szCs w:val="18"/>
    </w:rPr>
  </w:style>
  <w:style w:type="paragraph" w:styleId="CommentSubject">
    <w:name w:val="annotation subject"/>
    <w:basedOn w:val="CommentText"/>
    <w:next w:val="CommentText"/>
    <w:link w:val="CommentSubjectChar"/>
    <w:rsid w:val="000D23C2"/>
    <w:rPr>
      <w:rFonts w:cs="Times New Roman"/>
      <w:b/>
      <w:bCs/>
      <w:lang w:val="x-none"/>
    </w:rPr>
  </w:style>
  <w:style w:type="character" w:customStyle="1" w:styleId="CommentTextChar">
    <w:name w:val="Comment Text Char"/>
    <w:basedOn w:val="DefaultParagraphFont"/>
    <w:link w:val="CommentText"/>
    <w:semiHidden/>
    <w:rsid w:val="000D23C2"/>
    <w:rPr>
      <w:rFonts w:ascii="Arial" w:eastAsia="SimSun" w:hAnsi="Arial" w:cs="Arial"/>
      <w:sz w:val="18"/>
      <w:lang w:eastAsia="zh-CN"/>
    </w:rPr>
  </w:style>
  <w:style w:type="character" w:customStyle="1" w:styleId="CommentSubjectChar">
    <w:name w:val="Comment Subject Char"/>
    <w:basedOn w:val="CommentTextChar"/>
    <w:link w:val="CommentSubject"/>
    <w:rsid w:val="000D23C2"/>
    <w:rPr>
      <w:rFonts w:ascii="Arial" w:eastAsia="SimSun" w:hAnsi="Arial" w:cs="Arial"/>
      <w:b/>
      <w:bCs/>
      <w:sz w:val="18"/>
      <w:lang w:val="x-none" w:eastAsia="zh-CN"/>
    </w:rPr>
  </w:style>
  <w:style w:type="table" w:styleId="TableGrid">
    <w:name w:val="Table Grid"/>
    <w:basedOn w:val="TableNormal"/>
    <w:uiPriority w:val="59"/>
    <w:rsid w:val="000D23C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0D23C2"/>
    <w:rPr>
      <w:rFonts w:ascii="Arial" w:eastAsia="SimSun" w:hAnsi="Arial" w:cs="Arial"/>
      <w:b/>
      <w:bCs/>
      <w:caps/>
      <w:kern w:val="32"/>
      <w:sz w:val="22"/>
      <w:szCs w:val="32"/>
      <w:lang w:eastAsia="zh-CN"/>
    </w:rPr>
  </w:style>
  <w:style w:type="character" w:customStyle="1" w:styleId="Heading3Char">
    <w:name w:val="Heading 3 Char"/>
    <w:link w:val="Heading3"/>
    <w:rsid w:val="000D23C2"/>
    <w:rPr>
      <w:rFonts w:ascii="Arial" w:eastAsia="SimSun" w:hAnsi="Arial" w:cs="Arial"/>
      <w:bCs/>
      <w:sz w:val="22"/>
      <w:szCs w:val="26"/>
      <w:u w:val="single"/>
      <w:lang w:eastAsia="zh-CN"/>
    </w:rPr>
  </w:style>
  <w:style w:type="paragraph" w:styleId="Revision">
    <w:name w:val="Revision"/>
    <w:hidden/>
    <w:uiPriority w:val="99"/>
    <w:semiHidden/>
    <w:rsid w:val="000D23C2"/>
    <w:rPr>
      <w:rFonts w:ascii="Arial" w:eastAsia="SimSun" w:hAnsi="Arial" w:cs="Arial"/>
      <w:sz w:val="22"/>
      <w:lang w:eastAsia="zh-CN"/>
    </w:rPr>
  </w:style>
  <w:style w:type="paragraph" w:styleId="NormalWeb">
    <w:name w:val="Normal (Web)"/>
    <w:basedOn w:val="Normal"/>
    <w:uiPriority w:val="99"/>
    <w:rsid w:val="000D23C2"/>
    <w:rPr>
      <w:rFonts w:ascii="Times New Roman" w:hAnsi="Times New Roman" w:cs="Times New Roman"/>
      <w:sz w:val="24"/>
      <w:szCs w:val="24"/>
    </w:rPr>
  </w:style>
  <w:style w:type="character" w:customStyle="1" w:styleId="Heading5Char">
    <w:name w:val="Heading 5 Char"/>
    <w:basedOn w:val="DefaultParagraphFont"/>
    <w:link w:val="Heading5"/>
    <w:semiHidden/>
    <w:rsid w:val="001755E3"/>
    <w:rPr>
      <w:rFonts w:asciiTheme="majorHAnsi" w:eastAsiaTheme="majorEastAsia" w:hAnsiTheme="majorHAnsi" w:cstheme="majorBidi"/>
      <w:color w:val="243F60" w:themeColor="accent1" w:themeShade="7F"/>
      <w:sz w:val="22"/>
      <w:lang w:eastAsia="zh-CN"/>
    </w:rPr>
  </w:style>
  <w:style w:type="paragraph" w:styleId="ListParagraph">
    <w:name w:val="List Paragraph"/>
    <w:basedOn w:val="Normal"/>
    <w:uiPriority w:val="34"/>
    <w:qFormat/>
    <w:rsid w:val="0053407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1755E3"/>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aliases w:val="Footnote"/>
    <w:basedOn w:val="Normal"/>
    <w:link w:val="FootnoteTextChar"/>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827F61"/>
    <w:rPr>
      <w:rFonts w:ascii="Tahoma" w:hAnsi="Tahoma" w:cs="Tahoma"/>
      <w:sz w:val="16"/>
      <w:szCs w:val="16"/>
    </w:rPr>
  </w:style>
  <w:style w:type="character" w:customStyle="1" w:styleId="BalloonTextChar">
    <w:name w:val="Balloon Text Char"/>
    <w:basedOn w:val="DefaultParagraphFont"/>
    <w:link w:val="BalloonText"/>
    <w:rsid w:val="00827F61"/>
    <w:rPr>
      <w:rFonts w:ascii="Tahoma" w:eastAsia="SimSun" w:hAnsi="Tahoma" w:cs="Tahoma"/>
      <w:sz w:val="16"/>
      <w:szCs w:val="16"/>
      <w:lang w:eastAsia="zh-CN"/>
    </w:rPr>
  </w:style>
  <w:style w:type="character" w:customStyle="1" w:styleId="Endofdocument-AnnexChar">
    <w:name w:val="[End of document - Annex] Char"/>
    <w:link w:val="Endofdocument-Annex"/>
    <w:rsid w:val="00827F61"/>
    <w:rPr>
      <w:rFonts w:ascii="Arial" w:eastAsia="SimSun" w:hAnsi="Arial" w:cs="Arial"/>
      <w:sz w:val="22"/>
      <w:lang w:eastAsia="zh-CN"/>
    </w:rPr>
  </w:style>
  <w:style w:type="character" w:customStyle="1" w:styleId="FootnoteTextChar">
    <w:name w:val="Footnote Text Char"/>
    <w:aliases w:val="Footnote Char"/>
    <w:link w:val="FootnoteText"/>
    <w:locked/>
    <w:rsid w:val="000D23C2"/>
    <w:rPr>
      <w:rFonts w:ascii="Arial" w:eastAsia="SimSun" w:hAnsi="Arial" w:cs="Arial"/>
      <w:sz w:val="18"/>
      <w:lang w:eastAsia="zh-CN"/>
    </w:rPr>
  </w:style>
  <w:style w:type="character" w:customStyle="1" w:styleId="HeaderChar">
    <w:name w:val="Header Char"/>
    <w:link w:val="Header"/>
    <w:semiHidden/>
    <w:locked/>
    <w:rsid w:val="000D23C2"/>
    <w:rPr>
      <w:rFonts w:ascii="Arial" w:eastAsia="SimSun" w:hAnsi="Arial" w:cs="Arial"/>
      <w:sz w:val="22"/>
      <w:lang w:eastAsia="zh-CN"/>
    </w:rPr>
  </w:style>
  <w:style w:type="paragraph" w:styleId="TOC3">
    <w:name w:val="toc 3"/>
    <w:basedOn w:val="Normal"/>
    <w:next w:val="Normal"/>
    <w:autoRedefine/>
    <w:uiPriority w:val="39"/>
    <w:rsid w:val="000D23C2"/>
    <w:pPr>
      <w:tabs>
        <w:tab w:val="left" w:pos="851"/>
        <w:tab w:val="right" w:leader="dot" w:pos="9345"/>
      </w:tabs>
      <w:ind w:left="440"/>
    </w:pPr>
  </w:style>
  <w:style w:type="paragraph" w:styleId="TOC1">
    <w:name w:val="toc 1"/>
    <w:basedOn w:val="Normal"/>
    <w:next w:val="Normal"/>
    <w:autoRedefine/>
    <w:uiPriority w:val="39"/>
    <w:rsid w:val="000D23C2"/>
    <w:pPr>
      <w:spacing w:before="120" w:after="120"/>
    </w:pPr>
    <w:rPr>
      <w:rFonts w:ascii="arial bold" w:hAnsi="arial bold"/>
      <w:b/>
      <w:caps/>
    </w:rPr>
  </w:style>
  <w:style w:type="paragraph" w:styleId="TOC2">
    <w:name w:val="toc 2"/>
    <w:basedOn w:val="Normal"/>
    <w:next w:val="Normal"/>
    <w:autoRedefine/>
    <w:uiPriority w:val="39"/>
    <w:rsid w:val="000D23C2"/>
    <w:pPr>
      <w:spacing w:before="120" w:after="120"/>
      <w:ind w:left="221"/>
    </w:pPr>
    <w:rPr>
      <w:caps/>
    </w:rPr>
  </w:style>
  <w:style w:type="character" w:styleId="FootnoteReference">
    <w:name w:val="footnote reference"/>
    <w:rsid w:val="000D23C2"/>
    <w:rPr>
      <w:rFonts w:cs="Times New Roman"/>
      <w:vertAlign w:val="superscript"/>
    </w:rPr>
  </w:style>
  <w:style w:type="character" w:styleId="Hyperlink">
    <w:name w:val="Hyperlink"/>
    <w:uiPriority w:val="99"/>
    <w:rsid w:val="000D23C2"/>
    <w:rPr>
      <w:color w:val="0000FF"/>
      <w:u w:val="single"/>
    </w:rPr>
  </w:style>
  <w:style w:type="paragraph" w:styleId="BodyText3">
    <w:name w:val="Body Text 3"/>
    <w:basedOn w:val="Normal"/>
    <w:link w:val="BodyText3Char"/>
    <w:rsid w:val="000D23C2"/>
    <w:pPr>
      <w:spacing w:after="120" w:line="260" w:lineRule="atLeast"/>
      <w:ind w:left="1021"/>
    </w:pPr>
    <w:rPr>
      <w:rFonts w:eastAsia="Times New Roman" w:cs="Times New Roman"/>
      <w:sz w:val="16"/>
      <w:szCs w:val="16"/>
      <w:lang w:val="x-none" w:eastAsia="x-none"/>
    </w:rPr>
  </w:style>
  <w:style w:type="character" w:customStyle="1" w:styleId="BodyText3Char">
    <w:name w:val="Body Text 3 Char"/>
    <w:basedOn w:val="DefaultParagraphFont"/>
    <w:link w:val="BodyText3"/>
    <w:rsid w:val="000D23C2"/>
    <w:rPr>
      <w:rFonts w:ascii="Arial" w:hAnsi="Arial"/>
      <w:sz w:val="16"/>
      <w:szCs w:val="16"/>
      <w:lang w:val="x-none" w:eastAsia="x-none"/>
    </w:rPr>
  </w:style>
  <w:style w:type="paragraph" w:customStyle="1" w:styleId="MediumGrid1-Accent21">
    <w:name w:val="Medium Grid 1 - Accent 21"/>
    <w:basedOn w:val="Normal"/>
    <w:uiPriority w:val="34"/>
    <w:qFormat/>
    <w:rsid w:val="000D23C2"/>
    <w:pPr>
      <w:spacing w:after="200" w:line="276" w:lineRule="auto"/>
      <w:ind w:left="720"/>
      <w:contextualSpacing/>
    </w:pPr>
    <w:rPr>
      <w:rFonts w:ascii="Times New Roman" w:eastAsia="Calibri" w:hAnsi="Times New Roman" w:cs="Times New Roman"/>
      <w:sz w:val="28"/>
      <w:szCs w:val="22"/>
      <w:lang w:eastAsia="en-US"/>
    </w:rPr>
  </w:style>
  <w:style w:type="character" w:styleId="CommentReference">
    <w:name w:val="annotation reference"/>
    <w:rsid w:val="000D23C2"/>
    <w:rPr>
      <w:sz w:val="18"/>
      <w:szCs w:val="18"/>
    </w:rPr>
  </w:style>
  <w:style w:type="paragraph" w:styleId="CommentSubject">
    <w:name w:val="annotation subject"/>
    <w:basedOn w:val="CommentText"/>
    <w:next w:val="CommentText"/>
    <w:link w:val="CommentSubjectChar"/>
    <w:rsid w:val="000D23C2"/>
    <w:rPr>
      <w:rFonts w:cs="Times New Roman"/>
      <w:b/>
      <w:bCs/>
      <w:lang w:val="x-none"/>
    </w:rPr>
  </w:style>
  <w:style w:type="character" w:customStyle="1" w:styleId="CommentTextChar">
    <w:name w:val="Comment Text Char"/>
    <w:basedOn w:val="DefaultParagraphFont"/>
    <w:link w:val="CommentText"/>
    <w:semiHidden/>
    <w:rsid w:val="000D23C2"/>
    <w:rPr>
      <w:rFonts w:ascii="Arial" w:eastAsia="SimSun" w:hAnsi="Arial" w:cs="Arial"/>
      <w:sz w:val="18"/>
      <w:lang w:eastAsia="zh-CN"/>
    </w:rPr>
  </w:style>
  <w:style w:type="character" w:customStyle="1" w:styleId="CommentSubjectChar">
    <w:name w:val="Comment Subject Char"/>
    <w:basedOn w:val="CommentTextChar"/>
    <w:link w:val="CommentSubject"/>
    <w:rsid w:val="000D23C2"/>
    <w:rPr>
      <w:rFonts w:ascii="Arial" w:eastAsia="SimSun" w:hAnsi="Arial" w:cs="Arial"/>
      <w:b/>
      <w:bCs/>
      <w:sz w:val="18"/>
      <w:lang w:val="x-none" w:eastAsia="zh-CN"/>
    </w:rPr>
  </w:style>
  <w:style w:type="table" w:styleId="TableGrid">
    <w:name w:val="Table Grid"/>
    <w:basedOn w:val="TableNormal"/>
    <w:uiPriority w:val="59"/>
    <w:rsid w:val="000D23C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0D23C2"/>
    <w:rPr>
      <w:rFonts w:ascii="Arial" w:eastAsia="SimSun" w:hAnsi="Arial" w:cs="Arial"/>
      <w:b/>
      <w:bCs/>
      <w:caps/>
      <w:kern w:val="32"/>
      <w:sz w:val="22"/>
      <w:szCs w:val="32"/>
      <w:lang w:eastAsia="zh-CN"/>
    </w:rPr>
  </w:style>
  <w:style w:type="character" w:customStyle="1" w:styleId="Heading3Char">
    <w:name w:val="Heading 3 Char"/>
    <w:link w:val="Heading3"/>
    <w:rsid w:val="000D23C2"/>
    <w:rPr>
      <w:rFonts w:ascii="Arial" w:eastAsia="SimSun" w:hAnsi="Arial" w:cs="Arial"/>
      <w:bCs/>
      <w:sz w:val="22"/>
      <w:szCs w:val="26"/>
      <w:u w:val="single"/>
      <w:lang w:eastAsia="zh-CN"/>
    </w:rPr>
  </w:style>
  <w:style w:type="paragraph" w:styleId="Revision">
    <w:name w:val="Revision"/>
    <w:hidden/>
    <w:uiPriority w:val="99"/>
    <w:semiHidden/>
    <w:rsid w:val="000D23C2"/>
    <w:rPr>
      <w:rFonts w:ascii="Arial" w:eastAsia="SimSun" w:hAnsi="Arial" w:cs="Arial"/>
      <w:sz w:val="22"/>
      <w:lang w:eastAsia="zh-CN"/>
    </w:rPr>
  </w:style>
  <w:style w:type="paragraph" w:styleId="NormalWeb">
    <w:name w:val="Normal (Web)"/>
    <w:basedOn w:val="Normal"/>
    <w:uiPriority w:val="99"/>
    <w:rsid w:val="000D23C2"/>
    <w:rPr>
      <w:rFonts w:ascii="Times New Roman" w:hAnsi="Times New Roman" w:cs="Times New Roman"/>
      <w:sz w:val="24"/>
      <w:szCs w:val="24"/>
    </w:rPr>
  </w:style>
  <w:style w:type="character" w:customStyle="1" w:styleId="Heading5Char">
    <w:name w:val="Heading 5 Char"/>
    <w:basedOn w:val="DefaultParagraphFont"/>
    <w:link w:val="Heading5"/>
    <w:semiHidden/>
    <w:rsid w:val="001755E3"/>
    <w:rPr>
      <w:rFonts w:asciiTheme="majorHAnsi" w:eastAsiaTheme="majorEastAsia" w:hAnsiTheme="majorHAnsi" w:cstheme="majorBidi"/>
      <w:color w:val="243F60" w:themeColor="accent1" w:themeShade="7F"/>
      <w:sz w:val="22"/>
      <w:lang w:eastAsia="zh-CN"/>
    </w:rPr>
  </w:style>
  <w:style w:type="paragraph" w:styleId="ListParagraph">
    <w:name w:val="List Paragraph"/>
    <w:basedOn w:val="Normal"/>
    <w:uiPriority w:val="34"/>
    <w:qFormat/>
    <w:rsid w:val="005340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29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ipo.int/ip-development/en/agenda/flexibilities/search.js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wipo.int/ip-development/en/agenda/flexibilitie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1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C5F95-8F15-425E-9C0F-58F13E273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16 (E).dotm</Template>
  <TotalTime>242</TotalTime>
  <Pages>4</Pages>
  <Words>934</Words>
  <Characters>5830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CDIP/16/</vt:lpstr>
    </vt:vector>
  </TitlesOfParts>
  <Company>WIPO</Company>
  <LinksUpToDate>false</LinksUpToDate>
  <CharactersWithSpaces>6751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CDIP/16/</dc:title>
  <dc:creator>BRACI Biljana</dc:creator>
  <cp:lastModifiedBy>SHOUSHA Sally</cp:lastModifiedBy>
  <cp:revision>37</cp:revision>
  <cp:lastPrinted>2015-09-07T12:47:00Z</cp:lastPrinted>
  <dcterms:created xsi:type="dcterms:W3CDTF">2015-08-27T09:55:00Z</dcterms:created>
  <dcterms:modified xsi:type="dcterms:W3CDTF">2015-09-07T12:53:00Z</dcterms:modified>
</cp:coreProperties>
</file>