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AC0C33" w:rsidRPr="00DF04A2" w:rsidTr="00513428">
        <w:tc>
          <w:tcPr>
            <w:tcW w:w="4513" w:type="dxa"/>
            <w:tcBorders>
              <w:bottom w:val="single" w:sz="4" w:space="0" w:color="auto"/>
            </w:tcBorders>
            <w:tcMar>
              <w:bottom w:w="170" w:type="dxa"/>
            </w:tcMar>
          </w:tcPr>
          <w:p w:rsidR="00AC0C33" w:rsidRPr="00DF04A2" w:rsidRDefault="00AC0C33" w:rsidP="00513428"/>
        </w:tc>
        <w:tc>
          <w:tcPr>
            <w:tcW w:w="4337" w:type="dxa"/>
            <w:tcBorders>
              <w:bottom w:val="single" w:sz="4" w:space="0" w:color="auto"/>
            </w:tcBorders>
            <w:tcMar>
              <w:left w:w="0" w:type="dxa"/>
              <w:right w:w="0" w:type="dxa"/>
            </w:tcMar>
          </w:tcPr>
          <w:p w:rsidR="00AC0C33" w:rsidRPr="00DF04A2" w:rsidRDefault="00AC0C33" w:rsidP="00513428">
            <w:r w:rsidRPr="00DF04A2">
              <w:rPr>
                <w:noProof/>
                <w:lang w:bidi="ar-SA"/>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AC0C33" w:rsidRPr="00DF04A2" w:rsidRDefault="00AC0C33" w:rsidP="00EA0810">
            <w:pPr>
              <w:jc w:val="right"/>
            </w:pPr>
            <w:r w:rsidRPr="00DF04A2">
              <w:rPr>
                <w:b/>
                <w:sz w:val="40"/>
                <w:szCs w:val="40"/>
              </w:rPr>
              <w:t>E</w:t>
            </w:r>
          </w:p>
        </w:tc>
      </w:tr>
      <w:tr w:rsidR="00AC0C33" w:rsidRPr="00DF04A2" w:rsidTr="00513428">
        <w:tc>
          <w:tcPr>
            <w:tcW w:w="9356" w:type="dxa"/>
            <w:gridSpan w:val="3"/>
            <w:tcBorders>
              <w:top w:val="single" w:sz="4" w:space="0" w:color="auto"/>
            </w:tcBorders>
            <w:tcMar>
              <w:top w:w="170" w:type="dxa"/>
              <w:left w:w="0" w:type="dxa"/>
              <w:right w:w="0" w:type="dxa"/>
            </w:tcMar>
            <w:vAlign w:val="bottom"/>
          </w:tcPr>
          <w:p w:rsidR="00AC0C33" w:rsidRPr="00DF04A2" w:rsidRDefault="00AC0C33" w:rsidP="003C6814">
            <w:pPr>
              <w:jc w:val="right"/>
              <w:rPr>
                <w:rFonts w:ascii="Arial Black" w:hAnsi="Arial Black"/>
                <w:caps/>
                <w:sz w:val="15"/>
              </w:rPr>
            </w:pPr>
            <w:r w:rsidRPr="00DF04A2">
              <w:rPr>
                <w:rFonts w:ascii="Arial Black" w:hAnsi="Arial Black"/>
                <w:caps/>
                <w:sz w:val="15"/>
              </w:rPr>
              <w:t>CDIP/1</w:t>
            </w:r>
            <w:r w:rsidR="00E22DC7">
              <w:rPr>
                <w:rFonts w:ascii="Arial Black" w:hAnsi="Arial Black"/>
                <w:caps/>
                <w:sz w:val="15"/>
              </w:rPr>
              <w:t>4</w:t>
            </w:r>
            <w:r w:rsidRPr="00DF04A2">
              <w:rPr>
                <w:rFonts w:ascii="Arial Black" w:hAnsi="Arial Black"/>
                <w:caps/>
                <w:sz w:val="15"/>
              </w:rPr>
              <w:t>/</w:t>
            </w:r>
            <w:bookmarkStart w:id="0" w:name="Code"/>
            <w:bookmarkEnd w:id="0"/>
            <w:r w:rsidRPr="00DF04A2">
              <w:rPr>
                <w:rFonts w:ascii="Arial Black" w:hAnsi="Arial Black"/>
                <w:caps/>
                <w:sz w:val="15"/>
              </w:rPr>
              <w:t>INF/</w:t>
            </w:r>
            <w:r w:rsidR="003C6814">
              <w:rPr>
                <w:rFonts w:ascii="Arial Black" w:hAnsi="Arial Black"/>
                <w:caps/>
                <w:sz w:val="15"/>
              </w:rPr>
              <w:t>4</w:t>
            </w:r>
            <w:r w:rsidRPr="00DF04A2">
              <w:rPr>
                <w:rFonts w:ascii="Arial Black" w:hAnsi="Arial Black"/>
                <w:caps/>
                <w:sz w:val="15"/>
              </w:rPr>
              <w:t xml:space="preserve">    </w:t>
            </w:r>
          </w:p>
        </w:tc>
      </w:tr>
      <w:tr w:rsidR="00AC0C33" w:rsidRPr="00DF04A2" w:rsidTr="00513428">
        <w:trPr>
          <w:trHeight w:hRule="exact" w:val="170"/>
        </w:trPr>
        <w:tc>
          <w:tcPr>
            <w:tcW w:w="9356" w:type="dxa"/>
            <w:gridSpan w:val="3"/>
            <w:noWrap/>
            <w:tcMar>
              <w:left w:w="0" w:type="dxa"/>
              <w:right w:w="0" w:type="dxa"/>
            </w:tcMar>
            <w:vAlign w:val="bottom"/>
          </w:tcPr>
          <w:p w:rsidR="00AC0C33" w:rsidRPr="00DF04A2" w:rsidRDefault="00AC0C33" w:rsidP="00513428">
            <w:pPr>
              <w:jc w:val="right"/>
              <w:rPr>
                <w:rFonts w:ascii="Arial Black" w:hAnsi="Arial Black"/>
                <w:caps/>
                <w:sz w:val="15"/>
              </w:rPr>
            </w:pPr>
            <w:r w:rsidRPr="00DF04A2">
              <w:rPr>
                <w:rFonts w:ascii="Arial Black" w:hAnsi="Arial Black"/>
                <w:caps/>
                <w:sz w:val="15"/>
              </w:rPr>
              <w:t xml:space="preserve">ORIGINAL:  </w:t>
            </w:r>
            <w:bookmarkStart w:id="1" w:name="Original"/>
            <w:bookmarkEnd w:id="1"/>
            <w:r w:rsidRPr="00DF04A2">
              <w:rPr>
                <w:rFonts w:ascii="Arial Black" w:hAnsi="Arial Black"/>
                <w:caps/>
                <w:sz w:val="15"/>
              </w:rPr>
              <w:t>english</w:t>
            </w:r>
          </w:p>
        </w:tc>
      </w:tr>
      <w:tr w:rsidR="00AC0C33" w:rsidRPr="00DF04A2" w:rsidTr="00513428">
        <w:trPr>
          <w:trHeight w:hRule="exact" w:val="198"/>
        </w:trPr>
        <w:tc>
          <w:tcPr>
            <w:tcW w:w="9356" w:type="dxa"/>
            <w:gridSpan w:val="3"/>
            <w:tcMar>
              <w:left w:w="0" w:type="dxa"/>
              <w:right w:w="0" w:type="dxa"/>
            </w:tcMar>
            <w:vAlign w:val="bottom"/>
          </w:tcPr>
          <w:p w:rsidR="00AC0C33" w:rsidRPr="00DF04A2" w:rsidRDefault="00AC0C33" w:rsidP="00825FFB">
            <w:pPr>
              <w:jc w:val="right"/>
              <w:rPr>
                <w:rFonts w:ascii="Arial Black" w:hAnsi="Arial Black"/>
                <w:caps/>
                <w:sz w:val="15"/>
              </w:rPr>
            </w:pPr>
            <w:r w:rsidRPr="00DF04A2">
              <w:rPr>
                <w:rFonts w:ascii="Arial Black" w:hAnsi="Arial Black"/>
                <w:caps/>
                <w:sz w:val="15"/>
              </w:rPr>
              <w:t xml:space="preserve">DATE: </w:t>
            </w:r>
            <w:bookmarkStart w:id="2" w:name="Date"/>
            <w:bookmarkEnd w:id="2"/>
            <w:r>
              <w:rPr>
                <w:rFonts w:ascii="Arial Black" w:hAnsi="Arial Black"/>
                <w:caps/>
                <w:sz w:val="15"/>
              </w:rPr>
              <w:t xml:space="preserve"> </w:t>
            </w:r>
            <w:r w:rsidR="00825FFB">
              <w:rPr>
                <w:rFonts w:ascii="Arial Black" w:hAnsi="Arial Black"/>
                <w:caps/>
                <w:sz w:val="15"/>
              </w:rPr>
              <w:t>SEPTEMBER 9</w:t>
            </w:r>
            <w:r w:rsidRPr="00DF04A2">
              <w:rPr>
                <w:rFonts w:ascii="Arial Black" w:hAnsi="Arial Black"/>
                <w:caps/>
                <w:sz w:val="15"/>
              </w:rPr>
              <w:t>, 2014</w:t>
            </w:r>
          </w:p>
        </w:tc>
      </w:tr>
    </w:tbl>
    <w:p w:rsidR="009F37A4" w:rsidRDefault="009F37A4" w:rsidP="009F37A4"/>
    <w:p w:rsidR="009F37A4" w:rsidRDefault="009F37A4" w:rsidP="009F37A4"/>
    <w:p w:rsidR="009F37A4" w:rsidRDefault="009F37A4" w:rsidP="009F37A4"/>
    <w:p w:rsidR="009F37A4" w:rsidRDefault="009F37A4" w:rsidP="009F37A4"/>
    <w:p w:rsidR="009F37A4" w:rsidRDefault="009F37A4" w:rsidP="009F37A4"/>
    <w:p w:rsidR="009F37A4" w:rsidRPr="001C0691" w:rsidRDefault="009F37A4" w:rsidP="009F37A4">
      <w:pPr>
        <w:rPr>
          <w:rFonts w:eastAsia="SimSun"/>
          <w:b/>
          <w:sz w:val="28"/>
          <w:szCs w:val="28"/>
          <w:lang w:eastAsia="zh-CN"/>
        </w:rPr>
      </w:pPr>
      <w:r w:rsidRPr="001C0691">
        <w:rPr>
          <w:rFonts w:eastAsia="SimSun"/>
          <w:b/>
          <w:sz w:val="28"/>
          <w:szCs w:val="28"/>
          <w:lang w:eastAsia="zh-CN"/>
        </w:rPr>
        <w:t>Committee on Development and Intellectual Property (CDIP)</w:t>
      </w:r>
    </w:p>
    <w:p w:rsidR="009F37A4" w:rsidRPr="00DF04A2" w:rsidRDefault="009F37A4" w:rsidP="009F37A4"/>
    <w:p w:rsidR="009F37A4" w:rsidRPr="00DF04A2" w:rsidRDefault="009F37A4" w:rsidP="009F37A4"/>
    <w:p w:rsidR="009F37A4" w:rsidRPr="00DF04A2" w:rsidRDefault="00E22DC7" w:rsidP="009F37A4">
      <w:pPr>
        <w:rPr>
          <w:b/>
          <w:sz w:val="24"/>
        </w:rPr>
      </w:pPr>
      <w:r>
        <w:rPr>
          <w:b/>
          <w:sz w:val="24"/>
        </w:rPr>
        <w:t>Fourteenth</w:t>
      </w:r>
      <w:r w:rsidR="009F37A4" w:rsidRPr="00DF04A2">
        <w:rPr>
          <w:b/>
          <w:sz w:val="24"/>
        </w:rPr>
        <w:t xml:space="preserve"> Session</w:t>
      </w:r>
    </w:p>
    <w:p w:rsidR="009F37A4" w:rsidRPr="00DF04A2" w:rsidRDefault="009F37A4" w:rsidP="009F37A4">
      <w:pPr>
        <w:tabs>
          <w:tab w:val="left" w:pos="7695"/>
        </w:tabs>
        <w:rPr>
          <w:b/>
          <w:sz w:val="24"/>
        </w:rPr>
      </w:pPr>
      <w:r w:rsidRPr="00DF04A2">
        <w:rPr>
          <w:b/>
          <w:sz w:val="24"/>
        </w:rPr>
        <w:t xml:space="preserve">Geneva, </w:t>
      </w:r>
      <w:r w:rsidR="00E22DC7">
        <w:rPr>
          <w:b/>
          <w:sz w:val="24"/>
        </w:rPr>
        <w:t>November</w:t>
      </w:r>
      <w:r w:rsidRPr="00DF04A2">
        <w:rPr>
          <w:b/>
          <w:sz w:val="24"/>
        </w:rPr>
        <w:t xml:space="preserve"> </w:t>
      </w:r>
      <w:r w:rsidR="00F25064">
        <w:rPr>
          <w:b/>
          <w:sz w:val="24"/>
        </w:rPr>
        <w:t>10</w:t>
      </w:r>
      <w:r w:rsidRPr="00DF04A2">
        <w:rPr>
          <w:b/>
          <w:sz w:val="24"/>
        </w:rPr>
        <w:t xml:space="preserve"> to </w:t>
      </w:r>
      <w:r w:rsidR="00F25064">
        <w:rPr>
          <w:b/>
          <w:sz w:val="24"/>
        </w:rPr>
        <w:t>14</w:t>
      </w:r>
      <w:r w:rsidRPr="00DF04A2">
        <w:rPr>
          <w:b/>
          <w:sz w:val="24"/>
        </w:rPr>
        <w:t>, 2014</w:t>
      </w:r>
    </w:p>
    <w:p w:rsidR="009F37A4" w:rsidRPr="00DF04A2" w:rsidRDefault="009F37A4" w:rsidP="009F37A4"/>
    <w:p w:rsidR="009F37A4" w:rsidRPr="00DF04A2" w:rsidRDefault="009F37A4" w:rsidP="009F37A4"/>
    <w:p w:rsidR="009F37A4" w:rsidRPr="00DF04A2" w:rsidRDefault="009F37A4" w:rsidP="009F37A4"/>
    <w:p w:rsidR="009F37A4" w:rsidRPr="001C0691" w:rsidRDefault="009F031F" w:rsidP="009F37A4">
      <w:pPr>
        <w:rPr>
          <w:rFonts w:eastAsia="SimSun"/>
          <w:caps/>
          <w:sz w:val="24"/>
          <w:szCs w:val="20"/>
          <w:lang w:eastAsia="zh-CN"/>
        </w:rPr>
      </w:pPr>
      <w:bookmarkStart w:id="3" w:name="TitleOfDoc"/>
      <w:bookmarkEnd w:id="3"/>
      <w:r>
        <w:rPr>
          <w:rFonts w:eastAsia="SimSun"/>
          <w:caps/>
          <w:sz w:val="24"/>
          <w:szCs w:val="20"/>
          <w:lang w:eastAsia="zh-CN"/>
        </w:rPr>
        <w:t xml:space="preserve">study on </w:t>
      </w:r>
      <w:r w:rsidR="009F37A4" w:rsidRPr="009F37A4">
        <w:rPr>
          <w:rFonts w:eastAsia="SimSun"/>
          <w:caps/>
          <w:sz w:val="24"/>
          <w:szCs w:val="20"/>
          <w:lang w:eastAsia="zh-CN"/>
        </w:rPr>
        <w:t>The impact of Utility Models in Thailand</w:t>
      </w:r>
    </w:p>
    <w:p w:rsidR="009F37A4" w:rsidRPr="001C0691" w:rsidRDefault="009F37A4" w:rsidP="009F37A4">
      <w:pPr>
        <w:rPr>
          <w:rFonts w:eastAsia="SimSun"/>
          <w:caps/>
          <w:sz w:val="24"/>
          <w:szCs w:val="20"/>
          <w:lang w:eastAsia="zh-CN"/>
        </w:rPr>
      </w:pPr>
    </w:p>
    <w:p w:rsidR="009F37A4" w:rsidRPr="001C0691" w:rsidRDefault="009F37A4" w:rsidP="003E032A">
      <w:pPr>
        <w:rPr>
          <w:rFonts w:eastAsia="SimSun"/>
          <w:i/>
          <w:szCs w:val="20"/>
          <w:lang w:eastAsia="zh-CN"/>
        </w:rPr>
      </w:pPr>
      <w:proofErr w:type="gramStart"/>
      <w:r w:rsidRPr="001C0691">
        <w:rPr>
          <w:rFonts w:eastAsia="SimSun"/>
          <w:i/>
          <w:szCs w:val="20"/>
          <w:lang w:eastAsia="zh-CN"/>
        </w:rPr>
        <w:t>prepared</w:t>
      </w:r>
      <w:proofErr w:type="gramEnd"/>
      <w:r w:rsidRPr="001C0691">
        <w:rPr>
          <w:rFonts w:eastAsia="SimSun"/>
          <w:i/>
          <w:szCs w:val="20"/>
          <w:lang w:eastAsia="zh-CN"/>
        </w:rPr>
        <w:t xml:space="preserve"> by the Secretariat in cooperation with </w:t>
      </w:r>
      <w:r w:rsidR="00CF5DC9">
        <w:rPr>
          <w:i/>
        </w:rPr>
        <w:t>M</w:t>
      </w:r>
      <w:r>
        <w:rPr>
          <w:i/>
        </w:rPr>
        <w:t xml:space="preserve">s. Deunden Nikomborirak, </w:t>
      </w:r>
      <w:r w:rsidRPr="00955B16">
        <w:rPr>
          <w:i/>
        </w:rPr>
        <w:t>Research Director, Economic Governance</w:t>
      </w:r>
      <w:r w:rsidR="00CF5DC9">
        <w:rPr>
          <w:i/>
        </w:rPr>
        <w:t>, and M</w:t>
      </w:r>
      <w:r>
        <w:rPr>
          <w:i/>
        </w:rPr>
        <w:t xml:space="preserve">s. </w:t>
      </w:r>
      <w:proofErr w:type="spellStart"/>
      <w:r>
        <w:rPr>
          <w:i/>
        </w:rPr>
        <w:t>Weerawan</w:t>
      </w:r>
      <w:proofErr w:type="spellEnd"/>
      <w:r>
        <w:rPr>
          <w:i/>
        </w:rPr>
        <w:t xml:space="preserve"> </w:t>
      </w:r>
      <w:proofErr w:type="spellStart"/>
      <w:r>
        <w:rPr>
          <w:i/>
        </w:rPr>
        <w:t>Paibunkott-aree</w:t>
      </w:r>
      <w:proofErr w:type="spellEnd"/>
      <w:r>
        <w:rPr>
          <w:i/>
        </w:rPr>
        <w:t xml:space="preserve">, Senior Researcher, </w:t>
      </w:r>
      <w:proofErr w:type="spellStart"/>
      <w:r>
        <w:rPr>
          <w:i/>
        </w:rPr>
        <w:t>Sector</w:t>
      </w:r>
      <w:bookmarkStart w:id="4" w:name="_GoBack"/>
      <w:bookmarkEnd w:id="4"/>
      <w:r>
        <w:rPr>
          <w:i/>
        </w:rPr>
        <w:t>al</w:t>
      </w:r>
      <w:proofErr w:type="spellEnd"/>
      <w:r>
        <w:rPr>
          <w:i/>
        </w:rPr>
        <w:t xml:space="preserve"> Economic Program, Thailand Development Research Institute, </w:t>
      </w:r>
      <w:r w:rsidR="00F05982">
        <w:rPr>
          <w:i/>
        </w:rPr>
        <w:t>Thailand</w:t>
      </w:r>
    </w:p>
    <w:p w:rsidR="00F05982" w:rsidRPr="00DF04A2" w:rsidRDefault="00F05982" w:rsidP="00F05982"/>
    <w:p w:rsidR="00F05982" w:rsidRPr="00DF04A2" w:rsidRDefault="00F05982" w:rsidP="00F05982">
      <w:bookmarkStart w:id="5" w:name="Prepared"/>
      <w:bookmarkEnd w:id="5"/>
    </w:p>
    <w:p w:rsidR="00F05982" w:rsidRPr="00DF04A2" w:rsidRDefault="00F05982" w:rsidP="00F05982"/>
    <w:p w:rsidR="009F37A4" w:rsidRDefault="009F37A4" w:rsidP="000C0F2D">
      <w:pPr>
        <w:rPr>
          <w:rFonts w:eastAsia="Calibri"/>
          <w:color w:val="000000"/>
        </w:rPr>
      </w:pPr>
      <w:r w:rsidRPr="00DF04A2">
        <w:rPr>
          <w:rFonts w:eastAsia="Calibri"/>
          <w:color w:val="000000"/>
          <w:sz w:val="24"/>
        </w:rPr>
        <w:t>1.</w:t>
      </w:r>
      <w:r w:rsidRPr="00DF04A2">
        <w:rPr>
          <w:rFonts w:eastAsia="Calibri"/>
          <w:color w:val="000000"/>
          <w:sz w:val="24"/>
        </w:rPr>
        <w:tab/>
      </w:r>
      <w:r w:rsidRPr="00DF04A2">
        <w:rPr>
          <w:rFonts w:eastAsia="Calibri"/>
          <w:color w:val="000000"/>
        </w:rPr>
        <w:t xml:space="preserve">The Annex to this document contains a </w:t>
      </w:r>
      <w:r w:rsidRPr="00E46395">
        <w:t xml:space="preserve">Study on </w:t>
      </w:r>
      <w:r>
        <w:t xml:space="preserve">the </w:t>
      </w:r>
      <w:r w:rsidR="009F031F">
        <w:t>I</w:t>
      </w:r>
      <w:r w:rsidR="009F031F" w:rsidRPr="009F37A4">
        <w:t xml:space="preserve">mpact </w:t>
      </w:r>
      <w:r w:rsidRPr="009F37A4">
        <w:t xml:space="preserve">of </w:t>
      </w:r>
      <w:r w:rsidR="009F031F">
        <w:t>U</w:t>
      </w:r>
      <w:r w:rsidR="009F031F" w:rsidRPr="009F37A4">
        <w:t xml:space="preserve">tility </w:t>
      </w:r>
      <w:r w:rsidR="009F031F">
        <w:t>M</w:t>
      </w:r>
      <w:r w:rsidR="009F031F" w:rsidRPr="009F37A4">
        <w:t xml:space="preserve">odels </w:t>
      </w:r>
      <w:r w:rsidRPr="009F37A4">
        <w:t xml:space="preserve">in </w:t>
      </w:r>
      <w:r>
        <w:t>T</w:t>
      </w:r>
      <w:r w:rsidRPr="009F37A4">
        <w:t xml:space="preserve">hailand </w:t>
      </w:r>
      <w:r w:rsidRPr="00E46395">
        <w:t xml:space="preserve">prepared under </w:t>
      </w:r>
      <w:r>
        <w:t>the P</w:t>
      </w:r>
      <w:r w:rsidRPr="00E46395">
        <w:t xml:space="preserve">roject on </w:t>
      </w:r>
      <w:r>
        <w:t xml:space="preserve">Intellectual Property and </w:t>
      </w:r>
      <w:r w:rsidRPr="003427C8">
        <w:t>Socio</w:t>
      </w:r>
      <w:r>
        <w:t>-</w:t>
      </w:r>
      <w:r w:rsidRPr="003427C8">
        <w:t>Economic Development</w:t>
      </w:r>
      <w:r w:rsidRPr="00E46395">
        <w:t xml:space="preserve"> (CDIP/</w:t>
      </w:r>
      <w:r>
        <w:t>5</w:t>
      </w:r>
      <w:r w:rsidRPr="00E46395">
        <w:t>/</w:t>
      </w:r>
      <w:r>
        <w:t>7 Rev.)</w:t>
      </w:r>
      <w:r w:rsidR="000E6A4A">
        <w:t xml:space="preserve">, approved by the Committee on Development and Intellectual Property (CDIP) at its Fifth Session held in April 2010.  </w:t>
      </w:r>
      <w:r w:rsidR="00EF3451">
        <w:t>This study</w:t>
      </w:r>
      <w:r w:rsidR="000E6A4A">
        <w:t xml:space="preserve"> </w:t>
      </w:r>
      <w:r w:rsidR="00B9452C">
        <w:t>complements an</w:t>
      </w:r>
      <w:r w:rsidR="000E6A4A">
        <w:t xml:space="preserve"> earlier </w:t>
      </w:r>
      <w:r w:rsidR="00EF3451">
        <w:t>document</w:t>
      </w:r>
      <w:r w:rsidR="000E6A4A">
        <w:t xml:space="preserve"> on the descriptive analysis of the implementation and use of </w:t>
      </w:r>
      <w:r w:rsidR="00EF3451">
        <w:t>utility models (UMs)</w:t>
      </w:r>
      <w:r w:rsidR="000E6A4A">
        <w:t xml:space="preserve"> in Thailand, which was presented at the Twelfth Ses</w:t>
      </w:r>
      <w:r w:rsidR="00C1269C">
        <w:t xml:space="preserve">sion of the CDIP in November 18 to </w:t>
      </w:r>
      <w:r w:rsidR="000E6A4A">
        <w:t xml:space="preserve">21, 2013.  </w:t>
      </w:r>
      <w:r w:rsidR="00EF3451">
        <w:t>Building on a</w:t>
      </w:r>
      <w:r w:rsidR="000E6A4A">
        <w:t xml:space="preserve"> detailed and novel unit record data on UM registration, th</w:t>
      </w:r>
      <w:r w:rsidR="00EF3451">
        <w:t>e present document</w:t>
      </w:r>
      <w:r w:rsidR="000E6A4A">
        <w:t xml:space="preserve"> examines how utility model affects </w:t>
      </w:r>
      <w:r w:rsidR="00EF3451">
        <w:t xml:space="preserve">local </w:t>
      </w:r>
      <w:r w:rsidR="000E6A4A">
        <w:t>firm performance</w:t>
      </w:r>
      <w:r w:rsidR="00EF3451">
        <w:t xml:space="preserve"> in Thailand</w:t>
      </w:r>
      <w:r w:rsidR="000E6A4A">
        <w:t>.</w:t>
      </w:r>
    </w:p>
    <w:p w:rsidR="009F37A4" w:rsidRDefault="009F37A4" w:rsidP="009F37A4">
      <w:pPr>
        <w:rPr>
          <w:rFonts w:eastAsia="Calibri"/>
        </w:rPr>
      </w:pPr>
    </w:p>
    <w:p w:rsidR="009F37A4" w:rsidRDefault="009F37A4" w:rsidP="009F37A4">
      <w:pPr>
        <w:ind w:left="4536"/>
      </w:pPr>
      <w:r w:rsidRPr="00DF04A2">
        <w:t>2.</w:t>
      </w:r>
      <w:r w:rsidRPr="00DF04A2">
        <w:tab/>
      </w:r>
      <w:r w:rsidR="00AC0C33" w:rsidRPr="00DF04A2">
        <w:rPr>
          <w:i/>
        </w:rPr>
        <w:t>The CDIP is invited to take note of the information contained in the Annex to this document.</w:t>
      </w:r>
    </w:p>
    <w:p w:rsidR="009F37A4" w:rsidRDefault="009F37A4" w:rsidP="009F37A4"/>
    <w:p w:rsidR="009F37A4" w:rsidRDefault="009F37A4" w:rsidP="009F37A4"/>
    <w:p w:rsidR="009F37A4" w:rsidRDefault="009F37A4" w:rsidP="009F37A4"/>
    <w:p w:rsidR="009F37A4" w:rsidRDefault="009F37A4" w:rsidP="009F37A4">
      <w:pPr>
        <w:ind w:left="3969" w:firstLine="567"/>
      </w:pPr>
      <w:r w:rsidRPr="00280000">
        <w:t>[</w:t>
      </w:r>
      <w:r w:rsidRPr="00DF04A2">
        <w:t>Annex</w:t>
      </w:r>
      <w:r w:rsidRPr="00280000">
        <w:t xml:space="preserve"> follows]</w:t>
      </w:r>
    </w:p>
    <w:p w:rsidR="009F37A4" w:rsidRDefault="009F37A4" w:rsidP="009F37A4"/>
    <w:p w:rsidR="00324C83" w:rsidRDefault="00324C83" w:rsidP="009F37A4">
      <w:pPr>
        <w:sectPr w:rsidR="00324C83" w:rsidSect="006E09E6">
          <w:headerReference w:type="default" r:id="rId10"/>
          <w:headerReference w:type="first" r:id="rId11"/>
          <w:footerReference w:type="first" r:id="rId12"/>
          <w:type w:val="continuous"/>
          <w:pgSz w:w="11906" w:h="16838" w:code="9"/>
          <w:pgMar w:top="567" w:right="1134" w:bottom="1418" w:left="1418" w:header="709" w:footer="709" w:gutter="0"/>
          <w:pgNumType w:start="0"/>
          <w:cols w:space="720"/>
          <w:docGrid w:linePitch="408"/>
        </w:sectPr>
      </w:pPr>
    </w:p>
    <w:p w:rsidR="00522F11" w:rsidRDefault="00522F11" w:rsidP="00A12538">
      <w:pPr>
        <w:pStyle w:val="BodyText"/>
        <w:rPr>
          <w:b/>
          <w:caps/>
          <w:szCs w:val="22"/>
        </w:rPr>
      </w:pPr>
      <w:bookmarkStart w:id="6" w:name="_Toc393894447"/>
      <w:r w:rsidRPr="00676E52">
        <w:rPr>
          <w:b/>
          <w:caps/>
          <w:szCs w:val="22"/>
        </w:rPr>
        <w:lastRenderedPageBreak/>
        <w:t xml:space="preserve">How Utility Models Affect </w:t>
      </w:r>
      <w:r w:rsidR="008433A0" w:rsidRPr="00676E52">
        <w:rPr>
          <w:b/>
          <w:caps/>
          <w:szCs w:val="22"/>
        </w:rPr>
        <w:t xml:space="preserve">Local </w:t>
      </w:r>
      <w:r w:rsidRPr="00676E52">
        <w:rPr>
          <w:b/>
          <w:caps/>
          <w:szCs w:val="22"/>
        </w:rPr>
        <w:t>Firm Performance in Thailand</w:t>
      </w:r>
      <w:bookmarkEnd w:id="6"/>
    </w:p>
    <w:p w:rsidR="005B104B" w:rsidRDefault="005B104B" w:rsidP="005B104B">
      <w:pPr>
        <w:pStyle w:val="BodyText"/>
        <w:rPr>
          <w:caps/>
          <w:szCs w:val="22"/>
        </w:rPr>
      </w:pPr>
    </w:p>
    <w:p w:rsidR="005B104B" w:rsidRPr="007B4FF0" w:rsidRDefault="005B104B" w:rsidP="007B4FF0">
      <w:pPr>
        <w:pStyle w:val="BodyText"/>
        <w:rPr>
          <w:b/>
        </w:rPr>
      </w:pPr>
      <w:r w:rsidRPr="007B4FF0">
        <w:rPr>
          <w:b/>
        </w:rPr>
        <w:t>EXECUTIVE SUMMARY</w:t>
      </w:r>
    </w:p>
    <w:p w:rsidR="008433A0" w:rsidRDefault="008433A0" w:rsidP="008433A0">
      <w:pPr>
        <w:rPr>
          <w:lang w:bidi="ar-SA"/>
        </w:rPr>
      </w:pPr>
      <w:bookmarkStart w:id="7" w:name="_Toc384911741"/>
    </w:p>
    <w:p w:rsidR="00BC4F40" w:rsidRDefault="00BC4F40" w:rsidP="00BC4F40">
      <w:pPr>
        <w:rPr>
          <w:rFonts w:eastAsia="Calibri"/>
        </w:rPr>
      </w:pPr>
      <w:r w:rsidRPr="000715CC">
        <w:rPr>
          <w:rFonts w:eastAsia="Calibri"/>
        </w:rPr>
        <w:t xml:space="preserve">The present </w:t>
      </w:r>
      <w:r w:rsidR="00F44DDD">
        <w:rPr>
          <w:rFonts w:eastAsia="Calibri"/>
        </w:rPr>
        <w:t>document</w:t>
      </w:r>
      <w:r w:rsidRPr="000715CC">
        <w:rPr>
          <w:rFonts w:eastAsia="Calibri"/>
        </w:rPr>
        <w:t xml:space="preserve"> is an output of the Project on Intellectual Property and Socio-Economic Development of the Committee on Development and Intellectual Property (CDIP), which consists of a series of economic studies that </w:t>
      </w:r>
      <w:r w:rsidR="00E47B54">
        <w:rPr>
          <w:rFonts w:eastAsia="Calibri"/>
        </w:rPr>
        <w:t>seeks</w:t>
      </w:r>
      <w:r w:rsidR="00E47B54" w:rsidRPr="000715CC">
        <w:rPr>
          <w:rFonts w:eastAsia="Calibri"/>
        </w:rPr>
        <w:t xml:space="preserve"> </w:t>
      </w:r>
      <w:r w:rsidRPr="000715CC">
        <w:rPr>
          <w:rFonts w:eastAsia="Calibri"/>
        </w:rPr>
        <w:t>to provide evidence on the effects of intellectual property (IP) protection in less developed countries.</w:t>
      </w:r>
      <w:r w:rsidRPr="000715CC">
        <w:rPr>
          <w:rFonts w:eastAsia="Calibri"/>
          <w:vertAlign w:val="superscript"/>
        </w:rPr>
        <w:footnoteReference w:id="2"/>
      </w:r>
      <w:r w:rsidRPr="000715CC">
        <w:rPr>
          <w:rFonts w:eastAsia="Calibri"/>
        </w:rPr>
        <w:t xml:space="preserve">  In particular, this study investigates the impact of utility model (UM) protection in Thailand, an upper-middle income country.  The results of this country study are divided in two parts: the first </w:t>
      </w:r>
      <w:r w:rsidR="00F44DDD">
        <w:rPr>
          <w:rFonts w:eastAsia="Calibri"/>
        </w:rPr>
        <w:t>documen</w:t>
      </w:r>
      <w:r w:rsidRPr="000715CC">
        <w:rPr>
          <w:rFonts w:eastAsia="Calibri"/>
        </w:rPr>
        <w:t>t provided a descriptive analysis on the use of UM protection in Thailand and was presented at the Twelfth Session of the CDIP in November, 2013.</w:t>
      </w:r>
      <w:r w:rsidRPr="000715CC">
        <w:rPr>
          <w:rFonts w:eastAsia="Calibri"/>
          <w:vertAlign w:val="superscript"/>
        </w:rPr>
        <w:footnoteReference w:id="3"/>
      </w:r>
      <w:r w:rsidRPr="000715CC">
        <w:rPr>
          <w:rFonts w:eastAsia="Calibri"/>
        </w:rPr>
        <w:t xml:space="preserve">  This second </w:t>
      </w:r>
      <w:r w:rsidR="00D96237">
        <w:rPr>
          <w:rFonts w:eastAsia="Calibri"/>
        </w:rPr>
        <w:t>paper</w:t>
      </w:r>
      <w:r w:rsidR="00D96237" w:rsidRPr="000715CC">
        <w:rPr>
          <w:rFonts w:eastAsia="Calibri"/>
        </w:rPr>
        <w:t xml:space="preserve"> </w:t>
      </w:r>
      <w:r w:rsidRPr="000715CC">
        <w:rPr>
          <w:rFonts w:eastAsia="Calibri"/>
        </w:rPr>
        <w:t>investigates how UM protection affects the economic performance of Thai companies.</w:t>
      </w:r>
    </w:p>
    <w:p w:rsidR="00A12538" w:rsidRDefault="00A12538" w:rsidP="008433A0">
      <w:pPr>
        <w:rPr>
          <w:lang w:bidi="ar-SA"/>
        </w:rPr>
      </w:pPr>
    </w:p>
    <w:p w:rsidR="000444C8" w:rsidRDefault="0086058C" w:rsidP="0086058C">
      <w:pPr>
        <w:rPr>
          <w:lang w:bidi="ar-SA"/>
        </w:rPr>
      </w:pPr>
      <w:r>
        <w:rPr>
          <w:lang w:bidi="ar-SA"/>
        </w:rPr>
        <w:t>To carry out this investigation, we relied on a novel and comprehensive database on UMs in Thailand built through a joint</w:t>
      </w:r>
      <w:r w:rsidR="000444C8">
        <w:rPr>
          <w:lang w:bidi="ar-SA"/>
        </w:rPr>
        <w:t xml:space="preserve"> effort by the Thailand Development Research Institute (TDRI) and the World Intellectual Property Organization (WIPO)</w:t>
      </w:r>
      <w:r>
        <w:rPr>
          <w:lang w:bidi="ar-SA"/>
        </w:rPr>
        <w:t>, with</w:t>
      </w:r>
      <w:r w:rsidR="000444C8">
        <w:rPr>
          <w:lang w:bidi="ar-SA"/>
        </w:rPr>
        <w:t xml:space="preserve"> close cooperation of the Thai Department of Intellectual Property (DIP) under the Ministry of Commerce</w:t>
      </w:r>
      <w:r>
        <w:rPr>
          <w:lang w:bidi="ar-SA"/>
        </w:rPr>
        <w:t>.</w:t>
      </w:r>
      <w:r w:rsidRPr="002C5791">
        <w:rPr>
          <w:vertAlign w:val="superscript"/>
        </w:rPr>
        <w:footnoteReference w:id="4"/>
      </w:r>
      <w:r>
        <w:rPr>
          <w:lang w:bidi="ar-SA"/>
        </w:rPr>
        <w:t xml:space="preserve">  It contains all registered UM in Thailand from October 1996 to September 2012, as well as other related information.  From this dataset, we singled out applications that were filed by, or attributable to, local firms for the years 1999 to 2012 and extended it to include firm-specific information.</w:t>
      </w:r>
    </w:p>
    <w:p w:rsidR="00F33C2E" w:rsidRDefault="00F33C2E" w:rsidP="007373DC">
      <w:pPr>
        <w:rPr>
          <w:rFonts w:eastAsia="Calibri"/>
        </w:rPr>
      </w:pPr>
    </w:p>
    <w:p w:rsidR="007373DC" w:rsidRDefault="00F33C2E" w:rsidP="007373DC">
      <w:pPr>
        <w:rPr>
          <w:rFonts w:eastAsia="Calibri"/>
        </w:rPr>
      </w:pPr>
      <w:r>
        <w:rPr>
          <w:rFonts w:eastAsia="Calibri"/>
        </w:rPr>
        <w:t xml:space="preserve">Our research work is carried out in </w:t>
      </w:r>
      <w:r w:rsidR="007373DC" w:rsidRPr="000715CC">
        <w:rPr>
          <w:rFonts w:eastAsia="Calibri"/>
        </w:rPr>
        <w:t>four parts.  First, we assess if there is a link between filing for UM protection and the performance of the firms by observing if there has been an effect on the firms’ performances before and after filing for UM protection.  Secondly, we tr</w:t>
      </w:r>
      <w:r w:rsidR="007373DC">
        <w:rPr>
          <w:rFonts w:eastAsia="Calibri"/>
        </w:rPr>
        <w:t>y</w:t>
      </w:r>
      <w:r w:rsidR="007373DC" w:rsidRPr="000715CC">
        <w:rPr>
          <w:rFonts w:eastAsia="Calibri"/>
        </w:rPr>
        <w:t xml:space="preserve"> to determine if there are specific traits of firms that apply for UM protection.  For example, it could be the case that firms in certain industrial sectors have higher propensity to file for UM protection than others. We then </w:t>
      </w:r>
      <w:r w:rsidR="007373DC">
        <w:rPr>
          <w:rFonts w:eastAsia="Calibri"/>
        </w:rPr>
        <w:t>ru</w:t>
      </w:r>
      <w:r w:rsidR="007373DC" w:rsidRPr="000715CC">
        <w:rPr>
          <w:rFonts w:eastAsia="Calibri"/>
        </w:rPr>
        <w:t xml:space="preserve">n econometric regressions </w:t>
      </w:r>
      <w:r w:rsidR="0059237C" w:rsidRPr="000715CC">
        <w:rPr>
          <w:rFonts w:eastAsia="Calibri"/>
        </w:rPr>
        <w:t xml:space="preserve">to </w:t>
      </w:r>
      <w:r w:rsidR="0059237C">
        <w:rPr>
          <w:rFonts w:eastAsia="Calibri"/>
        </w:rPr>
        <w:t>ascertain</w:t>
      </w:r>
      <w:r w:rsidR="007373DC" w:rsidRPr="000715CC">
        <w:rPr>
          <w:rFonts w:eastAsia="Calibri"/>
        </w:rPr>
        <w:t xml:space="preserve"> if there is an effect</w:t>
      </w:r>
      <w:r>
        <w:rPr>
          <w:rFonts w:eastAsia="Calibri"/>
        </w:rPr>
        <w:t xml:space="preserve">, </w:t>
      </w:r>
      <w:r w:rsidR="007373DC" w:rsidRPr="000715CC">
        <w:rPr>
          <w:rFonts w:eastAsia="Calibri"/>
        </w:rPr>
        <w:t xml:space="preserve">and </w:t>
      </w:r>
      <w:r>
        <w:rPr>
          <w:rFonts w:eastAsia="Calibri"/>
        </w:rPr>
        <w:t xml:space="preserve">to determine </w:t>
      </w:r>
      <w:r w:rsidR="007373DC" w:rsidRPr="000715CC">
        <w:rPr>
          <w:rFonts w:eastAsia="Calibri"/>
        </w:rPr>
        <w:t>the size of the</w:t>
      </w:r>
      <w:r w:rsidR="000E278D">
        <w:rPr>
          <w:rFonts w:eastAsia="Calibri"/>
        </w:rPr>
        <w:t xml:space="preserve"> </w:t>
      </w:r>
      <w:r w:rsidR="007373DC" w:rsidRPr="000715CC">
        <w:rPr>
          <w:rFonts w:eastAsia="Calibri"/>
        </w:rPr>
        <w:t>effect of UM protection on the firms.</w:t>
      </w:r>
    </w:p>
    <w:p w:rsidR="00B82C96" w:rsidRDefault="00B82C96" w:rsidP="002A4283"/>
    <w:p w:rsidR="002A4283" w:rsidRDefault="002A4283" w:rsidP="002A4283">
      <w:r>
        <w:t>One</w:t>
      </w:r>
      <w:r w:rsidRPr="002A4283">
        <w:t xml:space="preserve"> way to </w:t>
      </w:r>
      <w:r w:rsidR="00F44DDD">
        <w:t>observe</w:t>
      </w:r>
      <w:r w:rsidRPr="002A4283">
        <w:t xml:space="preserve"> the relationship between UM protection and the firms’ performance indicators is to</w:t>
      </w:r>
      <w:r w:rsidR="00386991">
        <w:t xml:space="preserve"> graph</w:t>
      </w:r>
      <w:r w:rsidRPr="002A4283">
        <w:t xml:space="preserve"> these variables against one another.  The subfigures in </w:t>
      </w:r>
      <w:r>
        <w:t xml:space="preserve">Figure E-1 </w:t>
      </w:r>
      <w:r w:rsidRPr="002A4283">
        <w:t>are the timing of the firms’ UM application plotted against the three indicators of th</w:t>
      </w:r>
      <w:r w:rsidR="00BB1E73">
        <w:t>e firms’ financial performances: net sales, net profit and sales-to-cost ratio.</w:t>
      </w:r>
    </w:p>
    <w:p w:rsidR="00F33C2E" w:rsidRDefault="00F33C2E" w:rsidP="002A4283"/>
    <w:p w:rsidR="002A4283" w:rsidRPr="002A4283" w:rsidRDefault="002A4283" w:rsidP="002A4283">
      <w:r w:rsidRPr="002A4283">
        <w:t>On average, firms that use UM seem to perform better after filing for UM across all three performance indicators, with several notable variations.  Five years after filing for UM protection, the average Thai firm has six times more sales than it did five years preceding the application (a jump from one to six billion baht, roughly equivalent to USD 32.2 million and USD to 96 million, respectively).</w:t>
      </w:r>
      <w:r w:rsidRPr="002A4283">
        <w:rPr>
          <w:vertAlign w:val="superscript"/>
        </w:rPr>
        <w:footnoteReference w:id="5"/>
      </w:r>
      <w:r w:rsidRPr="002A4283">
        <w:t xml:space="preserve">  In a similar trend, once the average firm files for UM protection, its net profit increased from 20 million baht to 350 million baht (approx. USD 643,500 and USD 11.3 million </w:t>
      </w:r>
      <w:r w:rsidRPr="002A4283">
        <w:lastRenderedPageBreak/>
        <w:t>respectively).</w:t>
      </w:r>
      <w:r w:rsidRPr="002A4283">
        <w:rPr>
          <w:vertAlign w:val="superscript"/>
        </w:rPr>
        <w:footnoteReference w:id="6"/>
      </w:r>
      <w:r w:rsidRPr="002A4283">
        <w:t xml:space="preserve">  And lastly, the sales-to-cost ratio trend for the average firm also increases after f</w:t>
      </w:r>
      <w:r w:rsidR="00F44DDD">
        <w:t xml:space="preserve">iling for UMs, </w:t>
      </w:r>
      <w:r w:rsidRPr="002A4283">
        <w:t xml:space="preserve">however the jump is smaller given the more volatile trend over the time period </w:t>
      </w:r>
      <w:r w:rsidR="00F44DDD">
        <w:t>of</w:t>
      </w:r>
      <w:r w:rsidRPr="002A4283">
        <w:t xml:space="preserve"> investigation.  To help contextualize the business trend that the firms in Thailand faced during the same time period, we </w:t>
      </w:r>
      <w:r w:rsidR="00F44DDD">
        <w:t>include</w:t>
      </w:r>
      <w:r w:rsidRPr="002A4283">
        <w:t xml:space="preserve"> a graph which plots the average firm’s operating costs over time to UM application (see Figure </w:t>
      </w:r>
      <w:r w:rsidR="00682D9E">
        <w:t>E-</w:t>
      </w:r>
      <w:r w:rsidRPr="002A4283">
        <w:t>1(d)).</w:t>
      </w:r>
    </w:p>
    <w:p w:rsidR="002A4283" w:rsidRPr="002A4283" w:rsidRDefault="002A4283" w:rsidP="002A4283"/>
    <w:p w:rsidR="002A4283" w:rsidRPr="00496C85" w:rsidRDefault="002A4283" w:rsidP="002A4283">
      <w:pPr>
        <w:rPr>
          <w:rFonts w:eastAsia="MS Mincho"/>
          <w:b/>
          <w:bCs/>
          <w:sz w:val="18"/>
          <w:szCs w:val="18"/>
          <w:lang w:bidi="ar-SA"/>
        </w:rPr>
      </w:pPr>
      <w:r w:rsidRPr="00496C85">
        <w:rPr>
          <w:rFonts w:eastAsia="MS Mincho"/>
          <w:b/>
          <w:bCs/>
          <w:sz w:val="18"/>
          <w:szCs w:val="18"/>
          <w:lang w:bidi="ar-SA"/>
        </w:rPr>
        <w:t>Figure E-1:</w:t>
      </w:r>
      <w:r w:rsidR="00B82C96" w:rsidRPr="00496C85">
        <w:rPr>
          <w:rFonts w:eastAsia="MS Mincho"/>
          <w:b/>
          <w:bCs/>
          <w:sz w:val="18"/>
          <w:szCs w:val="18"/>
          <w:lang w:bidi="ar-SA"/>
        </w:rPr>
        <w:t xml:space="preserve"> </w:t>
      </w:r>
      <w:r w:rsidRPr="00496C85">
        <w:rPr>
          <w:rFonts w:eastAsia="MS Mincho"/>
          <w:b/>
          <w:bCs/>
          <w:sz w:val="18"/>
          <w:szCs w:val="18"/>
          <w:lang w:bidi="ar-SA"/>
        </w:rPr>
        <w:t xml:space="preserve"> Trends in Firms’ Performance Indicators over Time, based on their UM Application Date</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4788"/>
        <w:gridCol w:w="4788"/>
      </w:tblGrid>
      <w:tr w:rsidR="002A4283" w:rsidRPr="002A4283" w:rsidTr="00A5718A">
        <w:trPr>
          <w:jc w:val="center"/>
        </w:trPr>
        <w:tc>
          <w:tcPr>
            <w:tcW w:w="4788" w:type="dxa"/>
            <w:tcBorders>
              <w:bottom w:val="nil"/>
            </w:tcBorders>
          </w:tcPr>
          <w:p w:rsidR="002A4283" w:rsidRPr="002A4283" w:rsidRDefault="002A4283" w:rsidP="002A4283">
            <w:pPr>
              <w:numPr>
                <w:ilvl w:val="0"/>
                <w:numId w:val="12"/>
              </w:numPr>
            </w:pPr>
            <w:r w:rsidRPr="002A4283">
              <w:t>Net Sales (in million baht)</w:t>
            </w:r>
          </w:p>
        </w:tc>
        <w:tc>
          <w:tcPr>
            <w:tcW w:w="4788" w:type="dxa"/>
            <w:tcBorders>
              <w:bottom w:val="nil"/>
            </w:tcBorders>
          </w:tcPr>
          <w:p w:rsidR="002A4283" w:rsidRPr="002A4283" w:rsidRDefault="002A4283" w:rsidP="002A4283">
            <w:pPr>
              <w:numPr>
                <w:ilvl w:val="0"/>
                <w:numId w:val="12"/>
              </w:numPr>
            </w:pPr>
            <w:r w:rsidRPr="002A4283">
              <w:t>Net Profit (in million baht)</w:t>
            </w:r>
          </w:p>
        </w:tc>
      </w:tr>
      <w:tr w:rsidR="002A4283" w:rsidRPr="002A4283" w:rsidTr="00A5718A">
        <w:trPr>
          <w:jc w:val="center"/>
        </w:trPr>
        <w:tc>
          <w:tcPr>
            <w:tcW w:w="4788" w:type="dxa"/>
            <w:tcBorders>
              <w:top w:val="nil"/>
              <w:bottom w:val="single" w:sz="4" w:space="0" w:color="auto"/>
            </w:tcBorders>
          </w:tcPr>
          <w:p w:rsidR="002A4283" w:rsidRPr="002A4283" w:rsidRDefault="002A4283" w:rsidP="002A4283">
            <w:r w:rsidRPr="002A4283">
              <w:rPr>
                <w:noProof/>
                <w:lang w:bidi="ar-SA"/>
              </w:rPr>
              <w:drawing>
                <wp:inline distT="0" distB="0" distL="0" distR="0" wp14:anchorId="029EE138" wp14:editId="2432DD83">
                  <wp:extent cx="2980944" cy="21671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0944" cy="2167128"/>
                          </a:xfrm>
                          <a:prstGeom prst="rect">
                            <a:avLst/>
                          </a:prstGeom>
                          <a:noFill/>
                        </pic:spPr>
                      </pic:pic>
                    </a:graphicData>
                  </a:graphic>
                </wp:inline>
              </w:drawing>
            </w:r>
          </w:p>
        </w:tc>
        <w:tc>
          <w:tcPr>
            <w:tcW w:w="4788" w:type="dxa"/>
            <w:tcBorders>
              <w:top w:val="nil"/>
              <w:bottom w:val="single" w:sz="4" w:space="0" w:color="auto"/>
            </w:tcBorders>
          </w:tcPr>
          <w:p w:rsidR="002A4283" w:rsidRPr="002A4283" w:rsidRDefault="002A4283" w:rsidP="002A4283">
            <w:r w:rsidRPr="002A4283">
              <w:rPr>
                <w:noProof/>
                <w:lang w:bidi="ar-SA"/>
              </w:rPr>
              <w:drawing>
                <wp:inline distT="0" distB="0" distL="0" distR="0" wp14:anchorId="4E68BEF6" wp14:editId="2372C214">
                  <wp:extent cx="2980944" cy="21671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0944" cy="2167128"/>
                          </a:xfrm>
                          <a:prstGeom prst="rect">
                            <a:avLst/>
                          </a:prstGeom>
                          <a:noFill/>
                        </pic:spPr>
                      </pic:pic>
                    </a:graphicData>
                  </a:graphic>
                </wp:inline>
              </w:drawing>
            </w:r>
          </w:p>
        </w:tc>
      </w:tr>
      <w:tr w:rsidR="002A4283" w:rsidRPr="002A4283" w:rsidTr="00A5718A">
        <w:trPr>
          <w:jc w:val="center"/>
        </w:trPr>
        <w:tc>
          <w:tcPr>
            <w:tcW w:w="4788" w:type="dxa"/>
            <w:tcBorders>
              <w:bottom w:val="nil"/>
            </w:tcBorders>
          </w:tcPr>
          <w:p w:rsidR="002A4283" w:rsidRPr="002A4283" w:rsidRDefault="002A4283" w:rsidP="002A4283">
            <w:pPr>
              <w:numPr>
                <w:ilvl w:val="0"/>
                <w:numId w:val="12"/>
              </w:numPr>
            </w:pPr>
            <w:r w:rsidRPr="002A4283">
              <w:t>Sales-to-Cost Ratio</w:t>
            </w:r>
          </w:p>
        </w:tc>
        <w:tc>
          <w:tcPr>
            <w:tcW w:w="4788" w:type="dxa"/>
            <w:tcBorders>
              <w:bottom w:val="nil"/>
            </w:tcBorders>
          </w:tcPr>
          <w:p w:rsidR="002A4283" w:rsidRPr="002A4283" w:rsidRDefault="002A4283" w:rsidP="002A4283">
            <w:pPr>
              <w:numPr>
                <w:ilvl w:val="0"/>
                <w:numId w:val="12"/>
              </w:numPr>
            </w:pPr>
            <w:r w:rsidRPr="002A4283">
              <w:t>Operating Costs (in million baht)</w:t>
            </w:r>
          </w:p>
        </w:tc>
      </w:tr>
      <w:tr w:rsidR="002A4283" w:rsidRPr="002A4283" w:rsidTr="00A5718A">
        <w:trPr>
          <w:jc w:val="center"/>
        </w:trPr>
        <w:tc>
          <w:tcPr>
            <w:tcW w:w="4788" w:type="dxa"/>
            <w:tcBorders>
              <w:top w:val="nil"/>
              <w:bottom w:val="single" w:sz="4" w:space="0" w:color="auto"/>
            </w:tcBorders>
          </w:tcPr>
          <w:p w:rsidR="002A4283" w:rsidRPr="002A4283" w:rsidRDefault="002A4283" w:rsidP="002A4283">
            <w:r w:rsidRPr="002A4283">
              <w:rPr>
                <w:noProof/>
                <w:lang w:bidi="ar-SA"/>
              </w:rPr>
              <w:drawing>
                <wp:inline distT="0" distB="0" distL="0" distR="0" wp14:anchorId="048C4386" wp14:editId="14071F62">
                  <wp:extent cx="2990088" cy="2167128"/>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088" cy="2167128"/>
                          </a:xfrm>
                          <a:prstGeom prst="rect">
                            <a:avLst/>
                          </a:prstGeom>
                          <a:noFill/>
                        </pic:spPr>
                      </pic:pic>
                    </a:graphicData>
                  </a:graphic>
                </wp:inline>
              </w:drawing>
            </w:r>
          </w:p>
        </w:tc>
        <w:tc>
          <w:tcPr>
            <w:tcW w:w="4788" w:type="dxa"/>
            <w:tcBorders>
              <w:top w:val="nil"/>
              <w:bottom w:val="single" w:sz="4" w:space="0" w:color="auto"/>
            </w:tcBorders>
          </w:tcPr>
          <w:p w:rsidR="002A4283" w:rsidRPr="002A4283" w:rsidRDefault="002A4283" w:rsidP="002A4283">
            <w:r w:rsidRPr="002A4283">
              <w:rPr>
                <w:noProof/>
                <w:lang w:bidi="ar-SA"/>
              </w:rPr>
              <w:drawing>
                <wp:inline distT="0" distB="0" distL="0" distR="0" wp14:anchorId="704BB2D0" wp14:editId="2317C8F4">
                  <wp:extent cx="2990088" cy="2167128"/>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088" cy="2167128"/>
                          </a:xfrm>
                          <a:prstGeom prst="rect">
                            <a:avLst/>
                          </a:prstGeom>
                          <a:noFill/>
                        </pic:spPr>
                      </pic:pic>
                    </a:graphicData>
                  </a:graphic>
                </wp:inline>
              </w:drawing>
            </w:r>
          </w:p>
        </w:tc>
      </w:tr>
      <w:tr w:rsidR="002A4283" w:rsidRPr="00B82C96" w:rsidTr="00A5718A">
        <w:trPr>
          <w:jc w:val="center"/>
        </w:trPr>
        <w:tc>
          <w:tcPr>
            <w:tcW w:w="9576" w:type="dxa"/>
            <w:gridSpan w:val="2"/>
            <w:tcBorders>
              <w:top w:val="single" w:sz="4" w:space="0" w:color="auto"/>
              <w:left w:val="nil"/>
              <w:bottom w:val="nil"/>
              <w:right w:val="nil"/>
            </w:tcBorders>
          </w:tcPr>
          <w:p w:rsidR="002A4283" w:rsidRPr="00B82C96" w:rsidRDefault="002A4283" w:rsidP="00496C85">
            <w:pPr>
              <w:rPr>
                <w:sz w:val="20"/>
                <w:szCs w:val="22"/>
              </w:rPr>
            </w:pPr>
            <w:r w:rsidRPr="00496C85">
              <w:rPr>
                <w:rFonts w:eastAsia="MS Mincho"/>
                <w:b/>
                <w:bCs/>
                <w:sz w:val="18"/>
                <w:szCs w:val="18"/>
                <w:lang w:bidi="ar-SA"/>
              </w:rPr>
              <w:t xml:space="preserve">Source: </w:t>
            </w:r>
            <w:r w:rsidR="00F511B1">
              <w:rPr>
                <w:rFonts w:eastAsia="MS Mincho"/>
                <w:b/>
                <w:bCs/>
                <w:sz w:val="18"/>
                <w:szCs w:val="18"/>
                <w:lang w:bidi="ar-SA"/>
              </w:rPr>
              <w:t xml:space="preserve"> </w:t>
            </w:r>
            <w:r w:rsidRPr="00496C85">
              <w:rPr>
                <w:rFonts w:eastAsia="MS Mincho"/>
                <w:b/>
                <w:bCs/>
                <w:sz w:val="18"/>
                <w:szCs w:val="18"/>
                <w:lang w:bidi="ar-SA"/>
              </w:rPr>
              <w:t>TDRI-WIPO Extended Database (2013).</w:t>
            </w:r>
          </w:p>
        </w:tc>
      </w:tr>
    </w:tbl>
    <w:p w:rsidR="00496C85" w:rsidRDefault="00496C85" w:rsidP="00283464">
      <w:pPr>
        <w:pStyle w:val="BodyText"/>
        <w:rPr>
          <w:rFonts w:eastAsia="Calibri"/>
          <w:b/>
          <w:i/>
        </w:rPr>
      </w:pPr>
    </w:p>
    <w:p w:rsidR="00283464" w:rsidRPr="007B4FF0" w:rsidRDefault="00283464" w:rsidP="00283464">
      <w:pPr>
        <w:pStyle w:val="BodyText"/>
        <w:rPr>
          <w:rFonts w:eastAsia="Calibri"/>
          <w:b/>
          <w:i/>
        </w:rPr>
      </w:pPr>
      <w:r w:rsidRPr="007B4FF0">
        <w:rPr>
          <w:rFonts w:eastAsia="Calibri"/>
          <w:b/>
          <w:i/>
        </w:rPr>
        <w:t>What are the Traits of the Firms Applying for UMs?</w:t>
      </w:r>
    </w:p>
    <w:p w:rsidR="004B58DA" w:rsidRDefault="004B58DA" w:rsidP="004B58DA"/>
    <w:p w:rsidR="004B58DA" w:rsidRDefault="004B58DA" w:rsidP="004B58DA">
      <w:r>
        <w:t xml:space="preserve">We </w:t>
      </w:r>
      <w:r w:rsidR="00F44DDD">
        <w:t>try</w:t>
      </w:r>
      <w:r>
        <w:t xml:space="preserve"> to identify if there are specific traits of the firms that apply for this IP instrument to </w:t>
      </w:r>
      <w:r w:rsidR="00E47B54">
        <w:t xml:space="preserve">ascertain </w:t>
      </w:r>
      <w:r>
        <w:t xml:space="preserve">if there are instances where firms are more likely to use UM protection, for example in a specific industrial sector. </w:t>
      </w:r>
      <w:r w:rsidR="00B82C96">
        <w:t xml:space="preserve"> </w:t>
      </w:r>
      <w:r>
        <w:t xml:space="preserve">If this is the case, then these particular subgroups of firms should observe a stronger effect of UM protection on their performance indicators in comparison to others. </w:t>
      </w:r>
      <w:r w:rsidR="00B82C96">
        <w:t xml:space="preserve"> </w:t>
      </w:r>
      <w:r>
        <w:t>We considered the firms’ age group, geographical location, size, industrial sec</w:t>
      </w:r>
      <w:r w:rsidR="00F44DDD">
        <w:t>tors, and technological fields, and record the observations below.</w:t>
      </w:r>
    </w:p>
    <w:p w:rsidR="00AE604E" w:rsidRDefault="00AE604E" w:rsidP="004B58DA"/>
    <w:p w:rsidR="004B58DA" w:rsidRDefault="004B58DA" w:rsidP="004B58DA">
      <w:r>
        <w:lastRenderedPageBreak/>
        <w:t xml:space="preserve">First, </w:t>
      </w:r>
      <w:r w:rsidR="00AE604E">
        <w:t xml:space="preserve">we observe that </w:t>
      </w:r>
      <w:r>
        <w:t xml:space="preserve">there is no </w:t>
      </w:r>
      <w:r w:rsidR="00E47B54">
        <w:t xml:space="preserve">particular </w:t>
      </w:r>
      <w:r>
        <w:t xml:space="preserve">tendency of using UM protection based on the firms’ age group. </w:t>
      </w:r>
      <w:r w:rsidR="00E47B54">
        <w:t xml:space="preserve"> </w:t>
      </w:r>
      <w:r>
        <w:t>Roughly half of the Thai firms that have applied for UM protection are well established businesses with over 20 years of existence</w:t>
      </w:r>
      <w:r w:rsidR="003E4EDA">
        <w:t>.</w:t>
      </w:r>
    </w:p>
    <w:p w:rsidR="004B58DA" w:rsidRDefault="004B58DA" w:rsidP="004B58DA"/>
    <w:p w:rsidR="004B58DA" w:rsidRDefault="004B58DA" w:rsidP="004B58DA">
      <w:r>
        <w:t>Second</w:t>
      </w:r>
      <w:r w:rsidRPr="00EE3E0E">
        <w:t xml:space="preserve">, </w:t>
      </w:r>
      <w:r w:rsidR="00E47B54">
        <w:t xml:space="preserve">the </w:t>
      </w:r>
      <w:r w:rsidR="00F44DDD">
        <w:t xml:space="preserve">size of the firms </w:t>
      </w:r>
      <w:r w:rsidR="003433F8">
        <w:t>seem</w:t>
      </w:r>
      <w:r w:rsidR="003032FB">
        <w:t>s</w:t>
      </w:r>
      <w:r w:rsidR="003433F8">
        <w:t xml:space="preserve"> to </w:t>
      </w:r>
      <w:r w:rsidR="00F44DDD">
        <w:t xml:space="preserve">affect the relationship between UM filings and the firms’ performance indicators.  In other words, </w:t>
      </w:r>
      <w:r w:rsidR="0062599B">
        <w:t>the magnitude of the effect of UM filings on the firms’ performances differ according to the firms’ sizes.</w:t>
      </w:r>
      <w:r>
        <w:t xml:space="preserve">  Table E-2 </w:t>
      </w:r>
      <w:r w:rsidRPr="00EE3E0E">
        <w:t>summarizes how the firms’ performance indicators change before and after filing for UM protection. Firms’ net sales jump after they file for UM protection</w:t>
      </w:r>
      <w:r>
        <w:t>, a</w:t>
      </w:r>
      <w:r w:rsidRPr="00EE3E0E">
        <w:t>nd the height of this jump increases according to their sizes: bigger sized firms observe a higher increase in their net sales after UM application than their smaller counterparts.  However, when we use the sales-to-cost ratio as a proxy for firm performance, the only firm size group that seems to have a slightly better performance is the large firms in the last quartile. The other firms actually see a slight decrease in their sales-to-costs ratio.</w:t>
      </w:r>
      <w:r>
        <w:t xml:space="preserve"> This observation indicates that there may be a size effect on how UM protection affects the firms’ performance indicators, which we will </w:t>
      </w:r>
      <w:r w:rsidR="003433F8">
        <w:t xml:space="preserve">control for in the econometrics </w:t>
      </w:r>
      <w:r w:rsidR="003032FB">
        <w:t>modelling</w:t>
      </w:r>
      <w:r>
        <w:t>.</w:t>
      </w:r>
    </w:p>
    <w:p w:rsidR="00283464" w:rsidRDefault="00283464" w:rsidP="00283464">
      <w:pPr>
        <w:pStyle w:val="BodyText"/>
        <w:rPr>
          <w:rFonts w:eastAsia="Calibri"/>
          <w:b/>
        </w:rPr>
      </w:pPr>
    </w:p>
    <w:p w:rsidR="004B58DA" w:rsidRPr="00496C85" w:rsidRDefault="004B58DA" w:rsidP="00B82C96">
      <w:pPr>
        <w:rPr>
          <w:rFonts w:eastAsia="MS Mincho"/>
          <w:b/>
          <w:bCs/>
          <w:sz w:val="18"/>
          <w:szCs w:val="18"/>
          <w:lang w:bidi="ar-SA"/>
        </w:rPr>
      </w:pPr>
      <w:r w:rsidRPr="00496C85">
        <w:rPr>
          <w:rFonts w:eastAsia="MS Mincho"/>
          <w:b/>
          <w:bCs/>
          <w:sz w:val="18"/>
          <w:szCs w:val="18"/>
          <w:lang w:bidi="ar-SA"/>
        </w:rPr>
        <w:t>Table E-2:  Change in Net Sales, Net Profits and Sales-to-Cost Ratio by Firm Size</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9576"/>
      </w:tblGrid>
      <w:tr w:rsidR="004B58DA" w:rsidTr="00A5718A">
        <w:trPr>
          <w:jc w:val="center"/>
        </w:trPr>
        <w:tc>
          <w:tcPr>
            <w:tcW w:w="9576" w:type="dxa"/>
            <w:tcBorders>
              <w:bottom w:val="single" w:sz="4" w:space="0" w:color="auto"/>
            </w:tcBorders>
          </w:tcPr>
          <w:p w:rsidR="004B58DA" w:rsidRDefault="004B58DA" w:rsidP="00F44DDD">
            <w:pPr>
              <w:jc w:val="center"/>
            </w:pPr>
            <w:r>
              <w:rPr>
                <w:noProof/>
                <w:lang w:bidi="ar-SA"/>
              </w:rPr>
              <w:drawing>
                <wp:inline distT="0" distB="0" distL="0" distR="0" wp14:anchorId="628507FD" wp14:editId="24905C77">
                  <wp:extent cx="5414010" cy="3035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010" cy="3035935"/>
                          </a:xfrm>
                          <a:prstGeom prst="rect">
                            <a:avLst/>
                          </a:prstGeom>
                          <a:noFill/>
                        </pic:spPr>
                      </pic:pic>
                    </a:graphicData>
                  </a:graphic>
                </wp:inline>
              </w:drawing>
            </w:r>
          </w:p>
        </w:tc>
      </w:tr>
      <w:tr w:rsidR="004B58DA" w:rsidTr="00A5718A">
        <w:trPr>
          <w:jc w:val="center"/>
        </w:trPr>
        <w:tc>
          <w:tcPr>
            <w:tcW w:w="9576" w:type="dxa"/>
            <w:tcBorders>
              <w:left w:val="nil"/>
              <w:bottom w:val="nil"/>
              <w:right w:val="nil"/>
            </w:tcBorders>
          </w:tcPr>
          <w:p w:rsidR="004B58DA" w:rsidRPr="00887167" w:rsidRDefault="004B58DA" w:rsidP="00496C85">
            <w:pPr>
              <w:rPr>
                <w:i/>
              </w:rPr>
            </w:pPr>
            <w:r w:rsidRPr="00496C85">
              <w:rPr>
                <w:rFonts w:eastAsia="MS Mincho"/>
                <w:b/>
                <w:bCs/>
                <w:sz w:val="18"/>
                <w:szCs w:val="18"/>
                <w:lang w:bidi="ar-SA"/>
              </w:rPr>
              <w:t xml:space="preserve">Source: </w:t>
            </w:r>
            <w:r w:rsidR="00F511B1">
              <w:rPr>
                <w:rFonts w:eastAsia="MS Mincho"/>
                <w:b/>
                <w:bCs/>
                <w:sz w:val="18"/>
                <w:szCs w:val="18"/>
                <w:lang w:bidi="ar-SA"/>
              </w:rPr>
              <w:t xml:space="preserve"> </w:t>
            </w:r>
            <w:r w:rsidRPr="00496C85">
              <w:rPr>
                <w:rFonts w:eastAsia="MS Mincho"/>
                <w:b/>
                <w:bCs/>
                <w:sz w:val="18"/>
                <w:szCs w:val="18"/>
                <w:lang w:bidi="ar-SA"/>
              </w:rPr>
              <w:t>TDRI-WIPO Extended Database (2013).</w:t>
            </w:r>
          </w:p>
        </w:tc>
      </w:tr>
    </w:tbl>
    <w:p w:rsidR="00496C85" w:rsidRDefault="00496C85" w:rsidP="009F4E1C"/>
    <w:p w:rsidR="009F4E1C" w:rsidRDefault="009F4E1C" w:rsidP="009F4E1C">
      <w:r>
        <w:t>Third</w:t>
      </w:r>
      <w:r w:rsidRPr="00402FB2">
        <w:t xml:space="preserve">, firms from all industrial sectors </w:t>
      </w:r>
      <w:r>
        <w:t xml:space="preserve">have applied for UM protection. </w:t>
      </w:r>
      <w:r w:rsidR="00564D04">
        <w:t xml:space="preserve"> </w:t>
      </w:r>
      <w:r w:rsidRPr="00402FB2">
        <w:t>But the four industrial sectors that have a sizeable concentration of firms with UM protection are: wholesale, food and beverages, machinery a</w:t>
      </w:r>
      <w:r>
        <w:t>nd retail.</w:t>
      </w:r>
      <w:r w:rsidRPr="00402FB2">
        <w:t xml:space="preserve"> </w:t>
      </w:r>
      <w:r w:rsidR="00B82C96">
        <w:t xml:space="preserve"> </w:t>
      </w:r>
      <w:r w:rsidRPr="00402FB2">
        <w:t>In contrast, the top three technological fields with the highest number of UM firm applicants are in civil engineering, food chemistry and handling</w:t>
      </w:r>
      <w:r>
        <w:t>.</w:t>
      </w:r>
    </w:p>
    <w:p w:rsidR="009F4E1C" w:rsidRDefault="009F4E1C" w:rsidP="00283464">
      <w:pPr>
        <w:pStyle w:val="BodyText"/>
        <w:rPr>
          <w:rFonts w:eastAsia="Calibri"/>
          <w:b/>
        </w:rPr>
      </w:pPr>
    </w:p>
    <w:p w:rsidR="009F4E1C" w:rsidRDefault="009F4E1C" w:rsidP="00283464">
      <w:pPr>
        <w:pStyle w:val="BodyText"/>
      </w:pPr>
      <w:r>
        <w:t>Fourth, most of the UM applications come from firms that are located in the capital of Thailand, Bangkok.</w:t>
      </w:r>
      <w:r w:rsidR="003E4EDA">
        <w:t xml:space="preserve"> </w:t>
      </w:r>
    </w:p>
    <w:p w:rsidR="003E4EDA" w:rsidRDefault="003E4EDA" w:rsidP="00283464">
      <w:pPr>
        <w:pStyle w:val="BodyText"/>
      </w:pPr>
    </w:p>
    <w:p w:rsidR="003E4EDA" w:rsidRDefault="003E4EDA" w:rsidP="00283464">
      <w:pPr>
        <w:pStyle w:val="BodyText"/>
      </w:pPr>
      <w:r>
        <w:t xml:space="preserve">And finally, we </w:t>
      </w:r>
      <w:r w:rsidRPr="004D7136">
        <w:t>examine the patterns of UM application by firms in specific industrial sectors according to the technological field of their applications</w:t>
      </w:r>
      <w:r>
        <w:t xml:space="preserve"> to examine if there are any identifiable trends. </w:t>
      </w:r>
      <w:r w:rsidRPr="004D7136">
        <w:t xml:space="preserve"> </w:t>
      </w:r>
      <w:r>
        <w:t xml:space="preserve">As expected, </w:t>
      </w:r>
      <w:r w:rsidRPr="004D7136">
        <w:t xml:space="preserve">firms in specific industrial clusters file for UM protection on inventions in their traditional technological fields, as is the case for the food and beverages industrial sector in food chemistry technological field. </w:t>
      </w:r>
      <w:r w:rsidR="00B82C96">
        <w:t xml:space="preserve"> </w:t>
      </w:r>
      <w:r w:rsidRPr="004D7136">
        <w:t xml:space="preserve">For example, firms from the food and beverages industry file for UM in food chemistry </w:t>
      </w:r>
      <w:r w:rsidRPr="004D7136">
        <w:lastRenderedPageBreak/>
        <w:t xml:space="preserve">technologies and firms from the chemical industry file for UM in the pharmaceutical and basic materials chemistry fields. </w:t>
      </w:r>
      <w:r w:rsidR="00B82C96">
        <w:t xml:space="preserve"> </w:t>
      </w:r>
      <w:r>
        <w:t xml:space="preserve">But surprisingly, we find that there are </w:t>
      </w:r>
      <w:r w:rsidRPr="004D7136">
        <w:t xml:space="preserve">a few notable industrial sectors – like wholesale – where the firms file for protection on inventions that are applicable across many </w:t>
      </w:r>
      <w:r>
        <w:t>different technological fields.</w:t>
      </w:r>
    </w:p>
    <w:p w:rsidR="003E4EDA" w:rsidRDefault="003E4EDA" w:rsidP="00283464">
      <w:pPr>
        <w:pStyle w:val="BodyText"/>
      </w:pPr>
    </w:p>
    <w:p w:rsidR="00283464" w:rsidRPr="007B4FF0" w:rsidRDefault="00283464" w:rsidP="00283464">
      <w:pPr>
        <w:pStyle w:val="BodyText"/>
        <w:rPr>
          <w:b/>
          <w:i/>
        </w:rPr>
      </w:pPr>
      <w:r w:rsidRPr="007B4FF0">
        <w:rPr>
          <w:b/>
          <w:i/>
        </w:rPr>
        <w:t>How does UM Protection Affect Firms?</w:t>
      </w:r>
    </w:p>
    <w:p w:rsidR="003704B7" w:rsidRDefault="003704B7" w:rsidP="00A12538">
      <w:pPr>
        <w:rPr>
          <w:lang w:bidi="ar-SA"/>
        </w:rPr>
      </w:pPr>
    </w:p>
    <w:p w:rsidR="00CD22D9" w:rsidRDefault="00CD22D9" w:rsidP="00A12538">
      <w:pPr>
        <w:rPr>
          <w:lang w:bidi="ar-SA"/>
        </w:rPr>
      </w:pPr>
      <w:r>
        <w:t>We carry out a more thorough investigation of the link between UM protection and firms’ performance by using an econometric approach.</w:t>
      </w:r>
      <w:r w:rsidRPr="00063027">
        <w:t xml:space="preserve"> </w:t>
      </w:r>
      <w:r>
        <w:t xml:space="preserve"> This method allows us to single out if and </w:t>
      </w:r>
      <w:r w:rsidR="0062599B">
        <w:t xml:space="preserve">determine </w:t>
      </w:r>
      <w:r>
        <w:t xml:space="preserve">the extent to which firms’ performance can be attributed to UM protection.  </w:t>
      </w:r>
    </w:p>
    <w:p w:rsidR="00CD22D9" w:rsidRDefault="00CD22D9" w:rsidP="00A12538">
      <w:pPr>
        <w:rPr>
          <w:lang w:bidi="ar-SA"/>
        </w:rPr>
      </w:pPr>
    </w:p>
    <w:p w:rsidR="00CD22D9" w:rsidRDefault="00CD22D9" w:rsidP="00CD22D9">
      <w:r>
        <w:t>The general equation for estimation is:</w:t>
      </w:r>
    </w:p>
    <w:p w:rsidR="00CD22D9" w:rsidRDefault="00CD22D9" w:rsidP="00CD22D9"/>
    <w:p w:rsidR="00CD22D9" w:rsidRPr="00455590" w:rsidRDefault="00092527" w:rsidP="00CD22D9">
      <w:pPr>
        <w:jc w:val="center"/>
        <w:rPr>
          <w:bCs/>
          <w:i/>
        </w:rPr>
      </w:pPr>
      <m:oMathPara>
        <m:oMath>
          <m:sSub>
            <m:sSubPr>
              <m:ctrlPr>
                <w:rPr>
                  <w:rFonts w:ascii="Cambria Math" w:hAnsi="Cambria Math"/>
                  <w:bCs/>
                  <w:i/>
                </w:rPr>
              </m:ctrlPr>
            </m:sSubPr>
            <m:e>
              <m:r>
                <w:rPr>
                  <w:rFonts w:ascii="Cambria Math" w:hAnsi="Cambria Math"/>
                </w:rPr>
                <m:t>Performance</m:t>
              </m:r>
            </m:e>
            <m:sub>
              <m:r>
                <w:rPr>
                  <w:rFonts w:ascii="Cambria Math" w:hAnsi="Cambria Math"/>
                </w:rPr>
                <m:t>it</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1</m:t>
              </m:r>
            </m:sub>
          </m:sSub>
          <m:sSub>
            <m:sSubPr>
              <m:ctrlPr>
                <w:rPr>
                  <w:rFonts w:ascii="Cambria Math" w:hAnsi="Cambria Math"/>
                  <w:bCs/>
                  <w:i/>
                </w:rPr>
              </m:ctrlPr>
            </m:sSubPr>
            <m:e>
              <m:r>
                <w:rPr>
                  <w:rFonts w:ascii="Cambria Math" w:hAnsi="Cambria Math"/>
                </w:rPr>
                <m:t>C</m:t>
              </m:r>
              <m:r>
                <w:rPr>
                  <w:rFonts w:ascii="Cambria Math" w:hAnsi="Cambria Math"/>
                </w:rPr>
                <m:t>ost</m:t>
              </m:r>
            </m:e>
            <m:sub>
              <m:r>
                <w:rPr>
                  <w:rFonts w:ascii="Cambria Math" w:hAnsi="Cambria Math"/>
                </w:rPr>
                <m:t>it</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2</m:t>
              </m:r>
            </m:sub>
          </m:sSub>
          <m:sSub>
            <m:sSubPr>
              <m:ctrlPr>
                <w:rPr>
                  <w:rFonts w:ascii="Cambria Math" w:hAnsi="Cambria Math"/>
                  <w:bCs/>
                  <w:i/>
                </w:rPr>
              </m:ctrlPr>
            </m:sSubPr>
            <m:e>
              <m:r>
                <w:rPr>
                  <w:rFonts w:ascii="Cambria Math" w:hAnsi="Cambria Math"/>
                </w:rPr>
                <m:t>UM</m:t>
              </m:r>
            </m:e>
            <m:sub>
              <m:r>
                <w:rPr>
                  <w:rFonts w:ascii="Cambria Math" w:hAnsi="Cambria Math"/>
                </w:rPr>
                <m:t>it</m:t>
              </m:r>
            </m:sub>
          </m:sSub>
          <m:r>
            <w:rPr>
              <w:rFonts w:ascii="Cambria Math" w:hAnsi="Cambria Math"/>
            </w:rPr>
            <m:t>+</m:t>
          </m:r>
          <m:sSub>
            <m:sSubPr>
              <m:ctrlPr>
                <w:rPr>
                  <w:rFonts w:ascii="Cambria Math" w:hAnsi="Cambria Math"/>
                  <w:bCs/>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ϵ</m:t>
              </m:r>
            </m:e>
            <m:sub>
              <m:r>
                <w:rPr>
                  <w:rFonts w:ascii="Cambria Math" w:hAnsi="Cambria Math"/>
                </w:rPr>
                <m:t>it</m:t>
              </m:r>
            </m:sub>
          </m:sSub>
        </m:oMath>
      </m:oMathPara>
    </w:p>
    <w:p w:rsidR="00CD22D9" w:rsidRPr="00EB7F23" w:rsidRDefault="00CD22D9" w:rsidP="00CD22D9">
      <w:pPr>
        <w:jc w:val="center"/>
        <w:rPr>
          <w:bCs/>
          <w:i/>
        </w:rPr>
      </w:pPr>
    </w:p>
    <w:p w:rsidR="00CD22D9" w:rsidRDefault="00CD22D9" w:rsidP="00CD22D9">
      <w:r w:rsidRPr="00F8316F">
        <w:t xml:space="preserve">Where a firm’s financial performance indicator at time </w:t>
      </w:r>
      <m:oMath>
        <m:r>
          <w:rPr>
            <w:rFonts w:ascii="Cambria Math" w:hAnsi="Cambria Math"/>
          </w:rPr>
          <m:t>t</m:t>
        </m:r>
      </m:oMath>
      <w:r w:rsidRPr="00F8316F">
        <w:t xml:space="preserve"> is a function of whether it has a UM application, </w:t>
      </w:r>
      <m:oMath>
        <m:sSub>
          <m:sSubPr>
            <m:ctrlPr>
              <w:rPr>
                <w:rFonts w:ascii="Cambria Math" w:hAnsi="Cambria Math"/>
                <w:i/>
              </w:rPr>
            </m:ctrlPr>
          </m:sSubPr>
          <m:e>
            <m:r>
              <w:rPr>
                <w:rFonts w:ascii="Cambria Math" w:hAnsi="Cambria Math"/>
              </w:rPr>
              <m:t>UM</m:t>
            </m:r>
          </m:e>
          <m:sub>
            <m:r>
              <w:rPr>
                <w:rFonts w:ascii="Cambria Math" w:hAnsi="Cambria Math"/>
              </w:rPr>
              <m:t>it</m:t>
            </m:r>
          </m:sub>
        </m:sSub>
      </m:oMath>
      <w:r w:rsidRPr="00F8316F">
        <w:t xml:space="preserve">, its operating costs, </w:t>
      </w:r>
      <m:oMath>
        <m:sSub>
          <m:sSubPr>
            <m:ctrlPr>
              <w:rPr>
                <w:rFonts w:ascii="Cambria Math" w:hAnsi="Cambria Math"/>
                <w:i/>
              </w:rPr>
            </m:ctrlPr>
          </m:sSubPr>
          <m:e>
            <m:r>
              <w:rPr>
                <w:rFonts w:ascii="Cambria Math" w:hAnsi="Cambria Math"/>
              </w:rPr>
              <m:t>Cost</m:t>
            </m:r>
          </m:e>
          <m:sub>
            <m:r>
              <w:rPr>
                <w:rFonts w:ascii="Cambria Math" w:hAnsi="Cambria Math"/>
              </w:rPr>
              <m:t>it</m:t>
            </m:r>
          </m:sub>
        </m:sSub>
      </m:oMath>
      <w:r w:rsidRPr="00F8316F">
        <w:t xml:space="preserve">, and firm-specific time-invariant factors,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F8316F">
        <w:t xml:space="preserve">. </w:t>
      </w:r>
      <w:r>
        <w:t xml:space="preserve"> </w:t>
      </w:r>
      <w:r w:rsidRPr="00F8316F">
        <w:t xml:space="preserve">This time-invariant firm specific factor,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F8316F">
        <w:t>, is obtained by using the fixed effect</w:t>
      </w:r>
      <w:r w:rsidR="00DF1428">
        <w:t xml:space="preserve"> (FE)</w:t>
      </w:r>
      <w:r w:rsidRPr="00F8316F">
        <w:t xml:space="preserve"> regression estimation. </w:t>
      </w:r>
      <w:r>
        <w:t xml:space="preserve"> </w:t>
      </w:r>
    </w:p>
    <w:p w:rsidR="00461ECD" w:rsidRDefault="00461ECD" w:rsidP="00461ECD"/>
    <w:p w:rsidR="00DF1428" w:rsidRDefault="00DF1428" w:rsidP="00461ECD">
      <w:r w:rsidRPr="00AA073E">
        <w:t>The results of our estimations largely confirm the trends we have plotted earlier in</w:t>
      </w:r>
      <w:r>
        <w:t xml:space="preserve"> Figure E-1.</w:t>
      </w:r>
      <w:r w:rsidRPr="00AA073E">
        <w:t xml:space="preserve"> </w:t>
      </w:r>
      <w:r>
        <w:t xml:space="preserve"> </w:t>
      </w:r>
      <w:r w:rsidRPr="00AA073E">
        <w:t>On average, we find a positive and statistically significant correlation between firms’ financial performance indicators and UM protection.</w:t>
      </w:r>
      <w:r>
        <w:t xml:space="preserve"> </w:t>
      </w:r>
      <w:r w:rsidRPr="00AA073E">
        <w:t xml:space="preserve"> </w:t>
      </w:r>
    </w:p>
    <w:p w:rsidR="002E5764" w:rsidRDefault="002E5764" w:rsidP="00461ECD"/>
    <w:p w:rsidR="00461ECD" w:rsidRPr="00535E8E" w:rsidRDefault="002E5764" w:rsidP="00461ECD">
      <w:r>
        <w:t xml:space="preserve">We suspect that there may be a size effect which </w:t>
      </w:r>
      <w:r w:rsidR="00F473F7">
        <w:t>influences</w:t>
      </w:r>
      <w:r>
        <w:t xml:space="preserve"> the link between UM protection and the firms’ performance indicators</w:t>
      </w:r>
      <w:r w:rsidR="003433F8">
        <w:t>,</w:t>
      </w:r>
      <w:r w:rsidR="00194CF8">
        <w:t xml:space="preserve"> and test this </w:t>
      </w:r>
      <w:r w:rsidR="00F473F7">
        <w:t xml:space="preserve">theory </w:t>
      </w:r>
      <w:r w:rsidR="00194CF8">
        <w:t>out</w:t>
      </w:r>
      <w:r>
        <w:t>.</w:t>
      </w:r>
      <w:r w:rsidR="00461ECD" w:rsidRPr="00AA073E">
        <w:t xml:space="preserve"> </w:t>
      </w:r>
      <w:r>
        <w:t xml:space="preserve"> </w:t>
      </w:r>
      <w:r w:rsidR="00461ECD" w:rsidRPr="00AA073E">
        <w:t>We find two interesting results.</w:t>
      </w:r>
      <w:r w:rsidR="00B82C96">
        <w:t xml:space="preserve"> </w:t>
      </w:r>
      <w:r w:rsidR="00461ECD" w:rsidRPr="00AA073E">
        <w:t xml:space="preserve"> First, the size associated with the UM coefficients are higher than the </w:t>
      </w:r>
      <w:r>
        <w:t>regressions without the size variabl</w:t>
      </w:r>
      <w:r w:rsidR="00461ECD" w:rsidRPr="00AA073E">
        <w:t xml:space="preserve">e. </w:t>
      </w:r>
      <w:r w:rsidR="00B82C96">
        <w:t xml:space="preserve"> </w:t>
      </w:r>
      <w:r w:rsidR="00461ECD" w:rsidRPr="00AA073E">
        <w:t>And secondly, the increase in net sales for the average firm decreases as the size of the firm increases.</w:t>
      </w:r>
      <w:r w:rsidR="00B82C96">
        <w:t xml:space="preserve"> </w:t>
      </w:r>
      <w:r w:rsidR="00461ECD" w:rsidRPr="00AA073E">
        <w:t xml:space="preserve"> Simply put, the increase in net sales with UM protection is higher than before, and this effect</w:t>
      </w:r>
      <w:r>
        <w:t xml:space="preserve"> is stronger for smaller firms.  This result can be better observed when we</w:t>
      </w:r>
      <w:r w:rsidR="00461ECD" w:rsidRPr="00AA073E">
        <w:t xml:space="preserve"> </w:t>
      </w:r>
      <w:r>
        <w:t>graph</w:t>
      </w:r>
      <w:r w:rsidR="00461ECD" w:rsidRPr="00AA073E">
        <w:t xml:space="preserve"> the influence of UM protection on net sales according to the firm size as in</w:t>
      </w:r>
      <w:r w:rsidR="00461ECD">
        <w:t xml:space="preserve"> Figure E-2.</w:t>
      </w:r>
      <w:r w:rsidR="00461ECD" w:rsidRPr="00AA073E">
        <w:t xml:space="preserve"> </w:t>
      </w:r>
      <w:r w:rsidR="00461ECD">
        <w:t xml:space="preserve"> </w:t>
      </w:r>
      <w:r w:rsidR="00461ECD" w:rsidRPr="00AA073E">
        <w:t xml:space="preserve">The figure (below) shows that as the firm size increases – measured by their operating costs – the effect of the UM application on net sales decreases. </w:t>
      </w:r>
    </w:p>
    <w:p w:rsidR="00B82C96" w:rsidRDefault="00B82C96">
      <w:r>
        <w:br w:type="page"/>
      </w:r>
    </w:p>
    <w:p w:rsidR="00461ECD" w:rsidRPr="00496C85" w:rsidRDefault="00461ECD" w:rsidP="00B82C96">
      <w:pPr>
        <w:rPr>
          <w:rFonts w:eastAsia="MS Mincho"/>
          <w:b/>
          <w:bCs/>
          <w:sz w:val="18"/>
          <w:szCs w:val="18"/>
          <w:lang w:bidi="ar-SA"/>
        </w:rPr>
      </w:pPr>
      <w:r w:rsidRPr="00496C85">
        <w:rPr>
          <w:rFonts w:eastAsia="MS Mincho"/>
          <w:b/>
          <w:bCs/>
          <w:sz w:val="18"/>
          <w:szCs w:val="18"/>
          <w:lang w:bidi="ar-SA"/>
        </w:rPr>
        <w:lastRenderedPageBreak/>
        <w:t>Figure E-2:  The Interaction of UM Application on Net Sales</w:t>
      </w:r>
    </w:p>
    <w:tbl>
      <w:tblPr>
        <w:tblStyle w:val="TableGrid"/>
        <w:tblW w:w="9097" w:type="dxa"/>
        <w:jc w:val="center"/>
        <w:tblLook w:val="04A0" w:firstRow="1" w:lastRow="0" w:firstColumn="1" w:lastColumn="0" w:noHBand="0" w:noVBand="1"/>
      </w:tblPr>
      <w:tblGrid>
        <w:gridCol w:w="9097"/>
      </w:tblGrid>
      <w:tr w:rsidR="00461ECD" w:rsidTr="00890B67">
        <w:trPr>
          <w:trHeight w:val="4796"/>
          <w:jc w:val="center"/>
        </w:trPr>
        <w:tc>
          <w:tcPr>
            <w:tcW w:w="9097" w:type="dxa"/>
          </w:tcPr>
          <w:p w:rsidR="00461ECD" w:rsidRDefault="00461ECD" w:rsidP="00F44DDD">
            <w:r>
              <w:rPr>
                <w:noProof/>
                <w:lang w:bidi="ar-SA"/>
              </w:rPr>
              <w:drawing>
                <wp:inline distT="0" distB="0" distL="0" distR="0" wp14:anchorId="5137F5C1" wp14:editId="6ADBD39D">
                  <wp:extent cx="5633085" cy="3005455"/>
                  <wp:effectExtent l="0" t="0" r="571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3085" cy="3005455"/>
                          </a:xfrm>
                          <a:prstGeom prst="rect">
                            <a:avLst/>
                          </a:prstGeom>
                          <a:noFill/>
                        </pic:spPr>
                      </pic:pic>
                    </a:graphicData>
                  </a:graphic>
                </wp:inline>
              </w:drawing>
            </w:r>
          </w:p>
        </w:tc>
      </w:tr>
    </w:tbl>
    <w:p w:rsidR="00461ECD" w:rsidRDefault="00461ECD" w:rsidP="00461ECD"/>
    <w:p w:rsidR="0076150C" w:rsidRPr="007B4FF0" w:rsidRDefault="0076150C" w:rsidP="0076150C">
      <w:pPr>
        <w:pStyle w:val="BodyText"/>
        <w:rPr>
          <w:b/>
          <w:i/>
        </w:rPr>
      </w:pPr>
      <w:r w:rsidRPr="007B4FF0">
        <w:rPr>
          <w:b/>
          <w:i/>
        </w:rPr>
        <w:t>Conclusion</w:t>
      </w:r>
    </w:p>
    <w:p w:rsidR="0076150C" w:rsidRDefault="0076150C" w:rsidP="0076150C">
      <w:pPr>
        <w:pStyle w:val="BodyText"/>
        <w:rPr>
          <w:b/>
        </w:rPr>
      </w:pPr>
    </w:p>
    <w:p w:rsidR="0076150C" w:rsidRDefault="0076150C" w:rsidP="0076150C">
      <w:r>
        <w:t>This study takes a first step in trying to establish if UM protection is useful in a less developed economy such as Thailand.</w:t>
      </w:r>
      <w:r w:rsidRPr="0076150C">
        <w:t xml:space="preserve"> </w:t>
      </w:r>
      <w:r>
        <w:t xml:space="preserve"> In particular, i</w:t>
      </w:r>
      <w:r w:rsidRPr="005D326F">
        <w:t>t investigates the relationship of UM protection and</w:t>
      </w:r>
      <w:r w:rsidR="00F473F7">
        <w:t xml:space="preserve"> performances of local</w:t>
      </w:r>
      <w:r w:rsidRPr="005D326F">
        <w:t xml:space="preserve"> firm</w:t>
      </w:r>
      <w:r w:rsidR="00F473F7">
        <w:t>s</w:t>
      </w:r>
      <w:r w:rsidRPr="005D326F">
        <w:t xml:space="preserve"> in </w:t>
      </w:r>
      <w:r>
        <w:t>the country</w:t>
      </w:r>
      <w:r w:rsidRPr="005D326F">
        <w:t xml:space="preserve">. </w:t>
      </w:r>
      <w:r>
        <w:t xml:space="preserve"> </w:t>
      </w:r>
    </w:p>
    <w:p w:rsidR="0076150C" w:rsidRPr="005D326F" w:rsidRDefault="0076150C" w:rsidP="0076150C"/>
    <w:p w:rsidR="0076150C" w:rsidRDefault="0076150C" w:rsidP="0076150C">
      <w:r w:rsidRPr="005D326F">
        <w:t>The results presented here on UM protection are promising.</w:t>
      </w:r>
      <w:r>
        <w:t xml:space="preserve"> </w:t>
      </w:r>
      <w:r w:rsidRPr="005D326F">
        <w:t xml:space="preserve"> </w:t>
      </w:r>
      <w:r w:rsidR="00F473F7">
        <w:t>We observe</w:t>
      </w:r>
      <w:r>
        <w:t xml:space="preserve"> that there is a positive and significant link between UM protection and firm performance indicators.  However, we </w:t>
      </w:r>
      <w:r w:rsidR="00F473F7">
        <w:t>refrain from</w:t>
      </w:r>
      <w:r>
        <w:t xml:space="preserve"> attributing the increase in the firm’ performance indicators to UM protection.</w:t>
      </w:r>
      <w:r w:rsidRPr="0076150C">
        <w:t xml:space="preserve"> </w:t>
      </w:r>
      <w:r>
        <w:t xml:space="preserve"> </w:t>
      </w:r>
      <w:r w:rsidRPr="005D326F">
        <w:t xml:space="preserve">Simply put, we </w:t>
      </w:r>
      <w:r w:rsidR="00F473F7">
        <w:t>are</w:t>
      </w:r>
      <w:r w:rsidRPr="005D326F">
        <w:t xml:space="preserve"> not able to show causality between the introduction and implementation of UM protection and </w:t>
      </w:r>
      <w:r w:rsidR="00F473F7">
        <w:t xml:space="preserve">the </w:t>
      </w:r>
      <w:r w:rsidRPr="005D326F">
        <w:t xml:space="preserve">gains in </w:t>
      </w:r>
      <w:r w:rsidR="00F473F7">
        <w:t xml:space="preserve">the </w:t>
      </w:r>
      <w:r w:rsidRPr="005D326F">
        <w:t>firm</w:t>
      </w:r>
      <w:r w:rsidR="00F473F7">
        <w:t>s’</w:t>
      </w:r>
      <w:r w:rsidRPr="005D326F">
        <w:t xml:space="preserve"> performance</w:t>
      </w:r>
      <w:r w:rsidR="00F473F7">
        <w:t>s</w:t>
      </w:r>
      <w:r w:rsidRPr="005D326F">
        <w:t xml:space="preserve">. </w:t>
      </w:r>
      <w:r>
        <w:t xml:space="preserve"> </w:t>
      </w:r>
      <w:r w:rsidRPr="005D326F">
        <w:t>This is partly due to data limitations.</w:t>
      </w:r>
      <w:r>
        <w:t xml:space="preserve"> </w:t>
      </w:r>
      <w:r w:rsidRPr="005D326F">
        <w:t xml:space="preserve"> We may be omitting some important factors that can well explain the economic gains that these firms observe which may also be related to the firms’ decision to file for UM.</w:t>
      </w:r>
      <w:r>
        <w:t xml:space="preserve">  In other words, do more successful innovators that take out more UM protection perform better?  As a counter argument, do firms that produce successful innovation but do not take UM protection also perform equally well?</w:t>
      </w:r>
    </w:p>
    <w:p w:rsidR="0076150C" w:rsidRDefault="0076150C" w:rsidP="0076150C"/>
    <w:p w:rsidR="0076150C" w:rsidRPr="0076150C" w:rsidRDefault="0076150C" w:rsidP="0076150C">
      <w:pPr>
        <w:pStyle w:val="BodyText"/>
      </w:pPr>
      <w:r w:rsidRPr="005D326F">
        <w:t xml:space="preserve">Further investigation is needed before we can conclude how UM affects firms economic performance. </w:t>
      </w:r>
      <w:r>
        <w:t xml:space="preserve"> </w:t>
      </w:r>
      <w:r w:rsidRPr="005D326F">
        <w:t xml:space="preserve">For one, what are the channels through which UM protection may affect the firms’ performance? </w:t>
      </w:r>
      <w:r>
        <w:t xml:space="preserve"> </w:t>
      </w:r>
      <w:r w:rsidRPr="005D326F">
        <w:t xml:space="preserve">Does UM protection give time to the firms to commercialize their inventions, without fear that rivals may infringe on their intellectual property? </w:t>
      </w:r>
      <w:r>
        <w:t xml:space="preserve"> </w:t>
      </w:r>
      <w:r w:rsidRPr="005D326F">
        <w:t xml:space="preserve">Does it facilitate the firms’ access to capital? </w:t>
      </w:r>
      <w:r>
        <w:t xml:space="preserve"> </w:t>
      </w:r>
      <w:r w:rsidRPr="005D326F">
        <w:t xml:space="preserve">Also, what are the reasons behind the firms’ decision to file for UM protection, in comparison to patent protection for example? </w:t>
      </w:r>
      <w:r>
        <w:t xml:space="preserve"> </w:t>
      </w:r>
      <w:r w:rsidRPr="005D326F">
        <w:t>We plan to investigate these avenues for future research work.</w:t>
      </w:r>
    </w:p>
    <w:p w:rsidR="0076150C" w:rsidRDefault="0076150C" w:rsidP="00461ECD"/>
    <w:p w:rsidR="00461ECD" w:rsidRPr="008D4CCE" w:rsidRDefault="00461ECD" w:rsidP="00461ECD">
      <w:pPr>
        <w:rPr>
          <w:rFonts w:eastAsia="Calibri"/>
        </w:rPr>
      </w:pPr>
    </w:p>
    <w:p w:rsidR="00461ECD" w:rsidRDefault="00461ECD" w:rsidP="00A12538"/>
    <w:p w:rsidR="00494375" w:rsidRDefault="00494375" w:rsidP="00A12538"/>
    <w:p w:rsidR="00494375" w:rsidRDefault="00494375" w:rsidP="00A12538"/>
    <w:p w:rsidR="00A12538" w:rsidRDefault="00A12538" w:rsidP="00A12538">
      <w:pPr>
        <w:rPr>
          <w:lang w:bidi="ar-SA"/>
        </w:rPr>
      </w:pPr>
      <w:r>
        <w:rPr>
          <w:lang w:bidi="ar-SA"/>
        </w:rPr>
        <w:br w:type="page"/>
      </w:r>
    </w:p>
    <w:p w:rsidR="005B104B" w:rsidRDefault="00A12538" w:rsidP="00A12538">
      <w:pPr>
        <w:rPr>
          <w:b/>
          <w:caps/>
          <w:szCs w:val="22"/>
        </w:rPr>
      </w:pPr>
      <w:r w:rsidRPr="00676E52">
        <w:rPr>
          <w:b/>
          <w:caps/>
          <w:szCs w:val="22"/>
        </w:rPr>
        <w:lastRenderedPageBreak/>
        <w:t>How Utility Models Affect Local Firm Performance in Thailand</w:t>
      </w:r>
    </w:p>
    <w:p w:rsidR="00A12538" w:rsidRPr="008433A0" w:rsidRDefault="00A12538" w:rsidP="008433A0">
      <w:pPr>
        <w:rPr>
          <w:lang w:bidi="ar-SA"/>
        </w:rPr>
      </w:pPr>
    </w:p>
    <w:p w:rsidR="00EA0810" w:rsidRPr="008433A0" w:rsidRDefault="00EA0810" w:rsidP="00EE6F52">
      <w:pPr>
        <w:pStyle w:val="Heading1"/>
        <w:rPr>
          <w:i w:val="0"/>
          <w:caps/>
        </w:rPr>
      </w:pPr>
      <w:bookmarkStart w:id="8" w:name="_Toc393894449"/>
      <w:r w:rsidRPr="008433A0">
        <w:rPr>
          <w:i w:val="0"/>
          <w:caps/>
        </w:rPr>
        <w:t>Introduction</w:t>
      </w:r>
      <w:bookmarkEnd w:id="7"/>
      <w:bookmarkEnd w:id="8"/>
    </w:p>
    <w:p w:rsidR="00EA0810" w:rsidRDefault="00EA0810" w:rsidP="00EA0810"/>
    <w:p w:rsidR="00965802" w:rsidRDefault="00965802" w:rsidP="00965802">
      <w:pPr>
        <w:rPr>
          <w:rFonts w:eastAsia="Calibri"/>
        </w:rPr>
      </w:pPr>
      <w:r w:rsidRPr="000715CC">
        <w:rPr>
          <w:rFonts w:eastAsia="Calibri"/>
        </w:rPr>
        <w:t xml:space="preserve">The present </w:t>
      </w:r>
      <w:r>
        <w:rPr>
          <w:rFonts w:eastAsia="Calibri"/>
        </w:rPr>
        <w:t>document</w:t>
      </w:r>
      <w:r w:rsidRPr="000715CC">
        <w:rPr>
          <w:rFonts w:eastAsia="Calibri"/>
        </w:rPr>
        <w:t xml:space="preserve"> is an output of the Project on Intellectual Property and Socio-Economic Development of the Committee on Development and Intellectual Property (CDIP), which consists of a series of economic studies that </w:t>
      </w:r>
      <w:r w:rsidR="003433F8">
        <w:rPr>
          <w:rFonts w:eastAsia="Calibri"/>
        </w:rPr>
        <w:t>seeks</w:t>
      </w:r>
      <w:r w:rsidR="003433F8" w:rsidRPr="000715CC">
        <w:rPr>
          <w:rFonts w:eastAsia="Calibri"/>
        </w:rPr>
        <w:t xml:space="preserve"> </w:t>
      </w:r>
      <w:r w:rsidRPr="000715CC">
        <w:rPr>
          <w:rFonts w:eastAsia="Calibri"/>
        </w:rPr>
        <w:t>to provide evidence on the effects of intellectual property (IP) protection in less developed countries.</w:t>
      </w:r>
      <w:r w:rsidRPr="000715CC">
        <w:rPr>
          <w:rFonts w:eastAsia="Calibri"/>
          <w:vertAlign w:val="superscript"/>
        </w:rPr>
        <w:footnoteReference w:id="7"/>
      </w:r>
      <w:r w:rsidRPr="000715CC">
        <w:rPr>
          <w:rFonts w:eastAsia="Calibri"/>
        </w:rPr>
        <w:t xml:space="preserve">  In particular, this study investigates the impact of utility model (UM) protection in Thailand, an upper-middle income country.  The results of this country study are divided in two parts: the first </w:t>
      </w:r>
      <w:r>
        <w:rPr>
          <w:rFonts w:eastAsia="Calibri"/>
        </w:rPr>
        <w:t>documen</w:t>
      </w:r>
      <w:r w:rsidRPr="000715CC">
        <w:rPr>
          <w:rFonts w:eastAsia="Calibri"/>
        </w:rPr>
        <w:t>t provided a descriptive analysis on the use of UM protection in Thailand and was presented at the Twelfth Session of the CDIP in November, 2013.</w:t>
      </w:r>
      <w:r w:rsidRPr="000715CC">
        <w:rPr>
          <w:rFonts w:eastAsia="Calibri"/>
          <w:vertAlign w:val="superscript"/>
        </w:rPr>
        <w:footnoteReference w:id="8"/>
      </w:r>
      <w:r w:rsidRPr="000715CC">
        <w:rPr>
          <w:rFonts w:eastAsia="Calibri"/>
        </w:rPr>
        <w:t xml:space="preserve">  This second </w:t>
      </w:r>
      <w:r w:rsidR="00D96237">
        <w:rPr>
          <w:rFonts w:eastAsia="Calibri"/>
        </w:rPr>
        <w:t>paper</w:t>
      </w:r>
      <w:r w:rsidR="00D96237" w:rsidRPr="000715CC">
        <w:rPr>
          <w:rFonts w:eastAsia="Calibri"/>
        </w:rPr>
        <w:t xml:space="preserve"> </w:t>
      </w:r>
      <w:r w:rsidRPr="000715CC">
        <w:rPr>
          <w:rFonts w:eastAsia="Calibri"/>
        </w:rPr>
        <w:t>investigates how UM protection affects the economic performance of Thai companies.</w:t>
      </w:r>
    </w:p>
    <w:p w:rsidR="0044453F" w:rsidRDefault="0044453F" w:rsidP="000715CC">
      <w:pPr>
        <w:rPr>
          <w:rFonts w:eastAsia="Calibri"/>
        </w:rPr>
      </w:pPr>
    </w:p>
    <w:p w:rsidR="0044453F" w:rsidRDefault="0044453F" w:rsidP="0044453F">
      <w:pPr>
        <w:rPr>
          <w:rFonts w:eastAsia="Calibri"/>
        </w:rPr>
      </w:pPr>
      <w:r w:rsidRPr="0044453F">
        <w:rPr>
          <w:rFonts w:eastAsia="Calibri"/>
        </w:rPr>
        <w:t xml:space="preserve">UM protection is arguably </w:t>
      </w:r>
      <w:r>
        <w:rPr>
          <w:rFonts w:eastAsia="Calibri"/>
        </w:rPr>
        <w:t>a development friendly IP</w:t>
      </w:r>
      <w:r w:rsidRPr="0044453F">
        <w:rPr>
          <w:rFonts w:eastAsia="Calibri"/>
        </w:rPr>
        <w:t xml:space="preserve"> instrument that helps less developed economies transition to fully using the system</w:t>
      </w:r>
      <w:r>
        <w:rPr>
          <w:rFonts w:eastAsia="Calibri"/>
        </w:rPr>
        <w:t xml:space="preserve"> as a whole</w:t>
      </w:r>
      <w:r w:rsidRPr="0044453F">
        <w:rPr>
          <w:rFonts w:eastAsia="Calibri"/>
        </w:rPr>
        <w:t xml:space="preserve">. </w:t>
      </w:r>
      <w:r w:rsidR="004E2495">
        <w:rPr>
          <w:rFonts w:eastAsia="Calibri"/>
        </w:rPr>
        <w:t xml:space="preserve"> </w:t>
      </w:r>
      <w:r w:rsidRPr="0044453F">
        <w:rPr>
          <w:rFonts w:eastAsia="Calibri"/>
        </w:rPr>
        <w:t xml:space="preserve">For one, many less developed economies are adjusting to the relatively recent implementation of an IP system that is equivalent to their developed counterparts, in particular the World Trade Organization’s </w:t>
      </w:r>
      <w:r w:rsidRPr="0044453F">
        <w:rPr>
          <w:rFonts w:eastAsia="Calibri"/>
          <w:i/>
        </w:rPr>
        <w:t>Trade-related Aspects of Intellectual Property Rights</w:t>
      </w:r>
      <w:r>
        <w:rPr>
          <w:rFonts w:eastAsia="Calibri"/>
          <w:i/>
        </w:rPr>
        <w:t xml:space="preserve"> </w:t>
      </w:r>
      <w:r>
        <w:rPr>
          <w:rFonts w:eastAsia="Calibri"/>
        </w:rPr>
        <w:t>(TRIPS)</w:t>
      </w:r>
      <w:r w:rsidRPr="0044453F">
        <w:rPr>
          <w:rFonts w:eastAsia="Calibri"/>
          <w:i/>
        </w:rPr>
        <w:t xml:space="preserve"> </w:t>
      </w:r>
      <w:r w:rsidRPr="0044453F">
        <w:rPr>
          <w:rFonts w:eastAsia="Calibri"/>
        </w:rPr>
        <w:t>agreement. This suggests that many inventors in these countries may not be familiar with using the IP system. Secondly, they tend to be technology importers.</w:t>
      </w:r>
      <w:r w:rsidRPr="0044453F">
        <w:rPr>
          <w:rFonts w:eastAsia="Calibri"/>
          <w:vertAlign w:val="superscript"/>
        </w:rPr>
        <w:footnoteReference w:id="9"/>
      </w:r>
      <w:r w:rsidRPr="0044453F">
        <w:rPr>
          <w:rFonts w:eastAsia="Calibri"/>
        </w:rPr>
        <w:t xml:space="preserve"> </w:t>
      </w:r>
      <w:r>
        <w:rPr>
          <w:rFonts w:eastAsia="Calibri"/>
        </w:rPr>
        <w:t xml:space="preserve"> </w:t>
      </w:r>
      <w:r w:rsidRPr="0044453F">
        <w:rPr>
          <w:rFonts w:eastAsia="Calibri"/>
        </w:rPr>
        <w:t xml:space="preserve">In other words, less developed economies are more likely to rely on the rest of the world for new technologies rather than producing them locally. </w:t>
      </w:r>
      <w:r w:rsidR="004E2495">
        <w:rPr>
          <w:rFonts w:eastAsia="Calibri"/>
        </w:rPr>
        <w:t xml:space="preserve"> </w:t>
      </w:r>
      <w:r w:rsidRPr="0044453F">
        <w:rPr>
          <w:rFonts w:eastAsia="Calibri"/>
        </w:rPr>
        <w:t xml:space="preserve">This may imply that their inventors may not have sufficient capacity, or capability, to produce </w:t>
      </w:r>
      <w:r w:rsidR="00D500BD">
        <w:rPr>
          <w:rFonts w:eastAsia="Calibri"/>
        </w:rPr>
        <w:t>new-to-the-world type of invention</w:t>
      </w:r>
      <w:r w:rsidRPr="0044453F">
        <w:rPr>
          <w:rFonts w:eastAsia="Calibri"/>
        </w:rPr>
        <w:t>.</w:t>
      </w:r>
      <w:r w:rsidRPr="0044453F">
        <w:rPr>
          <w:rFonts w:eastAsia="Calibri"/>
          <w:vertAlign w:val="superscript"/>
        </w:rPr>
        <w:footnoteReference w:id="10"/>
      </w:r>
      <w:r w:rsidRPr="0044453F">
        <w:rPr>
          <w:rFonts w:eastAsia="Calibri"/>
        </w:rPr>
        <w:t xml:space="preserve"> </w:t>
      </w:r>
    </w:p>
    <w:p w:rsidR="0044453F" w:rsidRDefault="0044453F" w:rsidP="0044453F">
      <w:pPr>
        <w:rPr>
          <w:rFonts w:eastAsia="Calibri"/>
        </w:rPr>
      </w:pPr>
    </w:p>
    <w:p w:rsidR="005011FA" w:rsidRPr="005011FA" w:rsidRDefault="005011FA" w:rsidP="0044453F">
      <w:pPr>
        <w:rPr>
          <w:rFonts w:eastAsia="Calibri"/>
        </w:rPr>
      </w:pPr>
      <w:r>
        <w:rPr>
          <w:rFonts w:eastAsia="Calibri"/>
        </w:rPr>
        <w:t>S</w:t>
      </w:r>
      <w:r w:rsidR="0044453F" w:rsidRPr="0044453F">
        <w:rPr>
          <w:rFonts w:eastAsia="Calibri"/>
        </w:rPr>
        <w:t xml:space="preserve">tudies have shown that even if the countries may not have the capacities to produce the inventions themselves at the initial stages, they may develop the capacity to do so under the right conditions. </w:t>
      </w:r>
      <w:r>
        <w:rPr>
          <w:rFonts w:eastAsia="Calibri"/>
        </w:rPr>
        <w:t xml:space="preserve"> </w:t>
      </w:r>
      <w:r w:rsidR="0044453F" w:rsidRPr="0044453F">
        <w:rPr>
          <w:rFonts w:eastAsia="Calibri"/>
        </w:rPr>
        <w:t>This has been shown in the cases of South Korea, Japan and even the United States of America, to name a few.</w:t>
      </w:r>
      <w:r w:rsidR="0044453F" w:rsidRPr="0044453F">
        <w:rPr>
          <w:rFonts w:eastAsia="Calibri"/>
          <w:vertAlign w:val="superscript"/>
        </w:rPr>
        <w:footnoteReference w:id="11"/>
      </w:r>
      <w:r w:rsidR="0044453F" w:rsidRPr="0044453F">
        <w:rPr>
          <w:rFonts w:eastAsia="Calibri"/>
        </w:rPr>
        <w:t xml:space="preserve"> </w:t>
      </w:r>
      <w:r w:rsidR="00B82C96">
        <w:rPr>
          <w:rFonts w:eastAsia="Calibri"/>
        </w:rPr>
        <w:t xml:space="preserve"> </w:t>
      </w:r>
      <w:r w:rsidR="0044453F" w:rsidRPr="0044453F">
        <w:rPr>
          <w:rFonts w:eastAsia="Calibri"/>
        </w:rPr>
        <w:t>In the South Korea case, Kim</w:t>
      </w:r>
      <w:r w:rsidR="0044453F">
        <w:rPr>
          <w:rFonts w:eastAsia="Calibri"/>
        </w:rPr>
        <w:t xml:space="preserve"> </w:t>
      </w:r>
      <w:r w:rsidR="0044453F">
        <w:rPr>
          <w:rFonts w:eastAsia="Calibri"/>
        </w:rPr>
        <w:fldChar w:fldCharType="begin"/>
      </w:r>
      <w:r w:rsidR="0044453F">
        <w:rPr>
          <w:rFonts w:eastAsia="Calibri"/>
        </w:rPr>
        <w:instrText xml:space="preserve"> ADDIN EN.CITE &lt;EndNote&gt;&lt;Cite ExcludeAuth="1"&gt;&lt;Author&gt;Kim&lt;/Author&gt;&lt;Year&gt;1997&lt;/Year&gt;&lt;RecNum&gt;253&lt;/RecNum&gt;&lt;DisplayText&gt;(1997)&lt;/DisplayText&gt;&lt;record&gt;&lt;rec-number&gt;253&lt;/rec-number&gt;&lt;foreign-keys&gt;&lt;key app="EN" db-id="tx0d9f997w9wxsexzvyxfdp6psp5sxt0e59f"&gt;253&lt;/key&gt;&lt;/foreign-keys&gt;&lt;ref-type name="Book"&gt;6&lt;/ref-type&gt;&lt;contributors&gt;&lt;authors&gt;&lt;author&gt;Kim, Linsu&lt;/author&gt;&lt;/authors&gt;&lt;/contributors&gt;&lt;titles&gt;&lt;title&gt;Imitation to Innovation: The Dynamics of Korea&amp;apos;s Technological Learning&lt;/title&gt;&lt;/titles&gt;&lt;dates&gt;&lt;year&gt;1997&lt;/year&gt;&lt;/dates&gt;&lt;pub-location&gt;Boston&lt;/pub-location&gt;&lt;publisher&gt;Harvard Business Press&lt;/publisher&gt;&lt;urls&gt;&lt;/urls&gt;&lt;/record&gt;&lt;/Cite&gt;&lt;/EndNote&gt;</w:instrText>
      </w:r>
      <w:r w:rsidR="0044453F">
        <w:rPr>
          <w:rFonts w:eastAsia="Calibri"/>
        </w:rPr>
        <w:fldChar w:fldCharType="separate"/>
      </w:r>
      <w:r w:rsidR="0044453F">
        <w:rPr>
          <w:rFonts w:eastAsia="Calibri"/>
          <w:noProof/>
        </w:rPr>
        <w:t>(</w:t>
      </w:r>
      <w:hyperlink w:anchor="_ENREF_3" w:tooltip="Kim, 1997 #253" w:history="1">
        <w:r>
          <w:rPr>
            <w:rFonts w:eastAsia="Calibri"/>
            <w:noProof/>
          </w:rPr>
          <w:t>1997</w:t>
        </w:r>
      </w:hyperlink>
      <w:r w:rsidR="0044453F">
        <w:rPr>
          <w:rFonts w:eastAsia="Calibri"/>
          <w:noProof/>
        </w:rPr>
        <w:t>)</w:t>
      </w:r>
      <w:r w:rsidR="0044453F">
        <w:rPr>
          <w:rFonts w:eastAsia="Calibri"/>
        </w:rPr>
        <w:fldChar w:fldCharType="end"/>
      </w:r>
      <w:r w:rsidR="0044453F" w:rsidRPr="0044453F">
        <w:rPr>
          <w:rFonts w:eastAsia="Calibri"/>
        </w:rPr>
        <w:t xml:space="preserve"> argued that the availability of UM protection helped his country transition from a technology importing country to an exporter.</w:t>
      </w:r>
      <w:r>
        <w:rPr>
          <w:rFonts w:eastAsia="Calibri"/>
        </w:rPr>
        <w:t xml:space="preserve"> </w:t>
      </w:r>
    </w:p>
    <w:p w:rsidR="0044453F" w:rsidRDefault="0044453F" w:rsidP="0044453F">
      <w:pPr>
        <w:rPr>
          <w:rFonts w:eastAsia="Calibri"/>
        </w:rPr>
      </w:pPr>
    </w:p>
    <w:p w:rsidR="0044453F" w:rsidRPr="005011FA" w:rsidRDefault="00D500BD" w:rsidP="0044453F">
      <w:pPr>
        <w:rPr>
          <w:rFonts w:eastAsia="Calibri"/>
        </w:rPr>
      </w:pPr>
      <w:r>
        <w:rPr>
          <w:rFonts w:eastAsia="Calibri"/>
        </w:rPr>
        <w:t xml:space="preserve">How can UM help inventors in less developed economies?  </w:t>
      </w:r>
      <w:r w:rsidR="0044453F" w:rsidRPr="0044453F">
        <w:rPr>
          <w:rFonts w:eastAsia="Calibri"/>
        </w:rPr>
        <w:t xml:space="preserve">Firstly, UM protection provides an exclusive right over inventions that do not necessarily meet the patentability criteria, in particular the inventive step test. </w:t>
      </w:r>
      <w:r w:rsidR="00B82C96">
        <w:rPr>
          <w:rFonts w:eastAsia="Calibri"/>
        </w:rPr>
        <w:t xml:space="preserve"> </w:t>
      </w:r>
      <w:r w:rsidR="0044453F" w:rsidRPr="0044453F">
        <w:rPr>
          <w:rFonts w:eastAsia="Calibri"/>
        </w:rPr>
        <w:t xml:space="preserve">This allows inventors to file for protection on their inventions that may not meet the patentability criteria. </w:t>
      </w:r>
      <w:r w:rsidR="00B82C96">
        <w:rPr>
          <w:rFonts w:eastAsia="Calibri"/>
        </w:rPr>
        <w:t xml:space="preserve"> </w:t>
      </w:r>
      <w:r w:rsidR="0044453F" w:rsidRPr="0044453F">
        <w:rPr>
          <w:rFonts w:eastAsia="Calibri"/>
        </w:rPr>
        <w:t xml:space="preserve">The protection is akin to patent protection in that the inventor has exclusive rights to market the invention but for a shorter time period. </w:t>
      </w:r>
      <w:r w:rsidR="00B82C96">
        <w:rPr>
          <w:rFonts w:eastAsia="Calibri"/>
        </w:rPr>
        <w:t xml:space="preserve"> </w:t>
      </w:r>
      <w:r w:rsidR="0044453F" w:rsidRPr="0044453F">
        <w:rPr>
          <w:rFonts w:eastAsia="Calibri"/>
        </w:rPr>
        <w:t xml:space="preserve">Secondly, the more the inventors apply for UM protection on their inventions, the more familiar they </w:t>
      </w:r>
      <w:r w:rsidR="00EF64FA">
        <w:rPr>
          <w:rFonts w:eastAsia="Calibri"/>
        </w:rPr>
        <w:t xml:space="preserve">may </w:t>
      </w:r>
      <w:r w:rsidR="0044453F" w:rsidRPr="0044453F">
        <w:rPr>
          <w:rFonts w:eastAsia="Calibri"/>
        </w:rPr>
        <w:t>become in using the IP system as a whole.</w:t>
      </w:r>
      <w:r w:rsidR="00EF64FA">
        <w:rPr>
          <w:rStyle w:val="FootnoteReference"/>
          <w:rFonts w:eastAsia="Calibri"/>
        </w:rPr>
        <w:footnoteReference w:id="12"/>
      </w:r>
      <w:r w:rsidR="0044453F" w:rsidRPr="0044453F">
        <w:rPr>
          <w:rFonts w:eastAsia="Calibri"/>
        </w:rPr>
        <w:t xml:space="preserve"> </w:t>
      </w:r>
      <w:r w:rsidR="005011FA">
        <w:rPr>
          <w:rFonts w:eastAsia="Calibri"/>
        </w:rPr>
        <w:t xml:space="preserve"> In fact, a cross-country study conducted by Kim </w:t>
      </w:r>
      <w:r w:rsidR="005011FA">
        <w:rPr>
          <w:rFonts w:eastAsia="Calibri"/>
          <w:i/>
        </w:rPr>
        <w:t xml:space="preserve">et al. </w:t>
      </w:r>
      <w:r w:rsidR="005011FA" w:rsidRPr="005011FA">
        <w:rPr>
          <w:rFonts w:eastAsia="Calibri"/>
        </w:rPr>
        <w:fldChar w:fldCharType="begin"/>
      </w:r>
      <w:r w:rsidR="005011FA" w:rsidRPr="005011FA">
        <w:rPr>
          <w:rFonts w:eastAsia="Calibri"/>
        </w:rPr>
        <w:instrText xml:space="preserve"> ADDIN EN.CITE &lt;EndNote&gt;&lt;Cite ExcludeAuth="1"&gt;&lt;Author&gt;Kim&lt;/Author&gt;&lt;Year&gt;2012&lt;/Year&gt;&lt;RecNum&gt;2035&lt;/RecNum&gt;&lt;DisplayText&gt;(2012)&lt;/DisplayText&gt;&lt;record&gt;&lt;rec-number&gt;2035&lt;/rec-number&gt;&lt;foreign-keys&gt;&lt;key app="EN" db-id="tx0d9f997w9wxsexzvyxfdp6psp5sxt0e59f"&gt;2035&lt;/key&gt;&lt;/foreign-keys&gt;&lt;ref-type name="Journal Article"&gt;17&lt;/ref-type&gt;&lt;contributors&gt;&lt;authors&gt;&lt;author&gt;Kim, Yee Kyoung&lt;/author&gt;&lt;author&gt;Lee, Keun&lt;/author&gt;&lt;author&gt;Park, Walter G.&lt;/author&gt;&lt;author&gt;Choo, Kineung&lt;/author&gt;&lt;/authors&gt;&lt;/contributors&gt;&lt;titles&gt;&lt;title&gt;Appropriate intellectual property protection and economic growth in countries at different levels of development&lt;/title&gt;&lt;secondary-title&gt;Research Policy&lt;/secondary-title&gt;&lt;/titles&gt;&lt;periodical&gt;&lt;full-title&gt;Research Policy&lt;/full-title&gt;&lt;/periodical&gt;&lt;pages&gt;358-375&lt;/pages&gt;&lt;volume&gt;41&lt;/volume&gt;&lt;number&gt;2&lt;/number&gt;&lt;keywords&gt;&lt;keyword&gt;Innovation&lt;/keyword&gt;&lt;keyword&gt;Imitation&lt;/keyword&gt;&lt;keyword&gt;Growth&lt;/keyword&gt;&lt;keyword&gt;Patents&lt;/keyword&gt;&lt;keyword&gt;Utility models&lt;/keyword&gt;&lt;keyword&gt;Developing economies&lt;/keyword&gt;&lt;/keywords&gt;&lt;dates&gt;&lt;year&gt;2012&lt;/year&gt;&lt;/dates&gt;&lt;isbn&gt;0048-7333&lt;/isbn&gt;&lt;urls&gt;&lt;related-urls&gt;&lt;url&gt;http://www.sciencedirect.com/science/article/pii/S0048733311001715&lt;/url&gt;&lt;/related-urls&gt;&lt;/urls&gt;&lt;electronic-resource-num&gt;http://dx.doi.org/10.1016/j.respol.2011.09.003&lt;/electronic-resource-num&gt;&lt;/record&gt;&lt;/Cite&gt;&lt;/EndNote&gt;</w:instrText>
      </w:r>
      <w:r w:rsidR="005011FA" w:rsidRPr="005011FA">
        <w:rPr>
          <w:rFonts w:eastAsia="Calibri"/>
        </w:rPr>
        <w:fldChar w:fldCharType="separate"/>
      </w:r>
      <w:r w:rsidR="005011FA" w:rsidRPr="005011FA">
        <w:rPr>
          <w:rFonts w:eastAsia="Calibri"/>
          <w:noProof/>
        </w:rPr>
        <w:t>(</w:t>
      </w:r>
      <w:hyperlink w:anchor="_ENREF_4" w:tooltip="Kim, 2012 #2035" w:history="1">
        <w:r w:rsidR="005011FA" w:rsidRPr="005011FA">
          <w:rPr>
            <w:rFonts w:eastAsia="Calibri"/>
            <w:noProof/>
          </w:rPr>
          <w:t>2012</w:t>
        </w:r>
      </w:hyperlink>
      <w:r w:rsidR="005011FA" w:rsidRPr="005011FA">
        <w:rPr>
          <w:rFonts w:eastAsia="Calibri"/>
          <w:noProof/>
        </w:rPr>
        <w:t>)</w:t>
      </w:r>
      <w:r w:rsidR="005011FA" w:rsidRPr="005011FA">
        <w:rPr>
          <w:rFonts w:eastAsia="Calibri"/>
        </w:rPr>
        <w:fldChar w:fldCharType="end"/>
      </w:r>
      <w:r w:rsidR="005011FA">
        <w:rPr>
          <w:rFonts w:eastAsia="Calibri"/>
        </w:rPr>
        <w:t xml:space="preserve"> found that UM protection was more useful for less developed economies </w:t>
      </w:r>
      <w:r w:rsidR="005011FA">
        <w:rPr>
          <w:rFonts w:eastAsia="Calibri"/>
        </w:rPr>
        <w:lastRenderedPageBreak/>
        <w:t>while patent protection was more relevant when the countries had attained a specific level of technological capability.</w:t>
      </w:r>
    </w:p>
    <w:p w:rsidR="000715CC" w:rsidRPr="000715CC" w:rsidRDefault="000715CC" w:rsidP="000715CC">
      <w:pPr>
        <w:rPr>
          <w:rFonts w:eastAsia="Calibri"/>
        </w:rPr>
      </w:pPr>
    </w:p>
    <w:p w:rsidR="00C93B9C" w:rsidRDefault="00D500BD" w:rsidP="000715CC">
      <w:pPr>
        <w:rPr>
          <w:rFonts w:eastAsia="Calibri"/>
        </w:rPr>
      </w:pPr>
      <w:r>
        <w:rPr>
          <w:rFonts w:eastAsia="Calibri"/>
        </w:rPr>
        <w:t xml:space="preserve">With the rationale of having an IP system that encourages local innovation in mind, Thai legislators </w:t>
      </w:r>
      <w:r w:rsidR="000258E1">
        <w:rPr>
          <w:rFonts w:eastAsia="Calibri"/>
        </w:rPr>
        <w:t>introduced</w:t>
      </w:r>
      <w:r w:rsidR="0044453F">
        <w:rPr>
          <w:rFonts w:eastAsia="Calibri"/>
        </w:rPr>
        <w:t xml:space="preserve"> </w:t>
      </w:r>
      <w:r w:rsidR="000715CC" w:rsidRPr="000715CC">
        <w:rPr>
          <w:rFonts w:eastAsia="Calibri"/>
        </w:rPr>
        <w:t xml:space="preserve">UM protection as part of the reforms undertaken to harmonize </w:t>
      </w:r>
      <w:r w:rsidR="000258E1">
        <w:rPr>
          <w:rFonts w:eastAsia="Calibri"/>
        </w:rPr>
        <w:t>it</w:t>
      </w:r>
      <w:r w:rsidR="000715CC" w:rsidRPr="000715CC">
        <w:rPr>
          <w:rFonts w:eastAsia="Calibri"/>
        </w:rPr>
        <w:t xml:space="preserve">s IP system in line with its obligations under the </w:t>
      </w:r>
      <w:r w:rsidR="0044453F">
        <w:rPr>
          <w:rFonts w:eastAsia="Calibri"/>
        </w:rPr>
        <w:t>TRIPS</w:t>
      </w:r>
      <w:r w:rsidR="000715CC" w:rsidRPr="000715CC">
        <w:rPr>
          <w:rFonts w:eastAsia="Calibri"/>
        </w:rPr>
        <w:t xml:space="preserve"> </w:t>
      </w:r>
      <w:r w:rsidR="009B611B">
        <w:rPr>
          <w:rFonts w:eastAsia="Calibri"/>
        </w:rPr>
        <w:t>agreement</w:t>
      </w:r>
      <w:r w:rsidR="000715CC" w:rsidRPr="000715CC">
        <w:rPr>
          <w:rFonts w:eastAsia="Calibri"/>
        </w:rPr>
        <w:t xml:space="preserve">.  </w:t>
      </w:r>
      <w:r w:rsidR="000258E1">
        <w:rPr>
          <w:rFonts w:eastAsia="Calibri"/>
        </w:rPr>
        <w:t>Specifically</w:t>
      </w:r>
      <w:r w:rsidR="000715CC" w:rsidRPr="000715CC">
        <w:rPr>
          <w:rFonts w:eastAsia="Calibri"/>
        </w:rPr>
        <w:t xml:space="preserve">, </w:t>
      </w:r>
      <w:r w:rsidR="000258E1">
        <w:rPr>
          <w:rFonts w:eastAsia="Calibri"/>
        </w:rPr>
        <w:t>they</w:t>
      </w:r>
      <w:r w:rsidR="000715CC" w:rsidRPr="000715CC">
        <w:rPr>
          <w:rFonts w:eastAsia="Calibri"/>
        </w:rPr>
        <w:t xml:space="preserve"> wanted to introduce an IP instrument that was conducive and suitable for their inventors’ stage of technological development.</w:t>
      </w:r>
      <w:r w:rsidR="000715CC" w:rsidRPr="000715CC">
        <w:rPr>
          <w:rFonts w:eastAsia="Calibri"/>
          <w:vertAlign w:val="superscript"/>
        </w:rPr>
        <w:footnoteReference w:id="13"/>
      </w:r>
      <w:r w:rsidR="000715CC" w:rsidRPr="000715CC">
        <w:rPr>
          <w:rFonts w:eastAsia="Calibri"/>
        </w:rPr>
        <w:t xml:space="preserve">  </w:t>
      </w:r>
      <w:r>
        <w:rPr>
          <w:rFonts w:eastAsia="Calibri"/>
        </w:rPr>
        <w:t>Under the Thai IP legislation,</w:t>
      </w:r>
      <w:r w:rsidR="000715CC" w:rsidRPr="000715CC">
        <w:rPr>
          <w:rFonts w:eastAsia="Calibri"/>
        </w:rPr>
        <w:t xml:space="preserve"> the two main criteria for UM protection are that the invention is new and that it is capable of industrial application.</w:t>
      </w:r>
      <w:r w:rsidR="005A2047">
        <w:rPr>
          <w:rFonts w:eastAsia="Calibri"/>
        </w:rPr>
        <w:t xml:space="preserve"> </w:t>
      </w:r>
      <w:r w:rsidR="000715CC" w:rsidRPr="000715CC">
        <w:rPr>
          <w:rFonts w:eastAsia="Calibri"/>
        </w:rPr>
        <w:t xml:space="preserve"> Moreover, there is no substantive examination at time of the application. </w:t>
      </w:r>
      <w:r w:rsidR="005A2047">
        <w:rPr>
          <w:rFonts w:eastAsia="Calibri"/>
        </w:rPr>
        <w:t xml:space="preserve"> </w:t>
      </w:r>
      <w:r w:rsidR="000715CC" w:rsidRPr="000715CC">
        <w:rPr>
          <w:rFonts w:eastAsia="Calibri"/>
        </w:rPr>
        <w:t>If the applicant or any interested third party wanted substantive examination to take place, they can request for it within one year after the registration of the UM has been published.</w:t>
      </w:r>
    </w:p>
    <w:p w:rsidR="00C93B9C" w:rsidRDefault="00C93B9C" w:rsidP="000715CC">
      <w:pPr>
        <w:rPr>
          <w:rFonts w:eastAsia="Calibri"/>
        </w:rPr>
      </w:pPr>
    </w:p>
    <w:p w:rsidR="000715CC" w:rsidRDefault="000715CC" w:rsidP="000715CC">
      <w:pPr>
        <w:rPr>
          <w:rFonts w:eastAsia="Calibri"/>
        </w:rPr>
      </w:pPr>
      <w:r w:rsidRPr="000715CC">
        <w:rPr>
          <w:rFonts w:eastAsia="Calibri"/>
        </w:rPr>
        <w:t xml:space="preserve">This relative ease of filing for UM protection may have contributed to the overwhelming local use of this IP instrument in comparison to others: </w:t>
      </w:r>
      <w:r w:rsidR="005A2047">
        <w:rPr>
          <w:rFonts w:eastAsia="Calibri"/>
        </w:rPr>
        <w:t xml:space="preserve"> </w:t>
      </w:r>
      <w:r w:rsidRPr="000715CC">
        <w:rPr>
          <w:rFonts w:eastAsia="Calibri"/>
        </w:rPr>
        <w:t>Thai residents accounted for 96% of UM applications, which is considerably higher than the cases of industrial designs (74%), trademark (66%0 and patents (14%).</w:t>
      </w:r>
      <w:r w:rsidRPr="000715CC">
        <w:rPr>
          <w:rFonts w:eastAsia="Calibri"/>
          <w:vertAlign w:val="superscript"/>
        </w:rPr>
        <w:footnoteReference w:id="14"/>
      </w:r>
      <w:r w:rsidRPr="000715CC">
        <w:rPr>
          <w:rFonts w:eastAsia="Calibri"/>
        </w:rPr>
        <w:t xml:space="preserve">  In addition, Thai applicants were quick to use this IP instrument even if many of them were first time IP users, having never applied for </w:t>
      </w:r>
      <w:r w:rsidR="0059237C">
        <w:rPr>
          <w:rFonts w:eastAsia="Calibri"/>
        </w:rPr>
        <w:t xml:space="preserve">neither </w:t>
      </w:r>
      <w:r w:rsidRPr="000715CC">
        <w:rPr>
          <w:rFonts w:eastAsia="Calibri"/>
        </w:rPr>
        <w:t xml:space="preserve">industrial design </w:t>
      </w:r>
      <w:r w:rsidR="0059237C">
        <w:rPr>
          <w:rFonts w:eastAsia="Calibri"/>
        </w:rPr>
        <w:t>n</w:t>
      </w:r>
      <w:r w:rsidRPr="000715CC">
        <w:rPr>
          <w:rFonts w:eastAsia="Calibri"/>
        </w:rPr>
        <w:t>or patent protection.</w:t>
      </w:r>
    </w:p>
    <w:p w:rsidR="000715CC" w:rsidRPr="000715CC" w:rsidRDefault="000715CC" w:rsidP="000715CC">
      <w:pPr>
        <w:rPr>
          <w:rFonts w:eastAsia="Calibri"/>
        </w:rPr>
      </w:pPr>
    </w:p>
    <w:p w:rsidR="000715CC" w:rsidRDefault="000715CC" w:rsidP="000715CC">
      <w:pPr>
        <w:rPr>
          <w:rFonts w:eastAsia="Calibri"/>
        </w:rPr>
      </w:pPr>
      <w:r w:rsidRPr="000715CC">
        <w:rPr>
          <w:rFonts w:eastAsia="Calibri"/>
        </w:rPr>
        <w:t>But the main question</w:t>
      </w:r>
      <w:r w:rsidR="000E278D">
        <w:rPr>
          <w:rFonts w:eastAsia="Calibri"/>
        </w:rPr>
        <w:t>s are</w:t>
      </w:r>
      <w:r w:rsidRPr="000715CC">
        <w:rPr>
          <w:rFonts w:eastAsia="Calibri"/>
        </w:rPr>
        <w:t xml:space="preserve">: how and to what extent does UM protection affects local </w:t>
      </w:r>
      <w:r w:rsidR="00C21709">
        <w:rPr>
          <w:rFonts w:eastAsia="Calibri"/>
        </w:rPr>
        <w:t>economic activities</w:t>
      </w:r>
      <w:r w:rsidRPr="000715CC">
        <w:rPr>
          <w:rFonts w:eastAsia="Calibri"/>
        </w:rPr>
        <w:t>?</w:t>
      </w:r>
      <w:r w:rsidR="005011FA">
        <w:rPr>
          <w:rFonts w:eastAsia="Calibri"/>
        </w:rPr>
        <w:t xml:space="preserve">  </w:t>
      </w:r>
      <w:r w:rsidR="00C21709">
        <w:rPr>
          <w:rFonts w:eastAsia="Calibri"/>
        </w:rPr>
        <w:t>W</w:t>
      </w:r>
      <w:r w:rsidRPr="000715CC">
        <w:rPr>
          <w:rFonts w:eastAsia="Calibri"/>
        </w:rPr>
        <w:t>e attempt to address this question by examining if there is a relationship between filing for UM protection and the firms’ financial performances.</w:t>
      </w:r>
      <w:r w:rsidR="0019628A">
        <w:rPr>
          <w:rFonts w:eastAsia="Calibri"/>
        </w:rPr>
        <w:t xml:space="preserve">  </w:t>
      </w:r>
      <w:r w:rsidRPr="000715CC">
        <w:rPr>
          <w:rFonts w:eastAsia="Calibri"/>
        </w:rPr>
        <w:t>If UM is beneficial for firms then having UM protection over the firms’ inventions should generate higher incomes for them.</w:t>
      </w:r>
    </w:p>
    <w:p w:rsidR="000715CC" w:rsidRPr="000715CC" w:rsidRDefault="000715CC" w:rsidP="000715CC">
      <w:pPr>
        <w:rPr>
          <w:rFonts w:eastAsia="Calibri"/>
        </w:rPr>
      </w:pPr>
    </w:p>
    <w:p w:rsidR="000715CC" w:rsidRDefault="00790392" w:rsidP="000715CC">
      <w:pPr>
        <w:rPr>
          <w:rFonts w:eastAsia="Calibri"/>
        </w:rPr>
      </w:pPr>
      <w:r>
        <w:rPr>
          <w:rFonts w:eastAsia="Calibri"/>
        </w:rPr>
        <w:t>Using detailed and novel unit record data on UM application and registration, w</w:t>
      </w:r>
      <w:r w:rsidR="000715CC" w:rsidRPr="000715CC">
        <w:rPr>
          <w:rFonts w:eastAsia="Calibri"/>
        </w:rPr>
        <w:t>e carr</w:t>
      </w:r>
      <w:r w:rsidR="003809A3">
        <w:rPr>
          <w:rFonts w:eastAsia="Calibri"/>
        </w:rPr>
        <w:t>y</w:t>
      </w:r>
      <w:r w:rsidR="000715CC" w:rsidRPr="000715CC">
        <w:rPr>
          <w:rFonts w:eastAsia="Calibri"/>
        </w:rPr>
        <w:t xml:space="preserve"> out our investigation</w:t>
      </w:r>
      <w:r>
        <w:rPr>
          <w:rFonts w:eastAsia="Calibri"/>
        </w:rPr>
        <w:t xml:space="preserve"> to examine the link between UM and firm performance</w:t>
      </w:r>
      <w:r w:rsidR="000715CC" w:rsidRPr="000715CC">
        <w:rPr>
          <w:rFonts w:eastAsia="Calibri"/>
        </w:rPr>
        <w:t xml:space="preserve"> in four parts.  First, we assess if there is a link between filing for UM protection and the performance of the firms by observing if there has been an effect on the firms’ performances before and after filing for UM protection.  Second, we tr</w:t>
      </w:r>
      <w:r w:rsidR="003809A3">
        <w:rPr>
          <w:rFonts w:eastAsia="Calibri"/>
        </w:rPr>
        <w:t>y</w:t>
      </w:r>
      <w:r w:rsidR="000715CC" w:rsidRPr="000715CC">
        <w:rPr>
          <w:rFonts w:eastAsia="Calibri"/>
        </w:rPr>
        <w:t xml:space="preserve"> to determine if there are specific traits of firms that apply for UM protection.  For example, it could be the case that firms in certain industrial sectors have higher propensity to file for UM protection than others.</w:t>
      </w:r>
      <w:r w:rsidR="004E2495">
        <w:rPr>
          <w:rFonts w:eastAsia="Calibri"/>
        </w:rPr>
        <w:t xml:space="preserve"> </w:t>
      </w:r>
      <w:r w:rsidR="000715CC" w:rsidRPr="000715CC">
        <w:rPr>
          <w:rFonts w:eastAsia="Calibri"/>
        </w:rPr>
        <w:t xml:space="preserve"> We then </w:t>
      </w:r>
      <w:r w:rsidR="003809A3">
        <w:rPr>
          <w:rFonts w:eastAsia="Calibri"/>
        </w:rPr>
        <w:t>ru</w:t>
      </w:r>
      <w:r w:rsidR="000715CC" w:rsidRPr="000715CC">
        <w:rPr>
          <w:rFonts w:eastAsia="Calibri"/>
        </w:rPr>
        <w:t xml:space="preserve">n econometric regressions to </w:t>
      </w:r>
      <w:r w:rsidR="000E278D">
        <w:rPr>
          <w:rFonts w:eastAsia="Calibri"/>
        </w:rPr>
        <w:t xml:space="preserve"> ascertain</w:t>
      </w:r>
      <w:r w:rsidR="000715CC" w:rsidRPr="000715CC">
        <w:rPr>
          <w:rFonts w:eastAsia="Calibri"/>
        </w:rPr>
        <w:t xml:space="preserve"> if there is an effect and the size of the effect of UM protection on the firms.</w:t>
      </w:r>
    </w:p>
    <w:p w:rsidR="000715CC" w:rsidRPr="000715CC" w:rsidRDefault="000715CC" w:rsidP="000715CC">
      <w:pPr>
        <w:rPr>
          <w:rFonts w:eastAsia="Calibri"/>
        </w:rPr>
      </w:pPr>
    </w:p>
    <w:p w:rsidR="000715CC" w:rsidRDefault="000715CC" w:rsidP="000715CC">
      <w:pPr>
        <w:rPr>
          <w:rFonts w:eastAsia="Calibri"/>
        </w:rPr>
      </w:pPr>
      <w:r>
        <w:rPr>
          <w:rFonts w:eastAsia="Calibri"/>
        </w:rPr>
        <w:t>Finally, we</w:t>
      </w:r>
      <w:r w:rsidRPr="000715CC">
        <w:rPr>
          <w:rFonts w:eastAsia="Calibri"/>
        </w:rPr>
        <w:t xml:space="preserve"> conclude the paper by summarizing the main findings of this exercise and point to avenues for future research.</w:t>
      </w:r>
    </w:p>
    <w:p w:rsidR="00A5718A" w:rsidRDefault="00A5718A">
      <w:pPr>
        <w:rPr>
          <w:rFonts w:eastAsia="Calibri"/>
        </w:rPr>
      </w:pPr>
    </w:p>
    <w:p w:rsidR="000715CC" w:rsidRDefault="000715CC" w:rsidP="000715CC">
      <w:pPr>
        <w:rPr>
          <w:rFonts w:eastAsia="Calibri"/>
        </w:rPr>
      </w:pPr>
    </w:p>
    <w:p w:rsidR="000715CC" w:rsidRPr="002436A8" w:rsidRDefault="008D4CCE" w:rsidP="00EE6F52">
      <w:pPr>
        <w:pStyle w:val="Heading1"/>
        <w:rPr>
          <w:rFonts w:eastAsia="Calibri"/>
          <w:i w:val="0"/>
          <w:caps/>
        </w:rPr>
      </w:pPr>
      <w:bookmarkStart w:id="9" w:name="_Toc393894450"/>
      <w:r w:rsidRPr="002436A8">
        <w:rPr>
          <w:rFonts w:eastAsia="Calibri"/>
          <w:i w:val="0"/>
          <w:caps/>
        </w:rPr>
        <w:t>What are the Traits of the Firms Applying for UMs</w:t>
      </w:r>
      <w:r w:rsidR="003809A3" w:rsidRPr="002436A8">
        <w:rPr>
          <w:rFonts w:eastAsia="Calibri"/>
          <w:i w:val="0"/>
          <w:caps/>
        </w:rPr>
        <w:t>?</w:t>
      </w:r>
      <w:bookmarkEnd w:id="9"/>
    </w:p>
    <w:p w:rsidR="008D4CCE" w:rsidRDefault="008D4CCE" w:rsidP="000715CC">
      <w:pPr>
        <w:rPr>
          <w:rFonts w:eastAsia="Calibri"/>
        </w:rPr>
      </w:pPr>
    </w:p>
    <w:p w:rsidR="008D4CCE" w:rsidRDefault="008D4CCE" w:rsidP="008D4CCE">
      <w:r w:rsidRPr="00E332D8">
        <w:t>To carry out our investigation we relied on the unit record data of UM applications,</w:t>
      </w:r>
      <w:r w:rsidR="00B35184">
        <w:t xml:space="preserve"> and registrations,</w:t>
      </w:r>
      <w:r w:rsidRPr="00E332D8">
        <w:t xml:space="preserve"> provided by the Thai Department of Intellectual Property (DIP), and singled out applications that were filed by, or attributable to, local firms for the years 1999-2012.</w:t>
      </w:r>
      <w:r w:rsidRPr="002C5791">
        <w:rPr>
          <w:vertAlign w:val="superscript"/>
        </w:rPr>
        <w:footnoteReference w:id="15"/>
      </w:r>
      <w:r w:rsidRPr="00E332D8">
        <w:t xml:space="preserve"> </w:t>
      </w:r>
      <w:r>
        <w:t xml:space="preserve"> </w:t>
      </w:r>
      <w:r w:rsidRPr="00E332D8">
        <w:t xml:space="preserve">From the 7,498 UM applications filed, we identified 751 registered firms and collected financial performances indicators for each of them for the </w:t>
      </w:r>
      <w:r w:rsidRPr="00E332D8">
        <w:lastRenderedPageBreak/>
        <w:t>years</w:t>
      </w:r>
      <w:r w:rsidR="008F2176">
        <w:t> </w:t>
      </w:r>
      <w:r w:rsidRPr="00E332D8">
        <w:t>1997-2012 from the Thai Business Online (BOL) registry.</w:t>
      </w:r>
      <w:r w:rsidRPr="002C5791">
        <w:rPr>
          <w:vertAlign w:val="superscript"/>
        </w:rPr>
        <w:footnoteReference w:id="16"/>
      </w:r>
      <w:r>
        <w:t xml:space="preserve"> </w:t>
      </w:r>
      <w:r w:rsidRPr="00E332D8">
        <w:t xml:space="preserve"> We were then left with 719 unique firms as some of the firms-level observations were missing in the BOL database, a few due to business closure.</w:t>
      </w:r>
      <w:r w:rsidRPr="00E813CC">
        <w:rPr>
          <w:vertAlign w:val="superscript"/>
        </w:rPr>
        <w:footnoteReference w:id="17"/>
      </w:r>
      <w:r w:rsidRPr="00E813CC">
        <w:rPr>
          <w:vertAlign w:val="superscript"/>
        </w:rPr>
        <w:t xml:space="preserve"> </w:t>
      </w:r>
      <w:r>
        <w:rPr>
          <w:vertAlign w:val="superscript"/>
        </w:rPr>
        <w:t xml:space="preserve"> </w:t>
      </w:r>
    </w:p>
    <w:p w:rsidR="008D4CCE" w:rsidRDefault="008D4CCE" w:rsidP="008D4CCE"/>
    <w:p w:rsidR="008D4CCE" w:rsidRDefault="00296FB0" w:rsidP="008D4CCE">
      <w:r>
        <w:fldChar w:fldCharType="begin"/>
      </w:r>
      <w:r>
        <w:instrText xml:space="preserve"> REF _Ref393808227 \h </w:instrText>
      </w:r>
      <w:r>
        <w:fldChar w:fldCharType="separate"/>
      </w:r>
      <w:r w:rsidR="00092527" w:rsidRPr="00496C85">
        <w:rPr>
          <w:rFonts w:eastAsia="MS Mincho"/>
          <w:b/>
          <w:bCs/>
          <w:sz w:val="18"/>
          <w:szCs w:val="18"/>
          <w:lang w:bidi="ar-SA"/>
        </w:rPr>
        <w:t xml:space="preserve">Table </w:t>
      </w:r>
      <w:r w:rsidR="00092527">
        <w:rPr>
          <w:rFonts w:eastAsia="MS Mincho"/>
          <w:b/>
          <w:bCs/>
          <w:noProof/>
          <w:sz w:val="18"/>
          <w:szCs w:val="18"/>
          <w:lang w:bidi="ar-SA"/>
        </w:rPr>
        <w:t>1</w:t>
      </w:r>
      <w:r>
        <w:fldChar w:fldCharType="end"/>
      </w:r>
      <w:r>
        <w:t xml:space="preserve"> </w:t>
      </w:r>
      <w:r w:rsidR="008D4CCE" w:rsidRPr="00E332D8">
        <w:t xml:space="preserve">below summarizes the descriptive statistics for our sample. </w:t>
      </w:r>
      <w:r w:rsidR="00F0466E">
        <w:t xml:space="preserve"> </w:t>
      </w:r>
      <w:r w:rsidR="008D4CCE" w:rsidRPr="00E332D8">
        <w:t>The average firm in our dataset has applied for one UM protection, and has annual sales of over 4 billion baht</w:t>
      </w:r>
      <w:r w:rsidR="008D4CCE">
        <w:t xml:space="preserve"> </w:t>
      </w:r>
      <w:r w:rsidR="008D4CCE" w:rsidRPr="00A53596">
        <w:t>(approx</w:t>
      </w:r>
      <w:r w:rsidR="008D4CCE">
        <w:t>.</w:t>
      </w:r>
      <w:r w:rsidR="008D4CCE" w:rsidRPr="00A53596">
        <w:t xml:space="preserve"> USD 129 million),</w:t>
      </w:r>
      <w:r w:rsidR="008D4CCE" w:rsidRPr="00E332D8">
        <w:t xml:space="preserve"> and a net profit of 202 million baht</w:t>
      </w:r>
      <w:r w:rsidR="008D4CCE">
        <w:t xml:space="preserve"> </w:t>
      </w:r>
      <w:r w:rsidR="008D4CCE" w:rsidRPr="00A53596">
        <w:t xml:space="preserve">(approx. USD </w:t>
      </w:r>
      <w:r w:rsidR="008D4CCE">
        <w:t>6.5 million)</w:t>
      </w:r>
      <w:r w:rsidR="008D4CCE" w:rsidRPr="00E332D8">
        <w:t>.</w:t>
      </w:r>
      <w:bookmarkStart w:id="10" w:name="_Ref391545286"/>
      <w:r w:rsidR="008D4CCE">
        <w:rPr>
          <w:rStyle w:val="FootnoteReference"/>
        </w:rPr>
        <w:footnoteReference w:id="18"/>
      </w:r>
      <w:bookmarkEnd w:id="10"/>
      <w:r w:rsidR="008D4CCE" w:rsidRPr="002C5791">
        <w:rPr>
          <w:vertAlign w:val="superscript"/>
        </w:rPr>
        <w:t>,</w:t>
      </w:r>
      <w:r w:rsidR="008D4CCE">
        <w:rPr>
          <w:rStyle w:val="FootnoteReference"/>
        </w:rPr>
        <w:footnoteReference w:id="19"/>
      </w:r>
      <w:r w:rsidR="008D4CCE" w:rsidRPr="00E332D8">
        <w:t xml:space="preserve"> </w:t>
      </w:r>
      <w:r w:rsidR="00F0466E">
        <w:t xml:space="preserve"> </w:t>
      </w:r>
      <w:r w:rsidR="008D4CCE" w:rsidRPr="00E332D8">
        <w:t xml:space="preserve">When we compare the firms’ performance indicators – here depicted by three variables: sales, profits and sales to costs ratio – most of the firms seem to do better after filing for UM protection, although the improvement in the sales to costs ratio is small. </w:t>
      </w:r>
      <w:r w:rsidR="00F0466E">
        <w:t xml:space="preserve"> </w:t>
      </w:r>
      <w:r w:rsidR="008D4CCE" w:rsidRPr="00E332D8">
        <w:t>On average, firms that file for UM see their sales increase from 1.3 billion baht to 6.2 billion baht</w:t>
      </w:r>
      <w:r w:rsidR="008D4CCE">
        <w:t xml:space="preserve"> (USD 41.8 million to USD 199.8 million)</w:t>
      </w:r>
      <w:r w:rsidR="008D4CCE" w:rsidRPr="00E332D8">
        <w:t>.</w:t>
      </w:r>
    </w:p>
    <w:p w:rsidR="008D4CCE" w:rsidRDefault="008D4CCE" w:rsidP="008D4CCE"/>
    <w:p w:rsidR="00296FB0" w:rsidRPr="00496C85" w:rsidRDefault="00296FB0" w:rsidP="00F0466E">
      <w:pPr>
        <w:rPr>
          <w:rFonts w:eastAsia="MS Mincho"/>
          <w:b/>
          <w:bCs/>
          <w:sz w:val="18"/>
          <w:szCs w:val="18"/>
          <w:lang w:bidi="ar-SA"/>
        </w:rPr>
      </w:pPr>
      <w:bookmarkStart w:id="11" w:name="_Ref393808227"/>
      <w:bookmarkStart w:id="12" w:name="_Toc393894451"/>
      <w:r w:rsidRPr="00496C85">
        <w:rPr>
          <w:rFonts w:eastAsia="MS Mincho"/>
          <w:b/>
          <w:bCs/>
          <w:sz w:val="18"/>
          <w:szCs w:val="18"/>
          <w:lang w:bidi="ar-SA"/>
        </w:rPr>
        <w:t xml:space="preserve">Table </w:t>
      </w:r>
      <w:r w:rsidR="00B82C96" w:rsidRPr="00496C85">
        <w:rPr>
          <w:rFonts w:eastAsia="MS Mincho"/>
          <w:b/>
          <w:bCs/>
          <w:sz w:val="18"/>
          <w:szCs w:val="18"/>
          <w:lang w:bidi="ar-SA"/>
        </w:rPr>
        <w:fldChar w:fldCharType="begin"/>
      </w:r>
      <w:r w:rsidR="00B82C96" w:rsidRPr="00496C85">
        <w:rPr>
          <w:rFonts w:eastAsia="MS Mincho"/>
          <w:b/>
          <w:bCs/>
          <w:sz w:val="18"/>
          <w:szCs w:val="18"/>
          <w:lang w:bidi="ar-SA"/>
        </w:rPr>
        <w:instrText xml:space="preserve"> SEQ Table \* ARABIC </w:instrText>
      </w:r>
      <w:r w:rsidR="00B82C96" w:rsidRPr="00496C85">
        <w:rPr>
          <w:rFonts w:eastAsia="MS Mincho"/>
          <w:b/>
          <w:bCs/>
          <w:sz w:val="18"/>
          <w:szCs w:val="18"/>
          <w:lang w:bidi="ar-SA"/>
        </w:rPr>
        <w:fldChar w:fldCharType="separate"/>
      </w:r>
      <w:r w:rsidR="00092527">
        <w:rPr>
          <w:rFonts w:eastAsia="MS Mincho"/>
          <w:b/>
          <w:bCs/>
          <w:noProof/>
          <w:sz w:val="18"/>
          <w:szCs w:val="18"/>
          <w:lang w:bidi="ar-SA"/>
        </w:rPr>
        <w:t>1</w:t>
      </w:r>
      <w:r w:rsidR="00B82C96" w:rsidRPr="00496C85">
        <w:rPr>
          <w:rFonts w:eastAsia="MS Mincho"/>
          <w:b/>
          <w:bCs/>
          <w:sz w:val="18"/>
          <w:szCs w:val="18"/>
          <w:lang w:bidi="ar-SA"/>
        </w:rPr>
        <w:fldChar w:fldCharType="end"/>
      </w:r>
      <w:bookmarkEnd w:id="11"/>
      <w:r w:rsidRPr="00496C85">
        <w:rPr>
          <w:rFonts w:eastAsia="MS Mincho"/>
          <w:b/>
          <w:bCs/>
          <w:sz w:val="18"/>
          <w:szCs w:val="18"/>
          <w:lang w:bidi="ar-SA"/>
        </w:rPr>
        <w:t xml:space="preserve">: </w:t>
      </w:r>
      <w:r w:rsidR="008F2176">
        <w:rPr>
          <w:rFonts w:eastAsia="MS Mincho"/>
          <w:b/>
          <w:bCs/>
          <w:sz w:val="18"/>
          <w:szCs w:val="18"/>
          <w:lang w:bidi="ar-SA"/>
        </w:rPr>
        <w:t xml:space="preserve"> </w:t>
      </w:r>
      <w:r w:rsidRPr="00496C85">
        <w:rPr>
          <w:rFonts w:eastAsia="MS Mincho"/>
          <w:b/>
          <w:bCs/>
          <w:sz w:val="18"/>
          <w:szCs w:val="18"/>
          <w:lang w:bidi="ar-SA"/>
        </w:rPr>
        <w:t>Descriptive Statistics of Firms’ Performance Indicators</w:t>
      </w:r>
      <w:bookmarkEnd w:id="12"/>
    </w:p>
    <w:p w:rsidR="00296FB0" w:rsidRDefault="00296FB0" w:rsidP="00296FB0">
      <w:pPr>
        <w:jc w:val="center"/>
      </w:pPr>
      <w:r>
        <w:rPr>
          <w:noProof/>
          <w:lang w:bidi="ar-SA"/>
        </w:rPr>
        <w:drawing>
          <wp:inline distT="0" distB="0" distL="0" distR="0" wp14:anchorId="497031A7" wp14:editId="702DB97E">
            <wp:extent cx="5346700" cy="4542155"/>
            <wp:effectExtent l="0" t="0" r="6350" b="0"/>
            <wp:docPr id="47115" name="Picture 4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6700" cy="4542155"/>
                    </a:xfrm>
                    <a:prstGeom prst="rect">
                      <a:avLst/>
                    </a:prstGeom>
                    <a:noFill/>
                  </pic:spPr>
                </pic:pic>
              </a:graphicData>
            </a:graphic>
          </wp:inline>
        </w:drawing>
      </w:r>
    </w:p>
    <w:p w:rsidR="00296FB0" w:rsidRPr="00496C85" w:rsidRDefault="00296FB0" w:rsidP="00496C85">
      <w:pPr>
        <w:rPr>
          <w:rFonts w:eastAsia="MS Mincho"/>
          <w:b/>
          <w:bCs/>
          <w:sz w:val="18"/>
          <w:szCs w:val="18"/>
          <w:lang w:bidi="ar-SA"/>
        </w:rPr>
      </w:pPr>
      <w:r w:rsidRPr="00496C85">
        <w:rPr>
          <w:rFonts w:eastAsia="MS Mincho"/>
          <w:b/>
          <w:bCs/>
          <w:sz w:val="18"/>
          <w:szCs w:val="18"/>
          <w:lang w:bidi="ar-SA"/>
        </w:rPr>
        <w:t xml:space="preserve">Source: </w:t>
      </w:r>
      <w:r w:rsidR="00B92998">
        <w:rPr>
          <w:rFonts w:eastAsia="MS Mincho"/>
          <w:b/>
          <w:bCs/>
          <w:sz w:val="18"/>
          <w:szCs w:val="18"/>
          <w:lang w:bidi="ar-SA"/>
        </w:rPr>
        <w:t xml:space="preserve"> </w:t>
      </w:r>
      <w:r w:rsidRPr="00496C85">
        <w:rPr>
          <w:rFonts w:eastAsia="MS Mincho"/>
          <w:b/>
          <w:bCs/>
          <w:sz w:val="18"/>
          <w:szCs w:val="18"/>
          <w:lang w:bidi="ar-SA"/>
        </w:rPr>
        <w:t>TDRI-WIPO Extended Database (2013).</w:t>
      </w:r>
    </w:p>
    <w:p w:rsidR="008D4CCE" w:rsidRDefault="008D4CCE" w:rsidP="008D4CCE"/>
    <w:p w:rsidR="000D788C" w:rsidRDefault="008F1B07" w:rsidP="008D4CCE">
      <w:r>
        <w:t xml:space="preserve">Another way to observe the relationship between UM protection and the firms’ performance indicators is to plot these variables against one another.  The subfigures in </w:t>
      </w:r>
      <w:r>
        <w:fldChar w:fldCharType="begin"/>
      </w:r>
      <w:r>
        <w:instrText xml:space="preserve"> REF _Ref393808296 \h </w:instrText>
      </w:r>
      <w:r>
        <w:fldChar w:fldCharType="separate"/>
      </w:r>
      <w:r w:rsidR="00092527" w:rsidRPr="00496C85">
        <w:rPr>
          <w:rFonts w:eastAsia="MS Mincho"/>
          <w:b/>
          <w:bCs/>
          <w:sz w:val="18"/>
          <w:szCs w:val="18"/>
          <w:lang w:bidi="ar-SA"/>
        </w:rPr>
        <w:t xml:space="preserve">Figure </w:t>
      </w:r>
      <w:r w:rsidR="00092527">
        <w:rPr>
          <w:rFonts w:eastAsia="MS Mincho"/>
          <w:b/>
          <w:bCs/>
          <w:noProof/>
          <w:sz w:val="18"/>
          <w:szCs w:val="18"/>
          <w:lang w:bidi="ar-SA"/>
        </w:rPr>
        <w:t>1</w:t>
      </w:r>
      <w:r>
        <w:fldChar w:fldCharType="end"/>
      </w:r>
      <w:r>
        <w:t xml:space="preserve"> are the timing of the firms’ UM application plotted against the three indicators of the firms’ financial performances.</w:t>
      </w:r>
    </w:p>
    <w:p w:rsidR="008F1B07" w:rsidRPr="00496C85" w:rsidRDefault="008F1B07" w:rsidP="008D4CCE">
      <w:pPr>
        <w:rPr>
          <w:rFonts w:eastAsia="MS Mincho"/>
          <w:b/>
          <w:bCs/>
          <w:sz w:val="18"/>
          <w:szCs w:val="18"/>
          <w:lang w:bidi="ar-SA"/>
        </w:rPr>
      </w:pPr>
    </w:p>
    <w:p w:rsidR="008F1B07" w:rsidRPr="009927BD" w:rsidRDefault="008F1B07" w:rsidP="009927BD">
      <w:pPr>
        <w:rPr>
          <w:rFonts w:eastAsia="SimSun"/>
          <w:szCs w:val="22"/>
          <w:lang w:eastAsia="zh-CN" w:bidi="ar-SA"/>
        </w:rPr>
      </w:pPr>
      <w:bookmarkStart w:id="13" w:name="_Ref393808296"/>
      <w:bookmarkStart w:id="14" w:name="_Toc393894452"/>
      <w:r w:rsidRPr="00496C85">
        <w:rPr>
          <w:rFonts w:eastAsia="MS Mincho"/>
          <w:b/>
          <w:bCs/>
          <w:sz w:val="18"/>
          <w:szCs w:val="18"/>
          <w:lang w:bidi="ar-SA"/>
        </w:rPr>
        <w:t xml:space="preserve">Figure </w:t>
      </w:r>
      <w:r w:rsidR="00B82C96" w:rsidRPr="00496C85">
        <w:rPr>
          <w:rFonts w:eastAsia="MS Mincho"/>
          <w:b/>
          <w:bCs/>
          <w:sz w:val="18"/>
          <w:szCs w:val="18"/>
          <w:lang w:bidi="ar-SA"/>
        </w:rPr>
        <w:fldChar w:fldCharType="begin"/>
      </w:r>
      <w:r w:rsidR="00B82C96" w:rsidRPr="00496C85">
        <w:rPr>
          <w:rFonts w:eastAsia="MS Mincho"/>
          <w:b/>
          <w:bCs/>
          <w:sz w:val="18"/>
          <w:szCs w:val="18"/>
          <w:lang w:bidi="ar-SA"/>
        </w:rPr>
        <w:instrText xml:space="preserve"> SEQ Figure \* ARABIC </w:instrText>
      </w:r>
      <w:r w:rsidR="00B82C96" w:rsidRPr="00496C85">
        <w:rPr>
          <w:rFonts w:eastAsia="MS Mincho"/>
          <w:b/>
          <w:bCs/>
          <w:sz w:val="18"/>
          <w:szCs w:val="18"/>
          <w:lang w:bidi="ar-SA"/>
        </w:rPr>
        <w:fldChar w:fldCharType="separate"/>
      </w:r>
      <w:r w:rsidR="00092527">
        <w:rPr>
          <w:rFonts w:eastAsia="MS Mincho"/>
          <w:b/>
          <w:bCs/>
          <w:noProof/>
          <w:sz w:val="18"/>
          <w:szCs w:val="18"/>
          <w:lang w:bidi="ar-SA"/>
        </w:rPr>
        <w:t>1</w:t>
      </w:r>
      <w:r w:rsidR="00B82C96" w:rsidRPr="00496C85">
        <w:rPr>
          <w:rFonts w:eastAsia="MS Mincho"/>
          <w:b/>
          <w:bCs/>
          <w:sz w:val="18"/>
          <w:szCs w:val="18"/>
          <w:lang w:bidi="ar-SA"/>
        </w:rPr>
        <w:fldChar w:fldCharType="end"/>
      </w:r>
      <w:bookmarkEnd w:id="13"/>
      <w:r w:rsidRPr="00496C85">
        <w:rPr>
          <w:rFonts w:eastAsia="MS Mincho"/>
          <w:b/>
          <w:bCs/>
          <w:sz w:val="18"/>
          <w:szCs w:val="18"/>
          <w:lang w:bidi="ar-SA"/>
        </w:rPr>
        <w:t>:</w:t>
      </w:r>
      <w:r w:rsidR="008066EA">
        <w:rPr>
          <w:rFonts w:eastAsia="MS Mincho"/>
          <w:b/>
          <w:bCs/>
          <w:sz w:val="18"/>
          <w:szCs w:val="18"/>
          <w:lang w:bidi="ar-SA"/>
        </w:rPr>
        <w:t xml:space="preserve"> </w:t>
      </w:r>
      <w:r w:rsidR="009927BD" w:rsidRPr="00496C85">
        <w:rPr>
          <w:rFonts w:eastAsia="MS Mincho"/>
          <w:b/>
          <w:bCs/>
          <w:sz w:val="18"/>
          <w:szCs w:val="18"/>
          <w:lang w:bidi="ar-SA"/>
        </w:rPr>
        <w:t xml:space="preserve"> </w:t>
      </w:r>
      <w:r w:rsidRPr="00496C85">
        <w:rPr>
          <w:rFonts w:eastAsia="MS Mincho"/>
          <w:b/>
          <w:bCs/>
          <w:sz w:val="18"/>
          <w:szCs w:val="18"/>
          <w:lang w:bidi="ar-SA"/>
        </w:rPr>
        <w:t>Trends</w:t>
      </w:r>
      <w:r w:rsidRPr="009927BD">
        <w:rPr>
          <w:rFonts w:eastAsia="SimSun"/>
          <w:szCs w:val="22"/>
          <w:lang w:eastAsia="zh-CN" w:bidi="ar-SA"/>
        </w:rPr>
        <w:t xml:space="preserve"> </w:t>
      </w:r>
      <w:r w:rsidRPr="00496C85">
        <w:rPr>
          <w:rFonts w:eastAsia="MS Mincho"/>
          <w:b/>
          <w:bCs/>
          <w:sz w:val="18"/>
          <w:szCs w:val="18"/>
          <w:lang w:bidi="ar-SA"/>
        </w:rPr>
        <w:t>in Firms’ Performance Indicators over Time, based on their UM Application Date</w:t>
      </w:r>
      <w:bookmarkEnd w:id="14"/>
    </w:p>
    <w:tbl>
      <w:tblPr>
        <w:tblStyle w:val="TableGrid"/>
        <w:tblW w:w="0" w:type="auto"/>
        <w:jc w:val="center"/>
        <w:tblLayout w:type="fixed"/>
        <w:tblCellMar>
          <w:left w:w="115" w:type="dxa"/>
          <w:right w:w="115" w:type="dxa"/>
        </w:tblCellMar>
        <w:tblLook w:val="04A0" w:firstRow="1" w:lastRow="0" w:firstColumn="1" w:lastColumn="0" w:noHBand="0" w:noVBand="1"/>
      </w:tblPr>
      <w:tblGrid>
        <w:gridCol w:w="4788"/>
        <w:gridCol w:w="4788"/>
      </w:tblGrid>
      <w:tr w:rsidR="008F1B07" w:rsidTr="00890B67">
        <w:trPr>
          <w:jc w:val="center"/>
        </w:trPr>
        <w:tc>
          <w:tcPr>
            <w:tcW w:w="4788" w:type="dxa"/>
            <w:tcBorders>
              <w:bottom w:val="nil"/>
            </w:tcBorders>
          </w:tcPr>
          <w:p w:rsidR="008F1B07" w:rsidRDefault="008F1B07" w:rsidP="008F1B07">
            <w:pPr>
              <w:pStyle w:val="ListParagraph"/>
              <w:numPr>
                <w:ilvl w:val="0"/>
                <w:numId w:val="12"/>
              </w:numPr>
            </w:pPr>
            <w:r>
              <w:t>Net Sales (in million baht)</w:t>
            </w:r>
          </w:p>
        </w:tc>
        <w:tc>
          <w:tcPr>
            <w:tcW w:w="4788" w:type="dxa"/>
            <w:tcBorders>
              <w:bottom w:val="nil"/>
            </w:tcBorders>
          </w:tcPr>
          <w:p w:rsidR="008F1B07" w:rsidRDefault="008F1B07" w:rsidP="008F1B07">
            <w:pPr>
              <w:pStyle w:val="ListParagraph"/>
              <w:numPr>
                <w:ilvl w:val="0"/>
                <w:numId w:val="12"/>
              </w:numPr>
            </w:pPr>
            <w:r>
              <w:t>Net Profit (in million baht)</w:t>
            </w:r>
          </w:p>
        </w:tc>
      </w:tr>
      <w:tr w:rsidR="008F1B07" w:rsidTr="00890B67">
        <w:trPr>
          <w:jc w:val="center"/>
        </w:trPr>
        <w:tc>
          <w:tcPr>
            <w:tcW w:w="4788" w:type="dxa"/>
            <w:tcBorders>
              <w:top w:val="nil"/>
              <w:bottom w:val="single" w:sz="4" w:space="0" w:color="auto"/>
            </w:tcBorders>
          </w:tcPr>
          <w:p w:rsidR="008F1B07" w:rsidRDefault="008F1B07" w:rsidP="003E7A9C">
            <w:pPr>
              <w:jc w:val="center"/>
            </w:pPr>
            <w:r>
              <w:rPr>
                <w:noProof/>
                <w:lang w:bidi="ar-SA"/>
              </w:rPr>
              <w:drawing>
                <wp:inline distT="0" distB="0" distL="0" distR="0" wp14:anchorId="25321135" wp14:editId="0CCAF09B">
                  <wp:extent cx="2980944" cy="2167128"/>
                  <wp:effectExtent l="0" t="0" r="0" b="5080"/>
                  <wp:docPr id="47116" name="Picture 4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0944" cy="2167128"/>
                          </a:xfrm>
                          <a:prstGeom prst="rect">
                            <a:avLst/>
                          </a:prstGeom>
                          <a:noFill/>
                        </pic:spPr>
                      </pic:pic>
                    </a:graphicData>
                  </a:graphic>
                </wp:inline>
              </w:drawing>
            </w:r>
          </w:p>
        </w:tc>
        <w:tc>
          <w:tcPr>
            <w:tcW w:w="4788" w:type="dxa"/>
            <w:tcBorders>
              <w:top w:val="nil"/>
              <w:bottom w:val="single" w:sz="4" w:space="0" w:color="auto"/>
            </w:tcBorders>
          </w:tcPr>
          <w:p w:rsidR="008F1B07" w:rsidRDefault="008F1B07" w:rsidP="003E7A9C">
            <w:pPr>
              <w:jc w:val="center"/>
            </w:pPr>
            <w:r>
              <w:rPr>
                <w:noProof/>
                <w:lang w:bidi="ar-SA"/>
              </w:rPr>
              <w:drawing>
                <wp:inline distT="0" distB="0" distL="0" distR="0" wp14:anchorId="607D0F52" wp14:editId="38C1B2A7">
                  <wp:extent cx="2980944" cy="21671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0944" cy="2167128"/>
                          </a:xfrm>
                          <a:prstGeom prst="rect">
                            <a:avLst/>
                          </a:prstGeom>
                          <a:noFill/>
                        </pic:spPr>
                      </pic:pic>
                    </a:graphicData>
                  </a:graphic>
                </wp:inline>
              </w:drawing>
            </w:r>
          </w:p>
        </w:tc>
      </w:tr>
      <w:tr w:rsidR="008F1B07" w:rsidTr="00890B67">
        <w:trPr>
          <w:jc w:val="center"/>
        </w:trPr>
        <w:tc>
          <w:tcPr>
            <w:tcW w:w="4788" w:type="dxa"/>
            <w:tcBorders>
              <w:bottom w:val="nil"/>
            </w:tcBorders>
          </w:tcPr>
          <w:p w:rsidR="008F1B07" w:rsidRDefault="008F1B07" w:rsidP="008F1B07">
            <w:pPr>
              <w:pStyle w:val="ListParagraph"/>
              <w:numPr>
                <w:ilvl w:val="0"/>
                <w:numId w:val="12"/>
              </w:numPr>
              <w:rPr>
                <w:noProof/>
              </w:rPr>
            </w:pPr>
            <w:r>
              <w:rPr>
                <w:noProof/>
              </w:rPr>
              <w:t>Sales-to-Cost Ratio</w:t>
            </w:r>
          </w:p>
        </w:tc>
        <w:tc>
          <w:tcPr>
            <w:tcW w:w="4788" w:type="dxa"/>
            <w:tcBorders>
              <w:bottom w:val="nil"/>
            </w:tcBorders>
          </w:tcPr>
          <w:p w:rsidR="008F1B07" w:rsidRDefault="008F1B07" w:rsidP="008F1B07">
            <w:pPr>
              <w:pStyle w:val="ListParagraph"/>
              <w:numPr>
                <w:ilvl w:val="0"/>
                <w:numId w:val="12"/>
              </w:numPr>
              <w:rPr>
                <w:noProof/>
              </w:rPr>
            </w:pPr>
            <w:r>
              <w:rPr>
                <w:noProof/>
              </w:rPr>
              <w:t>Operating Costs (in million baht)</w:t>
            </w:r>
          </w:p>
        </w:tc>
      </w:tr>
      <w:tr w:rsidR="008F1B07" w:rsidTr="00890B67">
        <w:trPr>
          <w:jc w:val="center"/>
        </w:trPr>
        <w:tc>
          <w:tcPr>
            <w:tcW w:w="4788" w:type="dxa"/>
            <w:tcBorders>
              <w:top w:val="nil"/>
              <w:bottom w:val="single" w:sz="4" w:space="0" w:color="auto"/>
            </w:tcBorders>
          </w:tcPr>
          <w:p w:rsidR="008F1B07" w:rsidRDefault="008F1B07" w:rsidP="003E7A9C">
            <w:pPr>
              <w:jc w:val="center"/>
              <w:rPr>
                <w:noProof/>
              </w:rPr>
            </w:pPr>
            <w:r>
              <w:rPr>
                <w:noProof/>
                <w:lang w:bidi="ar-SA"/>
              </w:rPr>
              <w:drawing>
                <wp:inline distT="0" distB="0" distL="0" distR="0" wp14:anchorId="79EF7FCA" wp14:editId="74066164">
                  <wp:extent cx="2990088" cy="2167128"/>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088" cy="2167128"/>
                          </a:xfrm>
                          <a:prstGeom prst="rect">
                            <a:avLst/>
                          </a:prstGeom>
                          <a:noFill/>
                        </pic:spPr>
                      </pic:pic>
                    </a:graphicData>
                  </a:graphic>
                </wp:inline>
              </w:drawing>
            </w:r>
          </w:p>
        </w:tc>
        <w:tc>
          <w:tcPr>
            <w:tcW w:w="4788" w:type="dxa"/>
            <w:tcBorders>
              <w:top w:val="nil"/>
              <w:bottom w:val="single" w:sz="4" w:space="0" w:color="auto"/>
            </w:tcBorders>
          </w:tcPr>
          <w:p w:rsidR="008F1B07" w:rsidRDefault="008F1B07" w:rsidP="003E7A9C">
            <w:pPr>
              <w:jc w:val="center"/>
              <w:rPr>
                <w:noProof/>
              </w:rPr>
            </w:pPr>
            <w:r>
              <w:rPr>
                <w:noProof/>
                <w:lang w:bidi="ar-SA"/>
              </w:rPr>
              <w:drawing>
                <wp:inline distT="0" distB="0" distL="0" distR="0" wp14:anchorId="33D320A8" wp14:editId="45989317">
                  <wp:extent cx="2990088" cy="2167128"/>
                  <wp:effectExtent l="0" t="0" r="1270" b="5080"/>
                  <wp:docPr id="47117" name="Picture 4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088" cy="2167128"/>
                          </a:xfrm>
                          <a:prstGeom prst="rect">
                            <a:avLst/>
                          </a:prstGeom>
                          <a:noFill/>
                        </pic:spPr>
                      </pic:pic>
                    </a:graphicData>
                  </a:graphic>
                </wp:inline>
              </w:drawing>
            </w:r>
          </w:p>
        </w:tc>
      </w:tr>
      <w:tr w:rsidR="008F1B07" w:rsidRPr="009927BD" w:rsidTr="00890B67">
        <w:trPr>
          <w:jc w:val="center"/>
        </w:trPr>
        <w:tc>
          <w:tcPr>
            <w:tcW w:w="9576" w:type="dxa"/>
            <w:gridSpan w:val="2"/>
            <w:tcBorders>
              <w:top w:val="single" w:sz="4" w:space="0" w:color="auto"/>
              <w:left w:val="nil"/>
              <w:bottom w:val="nil"/>
              <w:right w:val="nil"/>
            </w:tcBorders>
          </w:tcPr>
          <w:p w:rsidR="008F1B07" w:rsidRPr="009927BD" w:rsidRDefault="008F1B07" w:rsidP="003E7A9C">
            <w:pPr>
              <w:rPr>
                <w:noProof/>
              </w:rPr>
            </w:pPr>
            <w:r w:rsidRPr="00496C85">
              <w:rPr>
                <w:rFonts w:eastAsia="MS Mincho"/>
                <w:b/>
                <w:bCs/>
                <w:sz w:val="18"/>
                <w:szCs w:val="18"/>
                <w:lang w:bidi="ar-SA"/>
              </w:rPr>
              <w:t xml:space="preserve">Source: </w:t>
            </w:r>
            <w:r w:rsidR="008066EA">
              <w:rPr>
                <w:rFonts w:eastAsia="MS Mincho"/>
                <w:b/>
                <w:bCs/>
                <w:sz w:val="18"/>
                <w:szCs w:val="18"/>
                <w:lang w:bidi="ar-SA"/>
              </w:rPr>
              <w:t xml:space="preserve"> </w:t>
            </w:r>
            <w:r w:rsidRPr="00496C85">
              <w:rPr>
                <w:rFonts w:eastAsia="MS Mincho"/>
                <w:b/>
                <w:bCs/>
                <w:sz w:val="18"/>
                <w:szCs w:val="18"/>
                <w:lang w:bidi="ar-SA"/>
              </w:rPr>
              <w:t>TDRI-WIPO Extended Database (2013).</w:t>
            </w:r>
          </w:p>
        </w:tc>
      </w:tr>
    </w:tbl>
    <w:p w:rsidR="008F1B07" w:rsidRDefault="008F1B07" w:rsidP="008D4CCE"/>
    <w:p w:rsidR="00BD4039" w:rsidRDefault="00AF7FAC" w:rsidP="00BD4039">
      <w:r w:rsidRPr="004F1F4A">
        <w:t xml:space="preserve">On average, firms that use UM perform better after filing for UM across all three performance indicators, with several notable </w:t>
      </w:r>
      <w:r>
        <w:t>variations</w:t>
      </w:r>
      <w:r w:rsidRPr="004F1F4A">
        <w:t xml:space="preserve">. </w:t>
      </w:r>
      <w:r>
        <w:t xml:space="preserve"> </w:t>
      </w:r>
      <w:r w:rsidRPr="004F1F4A">
        <w:t>Five years after filing for UM protection, the average Thai firm has six times more sales than it did five years preceding the application (a jump from one to six billion baht</w:t>
      </w:r>
      <w:r>
        <w:t xml:space="preserve">, roughly equivalent to USD </w:t>
      </w:r>
      <w:r w:rsidRPr="009B2149">
        <w:t>32</w:t>
      </w:r>
      <w:r>
        <w:t>.2 million and</w:t>
      </w:r>
      <w:r w:rsidRPr="009B2149">
        <w:t xml:space="preserve"> USD to 96</w:t>
      </w:r>
      <w:r>
        <w:t xml:space="preserve"> million, respectively</w:t>
      </w:r>
      <w:r w:rsidRPr="004F1F4A">
        <w:t>).</w:t>
      </w:r>
      <w:r>
        <w:rPr>
          <w:rStyle w:val="FootnoteReference"/>
        </w:rPr>
        <w:footnoteReference w:id="20"/>
      </w:r>
      <w:r>
        <w:t xml:space="preserve">  In a similar trend, once the average firm files for UM protection, its net profit increased from 20 million baht to 350 million baht </w:t>
      </w:r>
      <w:r w:rsidRPr="009B2149">
        <w:t>(approx. USD 643,500 and USD 11.3 million</w:t>
      </w:r>
      <w:r>
        <w:t xml:space="preserve"> respectively).</w:t>
      </w:r>
      <w:r>
        <w:rPr>
          <w:rStyle w:val="FootnoteReference"/>
        </w:rPr>
        <w:footnoteReference w:id="21"/>
      </w:r>
      <w:r>
        <w:t xml:space="preserve">  And lastly, t</w:t>
      </w:r>
      <w:r w:rsidRPr="004F1F4A">
        <w:t>he sales-to-cost ratio trend for the average firm also increases after filing for UM protection, however the jump is smaller given the more volatile trend over the time period under investigation.</w:t>
      </w:r>
      <w:r>
        <w:t xml:space="preserve"> </w:t>
      </w:r>
      <w:r w:rsidRPr="004F1F4A">
        <w:t xml:space="preserve"> </w:t>
      </w:r>
      <w:r>
        <w:t>To help contextualize the business trend that the firms in Thailand faced during the same time period of investigation, we have included a graph which plots the average firm’s operating costs over time to UM application</w:t>
      </w:r>
      <w:r w:rsidR="00BD4039">
        <w:t xml:space="preserve"> (see Figure 1(d)).</w:t>
      </w:r>
    </w:p>
    <w:p w:rsidR="00BD4039" w:rsidRDefault="00BD4039" w:rsidP="00BD4039"/>
    <w:p w:rsidR="00400861" w:rsidRDefault="00400861" w:rsidP="00400861">
      <w:r>
        <w:t xml:space="preserve">We then </w:t>
      </w:r>
      <w:r w:rsidR="003032FB">
        <w:t xml:space="preserve">try </w:t>
      </w:r>
      <w:r>
        <w:t xml:space="preserve">to identify if there are specific traits of the firms that apply for this IP instrument to </w:t>
      </w:r>
      <w:r w:rsidR="003032FB">
        <w:t>ascertain</w:t>
      </w:r>
      <w:r>
        <w:t xml:space="preserve"> if there are instances where firms are more likely to use UM protection, for example in a specific industrial sector.</w:t>
      </w:r>
      <w:r w:rsidR="009927BD">
        <w:t xml:space="preserve"> </w:t>
      </w:r>
      <w:r>
        <w:t xml:space="preserve"> If this is the case, then these particular subgroups of firms should observe a stronger effect of UM protection on their performance indicators in comparison to others. </w:t>
      </w:r>
      <w:r w:rsidR="009927BD">
        <w:t xml:space="preserve"> </w:t>
      </w:r>
      <w:r>
        <w:t xml:space="preserve">We considered the firms’ age group, geographical location, size, industrial sectors, and technological fields. </w:t>
      </w:r>
    </w:p>
    <w:p w:rsidR="004B58DA" w:rsidRDefault="004B58DA" w:rsidP="00400861"/>
    <w:p w:rsidR="00400861" w:rsidRDefault="00400861" w:rsidP="00400861">
      <w:r>
        <w:t xml:space="preserve">First, we observe that there is no tendency of using UM protection based on the firms’ age group. </w:t>
      </w:r>
      <w:r w:rsidR="009927BD">
        <w:t xml:space="preserve"> </w:t>
      </w:r>
      <w:r>
        <w:t xml:space="preserve">Roughly half of the Thai firms that have applied for UM protection are well established businesses with over 20 years of existence.  </w:t>
      </w:r>
      <w:r>
        <w:fldChar w:fldCharType="begin"/>
      </w:r>
      <w:r>
        <w:instrText xml:space="preserve"> REF _Ref391387446 \h </w:instrText>
      </w:r>
      <w:r>
        <w:fldChar w:fldCharType="separate"/>
      </w:r>
      <w:r w:rsidR="00092527" w:rsidRPr="00496C85">
        <w:rPr>
          <w:rFonts w:eastAsia="MS Mincho"/>
          <w:b/>
          <w:bCs/>
          <w:sz w:val="18"/>
          <w:szCs w:val="18"/>
          <w:lang w:bidi="ar-SA"/>
        </w:rPr>
        <w:t xml:space="preserve">Figure </w:t>
      </w:r>
      <w:r w:rsidR="00092527">
        <w:rPr>
          <w:rFonts w:eastAsia="MS Mincho"/>
          <w:b/>
          <w:bCs/>
          <w:noProof/>
          <w:sz w:val="18"/>
          <w:szCs w:val="18"/>
          <w:lang w:bidi="ar-SA"/>
        </w:rPr>
        <w:t>2</w:t>
      </w:r>
      <w:r>
        <w:fldChar w:fldCharType="end"/>
      </w:r>
      <w:r>
        <w:t xml:space="preserve"> </w:t>
      </w:r>
      <w:r w:rsidR="0001066D">
        <w:t>plots the</w:t>
      </w:r>
      <w:r>
        <w:t xml:space="preserve"> distribution of the firms that have applied for UM according to the firm registration year.</w:t>
      </w:r>
    </w:p>
    <w:p w:rsidR="00400861" w:rsidRDefault="00400861" w:rsidP="00400861"/>
    <w:p w:rsidR="00400861" w:rsidRPr="00496C85" w:rsidRDefault="00400861" w:rsidP="009927BD">
      <w:pPr>
        <w:rPr>
          <w:rFonts w:eastAsia="MS Mincho"/>
          <w:b/>
          <w:bCs/>
          <w:sz w:val="18"/>
          <w:szCs w:val="18"/>
          <w:lang w:bidi="ar-SA"/>
        </w:rPr>
      </w:pPr>
      <w:bookmarkStart w:id="15" w:name="_Ref391387446"/>
      <w:bookmarkStart w:id="16" w:name="_Toc393894453"/>
      <w:r w:rsidRPr="00496C85">
        <w:rPr>
          <w:rFonts w:eastAsia="MS Mincho"/>
          <w:b/>
          <w:bCs/>
          <w:sz w:val="18"/>
          <w:szCs w:val="18"/>
          <w:lang w:bidi="ar-SA"/>
        </w:rPr>
        <w:t xml:space="preserve">Figure </w:t>
      </w:r>
      <w:r w:rsidRPr="00496C85">
        <w:rPr>
          <w:rFonts w:eastAsia="MS Mincho"/>
          <w:b/>
          <w:bCs/>
          <w:sz w:val="18"/>
          <w:szCs w:val="18"/>
          <w:lang w:bidi="ar-SA"/>
        </w:rPr>
        <w:fldChar w:fldCharType="begin"/>
      </w:r>
      <w:r w:rsidRPr="00496C85">
        <w:rPr>
          <w:rFonts w:eastAsia="MS Mincho"/>
          <w:b/>
          <w:bCs/>
          <w:sz w:val="18"/>
          <w:szCs w:val="18"/>
          <w:lang w:bidi="ar-SA"/>
        </w:rPr>
        <w:instrText xml:space="preserve"> SEQ Figure \* ARABIC </w:instrText>
      </w:r>
      <w:r w:rsidRPr="00496C85">
        <w:rPr>
          <w:rFonts w:eastAsia="MS Mincho"/>
          <w:b/>
          <w:bCs/>
          <w:sz w:val="18"/>
          <w:szCs w:val="18"/>
          <w:lang w:bidi="ar-SA"/>
        </w:rPr>
        <w:fldChar w:fldCharType="separate"/>
      </w:r>
      <w:r w:rsidR="00092527">
        <w:rPr>
          <w:rFonts w:eastAsia="MS Mincho"/>
          <w:b/>
          <w:bCs/>
          <w:noProof/>
          <w:sz w:val="18"/>
          <w:szCs w:val="18"/>
          <w:lang w:bidi="ar-SA"/>
        </w:rPr>
        <w:t>2</w:t>
      </w:r>
      <w:r w:rsidRPr="00496C85">
        <w:rPr>
          <w:rFonts w:eastAsia="MS Mincho"/>
          <w:b/>
          <w:bCs/>
          <w:sz w:val="18"/>
          <w:szCs w:val="18"/>
          <w:lang w:bidi="ar-SA"/>
        </w:rPr>
        <w:fldChar w:fldCharType="end"/>
      </w:r>
      <w:bookmarkEnd w:id="15"/>
      <w:r w:rsidRPr="00496C85">
        <w:rPr>
          <w:rFonts w:eastAsia="MS Mincho"/>
          <w:b/>
          <w:bCs/>
          <w:sz w:val="18"/>
          <w:szCs w:val="18"/>
          <w:lang w:bidi="ar-SA"/>
        </w:rPr>
        <w:t xml:space="preserve">: </w:t>
      </w:r>
      <w:r w:rsidR="008066EA">
        <w:rPr>
          <w:rFonts w:eastAsia="MS Mincho"/>
          <w:b/>
          <w:bCs/>
          <w:sz w:val="18"/>
          <w:szCs w:val="18"/>
          <w:lang w:bidi="ar-SA"/>
        </w:rPr>
        <w:t xml:space="preserve"> </w:t>
      </w:r>
      <w:r w:rsidRPr="00496C85">
        <w:rPr>
          <w:rFonts w:eastAsia="MS Mincho"/>
          <w:b/>
          <w:bCs/>
          <w:sz w:val="18"/>
          <w:szCs w:val="18"/>
          <w:lang w:bidi="ar-SA"/>
        </w:rPr>
        <w:t>Distribution of Firms by Year Established</w:t>
      </w:r>
      <w:bookmarkEnd w:id="16"/>
    </w:p>
    <w:tbl>
      <w:tblPr>
        <w:tblStyle w:val="TableGrid"/>
        <w:tblW w:w="0" w:type="auto"/>
        <w:jc w:val="center"/>
        <w:tblLayout w:type="fixed"/>
        <w:tblCellMar>
          <w:left w:w="115" w:type="dxa"/>
          <w:right w:w="115" w:type="dxa"/>
        </w:tblCellMar>
        <w:tblLook w:val="04A0" w:firstRow="1" w:lastRow="0" w:firstColumn="1" w:lastColumn="0" w:noHBand="0" w:noVBand="1"/>
      </w:tblPr>
      <w:tblGrid>
        <w:gridCol w:w="9576"/>
      </w:tblGrid>
      <w:tr w:rsidR="00400861" w:rsidTr="00A5718A">
        <w:trPr>
          <w:jc w:val="center"/>
        </w:trPr>
        <w:tc>
          <w:tcPr>
            <w:tcW w:w="9576" w:type="dxa"/>
            <w:tcBorders>
              <w:bottom w:val="single" w:sz="4" w:space="0" w:color="auto"/>
            </w:tcBorders>
          </w:tcPr>
          <w:p w:rsidR="00400861" w:rsidRDefault="00400861" w:rsidP="003E7A9C">
            <w:pPr>
              <w:jc w:val="center"/>
            </w:pPr>
            <w:r>
              <w:rPr>
                <w:noProof/>
                <w:lang w:bidi="ar-SA"/>
              </w:rPr>
              <w:drawing>
                <wp:inline distT="0" distB="0" distL="0" distR="0" wp14:anchorId="094FACD4" wp14:editId="50A601D4">
                  <wp:extent cx="5038344" cy="36667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344" cy="3666744"/>
                          </a:xfrm>
                          <a:prstGeom prst="rect">
                            <a:avLst/>
                          </a:prstGeom>
                          <a:noFill/>
                        </pic:spPr>
                      </pic:pic>
                    </a:graphicData>
                  </a:graphic>
                </wp:inline>
              </w:drawing>
            </w:r>
          </w:p>
        </w:tc>
      </w:tr>
      <w:tr w:rsidR="00400861" w:rsidTr="00A5718A">
        <w:trPr>
          <w:jc w:val="center"/>
        </w:trPr>
        <w:tc>
          <w:tcPr>
            <w:tcW w:w="9576" w:type="dxa"/>
            <w:tcBorders>
              <w:left w:val="nil"/>
              <w:bottom w:val="nil"/>
              <w:right w:val="nil"/>
            </w:tcBorders>
          </w:tcPr>
          <w:p w:rsidR="00400861" w:rsidRPr="009927BD" w:rsidRDefault="00400861" w:rsidP="003E7A9C">
            <w:r w:rsidRPr="00496C85">
              <w:rPr>
                <w:rFonts w:eastAsia="MS Mincho"/>
                <w:b/>
                <w:bCs/>
                <w:sz w:val="18"/>
                <w:szCs w:val="18"/>
                <w:lang w:bidi="ar-SA"/>
              </w:rPr>
              <w:t>Source:</w:t>
            </w:r>
            <w:r w:rsidR="008066EA">
              <w:rPr>
                <w:rFonts w:eastAsia="MS Mincho"/>
                <w:b/>
                <w:bCs/>
                <w:sz w:val="18"/>
                <w:szCs w:val="18"/>
                <w:lang w:bidi="ar-SA"/>
              </w:rPr>
              <w:t xml:space="preserve"> </w:t>
            </w:r>
            <w:r w:rsidRPr="00496C85">
              <w:rPr>
                <w:rFonts w:eastAsia="MS Mincho"/>
                <w:b/>
                <w:bCs/>
                <w:sz w:val="18"/>
                <w:szCs w:val="18"/>
                <w:lang w:bidi="ar-SA"/>
              </w:rPr>
              <w:t xml:space="preserve"> DIP (2012) and TDRI-WIPO Extended Database (2013).</w:t>
            </w:r>
          </w:p>
        </w:tc>
      </w:tr>
    </w:tbl>
    <w:p w:rsidR="00400861" w:rsidRDefault="00400861" w:rsidP="00400861"/>
    <w:p w:rsidR="00D66CC5" w:rsidRDefault="00D66CC5" w:rsidP="00D66CC5">
      <w:r>
        <w:t>Second</w:t>
      </w:r>
      <w:r w:rsidRPr="00EE3E0E">
        <w:t>, we are able to observe how the net sales, net profits and the sales-to-costs ratio change after the firms file for UM according to their sizes.</w:t>
      </w:r>
      <w:r w:rsidR="009927BD">
        <w:t xml:space="preserve"> </w:t>
      </w:r>
      <w:r>
        <w:t xml:space="preserve"> </w:t>
      </w:r>
      <w:r w:rsidR="0001066D">
        <w:fldChar w:fldCharType="begin"/>
      </w:r>
      <w:r w:rsidR="0001066D">
        <w:instrText xml:space="preserve"> REF _Ref393808477 \h </w:instrText>
      </w:r>
      <w:r w:rsidR="0001066D">
        <w:fldChar w:fldCharType="separate"/>
      </w:r>
      <w:r w:rsidR="00092527" w:rsidRPr="00496C85">
        <w:rPr>
          <w:rFonts w:eastAsia="MS Mincho"/>
          <w:b/>
          <w:bCs/>
          <w:sz w:val="18"/>
          <w:szCs w:val="18"/>
          <w:lang w:bidi="ar-SA"/>
        </w:rPr>
        <w:t xml:space="preserve">Table </w:t>
      </w:r>
      <w:r w:rsidR="00092527">
        <w:rPr>
          <w:rFonts w:eastAsia="MS Mincho"/>
          <w:b/>
          <w:bCs/>
          <w:noProof/>
          <w:sz w:val="18"/>
          <w:szCs w:val="18"/>
          <w:lang w:bidi="ar-SA"/>
        </w:rPr>
        <w:t>2</w:t>
      </w:r>
      <w:r w:rsidR="0001066D">
        <w:fldChar w:fldCharType="end"/>
      </w:r>
      <w:r w:rsidR="0001066D">
        <w:t xml:space="preserve"> </w:t>
      </w:r>
      <w:r w:rsidRPr="00EE3E0E">
        <w:t>summarizes how the firms’ performance indicators change before and after filing for UM protection.</w:t>
      </w:r>
      <w:r w:rsidR="009927BD">
        <w:t xml:space="preserve"> </w:t>
      </w:r>
      <w:r w:rsidRPr="00EE3E0E">
        <w:t xml:space="preserve"> Firms’ net sales jump after they file for UM protection</w:t>
      </w:r>
      <w:r>
        <w:t>, a</w:t>
      </w:r>
      <w:r w:rsidRPr="00EE3E0E">
        <w:t xml:space="preserve">nd the height of this jump increases according to their sizes: </w:t>
      </w:r>
      <w:r w:rsidR="00A554AD">
        <w:t xml:space="preserve"> </w:t>
      </w:r>
      <w:r w:rsidRPr="00EE3E0E">
        <w:t>bigger sized firms observe a higher increase in their net sales after UM application than their smaller counterparts.  However, when we use the sales-to-cost ratio as a proxy for firm performance, the only firm size group that seems to have a slightly better performance is the large firms in the last quartile.</w:t>
      </w:r>
      <w:r w:rsidR="009927BD">
        <w:t xml:space="preserve"> </w:t>
      </w:r>
      <w:r w:rsidRPr="00EE3E0E">
        <w:t xml:space="preserve"> The other firms actually see a slight decrease in their sales-to-costs ratio.</w:t>
      </w:r>
      <w:r w:rsidR="009927BD">
        <w:t xml:space="preserve"> </w:t>
      </w:r>
      <w:r>
        <w:t xml:space="preserve"> This observation indicates that there may be a size effect on how UM protection affects the firms’ performance indicators, which we will check in the following section.</w:t>
      </w:r>
    </w:p>
    <w:p w:rsidR="009927BD" w:rsidRDefault="009927BD">
      <w:r>
        <w:br w:type="page"/>
      </w:r>
    </w:p>
    <w:p w:rsidR="00D66CC5" w:rsidRDefault="00D66CC5" w:rsidP="00D66CC5"/>
    <w:p w:rsidR="00D66CC5" w:rsidRPr="00496C85" w:rsidRDefault="00D66CC5" w:rsidP="009927BD">
      <w:pPr>
        <w:rPr>
          <w:rFonts w:eastAsia="MS Mincho"/>
          <w:b/>
          <w:bCs/>
          <w:sz w:val="18"/>
          <w:szCs w:val="18"/>
          <w:lang w:bidi="ar-SA"/>
        </w:rPr>
      </w:pPr>
      <w:bookmarkStart w:id="17" w:name="_Ref393808477"/>
      <w:bookmarkStart w:id="18" w:name="_Ref393808472"/>
      <w:bookmarkStart w:id="19" w:name="_Toc393894454"/>
      <w:r w:rsidRPr="00496C85">
        <w:rPr>
          <w:rFonts w:eastAsia="MS Mincho"/>
          <w:b/>
          <w:bCs/>
          <w:sz w:val="18"/>
          <w:szCs w:val="18"/>
          <w:lang w:bidi="ar-SA"/>
        </w:rPr>
        <w:t xml:space="preserve">Table </w:t>
      </w:r>
      <w:r w:rsidR="00B82C96" w:rsidRPr="00496C85">
        <w:rPr>
          <w:rFonts w:eastAsia="MS Mincho"/>
          <w:b/>
          <w:bCs/>
          <w:sz w:val="18"/>
          <w:szCs w:val="18"/>
          <w:lang w:bidi="ar-SA"/>
        </w:rPr>
        <w:fldChar w:fldCharType="begin"/>
      </w:r>
      <w:r w:rsidR="00B82C96" w:rsidRPr="00496C85">
        <w:rPr>
          <w:rFonts w:eastAsia="MS Mincho"/>
          <w:b/>
          <w:bCs/>
          <w:sz w:val="18"/>
          <w:szCs w:val="18"/>
          <w:lang w:bidi="ar-SA"/>
        </w:rPr>
        <w:instrText xml:space="preserve"> SEQ Table \* ARABIC </w:instrText>
      </w:r>
      <w:r w:rsidR="00B82C96" w:rsidRPr="00496C85">
        <w:rPr>
          <w:rFonts w:eastAsia="MS Mincho"/>
          <w:b/>
          <w:bCs/>
          <w:sz w:val="18"/>
          <w:szCs w:val="18"/>
          <w:lang w:bidi="ar-SA"/>
        </w:rPr>
        <w:fldChar w:fldCharType="separate"/>
      </w:r>
      <w:r w:rsidR="00092527">
        <w:rPr>
          <w:rFonts w:eastAsia="MS Mincho"/>
          <w:b/>
          <w:bCs/>
          <w:noProof/>
          <w:sz w:val="18"/>
          <w:szCs w:val="18"/>
          <w:lang w:bidi="ar-SA"/>
        </w:rPr>
        <w:t>2</w:t>
      </w:r>
      <w:r w:rsidR="00B82C96" w:rsidRPr="00496C85">
        <w:rPr>
          <w:rFonts w:eastAsia="MS Mincho"/>
          <w:b/>
          <w:bCs/>
          <w:sz w:val="18"/>
          <w:szCs w:val="18"/>
          <w:lang w:bidi="ar-SA"/>
        </w:rPr>
        <w:fldChar w:fldCharType="end"/>
      </w:r>
      <w:bookmarkEnd w:id="17"/>
      <w:r w:rsidRPr="00496C85">
        <w:rPr>
          <w:rFonts w:eastAsia="MS Mincho"/>
          <w:b/>
          <w:bCs/>
          <w:sz w:val="18"/>
          <w:szCs w:val="18"/>
          <w:lang w:bidi="ar-SA"/>
        </w:rPr>
        <w:t xml:space="preserve">: </w:t>
      </w:r>
      <w:r w:rsidR="00924DF9">
        <w:rPr>
          <w:rFonts w:eastAsia="MS Mincho"/>
          <w:b/>
          <w:bCs/>
          <w:sz w:val="18"/>
          <w:szCs w:val="18"/>
          <w:lang w:bidi="ar-SA"/>
        </w:rPr>
        <w:t xml:space="preserve"> </w:t>
      </w:r>
      <w:r w:rsidRPr="00496C85">
        <w:rPr>
          <w:rFonts w:eastAsia="MS Mincho"/>
          <w:b/>
          <w:bCs/>
          <w:sz w:val="18"/>
          <w:szCs w:val="18"/>
          <w:lang w:bidi="ar-SA"/>
        </w:rPr>
        <w:t>Change in Net Sales, Net Profits and Sales-to-Cost Ratio by Firm Size</w:t>
      </w:r>
      <w:bookmarkEnd w:id="18"/>
      <w:bookmarkEnd w:id="19"/>
    </w:p>
    <w:tbl>
      <w:tblPr>
        <w:tblStyle w:val="TableGrid"/>
        <w:tblW w:w="0" w:type="auto"/>
        <w:jc w:val="center"/>
        <w:tblLayout w:type="fixed"/>
        <w:tblCellMar>
          <w:left w:w="115" w:type="dxa"/>
          <w:right w:w="115" w:type="dxa"/>
        </w:tblCellMar>
        <w:tblLook w:val="04A0" w:firstRow="1" w:lastRow="0" w:firstColumn="1" w:lastColumn="0" w:noHBand="0" w:noVBand="1"/>
      </w:tblPr>
      <w:tblGrid>
        <w:gridCol w:w="9576"/>
      </w:tblGrid>
      <w:tr w:rsidR="00D66CC5" w:rsidTr="00A5718A">
        <w:trPr>
          <w:jc w:val="center"/>
        </w:trPr>
        <w:tc>
          <w:tcPr>
            <w:tcW w:w="9576" w:type="dxa"/>
            <w:tcBorders>
              <w:bottom w:val="single" w:sz="4" w:space="0" w:color="auto"/>
            </w:tcBorders>
          </w:tcPr>
          <w:p w:rsidR="00D66CC5" w:rsidRDefault="00D66CC5" w:rsidP="003E7A9C">
            <w:pPr>
              <w:jc w:val="center"/>
            </w:pPr>
            <w:r>
              <w:rPr>
                <w:noProof/>
                <w:lang w:bidi="ar-SA"/>
              </w:rPr>
              <w:drawing>
                <wp:inline distT="0" distB="0" distL="0" distR="0" wp14:anchorId="0BA1006E" wp14:editId="3A9A2A58">
                  <wp:extent cx="5414010" cy="3035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010" cy="3035935"/>
                          </a:xfrm>
                          <a:prstGeom prst="rect">
                            <a:avLst/>
                          </a:prstGeom>
                          <a:noFill/>
                        </pic:spPr>
                      </pic:pic>
                    </a:graphicData>
                  </a:graphic>
                </wp:inline>
              </w:drawing>
            </w:r>
          </w:p>
        </w:tc>
      </w:tr>
      <w:tr w:rsidR="00D66CC5" w:rsidTr="00A5718A">
        <w:trPr>
          <w:jc w:val="center"/>
        </w:trPr>
        <w:tc>
          <w:tcPr>
            <w:tcW w:w="9576" w:type="dxa"/>
            <w:tcBorders>
              <w:left w:val="nil"/>
              <w:bottom w:val="nil"/>
              <w:right w:val="nil"/>
            </w:tcBorders>
          </w:tcPr>
          <w:p w:rsidR="00D66CC5" w:rsidRPr="009927BD" w:rsidRDefault="00D66CC5" w:rsidP="003E7A9C">
            <w:r w:rsidRPr="00496C85">
              <w:rPr>
                <w:rFonts w:eastAsia="MS Mincho"/>
                <w:b/>
                <w:bCs/>
                <w:sz w:val="18"/>
                <w:szCs w:val="18"/>
                <w:lang w:bidi="ar-SA"/>
              </w:rPr>
              <w:t xml:space="preserve">Source: </w:t>
            </w:r>
            <w:r w:rsidR="00924DF9">
              <w:rPr>
                <w:rFonts w:eastAsia="MS Mincho"/>
                <w:b/>
                <w:bCs/>
                <w:sz w:val="18"/>
                <w:szCs w:val="18"/>
                <w:lang w:bidi="ar-SA"/>
              </w:rPr>
              <w:t xml:space="preserve"> </w:t>
            </w:r>
            <w:r w:rsidRPr="00496C85">
              <w:rPr>
                <w:rFonts w:eastAsia="MS Mincho"/>
                <w:b/>
                <w:bCs/>
                <w:sz w:val="18"/>
                <w:szCs w:val="18"/>
                <w:lang w:bidi="ar-SA"/>
              </w:rPr>
              <w:t>TDRI-WIPO Extended Database (2013).</w:t>
            </w:r>
          </w:p>
        </w:tc>
      </w:tr>
    </w:tbl>
    <w:p w:rsidR="00D66CC5" w:rsidRDefault="00D66CC5" w:rsidP="00D66CC5"/>
    <w:p w:rsidR="00AB13A5" w:rsidRDefault="00AB13A5" w:rsidP="00AB13A5">
      <w:r>
        <w:t>Third</w:t>
      </w:r>
      <w:r w:rsidRPr="00402FB2">
        <w:t xml:space="preserve">, firms from all industrial sectors </w:t>
      </w:r>
      <w:r>
        <w:t xml:space="preserve">have applied for UM protection. </w:t>
      </w:r>
      <w:r w:rsidRPr="00402FB2">
        <w:t>But the four industrial sectors that have a sizeable concentration of firms with UM protection are: wholesale, food and beverages, machinery a</w:t>
      </w:r>
      <w:r>
        <w:t xml:space="preserve">nd retail (see </w:t>
      </w:r>
      <w:r>
        <w:fldChar w:fldCharType="begin"/>
      </w:r>
      <w:r>
        <w:instrText xml:space="preserve"> REF _Ref393808538 \h </w:instrText>
      </w:r>
      <w:r>
        <w:fldChar w:fldCharType="separate"/>
      </w:r>
      <w:r w:rsidR="00092527" w:rsidRPr="00496C85">
        <w:rPr>
          <w:rFonts w:eastAsia="MS Mincho"/>
          <w:b/>
          <w:bCs/>
          <w:sz w:val="18"/>
          <w:szCs w:val="18"/>
          <w:lang w:bidi="ar-SA"/>
        </w:rPr>
        <w:t xml:space="preserve">Table </w:t>
      </w:r>
      <w:r w:rsidR="00092527">
        <w:rPr>
          <w:rFonts w:eastAsia="MS Mincho"/>
          <w:b/>
          <w:bCs/>
          <w:noProof/>
          <w:sz w:val="18"/>
          <w:szCs w:val="18"/>
          <w:lang w:bidi="ar-SA"/>
        </w:rPr>
        <w:t>3</w:t>
      </w:r>
      <w:r>
        <w:fldChar w:fldCharType="end"/>
      </w:r>
      <w:r>
        <w:t>)</w:t>
      </w:r>
      <w:r w:rsidRPr="00402FB2">
        <w:t xml:space="preserve">. </w:t>
      </w:r>
      <w:r w:rsidR="009927BD">
        <w:t xml:space="preserve"> </w:t>
      </w:r>
      <w:r w:rsidRPr="00402FB2">
        <w:t>In contrast, the top three technological fields with the highest number of UM firm applicants are in civil engineering, food chemistry and handling</w:t>
      </w:r>
      <w:r>
        <w:t xml:space="preserve"> (see</w:t>
      </w:r>
      <w:r w:rsidR="00BF0652">
        <w:t xml:space="preserve"> </w:t>
      </w:r>
      <w:r w:rsidR="00BF0652">
        <w:fldChar w:fldCharType="begin"/>
      </w:r>
      <w:r w:rsidR="00BF0652">
        <w:instrText xml:space="preserve"> REF _Ref393890556 \h </w:instrText>
      </w:r>
      <w:r w:rsidR="00BF0652">
        <w:fldChar w:fldCharType="separate"/>
      </w:r>
      <w:r w:rsidR="00092527" w:rsidRPr="00496C85">
        <w:rPr>
          <w:rFonts w:eastAsia="MS Mincho"/>
          <w:b/>
          <w:bCs/>
          <w:sz w:val="18"/>
          <w:szCs w:val="18"/>
          <w:lang w:bidi="ar-SA"/>
        </w:rPr>
        <w:t xml:space="preserve">Table </w:t>
      </w:r>
      <w:r w:rsidR="00092527">
        <w:rPr>
          <w:rFonts w:eastAsia="MS Mincho"/>
          <w:b/>
          <w:bCs/>
          <w:noProof/>
          <w:sz w:val="18"/>
          <w:szCs w:val="18"/>
          <w:lang w:bidi="ar-SA"/>
        </w:rPr>
        <w:t>4</w:t>
      </w:r>
      <w:r w:rsidR="00BF0652">
        <w:fldChar w:fldCharType="end"/>
      </w:r>
      <w:r>
        <w:t>).</w:t>
      </w:r>
    </w:p>
    <w:p w:rsidR="00AB13A5" w:rsidRPr="003166A3" w:rsidRDefault="00AB13A5" w:rsidP="00AB13A5">
      <w:pPr>
        <w:rPr>
          <w:rFonts w:eastAsia="SimSun"/>
          <w:szCs w:val="22"/>
          <w:lang w:eastAsia="zh-CN" w:bidi="ar-SA"/>
        </w:rPr>
      </w:pPr>
    </w:p>
    <w:p w:rsidR="00AB13A5" w:rsidRPr="00496C85" w:rsidRDefault="00AB13A5" w:rsidP="003166A3">
      <w:pPr>
        <w:rPr>
          <w:rFonts w:eastAsia="MS Mincho"/>
          <w:b/>
          <w:bCs/>
          <w:sz w:val="18"/>
          <w:szCs w:val="18"/>
          <w:lang w:bidi="ar-SA"/>
        </w:rPr>
      </w:pPr>
      <w:bookmarkStart w:id="20" w:name="_Ref393808538"/>
      <w:bookmarkStart w:id="21" w:name="_Toc393894455"/>
      <w:r w:rsidRPr="00496C85">
        <w:rPr>
          <w:rFonts w:eastAsia="MS Mincho"/>
          <w:b/>
          <w:bCs/>
          <w:sz w:val="18"/>
          <w:szCs w:val="18"/>
          <w:lang w:bidi="ar-SA"/>
        </w:rPr>
        <w:t xml:space="preserve">Table </w:t>
      </w:r>
      <w:r w:rsidR="00B82C96" w:rsidRPr="00496C85">
        <w:rPr>
          <w:rFonts w:eastAsia="MS Mincho"/>
          <w:b/>
          <w:bCs/>
          <w:sz w:val="18"/>
          <w:szCs w:val="18"/>
          <w:lang w:bidi="ar-SA"/>
        </w:rPr>
        <w:fldChar w:fldCharType="begin"/>
      </w:r>
      <w:r w:rsidR="00B82C96" w:rsidRPr="00496C85">
        <w:rPr>
          <w:rFonts w:eastAsia="MS Mincho"/>
          <w:b/>
          <w:bCs/>
          <w:sz w:val="18"/>
          <w:szCs w:val="18"/>
          <w:lang w:bidi="ar-SA"/>
        </w:rPr>
        <w:instrText xml:space="preserve"> SEQ Table \* ARABIC </w:instrText>
      </w:r>
      <w:r w:rsidR="00B82C96" w:rsidRPr="00496C85">
        <w:rPr>
          <w:rFonts w:eastAsia="MS Mincho"/>
          <w:b/>
          <w:bCs/>
          <w:sz w:val="18"/>
          <w:szCs w:val="18"/>
          <w:lang w:bidi="ar-SA"/>
        </w:rPr>
        <w:fldChar w:fldCharType="separate"/>
      </w:r>
      <w:r w:rsidR="00092527">
        <w:rPr>
          <w:rFonts w:eastAsia="MS Mincho"/>
          <w:b/>
          <w:bCs/>
          <w:noProof/>
          <w:sz w:val="18"/>
          <w:szCs w:val="18"/>
          <w:lang w:bidi="ar-SA"/>
        </w:rPr>
        <w:t>3</w:t>
      </w:r>
      <w:r w:rsidR="00B82C96" w:rsidRPr="00496C85">
        <w:rPr>
          <w:rFonts w:eastAsia="MS Mincho"/>
          <w:b/>
          <w:bCs/>
          <w:sz w:val="18"/>
          <w:szCs w:val="18"/>
          <w:lang w:bidi="ar-SA"/>
        </w:rPr>
        <w:fldChar w:fldCharType="end"/>
      </w:r>
      <w:bookmarkEnd w:id="20"/>
      <w:r w:rsidRPr="00496C85">
        <w:rPr>
          <w:rFonts w:eastAsia="MS Mincho"/>
          <w:b/>
          <w:bCs/>
          <w:sz w:val="18"/>
          <w:szCs w:val="18"/>
          <w:lang w:bidi="ar-SA"/>
        </w:rPr>
        <w:t>:</w:t>
      </w:r>
      <w:r w:rsidR="008F2176">
        <w:rPr>
          <w:rFonts w:eastAsia="MS Mincho"/>
          <w:b/>
          <w:bCs/>
          <w:sz w:val="18"/>
          <w:szCs w:val="18"/>
          <w:lang w:bidi="ar-SA"/>
        </w:rPr>
        <w:t xml:space="preserve"> </w:t>
      </w:r>
      <w:r w:rsidRPr="00496C85">
        <w:rPr>
          <w:rFonts w:eastAsia="MS Mincho"/>
          <w:b/>
          <w:bCs/>
          <w:sz w:val="18"/>
          <w:szCs w:val="18"/>
          <w:lang w:bidi="ar-SA"/>
        </w:rPr>
        <w:t xml:space="preserve"> Top Ten Industrial Sectors of Firms that Apply for UM</w:t>
      </w:r>
      <w:bookmarkEnd w:id="21"/>
    </w:p>
    <w:tbl>
      <w:tblPr>
        <w:tblStyle w:val="TableGrid"/>
        <w:tblW w:w="0" w:type="auto"/>
        <w:tblLook w:val="04A0" w:firstRow="1" w:lastRow="0" w:firstColumn="1" w:lastColumn="0" w:noHBand="0" w:noVBand="1"/>
      </w:tblPr>
      <w:tblGrid>
        <w:gridCol w:w="8522"/>
      </w:tblGrid>
      <w:tr w:rsidR="00AB13A5" w:rsidTr="003E7A9C">
        <w:tc>
          <w:tcPr>
            <w:tcW w:w="9576" w:type="dxa"/>
            <w:tcBorders>
              <w:bottom w:val="single" w:sz="4" w:space="0" w:color="auto"/>
            </w:tcBorders>
          </w:tcPr>
          <w:p w:rsidR="00AB13A5" w:rsidRDefault="00AB13A5" w:rsidP="003E7A9C">
            <w:pPr>
              <w:jc w:val="center"/>
            </w:pPr>
            <w:r>
              <w:rPr>
                <w:noProof/>
                <w:lang w:bidi="ar-SA"/>
              </w:rPr>
              <w:drawing>
                <wp:inline distT="0" distB="0" distL="0" distR="0" wp14:anchorId="47573627" wp14:editId="77C55B3E">
                  <wp:extent cx="4700270" cy="2603500"/>
                  <wp:effectExtent l="0" t="0" r="5080" b="6350"/>
                  <wp:docPr id="47118" name="Picture 4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0270" cy="2603500"/>
                          </a:xfrm>
                          <a:prstGeom prst="rect">
                            <a:avLst/>
                          </a:prstGeom>
                          <a:noFill/>
                        </pic:spPr>
                      </pic:pic>
                    </a:graphicData>
                  </a:graphic>
                </wp:inline>
              </w:drawing>
            </w:r>
          </w:p>
        </w:tc>
      </w:tr>
      <w:tr w:rsidR="00AB13A5" w:rsidTr="003E7A9C">
        <w:tc>
          <w:tcPr>
            <w:tcW w:w="9576" w:type="dxa"/>
            <w:tcBorders>
              <w:left w:val="nil"/>
              <w:bottom w:val="nil"/>
              <w:right w:val="nil"/>
            </w:tcBorders>
          </w:tcPr>
          <w:p w:rsidR="00AB13A5" w:rsidRDefault="00AB13A5" w:rsidP="003E7A9C">
            <w:r w:rsidRPr="00496C85">
              <w:rPr>
                <w:rFonts w:eastAsia="MS Mincho"/>
                <w:b/>
                <w:bCs/>
                <w:sz w:val="18"/>
                <w:szCs w:val="18"/>
                <w:lang w:bidi="ar-SA"/>
              </w:rPr>
              <w:t xml:space="preserve">Source: </w:t>
            </w:r>
            <w:r w:rsidR="008F2176">
              <w:rPr>
                <w:rFonts w:eastAsia="MS Mincho"/>
                <w:b/>
                <w:bCs/>
                <w:sz w:val="18"/>
                <w:szCs w:val="18"/>
                <w:lang w:bidi="ar-SA"/>
              </w:rPr>
              <w:t xml:space="preserve"> </w:t>
            </w:r>
            <w:r w:rsidRPr="00496C85">
              <w:rPr>
                <w:rFonts w:eastAsia="MS Mincho"/>
                <w:b/>
                <w:bCs/>
                <w:sz w:val="18"/>
                <w:szCs w:val="18"/>
                <w:lang w:bidi="ar-SA"/>
              </w:rPr>
              <w:t>TDRI-WIPO Extended Database (2013).</w:t>
            </w:r>
          </w:p>
        </w:tc>
      </w:tr>
    </w:tbl>
    <w:p w:rsidR="00D31225" w:rsidRDefault="00D31225" w:rsidP="00AB13A5"/>
    <w:p w:rsidR="00D31225" w:rsidRDefault="00D31225">
      <w:r>
        <w:br w:type="page"/>
      </w:r>
    </w:p>
    <w:p w:rsidR="00AB13A5" w:rsidRDefault="00AB13A5" w:rsidP="00AB13A5"/>
    <w:p w:rsidR="00AB13A5" w:rsidRPr="00496C85" w:rsidRDefault="00BF0652" w:rsidP="00D31225">
      <w:pPr>
        <w:rPr>
          <w:rFonts w:eastAsia="MS Mincho"/>
          <w:b/>
          <w:bCs/>
          <w:sz w:val="18"/>
          <w:szCs w:val="18"/>
          <w:lang w:bidi="ar-SA"/>
        </w:rPr>
      </w:pPr>
      <w:bookmarkStart w:id="22" w:name="_Ref393890556"/>
      <w:bookmarkStart w:id="23" w:name="_Toc393894456"/>
      <w:r w:rsidRPr="00496C85">
        <w:rPr>
          <w:rFonts w:eastAsia="MS Mincho"/>
          <w:b/>
          <w:bCs/>
          <w:sz w:val="18"/>
          <w:szCs w:val="18"/>
          <w:lang w:bidi="ar-SA"/>
        </w:rPr>
        <w:t xml:space="preserve">Table </w:t>
      </w:r>
      <w:r w:rsidR="00B82C96" w:rsidRPr="00496C85">
        <w:rPr>
          <w:rFonts w:eastAsia="MS Mincho"/>
          <w:b/>
          <w:bCs/>
          <w:sz w:val="18"/>
          <w:szCs w:val="18"/>
          <w:lang w:bidi="ar-SA"/>
        </w:rPr>
        <w:fldChar w:fldCharType="begin"/>
      </w:r>
      <w:r w:rsidR="00B82C96" w:rsidRPr="00496C85">
        <w:rPr>
          <w:rFonts w:eastAsia="MS Mincho"/>
          <w:b/>
          <w:bCs/>
          <w:sz w:val="18"/>
          <w:szCs w:val="18"/>
          <w:lang w:bidi="ar-SA"/>
        </w:rPr>
        <w:instrText xml:space="preserve"> SEQ Table \* ARABIC </w:instrText>
      </w:r>
      <w:r w:rsidR="00B82C96" w:rsidRPr="00496C85">
        <w:rPr>
          <w:rFonts w:eastAsia="MS Mincho"/>
          <w:b/>
          <w:bCs/>
          <w:sz w:val="18"/>
          <w:szCs w:val="18"/>
          <w:lang w:bidi="ar-SA"/>
        </w:rPr>
        <w:fldChar w:fldCharType="separate"/>
      </w:r>
      <w:r w:rsidR="00092527">
        <w:rPr>
          <w:rFonts w:eastAsia="MS Mincho"/>
          <w:b/>
          <w:bCs/>
          <w:noProof/>
          <w:sz w:val="18"/>
          <w:szCs w:val="18"/>
          <w:lang w:bidi="ar-SA"/>
        </w:rPr>
        <w:t>4</w:t>
      </w:r>
      <w:r w:rsidR="00B82C96" w:rsidRPr="00496C85">
        <w:rPr>
          <w:rFonts w:eastAsia="MS Mincho"/>
          <w:b/>
          <w:bCs/>
          <w:sz w:val="18"/>
          <w:szCs w:val="18"/>
          <w:lang w:bidi="ar-SA"/>
        </w:rPr>
        <w:fldChar w:fldCharType="end"/>
      </w:r>
      <w:bookmarkEnd w:id="22"/>
      <w:r w:rsidR="00AB13A5" w:rsidRPr="00496C85">
        <w:rPr>
          <w:rFonts w:eastAsia="MS Mincho"/>
          <w:b/>
          <w:bCs/>
          <w:sz w:val="18"/>
          <w:szCs w:val="18"/>
          <w:lang w:bidi="ar-SA"/>
        </w:rPr>
        <w:t>:</w:t>
      </w:r>
      <w:r w:rsidR="00924DF9">
        <w:rPr>
          <w:rFonts w:eastAsia="MS Mincho"/>
          <w:b/>
          <w:bCs/>
          <w:sz w:val="18"/>
          <w:szCs w:val="18"/>
          <w:lang w:bidi="ar-SA"/>
        </w:rPr>
        <w:t xml:space="preserve"> </w:t>
      </w:r>
      <w:r w:rsidR="00AB13A5" w:rsidRPr="00496C85">
        <w:rPr>
          <w:rFonts w:eastAsia="MS Mincho"/>
          <w:b/>
          <w:bCs/>
          <w:sz w:val="18"/>
          <w:szCs w:val="18"/>
          <w:lang w:bidi="ar-SA"/>
        </w:rPr>
        <w:t xml:space="preserve"> Top Ten Technological Fields of Firms that Apply for UM</w:t>
      </w:r>
      <w:bookmarkEnd w:id="23"/>
    </w:p>
    <w:tbl>
      <w:tblPr>
        <w:tblStyle w:val="TableGrid"/>
        <w:tblW w:w="0" w:type="auto"/>
        <w:jc w:val="center"/>
        <w:tblLayout w:type="fixed"/>
        <w:tblCellMar>
          <w:left w:w="115" w:type="dxa"/>
          <w:right w:w="115" w:type="dxa"/>
        </w:tblCellMar>
        <w:tblLook w:val="04A0" w:firstRow="1" w:lastRow="0" w:firstColumn="1" w:lastColumn="0" w:noHBand="0" w:noVBand="1"/>
      </w:tblPr>
      <w:tblGrid>
        <w:gridCol w:w="9576"/>
      </w:tblGrid>
      <w:tr w:rsidR="00AB13A5" w:rsidTr="00A5718A">
        <w:trPr>
          <w:jc w:val="center"/>
        </w:trPr>
        <w:tc>
          <w:tcPr>
            <w:tcW w:w="9576" w:type="dxa"/>
            <w:tcBorders>
              <w:bottom w:val="single" w:sz="4" w:space="0" w:color="auto"/>
            </w:tcBorders>
          </w:tcPr>
          <w:p w:rsidR="00AB13A5" w:rsidRDefault="00AB13A5" w:rsidP="003E7A9C">
            <w:pPr>
              <w:jc w:val="center"/>
            </w:pPr>
            <w:r>
              <w:rPr>
                <w:noProof/>
                <w:lang w:bidi="ar-SA"/>
              </w:rPr>
              <w:drawing>
                <wp:inline distT="0" distB="0" distL="0" distR="0" wp14:anchorId="694A5AFF" wp14:editId="6491E40B">
                  <wp:extent cx="5426075" cy="2603500"/>
                  <wp:effectExtent l="0" t="0" r="3175" b="6350"/>
                  <wp:docPr id="47119" name="Picture 4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6075" cy="2603500"/>
                          </a:xfrm>
                          <a:prstGeom prst="rect">
                            <a:avLst/>
                          </a:prstGeom>
                          <a:noFill/>
                        </pic:spPr>
                      </pic:pic>
                    </a:graphicData>
                  </a:graphic>
                </wp:inline>
              </w:drawing>
            </w:r>
          </w:p>
        </w:tc>
      </w:tr>
      <w:tr w:rsidR="00AB13A5" w:rsidTr="00A5718A">
        <w:trPr>
          <w:jc w:val="center"/>
        </w:trPr>
        <w:tc>
          <w:tcPr>
            <w:tcW w:w="9576" w:type="dxa"/>
            <w:tcBorders>
              <w:left w:val="nil"/>
              <w:bottom w:val="nil"/>
              <w:right w:val="nil"/>
            </w:tcBorders>
          </w:tcPr>
          <w:p w:rsidR="00AB13A5" w:rsidRDefault="00AB13A5" w:rsidP="003E7A9C">
            <w:r w:rsidRPr="00496C85">
              <w:rPr>
                <w:rFonts w:eastAsia="MS Mincho"/>
                <w:b/>
                <w:bCs/>
                <w:sz w:val="18"/>
                <w:szCs w:val="18"/>
                <w:lang w:bidi="ar-SA"/>
              </w:rPr>
              <w:t xml:space="preserve">Source: </w:t>
            </w:r>
            <w:r w:rsidR="00924DF9">
              <w:rPr>
                <w:rFonts w:eastAsia="MS Mincho"/>
                <w:b/>
                <w:bCs/>
                <w:sz w:val="18"/>
                <w:szCs w:val="18"/>
                <w:lang w:bidi="ar-SA"/>
              </w:rPr>
              <w:t xml:space="preserve"> </w:t>
            </w:r>
            <w:r w:rsidRPr="00496C85">
              <w:rPr>
                <w:rFonts w:eastAsia="MS Mincho"/>
                <w:b/>
                <w:bCs/>
                <w:sz w:val="18"/>
                <w:szCs w:val="18"/>
                <w:lang w:bidi="ar-SA"/>
              </w:rPr>
              <w:t>TDRI-WIPO Extended Database (2013).</w:t>
            </w:r>
          </w:p>
        </w:tc>
      </w:tr>
    </w:tbl>
    <w:p w:rsidR="00E273E7" w:rsidRPr="008D4CCE" w:rsidRDefault="00E273E7" w:rsidP="008D4CCE"/>
    <w:p w:rsidR="00092527" w:rsidRDefault="00930EA0">
      <w:r>
        <w:t xml:space="preserve">Fourth, most of the UM applications come from firms that are located in the capital of Thailand, Bangkok. </w:t>
      </w:r>
      <w:r w:rsidR="00EE6F52">
        <w:fldChar w:fldCharType="begin"/>
      </w:r>
      <w:r w:rsidR="00EE6F52">
        <w:instrText xml:space="preserve"> REF _Ref393808608 \h </w:instrText>
      </w:r>
      <w:r w:rsidR="00EE6F52">
        <w:fldChar w:fldCharType="separate"/>
      </w:r>
      <w:r w:rsidR="00092527">
        <w:br w:type="page"/>
      </w:r>
    </w:p>
    <w:p w:rsidR="00930EA0" w:rsidRDefault="00092527" w:rsidP="00930EA0">
      <w:r w:rsidRPr="00496C85">
        <w:rPr>
          <w:rFonts w:eastAsia="MS Mincho"/>
          <w:b/>
          <w:bCs/>
          <w:sz w:val="18"/>
          <w:szCs w:val="18"/>
          <w:lang w:bidi="ar-SA"/>
        </w:rPr>
        <w:lastRenderedPageBreak/>
        <w:t xml:space="preserve">Figure </w:t>
      </w:r>
      <w:r>
        <w:rPr>
          <w:rFonts w:eastAsia="MS Mincho"/>
          <w:b/>
          <w:bCs/>
          <w:noProof/>
          <w:sz w:val="18"/>
          <w:szCs w:val="18"/>
          <w:lang w:bidi="ar-SA"/>
        </w:rPr>
        <w:t>3</w:t>
      </w:r>
      <w:r w:rsidR="00EE6F52">
        <w:fldChar w:fldCharType="end"/>
      </w:r>
      <w:r w:rsidR="00EE6F52">
        <w:t xml:space="preserve"> </w:t>
      </w:r>
      <w:r w:rsidR="00930EA0">
        <w:t xml:space="preserve">below shows the location of 719 firms that have applied for UM applications according to their provinces. </w:t>
      </w:r>
      <w:r w:rsidR="00D31225">
        <w:t xml:space="preserve"> </w:t>
      </w:r>
      <w:r w:rsidR="00930EA0">
        <w:t xml:space="preserve">Each bubble reflects the location and number of firms in the province. </w:t>
      </w:r>
      <w:r w:rsidR="00D31225">
        <w:t xml:space="preserve"> </w:t>
      </w:r>
      <w:r w:rsidR="00930EA0">
        <w:t xml:space="preserve">The second largest province with firms that have applied for UM protection is Nonthaburi. </w:t>
      </w:r>
    </w:p>
    <w:p w:rsidR="00930EA0" w:rsidRDefault="00930EA0" w:rsidP="00930EA0"/>
    <w:p w:rsidR="00930EA0" w:rsidRDefault="00930EA0" w:rsidP="00930EA0">
      <w:r>
        <w:t xml:space="preserve">The concentration of firms filing for UM protection in the capital city of Thailand rather than the rest of the country raises interesting follow-on questions. </w:t>
      </w:r>
      <w:r w:rsidR="00D31225">
        <w:t xml:space="preserve"> </w:t>
      </w:r>
      <w:r>
        <w:t xml:space="preserve">For example, does this cluster of firms in Bangkok indicate that Bangkok is the innovation hub of Thailand? </w:t>
      </w:r>
    </w:p>
    <w:p w:rsidR="00930EA0" w:rsidRDefault="00930EA0" w:rsidP="00930EA0"/>
    <w:p w:rsidR="00930EA0" w:rsidRDefault="00930EA0" w:rsidP="00930EA0">
      <w:r>
        <w:t xml:space="preserve">Or perhaps the competition is more intense in Bangkok than the rest of the country that it prompts the firms to file for IP protection on their inventions, more than their counterparts residing outside of capital city. </w:t>
      </w:r>
      <w:r w:rsidR="00D31225">
        <w:t xml:space="preserve"> </w:t>
      </w:r>
      <w:r>
        <w:t xml:space="preserve">In the same line of reasoning but from a different view, why would firms outside of Bangkok file for IP protection? </w:t>
      </w:r>
      <w:r w:rsidR="00D31225">
        <w:t xml:space="preserve"> </w:t>
      </w:r>
      <w:r>
        <w:t xml:space="preserve">Could it indicate that these inventions are valuable and would be commercialized throughout the country? </w:t>
      </w:r>
    </w:p>
    <w:p w:rsidR="00930EA0" w:rsidRDefault="00930EA0" w:rsidP="00930EA0"/>
    <w:p w:rsidR="00930EA0" w:rsidRDefault="00930EA0" w:rsidP="00930EA0">
      <w:r>
        <w:t>Or maybe there are specific technological field clusters in the different Thai provinces?</w:t>
      </w:r>
      <w:r w:rsidR="00D31225">
        <w:t xml:space="preserve"> </w:t>
      </w:r>
      <w:r>
        <w:t xml:space="preserve"> We examined the top five technological fields for the different provinces in Thailand in</w:t>
      </w:r>
      <w:r w:rsidR="00F0613B">
        <w:t xml:space="preserve"> </w:t>
      </w:r>
      <w:r w:rsidR="00F0613B">
        <w:fldChar w:fldCharType="begin"/>
      </w:r>
      <w:r w:rsidR="00F0613B">
        <w:instrText xml:space="preserve"> REF _Ref393874463 \h </w:instrText>
      </w:r>
      <w:r w:rsidR="00F0613B">
        <w:fldChar w:fldCharType="separate"/>
      </w:r>
      <w:r w:rsidR="00092527" w:rsidRPr="00496C85">
        <w:rPr>
          <w:rFonts w:eastAsia="MS Mincho"/>
          <w:b/>
          <w:sz w:val="18"/>
          <w:lang w:bidi="ar-SA"/>
        </w:rPr>
        <w:t xml:space="preserve">Table </w:t>
      </w:r>
      <w:r w:rsidR="00092527">
        <w:rPr>
          <w:rFonts w:eastAsia="MS Mincho"/>
          <w:b/>
          <w:i/>
          <w:noProof/>
          <w:sz w:val="18"/>
          <w:lang w:bidi="ar-SA"/>
        </w:rPr>
        <w:t>5</w:t>
      </w:r>
      <w:r w:rsidR="00F0613B">
        <w:fldChar w:fldCharType="end"/>
      </w:r>
      <w:r>
        <w:t>.</w:t>
      </w:r>
      <w:r w:rsidR="00D31225">
        <w:t xml:space="preserve"> </w:t>
      </w:r>
      <w:r>
        <w:t xml:space="preserve"> Bangkok, as expected, had the highest concentration of inventions across the top five technological fields throughout the </w:t>
      </w:r>
      <w:r w:rsidRPr="004E6021">
        <w:t xml:space="preserve">provinces. </w:t>
      </w:r>
      <w:r w:rsidR="00D31225">
        <w:t xml:space="preserve"> </w:t>
      </w:r>
      <w:r w:rsidRPr="004E6021">
        <w:t>And when we broke down the intensity of these technological fields by the provinces we observe that civil engineering field is one of the leading technological fields for inventions in Thailand, followed by food chemistry.</w:t>
      </w:r>
      <w:r w:rsidR="00D31225">
        <w:t xml:space="preserve"> </w:t>
      </w:r>
      <w:r w:rsidRPr="004E6021">
        <w:t xml:space="preserve"> We cannot make any reasonable deduction based on this limited observation, but the fact that there are relatively more inventions in the civil engineering field suggests that there may be more construction-based inventions in Thailand.</w:t>
      </w:r>
      <w:r>
        <w:t xml:space="preserve"> </w:t>
      </w:r>
    </w:p>
    <w:p w:rsidR="000F3C12" w:rsidRDefault="000F3C12">
      <w:bookmarkStart w:id="24" w:name="_Ref393808608"/>
      <w:bookmarkStart w:id="25" w:name="_Toc393894457"/>
      <w:r>
        <w:br w:type="page"/>
      </w:r>
    </w:p>
    <w:p w:rsidR="00930EA0" w:rsidRPr="000F3C12" w:rsidRDefault="00930EA0" w:rsidP="000F3C12">
      <w:r w:rsidRPr="00496C85">
        <w:rPr>
          <w:rFonts w:eastAsia="MS Mincho"/>
          <w:b/>
          <w:bCs/>
          <w:sz w:val="18"/>
          <w:szCs w:val="18"/>
          <w:lang w:bidi="ar-SA"/>
        </w:rPr>
        <w:lastRenderedPageBreak/>
        <w:t xml:space="preserve">Figure </w:t>
      </w:r>
      <w:r w:rsidR="004655A7" w:rsidRPr="00496C85">
        <w:rPr>
          <w:rFonts w:eastAsia="MS Mincho"/>
          <w:b/>
          <w:bCs/>
          <w:sz w:val="18"/>
          <w:szCs w:val="18"/>
          <w:lang w:bidi="ar-SA"/>
        </w:rPr>
        <w:fldChar w:fldCharType="begin"/>
      </w:r>
      <w:r w:rsidR="004655A7" w:rsidRPr="00496C85">
        <w:rPr>
          <w:rFonts w:eastAsia="MS Mincho"/>
          <w:b/>
          <w:bCs/>
          <w:sz w:val="18"/>
          <w:szCs w:val="18"/>
          <w:lang w:bidi="ar-SA"/>
        </w:rPr>
        <w:instrText xml:space="preserve"> SEQ Figure \* ARABIC </w:instrText>
      </w:r>
      <w:r w:rsidR="004655A7" w:rsidRPr="00496C85">
        <w:rPr>
          <w:rFonts w:eastAsia="MS Mincho"/>
          <w:b/>
          <w:bCs/>
          <w:sz w:val="18"/>
          <w:szCs w:val="18"/>
          <w:lang w:bidi="ar-SA"/>
        </w:rPr>
        <w:fldChar w:fldCharType="separate"/>
      </w:r>
      <w:r w:rsidR="00092527">
        <w:rPr>
          <w:rFonts w:eastAsia="MS Mincho"/>
          <w:b/>
          <w:bCs/>
          <w:noProof/>
          <w:sz w:val="18"/>
          <w:szCs w:val="18"/>
          <w:lang w:bidi="ar-SA"/>
        </w:rPr>
        <w:t>3</w:t>
      </w:r>
      <w:r w:rsidR="004655A7" w:rsidRPr="00496C85">
        <w:rPr>
          <w:rFonts w:eastAsia="MS Mincho"/>
          <w:b/>
          <w:bCs/>
          <w:sz w:val="18"/>
          <w:szCs w:val="18"/>
          <w:lang w:bidi="ar-SA"/>
        </w:rPr>
        <w:fldChar w:fldCharType="end"/>
      </w:r>
      <w:bookmarkEnd w:id="24"/>
      <w:r w:rsidRPr="00496C85">
        <w:rPr>
          <w:rFonts w:eastAsia="MS Mincho"/>
          <w:b/>
          <w:bCs/>
          <w:sz w:val="18"/>
          <w:szCs w:val="18"/>
          <w:lang w:bidi="ar-SA"/>
        </w:rPr>
        <w:t xml:space="preserve">: </w:t>
      </w:r>
      <w:r w:rsidR="00924DF9">
        <w:rPr>
          <w:rFonts w:eastAsia="MS Mincho"/>
          <w:b/>
          <w:bCs/>
          <w:sz w:val="18"/>
          <w:szCs w:val="18"/>
          <w:lang w:bidi="ar-SA"/>
        </w:rPr>
        <w:t xml:space="preserve"> </w:t>
      </w:r>
      <w:r w:rsidRPr="00496C85">
        <w:rPr>
          <w:rFonts w:eastAsia="MS Mincho"/>
          <w:b/>
          <w:bCs/>
          <w:sz w:val="18"/>
          <w:szCs w:val="18"/>
          <w:lang w:bidi="ar-SA"/>
        </w:rPr>
        <w:t>Location of Firms using UM by Province (with two near-Bangkok zooms</w:t>
      </w:r>
      <w:r w:rsidRPr="000F3C12">
        <w:t>)</w:t>
      </w:r>
      <w:bookmarkEnd w:id="25"/>
    </w:p>
    <w:tbl>
      <w:tblPr>
        <w:tblStyle w:val="TableGrid"/>
        <w:tblW w:w="0" w:type="auto"/>
        <w:jc w:val="center"/>
        <w:tblLayout w:type="fixed"/>
        <w:tblCellMar>
          <w:left w:w="115" w:type="dxa"/>
          <w:right w:w="115" w:type="dxa"/>
        </w:tblCellMar>
        <w:tblLook w:val="04A0" w:firstRow="1" w:lastRow="0" w:firstColumn="1" w:lastColumn="0" w:noHBand="0" w:noVBand="1"/>
      </w:tblPr>
      <w:tblGrid>
        <w:gridCol w:w="9576"/>
      </w:tblGrid>
      <w:tr w:rsidR="00930EA0" w:rsidTr="00A5718A">
        <w:trPr>
          <w:jc w:val="center"/>
        </w:trPr>
        <w:tc>
          <w:tcPr>
            <w:tcW w:w="9576" w:type="dxa"/>
            <w:tcBorders>
              <w:bottom w:val="single" w:sz="4" w:space="0" w:color="auto"/>
            </w:tcBorders>
          </w:tcPr>
          <w:p w:rsidR="00930EA0" w:rsidRDefault="00930EA0" w:rsidP="003E7A9C">
            <w:r>
              <w:rPr>
                <w:noProof/>
                <w:lang w:bidi="ar-SA"/>
              </w:rPr>
              <w:drawing>
                <wp:inline distT="0" distB="0" distL="0" distR="0" wp14:anchorId="4BE65A0E" wp14:editId="5F199FAE">
                  <wp:extent cx="5932170" cy="4316095"/>
                  <wp:effectExtent l="0" t="0" r="0" b="8255"/>
                  <wp:docPr id="47120" name="Picture 4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170" cy="4316095"/>
                          </a:xfrm>
                          <a:prstGeom prst="rect">
                            <a:avLst/>
                          </a:prstGeom>
                          <a:noFill/>
                        </pic:spPr>
                      </pic:pic>
                    </a:graphicData>
                  </a:graphic>
                </wp:inline>
              </w:drawing>
            </w:r>
          </w:p>
        </w:tc>
      </w:tr>
      <w:tr w:rsidR="00930EA0" w:rsidRPr="005559A5" w:rsidTr="00A5718A">
        <w:trPr>
          <w:jc w:val="center"/>
        </w:trPr>
        <w:tc>
          <w:tcPr>
            <w:tcW w:w="9576" w:type="dxa"/>
            <w:tcBorders>
              <w:left w:val="nil"/>
              <w:bottom w:val="nil"/>
              <w:right w:val="nil"/>
            </w:tcBorders>
          </w:tcPr>
          <w:p w:rsidR="00930EA0" w:rsidRPr="000F3C12" w:rsidRDefault="00930EA0" w:rsidP="003E7A9C">
            <w:r w:rsidRPr="00496C85">
              <w:rPr>
                <w:rFonts w:eastAsia="MS Mincho"/>
                <w:b/>
                <w:bCs/>
                <w:sz w:val="18"/>
                <w:szCs w:val="18"/>
                <w:lang w:bidi="ar-SA"/>
              </w:rPr>
              <w:t xml:space="preserve">Source: </w:t>
            </w:r>
            <w:r w:rsidR="00924DF9">
              <w:rPr>
                <w:rFonts w:eastAsia="MS Mincho"/>
                <w:b/>
                <w:bCs/>
                <w:sz w:val="18"/>
                <w:szCs w:val="18"/>
                <w:lang w:bidi="ar-SA"/>
              </w:rPr>
              <w:t xml:space="preserve"> </w:t>
            </w:r>
            <w:r w:rsidRPr="00496C85">
              <w:rPr>
                <w:rFonts w:eastAsia="MS Mincho"/>
                <w:b/>
                <w:bCs/>
                <w:sz w:val="18"/>
                <w:szCs w:val="18"/>
                <w:lang w:bidi="ar-SA"/>
              </w:rPr>
              <w:t>TDRI-WIPO Extended Database (2013).</w:t>
            </w:r>
          </w:p>
        </w:tc>
      </w:tr>
    </w:tbl>
    <w:p w:rsidR="008D4CCE" w:rsidRDefault="008D4CCE" w:rsidP="000715CC">
      <w:pPr>
        <w:rPr>
          <w:rFonts w:eastAsia="Calibri"/>
        </w:rPr>
      </w:pPr>
    </w:p>
    <w:p w:rsidR="006F4E56" w:rsidRDefault="006F4E56" w:rsidP="006F4E56">
      <w:r>
        <w:t xml:space="preserve">Finally, we </w:t>
      </w:r>
      <w:r w:rsidRPr="004D7136">
        <w:t>examine the patterns of UM application by firms in specific industrial sectors according to the technological field of their applications</w:t>
      </w:r>
      <w:r>
        <w:t xml:space="preserve"> to examine if there are any identifiable trends (see</w:t>
      </w:r>
      <w:r w:rsidR="00AB1D63">
        <w:t xml:space="preserve"> </w:t>
      </w:r>
      <w:r w:rsidR="00AB1D63">
        <w:fldChar w:fldCharType="begin"/>
      </w:r>
      <w:r w:rsidR="00AB1D63">
        <w:instrText xml:space="preserve"> REF _Ref393874652 \h </w:instrText>
      </w:r>
      <w:r w:rsidR="00AB1D63">
        <w:fldChar w:fldCharType="separate"/>
      </w:r>
      <w:r w:rsidR="00092527" w:rsidRPr="00496C85">
        <w:rPr>
          <w:rFonts w:eastAsia="MS Mincho"/>
          <w:b/>
          <w:sz w:val="18"/>
          <w:lang w:bidi="ar-SA"/>
        </w:rPr>
        <w:t xml:space="preserve">Figure </w:t>
      </w:r>
      <w:r w:rsidR="00092527">
        <w:rPr>
          <w:rFonts w:eastAsia="MS Mincho"/>
          <w:b/>
          <w:i/>
          <w:noProof/>
          <w:sz w:val="18"/>
          <w:lang w:bidi="ar-SA"/>
        </w:rPr>
        <w:t>4</w:t>
      </w:r>
      <w:r w:rsidR="00AB1D63">
        <w:fldChar w:fldCharType="end"/>
      </w:r>
      <w:r>
        <w:t>).</w:t>
      </w:r>
      <w:r w:rsidRPr="004D7136">
        <w:t xml:space="preserve"> </w:t>
      </w:r>
      <w:r w:rsidR="000F3C12">
        <w:t xml:space="preserve"> </w:t>
      </w:r>
      <w:r>
        <w:t xml:space="preserve">As expected, </w:t>
      </w:r>
      <w:r w:rsidRPr="004D7136">
        <w:t xml:space="preserve">firms in specific industrial clusters file for UM protection on inventions in their traditional technological fields, as is the case for the food and beverages industrial sector in food chemistry technological field. </w:t>
      </w:r>
      <w:r w:rsidR="000F3C12">
        <w:t xml:space="preserve"> </w:t>
      </w:r>
      <w:r w:rsidRPr="004D7136">
        <w:t xml:space="preserve">For example, firms from the food and beverages industry file for UM in food chemistry technologies and firms from the chemical industry file for UM in the pharmaceutical and basic materials chemistry fields. </w:t>
      </w:r>
      <w:r w:rsidR="000F3C12">
        <w:t xml:space="preserve"> </w:t>
      </w:r>
      <w:r>
        <w:t xml:space="preserve">But surprisingly, we find that there are </w:t>
      </w:r>
      <w:r w:rsidRPr="004D7136">
        <w:t xml:space="preserve">a few notable industrial sectors – like wholesale – where the firms file for protection on inventions that are applicable across many </w:t>
      </w:r>
      <w:r>
        <w:t xml:space="preserve">different technological fields. </w:t>
      </w:r>
      <w:r w:rsidR="000F3C12">
        <w:t xml:space="preserve"> </w:t>
      </w:r>
      <w:r>
        <w:t xml:space="preserve">This particular observation begs the question of why are these firms able to produce inventions that fall across many technological fields. </w:t>
      </w:r>
      <w:r w:rsidR="000F3C12">
        <w:t xml:space="preserve"> </w:t>
      </w:r>
      <w:r>
        <w:t>Could it indicate that these firms’ daily activities also include operations across different technological fields?</w:t>
      </w:r>
    </w:p>
    <w:p w:rsidR="006F4E56" w:rsidRDefault="006F4E56" w:rsidP="000715CC">
      <w:pPr>
        <w:rPr>
          <w:rFonts w:eastAsia="Calibri"/>
        </w:rPr>
      </w:pPr>
    </w:p>
    <w:p w:rsidR="006F4E56" w:rsidRDefault="006F4E56" w:rsidP="000715CC">
      <w:pPr>
        <w:rPr>
          <w:rFonts w:eastAsia="Calibri"/>
        </w:rPr>
        <w:sectPr w:rsidR="006F4E56" w:rsidSect="00AF2982">
          <w:headerReference w:type="default" r:id="rId24"/>
          <w:headerReference w:type="first" r:id="rId25"/>
          <w:pgSz w:w="11906" w:h="16838" w:code="9"/>
          <w:pgMar w:top="1440" w:right="1800" w:bottom="1440" w:left="1800" w:header="706" w:footer="706" w:gutter="0"/>
          <w:cols w:space="720"/>
          <w:titlePg/>
          <w:docGrid w:linePitch="408"/>
        </w:sectPr>
      </w:pPr>
    </w:p>
    <w:p w:rsidR="0088582E" w:rsidRPr="00B27EA2" w:rsidRDefault="00685B63" w:rsidP="0088582E">
      <w:pPr>
        <w:pStyle w:val="Caption"/>
        <w:rPr>
          <w:i w:val="0"/>
          <w:szCs w:val="22"/>
        </w:rPr>
      </w:pPr>
      <w:bookmarkStart w:id="26" w:name="_Ref393874652"/>
      <w:bookmarkStart w:id="27" w:name="_Toc393894458"/>
      <w:r w:rsidRPr="00496C85">
        <w:rPr>
          <w:rFonts w:eastAsia="MS Mincho"/>
          <w:b/>
          <w:i w:val="0"/>
          <w:sz w:val="18"/>
          <w:lang w:bidi="ar-SA"/>
        </w:rPr>
        <w:lastRenderedPageBreak/>
        <w:t xml:space="preserve">Figure </w:t>
      </w:r>
      <w:r w:rsidR="00B82C96" w:rsidRPr="00496C85">
        <w:rPr>
          <w:rFonts w:eastAsia="MS Mincho"/>
          <w:b/>
          <w:i w:val="0"/>
          <w:sz w:val="18"/>
          <w:lang w:bidi="ar-SA"/>
        </w:rPr>
        <w:fldChar w:fldCharType="begin"/>
      </w:r>
      <w:r w:rsidR="00B82C96" w:rsidRPr="00496C85">
        <w:rPr>
          <w:rFonts w:eastAsia="MS Mincho"/>
          <w:b/>
          <w:i w:val="0"/>
          <w:sz w:val="18"/>
          <w:lang w:bidi="ar-SA"/>
        </w:rPr>
        <w:instrText xml:space="preserve"> SEQ Figure \* ARABIC </w:instrText>
      </w:r>
      <w:r w:rsidR="00B82C96" w:rsidRPr="00496C85">
        <w:rPr>
          <w:rFonts w:eastAsia="MS Mincho"/>
          <w:b/>
          <w:i w:val="0"/>
          <w:sz w:val="18"/>
          <w:lang w:bidi="ar-SA"/>
        </w:rPr>
        <w:fldChar w:fldCharType="separate"/>
      </w:r>
      <w:r w:rsidR="00092527">
        <w:rPr>
          <w:rFonts w:eastAsia="MS Mincho"/>
          <w:b/>
          <w:i w:val="0"/>
          <w:noProof/>
          <w:sz w:val="18"/>
          <w:lang w:bidi="ar-SA"/>
        </w:rPr>
        <w:t>4</w:t>
      </w:r>
      <w:r w:rsidR="00B82C96" w:rsidRPr="00496C85">
        <w:rPr>
          <w:rFonts w:eastAsia="MS Mincho"/>
          <w:b/>
          <w:i w:val="0"/>
          <w:sz w:val="18"/>
          <w:lang w:bidi="ar-SA"/>
        </w:rPr>
        <w:fldChar w:fldCharType="end"/>
      </w:r>
      <w:bookmarkEnd w:id="26"/>
      <w:r w:rsidRPr="00496C85">
        <w:rPr>
          <w:rFonts w:eastAsia="MS Mincho"/>
          <w:b/>
          <w:i w:val="0"/>
          <w:sz w:val="18"/>
          <w:lang w:bidi="ar-SA"/>
        </w:rPr>
        <w:t xml:space="preserve">: </w:t>
      </w:r>
      <w:r w:rsidR="007958DD">
        <w:rPr>
          <w:rFonts w:eastAsia="MS Mincho"/>
          <w:b/>
          <w:i w:val="0"/>
          <w:sz w:val="18"/>
          <w:lang w:bidi="ar-SA"/>
        </w:rPr>
        <w:t xml:space="preserve"> </w:t>
      </w:r>
      <w:r w:rsidR="006F4E56" w:rsidRPr="00496C85">
        <w:rPr>
          <w:rFonts w:eastAsia="MS Mincho"/>
          <w:b/>
          <w:i w:val="0"/>
          <w:sz w:val="18"/>
          <w:lang w:bidi="ar-SA"/>
        </w:rPr>
        <w:t>Concentration of Firms according to their Industrial Sector (TSIC 2) and Technological Fields (IPC)</w:t>
      </w:r>
      <w:bookmarkEnd w:id="27"/>
    </w:p>
    <w:p w:rsidR="006F4E56" w:rsidRDefault="006F4E56" w:rsidP="0088582E">
      <w:pPr>
        <w:jc w:val="center"/>
      </w:pPr>
      <w:r>
        <w:rPr>
          <w:noProof/>
          <w:lang w:bidi="ar-SA"/>
        </w:rPr>
        <w:drawing>
          <wp:inline distT="0" distB="0" distL="0" distR="0" wp14:anchorId="039AB623" wp14:editId="614A0819">
            <wp:extent cx="7498080" cy="4443984"/>
            <wp:effectExtent l="19050" t="19050" r="26670" b="13970"/>
            <wp:docPr id="47123" name="Picture 4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98080" cy="4443984"/>
                    </a:xfrm>
                    <a:prstGeom prst="rect">
                      <a:avLst/>
                    </a:prstGeom>
                    <a:noFill/>
                    <a:ln>
                      <a:solidFill>
                        <a:schemeClr val="tx1"/>
                      </a:solidFill>
                    </a:ln>
                  </pic:spPr>
                </pic:pic>
              </a:graphicData>
            </a:graphic>
          </wp:inline>
        </w:drawing>
      </w:r>
    </w:p>
    <w:p w:rsidR="006F4E56" w:rsidRPr="00496C85" w:rsidRDefault="006F4E56" w:rsidP="00496C85">
      <w:pPr>
        <w:pStyle w:val="Caption"/>
        <w:jc w:val="left"/>
        <w:rPr>
          <w:rFonts w:eastAsia="MS Mincho"/>
          <w:b/>
          <w:i w:val="0"/>
          <w:sz w:val="18"/>
          <w:lang w:bidi="ar-SA"/>
        </w:rPr>
      </w:pPr>
      <w:r w:rsidRPr="00496C85">
        <w:rPr>
          <w:rFonts w:eastAsia="MS Mincho"/>
          <w:b/>
          <w:i w:val="0"/>
          <w:sz w:val="18"/>
          <w:lang w:bidi="ar-SA"/>
        </w:rPr>
        <w:t xml:space="preserve">Source: </w:t>
      </w:r>
      <w:r w:rsidR="00F077C5">
        <w:rPr>
          <w:rFonts w:eastAsia="MS Mincho"/>
          <w:b/>
          <w:i w:val="0"/>
          <w:sz w:val="18"/>
          <w:lang w:bidi="ar-SA"/>
        </w:rPr>
        <w:t xml:space="preserve"> </w:t>
      </w:r>
      <w:r w:rsidRPr="00496C85">
        <w:rPr>
          <w:rFonts w:eastAsia="MS Mincho"/>
          <w:b/>
          <w:i w:val="0"/>
          <w:sz w:val="18"/>
          <w:lang w:bidi="ar-SA"/>
        </w:rPr>
        <w:t>DIP (2012), TDRI-WIPO Extended database (2013) and WIPO concordance table.</w:t>
      </w:r>
    </w:p>
    <w:p w:rsidR="006F4E56" w:rsidRPr="00496C85" w:rsidRDefault="006F4E56" w:rsidP="00496C85">
      <w:pPr>
        <w:pStyle w:val="Caption"/>
        <w:jc w:val="left"/>
        <w:rPr>
          <w:rFonts w:eastAsia="MS Mincho"/>
          <w:b/>
          <w:i w:val="0"/>
          <w:sz w:val="18"/>
          <w:lang w:bidi="ar-SA"/>
        </w:rPr>
      </w:pPr>
      <w:r w:rsidRPr="00496C85">
        <w:rPr>
          <w:rFonts w:eastAsia="MS Mincho"/>
          <w:b/>
          <w:i w:val="0"/>
          <w:sz w:val="18"/>
          <w:lang w:bidi="ar-SA"/>
        </w:rPr>
        <w:t xml:space="preserve">Note: </w:t>
      </w:r>
      <w:r w:rsidR="00F077C5">
        <w:rPr>
          <w:rFonts w:eastAsia="MS Mincho"/>
          <w:b/>
          <w:i w:val="0"/>
          <w:sz w:val="18"/>
          <w:lang w:bidi="ar-SA"/>
        </w:rPr>
        <w:t xml:space="preserve"> </w:t>
      </w:r>
      <w:r w:rsidRPr="00496C85">
        <w:rPr>
          <w:rFonts w:eastAsia="MS Mincho"/>
          <w:b/>
          <w:i w:val="0"/>
          <w:sz w:val="18"/>
          <w:lang w:bidi="ar-SA"/>
        </w:rPr>
        <w:t xml:space="preserve">Selected technological fields and industries in blue and red, respectively. </w:t>
      </w:r>
      <w:r w:rsidR="00F077C5">
        <w:rPr>
          <w:rFonts w:eastAsia="MS Mincho"/>
          <w:b/>
          <w:i w:val="0"/>
          <w:sz w:val="18"/>
          <w:lang w:bidi="ar-SA"/>
        </w:rPr>
        <w:t xml:space="preserve"> </w:t>
      </w:r>
      <w:r w:rsidRPr="00496C85">
        <w:rPr>
          <w:rFonts w:eastAsia="MS Mincho"/>
          <w:b/>
          <w:i w:val="0"/>
          <w:sz w:val="18"/>
          <w:lang w:bidi="ar-SA"/>
        </w:rPr>
        <w:t xml:space="preserve">Only pairs with more than 5 firms reported. </w:t>
      </w:r>
      <w:r w:rsidR="00F077C5">
        <w:rPr>
          <w:rFonts w:eastAsia="MS Mincho"/>
          <w:b/>
          <w:i w:val="0"/>
          <w:sz w:val="18"/>
          <w:lang w:bidi="ar-SA"/>
        </w:rPr>
        <w:t xml:space="preserve"> </w:t>
      </w:r>
      <w:r w:rsidR="00890B67" w:rsidRPr="00496C85">
        <w:rPr>
          <w:rFonts w:eastAsia="MS Mincho"/>
          <w:b/>
          <w:i w:val="0"/>
          <w:sz w:val="18"/>
          <w:lang w:bidi="ar-SA"/>
        </w:rPr>
        <w:t>Sizes of bubbles reflect</w:t>
      </w:r>
      <w:r w:rsidRPr="00496C85">
        <w:rPr>
          <w:rFonts w:eastAsia="MS Mincho"/>
          <w:b/>
          <w:i w:val="0"/>
          <w:sz w:val="18"/>
          <w:lang w:bidi="ar-SA"/>
        </w:rPr>
        <w:t xml:space="preserve"> number of firms.</w:t>
      </w:r>
    </w:p>
    <w:p w:rsidR="00685B63" w:rsidRDefault="00685B63" w:rsidP="000715CC">
      <w:pPr>
        <w:rPr>
          <w:rFonts w:eastAsia="Calibri"/>
        </w:rPr>
        <w:sectPr w:rsidR="00685B63" w:rsidSect="006F4E56">
          <w:headerReference w:type="first" r:id="rId27"/>
          <w:pgSz w:w="16838" w:h="11906" w:orient="landscape" w:code="9"/>
          <w:pgMar w:top="1800" w:right="1440" w:bottom="1800" w:left="1440" w:header="706" w:footer="706" w:gutter="0"/>
          <w:cols w:space="720"/>
          <w:titlePg/>
          <w:docGrid w:linePitch="408"/>
        </w:sectPr>
      </w:pPr>
    </w:p>
    <w:p w:rsidR="006F4E56" w:rsidRDefault="006F4E56" w:rsidP="000715CC">
      <w:pPr>
        <w:rPr>
          <w:rFonts w:eastAsia="Calibri"/>
        </w:rPr>
      </w:pPr>
    </w:p>
    <w:p w:rsidR="00930EA0" w:rsidRPr="00F077C5" w:rsidRDefault="00930EA0" w:rsidP="00B27EA2">
      <w:pPr>
        <w:pStyle w:val="Caption"/>
        <w:jc w:val="left"/>
        <w:rPr>
          <w:rStyle w:val="FootnoteReference"/>
          <w:rFonts w:eastAsia="MS Mincho"/>
        </w:rPr>
      </w:pPr>
      <w:bookmarkStart w:id="28" w:name="_Ref393874463"/>
      <w:bookmarkStart w:id="29" w:name="_Toc393894459"/>
      <w:r w:rsidRPr="00496C85">
        <w:rPr>
          <w:rFonts w:eastAsia="MS Mincho"/>
          <w:b/>
          <w:i w:val="0"/>
          <w:sz w:val="18"/>
          <w:lang w:bidi="ar-SA"/>
        </w:rPr>
        <w:t xml:space="preserve">Table </w:t>
      </w:r>
      <w:r w:rsidR="00B82C96" w:rsidRPr="00496C85">
        <w:rPr>
          <w:rFonts w:eastAsia="MS Mincho"/>
          <w:b/>
          <w:i w:val="0"/>
          <w:sz w:val="18"/>
          <w:lang w:bidi="ar-SA"/>
        </w:rPr>
        <w:fldChar w:fldCharType="begin"/>
      </w:r>
      <w:r w:rsidR="00B82C96" w:rsidRPr="00496C85">
        <w:rPr>
          <w:rFonts w:eastAsia="MS Mincho"/>
          <w:b/>
          <w:i w:val="0"/>
          <w:sz w:val="18"/>
          <w:lang w:bidi="ar-SA"/>
        </w:rPr>
        <w:instrText xml:space="preserve"> SEQ Table \* ARABIC </w:instrText>
      </w:r>
      <w:r w:rsidR="00B82C96" w:rsidRPr="00496C85">
        <w:rPr>
          <w:rFonts w:eastAsia="MS Mincho"/>
          <w:b/>
          <w:i w:val="0"/>
          <w:sz w:val="18"/>
          <w:lang w:bidi="ar-SA"/>
        </w:rPr>
        <w:fldChar w:fldCharType="separate"/>
      </w:r>
      <w:r w:rsidR="00092527">
        <w:rPr>
          <w:rFonts w:eastAsia="MS Mincho"/>
          <w:b/>
          <w:i w:val="0"/>
          <w:noProof/>
          <w:sz w:val="18"/>
          <w:lang w:bidi="ar-SA"/>
        </w:rPr>
        <w:t>5</w:t>
      </w:r>
      <w:r w:rsidR="00B82C96" w:rsidRPr="00496C85">
        <w:rPr>
          <w:rFonts w:eastAsia="MS Mincho"/>
          <w:b/>
          <w:i w:val="0"/>
          <w:sz w:val="18"/>
          <w:lang w:bidi="ar-SA"/>
        </w:rPr>
        <w:fldChar w:fldCharType="end"/>
      </w:r>
      <w:bookmarkEnd w:id="28"/>
      <w:r w:rsidRPr="00496C85">
        <w:rPr>
          <w:rFonts w:eastAsia="MS Mincho"/>
          <w:b/>
          <w:i w:val="0"/>
          <w:sz w:val="18"/>
          <w:lang w:bidi="ar-SA"/>
        </w:rPr>
        <w:t xml:space="preserve">: </w:t>
      </w:r>
      <w:r w:rsidR="00F077C5">
        <w:rPr>
          <w:rFonts w:eastAsia="MS Mincho"/>
          <w:b/>
          <w:i w:val="0"/>
          <w:sz w:val="18"/>
          <w:lang w:bidi="ar-SA"/>
        </w:rPr>
        <w:t xml:space="preserve"> </w:t>
      </w:r>
      <w:r w:rsidRPr="00496C85">
        <w:rPr>
          <w:rFonts w:eastAsia="MS Mincho"/>
          <w:b/>
          <w:i w:val="0"/>
          <w:sz w:val="18"/>
          <w:lang w:bidi="ar-SA"/>
        </w:rPr>
        <w:t>Distribution of Firms by the Top Five Technological Fields and Province (total and percentage)</w:t>
      </w:r>
      <w:bookmarkStart w:id="30" w:name="_Ref387757910"/>
      <w:r w:rsidRPr="00F077C5">
        <w:rPr>
          <w:rStyle w:val="FootnoteReference"/>
          <w:rFonts w:eastAsia="MS Mincho"/>
        </w:rPr>
        <w:footnoteReference w:id="22"/>
      </w:r>
      <w:bookmarkEnd w:id="29"/>
      <w:bookmarkEnd w:id="30"/>
    </w:p>
    <w:p w:rsidR="00930EA0" w:rsidRDefault="00930EA0" w:rsidP="00930EA0">
      <w:r>
        <w:rPr>
          <w:noProof/>
          <w:lang w:bidi="ar-SA"/>
        </w:rPr>
        <w:drawing>
          <wp:inline distT="0" distB="0" distL="0" distR="0" wp14:anchorId="2EE2AEF9" wp14:editId="495F470C">
            <wp:extent cx="5379720" cy="3371160"/>
            <wp:effectExtent l="0" t="0" r="0" b="1270"/>
            <wp:docPr id="47121" name="Picture 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1871" cy="3372508"/>
                    </a:xfrm>
                    <a:prstGeom prst="rect">
                      <a:avLst/>
                    </a:prstGeom>
                    <a:noFill/>
                  </pic:spPr>
                </pic:pic>
              </a:graphicData>
            </a:graphic>
          </wp:inline>
        </w:drawing>
      </w:r>
    </w:p>
    <w:p w:rsidR="00930EA0" w:rsidRDefault="00930EA0" w:rsidP="00930EA0"/>
    <w:p w:rsidR="00930EA0" w:rsidRDefault="00930EA0" w:rsidP="00930EA0"/>
    <w:p w:rsidR="00930EA0" w:rsidRDefault="00930EA0" w:rsidP="00930EA0">
      <w:r w:rsidRPr="004D7136">
        <w:t>Similarly, there are a few technological fields – like civil engineering and transport – where we can find firms filing for these technologies</w:t>
      </w:r>
      <w:r>
        <w:t xml:space="preserve"> come from</w:t>
      </w:r>
      <w:r w:rsidRPr="004D7136">
        <w:t xml:space="preserve"> several industrial sectors.  </w:t>
      </w:r>
    </w:p>
    <w:p w:rsidR="00930EA0" w:rsidRDefault="00930EA0" w:rsidP="00930EA0"/>
    <w:p w:rsidR="00930EA0" w:rsidRDefault="00930EA0" w:rsidP="00930EA0">
      <w:r w:rsidRPr="004D7136">
        <w:t xml:space="preserve">These patterns </w:t>
      </w:r>
      <w:r>
        <w:t xml:space="preserve">of industrial sector and technological field clusters </w:t>
      </w:r>
      <w:r w:rsidRPr="004D7136">
        <w:t>tell us that there are a few industrial sectors in Thailand that have inventions that can be applied to many technological fields, while</w:t>
      </w:r>
      <w:r>
        <w:t xml:space="preserve"> there are</w:t>
      </w:r>
      <w:r w:rsidRPr="004D7136">
        <w:t xml:space="preserve"> a few technological fields with inventions that can be applied </w:t>
      </w:r>
      <w:r>
        <w:t>across many industrial sectors.</w:t>
      </w:r>
      <w:r w:rsidR="00B27EA2">
        <w:t xml:space="preserve"> </w:t>
      </w:r>
      <w:r>
        <w:t xml:space="preserve"> </w:t>
      </w:r>
      <w:r w:rsidRPr="008627B8">
        <w:t>However, this observation does not allow us to induce any specific trend regarding the firms, their inventions or how they use the UM protection unless we can observe the application of these inventions and the enforcement of th</w:t>
      </w:r>
      <w:r w:rsidR="007331F6">
        <w:t>is</w:t>
      </w:r>
      <w:r w:rsidRPr="008627B8">
        <w:t xml:space="preserve"> IP instrument.</w:t>
      </w:r>
    </w:p>
    <w:p w:rsidR="007331F6" w:rsidRDefault="007331F6" w:rsidP="00930EA0"/>
    <w:p w:rsidR="007331F6" w:rsidRPr="002436A8" w:rsidRDefault="004D1D5C" w:rsidP="00EE6F52">
      <w:pPr>
        <w:pStyle w:val="Heading1"/>
        <w:rPr>
          <w:i w:val="0"/>
          <w:caps/>
        </w:rPr>
      </w:pPr>
      <w:bookmarkStart w:id="31" w:name="_Toc393894460"/>
      <w:r w:rsidRPr="002436A8">
        <w:rPr>
          <w:i w:val="0"/>
          <w:caps/>
        </w:rPr>
        <w:t>How does UM Protection Affect Firms?</w:t>
      </w:r>
      <w:bookmarkEnd w:id="31"/>
    </w:p>
    <w:p w:rsidR="00B01364" w:rsidRDefault="00B01364" w:rsidP="00A210E1">
      <w:pPr>
        <w:pStyle w:val="BodyText"/>
      </w:pPr>
    </w:p>
    <w:p w:rsidR="00063027" w:rsidRDefault="0019628A" w:rsidP="00063027">
      <w:r>
        <w:t>We carry out a more thorough investigation of the link between UM protection and firms’ performance by using an econometric approach.</w:t>
      </w:r>
      <w:r w:rsidR="00063027" w:rsidRPr="00063027">
        <w:t xml:space="preserve"> </w:t>
      </w:r>
      <w:r w:rsidR="00063027">
        <w:t xml:space="preserve"> This method allows us to single out if and the extent to which firms’ performance can be attributed to UM protection.  It also allows us to estimate the size of this link, which is an additional advantage.</w:t>
      </w:r>
    </w:p>
    <w:p w:rsidR="00B01364" w:rsidRDefault="00B01364" w:rsidP="00A210E1">
      <w:pPr>
        <w:pStyle w:val="BodyText"/>
      </w:pPr>
    </w:p>
    <w:p w:rsidR="004D1D5C" w:rsidRDefault="004D1D5C" w:rsidP="00D5490D">
      <w:pPr>
        <w:pStyle w:val="Heading2"/>
      </w:pPr>
      <w:bookmarkStart w:id="32" w:name="_Toc393894461"/>
      <w:r>
        <w:lastRenderedPageBreak/>
        <w:t>Estimation Strategy</w:t>
      </w:r>
      <w:bookmarkEnd w:id="32"/>
    </w:p>
    <w:p w:rsidR="004D1D5C" w:rsidRDefault="004D1D5C" w:rsidP="00D5490D">
      <w:pPr>
        <w:keepNext/>
        <w:keepLines/>
      </w:pPr>
    </w:p>
    <w:p w:rsidR="004D1D5C" w:rsidRDefault="004D1D5C" w:rsidP="00D5490D">
      <w:pPr>
        <w:keepNext/>
        <w:keepLines/>
      </w:pPr>
      <w:r>
        <w:t>The general equation for estimation is:</w:t>
      </w:r>
    </w:p>
    <w:p w:rsidR="00455590" w:rsidRDefault="00455590" w:rsidP="00D5490D">
      <w:pPr>
        <w:keepNext/>
        <w:keepLines/>
      </w:pPr>
    </w:p>
    <w:p w:rsidR="004D1D5C" w:rsidRPr="00455590" w:rsidRDefault="00092527" w:rsidP="00D5490D">
      <w:pPr>
        <w:keepNext/>
        <w:keepLines/>
        <w:jc w:val="center"/>
        <w:rPr>
          <w:bCs/>
          <w:i/>
        </w:rPr>
      </w:pPr>
      <m:oMathPara>
        <m:oMath>
          <m:sSub>
            <m:sSubPr>
              <m:ctrlPr>
                <w:rPr>
                  <w:rFonts w:ascii="Cambria Math" w:hAnsi="Cambria Math"/>
                  <w:bCs/>
                  <w:i/>
                </w:rPr>
              </m:ctrlPr>
            </m:sSubPr>
            <m:e>
              <m:r>
                <w:rPr>
                  <w:rFonts w:ascii="Cambria Math" w:hAnsi="Cambria Math"/>
                </w:rPr>
                <m:t>Performance</m:t>
              </m:r>
            </m:e>
            <m:sub>
              <m:r>
                <w:rPr>
                  <w:rFonts w:ascii="Cambria Math" w:hAnsi="Cambria Math"/>
                </w:rPr>
                <m:t>it</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1</m:t>
              </m:r>
            </m:sub>
          </m:sSub>
          <m:sSub>
            <m:sSubPr>
              <m:ctrlPr>
                <w:rPr>
                  <w:rFonts w:ascii="Cambria Math" w:hAnsi="Cambria Math"/>
                  <w:bCs/>
                  <w:i/>
                </w:rPr>
              </m:ctrlPr>
            </m:sSubPr>
            <m:e>
              <m:r>
                <w:rPr>
                  <w:rFonts w:ascii="Cambria Math" w:hAnsi="Cambria Math"/>
                </w:rPr>
                <m:t>Cost</m:t>
              </m:r>
            </m:e>
            <m:sub>
              <m:r>
                <w:rPr>
                  <w:rFonts w:ascii="Cambria Math" w:hAnsi="Cambria Math"/>
                </w:rPr>
                <m:t>it</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2</m:t>
              </m:r>
            </m:sub>
          </m:sSub>
          <m:sSub>
            <m:sSubPr>
              <m:ctrlPr>
                <w:rPr>
                  <w:rFonts w:ascii="Cambria Math" w:hAnsi="Cambria Math"/>
                  <w:bCs/>
                  <w:i/>
                </w:rPr>
              </m:ctrlPr>
            </m:sSubPr>
            <m:e>
              <m:r>
                <w:rPr>
                  <w:rFonts w:ascii="Cambria Math" w:hAnsi="Cambria Math"/>
                </w:rPr>
                <m:t>UM</m:t>
              </m:r>
            </m:e>
            <m:sub>
              <m:r>
                <w:rPr>
                  <w:rFonts w:ascii="Cambria Math" w:hAnsi="Cambria Math"/>
                </w:rPr>
                <m:t>it</m:t>
              </m:r>
            </m:sub>
          </m:sSub>
          <m:r>
            <w:rPr>
              <w:rFonts w:ascii="Cambria Math" w:hAnsi="Cambria Math"/>
            </w:rPr>
            <m:t>+</m:t>
          </m:r>
          <m:sSub>
            <m:sSubPr>
              <m:ctrlPr>
                <w:rPr>
                  <w:rFonts w:ascii="Cambria Math" w:hAnsi="Cambria Math"/>
                  <w:bCs/>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ϵ</m:t>
              </m:r>
            </m:e>
            <m:sub>
              <m:r>
                <w:rPr>
                  <w:rFonts w:ascii="Cambria Math" w:hAnsi="Cambria Math"/>
                </w:rPr>
                <m:t>it</m:t>
              </m:r>
            </m:sub>
          </m:sSub>
        </m:oMath>
      </m:oMathPara>
    </w:p>
    <w:p w:rsidR="00455590" w:rsidRPr="00EB7F23" w:rsidRDefault="00455590" w:rsidP="004D1D5C">
      <w:pPr>
        <w:jc w:val="center"/>
        <w:rPr>
          <w:bCs/>
          <w:i/>
        </w:rPr>
      </w:pPr>
    </w:p>
    <w:p w:rsidR="004D1D5C" w:rsidRDefault="004D1D5C" w:rsidP="004D1D5C">
      <w:r w:rsidRPr="00F8316F">
        <w:t xml:space="preserve">Where a firm’s financial performance indicator at time </w:t>
      </w:r>
      <m:oMath>
        <m:r>
          <w:rPr>
            <w:rFonts w:ascii="Cambria Math" w:hAnsi="Cambria Math"/>
          </w:rPr>
          <m:t>t</m:t>
        </m:r>
      </m:oMath>
      <w:r w:rsidRPr="00F8316F">
        <w:t xml:space="preserve"> is a function of whether it has a UM application, </w:t>
      </w:r>
      <m:oMath>
        <m:sSub>
          <m:sSubPr>
            <m:ctrlPr>
              <w:rPr>
                <w:rFonts w:ascii="Cambria Math" w:hAnsi="Cambria Math"/>
                <w:i/>
              </w:rPr>
            </m:ctrlPr>
          </m:sSubPr>
          <m:e>
            <m:r>
              <w:rPr>
                <w:rFonts w:ascii="Cambria Math" w:hAnsi="Cambria Math"/>
              </w:rPr>
              <m:t>UM</m:t>
            </m:r>
          </m:e>
          <m:sub>
            <m:r>
              <w:rPr>
                <w:rFonts w:ascii="Cambria Math" w:hAnsi="Cambria Math"/>
              </w:rPr>
              <m:t>it</m:t>
            </m:r>
          </m:sub>
        </m:sSub>
      </m:oMath>
      <w:r w:rsidRPr="00F8316F">
        <w:t xml:space="preserve">, its operating costs, </w:t>
      </w:r>
      <m:oMath>
        <m:sSub>
          <m:sSubPr>
            <m:ctrlPr>
              <w:rPr>
                <w:rFonts w:ascii="Cambria Math" w:hAnsi="Cambria Math"/>
                <w:i/>
              </w:rPr>
            </m:ctrlPr>
          </m:sSubPr>
          <m:e>
            <m:r>
              <w:rPr>
                <w:rFonts w:ascii="Cambria Math" w:hAnsi="Cambria Math"/>
              </w:rPr>
              <m:t>Cost</m:t>
            </m:r>
          </m:e>
          <m:sub>
            <m:r>
              <w:rPr>
                <w:rFonts w:ascii="Cambria Math" w:hAnsi="Cambria Math"/>
              </w:rPr>
              <m:t>it</m:t>
            </m:r>
          </m:sub>
        </m:sSub>
      </m:oMath>
      <w:r w:rsidRPr="00F8316F">
        <w:t xml:space="preserve">, and some firm-specific time-invariant factors,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F8316F">
        <w:t xml:space="preserve">. </w:t>
      </w:r>
      <w:r>
        <w:t xml:space="preserve"> </w:t>
      </w:r>
      <w:r w:rsidRPr="00F8316F">
        <w:t xml:space="preserve">This time-invariant firm specific factor,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F8316F">
        <w:t xml:space="preserve">, is obtained by using the fixed effect regression estimation. </w:t>
      </w:r>
      <w:r>
        <w:t xml:space="preserve"> </w:t>
      </w:r>
      <w:r w:rsidRPr="00F8316F">
        <w:t xml:space="preserve">As in the preceding section, we measure the firms’ financial performance using three indicators: (i) net sales, (ii) net profits and (iii) net sales to costs ratio. </w:t>
      </w:r>
      <w:r>
        <w:t xml:space="preserve"> </w:t>
      </w:r>
      <w:r w:rsidRPr="00F8316F">
        <w:t xml:space="preserve">Net sales </w:t>
      </w:r>
      <w:r>
        <w:t>are</w:t>
      </w:r>
      <w:r w:rsidRPr="00F8316F">
        <w:t xml:space="preserve"> expressed in natural logarithm, net profits</w:t>
      </w:r>
      <w:r>
        <w:t xml:space="preserve"> are</w:t>
      </w:r>
      <w:r w:rsidRPr="00F8316F">
        <w:t xml:space="preserve"> in million baht and sales-to-costs ratio</w:t>
      </w:r>
      <w:r>
        <w:t xml:space="preserve"> is left as it is</w:t>
      </w:r>
      <w:r w:rsidRPr="00F8316F">
        <w:t xml:space="preserve">. </w:t>
      </w:r>
      <w:r>
        <w:t xml:space="preserve"> </w:t>
      </w:r>
      <w:r w:rsidRPr="00F8316F">
        <w:t>To correct for firm size effect as well as to isolate any probabl</w:t>
      </w:r>
      <w:r>
        <w:t>e</w:t>
      </w:r>
      <w:r w:rsidRPr="00F8316F">
        <w:t xml:space="preserve"> effect of the normal business cycle fluctuations on the performance indicator, we have included the operating cost variable expressed in natural logarithm, </w:t>
      </w:r>
      <m:oMath>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w:r w:rsidRPr="00F8316F">
        <w:t xml:space="preserve"> . </w:t>
      </w:r>
    </w:p>
    <w:p w:rsidR="004D1D5C" w:rsidRPr="00F8316F" w:rsidRDefault="004D1D5C" w:rsidP="004D1D5C"/>
    <w:p w:rsidR="004D1D5C" w:rsidRDefault="004D1D5C" w:rsidP="004D1D5C">
      <w:r w:rsidRPr="00276E0A">
        <w:t xml:space="preserve">In order to ensure that we have captured the effect of having UM protection on the firms, we used three different measures of UM protection. </w:t>
      </w:r>
      <w:r>
        <w:t xml:space="preserve"> </w:t>
      </w:r>
      <w:r w:rsidRPr="00276E0A">
        <w:t xml:space="preserve">The first measure we use is a dummy binary variable which differentiates the period before and after each firm filed for UM. </w:t>
      </w:r>
      <w:r>
        <w:t xml:space="preserve"> </w:t>
      </w:r>
      <w:r w:rsidRPr="00276E0A">
        <w:t xml:space="preserve">For this first proxy, </w:t>
      </w:r>
      <m:oMath>
        <m:sSub>
          <m:sSubPr>
            <m:ctrlPr>
              <w:rPr>
                <w:rFonts w:ascii="Cambria Math" w:hAnsi="Cambria Math"/>
                <w:i/>
              </w:rPr>
            </m:ctrlPr>
          </m:sSubPr>
          <m:e>
            <m:r>
              <w:rPr>
                <w:rFonts w:ascii="Cambria Math" w:hAnsi="Cambria Math"/>
              </w:rPr>
              <m:t>UM</m:t>
            </m:r>
          </m:e>
          <m:sub>
            <m:r>
              <w:rPr>
                <w:rFonts w:ascii="Cambria Math" w:hAnsi="Cambria Math"/>
              </w:rPr>
              <m:t>it</m:t>
            </m:r>
          </m:sub>
        </m:sSub>
      </m:oMath>
      <w:r w:rsidRPr="00276E0A">
        <w:t xml:space="preserve">, the variable would take on the number 1 if the firm </w:t>
      </w:r>
      <m:oMath>
        <m:r>
          <w:rPr>
            <w:rFonts w:ascii="Cambria Math" w:hAnsi="Cambria Math"/>
          </w:rPr>
          <m:t>i</m:t>
        </m:r>
      </m:oMath>
      <w:r w:rsidRPr="00276E0A">
        <w:t xml:space="preserve"> did apply for a UM at time </w:t>
      </w:r>
      <m:oMath>
        <m:r>
          <w:rPr>
            <w:rFonts w:ascii="Cambria Math" w:hAnsi="Cambria Math"/>
          </w:rPr>
          <m:t>t</m:t>
        </m:r>
      </m:oMath>
      <w:r w:rsidRPr="00276E0A">
        <w:t xml:space="preserve"> onwards, and 0 otherwise.</w:t>
      </w:r>
      <w:r>
        <w:t xml:space="preserve"> </w:t>
      </w:r>
      <w:r w:rsidRPr="00276E0A">
        <w:t xml:space="preserve"> The second proxy used is a time-variant variable that measures the number of years firm </w:t>
      </w:r>
      <m:oMath>
        <m:r>
          <w:rPr>
            <w:rFonts w:ascii="Cambria Math" w:hAnsi="Cambria Math"/>
          </w:rPr>
          <m:t>i</m:t>
        </m:r>
      </m:oMath>
      <w:r w:rsidRPr="00276E0A">
        <w:t xml:space="preserve"> has applied or registered for UM. </w:t>
      </w:r>
      <w:r>
        <w:t xml:space="preserve"> </w:t>
      </w:r>
      <w:r w:rsidRPr="00276E0A">
        <w:t xml:space="preserve">In this particular case, </w:t>
      </w:r>
      <m:oMath>
        <m:sSub>
          <m:sSubPr>
            <m:ctrlPr>
              <w:rPr>
                <w:rFonts w:ascii="Cambria Math" w:hAnsi="Cambria Math"/>
                <w:i/>
              </w:rPr>
            </m:ctrlPr>
          </m:sSubPr>
          <m:e>
            <m:r>
              <w:rPr>
                <w:rFonts w:ascii="Cambria Math" w:hAnsi="Cambria Math"/>
              </w:rPr>
              <m:t>Year(UM)</m:t>
            </m:r>
          </m:e>
          <m:sub>
            <m:r>
              <w:rPr>
                <w:rFonts w:ascii="Cambria Math" w:hAnsi="Cambria Math"/>
              </w:rPr>
              <m:t>it</m:t>
            </m:r>
          </m:sub>
        </m:sSub>
      </m:oMath>
      <w:r w:rsidRPr="00276E0A">
        <w:t xml:space="preserve">, would take on positive values after the year of UM application, or registration, and negative values in the years preceding the UM. </w:t>
      </w:r>
      <w:r>
        <w:t xml:space="preserve"> </w:t>
      </w:r>
      <w:r w:rsidRPr="00276E0A">
        <w:t xml:space="preserve">For example, the variable would take on the values of -1, 0, and 1 for the years </w:t>
      </w:r>
      <m:oMath>
        <m:r>
          <w:rPr>
            <w:rFonts w:ascii="Cambria Math" w:hAnsi="Cambria Math"/>
          </w:rPr>
          <m:t>t</m:t>
        </m:r>
      </m:oMath>
      <w:r w:rsidRPr="00276E0A">
        <w:t xml:space="preserve"> before, during and after the firm </w:t>
      </w:r>
      <m:oMath>
        <m:r>
          <w:rPr>
            <w:rFonts w:ascii="Cambria Math" w:hAnsi="Cambria Math"/>
          </w:rPr>
          <m:t>i</m:t>
        </m:r>
      </m:oMath>
      <w:r w:rsidRPr="00276E0A">
        <w:t xml:space="preserve"> applies for UM application.</w:t>
      </w:r>
      <w:r>
        <w:t xml:space="preserve"> </w:t>
      </w:r>
      <w:r w:rsidRPr="00276E0A">
        <w:t xml:space="preserve"> And the last proxy for UM, </w:t>
      </w:r>
      <m:oMath>
        <m:sSub>
          <m:sSubPr>
            <m:ctrlPr>
              <w:rPr>
                <w:rFonts w:ascii="Cambria Math" w:hAnsi="Cambria Math"/>
                <w:i/>
              </w:rPr>
            </m:ctrlPr>
          </m:sSubPr>
          <m:e>
            <m:r>
              <w:rPr>
                <w:rFonts w:ascii="Cambria Math" w:hAnsi="Cambria Math"/>
              </w:rPr>
              <m:t>Total(UM)</m:t>
            </m:r>
          </m:e>
          <m:sub>
            <m:r>
              <w:rPr>
                <w:rFonts w:ascii="Cambria Math" w:hAnsi="Cambria Math"/>
              </w:rPr>
              <m:t>it</m:t>
            </m:r>
          </m:sub>
        </m:sSub>
      </m:oMath>
      <w:r w:rsidRPr="00276E0A">
        <w:t xml:space="preserve">, is the cumulative number of UM filed by firm </w:t>
      </w:r>
      <m:oMath>
        <m:r>
          <w:rPr>
            <w:rFonts w:ascii="Cambria Math" w:hAnsi="Cambria Math"/>
          </w:rPr>
          <m:t>i</m:t>
        </m:r>
      </m:oMath>
      <w:r w:rsidRPr="00276E0A">
        <w:t xml:space="preserve"> at year </w:t>
      </w:r>
      <m:oMath>
        <m:r>
          <w:rPr>
            <w:rFonts w:ascii="Cambria Math" w:hAnsi="Cambria Math"/>
          </w:rPr>
          <m:t>t</m:t>
        </m:r>
      </m:oMath>
      <w:r w:rsidRPr="00276E0A">
        <w:t>.</w:t>
      </w:r>
      <w:r>
        <w:rPr>
          <w:rStyle w:val="FootnoteReference"/>
        </w:rPr>
        <w:footnoteReference w:id="23"/>
      </w:r>
    </w:p>
    <w:p w:rsidR="004D1D5C" w:rsidRDefault="004D1D5C" w:rsidP="004D1D5C"/>
    <w:p w:rsidR="004D1D5C" w:rsidRDefault="004D1D5C" w:rsidP="004D1D5C">
      <w:r w:rsidRPr="00AA073E">
        <w:t>We suspect that there may be differences in how UM protection may affect firms according to their size and their geographical location</w:t>
      </w:r>
      <w:r>
        <w:t>, as mentioned in the previous section</w:t>
      </w:r>
      <w:r w:rsidRPr="00AA073E">
        <w:t xml:space="preserve">. </w:t>
      </w:r>
      <w:r>
        <w:t xml:space="preserve"> </w:t>
      </w:r>
      <w:r w:rsidRPr="00AA073E">
        <w:t xml:space="preserve">To account for the possibility that the effect of UM protection on firm performance may vary according to their sizes, we included a variable which interacts the three different UM proxies with the operating costs. </w:t>
      </w:r>
      <w:r>
        <w:t xml:space="preserve"> </w:t>
      </w:r>
      <w:r w:rsidRPr="00AA073E">
        <w:t xml:space="preserve">These variables are denoted as: </w:t>
      </w:r>
      <m:oMath>
        <m:sSub>
          <m:sSubPr>
            <m:ctrlPr>
              <w:rPr>
                <w:rFonts w:ascii="Cambria Math" w:hAnsi="Cambria Math"/>
                <w:i/>
              </w:rPr>
            </m:ctrlPr>
          </m:sSubPr>
          <m:e>
            <m:r>
              <w:rPr>
                <w:rFonts w:ascii="Cambria Math" w:hAnsi="Cambria Math"/>
              </w:rPr>
              <m:t>UM</m:t>
            </m:r>
          </m:e>
          <m:sub>
            <m:r>
              <w:rPr>
                <w:rFonts w:ascii="Cambria Math" w:hAnsi="Cambria Math"/>
              </w:rPr>
              <m:t>it</m:t>
            </m:r>
          </m:sub>
        </m:sSub>
        <m:r>
          <w:rPr>
            <w:rFonts w:ascii="Cambria Math" w:hAnsi="Cambria Math"/>
          </w:rPr>
          <m:t>*</m:t>
        </m:r>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w:r w:rsidRPr="00AA073E">
        <w:t xml:space="preserve">, </w:t>
      </w:r>
      <m:oMath>
        <m:sSub>
          <m:sSubPr>
            <m:ctrlPr>
              <w:rPr>
                <w:rFonts w:ascii="Cambria Math" w:hAnsi="Cambria Math"/>
                <w:i/>
              </w:rPr>
            </m:ctrlPr>
          </m:sSubPr>
          <m:e>
            <m:r>
              <w:rPr>
                <w:rFonts w:ascii="Cambria Math" w:hAnsi="Cambria Math"/>
              </w:rPr>
              <m:t>Year(UM)</m:t>
            </m:r>
          </m:e>
          <m:sub>
            <m:r>
              <w:rPr>
                <w:rFonts w:ascii="Cambria Math" w:hAnsi="Cambria Math"/>
              </w:rPr>
              <m:t>it</m:t>
            </m:r>
          </m:sub>
        </m:sSub>
        <m:r>
          <w:rPr>
            <w:rFonts w:ascii="Cambria Math" w:hAnsi="Cambria Math"/>
          </w:rPr>
          <m:t>*</m:t>
        </m:r>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w:r w:rsidRPr="00AA073E">
        <w:t xml:space="preserve">and </w:t>
      </w:r>
      <m:oMath>
        <m:sSub>
          <m:sSubPr>
            <m:ctrlPr>
              <w:rPr>
                <w:rFonts w:ascii="Cambria Math" w:hAnsi="Cambria Math"/>
                <w:i/>
              </w:rPr>
            </m:ctrlPr>
          </m:sSubPr>
          <m:e>
            <m:r>
              <w:rPr>
                <w:rFonts w:ascii="Cambria Math" w:hAnsi="Cambria Math"/>
              </w:rPr>
              <m:t>Total(UM)</m:t>
            </m:r>
          </m:e>
          <m:sub>
            <m:r>
              <w:rPr>
                <w:rFonts w:ascii="Cambria Math" w:hAnsi="Cambria Math"/>
              </w:rPr>
              <m:t>it</m:t>
            </m:r>
          </m:sub>
        </m:sSub>
        <m:r>
          <w:rPr>
            <w:rFonts w:ascii="Cambria Math" w:hAnsi="Cambria Math"/>
          </w:rPr>
          <m:t>*</m:t>
        </m:r>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w:r w:rsidRPr="00AA073E">
        <w:t xml:space="preserve">for the three different proxies of UM. </w:t>
      </w:r>
      <w:r>
        <w:t xml:space="preserve"> </w:t>
      </w:r>
      <w:r w:rsidRPr="00AA073E">
        <w:t xml:space="preserve">As for geographical location, we include a dummy binary variable </w:t>
      </w:r>
      <m:oMath>
        <m:r>
          <w:rPr>
            <w:rFonts w:ascii="Cambria Math" w:hAnsi="Cambria Math"/>
          </w:rPr>
          <m:t>d(not Bangkok)</m:t>
        </m:r>
      </m:oMath>
      <w:r w:rsidRPr="00AA073E">
        <w:t xml:space="preserve"> - for whether the firm </w:t>
      </w:r>
      <m:oMath>
        <m:r>
          <w:rPr>
            <w:rFonts w:ascii="Cambria Math" w:hAnsi="Cambria Math"/>
          </w:rPr>
          <m:t>i</m:t>
        </m:r>
      </m:oMath>
      <w:r w:rsidRPr="00AA073E">
        <w:t xml:space="preserve"> is located in Bangkok (takes the value of 0) or not (takes the value of 1) - which is then interacted with the different measures of UM protection.  </w:t>
      </w:r>
    </w:p>
    <w:p w:rsidR="004D1D5C" w:rsidRPr="00AA073E" w:rsidRDefault="004D1D5C" w:rsidP="004D1D5C"/>
    <w:p w:rsidR="004D1D5C" w:rsidRDefault="004D1D5C" w:rsidP="004D1D5C">
      <w:r w:rsidRPr="00AA073E">
        <w:t xml:space="preserve">We also checked to see if there would be a diminishing effect of UM protection over time. </w:t>
      </w:r>
      <w:r>
        <w:t xml:space="preserve"> </w:t>
      </w:r>
      <w:r w:rsidRPr="00AA073E">
        <w:t>For example, successful UM applicants in Thailand are entitled to a maximum of ten years of protection over their invention.</w:t>
      </w:r>
      <w:r>
        <w:t xml:space="preserve"> </w:t>
      </w:r>
      <w:r w:rsidRPr="00AA073E">
        <w:t xml:space="preserve"> After the expiry of the term of protection, either because of the end of the ten years or because of failure to pay the renewal fee, the effect of the UM protection should disappear.</w:t>
      </w:r>
      <w:r>
        <w:t xml:space="preserve"> </w:t>
      </w:r>
      <w:r w:rsidRPr="00AA073E">
        <w:t xml:space="preserve"> One way to account for this is to compute the square of the </w:t>
      </w:r>
      <m:oMath>
        <m:sSub>
          <m:sSubPr>
            <m:ctrlPr>
              <w:rPr>
                <w:rFonts w:ascii="Cambria Math" w:hAnsi="Cambria Math"/>
                <w:i/>
              </w:rPr>
            </m:ctrlPr>
          </m:sSubPr>
          <m:e>
            <m:r>
              <w:rPr>
                <w:rFonts w:ascii="Cambria Math" w:hAnsi="Cambria Math"/>
              </w:rPr>
              <m:t>UM</m:t>
            </m:r>
          </m:e>
          <m:sub>
            <m:r>
              <w:rPr>
                <w:rFonts w:ascii="Cambria Math" w:hAnsi="Cambria Math"/>
              </w:rPr>
              <m:t>it</m:t>
            </m:r>
          </m:sub>
        </m:sSub>
      </m:oMath>
      <w:r w:rsidRPr="00AA073E">
        <w:t xml:space="preserve"> variable to capture any diminishing effect of UM protection over time. </w:t>
      </w:r>
    </w:p>
    <w:p w:rsidR="004D1D5C" w:rsidRPr="004D1D5C" w:rsidRDefault="004D1D5C" w:rsidP="00930EA0"/>
    <w:p w:rsidR="007331F6" w:rsidRDefault="004D1D5C" w:rsidP="008F2176">
      <w:pPr>
        <w:pStyle w:val="Heading2"/>
      </w:pPr>
      <w:bookmarkStart w:id="33" w:name="_Toc393894462"/>
      <w:r>
        <w:lastRenderedPageBreak/>
        <w:t>Econometric Regression</w:t>
      </w:r>
      <w:bookmarkEnd w:id="33"/>
    </w:p>
    <w:p w:rsidR="004D1D5C" w:rsidRPr="004D1D5C" w:rsidRDefault="004D1D5C" w:rsidP="008F2176">
      <w:pPr>
        <w:keepNext/>
      </w:pPr>
    </w:p>
    <w:p w:rsidR="006561BD" w:rsidRDefault="006561BD" w:rsidP="008F2176">
      <w:pPr>
        <w:keepNext/>
      </w:pPr>
      <w:r w:rsidRPr="00AA073E">
        <w:t xml:space="preserve">We estimated the general model expressed </w:t>
      </w:r>
      <w:r>
        <w:t>above</w:t>
      </w:r>
      <w:r w:rsidRPr="00AA073E">
        <w:t xml:space="preserve"> using the fixed effect (FE) panel estimation. </w:t>
      </w:r>
      <w:r>
        <w:t xml:space="preserve"> </w:t>
      </w:r>
      <w:r w:rsidRPr="00AA073E">
        <w:t xml:space="preserve">This panel estimator is useful in our case as we have 15 years of observations for 719 firms.  In addition, using FE estimation takes into consideration any unobservable firm-specific but time invariant influence in the regression. </w:t>
      </w:r>
      <w:r>
        <w:t xml:space="preserve"> </w:t>
      </w:r>
      <w:r w:rsidRPr="00AA073E">
        <w:t xml:space="preserve">For example, there may be a particular manner of a firm </w:t>
      </w:r>
      <m:oMath>
        <m:r>
          <w:rPr>
            <w:rFonts w:ascii="Cambria Math" w:hAnsi="Cambria Math"/>
          </w:rPr>
          <m:t>i</m:t>
        </m:r>
      </m:oMath>
      <w:r w:rsidRPr="00AA073E">
        <w:t>’s organization that has an influence on its financial performance.</w:t>
      </w:r>
    </w:p>
    <w:p w:rsidR="006561BD" w:rsidRPr="00AA073E" w:rsidRDefault="006561BD" w:rsidP="008F2176">
      <w:pPr>
        <w:keepNext/>
      </w:pPr>
    </w:p>
    <w:p w:rsidR="006561BD" w:rsidRDefault="006561BD" w:rsidP="006561BD">
      <w:r w:rsidRPr="00AA073E">
        <w:t xml:space="preserve">We ran several different specifications </w:t>
      </w:r>
      <w:r>
        <w:t>of the general equation</w:t>
      </w:r>
      <w:r w:rsidRPr="00AA073E">
        <w:t xml:space="preserve"> for net sales, net profit and sales-to-costs ratio </w:t>
      </w:r>
      <w:r>
        <w:t>in</w:t>
      </w:r>
      <w:r w:rsidR="007F6BA8">
        <w:t xml:space="preserve"> </w:t>
      </w:r>
      <w:r w:rsidR="007F6BA8">
        <w:fldChar w:fldCharType="begin"/>
      </w:r>
      <w:r w:rsidR="007F6BA8">
        <w:instrText xml:space="preserve"> REF _Ref393875375 \h </w:instrText>
      </w:r>
      <w:r w:rsidR="007F6BA8">
        <w:fldChar w:fldCharType="separate"/>
      </w:r>
      <w:r w:rsidR="00092527" w:rsidRPr="00496C85">
        <w:rPr>
          <w:rFonts w:eastAsia="MS Mincho"/>
          <w:b/>
          <w:sz w:val="18"/>
          <w:lang w:bidi="ar-SA"/>
        </w:rPr>
        <w:t xml:space="preserve">Table </w:t>
      </w:r>
      <w:r w:rsidR="00092527">
        <w:rPr>
          <w:rFonts w:eastAsia="MS Mincho"/>
          <w:b/>
          <w:i/>
          <w:noProof/>
          <w:sz w:val="18"/>
          <w:lang w:bidi="ar-SA"/>
        </w:rPr>
        <w:t>6</w:t>
      </w:r>
      <w:r w:rsidR="007F6BA8">
        <w:fldChar w:fldCharType="end"/>
      </w:r>
      <w:r w:rsidR="007F6BA8">
        <w:t xml:space="preserve">, </w:t>
      </w:r>
      <w:r w:rsidR="007F6BA8">
        <w:fldChar w:fldCharType="begin"/>
      </w:r>
      <w:r w:rsidR="007F6BA8">
        <w:instrText xml:space="preserve"> REF _Ref393875377 \h </w:instrText>
      </w:r>
      <w:r w:rsidR="007F6BA8">
        <w:fldChar w:fldCharType="separate"/>
      </w:r>
      <w:r w:rsidR="00092527" w:rsidRPr="00496C85">
        <w:rPr>
          <w:rFonts w:eastAsia="MS Mincho"/>
          <w:b/>
          <w:sz w:val="18"/>
          <w:lang w:bidi="ar-SA"/>
        </w:rPr>
        <w:t xml:space="preserve">Table </w:t>
      </w:r>
      <w:r w:rsidR="00092527">
        <w:rPr>
          <w:rFonts w:eastAsia="MS Mincho"/>
          <w:b/>
          <w:i/>
          <w:noProof/>
          <w:sz w:val="18"/>
          <w:lang w:bidi="ar-SA"/>
        </w:rPr>
        <w:t>7</w:t>
      </w:r>
      <w:r w:rsidR="007F6BA8">
        <w:fldChar w:fldCharType="end"/>
      </w:r>
      <w:r w:rsidR="007F6BA8">
        <w:t xml:space="preserve">, and </w:t>
      </w:r>
      <w:r w:rsidR="007F6BA8">
        <w:fldChar w:fldCharType="begin"/>
      </w:r>
      <w:r w:rsidR="007F6BA8">
        <w:instrText xml:space="preserve"> REF _Ref393875379 \h </w:instrText>
      </w:r>
      <w:r w:rsidR="007F6BA8">
        <w:fldChar w:fldCharType="separate"/>
      </w:r>
      <w:r w:rsidR="00092527" w:rsidRPr="00496C85">
        <w:rPr>
          <w:rFonts w:eastAsia="MS Mincho"/>
          <w:b/>
          <w:sz w:val="18"/>
          <w:lang w:bidi="ar-SA"/>
        </w:rPr>
        <w:t xml:space="preserve">Table </w:t>
      </w:r>
      <w:r w:rsidR="00092527">
        <w:rPr>
          <w:rFonts w:eastAsia="MS Mincho"/>
          <w:b/>
          <w:i/>
          <w:noProof/>
          <w:sz w:val="18"/>
          <w:lang w:bidi="ar-SA"/>
        </w:rPr>
        <w:t>8</w:t>
      </w:r>
      <w:r w:rsidR="007F6BA8">
        <w:fldChar w:fldCharType="end"/>
      </w:r>
      <w:r w:rsidR="007F6BA8">
        <w:t xml:space="preserve"> </w:t>
      </w:r>
      <w:r w:rsidRPr="00AA073E">
        <w:t>respectively.</w:t>
      </w:r>
      <w:r w:rsidRPr="00AA073E">
        <w:rPr>
          <w:vertAlign w:val="superscript"/>
        </w:rPr>
        <w:footnoteReference w:id="24"/>
      </w:r>
      <w:r w:rsidRPr="00AA073E">
        <w:t xml:space="preserve"> </w:t>
      </w:r>
      <w:r>
        <w:t xml:space="preserve"> </w:t>
      </w:r>
      <w:r w:rsidRPr="00AA073E">
        <w:t xml:space="preserve">Columns (1) and (2) are the estimations using the binary proxy of UM application, </w:t>
      </w:r>
      <m:oMath>
        <m:sSub>
          <m:sSubPr>
            <m:ctrlPr>
              <w:rPr>
                <w:rFonts w:ascii="Cambria Math" w:hAnsi="Cambria Math"/>
              </w:rPr>
            </m:ctrlPr>
          </m:sSubPr>
          <m:e>
            <m:r>
              <m:rPr>
                <m:sty m:val="p"/>
              </m:rPr>
              <w:rPr>
                <w:rFonts w:ascii="Cambria Math" w:hAnsi="Cambria Math"/>
              </w:rPr>
              <m:t>UM</m:t>
            </m:r>
          </m:e>
          <m:sub>
            <m:r>
              <m:rPr>
                <m:sty m:val="p"/>
              </m:rPr>
              <w:rPr>
                <w:rFonts w:ascii="Cambria Math" w:hAnsi="Cambria Math"/>
              </w:rPr>
              <m:t>it</m:t>
            </m:r>
          </m:sub>
        </m:sSub>
      </m:oMath>
      <w:r w:rsidRPr="00AA073E">
        <w:t xml:space="preserve">, column (3) is the estimation using the time to-, during- and after filing for UM application, </w:t>
      </w:r>
      <m:oMath>
        <m:sSub>
          <m:sSubPr>
            <m:ctrlPr>
              <w:rPr>
                <w:rFonts w:ascii="Cambria Math" w:hAnsi="Cambria Math"/>
              </w:rPr>
            </m:ctrlPr>
          </m:sSubPr>
          <m:e>
            <m:r>
              <m:rPr>
                <m:sty m:val="p"/>
              </m:rPr>
              <w:rPr>
                <w:rFonts w:ascii="Cambria Math" w:hAnsi="Cambria Math"/>
              </w:rPr>
              <m:t>Year(UM)</m:t>
            </m:r>
          </m:e>
          <m:sub>
            <m:r>
              <m:rPr>
                <m:sty m:val="p"/>
              </m:rPr>
              <w:rPr>
                <w:rFonts w:ascii="Cambria Math" w:hAnsi="Cambria Math"/>
              </w:rPr>
              <m:t>it</m:t>
            </m:r>
          </m:sub>
        </m:sSub>
      </m:oMath>
      <w:r w:rsidRPr="00AA073E">
        <w:t xml:space="preserve">, and columns (4) and (5) uses the total number of UM filed by the firm, </w:t>
      </w:r>
      <m:oMath>
        <m:sSub>
          <m:sSubPr>
            <m:ctrlPr>
              <w:rPr>
                <w:rFonts w:ascii="Cambria Math" w:hAnsi="Cambria Math"/>
              </w:rPr>
            </m:ctrlPr>
          </m:sSubPr>
          <m:e>
            <m:r>
              <m:rPr>
                <m:sty m:val="p"/>
              </m:rPr>
              <w:rPr>
                <w:rFonts w:ascii="Cambria Math" w:hAnsi="Cambria Math"/>
              </w:rPr>
              <m:t>Total(UM)</m:t>
            </m:r>
          </m:e>
          <m:sub>
            <m:r>
              <m:rPr>
                <m:sty m:val="p"/>
              </m:rPr>
              <w:rPr>
                <w:rFonts w:ascii="Cambria Math" w:hAnsi="Cambria Math"/>
              </w:rPr>
              <m:t>it</m:t>
            </m:r>
          </m:sub>
        </m:sSub>
      </m:oMath>
      <w:r w:rsidRPr="00AA073E">
        <w:t xml:space="preserve">. </w:t>
      </w:r>
      <w:r>
        <w:t xml:space="preserve"> </w:t>
      </w:r>
      <w:r w:rsidRPr="00AA073E">
        <w:t xml:space="preserve">We also controlled for firm size by including the operating costs variable, </w:t>
      </w:r>
      <m:oMath>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w:r w:rsidRPr="00AA073E">
        <w:t>in columns (2), (3) and (5).</w:t>
      </w:r>
    </w:p>
    <w:p w:rsidR="006561BD" w:rsidRPr="00AA073E" w:rsidRDefault="006561BD" w:rsidP="006561BD"/>
    <w:p w:rsidR="006561BD" w:rsidRDefault="006561BD" w:rsidP="006561BD">
      <w:r w:rsidRPr="00AA073E">
        <w:t>The results of our estimations largely confirm the trends we have plotted earlier in</w:t>
      </w:r>
      <w:r w:rsidR="00324178">
        <w:t xml:space="preserve"> </w:t>
      </w:r>
      <w:r w:rsidR="00324178">
        <w:fldChar w:fldCharType="begin"/>
      </w:r>
      <w:r w:rsidR="00324178">
        <w:instrText xml:space="preserve"> REF _Ref393808296 \h </w:instrText>
      </w:r>
      <w:r w:rsidR="00324178">
        <w:fldChar w:fldCharType="separate"/>
      </w:r>
      <w:r w:rsidR="00092527" w:rsidRPr="00496C85">
        <w:rPr>
          <w:rFonts w:eastAsia="MS Mincho"/>
          <w:b/>
          <w:bCs/>
          <w:sz w:val="18"/>
          <w:szCs w:val="18"/>
          <w:lang w:bidi="ar-SA"/>
        </w:rPr>
        <w:t xml:space="preserve">Figure </w:t>
      </w:r>
      <w:r w:rsidR="00092527">
        <w:rPr>
          <w:rFonts w:eastAsia="MS Mincho"/>
          <w:b/>
          <w:bCs/>
          <w:noProof/>
          <w:sz w:val="18"/>
          <w:szCs w:val="18"/>
          <w:lang w:bidi="ar-SA"/>
        </w:rPr>
        <w:t>1</w:t>
      </w:r>
      <w:r w:rsidR="00324178">
        <w:fldChar w:fldCharType="end"/>
      </w:r>
      <w:r w:rsidRPr="00AA073E">
        <w:t>.</w:t>
      </w:r>
      <w:r w:rsidRPr="00AA073E">
        <w:rPr>
          <w:vertAlign w:val="superscript"/>
        </w:rPr>
        <w:footnoteReference w:id="25"/>
      </w:r>
      <w:r w:rsidRPr="00AA073E">
        <w:t xml:space="preserve"> </w:t>
      </w:r>
      <w:r>
        <w:t xml:space="preserve"> </w:t>
      </w:r>
      <w:r w:rsidRPr="00AA073E">
        <w:t>On average, we find a positive and statistically significant correlation between firms’ financial performance indicators and UM protection.</w:t>
      </w:r>
      <w:r>
        <w:t xml:space="preserve"> </w:t>
      </w:r>
      <w:r w:rsidRPr="00AA073E">
        <w:t xml:space="preserve"> We report the estimations using two performance indicators net sales and sales-to-cost ratio here, and include the estimation for net profits in the appendix.</w:t>
      </w:r>
    </w:p>
    <w:p w:rsidR="00997592" w:rsidRPr="00AA073E" w:rsidRDefault="00997592" w:rsidP="006561BD"/>
    <w:p w:rsidR="006561BD" w:rsidRPr="00AA073E" w:rsidRDefault="00324178" w:rsidP="006561BD">
      <w:r>
        <w:fldChar w:fldCharType="begin"/>
      </w:r>
      <w:r>
        <w:instrText xml:space="preserve"> REF _Ref393875375 \h </w:instrText>
      </w:r>
      <w:r w:rsidR="008F2176">
        <w:instrText xml:space="preserve"> \* MERGEFORMAT </w:instrText>
      </w:r>
      <w:r>
        <w:fldChar w:fldCharType="separate"/>
      </w:r>
      <w:r w:rsidR="00092527" w:rsidRPr="00496C85">
        <w:rPr>
          <w:rFonts w:eastAsia="MS Mincho"/>
          <w:b/>
          <w:sz w:val="18"/>
          <w:lang w:bidi="ar-SA"/>
        </w:rPr>
        <w:t xml:space="preserve">Table </w:t>
      </w:r>
      <w:r w:rsidR="00092527" w:rsidRPr="00092527">
        <w:rPr>
          <w:rFonts w:eastAsia="MS Mincho"/>
          <w:b/>
          <w:noProof/>
          <w:sz w:val="18"/>
          <w:lang w:bidi="ar-SA"/>
        </w:rPr>
        <w:t>6</w:t>
      </w:r>
      <w:r>
        <w:fldChar w:fldCharType="end"/>
      </w:r>
      <w:r>
        <w:t xml:space="preserve"> </w:t>
      </w:r>
      <w:r w:rsidR="006561BD" w:rsidRPr="00AA073E">
        <w:t xml:space="preserve">summarizes the results for the estimation using net sales as dependent variable. </w:t>
      </w:r>
      <w:r w:rsidR="006561BD">
        <w:t xml:space="preserve"> </w:t>
      </w:r>
      <w:r w:rsidR="006561BD" w:rsidRPr="00AA073E">
        <w:t>In column (1) the average firm with UM application observes a 104% increase in net sales.</w:t>
      </w:r>
      <w:r w:rsidR="006561BD" w:rsidRPr="00AA073E">
        <w:rPr>
          <w:vertAlign w:val="superscript"/>
        </w:rPr>
        <w:footnoteReference w:id="26"/>
      </w:r>
      <w:r w:rsidR="006561BD" w:rsidRPr="00AA073E">
        <w:t xml:space="preserve"> When we correct for firm size, the increase in net sales is a more modest 2.3% in column (2).</w:t>
      </w:r>
      <w:r w:rsidR="006561BD" w:rsidRPr="00AA073E">
        <w:rPr>
          <w:vertAlign w:val="superscript"/>
        </w:rPr>
        <w:footnoteReference w:id="27"/>
      </w:r>
      <w:r w:rsidR="006561BD" w:rsidRPr="00AA073E">
        <w:t xml:space="preserve"> </w:t>
      </w:r>
      <w:r w:rsidR="006561BD">
        <w:t xml:space="preserve"> </w:t>
      </w:r>
      <w:r w:rsidR="006561BD" w:rsidRPr="00AA073E">
        <w:t xml:space="preserve">This difference in the net sales increase when we control for firm size could indicate that UM filing may be correlated with the size of the firm. </w:t>
      </w:r>
      <w:r w:rsidR="006561BD">
        <w:t xml:space="preserve"> </w:t>
      </w:r>
      <w:r w:rsidR="006561BD" w:rsidRPr="00AA073E">
        <w:t xml:space="preserve">For example, it could be that firms of a specific size are more likely to file for UM protection. </w:t>
      </w:r>
      <w:r w:rsidR="006561BD">
        <w:t xml:space="preserve"> </w:t>
      </w:r>
      <w:r w:rsidR="006561BD" w:rsidRPr="00AA073E">
        <w:t xml:space="preserve">Using the other two proxies of UM </w:t>
      </w:r>
      <w:r w:rsidR="00890B67" w:rsidRPr="00AA073E">
        <w:t>tells</w:t>
      </w:r>
      <w:r w:rsidR="006561BD" w:rsidRPr="00AA073E">
        <w:t xml:space="preserve"> the same story: that net sales and UM protection are positively correlated (columns 3, 4 and 5).  Five years after filing for UM application, the average firm will observe a 2.5% increase in net sales in comparison to five years before filing for the protection. </w:t>
      </w:r>
    </w:p>
    <w:p w:rsidR="00365B93" w:rsidRDefault="00365B93" w:rsidP="00930EA0"/>
    <w:p w:rsidR="00997592" w:rsidRPr="00535E8E" w:rsidRDefault="00997592" w:rsidP="00997592">
      <w:r w:rsidRPr="00AA073E">
        <w:t>We examined in further detail the effect of firm size on net sales in columns (</w:t>
      </w:r>
      <w:r>
        <w:t>6</w:t>
      </w:r>
      <w:r w:rsidRPr="00AA073E">
        <w:t>), (</w:t>
      </w:r>
      <w:r>
        <w:t>7</w:t>
      </w:r>
      <w:r w:rsidRPr="00AA073E">
        <w:t>), and (</w:t>
      </w:r>
      <w:r>
        <w:t>8</w:t>
      </w:r>
      <w:r w:rsidRPr="00AA073E">
        <w:t xml:space="preserve">) by interacting the three UM proxies with the operating costs variable. We find two interesting results. </w:t>
      </w:r>
      <w:r w:rsidR="009F1047">
        <w:t xml:space="preserve"> </w:t>
      </w:r>
      <w:r w:rsidRPr="00AA073E">
        <w:t>First, the size associated with the UM coefficients are higher than the previous estimations without the interaction variable.</w:t>
      </w:r>
      <w:r w:rsidR="009F1047">
        <w:t xml:space="preserve"> </w:t>
      </w:r>
      <w:r w:rsidRPr="00AA073E">
        <w:t xml:space="preserve"> And secondly, the increase in net sales for the average firm decreases as the size of the firm increases. Simply put, the increase in net sales with UM protection is higher than before, and this effect is stronger for smaller firms. </w:t>
      </w:r>
      <w:r w:rsidR="009F1047">
        <w:t xml:space="preserve"> </w:t>
      </w:r>
      <w:r w:rsidRPr="00AA073E">
        <w:t>Using the results in column (</w:t>
      </w:r>
      <w:r>
        <w:t>6</w:t>
      </w:r>
      <w:r w:rsidRPr="00AA073E">
        <w:t xml:space="preserve">) as an example, a small firm observes a 6% boost in its net sales while it’s bigger </w:t>
      </w:r>
      <w:r w:rsidRPr="00AA073E">
        <w:lastRenderedPageBreak/>
        <w:t>counterparts sees a slightly lower increase in its net sales (2.3%) in column (</w:t>
      </w:r>
      <w:r>
        <w:t>6</w:t>
      </w:r>
      <w:r w:rsidRPr="00AA073E">
        <w:t>).</w:t>
      </w:r>
      <w:r w:rsidRPr="00AA073E">
        <w:rPr>
          <w:vertAlign w:val="superscript"/>
        </w:rPr>
        <w:footnoteReference w:id="28"/>
      </w:r>
      <w:r w:rsidRPr="00AA073E">
        <w:t xml:space="preserve"> </w:t>
      </w:r>
      <w:r w:rsidR="009F1047">
        <w:t xml:space="preserve"> </w:t>
      </w:r>
      <w:r w:rsidRPr="00AA073E">
        <w:t>The results of these model specifications are better observed when we plot the influence of UM protection on net sales according to the firm size as in</w:t>
      </w:r>
      <w:r>
        <w:t xml:space="preserve"> </w:t>
      </w:r>
      <w:r>
        <w:fldChar w:fldCharType="begin"/>
      </w:r>
      <w:r>
        <w:instrText xml:space="preserve"> REF _Ref393875241 \h </w:instrText>
      </w:r>
      <w:r>
        <w:fldChar w:fldCharType="separate"/>
      </w:r>
      <w:r w:rsidR="00092527" w:rsidRPr="00496C85">
        <w:rPr>
          <w:rFonts w:eastAsia="MS Mincho"/>
          <w:b/>
          <w:sz w:val="18"/>
          <w:lang w:bidi="ar-SA"/>
        </w:rPr>
        <w:t xml:space="preserve">Figure </w:t>
      </w:r>
      <w:r w:rsidR="00092527">
        <w:rPr>
          <w:rFonts w:eastAsia="MS Mincho"/>
          <w:b/>
          <w:i/>
          <w:noProof/>
          <w:sz w:val="18"/>
          <w:lang w:bidi="ar-SA"/>
        </w:rPr>
        <w:t>5</w:t>
      </w:r>
      <w:r>
        <w:fldChar w:fldCharType="end"/>
      </w:r>
      <w:r w:rsidRPr="00AA073E">
        <w:t xml:space="preserve">. </w:t>
      </w:r>
      <w:r w:rsidR="009F1047">
        <w:t xml:space="preserve"> </w:t>
      </w:r>
      <w:r w:rsidRPr="00AA073E">
        <w:t xml:space="preserve">The figure (below) shows that as the firm size increases – measured by their operating costs – the effect of the UM application on net sales decreases. </w:t>
      </w:r>
    </w:p>
    <w:p w:rsidR="00365B93" w:rsidRDefault="00365B93" w:rsidP="00930EA0"/>
    <w:p w:rsidR="00997592" w:rsidRPr="00496C85" w:rsidRDefault="00997592" w:rsidP="009F1047">
      <w:pPr>
        <w:pStyle w:val="Caption"/>
        <w:jc w:val="left"/>
        <w:rPr>
          <w:rFonts w:eastAsia="MS Mincho"/>
          <w:b/>
          <w:i w:val="0"/>
          <w:sz w:val="18"/>
          <w:lang w:bidi="ar-SA"/>
        </w:rPr>
      </w:pPr>
      <w:bookmarkStart w:id="34" w:name="_Ref393875241"/>
      <w:bookmarkStart w:id="35" w:name="_Toc393894463"/>
      <w:r w:rsidRPr="00496C85">
        <w:rPr>
          <w:rFonts w:eastAsia="MS Mincho"/>
          <w:b/>
          <w:i w:val="0"/>
          <w:sz w:val="18"/>
          <w:lang w:bidi="ar-SA"/>
        </w:rPr>
        <w:t xml:space="preserve">Figure </w:t>
      </w:r>
      <w:r w:rsidR="00B82C96" w:rsidRPr="00496C85">
        <w:rPr>
          <w:rFonts w:eastAsia="MS Mincho"/>
          <w:b/>
          <w:i w:val="0"/>
          <w:sz w:val="18"/>
          <w:lang w:bidi="ar-SA"/>
        </w:rPr>
        <w:fldChar w:fldCharType="begin"/>
      </w:r>
      <w:r w:rsidR="00B82C96" w:rsidRPr="00496C85">
        <w:rPr>
          <w:rFonts w:eastAsia="MS Mincho"/>
          <w:b/>
          <w:i w:val="0"/>
          <w:sz w:val="18"/>
          <w:lang w:bidi="ar-SA"/>
        </w:rPr>
        <w:instrText xml:space="preserve"> SEQ Figure \* ARABIC </w:instrText>
      </w:r>
      <w:r w:rsidR="00B82C96" w:rsidRPr="00496C85">
        <w:rPr>
          <w:rFonts w:eastAsia="MS Mincho"/>
          <w:b/>
          <w:i w:val="0"/>
          <w:sz w:val="18"/>
          <w:lang w:bidi="ar-SA"/>
        </w:rPr>
        <w:fldChar w:fldCharType="separate"/>
      </w:r>
      <w:r w:rsidR="00092527">
        <w:rPr>
          <w:rFonts w:eastAsia="MS Mincho"/>
          <w:b/>
          <w:i w:val="0"/>
          <w:noProof/>
          <w:sz w:val="18"/>
          <w:lang w:bidi="ar-SA"/>
        </w:rPr>
        <w:t>5</w:t>
      </w:r>
      <w:r w:rsidR="00B82C96" w:rsidRPr="00496C85">
        <w:rPr>
          <w:rFonts w:eastAsia="MS Mincho"/>
          <w:b/>
          <w:i w:val="0"/>
          <w:sz w:val="18"/>
          <w:lang w:bidi="ar-SA"/>
        </w:rPr>
        <w:fldChar w:fldCharType="end"/>
      </w:r>
      <w:bookmarkEnd w:id="34"/>
      <w:r w:rsidRPr="00496C85">
        <w:rPr>
          <w:rFonts w:eastAsia="MS Mincho"/>
          <w:b/>
          <w:i w:val="0"/>
          <w:sz w:val="18"/>
          <w:lang w:bidi="ar-SA"/>
        </w:rPr>
        <w:t>:  The Interaction of UM Application on Net Sales</w:t>
      </w:r>
      <w:bookmarkEnd w:id="35"/>
    </w:p>
    <w:tbl>
      <w:tblPr>
        <w:tblStyle w:val="TableGrid"/>
        <w:tblW w:w="0" w:type="auto"/>
        <w:jc w:val="center"/>
        <w:tblLayout w:type="fixed"/>
        <w:tblCellMar>
          <w:left w:w="115" w:type="dxa"/>
          <w:right w:w="115" w:type="dxa"/>
        </w:tblCellMar>
        <w:tblLook w:val="04A0" w:firstRow="1" w:lastRow="0" w:firstColumn="1" w:lastColumn="0" w:noHBand="0" w:noVBand="1"/>
      </w:tblPr>
      <w:tblGrid>
        <w:gridCol w:w="9576"/>
      </w:tblGrid>
      <w:tr w:rsidR="00997592" w:rsidTr="00A5718A">
        <w:trPr>
          <w:jc w:val="center"/>
        </w:trPr>
        <w:tc>
          <w:tcPr>
            <w:tcW w:w="9576" w:type="dxa"/>
          </w:tcPr>
          <w:p w:rsidR="00997592" w:rsidRDefault="00997592" w:rsidP="003E7A9C">
            <w:r>
              <w:rPr>
                <w:noProof/>
                <w:lang w:bidi="ar-SA"/>
              </w:rPr>
              <w:drawing>
                <wp:inline distT="0" distB="0" distL="0" distR="0" wp14:anchorId="223DA22A" wp14:editId="3182DDE8">
                  <wp:extent cx="5633085" cy="3005455"/>
                  <wp:effectExtent l="0" t="0" r="5715" b="4445"/>
                  <wp:docPr id="47124" name="Picture 4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3085" cy="3005455"/>
                          </a:xfrm>
                          <a:prstGeom prst="rect">
                            <a:avLst/>
                          </a:prstGeom>
                          <a:noFill/>
                        </pic:spPr>
                      </pic:pic>
                    </a:graphicData>
                  </a:graphic>
                </wp:inline>
              </w:drawing>
            </w:r>
          </w:p>
        </w:tc>
      </w:tr>
    </w:tbl>
    <w:p w:rsidR="0014376C" w:rsidRDefault="0014376C" w:rsidP="00930EA0"/>
    <w:p w:rsidR="00A5718A" w:rsidRDefault="00A5718A" w:rsidP="00930EA0"/>
    <w:p w:rsidR="00A5718A" w:rsidRDefault="00A5718A" w:rsidP="00A5718A">
      <w:r>
        <w:t>The second performance indicator is the firms’ net profits.  We find similar results to the estimation generated for net sales in the signs and significance of the explanatory variables are the same; however the coefficients of these variables are different from those found for net sales.</w:t>
      </w:r>
    </w:p>
    <w:p w:rsidR="00A5718A" w:rsidRDefault="00A5718A" w:rsidP="00A5718A"/>
    <w:p w:rsidR="00A5718A" w:rsidRDefault="00A5718A" w:rsidP="00A5718A">
      <w:r w:rsidRPr="00440ABC">
        <w:t xml:space="preserve">Our </w:t>
      </w:r>
      <w:r>
        <w:t>third</w:t>
      </w:r>
      <w:r w:rsidRPr="00440ABC">
        <w:t xml:space="preserve"> performance indicator is the sales-to-cost ratio, which can be roughly interpreted as a measurement of the firms’ return to investment. </w:t>
      </w:r>
      <w:r>
        <w:t xml:space="preserve"> </w:t>
      </w:r>
      <w:r w:rsidRPr="00440ABC">
        <w:t>A ratio above 1 implies positive return and below 1 is negative return.</w:t>
      </w:r>
      <w:r>
        <w:t xml:space="preserve">  </w:t>
      </w:r>
      <w:r>
        <w:fldChar w:fldCharType="begin"/>
      </w:r>
      <w:r>
        <w:instrText xml:space="preserve"> REF _Ref393875379 \h </w:instrText>
      </w:r>
      <w:r>
        <w:fldChar w:fldCharType="separate"/>
      </w:r>
      <w:r w:rsidR="00092527" w:rsidRPr="00496C85">
        <w:rPr>
          <w:rFonts w:eastAsia="MS Mincho"/>
          <w:b/>
          <w:sz w:val="18"/>
          <w:lang w:bidi="ar-SA"/>
        </w:rPr>
        <w:t xml:space="preserve">Table </w:t>
      </w:r>
      <w:r w:rsidR="00092527">
        <w:rPr>
          <w:rFonts w:eastAsia="MS Mincho"/>
          <w:b/>
          <w:i/>
          <w:noProof/>
          <w:sz w:val="18"/>
          <w:lang w:bidi="ar-SA"/>
        </w:rPr>
        <w:t>8</w:t>
      </w:r>
      <w:r>
        <w:fldChar w:fldCharType="end"/>
      </w:r>
      <w:r>
        <w:t xml:space="preserve"> </w:t>
      </w:r>
      <w:r w:rsidRPr="00440ABC">
        <w:t>summarize</w:t>
      </w:r>
      <w:r>
        <w:t>s</w:t>
      </w:r>
      <w:r w:rsidRPr="00440ABC">
        <w:t xml:space="preserve"> the estimation results</w:t>
      </w:r>
      <w:r>
        <w:t xml:space="preserve"> for our sales-to-cost ratio</w:t>
      </w:r>
      <w:r w:rsidRPr="00440ABC">
        <w:t xml:space="preserve">. </w:t>
      </w:r>
    </w:p>
    <w:p w:rsidR="00A5718A" w:rsidRDefault="00A5718A" w:rsidP="00A5718A"/>
    <w:p w:rsidR="00A5718A" w:rsidRDefault="00A5718A" w:rsidP="00A5718A">
      <w:r w:rsidRPr="00440ABC">
        <w:t xml:space="preserve">In general, we find that there is a positive correlation between UM protection and the average firms’ return to investment. </w:t>
      </w:r>
      <w:r>
        <w:t xml:space="preserve"> Moreover</w:t>
      </w:r>
      <w:r w:rsidRPr="00440ABC">
        <w:t>, when we control for firm size effect using the interaction variable, the signs and size of the coefficients are similar to the estimation results using net sales although they are not always statistically significant.</w:t>
      </w:r>
    </w:p>
    <w:p w:rsidR="00A5718A" w:rsidRPr="00440ABC" w:rsidRDefault="00A5718A" w:rsidP="00A5718A"/>
    <w:p w:rsidR="00A5718A" w:rsidRDefault="00A5718A" w:rsidP="00A5718A">
      <w:r w:rsidRPr="00440ABC">
        <w:t>In addition to our estimations reported here, we also ran further regressions to capture if there are any geographical location effect and if there is a diminishing effect of UM protection.</w:t>
      </w:r>
      <w:r>
        <w:t xml:space="preserve"> </w:t>
      </w:r>
      <w:r w:rsidRPr="00440ABC">
        <w:t xml:space="preserve"> However, we did not find any significant result for these model specifications and refrained from reporting them here.</w:t>
      </w:r>
    </w:p>
    <w:p w:rsidR="00A5718A" w:rsidRDefault="00A5718A" w:rsidP="00930EA0"/>
    <w:p w:rsidR="0014376C" w:rsidRPr="008D4CCE" w:rsidRDefault="0014376C" w:rsidP="00930EA0">
      <w:pPr>
        <w:rPr>
          <w:rFonts w:eastAsia="Calibri"/>
        </w:rPr>
      </w:pPr>
    </w:p>
    <w:p w:rsidR="00076721" w:rsidRDefault="00076721" w:rsidP="000715CC">
      <w:pPr>
        <w:rPr>
          <w:rFonts w:eastAsia="Calibri"/>
          <w:b/>
        </w:rPr>
        <w:sectPr w:rsidR="00076721" w:rsidSect="00685B63">
          <w:headerReference w:type="first" r:id="rId29"/>
          <w:pgSz w:w="11906" w:h="16838" w:code="9"/>
          <w:pgMar w:top="1440" w:right="1800" w:bottom="1440" w:left="1800" w:header="706" w:footer="706" w:gutter="0"/>
          <w:cols w:space="720"/>
          <w:titlePg/>
          <w:docGrid w:linePitch="408"/>
        </w:sectPr>
      </w:pPr>
    </w:p>
    <w:p w:rsidR="002F1FB4" w:rsidRPr="00496C85" w:rsidRDefault="002F1FB4" w:rsidP="00496C85">
      <w:pPr>
        <w:pStyle w:val="Caption"/>
        <w:rPr>
          <w:rFonts w:eastAsia="MS Mincho"/>
          <w:b/>
          <w:i w:val="0"/>
          <w:sz w:val="18"/>
          <w:lang w:bidi="ar-SA"/>
        </w:rPr>
      </w:pPr>
      <w:bookmarkStart w:id="36" w:name="_Ref393875375"/>
      <w:bookmarkStart w:id="37" w:name="_Ref391388596"/>
      <w:bookmarkStart w:id="38" w:name="_Toc393894464"/>
      <w:r w:rsidRPr="00496C85">
        <w:rPr>
          <w:rFonts w:eastAsia="MS Mincho"/>
          <w:b/>
          <w:i w:val="0"/>
          <w:sz w:val="18"/>
          <w:lang w:bidi="ar-SA"/>
        </w:rPr>
        <w:lastRenderedPageBreak/>
        <w:t xml:space="preserve">Table </w:t>
      </w:r>
      <w:r w:rsidR="00B82C96" w:rsidRPr="00496C85">
        <w:rPr>
          <w:rFonts w:eastAsia="MS Mincho"/>
          <w:b/>
          <w:i w:val="0"/>
          <w:sz w:val="18"/>
          <w:lang w:bidi="ar-SA"/>
        </w:rPr>
        <w:fldChar w:fldCharType="begin"/>
      </w:r>
      <w:r w:rsidR="00B82C96" w:rsidRPr="00496C85">
        <w:rPr>
          <w:rFonts w:eastAsia="MS Mincho"/>
          <w:b/>
          <w:i w:val="0"/>
          <w:sz w:val="18"/>
          <w:lang w:bidi="ar-SA"/>
        </w:rPr>
        <w:instrText xml:space="preserve"> SEQ Table \* ARABIC </w:instrText>
      </w:r>
      <w:r w:rsidR="00B82C96" w:rsidRPr="00496C85">
        <w:rPr>
          <w:rFonts w:eastAsia="MS Mincho"/>
          <w:b/>
          <w:i w:val="0"/>
          <w:sz w:val="18"/>
          <w:lang w:bidi="ar-SA"/>
        </w:rPr>
        <w:fldChar w:fldCharType="separate"/>
      </w:r>
      <w:r w:rsidR="00092527">
        <w:rPr>
          <w:rFonts w:eastAsia="MS Mincho"/>
          <w:b/>
          <w:i w:val="0"/>
          <w:noProof/>
          <w:sz w:val="18"/>
          <w:lang w:bidi="ar-SA"/>
        </w:rPr>
        <w:t>6</w:t>
      </w:r>
      <w:r w:rsidR="00B82C96" w:rsidRPr="00496C85">
        <w:rPr>
          <w:rFonts w:eastAsia="MS Mincho"/>
          <w:b/>
          <w:i w:val="0"/>
          <w:sz w:val="18"/>
          <w:lang w:bidi="ar-SA"/>
        </w:rPr>
        <w:fldChar w:fldCharType="end"/>
      </w:r>
      <w:bookmarkEnd w:id="36"/>
      <w:r w:rsidRPr="00496C85">
        <w:rPr>
          <w:rFonts w:eastAsia="MS Mincho"/>
          <w:b/>
          <w:i w:val="0"/>
          <w:sz w:val="18"/>
          <w:lang w:bidi="ar-SA"/>
        </w:rPr>
        <w:t>:  FE Estimation Results for Net Sales (natural logarithm)</w:t>
      </w:r>
      <w:bookmarkEnd w:id="37"/>
      <w:bookmarkEnd w:id="38"/>
    </w:p>
    <w:tbl>
      <w:tblPr>
        <w:tblW w:w="12795" w:type="dxa"/>
        <w:jc w:val="center"/>
        <w:tblInd w:w="93" w:type="dxa"/>
        <w:tblLayout w:type="fixed"/>
        <w:tblLook w:val="04A0" w:firstRow="1" w:lastRow="0" w:firstColumn="1" w:lastColumn="0" w:noHBand="0" w:noVBand="1"/>
      </w:tblPr>
      <w:tblGrid>
        <w:gridCol w:w="2805"/>
        <w:gridCol w:w="1613"/>
        <w:gridCol w:w="1058"/>
        <w:gridCol w:w="1199"/>
        <w:gridCol w:w="1080"/>
        <w:gridCol w:w="1080"/>
        <w:gridCol w:w="270"/>
        <w:gridCol w:w="1110"/>
        <w:gridCol w:w="1290"/>
        <w:gridCol w:w="1290"/>
      </w:tblGrid>
      <w:tr w:rsidR="002F1FB4" w:rsidRPr="007020E4" w:rsidTr="003E7A9C">
        <w:trPr>
          <w:trHeight w:val="315"/>
          <w:jc w:val="center"/>
        </w:trPr>
        <w:tc>
          <w:tcPr>
            <w:tcW w:w="2805" w:type="dxa"/>
            <w:tcBorders>
              <w:top w:val="single" w:sz="4" w:space="0" w:color="auto"/>
              <w:left w:val="single" w:sz="4" w:space="0" w:color="auto"/>
              <w:bottom w:val="single" w:sz="4" w:space="0" w:color="auto"/>
              <w:right w:val="nil"/>
            </w:tcBorders>
            <w:shd w:val="clear" w:color="000000" w:fill="FFFFFF"/>
            <w:vAlign w:val="center"/>
            <w:hideMark/>
          </w:tcPr>
          <w:p w:rsidR="002F1FB4" w:rsidRPr="00F53F24" w:rsidRDefault="002F1FB4" w:rsidP="003E7A9C">
            <w:pPr>
              <w:spacing w:after="120"/>
              <w:jc w:val="both"/>
              <w:rPr>
                <w:b/>
              </w:rPr>
            </w:pPr>
            <w:r w:rsidRPr="00F53F24">
              <w:rPr>
                <w:b/>
              </w:rPr>
              <w:t> </w:t>
            </w:r>
            <m:oMath>
              <m:sSub>
                <m:sSubPr>
                  <m:ctrlPr>
                    <w:rPr>
                      <w:rFonts w:ascii="Cambria Math" w:hAnsi="Cambria Math"/>
                      <w:b/>
                      <w:i/>
                    </w:rPr>
                  </m:ctrlPr>
                </m:sSubPr>
                <m:e>
                  <m:r>
                    <m:rPr>
                      <m:sty m:val="b"/>
                    </m:rPr>
                    <w:rPr>
                      <w:rFonts w:ascii="Cambria Math" w:hAnsi="Cambria Math"/>
                    </w:rPr>
                    <m:t>ln⁡</m:t>
                  </m:r>
                  <m:r>
                    <m:rPr>
                      <m:sty m:val="bi"/>
                    </m:rPr>
                    <w:rPr>
                      <w:rFonts w:ascii="Cambria Math" w:hAnsi="Cambria Math"/>
                    </w:rPr>
                    <m:t>(Net Sales)</m:t>
                  </m:r>
                </m:e>
                <m:sub>
                  <m:r>
                    <m:rPr>
                      <m:sty m:val="bi"/>
                    </m:rPr>
                    <w:rPr>
                      <w:rFonts w:ascii="Cambria Math" w:hAnsi="Cambria Math"/>
                    </w:rPr>
                    <m:t>it</m:t>
                  </m:r>
                </m:sub>
              </m:sSub>
            </m:oMath>
          </w:p>
        </w:tc>
        <w:tc>
          <w:tcPr>
            <w:tcW w:w="1613" w:type="dxa"/>
            <w:tcBorders>
              <w:top w:val="single" w:sz="4" w:space="0" w:color="auto"/>
              <w:left w:val="nil"/>
              <w:bottom w:val="single" w:sz="4" w:space="0" w:color="auto"/>
              <w:right w:val="nil"/>
            </w:tcBorders>
            <w:shd w:val="clear" w:color="000000" w:fill="FFFFFF"/>
            <w:vAlign w:val="center"/>
            <w:hideMark/>
          </w:tcPr>
          <w:p w:rsidR="002F1FB4" w:rsidRPr="007020E4" w:rsidRDefault="002F1FB4" w:rsidP="003E7A9C">
            <w:pPr>
              <w:spacing w:after="120"/>
              <w:jc w:val="center"/>
              <w:rPr>
                <w:b/>
                <w:bCs/>
              </w:rPr>
            </w:pPr>
            <w:r w:rsidRPr="007020E4">
              <w:rPr>
                <w:b/>
                <w:bCs/>
              </w:rPr>
              <w:t>(1)</w:t>
            </w:r>
          </w:p>
        </w:tc>
        <w:tc>
          <w:tcPr>
            <w:tcW w:w="1058" w:type="dxa"/>
            <w:tcBorders>
              <w:top w:val="single" w:sz="4" w:space="0" w:color="auto"/>
              <w:left w:val="nil"/>
              <w:bottom w:val="single" w:sz="4" w:space="0" w:color="auto"/>
              <w:right w:val="nil"/>
            </w:tcBorders>
            <w:shd w:val="clear" w:color="000000" w:fill="FFFFFF"/>
            <w:vAlign w:val="center"/>
            <w:hideMark/>
          </w:tcPr>
          <w:p w:rsidR="002F1FB4" w:rsidRPr="007020E4" w:rsidRDefault="002F1FB4" w:rsidP="003E7A9C">
            <w:pPr>
              <w:spacing w:after="120"/>
              <w:jc w:val="center"/>
              <w:rPr>
                <w:b/>
                <w:bCs/>
              </w:rPr>
            </w:pPr>
            <w:r w:rsidRPr="007020E4">
              <w:rPr>
                <w:b/>
                <w:bCs/>
              </w:rPr>
              <w:t>(2)</w:t>
            </w:r>
          </w:p>
        </w:tc>
        <w:tc>
          <w:tcPr>
            <w:tcW w:w="1199" w:type="dxa"/>
            <w:tcBorders>
              <w:top w:val="single" w:sz="4" w:space="0" w:color="auto"/>
              <w:left w:val="nil"/>
              <w:bottom w:val="single" w:sz="4" w:space="0" w:color="auto"/>
              <w:right w:val="nil"/>
            </w:tcBorders>
            <w:shd w:val="clear" w:color="000000" w:fill="FFFFFF"/>
            <w:vAlign w:val="center"/>
            <w:hideMark/>
          </w:tcPr>
          <w:p w:rsidR="002F1FB4" w:rsidRPr="007020E4" w:rsidRDefault="002F1FB4" w:rsidP="003E7A9C">
            <w:pPr>
              <w:spacing w:after="120"/>
              <w:jc w:val="center"/>
              <w:rPr>
                <w:b/>
                <w:bCs/>
              </w:rPr>
            </w:pPr>
            <w:r w:rsidRPr="007020E4">
              <w:rPr>
                <w:b/>
                <w:bCs/>
              </w:rPr>
              <w:t>(3)</w:t>
            </w:r>
          </w:p>
        </w:tc>
        <w:tc>
          <w:tcPr>
            <w:tcW w:w="1080" w:type="dxa"/>
            <w:tcBorders>
              <w:top w:val="single" w:sz="4" w:space="0" w:color="auto"/>
              <w:left w:val="nil"/>
              <w:bottom w:val="single" w:sz="4" w:space="0" w:color="auto"/>
              <w:right w:val="nil"/>
            </w:tcBorders>
            <w:shd w:val="clear" w:color="000000" w:fill="FFFFFF"/>
            <w:vAlign w:val="center"/>
            <w:hideMark/>
          </w:tcPr>
          <w:p w:rsidR="002F1FB4" w:rsidRPr="007020E4" w:rsidRDefault="002F1FB4" w:rsidP="003E7A9C">
            <w:pPr>
              <w:spacing w:after="120"/>
              <w:jc w:val="center"/>
              <w:rPr>
                <w:b/>
                <w:bCs/>
              </w:rPr>
            </w:pPr>
            <w:r w:rsidRPr="007020E4">
              <w:rPr>
                <w:b/>
                <w:bCs/>
              </w:rPr>
              <w:t>(4)</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2F1FB4" w:rsidRPr="007020E4" w:rsidRDefault="002F1FB4" w:rsidP="003E7A9C">
            <w:pPr>
              <w:spacing w:after="120"/>
              <w:jc w:val="center"/>
              <w:rPr>
                <w:b/>
                <w:bCs/>
              </w:rPr>
            </w:pPr>
            <w:r w:rsidRPr="007020E4">
              <w:rPr>
                <w:b/>
                <w:bCs/>
              </w:rPr>
              <w:t>(5)</w:t>
            </w:r>
          </w:p>
        </w:tc>
        <w:tc>
          <w:tcPr>
            <w:tcW w:w="270" w:type="dxa"/>
            <w:tcBorders>
              <w:top w:val="single" w:sz="4" w:space="0" w:color="auto"/>
              <w:left w:val="nil"/>
              <w:bottom w:val="single" w:sz="4" w:space="0" w:color="auto"/>
              <w:right w:val="nil"/>
            </w:tcBorders>
            <w:shd w:val="clear" w:color="auto" w:fill="auto"/>
            <w:noWrap/>
            <w:vAlign w:val="bottom"/>
            <w:hideMark/>
          </w:tcPr>
          <w:p w:rsidR="002F1FB4" w:rsidRPr="007020E4" w:rsidRDefault="002F1FB4" w:rsidP="003E7A9C">
            <w:pPr>
              <w:spacing w:after="120"/>
              <w:rPr>
                <w:color w:val="000000"/>
              </w:rPr>
            </w:pPr>
          </w:p>
        </w:tc>
        <w:tc>
          <w:tcPr>
            <w:tcW w:w="1110" w:type="dxa"/>
            <w:tcBorders>
              <w:top w:val="single" w:sz="4" w:space="0" w:color="auto"/>
              <w:left w:val="single" w:sz="4" w:space="0" w:color="auto"/>
              <w:bottom w:val="single" w:sz="4" w:space="0" w:color="auto"/>
              <w:right w:val="nil"/>
            </w:tcBorders>
            <w:shd w:val="clear" w:color="000000" w:fill="FFFFFF"/>
            <w:vAlign w:val="center"/>
            <w:hideMark/>
          </w:tcPr>
          <w:p w:rsidR="002F1FB4" w:rsidRPr="007020E4" w:rsidRDefault="002F1FB4" w:rsidP="003E7A9C">
            <w:pPr>
              <w:spacing w:after="120"/>
              <w:jc w:val="center"/>
              <w:rPr>
                <w:b/>
                <w:bCs/>
              </w:rPr>
            </w:pPr>
            <w:r w:rsidRPr="007020E4">
              <w:rPr>
                <w:b/>
                <w:bCs/>
              </w:rPr>
              <w:t>(</w:t>
            </w:r>
            <w:r>
              <w:rPr>
                <w:b/>
                <w:bCs/>
              </w:rPr>
              <w:t>6</w:t>
            </w:r>
            <w:r w:rsidRPr="007020E4">
              <w:rPr>
                <w:b/>
                <w:bCs/>
              </w:rPr>
              <w:t>)</w:t>
            </w:r>
          </w:p>
        </w:tc>
        <w:tc>
          <w:tcPr>
            <w:tcW w:w="1290" w:type="dxa"/>
            <w:tcBorders>
              <w:top w:val="single" w:sz="4" w:space="0" w:color="auto"/>
              <w:left w:val="nil"/>
              <w:bottom w:val="single" w:sz="4" w:space="0" w:color="auto"/>
              <w:right w:val="nil"/>
            </w:tcBorders>
            <w:shd w:val="clear" w:color="000000" w:fill="FFFFFF"/>
            <w:vAlign w:val="center"/>
            <w:hideMark/>
          </w:tcPr>
          <w:p w:rsidR="002F1FB4" w:rsidRPr="007020E4" w:rsidRDefault="002F1FB4" w:rsidP="003E7A9C">
            <w:pPr>
              <w:spacing w:after="120"/>
              <w:jc w:val="center"/>
              <w:rPr>
                <w:b/>
                <w:bCs/>
              </w:rPr>
            </w:pPr>
            <w:r w:rsidRPr="007020E4">
              <w:rPr>
                <w:b/>
                <w:bCs/>
              </w:rPr>
              <w:t>(</w:t>
            </w:r>
            <w:r>
              <w:rPr>
                <w:b/>
                <w:bCs/>
              </w:rPr>
              <w:t>7</w:t>
            </w:r>
            <w:r w:rsidRPr="007020E4">
              <w:rPr>
                <w:b/>
                <w:bCs/>
              </w:rPr>
              <w:t>)</w:t>
            </w:r>
          </w:p>
        </w:tc>
        <w:tc>
          <w:tcPr>
            <w:tcW w:w="1290" w:type="dxa"/>
            <w:tcBorders>
              <w:top w:val="single" w:sz="4" w:space="0" w:color="auto"/>
              <w:left w:val="nil"/>
              <w:bottom w:val="single" w:sz="4" w:space="0" w:color="auto"/>
              <w:right w:val="single" w:sz="4" w:space="0" w:color="auto"/>
            </w:tcBorders>
            <w:shd w:val="clear" w:color="000000" w:fill="FFFFFF"/>
            <w:vAlign w:val="center"/>
            <w:hideMark/>
          </w:tcPr>
          <w:p w:rsidR="002F1FB4" w:rsidRPr="007020E4" w:rsidRDefault="002F1FB4" w:rsidP="003E7A9C">
            <w:pPr>
              <w:spacing w:after="120"/>
              <w:jc w:val="center"/>
              <w:rPr>
                <w:b/>
                <w:bCs/>
              </w:rPr>
            </w:pPr>
            <w:r w:rsidRPr="007020E4">
              <w:rPr>
                <w:b/>
                <w:bCs/>
              </w:rPr>
              <w:t>(</w:t>
            </w:r>
            <w:r>
              <w:rPr>
                <w:b/>
                <w:bCs/>
              </w:rPr>
              <w:t>8</w:t>
            </w:r>
            <w:r w:rsidRPr="007020E4">
              <w:rPr>
                <w:b/>
                <w:bCs/>
              </w:rPr>
              <w:t>)</w:t>
            </w:r>
          </w:p>
        </w:tc>
      </w:tr>
      <w:tr w:rsidR="002F1FB4" w:rsidRPr="007020E4" w:rsidTr="003E7A9C">
        <w:trPr>
          <w:trHeight w:val="315"/>
          <w:jc w:val="center"/>
        </w:trPr>
        <w:tc>
          <w:tcPr>
            <w:tcW w:w="2805" w:type="dxa"/>
            <w:tcBorders>
              <w:top w:val="single" w:sz="4" w:space="0" w:color="auto"/>
              <w:left w:val="single" w:sz="4" w:space="0" w:color="auto"/>
              <w:bottom w:val="nil"/>
              <w:right w:val="nil"/>
            </w:tcBorders>
            <w:shd w:val="clear" w:color="000000" w:fill="FFFFFF"/>
            <w:vAlign w:val="center"/>
            <w:hideMark/>
          </w:tcPr>
          <w:p w:rsidR="002F1FB4" w:rsidRPr="007020E4" w:rsidRDefault="002F1FB4" w:rsidP="003E7A9C">
            <m:oMathPara>
              <m:oMathParaPr>
                <m:jc m:val="left"/>
              </m:oMathParaPr>
              <m:oMath>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613" w:type="dxa"/>
            <w:tcBorders>
              <w:top w:val="single" w:sz="4" w:space="0" w:color="auto"/>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single" w:sz="4" w:space="0" w:color="auto"/>
              <w:left w:val="nil"/>
              <w:bottom w:val="nil"/>
              <w:right w:val="nil"/>
            </w:tcBorders>
            <w:shd w:val="clear" w:color="000000" w:fill="FFFFFF"/>
            <w:noWrap/>
            <w:vAlign w:val="center"/>
            <w:hideMark/>
          </w:tcPr>
          <w:p w:rsidR="002F1FB4" w:rsidRPr="007020E4" w:rsidRDefault="002F1FB4" w:rsidP="003E7A9C">
            <w:pPr>
              <w:jc w:val="center"/>
            </w:pPr>
            <w:r w:rsidRPr="007020E4">
              <w:t>0.964***</w:t>
            </w:r>
          </w:p>
        </w:tc>
        <w:tc>
          <w:tcPr>
            <w:tcW w:w="1199" w:type="dxa"/>
            <w:tcBorders>
              <w:top w:val="single" w:sz="4" w:space="0" w:color="auto"/>
              <w:left w:val="nil"/>
              <w:bottom w:val="nil"/>
              <w:right w:val="nil"/>
            </w:tcBorders>
            <w:shd w:val="clear" w:color="000000" w:fill="FFFFFF"/>
            <w:noWrap/>
            <w:vAlign w:val="center"/>
            <w:hideMark/>
          </w:tcPr>
          <w:p w:rsidR="002F1FB4" w:rsidRPr="007020E4" w:rsidRDefault="002F1FB4" w:rsidP="003E7A9C">
            <w:pPr>
              <w:jc w:val="center"/>
            </w:pPr>
            <w:r w:rsidRPr="007020E4">
              <w:t>0.962***</w:t>
            </w:r>
          </w:p>
        </w:tc>
        <w:tc>
          <w:tcPr>
            <w:tcW w:w="1080" w:type="dxa"/>
            <w:tcBorders>
              <w:top w:val="single" w:sz="4" w:space="0" w:color="auto"/>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single" w:sz="4" w:space="0" w:color="auto"/>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0.967***</w:t>
            </w:r>
          </w:p>
        </w:tc>
        <w:tc>
          <w:tcPr>
            <w:tcW w:w="270" w:type="dxa"/>
            <w:tcBorders>
              <w:top w:val="single" w:sz="4" w:space="0" w:color="auto"/>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single" w:sz="4" w:space="0" w:color="auto"/>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0.968***</w:t>
            </w:r>
          </w:p>
        </w:tc>
        <w:tc>
          <w:tcPr>
            <w:tcW w:w="1290" w:type="dxa"/>
            <w:tcBorders>
              <w:top w:val="single" w:sz="4" w:space="0" w:color="auto"/>
              <w:left w:val="nil"/>
              <w:bottom w:val="nil"/>
              <w:right w:val="nil"/>
            </w:tcBorders>
            <w:shd w:val="clear" w:color="000000" w:fill="FFFFFF"/>
            <w:noWrap/>
            <w:vAlign w:val="center"/>
            <w:hideMark/>
          </w:tcPr>
          <w:p w:rsidR="002F1FB4" w:rsidRPr="007020E4" w:rsidRDefault="002F1FB4" w:rsidP="003E7A9C">
            <w:pPr>
              <w:jc w:val="center"/>
            </w:pPr>
            <w:r w:rsidRPr="007020E4">
              <w:t>0.961***</w:t>
            </w:r>
          </w:p>
        </w:tc>
        <w:tc>
          <w:tcPr>
            <w:tcW w:w="1290" w:type="dxa"/>
            <w:tcBorders>
              <w:top w:val="single" w:sz="4" w:space="0" w:color="auto"/>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0.968***</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2F1FB4" w:rsidP="003E7A9C">
            <w:r w:rsidRPr="007020E4">
              <w:t> </w:t>
            </w:r>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(0.008)</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(0.009)</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(0.008)</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(0.009)</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(0.009)</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(0.008)</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092527" w:rsidP="003E7A9C">
            <m:oMathPara>
              <m:oMathParaPr>
                <m:jc m:val="left"/>
              </m:oMathParaPr>
              <m:oMath>
                <m:sSub>
                  <m:sSubPr>
                    <m:ctrlPr>
                      <w:rPr>
                        <w:rFonts w:ascii="Cambria Math" w:eastAsiaTheme="minorEastAsia" w:hAnsi="Cambria Math"/>
                        <w:i/>
                      </w:rPr>
                    </m:ctrlPr>
                  </m:sSubPr>
                  <m:e>
                    <m:r>
                      <w:rPr>
                        <w:rFonts w:ascii="Cambria Math" w:eastAsiaTheme="minorEastAsia" w:hAnsi="Cambria Math"/>
                      </w:rPr>
                      <m:t>UM</m:t>
                    </m:r>
                  </m:e>
                  <m:sub>
                    <m:r>
                      <w:rPr>
                        <w:rFonts w:ascii="Cambria Math" w:eastAsiaTheme="minorEastAsia" w:hAnsi="Cambria Math"/>
                      </w:rPr>
                      <m:t>it</m:t>
                    </m:r>
                  </m:sub>
                </m:sSub>
              </m:oMath>
            </m:oMathPara>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0.713***</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0.022**</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0.057**</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2F1FB4" w:rsidP="003E7A9C">
            <w:r w:rsidRPr="007020E4">
              <w:t> </w:t>
            </w:r>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(0.040)</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(0.010)</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(0.022)</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092527" w:rsidP="003E7A9C">
            <m:oMathPara>
              <m:oMathParaPr>
                <m:jc m:val="left"/>
              </m:oMathParaPr>
              <m:oMath>
                <m:sSub>
                  <m:sSubPr>
                    <m:ctrlPr>
                      <w:rPr>
                        <w:rFonts w:ascii="Cambria Math" w:hAnsi="Cambria Math"/>
                        <w:i/>
                      </w:rPr>
                    </m:ctrlPr>
                  </m:sSubPr>
                  <m:e>
                    <m:r>
                      <w:rPr>
                        <w:rFonts w:ascii="Cambria Math" w:hAnsi="Cambria Math"/>
                      </w:rPr>
                      <m:t>Year(UM)</m:t>
                    </m:r>
                  </m:e>
                  <m:sub>
                    <m:r>
                      <w:rPr>
                        <w:rFonts w:ascii="Cambria Math" w:hAnsi="Cambria Math"/>
                      </w:rPr>
                      <m:t>it</m:t>
                    </m:r>
                  </m:sub>
                </m:sSub>
              </m:oMath>
            </m:oMathPara>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0.002**</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0.006***</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2F1FB4" w:rsidP="003E7A9C">
            <w:r w:rsidRPr="007020E4">
              <w:t> </w:t>
            </w:r>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(0.001)</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(0.002)</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092527" w:rsidP="003E7A9C">
            <m:oMathPara>
              <m:oMathParaPr>
                <m:jc m:val="left"/>
              </m:oMathParaPr>
              <m:oMath>
                <m:sSub>
                  <m:sSubPr>
                    <m:ctrlPr>
                      <w:rPr>
                        <w:rFonts w:ascii="Cambria Math" w:eastAsiaTheme="minorEastAsia" w:hAnsi="Cambria Math"/>
                        <w:i/>
                      </w:rPr>
                    </m:ctrlPr>
                  </m:sSubPr>
                  <m:e>
                    <m:r>
                      <w:rPr>
                        <w:rFonts w:ascii="Cambria Math" w:eastAsiaTheme="minorEastAsia" w:hAnsi="Cambria Math"/>
                      </w:rPr>
                      <m:t>Total(UM)</m:t>
                    </m:r>
                  </m:e>
                  <m:sub>
                    <m:r>
                      <w:rPr>
                        <w:rFonts w:ascii="Cambria Math" w:eastAsiaTheme="minorEastAsia" w:hAnsi="Cambria Math"/>
                      </w:rPr>
                      <m:t>it</m:t>
                    </m:r>
                  </m:sub>
                </m:sSub>
              </m:oMath>
            </m:oMathPara>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0.095***</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0.002</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0.020***</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2F1FB4" w:rsidP="003E7A9C">
            <w:r w:rsidRPr="007020E4">
              <w:t> </w:t>
            </w:r>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(0.027)</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(0.002)</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(0.007)</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092527" w:rsidP="003E7A9C">
            <m:oMathPara>
              <m:oMathParaPr>
                <m:jc m:val="left"/>
              </m:oMathParaPr>
              <m:oMath>
                <m:sSub>
                  <m:sSubPr>
                    <m:ctrlPr>
                      <w:rPr>
                        <w:rFonts w:ascii="Cambria Math" w:hAnsi="Cambria Math"/>
                        <w:i/>
                      </w:rPr>
                    </m:ctrlPr>
                  </m:sSubPr>
                  <m:e>
                    <m:r>
                      <w:rPr>
                        <w:rFonts w:ascii="Cambria Math" w:hAnsi="Cambria Math"/>
                      </w:rPr>
                      <m:t>UM</m:t>
                    </m:r>
                  </m:e>
                  <m:sub>
                    <m:r>
                      <w:rPr>
                        <w:rFonts w:ascii="Cambria Math" w:hAnsi="Cambria Math"/>
                      </w:rPr>
                      <m:t>it</m:t>
                    </m:r>
                  </m:sub>
                </m:sSub>
                <m:r>
                  <w:rPr>
                    <w:rFonts w:ascii="Cambria Math"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-0.008**</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2F1FB4" w:rsidP="003E7A9C">
            <w:r w:rsidRPr="007020E4">
              <w:t> </w:t>
            </w:r>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(0.004)</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092527" w:rsidP="003E7A9C">
            <m:oMathPara>
              <m:oMathParaPr>
                <m:jc m:val="left"/>
              </m:oMathParaPr>
              <m:oMath>
                <m:sSub>
                  <m:sSubPr>
                    <m:ctrlPr>
                      <w:rPr>
                        <w:rFonts w:ascii="Cambria Math" w:hAnsi="Cambria Math"/>
                        <w:i/>
                      </w:rPr>
                    </m:ctrlPr>
                  </m:sSubPr>
                  <m:e>
                    <m:r>
                      <w:rPr>
                        <w:rFonts w:ascii="Cambria Math" w:hAnsi="Cambria Math"/>
                      </w:rPr>
                      <m:t>Year(UM)</m:t>
                    </m:r>
                  </m:e>
                  <m:sub>
                    <m:r>
                      <w:rPr>
                        <w:rFonts w:ascii="Cambria Math" w:hAnsi="Cambria Math"/>
                      </w:rPr>
                      <m:t>it</m:t>
                    </m:r>
                  </m:sub>
                </m:sSub>
                <m:r>
                  <w:rPr>
                    <w:rFonts w:ascii="Cambria Math"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-0.001**</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2F1FB4" w:rsidP="003E7A9C">
            <w:r w:rsidRPr="007020E4">
              <w:t> </w:t>
            </w:r>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(0.000)</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092527" w:rsidP="003E7A9C">
            <m:oMathPara>
              <m:oMathParaPr>
                <m:jc m:val="left"/>
              </m:oMathParaPr>
              <m:oMath>
                <m:sSub>
                  <m:sSubPr>
                    <m:ctrlPr>
                      <w:rPr>
                        <w:rFonts w:ascii="Cambria Math" w:hAnsi="Cambria Math"/>
                        <w:i/>
                      </w:rPr>
                    </m:ctrlPr>
                  </m:sSubPr>
                  <m:e>
                    <m:r>
                      <w:rPr>
                        <w:rFonts w:ascii="Cambria Math" w:hAnsi="Cambria Math"/>
                      </w:rPr>
                      <m:t>Total(UM)</m:t>
                    </m:r>
                  </m:e>
                  <m:sub>
                    <m:r>
                      <w:rPr>
                        <w:rFonts w:ascii="Cambria Math" w:hAnsi="Cambria Math"/>
                      </w:rPr>
                      <m:t>it</m:t>
                    </m:r>
                  </m:sub>
                </m:sSub>
                <m:r>
                  <w:rPr>
                    <w:rFonts w:ascii="Cambria Math"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-0.003***</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2F1FB4" w:rsidP="003E7A9C">
            <w:r w:rsidRPr="007020E4">
              <w:t> </w:t>
            </w:r>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 </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 </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(0.001)</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2F1FB4" w:rsidP="003E7A9C">
            <w:r w:rsidRPr="007020E4">
              <w:t>Constant</w:t>
            </w:r>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3.945***</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0.410***</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0.430***</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4.233***</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0.408***</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0.393***</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0.437***</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0.400***</w:t>
            </w:r>
          </w:p>
        </w:tc>
      </w:tr>
      <w:tr w:rsidR="002F1FB4" w:rsidRPr="007020E4" w:rsidTr="003E7A9C">
        <w:trPr>
          <w:trHeight w:val="315"/>
          <w:jc w:val="center"/>
        </w:trPr>
        <w:tc>
          <w:tcPr>
            <w:tcW w:w="2805" w:type="dxa"/>
            <w:tcBorders>
              <w:top w:val="nil"/>
              <w:left w:val="single" w:sz="4" w:space="0" w:color="auto"/>
              <w:right w:val="nil"/>
            </w:tcBorders>
            <w:shd w:val="clear" w:color="000000" w:fill="FFFFFF"/>
            <w:vAlign w:val="center"/>
            <w:hideMark/>
          </w:tcPr>
          <w:p w:rsidR="002F1FB4" w:rsidRPr="007020E4" w:rsidRDefault="002F1FB4" w:rsidP="003E7A9C">
            <w:r w:rsidRPr="007020E4">
              <w:t> </w:t>
            </w:r>
          </w:p>
        </w:tc>
        <w:tc>
          <w:tcPr>
            <w:tcW w:w="1613" w:type="dxa"/>
            <w:tcBorders>
              <w:top w:val="nil"/>
              <w:left w:val="nil"/>
              <w:right w:val="nil"/>
            </w:tcBorders>
            <w:shd w:val="clear" w:color="000000" w:fill="FFFFFF"/>
            <w:noWrap/>
            <w:vAlign w:val="center"/>
            <w:hideMark/>
          </w:tcPr>
          <w:p w:rsidR="002F1FB4" w:rsidRPr="007020E4" w:rsidRDefault="002F1FB4" w:rsidP="003E7A9C">
            <w:pPr>
              <w:jc w:val="center"/>
            </w:pPr>
            <w:r w:rsidRPr="007020E4">
              <w:t>(0.023)</w:t>
            </w:r>
          </w:p>
        </w:tc>
        <w:tc>
          <w:tcPr>
            <w:tcW w:w="1058" w:type="dxa"/>
            <w:tcBorders>
              <w:top w:val="nil"/>
              <w:left w:val="nil"/>
              <w:right w:val="nil"/>
            </w:tcBorders>
            <w:shd w:val="clear" w:color="000000" w:fill="FFFFFF"/>
            <w:noWrap/>
            <w:vAlign w:val="center"/>
            <w:hideMark/>
          </w:tcPr>
          <w:p w:rsidR="002F1FB4" w:rsidRPr="007020E4" w:rsidRDefault="002F1FB4" w:rsidP="003E7A9C">
            <w:pPr>
              <w:jc w:val="center"/>
            </w:pPr>
            <w:r w:rsidRPr="007020E4">
              <w:t>(0.032)</w:t>
            </w:r>
          </w:p>
        </w:tc>
        <w:tc>
          <w:tcPr>
            <w:tcW w:w="1199" w:type="dxa"/>
            <w:tcBorders>
              <w:top w:val="nil"/>
              <w:left w:val="nil"/>
              <w:right w:val="nil"/>
            </w:tcBorders>
            <w:shd w:val="clear" w:color="000000" w:fill="FFFFFF"/>
            <w:noWrap/>
            <w:vAlign w:val="center"/>
            <w:hideMark/>
          </w:tcPr>
          <w:p w:rsidR="002F1FB4" w:rsidRPr="007020E4" w:rsidRDefault="002F1FB4" w:rsidP="003E7A9C">
            <w:pPr>
              <w:jc w:val="center"/>
            </w:pPr>
            <w:r w:rsidRPr="007020E4">
              <w:t>(0.037)</w:t>
            </w:r>
          </w:p>
        </w:tc>
        <w:tc>
          <w:tcPr>
            <w:tcW w:w="1080" w:type="dxa"/>
            <w:tcBorders>
              <w:top w:val="nil"/>
              <w:left w:val="nil"/>
              <w:right w:val="nil"/>
            </w:tcBorders>
            <w:shd w:val="clear" w:color="000000" w:fill="FFFFFF"/>
            <w:noWrap/>
            <w:vAlign w:val="center"/>
            <w:hideMark/>
          </w:tcPr>
          <w:p w:rsidR="002F1FB4" w:rsidRPr="007020E4" w:rsidRDefault="002F1FB4" w:rsidP="003E7A9C">
            <w:pPr>
              <w:jc w:val="center"/>
            </w:pPr>
            <w:r w:rsidRPr="007020E4">
              <w:t>(0.033)</w:t>
            </w:r>
          </w:p>
        </w:tc>
        <w:tc>
          <w:tcPr>
            <w:tcW w:w="1080" w:type="dxa"/>
            <w:tcBorders>
              <w:top w:val="nil"/>
              <w:left w:val="nil"/>
              <w:right w:val="single" w:sz="4" w:space="0" w:color="auto"/>
            </w:tcBorders>
            <w:shd w:val="clear" w:color="000000" w:fill="FFFFFF"/>
            <w:noWrap/>
            <w:vAlign w:val="center"/>
            <w:hideMark/>
          </w:tcPr>
          <w:p w:rsidR="002F1FB4" w:rsidRPr="007020E4" w:rsidRDefault="002F1FB4" w:rsidP="003E7A9C">
            <w:pPr>
              <w:jc w:val="center"/>
            </w:pPr>
            <w:r w:rsidRPr="007020E4">
              <w:t>(0.032)</w:t>
            </w:r>
          </w:p>
        </w:tc>
        <w:tc>
          <w:tcPr>
            <w:tcW w:w="270" w:type="dxa"/>
            <w:tcBorders>
              <w:top w:val="nil"/>
              <w:left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right w:val="nil"/>
            </w:tcBorders>
            <w:shd w:val="clear" w:color="000000" w:fill="FFFFFF"/>
            <w:noWrap/>
            <w:vAlign w:val="center"/>
            <w:hideMark/>
          </w:tcPr>
          <w:p w:rsidR="002F1FB4" w:rsidRPr="007020E4" w:rsidRDefault="002F1FB4" w:rsidP="003E7A9C">
            <w:pPr>
              <w:jc w:val="center"/>
            </w:pPr>
            <w:r w:rsidRPr="007020E4">
              <w:t>(0.035)</w:t>
            </w:r>
          </w:p>
        </w:tc>
        <w:tc>
          <w:tcPr>
            <w:tcW w:w="1290" w:type="dxa"/>
            <w:tcBorders>
              <w:top w:val="nil"/>
              <w:left w:val="nil"/>
              <w:right w:val="nil"/>
            </w:tcBorders>
            <w:shd w:val="clear" w:color="000000" w:fill="FFFFFF"/>
            <w:noWrap/>
            <w:vAlign w:val="center"/>
            <w:hideMark/>
          </w:tcPr>
          <w:p w:rsidR="002F1FB4" w:rsidRPr="007020E4" w:rsidRDefault="002F1FB4" w:rsidP="003E7A9C">
            <w:pPr>
              <w:jc w:val="center"/>
            </w:pPr>
            <w:r w:rsidRPr="007020E4">
              <w:t>(0.037)</w:t>
            </w:r>
          </w:p>
        </w:tc>
        <w:tc>
          <w:tcPr>
            <w:tcW w:w="1290" w:type="dxa"/>
            <w:tcBorders>
              <w:top w:val="nil"/>
              <w:left w:val="nil"/>
              <w:right w:val="single" w:sz="4" w:space="0" w:color="auto"/>
            </w:tcBorders>
            <w:shd w:val="clear" w:color="000000" w:fill="FFFFFF"/>
            <w:noWrap/>
            <w:vAlign w:val="center"/>
            <w:hideMark/>
          </w:tcPr>
          <w:p w:rsidR="002F1FB4" w:rsidRPr="007020E4" w:rsidRDefault="002F1FB4" w:rsidP="003E7A9C">
            <w:pPr>
              <w:jc w:val="center"/>
            </w:pPr>
            <w:r w:rsidRPr="007020E4">
              <w:t>(0.032)</w:t>
            </w:r>
          </w:p>
        </w:tc>
      </w:tr>
      <w:tr w:rsidR="002F1FB4" w:rsidRPr="007020E4" w:rsidTr="003E7A9C">
        <w:trPr>
          <w:trHeight w:val="315"/>
          <w:jc w:val="center"/>
        </w:trPr>
        <w:tc>
          <w:tcPr>
            <w:tcW w:w="2805" w:type="dxa"/>
            <w:tcBorders>
              <w:top w:val="single" w:sz="4" w:space="0" w:color="auto"/>
              <w:left w:val="single" w:sz="4" w:space="0" w:color="auto"/>
              <w:bottom w:val="nil"/>
              <w:right w:val="nil"/>
            </w:tcBorders>
            <w:shd w:val="clear" w:color="000000" w:fill="FFFFFF"/>
            <w:vAlign w:val="center"/>
            <w:hideMark/>
          </w:tcPr>
          <w:p w:rsidR="002F1FB4" w:rsidRPr="007020E4" w:rsidRDefault="002F1FB4" w:rsidP="003E7A9C">
            <w:r w:rsidRPr="007020E4">
              <w:t>No. of firms</w:t>
            </w:r>
          </w:p>
        </w:tc>
        <w:tc>
          <w:tcPr>
            <w:tcW w:w="1613" w:type="dxa"/>
            <w:tcBorders>
              <w:top w:val="single" w:sz="4" w:space="0" w:color="auto"/>
              <w:left w:val="nil"/>
              <w:bottom w:val="nil"/>
              <w:right w:val="nil"/>
            </w:tcBorders>
            <w:shd w:val="clear" w:color="000000" w:fill="FFFFFF"/>
            <w:noWrap/>
            <w:vAlign w:val="center"/>
            <w:hideMark/>
          </w:tcPr>
          <w:p w:rsidR="002F1FB4" w:rsidRPr="007020E4" w:rsidRDefault="002F1FB4" w:rsidP="003E7A9C">
            <w:pPr>
              <w:jc w:val="center"/>
            </w:pPr>
            <w:r w:rsidRPr="007020E4">
              <w:t>719</w:t>
            </w:r>
          </w:p>
        </w:tc>
        <w:tc>
          <w:tcPr>
            <w:tcW w:w="1058" w:type="dxa"/>
            <w:tcBorders>
              <w:top w:val="single" w:sz="4" w:space="0" w:color="auto"/>
              <w:left w:val="nil"/>
              <w:bottom w:val="nil"/>
              <w:right w:val="nil"/>
            </w:tcBorders>
            <w:shd w:val="clear" w:color="000000" w:fill="FFFFFF"/>
            <w:noWrap/>
            <w:vAlign w:val="center"/>
            <w:hideMark/>
          </w:tcPr>
          <w:p w:rsidR="002F1FB4" w:rsidRPr="007020E4" w:rsidRDefault="002F1FB4" w:rsidP="003E7A9C">
            <w:pPr>
              <w:jc w:val="center"/>
            </w:pPr>
            <w:r w:rsidRPr="007020E4">
              <w:t>719</w:t>
            </w:r>
          </w:p>
        </w:tc>
        <w:tc>
          <w:tcPr>
            <w:tcW w:w="1199" w:type="dxa"/>
            <w:tcBorders>
              <w:top w:val="single" w:sz="4" w:space="0" w:color="auto"/>
              <w:left w:val="nil"/>
              <w:bottom w:val="nil"/>
              <w:right w:val="nil"/>
            </w:tcBorders>
            <w:shd w:val="clear" w:color="000000" w:fill="FFFFFF"/>
            <w:noWrap/>
            <w:vAlign w:val="center"/>
            <w:hideMark/>
          </w:tcPr>
          <w:p w:rsidR="002F1FB4" w:rsidRPr="007020E4" w:rsidRDefault="002F1FB4" w:rsidP="003E7A9C">
            <w:pPr>
              <w:jc w:val="center"/>
            </w:pPr>
            <w:r w:rsidRPr="007020E4">
              <w:t>719</w:t>
            </w:r>
          </w:p>
        </w:tc>
        <w:tc>
          <w:tcPr>
            <w:tcW w:w="1080" w:type="dxa"/>
            <w:tcBorders>
              <w:top w:val="single" w:sz="4" w:space="0" w:color="auto"/>
              <w:left w:val="nil"/>
              <w:bottom w:val="nil"/>
              <w:right w:val="nil"/>
            </w:tcBorders>
            <w:shd w:val="clear" w:color="000000" w:fill="FFFFFF"/>
            <w:noWrap/>
            <w:vAlign w:val="center"/>
            <w:hideMark/>
          </w:tcPr>
          <w:p w:rsidR="002F1FB4" w:rsidRPr="007020E4" w:rsidRDefault="002F1FB4" w:rsidP="003E7A9C">
            <w:pPr>
              <w:jc w:val="center"/>
            </w:pPr>
            <w:r w:rsidRPr="007020E4">
              <w:t>719</w:t>
            </w:r>
          </w:p>
        </w:tc>
        <w:tc>
          <w:tcPr>
            <w:tcW w:w="1080" w:type="dxa"/>
            <w:tcBorders>
              <w:top w:val="single" w:sz="4" w:space="0" w:color="auto"/>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719</w:t>
            </w:r>
          </w:p>
        </w:tc>
        <w:tc>
          <w:tcPr>
            <w:tcW w:w="270" w:type="dxa"/>
            <w:tcBorders>
              <w:top w:val="single" w:sz="4" w:space="0" w:color="auto"/>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single" w:sz="4" w:space="0" w:color="auto"/>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719</w:t>
            </w:r>
          </w:p>
        </w:tc>
        <w:tc>
          <w:tcPr>
            <w:tcW w:w="1290" w:type="dxa"/>
            <w:tcBorders>
              <w:top w:val="single" w:sz="4" w:space="0" w:color="auto"/>
              <w:left w:val="nil"/>
              <w:bottom w:val="nil"/>
              <w:right w:val="nil"/>
            </w:tcBorders>
            <w:shd w:val="clear" w:color="000000" w:fill="FFFFFF"/>
            <w:noWrap/>
            <w:vAlign w:val="center"/>
            <w:hideMark/>
          </w:tcPr>
          <w:p w:rsidR="002F1FB4" w:rsidRPr="007020E4" w:rsidRDefault="002F1FB4" w:rsidP="003E7A9C">
            <w:pPr>
              <w:jc w:val="center"/>
            </w:pPr>
            <w:r w:rsidRPr="007020E4">
              <w:t>719</w:t>
            </w:r>
          </w:p>
        </w:tc>
        <w:tc>
          <w:tcPr>
            <w:tcW w:w="1290" w:type="dxa"/>
            <w:tcBorders>
              <w:top w:val="single" w:sz="4" w:space="0" w:color="auto"/>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719</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2F1FB4" w:rsidP="003E7A9C">
            <w:r w:rsidRPr="007020E4">
              <w:t>Observations</w:t>
            </w:r>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8,000</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8,000</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8,000</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8,000</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8,000</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8,000</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8,000</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8,000</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2F1FB4" w:rsidP="003E7A9C">
            <m:oMathPara>
              <m:oMathParaPr>
                <m:jc m:val="left"/>
              </m:oMathParaPr>
              <m:oMath>
                <m:r>
                  <w:rPr>
                    <w:rFonts w:ascii="Cambria Math" w:hAnsi="Cambria Math"/>
                  </w:rPr>
                  <m:t>F-statistics</m:t>
                </m:r>
              </m:oMath>
            </m:oMathPara>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320.4</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9,189.7</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10,455.8</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12.1</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8,236.8</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7,367.5</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8,553.1</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5,808.9</w:t>
            </w:r>
          </w:p>
        </w:tc>
      </w:tr>
      <w:tr w:rsidR="002F1FB4" w:rsidRPr="007020E4" w:rsidTr="003E7A9C">
        <w:trPr>
          <w:trHeight w:val="315"/>
          <w:jc w:val="center"/>
        </w:trPr>
        <w:tc>
          <w:tcPr>
            <w:tcW w:w="2805" w:type="dxa"/>
            <w:tcBorders>
              <w:top w:val="nil"/>
              <w:left w:val="single" w:sz="4" w:space="0" w:color="auto"/>
              <w:bottom w:val="nil"/>
              <w:right w:val="nil"/>
            </w:tcBorders>
            <w:shd w:val="clear" w:color="000000" w:fill="FFFFFF"/>
            <w:vAlign w:val="center"/>
            <w:hideMark/>
          </w:tcPr>
          <w:p w:rsidR="002F1FB4" w:rsidRPr="007020E4" w:rsidRDefault="00092527" w:rsidP="003E7A9C">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1613"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0.123</w:t>
            </w:r>
          </w:p>
        </w:tc>
        <w:tc>
          <w:tcPr>
            <w:tcW w:w="1058"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0.948</w:t>
            </w:r>
          </w:p>
        </w:tc>
        <w:tc>
          <w:tcPr>
            <w:tcW w:w="1199"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0.948</w:t>
            </w:r>
          </w:p>
        </w:tc>
        <w:tc>
          <w:tcPr>
            <w:tcW w:w="108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0.041</w:t>
            </w:r>
          </w:p>
        </w:tc>
        <w:tc>
          <w:tcPr>
            <w:tcW w:w="108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0.948</w:t>
            </w:r>
          </w:p>
        </w:tc>
        <w:tc>
          <w:tcPr>
            <w:tcW w:w="270" w:type="dxa"/>
            <w:tcBorders>
              <w:top w:val="nil"/>
              <w:left w:val="nil"/>
              <w:bottom w:val="nil"/>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nil"/>
              <w:right w:val="nil"/>
            </w:tcBorders>
            <w:shd w:val="clear" w:color="000000" w:fill="FFFFFF"/>
            <w:noWrap/>
            <w:vAlign w:val="center"/>
            <w:hideMark/>
          </w:tcPr>
          <w:p w:rsidR="002F1FB4" w:rsidRPr="007020E4" w:rsidRDefault="002F1FB4" w:rsidP="003E7A9C">
            <w:pPr>
              <w:jc w:val="center"/>
            </w:pPr>
            <w:r w:rsidRPr="007020E4">
              <w:t>0.948</w:t>
            </w:r>
          </w:p>
        </w:tc>
        <w:tc>
          <w:tcPr>
            <w:tcW w:w="1290" w:type="dxa"/>
            <w:tcBorders>
              <w:top w:val="nil"/>
              <w:left w:val="nil"/>
              <w:bottom w:val="nil"/>
              <w:right w:val="nil"/>
            </w:tcBorders>
            <w:shd w:val="clear" w:color="000000" w:fill="FFFFFF"/>
            <w:noWrap/>
            <w:vAlign w:val="center"/>
            <w:hideMark/>
          </w:tcPr>
          <w:p w:rsidR="002F1FB4" w:rsidRPr="007020E4" w:rsidRDefault="002F1FB4" w:rsidP="003E7A9C">
            <w:pPr>
              <w:jc w:val="center"/>
            </w:pPr>
            <w:r w:rsidRPr="007020E4">
              <w:t>0.948</w:t>
            </w:r>
          </w:p>
        </w:tc>
        <w:tc>
          <w:tcPr>
            <w:tcW w:w="1290" w:type="dxa"/>
            <w:tcBorders>
              <w:top w:val="nil"/>
              <w:left w:val="nil"/>
              <w:bottom w:val="nil"/>
              <w:right w:val="single" w:sz="4" w:space="0" w:color="auto"/>
            </w:tcBorders>
            <w:shd w:val="clear" w:color="000000" w:fill="FFFFFF"/>
            <w:noWrap/>
            <w:vAlign w:val="center"/>
            <w:hideMark/>
          </w:tcPr>
          <w:p w:rsidR="002F1FB4" w:rsidRPr="007020E4" w:rsidRDefault="002F1FB4" w:rsidP="003E7A9C">
            <w:pPr>
              <w:jc w:val="center"/>
            </w:pPr>
            <w:r w:rsidRPr="007020E4">
              <w:t>0.948</w:t>
            </w:r>
          </w:p>
        </w:tc>
      </w:tr>
      <w:tr w:rsidR="002F1FB4" w:rsidRPr="007020E4" w:rsidTr="003E7A9C">
        <w:trPr>
          <w:trHeight w:val="315"/>
          <w:jc w:val="center"/>
        </w:trPr>
        <w:tc>
          <w:tcPr>
            <w:tcW w:w="2805" w:type="dxa"/>
            <w:tcBorders>
              <w:top w:val="nil"/>
              <w:left w:val="single" w:sz="4" w:space="0" w:color="auto"/>
              <w:bottom w:val="single" w:sz="4" w:space="0" w:color="auto"/>
              <w:right w:val="nil"/>
            </w:tcBorders>
            <w:shd w:val="clear" w:color="000000" w:fill="FFFFFF"/>
            <w:vAlign w:val="center"/>
            <w:hideMark/>
          </w:tcPr>
          <w:p w:rsidR="002F1FB4" w:rsidRPr="007020E4" w:rsidRDefault="002F1FB4" w:rsidP="003E7A9C">
            <w:r w:rsidRPr="007020E4">
              <w:t>ρ</w:t>
            </w:r>
          </w:p>
        </w:tc>
        <w:tc>
          <w:tcPr>
            <w:tcW w:w="1613" w:type="dxa"/>
            <w:tcBorders>
              <w:top w:val="nil"/>
              <w:left w:val="nil"/>
              <w:bottom w:val="single" w:sz="4" w:space="0" w:color="auto"/>
              <w:right w:val="nil"/>
            </w:tcBorders>
            <w:shd w:val="clear" w:color="000000" w:fill="FFFFFF"/>
            <w:noWrap/>
            <w:vAlign w:val="center"/>
            <w:hideMark/>
          </w:tcPr>
          <w:p w:rsidR="002F1FB4" w:rsidRPr="007020E4" w:rsidRDefault="002F1FB4" w:rsidP="003E7A9C">
            <w:pPr>
              <w:jc w:val="center"/>
            </w:pPr>
            <w:r w:rsidRPr="007020E4">
              <w:t>0.914</w:t>
            </w:r>
          </w:p>
        </w:tc>
        <w:tc>
          <w:tcPr>
            <w:tcW w:w="1058" w:type="dxa"/>
            <w:tcBorders>
              <w:top w:val="nil"/>
              <w:left w:val="nil"/>
              <w:bottom w:val="single" w:sz="4" w:space="0" w:color="auto"/>
              <w:right w:val="nil"/>
            </w:tcBorders>
            <w:shd w:val="clear" w:color="000000" w:fill="FFFFFF"/>
            <w:noWrap/>
            <w:vAlign w:val="center"/>
            <w:hideMark/>
          </w:tcPr>
          <w:p w:rsidR="002F1FB4" w:rsidRPr="007020E4" w:rsidRDefault="002F1FB4" w:rsidP="003E7A9C">
            <w:pPr>
              <w:jc w:val="center"/>
            </w:pPr>
            <w:r w:rsidRPr="007020E4">
              <w:t>0.645</w:t>
            </w:r>
          </w:p>
        </w:tc>
        <w:tc>
          <w:tcPr>
            <w:tcW w:w="1199" w:type="dxa"/>
            <w:tcBorders>
              <w:top w:val="nil"/>
              <w:left w:val="nil"/>
              <w:bottom w:val="single" w:sz="4" w:space="0" w:color="auto"/>
              <w:right w:val="nil"/>
            </w:tcBorders>
            <w:shd w:val="clear" w:color="000000" w:fill="FFFFFF"/>
            <w:noWrap/>
            <w:vAlign w:val="center"/>
            <w:hideMark/>
          </w:tcPr>
          <w:p w:rsidR="002F1FB4" w:rsidRPr="007020E4" w:rsidRDefault="002F1FB4" w:rsidP="003E7A9C">
            <w:pPr>
              <w:jc w:val="center"/>
            </w:pPr>
            <w:r w:rsidRPr="007020E4">
              <w:t>0.646</w:t>
            </w:r>
          </w:p>
        </w:tc>
        <w:tc>
          <w:tcPr>
            <w:tcW w:w="1080" w:type="dxa"/>
            <w:tcBorders>
              <w:top w:val="nil"/>
              <w:left w:val="nil"/>
              <w:bottom w:val="single" w:sz="4" w:space="0" w:color="auto"/>
              <w:right w:val="nil"/>
            </w:tcBorders>
            <w:shd w:val="clear" w:color="000000" w:fill="FFFFFF"/>
            <w:noWrap/>
            <w:vAlign w:val="center"/>
            <w:hideMark/>
          </w:tcPr>
          <w:p w:rsidR="002F1FB4" w:rsidRPr="007020E4" w:rsidRDefault="002F1FB4" w:rsidP="003E7A9C">
            <w:pPr>
              <w:jc w:val="center"/>
            </w:pPr>
            <w:r w:rsidRPr="007020E4">
              <w:t>0.903</w:t>
            </w:r>
          </w:p>
        </w:tc>
        <w:tc>
          <w:tcPr>
            <w:tcW w:w="1080" w:type="dxa"/>
            <w:tcBorders>
              <w:top w:val="nil"/>
              <w:left w:val="nil"/>
              <w:bottom w:val="single" w:sz="4" w:space="0" w:color="auto"/>
              <w:right w:val="single" w:sz="4" w:space="0" w:color="auto"/>
            </w:tcBorders>
            <w:shd w:val="clear" w:color="000000" w:fill="FFFFFF"/>
            <w:noWrap/>
            <w:vAlign w:val="center"/>
            <w:hideMark/>
          </w:tcPr>
          <w:p w:rsidR="002F1FB4" w:rsidRPr="007020E4" w:rsidRDefault="002F1FB4" w:rsidP="003E7A9C">
            <w:pPr>
              <w:jc w:val="center"/>
            </w:pPr>
            <w:r w:rsidRPr="007020E4">
              <w:t>0.643</w:t>
            </w:r>
          </w:p>
        </w:tc>
        <w:tc>
          <w:tcPr>
            <w:tcW w:w="270" w:type="dxa"/>
            <w:tcBorders>
              <w:top w:val="nil"/>
              <w:left w:val="nil"/>
              <w:bottom w:val="single" w:sz="4" w:space="0" w:color="auto"/>
              <w:right w:val="nil"/>
            </w:tcBorders>
            <w:shd w:val="clear" w:color="000000" w:fill="FFFFFF"/>
            <w:noWrap/>
            <w:vAlign w:val="bottom"/>
            <w:hideMark/>
          </w:tcPr>
          <w:p w:rsidR="002F1FB4" w:rsidRPr="007020E4" w:rsidRDefault="002F1FB4" w:rsidP="003E7A9C">
            <w:pPr>
              <w:jc w:val="center"/>
              <w:rPr>
                <w:color w:val="000000"/>
              </w:rPr>
            </w:pPr>
            <w:r w:rsidRPr="007020E4">
              <w:rPr>
                <w:color w:val="000000"/>
              </w:rPr>
              <w:t> </w:t>
            </w:r>
          </w:p>
        </w:tc>
        <w:tc>
          <w:tcPr>
            <w:tcW w:w="1110" w:type="dxa"/>
            <w:tcBorders>
              <w:top w:val="nil"/>
              <w:left w:val="single" w:sz="4" w:space="0" w:color="auto"/>
              <w:bottom w:val="single" w:sz="4" w:space="0" w:color="auto"/>
              <w:right w:val="nil"/>
            </w:tcBorders>
            <w:shd w:val="clear" w:color="000000" w:fill="FFFFFF"/>
            <w:noWrap/>
            <w:vAlign w:val="center"/>
            <w:hideMark/>
          </w:tcPr>
          <w:p w:rsidR="002F1FB4" w:rsidRPr="007020E4" w:rsidRDefault="002F1FB4" w:rsidP="003E7A9C">
            <w:pPr>
              <w:jc w:val="center"/>
            </w:pPr>
            <w:r w:rsidRPr="007020E4">
              <w:t>0.648</w:t>
            </w:r>
          </w:p>
        </w:tc>
        <w:tc>
          <w:tcPr>
            <w:tcW w:w="1290" w:type="dxa"/>
            <w:tcBorders>
              <w:top w:val="nil"/>
              <w:left w:val="nil"/>
              <w:bottom w:val="single" w:sz="4" w:space="0" w:color="auto"/>
              <w:right w:val="nil"/>
            </w:tcBorders>
            <w:shd w:val="clear" w:color="000000" w:fill="FFFFFF"/>
            <w:noWrap/>
            <w:vAlign w:val="center"/>
            <w:hideMark/>
          </w:tcPr>
          <w:p w:rsidR="002F1FB4" w:rsidRPr="007020E4" w:rsidRDefault="002F1FB4" w:rsidP="003E7A9C">
            <w:pPr>
              <w:jc w:val="center"/>
            </w:pPr>
            <w:r w:rsidRPr="007020E4">
              <w:t>0.649</w:t>
            </w:r>
          </w:p>
        </w:tc>
        <w:tc>
          <w:tcPr>
            <w:tcW w:w="1290" w:type="dxa"/>
            <w:tcBorders>
              <w:top w:val="nil"/>
              <w:left w:val="nil"/>
              <w:bottom w:val="single" w:sz="4" w:space="0" w:color="auto"/>
              <w:right w:val="single" w:sz="4" w:space="0" w:color="auto"/>
            </w:tcBorders>
            <w:shd w:val="clear" w:color="000000" w:fill="FFFFFF"/>
            <w:noWrap/>
            <w:vAlign w:val="center"/>
            <w:hideMark/>
          </w:tcPr>
          <w:p w:rsidR="002F1FB4" w:rsidRPr="007020E4" w:rsidRDefault="002F1FB4" w:rsidP="003E7A9C">
            <w:pPr>
              <w:jc w:val="center"/>
            </w:pPr>
            <w:r w:rsidRPr="007020E4">
              <w:t>0.648</w:t>
            </w:r>
          </w:p>
        </w:tc>
      </w:tr>
    </w:tbl>
    <w:p w:rsidR="002F1FB4" w:rsidRPr="00E32530" w:rsidRDefault="002F1FB4" w:rsidP="00496C85">
      <w:pPr>
        <w:jc w:val="center"/>
        <w:rPr>
          <w:i/>
        </w:rPr>
      </w:pPr>
      <w:r w:rsidRPr="00496C85">
        <w:rPr>
          <w:rFonts w:eastAsia="MS Mincho"/>
          <w:b/>
          <w:bCs/>
          <w:sz w:val="18"/>
          <w:szCs w:val="18"/>
          <w:lang w:bidi="ar-SA"/>
        </w:rPr>
        <w:t xml:space="preserve">Note: ***, ** and * indicate statistical significance at 1, 5 and 10 percent respectively. </w:t>
      </w:r>
      <w:r w:rsidR="008F2176">
        <w:rPr>
          <w:rFonts w:eastAsia="MS Mincho"/>
          <w:b/>
          <w:bCs/>
          <w:sz w:val="18"/>
          <w:szCs w:val="18"/>
          <w:lang w:bidi="ar-SA"/>
        </w:rPr>
        <w:t xml:space="preserve"> </w:t>
      </w:r>
      <w:r w:rsidRPr="00496C85">
        <w:rPr>
          <w:rFonts w:eastAsia="MS Mincho"/>
          <w:b/>
          <w:bCs/>
          <w:sz w:val="18"/>
          <w:szCs w:val="18"/>
          <w:lang w:bidi="ar-SA"/>
        </w:rPr>
        <w:t>Standard errors are reported in parentheses</w:t>
      </w:r>
      <w:r w:rsidRPr="00E32530">
        <w:rPr>
          <w:i/>
        </w:rPr>
        <w:t>.</w:t>
      </w:r>
    </w:p>
    <w:p w:rsidR="002F1FB4" w:rsidRPr="00851425" w:rsidRDefault="002F1FB4" w:rsidP="002F1FB4">
      <w:pPr>
        <w:jc w:val="center"/>
      </w:pPr>
      <w:r>
        <w:br w:type="page"/>
      </w:r>
    </w:p>
    <w:p w:rsidR="002F1FB4" w:rsidRPr="00496C85" w:rsidRDefault="002F1FB4" w:rsidP="002F1FB4">
      <w:pPr>
        <w:pStyle w:val="Caption"/>
        <w:rPr>
          <w:rFonts w:eastAsia="MS Mincho"/>
          <w:b/>
          <w:i w:val="0"/>
          <w:sz w:val="18"/>
          <w:lang w:bidi="ar-SA"/>
        </w:rPr>
      </w:pPr>
      <w:bookmarkStart w:id="39" w:name="_Ref393875377"/>
      <w:bookmarkStart w:id="40" w:name="_Ref391388971"/>
      <w:bookmarkStart w:id="41" w:name="_Toc393894465"/>
      <w:r w:rsidRPr="00496C85">
        <w:rPr>
          <w:rFonts w:eastAsia="MS Mincho"/>
          <w:b/>
          <w:i w:val="0"/>
          <w:sz w:val="18"/>
          <w:lang w:bidi="ar-SA"/>
        </w:rPr>
        <w:lastRenderedPageBreak/>
        <w:t xml:space="preserve">Table </w:t>
      </w:r>
      <w:r w:rsidR="00B82C96" w:rsidRPr="00496C85">
        <w:rPr>
          <w:rFonts w:eastAsia="MS Mincho"/>
          <w:b/>
          <w:i w:val="0"/>
          <w:sz w:val="18"/>
          <w:lang w:bidi="ar-SA"/>
        </w:rPr>
        <w:fldChar w:fldCharType="begin"/>
      </w:r>
      <w:r w:rsidR="00B82C96" w:rsidRPr="00496C85">
        <w:rPr>
          <w:rFonts w:eastAsia="MS Mincho"/>
          <w:b/>
          <w:i w:val="0"/>
          <w:sz w:val="18"/>
          <w:lang w:bidi="ar-SA"/>
        </w:rPr>
        <w:instrText xml:space="preserve"> SEQ Table \* ARABIC </w:instrText>
      </w:r>
      <w:r w:rsidR="00B82C96" w:rsidRPr="00496C85">
        <w:rPr>
          <w:rFonts w:eastAsia="MS Mincho"/>
          <w:b/>
          <w:i w:val="0"/>
          <w:sz w:val="18"/>
          <w:lang w:bidi="ar-SA"/>
        </w:rPr>
        <w:fldChar w:fldCharType="separate"/>
      </w:r>
      <w:r w:rsidR="00092527">
        <w:rPr>
          <w:rFonts w:eastAsia="MS Mincho"/>
          <w:b/>
          <w:i w:val="0"/>
          <w:noProof/>
          <w:sz w:val="18"/>
          <w:lang w:bidi="ar-SA"/>
        </w:rPr>
        <w:t>7</w:t>
      </w:r>
      <w:r w:rsidR="00B82C96" w:rsidRPr="00496C85">
        <w:rPr>
          <w:rFonts w:eastAsia="MS Mincho"/>
          <w:b/>
          <w:i w:val="0"/>
          <w:sz w:val="18"/>
          <w:lang w:bidi="ar-SA"/>
        </w:rPr>
        <w:fldChar w:fldCharType="end"/>
      </w:r>
      <w:bookmarkEnd w:id="39"/>
      <w:r w:rsidRPr="00496C85">
        <w:rPr>
          <w:rFonts w:eastAsia="MS Mincho"/>
          <w:b/>
          <w:i w:val="0"/>
          <w:sz w:val="18"/>
          <w:lang w:bidi="ar-SA"/>
        </w:rPr>
        <w:t>:  FE Estimation for Net Profit (in million baht)</w:t>
      </w:r>
      <w:bookmarkEnd w:id="40"/>
      <w:bookmarkEnd w:id="41"/>
    </w:p>
    <w:tbl>
      <w:tblPr>
        <w:tblW w:w="13071" w:type="dxa"/>
        <w:jc w:val="center"/>
        <w:tblInd w:w="53" w:type="dxa"/>
        <w:tblLayout w:type="fixed"/>
        <w:tblLook w:val="04A0" w:firstRow="1" w:lastRow="0" w:firstColumn="1" w:lastColumn="0" w:noHBand="0" w:noVBand="1"/>
      </w:tblPr>
      <w:tblGrid>
        <w:gridCol w:w="2666"/>
        <w:gridCol w:w="1205"/>
        <w:gridCol w:w="1206"/>
        <w:gridCol w:w="1205"/>
        <w:gridCol w:w="1206"/>
        <w:gridCol w:w="1208"/>
        <w:gridCol w:w="268"/>
        <w:gridCol w:w="1290"/>
        <w:gridCol w:w="1290"/>
        <w:gridCol w:w="1291"/>
        <w:gridCol w:w="236"/>
      </w:tblGrid>
      <w:tr w:rsidR="002F1FB4" w:rsidRPr="00CB0DD0" w:rsidTr="003E7A9C">
        <w:trPr>
          <w:gridAfter w:val="1"/>
          <w:wAfter w:w="236" w:type="dxa"/>
          <w:trHeight w:val="315"/>
          <w:jc w:val="center"/>
        </w:trPr>
        <w:tc>
          <w:tcPr>
            <w:tcW w:w="2666" w:type="dxa"/>
            <w:tcBorders>
              <w:top w:val="single" w:sz="4" w:space="0" w:color="auto"/>
              <w:left w:val="single" w:sz="4" w:space="0" w:color="auto"/>
              <w:bottom w:val="single" w:sz="4" w:space="0" w:color="auto"/>
              <w:right w:val="nil"/>
            </w:tcBorders>
            <w:shd w:val="clear" w:color="000000" w:fill="FFFFFF"/>
            <w:vAlign w:val="center"/>
            <w:hideMark/>
          </w:tcPr>
          <w:p w:rsidR="002F1FB4" w:rsidRPr="00CB0DD0" w:rsidRDefault="002F1FB4" w:rsidP="003E7A9C">
            <w:pPr>
              <w:spacing w:after="120"/>
              <w:rPr>
                <w:b/>
              </w:rPr>
            </w:pPr>
            <w:r w:rsidRPr="00CB0DD0">
              <w:t> </w:t>
            </w:r>
            <m:oMath>
              <m:sSub>
                <m:sSubPr>
                  <m:ctrlPr>
                    <w:rPr>
                      <w:rFonts w:ascii="Cambria Math" w:hAnsi="Cambria Math"/>
                      <w:b/>
                      <w:i/>
                    </w:rPr>
                  </m:ctrlPr>
                </m:sSubPr>
                <m:e>
                  <m:r>
                    <m:rPr>
                      <m:sty m:val="bi"/>
                    </m:rPr>
                    <w:rPr>
                      <w:rFonts w:ascii="Cambria Math" w:hAnsi="Cambria Math"/>
                    </w:rPr>
                    <m:t>Profit</m:t>
                  </m:r>
                </m:e>
                <m:sub>
                  <m:r>
                    <m:rPr>
                      <m:sty m:val="bi"/>
                    </m:rPr>
                    <w:rPr>
                      <w:rFonts w:ascii="Cambria Math" w:hAnsi="Cambria Math"/>
                    </w:rPr>
                    <m:t>it</m:t>
                  </m:r>
                </m:sub>
              </m:sSub>
            </m:oMath>
          </w:p>
        </w:tc>
        <w:tc>
          <w:tcPr>
            <w:tcW w:w="1205" w:type="dxa"/>
            <w:tcBorders>
              <w:top w:val="single" w:sz="4" w:space="0" w:color="auto"/>
              <w:left w:val="nil"/>
              <w:bottom w:val="single" w:sz="4" w:space="0" w:color="auto"/>
              <w:right w:val="nil"/>
            </w:tcBorders>
            <w:shd w:val="clear" w:color="000000" w:fill="FFFFFF"/>
            <w:vAlign w:val="center"/>
            <w:hideMark/>
          </w:tcPr>
          <w:p w:rsidR="002F1FB4" w:rsidRPr="00CB0DD0" w:rsidRDefault="002F1FB4" w:rsidP="003E7A9C">
            <w:pPr>
              <w:spacing w:after="120"/>
              <w:jc w:val="center"/>
              <w:rPr>
                <w:b/>
                <w:bCs/>
              </w:rPr>
            </w:pPr>
            <w:r w:rsidRPr="00CB0DD0">
              <w:rPr>
                <w:b/>
                <w:bCs/>
              </w:rPr>
              <w:t>(1)</w:t>
            </w:r>
          </w:p>
        </w:tc>
        <w:tc>
          <w:tcPr>
            <w:tcW w:w="1206" w:type="dxa"/>
            <w:tcBorders>
              <w:top w:val="single" w:sz="4" w:space="0" w:color="auto"/>
              <w:left w:val="nil"/>
              <w:bottom w:val="single" w:sz="4" w:space="0" w:color="auto"/>
              <w:right w:val="nil"/>
            </w:tcBorders>
            <w:shd w:val="clear" w:color="000000" w:fill="FFFFFF"/>
            <w:vAlign w:val="center"/>
            <w:hideMark/>
          </w:tcPr>
          <w:p w:rsidR="002F1FB4" w:rsidRPr="00CB0DD0" w:rsidRDefault="002F1FB4" w:rsidP="003E7A9C">
            <w:pPr>
              <w:spacing w:after="120"/>
              <w:jc w:val="center"/>
              <w:rPr>
                <w:b/>
                <w:bCs/>
              </w:rPr>
            </w:pPr>
            <w:r w:rsidRPr="00CB0DD0">
              <w:rPr>
                <w:b/>
                <w:bCs/>
              </w:rPr>
              <w:t>(2)</w:t>
            </w:r>
          </w:p>
        </w:tc>
        <w:tc>
          <w:tcPr>
            <w:tcW w:w="1205" w:type="dxa"/>
            <w:tcBorders>
              <w:top w:val="single" w:sz="4" w:space="0" w:color="auto"/>
              <w:left w:val="nil"/>
              <w:bottom w:val="single" w:sz="4" w:space="0" w:color="auto"/>
              <w:right w:val="nil"/>
            </w:tcBorders>
            <w:shd w:val="clear" w:color="000000" w:fill="FFFFFF"/>
            <w:vAlign w:val="center"/>
            <w:hideMark/>
          </w:tcPr>
          <w:p w:rsidR="002F1FB4" w:rsidRPr="00CB0DD0" w:rsidRDefault="002F1FB4" w:rsidP="003E7A9C">
            <w:pPr>
              <w:spacing w:after="120"/>
              <w:jc w:val="center"/>
              <w:rPr>
                <w:b/>
                <w:bCs/>
              </w:rPr>
            </w:pPr>
            <w:r w:rsidRPr="00CB0DD0">
              <w:rPr>
                <w:b/>
                <w:bCs/>
              </w:rPr>
              <w:t>(3)</w:t>
            </w:r>
          </w:p>
        </w:tc>
        <w:tc>
          <w:tcPr>
            <w:tcW w:w="1206" w:type="dxa"/>
            <w:tcBorders>
              <w:top w:val="single" w:sz="4" w:space="0" w:color="auto"/>
              <w:left w:val="nil"/>
              <w:bottom w:val="single" w:sz="4" w:space="0" w:color="auto"/>
              <w:right w:val="nil"/>
            </w:tcBorders>
            <w:shd w:val="clear" w:color="000000" w:fill="FFFFFF"/>
            <w:vAlign w:val="center"/>
            <w:hideMark/>
          </w:tcPr>
          <w:p w:rsidR="002F1FB4" w:rsidRPr="00CB0DD0" w:rsidRDefault="002F1FB4" w:rsidP="003E7A9C">
            <w:pPr>
              <w:spacing w:after="120"/>
              <w:jc w:val="center"/>
              <w:rPr>
                <w:b/>
                <w:bCs/>
              </w:rPr>
            </w:pPr>
            <w:r w:rsidRPr="00CB0DD0">
              <w:rPr>
                <w:b/>
                <w:bCs/>
              </w:rPr>
              <w:t>(4)</w:t>
            </w:r>
          </w:p>
        </w:tc>
        <w:tc>
          <w:tcPr>
            <w:tcW w:w="1208" w:type="dxa"/>
            <w:tcBorders>
              <w:top w:val="single" w:sz="4" w:space="0" w:color="auto"/>
              <w:left w:val="nil"/>
              <w:bottom w:val="single" w:sz="4" w:space="0" w:color="auto"/>
              <w:right w:val="single" w:sz="4" w:space="0" w:color="auto"/>
            </w:tcBorders>
            <w:shd w:val="clear" w:color="000000" w:fill="FFFFFF"/>
            <w:vAlign w:val="center"/>
            <w:hideMark/>
          </w:tcPr>
          <w:p w:rsidR="002F1FB4" w:rsidRPr="00CB0DD0" w:rsidRDefault="002F1FB4" w:rsidP="003E7A9C">
            <w:pPr>
              <w:spacing w:after="120"/>
              <w:jc w:val="center"/>
              <w:rPr>
                <w:b/>
                <w:bCs/>
              </w:rPr>
            </w:pPr>
            <w:r w:rsidRPr="00CB0DD0">
              <w:rPr>
                <w:b/>
                <w:bCs/>
              </w:rPr>
              <w:t>(5)</w:t>
            </w:r>
          </w:p>
        </w:tc>
        <w:tc>
          <w:tcPr>
            <w:tcW w:w="268" w:type="dxa"/>
            <w:tcBorders>
              <w:top w:val="single" w:sz="4" w:space="0" w:color="auto"/>
              <w:left w:val="nil"/>
              <w:bottom w:val="single" w:sz="4" w:space="0" w:color="auto"/>
              <w:right w:val="nil"/>
            </w:tcBorders>
            <w:shd w:val="clear" w:color="000000" w:fill="FFFFFF"/>
            <w:noWrap/>
            <w:vAlign w:val="bottom"/>
            <w:hideMark/>
          </w:tcPr>
          <w:p w:rsidR="002F1FB4" w:rsidRPr="00CB0DD0" w:rsidRDefault="002F1FB4" w:rsidP="003E7A9C">
            <w:pPr>
              <w:spacing w:after="120"/>
              <w:rPr>
                <w:color w:val="000000"/>
              </w:rPr>
            </w:pPr>
            <w:r w:rsidRPr="00CB0DD0">
              <w:rPr>
                <w:color w:val="000000"/>
              </w:rPr>
              <w:t> </w:t>
            </w:r>
          </w:p>
        </w:tc>
        <w:tc>
          <w:tcPr>
            <w:tcW w:w="1290" w:type="dxa"/>
            <w:tcBorders>
              <w:top w:val="single" w:sz="4" w:space="0" w:color="auto"/>
              <w:left w:val="single" w:sz="4" w:space="0" w:color="auto"/>
              <w:bottom w:val="single" w:sz="4" w:space="0" w:color="auto"/>
              <w:right w:val="nil"/>
            </w:tcBorders>
            <w:shd w:val="clear" w:color="000000" w:fill="FFFFFF"/>
            <w:vAlign w:val="center"/>
            <w:hideMark/>
          </w:tcPr>
          <w:p w:rsidR="002F1FB4" w:rsidRPr="00CB0DD0" w:rsidRDefault="002F1FB4" w:rsidP="003E7A9C">
            <w:pPr>
              <w:spacing w:after="120"/>
              <w:jc w:val="center"/>
              <w:rPr>
                <w:b/>
                <w:bCs/>
              </w:rPr>
            </w:pPr>
            <w:r w:rsidRPr="00CB0DD0">
              <w:rPr>
                <w:b/>
                <w:bCs/>
              </w:rPr>
              <w:t>(</w:t>
            </w:r>
            <w:r>
              <w:rPr>
                <w:b/>
                <w:bCs/>
              </w:rPr>
              <w:t>6</w:t>
            </w:r>
            <w:r w:rsidRPr="00CB0DD0">
              <w:rPr>
                <w:b/>
                <w:bCs/>
              </w:rPr>
              <w:t>)</w:t>
            </w:r>
          </w:p>
        </w:tc>
        <w:tc>
          <w:tcPr>
            <w:tcW w:w="1290" w:type="dxa"/>
            <w:tcBorders>
              <w:top w:val="single" w:sz="4" w:space="0" w:color="auto"/>
              <w:left w:val="nil"/>
              <w:bottom w:val="single" w:sz="4" w:space="0" w:color="auto"/>
              <w:right w:val="nil"/>
            </w:tcBorders>
            <w:shd w:val="clear" w:color="000000" w:fill="FFFFFF"/>
            <w:vAlign w:val="center"/>
            <w:hideMark/>
          </w:tcPr>
          <w:p w:rsidR="002F1FB4" w:rsidRPr="00CB0DD0" w:rsidRDefault="002F1FB4" w:rsidP="003E7A9C">
            <w:pPr>
              <w:spacing w:after="120"/>
              <w:jc w:val="center"/>
              <w:rPr>
                <w:b/>
                <w:bCs/>
              </w:rPr>
            </w:pPr>
            <w:r w:rsidRPr="00CB0DD0">
              <w:rPr>
                <w:b/>
                <w:bCs/>
              </w:rPr>
              <w:t>(</w:t>
            </w:r>
            <w:r>
              <w:rPr>
                <w:b/>
                <w:bCs/>
              </w:rPr>
              <w:t>7</w:t>
            </w:r>
            <w:r w:rsidRPr="00CB0DD0">
              <w:rPr>
                <w:b/>
                <w:bCs/>
              </w:rPr>
              <w:t>)</w:t>
            </w:r>
          </w:p>
        </w:tc>
        <w:tc>
          <w:tcPr>
            <w:tcW w:w="1291" w:type="dxa"/>
            <w:tcBorders>
              <w:top w:val="single" w:sz="4" w:space="0" w:color="auto"/>
              <w:left w:val="nil"/>
              <w:bottom w:val="single" w:sz="4" w:space="0" w:color="auto"/>
              <w:right w:val="single" w:sz="4" w:space="0" w:color="auto"/>
            </w:tcBorders>
            <w:shd w:val="clear" w:color="000000" w:fill="FFFFFF"/>
            <w:vAlign w:val="center"/>
            <w:hideMark/>
          </w:tcPr>
          <w:p w:rsidR="002F1FB4" w:rsidRPr="00CB0DD0" w:rsidRDefault="002F1FB4" w:rsidP="003E7A9C">
            <w:pPr>
              <w:spacing w:after="120"/>
              <w:jc w:val="center"/>
              <w:rPr>
                <w:b/>
                <w:bCs/>
              </w:rPr>
            </w:pPr>
            <w:r w:rsidRPr="00CB0DD0">
              <w:rPr>
                <w:b/>
                <w:bCs/>
              </w:rPr>
              <w:t>(</w:t>
            </w:r>
            <w:r>
              <w:rPr>
                <w:b/>
                <w:bCs/>
              </w:rPr>
              <w:t>8</w:t>
            </w:r>
            <w:r w:rsidRPr="00CB0DD0">
              <w:rPr>
                <w:b/>
                <w:bCs/>
              </w:rPr>
              <w:t>)</w:t>
            </w:r>
          </w:p>
        </w:tc>
      </w:tr>
      <w:tr w:rsidR="002F1FB4" w:rsidRPr="00CB0DD0" w:rsidTr="003E7A9C">
        <w:trPr>
          <w:gridAfter w:val="1"/>
          <w:wAfter w:w="236" w:type="dxa"/>
          <w:trHeight w:val="315"/>
          <w:jc w:val="center"/>
        </w:trPr>
        <w:tc>
          <w:tcPr>
            <w:tcW w:w="2666" w:type="dxa"/>
            <w:tcBorders>
              <w:top w:val="single" w:sz="4" w:space="0" w:color="auto"/>
              <w:left w:val="single" w:sz="4" w:space="0" w:color="auto"/>
              <w:bottom w:val="nil"/>
              <w:right w:val="nil"/>
            </w:tcBorders>
            <w:shd w:val="clear" w:color="000000" w:fill="FFFFFF"/>
            <w:vAlign w:val="center"/>
            <w:hideMark/>
          </w:tcPr>
          <w:p w:rsidR="002F1FB4" w:rsidRPr="00CB0DD0" w:rsidRDefault="002F1FB4" w:rsidP="003E7A9C">
            <m:oMathPara>
              <m:oMathParaPr>
                <m:jc m:val="left"/>
              </m:oMathParaPr>
              <m:oMath>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205" w:type="dxa"/>
            <w:tcBorders>
              <w:top w:val="single" w:sz="4" w:space="0" w:color="auto"/>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single" w:sz="4" w:space="0" w:color="auto"/>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116.437***</w:t>
            </w:r>
          </w:p>
        </w:tc>
        <w:tc>
          <w:tcPr>
            <w:tcW w:w="1205" w:type="dxa"/>
            <w:tcBorders>
              <w:top w:val="single" w:sz="4" w:space="0" w:color="auto"/>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80.499*</w:t>
            </w:r>
          </w:p>
        </w:tc>
        <w:tc>
          <w:tcPr>
            <w:tcW w:w="1206" w:type="dxa"/>
            <w:tcBorders>
              <w:top w:val="single" w:sz="4" w:space="0" w:color="auto"/>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single" w:sz="4" w:space="0" w:color="auto"/>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133.458*</w:t>
            </w:r>
          </w:p>
        </w:tc>
        <w:tc>
          <w:tcPr>
            <w:tcW w:w="268" w:type="dxa"/>
            <w:tcBorders>
              <w:top w:val="single" w:sz="4" w:space="0" w:color="auto"/>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single" w:sz="4" w:space="0" w:color="auto"/>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22.944</w:t>
            </w:r>
          </w:p>
        </w:tc>
        <w:tc>
          <w:tcPr>
            <w:tcW w:w="1290" w:type="dxa"/>
            <w:tcBorders>
              <w:top w:val="single" w:sz="4" w:space="0" w:color="auto"/>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121.071**</w:t>
            </w:r>
          </w:p>
        </w:tc>
        <w:tc>
          <w:tcPr>
            <w:tcW w:w="1291" w:type="dxa"/>
            <w:tcBorders>
              <w:top w:val="single" w:sz="4" w:space="0" w:color="auto"/>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124.951***</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2F1FB4" w:rsidP="003E7A9C">
            <w:r w:rsidRPr="00CB0DD0">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(50.425)</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(41.284)</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(52.305)</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(38.679)</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(50.616)</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(49.291)</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092527" w:rsidP="003E7A9C">
            <m:oMathPara>
              <m:oMathParaPr>
                <m:jc m:val="left"/>
              </m:oMathParaPr>
              <m:oMath>
                <m:sSub>
                  <m:sSubPr>
                    <m:ctrlPr>
                      <w:rPr>
                        <w:rFonts w:ascii="Cambria Math" w:eastAsiaTheme="minorEastAsia" w:hAnsi="Cambria Math"/>
                        <w:i/>
                      </w:rPr>
                    </m:ctrlPr>
                  </m:sSubPr>
                  <m:e>
                    <m:r>
                      <w:rPr>
                        <w:rFonts w:ascii="Cambria Math" w:eastAsiaTheme="minorEastAsia" w:hAnsi="Cambria Math"/>
                      </w:rPr>
                      <m:t>UM</m:t>
                    </m:r>
                  </m:e>
                  <m:sub>
                    <m:r>
                      <w:rPr>
                        <w:rFonts w:ascii="Cambria Math" w:eastAsiaTheme="minorEastAsia" w:hAnsi="Cambria Math"/>
                      </w:rPr>
                      <m:t>it</m:t>
                    </m:r>
                  </m:sub>
                </m:sSub>
              </m:oMath>
            </m:oMathPara>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202.595***</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119.124*</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-717.297***</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2F1FB4" w:rsidP="003E7A9C">
            <w:r w:rsidRPr="00CB0DD0">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(75.092)</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(64.412)</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(268.815)</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092527" w:rsidP="003E7A9C">
            <m:oMathPara>
              <m:oMathParaPr>
                <m:jc m:val="left"/>
              </m:oMathParaPr>
              <m:oMath>
                <m:sSub>
                  <m:sSubPr>
                    <m:ctrlPr>
                      <w:rPr>
                        <w:rFonts w:ascii="Cambria Math" w:hAnsi="Cambria Math"/>
                        <w:i/>
                      </w:rPr>
                    </m:ctrlPr>
                  </m:sSubPr>
                  <m:e>
                    <m:r>
                      <w:rPr>
                        <w:rFonts w:ascii="Cambria Math" w:hAnsi="Cambria Math"/>
                      </w:rPr>
                      <m:t>Year(UM)</m:t>
                    </m:r>
                  </m:e>
                  <m:sub>
                    <m:r>
                      <w:rPr>
                        <w:rFonts w:ascii="Cambria Math" w:hAnsi="Cambria Math"/>
                      </w:rPr>
                      <m:t>it</m:t>
                    </m:r>
                  </m:sub>
                </m:sSub>
              </m:oMath>
            </m:oMathPara>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28.342***</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-121.427***</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2F1FB4" w:rsidP="003E7A9C">
            <w:r w:rsidRPr="00CB0DD0">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(8.070)</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(39.928)</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78"/>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092527" w:rsidP="003E7A9C">
            <m:oMathPara>
              <m:oMathParaPr>
                <m:jc m:val="left"/>
              </m:oMathParaPr>
              <m:oMath>
                <m:sSub>
                  <m:sSubPr>
                    <m:ctrlPr>
                      <w:rPr>
                        <w:rFonts w:ascii="Cambria Math" w:eastAsiaTheme="minorEastAsia" w:hAnsi="Cambria Math"/>
                        <w:i/>
                      </w:rPr>
                    </m:ctrlPr>
                  </m:sSubPr>
                  <m:e>
                    <m:r>
                      <w:rPr>
                        <w:rFonts w:ascii="Cambria Math" w:eastAsiaTheme="minorEastAsia" w:hAnsi="Cambria Math"/>
                      </w:rPr>
                      <m:t>Total(UM)</m:t>
                    </m:r>
                  </m:e>
                  <m:sub>
                    <m:r>
                      <w:rPr>
                        <w:rFonts w:ascii="Cambria Math" w:eastAsiaTheme="minorEastAsia" w:hAnsi="Cambria Math"/>
                      </w:rPr>
                      <m:t>it</m:t>
                    </m:r>
                  </m:sub>
                </m:sSub>
              </m:oMath>
            </m:oMathPara>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20.404*</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7.652</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-203.895**</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2F1FB4" w:rsidP="003E7A9C">
            <w:r w:rsidRPr="00CB0DD0">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(9.398)</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(5.634)</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(83.640)</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092527" w:rsidP="003E7A9C">
            <m:oMathPara>
              <m:oMathParaPr>
                <m:jc m:val="left"/>
              </m:oMathParaPr>
              <m:oMath>
                <m:sSub>
                  <m:sSubPr>
                    <m:ctrlPr>
                      <w:rPr>
                        <w:rFonts w:ascii="Cambria Math" w:hAnsi="Cambria Math"/>
                        <w:i/>
                      </w:rPr>
                    </m:ctrlPr>
                  </m:sSubPr>
                  <m:e>
                    <m:r>
                      <w:rPr>
                        <w:rFonts w:ascii="Cambria Math" w:hAnsi="Cambria Math"/>
                      </w:rPr>
                      <m:t>UM</m:t>
                    </m:r>
                  </m:e>
                  <m:sub>
                    <m:r>
                      <w:rPr>
                        <w:rFonts w:ascii="Cambria Math" w:hAnsi="Cambria Math"/>
                      </w:rPr>
                      <m:t>it</m:t>
                    </m:r>
                  </m:sub>
                </m:sSub>
                <m:r>
                  <w:rPr>
                    <w:rFonts w:ascii="Cambria Math"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194.682***</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2F1FB4" w:rsidP="003E7A9C">
            <w:r w:rsidRPr="00CB0DD0">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(71.995)</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092527" w:rsidP="003E7A9C">
            <m:oMathPara>
              <m:oMathParaPr>
                <m:jc m:val="left"/>
              </m:oMathParaPr>
              <m:oMath>
                <m:sSub>
                  <m:sSubPr>
                    <m:ctrlPr>
                      <w:rPr>
                        <w:rFonts w:ascii="Cambria Math" w:hAnsi="Cambria Math"/>
                        <w:i/>
                      </w:rPr>
                    </m:ctrlPr>
                  </m:sSubPr>
                  <m:e>
                    <m:r>
                      <w:rPr>
                        <w:rFonts w:ascii="Cambria Math" w:hAnsi="Cambria Math"/>
                      </w:rPr>
                      <m:t>Year(UM)</m:t>
                    </m:r>
                  </m:e>
                  <m:sub>
                    <m:r>
                      <w:rPr>
                        <w:rFonts w:ascii="Cambria Math" w:hAnsi="Cambria Math"/>
                      </w:rPr>
                      <m:t>it</m:t>
                    </m:r>
                  </m:sub>
                </m:sSub>
                <m:r>
                  <w:rPr>
                    <w:rFonts w:ascii="Cambria Math"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33.579***</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2F1FB4" w:rsidP="003E7A9C">
            <w:r w:rsidRPr="00CB0DD0">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(10.148)</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092527" w:rsidP="003E7A9C">
            <m:oMathPara>
              <m:oMathParaPr>
                <m:jc m:val="left"/>
              </m:oMathParaPr>
              <m:oMath>
                <m:sSub>
                  <m:sSubPr>
                    <m:ctrlPr>
                      <w:rPr>
                        <w:rFonts w:ascii="Cambria Math" w:hAnsi="Cambria Math"/>
                        <w:i/>
                      </w:rPr>
                    </m:ctrlPr>
                  </m:sSubPr>
                  <m:e>
                    <m:r>
                      <w:rPr>
                        <w:rFonts w:ascii="Cambria Math" w:hAnsi="Cambria Math"/>
                      </w:rPr>
                      <m:t>Total(UM)</m:t>
                    </m:r>
                  </m:e>
                  <m:sub>
                    <m:r>
                      <w:rPr>
                        <w:rFonts w:ascii="Cambria Math" w:hAnsi="Cambria Math"/>
                      </w:rPr>
                      <m:t>it</m:t>
                    </m:r>
                  </m:sub>
                </m:sSub>
                <m:r>
                  <w:rPr>
                    <w:rFonts w:ascii="Cambria Math"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34.721**</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2F1FB4" w:rsidP="003E7A9C">
            <w:r w:rsidRPr="00CB0DD0">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 </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(14.213)</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2F1FB4" w:rsidP="003E7A9C">
            <w:r w:rsidRPr="00CB0DD0">
              <w:t>Constant</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85.317**</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-341.644</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-134.349</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175.190***</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-352.792*</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54.318</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-328.101</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-258.288</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single" w:sz="4" w:space="0" w:color="auto"/>
              <w:right w:val="nil"/>
            </w:tcBorders>
            <w:shd w:val="clear" w:color="000000" w:fill="FFFFFF"/>
            <w:vAlign w:val="center"/>
            <w:hideMark/>
          </w:tcPr>
          <w:p w:rsidR="002F1FB4" w:rsidRPr="00CB0DD0" w:rsidRDefault="002F1FB4" w:rsidP="003E7A9C">
            <w:r w:rsidRPr="00CB0DD0">
              <w:t> </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(42.615)</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(209.755)</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(169.170)</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(11.560)</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(212.802)</w:t>
            </w:r>
          </w:p>
        </w:tc>
        <w:tc>
          <w:tcPr>
            <w:tcW w:w="268"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(135.499)</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(214.803)</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(179.771)</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2F1FB4" w:rsidP="003E7A9C">
            <w:r w:rsidRPr="00CB0DD0">
              <w:t>No. of firms</w:t>
            </w:r>
          </w:p>
        </w:tc>
        <w:tc>
          <w:tcPr>
            <w:tcW w:w="1205" w:type="dxa"/>
            <w:tcBorders>
              <w:top w:val="single" w:sz="4" w:space="0" w:color="auto"/>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719</w:t>
            </w:r>
          </w:p>
        </w:tc>
        <w:tc>
          <w:tcPr>
            <w:tcW w:w="1206" w:type="dxa"/>
            <w:tcBorders>
              <w:top w:val="single" w:sz="4" w:space="0" w:color="auto"/>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719</w:t>
            </w:r>
          </w:p>
        </w:tc>
        <w:tc>
          <w:tcPr>
            <w:tcW w:w="1205" w:type="dxa"/>
            <w:tcBorders>
              <w:top w:val="single" w:sz="4" w:space="0" w:color="auto"/>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719</w:t>
            </w:r>
          </w:p>
        </w:tc>
        <w:tc>
          <w:tcPr>
            <w:tcW w:w="1206" w:type="dxa"/>
            <w:tcBorders>
              <w:top w:val="single" w:sz="4" w:space="0" w:color="auto"/>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719</w:t>
            </w:r>
          </w:p>
        </w:tc>
        <w:tc>
          <w:tcPr>
            <w:tcW w:w="1208" w:type="dxa"/>
            <w:tcBorders>
              <w:top w:val="single" w:sz="4" w:space="0" w:color="auto"/>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719</w:t>
            </w:r>
          </w:p>
        </w:tc>
        <w:tc>
          <w:tcPr>
            <w:tcW w:w="268" w:type="dxa"/>
            <w:tcBorders>
              <w:top w:val="nil"/>
              <w:left w:val="nil"/>
              <w:bottom w:val="nil"/>
              <w:right w:val="nil"/>
            </w:tcBorders>
            <w:shd w:val="clear" w:color="000000" w:fill="FFFFFF"/>
            <w:noWrap/>
            <w:vAlign w:val="bottom"/>
            <w:hideMark/>
          </w:tcPr>
          <w:p w:rsidR="002F1FB4" w:rsidRPr="00CB0DD0" w:rsidRDefault="002F1FB4" w:rsidP="003E7A9C">
            <w:pPr>
              <w:jc w:val="center"/>
              <w:rPr>
                <w:color w:val="000000"/>
              </w:rPr>
            </w:pPr>
            <w:r w:rsidRPr="00CB0DD0">
              <w:rPr>
                <w:color w:val="000000"/>
              </w:rPr>
              <w:t> </w:t>
            </w:r>
          </w:p>
        </w:tc>
        <w:tc>
          <w:tcPr>
            <w:tcW w:w="1290" w:type="dxa"/>
            <w:tcBorders>
              <w:top w:val="single" w:sz="4" w:space="0" w:color="auto"/>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719</w:t>
            </w:r>
          </w:p>
        </w:tc>
        <w:tc>
          <w:tcPr>
            <w:tcW w:w="1290" w:type="dxa"/>
            <w:tcBorders>
              <w:top w:val="single" w:sz="4" w:space="0" w:color="auto"/>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719</w:t>
            </w:r>
          </w:p>
        </w:tc>
        <w:tc>
          <w:tcPr>
            <w:tcW w:w="1291" w:type="dxa"/>
            <w:tcBorders>
              <w:top w:val="single" w:sz="4" w:space="0" w:color="auto"/>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719</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2F1FB4" w:rsidP="003E7A9C">
            <w:r w:rsidRPr="00CB0DD0">
              <w:t>Observations</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8,000</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8,000</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8,000</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8,000</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8,000</w:t>
            </w:r>
          </w:p>
        </w:tc>
        <w:tc>
          <w:tcPr>
            <w:tcW w:w="268" w:type="dxa"/>
            <w:tcBorders>
              <w:top w:val="nil"/>
              <w:left w:val="nil"/>
              <w:bottom w:val="nil"/>
              <w:right w:val="nil"/>
            </w:tcBorders>
            <w:shd w:val="clear" w:color="000000" w:fill="FFFFFF"/>
            <w:noWrap/>
            <w:vAlign w:val="bottom"/>
            <w:hideMark/>
          </w:tcPr>
          <w:p w:rsidR="002F1FB4" w:rsidRPr="00CB0DD0" w:rsidRDefault="002F1FB4" w:rsidP="003E7A9C">
            <w:pPr>
              <w:jc w:val="center"/>
              <w:rPr>
                <w:color w:val="000000"/>
              </w:rPr>
            </w:pPr>
            <w:r w:rsidRPr="00CB0DD0">
              <w:rPr>
                <w:color w:val="000000"/>
              </w:rPr>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8,000</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8,000</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8,000</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2F1FB4" w:rsidP="003E7A9C">
            <m:oMathPara>
              <m:oMathParaPr>
                <m:jc m:val="left"/>
              </m:oMathParaPr>
              <m:oMath>
                <m:r>
                  <w:rPr>
                    <w:rFonts w:ascii="Cambria Math" w:hAnsi="Cambria Math"/>
                  </w:rPr>
                  <m:t>F-statistics</m:t>
                </m:r>
              </m:oMath>
            </m:oMathPara>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7.279</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4.248</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6.181</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4.714</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4.384</w:t>
            </w:r>
          </w:p>
        </w:tc>
        <w:tc>
          <w:tcPr>
            <w:tcW w:w="268" w:type="dxa"/>
            <w:tcBorders>
              <w:top w:val="nil"/>
              <w:left w:val="nil"/>
              <w:bottom w:val="nil"/>
              <w:right w:val="nil"/>
            </w:tcBorders>
            <w:shd w:val="clear" w:color="000000" w:fill="FFFFFF"/>
            <w:noWrap/>
            <w:vAlign w:val="bottom"/>
            <w:hideMark/>
          </w:tcPr>
          <w:p w:rsidR="002F1FB4" w:rsidRPr="00CB0DD0" w:rsidRDefault="002F1FB4" w:rsidP="003E7A9C">
            <w:pPr>
              <w:jc w:val="center"/>
              <w:rPr>
                <w:color w:val="000000"/>
              </w:rPr>
            </w:pPr>
            <w:r w:rsidRPr="00CB0DD0">
              <w:rPr>
                <w:color w:val="000000"/>
              </w:rPr>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3.556</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4.874</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2.429</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trHeight w:val="315"/>
          <w:jc w:val="center"/>
        </w:trPr>
        <w:tc>
          <w:tcPr>
            <w:tcW w:w="2666" w:type="dxa"/>
            <w:tcBorders>
              <w:top w:val="nil"/>
              <w:left w:val="single" w:sz="4" w:space="0" w:color="auto"/>
              <w:bottom w:val="nil"/>
              <w:right w:val="nil"/>
            </w:tcBorders>
            <w:shd w:val="clear" w:color="000000" w:fill="FFFFFF"/>
            <w:vAlign w:val="center"/>
            <w:hideMark/>
          </w:tcPr>
          <w:p w:rsidR="002F1FB4" w:rsidRPr="00CB0DD0" w:rsidRDefault="00092527" w:rsidP="003E7A9C">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0.002</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0.005</w:t>
            </w:r>
          </w:p>
        </w:tc>
        <w:tc>
          <w:tcPr>
            <w:tcW w:w="1205"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0.007</w:t>
            </w:r>
          </w:p>
        </w:tc>
        <w:tc>
          <w:tcPr>
            <w:tcW w:w="1206"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0.000</w:t>
            </w:r>
          </w:p>
        </w:tc>
        <w:tc>
          <w:tcPr>
            <w:tcW w:w="1208"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0.004</w:t>
            </w:r>
          </w:p>
        </w:tc>
        <w:tc>
          <w:tcPr>
            <w:tcW w:w="268" w:type="dxa"/>
            <w:tcBorders>
              <w:top w:val="nil"/>
              <w:left w:val="nil"/>
              <w:bottom w:val="nil"/>
              <w:right w:val="nil"/>
            </w:tcBorders>
            <w:shd w:val="clear" w:color="000000" w:fill="FFFFFF"/>
            <w:noWrap/>
            <w:vAlign w:val="bottom"/>
            <w:hideMark/>
          </w:tcPr>
          <w:p w:rsidR="002F1FB4" w:rsidRPr="00CB0DD0" w:rsidRDefault="002F1FB4" w:rsidP="003E7A9C">
            <w:pPr>
              <w:jc w:val="center"/>
              <w:rPr>
                <w:color w:val="000000"/>
              </w:rPr>
            </w:pPr>
            <w:r w:rsidRPr="00CB0DD0">
              <w:rPr>
                <w:color w:val="000000"/>
              </w:rPr>
              <w:t> </w:t>
            </w:r>
          </w:p>
        </w:tc>
        <w:tc>
          <w:tcPr>
            <w:tcW w:w="1290" w:type="dxa"/>
            <w:tcBorders>
              <w:top w:val="nil"/>
              <w:left w:val="single" w:sz="4" w:space="0" w:color="auto"/>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0.018</w:t>
            </w:r>
          </w:p>
        </w:tc>
        <w:tc>
          <w:tcPr>
            <w:tcW w:w="1290" w:type="dxa"/>
            <w:tcBorders>
              <w:top w:val="nil"/>
              <w:left w:val="nil"/>
              <w:bottom w:val="nil"/>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0.041</w:t>
            </w:r>
          </w:p>
        </w:tc>
        <w:tc>
          <w:tcPr>
            <w:tcW w:w="1291" w:type="dxa"/>
            <w:tcBorders>
              <w:top w:val="nil"/>
              <w:left w:val="nil"/>
              <w:bottom w:val="nil"/>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0.008</w:t>
            </w:r>
          </w:p>
        </w:tc>
        <w:tc>
          <w:tcPr>
            <w:tcW w:w="236" w:type="dxa"/>
            <w:tcBorders>
              <w:top w:val="nil"/>
              <w:left w:val="nil"/>
              <w:bottom w:val="nil"/>
              <w:right w:val="nil"/>
            </w:tcBorders>
            <w:shd w:val="clear" w:color="000000" w:fill="FFFFFF"/>
            <w:noWrap/>
            <w:vAlign w:val="center"/>
            <w:hideMark/>
          </w:tcPr>
          <w:p w:rsidR="002F1FB4" w:rsidRPr="00CB0DD0" w:rsidRDefault="002F1FB4" w:rsidP="003E7A9C">
            <w:pPr>
              <w:jc w:val="center"/>
            </w:pPr>
            <w:r w:rsidRPr="00CB0DD0">
              <w:t> </w:t>
            </w:r>
          </w:p>
        </w:tc>
      </w:tr>
      <w:tr w:rsidR="002F1FB4" w:rsidRPr="00CB0DD0" w:rsidTr="003E7A9C">
        <w:trPr>
          <w:gridAfter w:val="1"/>
          <w:wAfter w:w="236" w:type="dxa"/>
          <w:trHeight w:val="315"/>
          <w:jc w:val="center"/>
        </w:trPr>
        <w:tc>
          <w:tcPr>
            <w:tcW w:w="2666" w:type="dxa"/>
            <w:tcBorders>
              <w:top w:val="nil"/>
              <w:left w:val="single" w:sz="4" w:space="0" w:color="auto"/>
              <w:bottom w:val="single" w:sz="4" w:space="0" w:color="auto"/>
              <w:right w:val="nil"/>
            </w:tcBorders>
            <w:shd w:val="clear" w:color="000000" w:fill="FFFFFF"/>
            <w:vAlign w:val="center"/>
            <w:hideMark/>
          </w:tcPr>
          <w:p w:rsidR="002F1FB4" w:rsidRPr="00CB0DD0" w:rsidRDefault="002F1FB4" w:rsidP="003E7A9C">
            <w:r w:rsidRPr="00CB0DD0">
              <w:t>ρ</w:t>
            </w:r>
          </w:p>
        </w:tc>
        <w:tc>
          <w:tcPr>
            <w:tcW w:w="1205" w:type="dxa"/>
            <w:tcBorders>
              <w:top w:val="nil"/>
              <w:left w:val="nil"/>
              <w:bottom w:val="single" w:sz="4" w:space="0" w:color="auto"/>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0.582</w:t>
            </w:r>
          </w:p>
        </w:tc>
        <w:tc>
          <w:tcPr>
            <w:tcW w:w="1206" w:type="dxa"/>
            <w:tcBorders>
              <w:top w:val="nil"/>
              <w:left w:val="nil"/>
              <w:bottom w:val="single" w:sz="4" w:space="0" w:color="auto"/>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0.571</w:t>
            </w:r>
          </w:p>
        </w:tc>
        <w:tc>
          <w:tcPr>
            <w:tcW w:w="1205" w:type="dxa"/>
            <w:tcBorders>
              <w:top w:val="nil"/>
              <w:left w:val="nil"/>
              <w:bottom w:val="single" w:sz="4" w:space="0" w:color="auto"/>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0.574</w:t>
            </w:r>
          </w:p>
        </w:tc>
        <w:tc>
          <w:tcPr>
            <w:tcW w:w="1206" w:type="dxa"/>
            <w:tcBorders>
              <w:top w:val="nil"/>
              <w:left w:val="nil"/>
              <w:bottom w:val="single" w:sz="4" w:space="0" w:color="auto"/>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0.583</w:t>
            </w:r>
          </w:p>
        </w:tc>
        <w:tc>
          <w:tcPr>
            <w:tcW w:w="1208" w:type="dxa"/>
            <w:tcBorders>
              <w:top w:val="nil"/>
              <w:left w:val="nil"/>
              <w:bottom w:val="single" w:sz="4" w:space="0" w:color="auto"/>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0.570</w:t>
            </w:r>
          </w:p>
        </w:tc>
        <w:tc>
          <w:tcPr>
            <w:tcW w:w="268" w:type="dxa"/>
            <w:tcBorders>
              <w:top w:val="nil"/>
              <w:left w:val="nil"/>
              <w:bottom w:val="single" w:sz="4" w:space="0" w:color="auto"/>
              <w:right w:val="nil"/>
            </w:tcBorders>
            <w:shd w:val="clear" w:color="000000" w:fill="FFFFFF"/>
            <w:noWrap/>
            <w:vAlign w:val="bottom"/>
            <w:hideMark/>
          </w:tcPr>
          <w:p w:rsidR="002F1FB4" w:rsidRPr="00CB0DD0" w:rsidRDefault="002F1FB4" w:rsidP="003E7A9C">
            <w:pPr>
              <w:jc w:val="center"/>
              <w:rPr>
                <w:color w:val="000000"/>
              </w:rPr>
            </w:pPr>
          </w:p>
        </w:tc>
        <w:tc>
          <w:tcPr>
            <w:tcW w:w="1290" w:type="dxa"/>
            <w:tcBorders>
              <w:top w:val="nil"/>
              <w:left w:val="single" w:sz="4" w:space="0" w:color="auto"/>
              <w:bottom w:val="single" w:sz="4" w:space="0" w:color="auto"/>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0.568</w:t>
            </w:r>
          </w:p>
        </w:tc>
        <w:tc>
          <w:tcPr>
            <w:tcW w:w="1290" w:type="dxa"/>
            <w:tcBorders>
              <w:top w:val="nil"/>
              <w:left w:val="nil"/>
              <w:bottom w:val="single" w:sz="4" w:space="0" w:color="auto"/>
              <w:right w:val="nil"/>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0.569</w:t>
            </w:r>
          </w:p>
        </w:tc>
        <w:tc>
          <w:tcPr>
            <w:tcW w:w="1291" w:type="dxa"/>
            <w:tcBorders>
              <w:top w:val="nil"/>
              <w:left w:val="nil"/>
              <w:bottom w:val="single" w:sz="4" w:space="0" w:color="auto"/>
              <w:right w:val="single" w:sz="4" w:space="0" w:color="auto"/>
            </w:tcBorders>
            <w:shd w:val="clear" w:color="000000" w:fill="FFFFFF"/>
            <w:noWrap/>
            <w:vAlign w:val="center"/>
            <w:hideMark/>
          </w:tcPr>
          <w:p w:rsidR="002F1FB4" w:rsidRPr="00CB0DD0" w:rsidRDefault="002F1FB4" w:rsidP="003E7A9C">
            <w:pPr>
              <w:jc w:val="center"/>
              <w:rPr>
                <w:sz w:val="20"/>
                <w:szCs w:val="20"/>
              </w:rPr>
            </w:pPr>
            <w:r w:rsidRPr="00CB0DD0">
              <w:rPr>
                <w:sz w:val="20"/>
                <w:szCs w:val="20"/>
              </w:rPr>
              <w:t>0.570</w:t>
            </w:r>
          </w:p>
        </w:tc>
      </w:tr>
    </w:tbl>
    <w:p w:rsidR="002F1FB4" w:rsidRPr="00496C85" w:rsidRDefault="002F1FB4" w:rsidP="00496C85">
      <w:pPr>
        <w:pStyle w:val="Caption"/>
        <w:rPr>
          <w:rFonts w:eastAsia="MS Mincho"/>
          <w:b/>
          <w:i w:val="0"/>
          <w:sz w:val="18"/>
          <w:lang w:bidi="ar-SA"/>
        </w:rPr>
      </w:pPr>
      <w:r w:rsidRPr="00496C85">
        <w:rPr>
          <w:rFonts w:eastAsia="MS Mincho"/>
          <w:b/>
          <w:i w:val="0"/>
          <w:sz w:val="18"/>
          <w:lang w:bidi="ar-SA"/>
        </w:rPr>
        <w:t xml:space="preserve">Note: ***, ** and * indicate statistical significance at 1, 5 and 10 percent respectively. </w:t>
      </w:r>
      <w:r w:rsidR="008F2176">
        <w:rPr>
          <w:rFonts w:eastAsia="MS Mincho"/>
          <w:b/>
          <w:i w:val="0"/>
          <w:sz w:val="18"/>
          <w:lang w:bidi="ar-SA"/>
        </w:rPr>
        <w:t xml:space="preserve"> </w:t>
      </w:r>
      <w:r w:rsidRPr="00496C85">
        <w:rPr>
          <w:rFonts w:eastAsia="MS Mincho"/>
          <w:b/>
          <w:i w:val="0"/>
          <w:sz w:val="18"/>
          <w:lang w:bidi="ar-SA"/>
        </w:rPr>
        <w:t>Standard errors are reported in parentheses.</w:t>
      </w:r>
    </w:p>
    <w:p w:rsidR="002F1FB4" w:rsidRDefault="002F1FB4" w:rsidP="002F1FB4">
      <w:r>
        <w:br w:type="page"/>
      </w:r>
    </w:p>
    <w:p w:rsidR="002F1FB4" w:rsidRPr="00496C85" w:rsidRDefault="002F1FB4" w:rsidP="002F1FB4">
      <w:pPr>
        <w:pStyle w:val="Caption"/>
        <w:rPr>
          <w:rFonts w:eastAsia="MS Mincho"/>
          <w:b/>
          <w:i w:val="0"/>
          <w:sz w:val="18"/>
          <w:lang w:bidi="ar-SA"/>
        </w:rPr>
      </w:pPr>
      <w:bookmarkStart w:id="42" w:name="_Ref393875379"/>
      <w:bookmarkStart w:id="43" w:name="_Toc393894466"/>
      <w:r w:rsidRPr="00496C85">
        <w:rPr>
          <w:rFonts w:eastAsia="MS Mincho"/>
          <w:b/>
          <w:i w:val="0"/>
          <w:sz w:val="18"/>
          <w:lang w:bidi="ar-SA"/>
        </w:rPr>
        <w:lastRenderedPageBreak/>
        <w:t xml:space="preserve">Table </w:t>
      </w:r>
      <w:r w:rsidR="00B82C96" w:rsidRPr="00496C85">
        <w:rPr>
          <w:rFonts w:eastAsia="MS Mincho"/>
          <w:b/>
          <w:i w:val="0"/>
          <w:sz w:val="18"/>
          <w:lang w:bidi="ar-SA"/>
        </w:rPr>
        <w:fldChar w:fldCharType="begin"/>
      </w:r>
      <w:r w:rsidR="00B82C96" w:rsidRPr="00496C85">
        <w:rPr>
          <w:rFonts w:eastAsia="MS Mincho"/>
          <w:b/>
          <w:i w:val="0"/>
          <w:sz w:val="18"/>
          <w:lang w:bidi="ar-SA"/>
        </w:rPr>
        <w:instrText xml:space="preserve"> SEQ Table \* ARABIC </w:instrText>
      </w:r>
      <w:r w:rsidR="00B82C96" w:rsidRPr="00496C85">
        <w:rPr>
          <w:rFonts w:eastAsia="MS Mincho"/>
          <w:b/>
          <w:i w:val="0"/>
          <w:sz w:val="18"/>
          <w:lang w:bidi="ar-SA"/>
        </w:rPr>
        <w:fldChar w:fldCharType="separate"/>
      </w:r>
      <w:r w:rsidR="00092527">
        <w:rPr>
          <w:rFonts w:eastAsia="MS Mincho"/>
          <w:b/>
          <w:i w:val="0"/>
          <w:noProof/>
          <w:sz w:val="18"/>
          <w:lang w:bidi="ar-SA"/>
        </w:rPr>
        <w:t>8</w:t>
      </w:r>
      <w:r w:rsidR="00B82C96" w:rsidRPr="00496C85">
        <w:rPr>
          <w:rFonts w:eastAsia="MS Mincho"/>
          <w:b/>
          <w:i w:val="0"/>
          <w:sz w:val="18"/>
          <w:lang w:bidi="ar-SA"/>
        </w:rPr>
        <w:fldChar w:fldCharType="end"/>
      </w:r>
      <w:bookmarkEnd w:id="42"/>
      <w:r w:rsidRPr="00496C85">
        <w:rPr>
          <w:rFonts w:eastAsia="MS Mincho"/>
          <w:b/>
          <w:i w:val="0"/>
          <w:sz w:val="18"/>
          <w:lang w:bidi="ar-SA"/>
        </w:rPr>
        <w:t>:  FE Estimation for Sales-to-Costs Ratio</w:t>
      </w:r>
      <w:bookmarkEnd w:id="43"/>
    </w:p>
    <w:tbl>
      <w:tblPr>
        <w:tblW w:w="13071" w:type="dxa"/>
        <w:jc w:val="center"/>
        <w:tblInd w:w="53" w:type="dxa"/>
        <w:tblLayout w:type="fixed"/>
        <w:tblLook w:val="04A0" w:firstRow="1" w:lastRow="0" w:firstColumn="1" w:lastColumn="0" w:noHBand="0" w:noVBand="1"/>
      </w:tblPr>
      <w:tblGrid>
        <w:gridCol w:w="2845"/>
        <w:gridCol w:w="1169"/>
        <w:gridCol w:w="1170"/>
        <w:gridCol w:w="1170"/>
        <w:gridCol w:w="1170"/>
        <w:gridCol w:w="1170"/>
        <w:gridCol w:w="270"/>
        <w:gridCol w:w="1290"/>
        <w:gridCol w:w="1290"/>
        <w:gridCol w:w="1291"/>
        <w:gridCol w:w="236"/>
      </w:tblGrid>
      <w:tr w:rsidR="002F1FB4" w:rsidRPr="00583FA9" w:rsidTr="003E7A9C">
        <w:trPr>
          <w:gridAfter w:val="1"/>
          <w:wAfter w:w="236" w:type="dxa"/>
          <w:trHeight w:val="315"/>
          <w:jc w:val="center"/>
        </w:trPr>
        <w:tc>
          <w:tcPr>
            <w:tcW w:w="2845" w:type="dxa"/>
            <w:tcBorders>
              <w:top w:val="single" w:sz="4" w:space="0" w:color="auto"/>
              <w:left w:val="single" w:sz="4" w:space="0" w:color="auto"/>
              <w:bottom w:val="single" w:sz="4" w:space="0" w:color="auto"/>
              <w:right w:val="nil"/>
            </w:tcBorders>
            <w:shd w:val="clear" w:color="000000" w:fill="FFFFFF"/>
            <w:vAlign w:val="center"/>
            <w:hideMark/>
          </w:tcPr>
          <w:p w:rsidR="002F1FB4" w:rsidRPr="00E21F6D" w:rsidRDefault="002F1FB4" w:rsidP="003E7A9C">
            <w:pPr>
              <w:spacing w:after="120"/>
              <w:rPr>
                <w:b/>
              </w:rPr>
            </w:pPr>
            <w:r w:rsidRPr="00583FA9">
              <w:t> </w:t>
            </w:r>
            <m:oMath>
              <m:sSub>
                <m:sSubPr>
                  <m:ctrlPr>
                    <w:rPr>
                      <w:rFonts w:ascii="Cambria Math" w:hAnsi="Cambria Math"/>
                      <w:b/>
                      <w:i/>
                    </w:rPr>
                  </m:ctrlPr>
                </m:sSubPr>
                <m:e>
                  <m:r>
                    <m:rPr>
                      <m:sty m:val="bi"/>
                    </m:rPr>
                    <w:rPr>
                      <w:rFonts w:ascii="Cambria Math" w:hAnsi="Cambria Math"/>
                    </w:rPr>
                    <m:t>Sales-to-Cost Ratio</m:t>
                  </m:r>
                </m:e>
                <m:sub>
                  <m:r>
                    <m:rPr>
                      <m:sty m:val="bi"/>
                    </m:rPr>
                    <w:rPr>
                      <w:rFonts w:ascii="Cambria Math" w:hAnsi="Cambria Math"/>
                    </w:rPr>
                    <m:t>it</m:t>
                  </m:r>
                </m:sub>
              </m:sSub>
            </m:oMath>
          </w:p>
        </w:tc>
        <w:tc>
          <w:tcPr>
            <w:tcW w:w="1169" w:type="dxa"/>
            <w:tcBorders>
              <w:top w:val="single" w:sz="4" w:space="0" w:color="auto"/>
              <w:left w:val="nil"/>
              <w:bottom w:val="single" w:sz="4" w:space="0" w:color="auto"/>
              <w:right w:val="nil"/>
            </w:tcBorders>
            <w:shd w:val="clear" w:color="000000" w:fill="FFFFFF"/>
            <w:vAlign w:val="center"/>
            <w:hideMark/>
          </w:tcPr>
          <w:p w:rsidR="002F1FB4" w:rsidRPr="00583FA9" w:rsidRDefault="002F1FB4" w:rsidP="003E7A9C">
            <w:pPr>
              <w:spacing w:after="120"/>
              <w:jc w:val="center"/>
              <w:rPr>
                <w:b/>
                <w:bCs/>
              </w:rPr>
            </w:pPr>
            <w:r w:rsidRPr="00583FA9">
              <w:rPr>
                <w:b/>
                <w:bCs/>
              </w:rPr>
              <w:t>(1)</w:t>
            </w:r>
          </w:p>
        </w:tc>
        <w:tc>
          <w:tcPr>
            <w:tcW w:w="1170" w:type="dxa"/>
            <w:tcBorders>
              <w:top w:val="single" w:sz="4" w:space="0" w:color="auto"/>
              <w:left w:val="nil"/>
              <w:bottom w:val="single" w:sz="4" w:space="0" w:color="auto"/>
              <w:right w:val="nil"/>
            </w:tcBorders>
            <w:shd w:val="clear" w:color="000000" w:fill="FFFFFF"/>
            <w:vAlign w:val="center"/>
            <w:hideMark/>
          </w:tcPr>
          <w:p w:rsidR="002F1FB4" w:rsidRPr="00583FA9" w:rsidRDefault="002F1FB4" w:rsidP="003E7A9C">
            <w:pPr>
              <w:spacing w:after="120"/>
              <w:jc w:val="center"/>
              <w:rPr>
                <w:b/>
                <w:bCs/>
              </w:rPr>
            </w:pPr>
            <w:r w:rsidRPr="00583FA9">
              <w:rPr>
                <w:b/>
                <w:bCs/>
              </w:rPr>
              <w:t>(2)</w:t>
            </w:r>
          </w:p>
        </w:tc>
        <w:tc>
          <w:tcPr>
            <w:tcW w:w="1170" w:type="dxa"/>
            <w:tcBorders>
              <w:top w:val="single" w:sz="4" w:space="0" w:color="auto"/>
              <w:left w:val="nil"/>
              <w:bottom w:val="single" w:sz="4" w:space="0" w:color="auto"/>
              <w:right w:val="nil"/>
            </w:tcBorders>
            <w:shd w:val="clear" w:color="000000" w:fill="FFFFFF"/>
            <w:vAlign w:val="center"/>
            <w:hideMark/>
          </w:tcPr>
          <w:p w:rsidR="002F1FB4" w:rsidRPr="00583FA9" w:rsidRDefault="002F1FB4" w:rsidP="003E7A9C">
            <w:pPr>
              <w:spacing w:after="120"/>
              <w:jc w:val="center"/>
              <w:rPr>
                <w:b/>
                <w:bCs/>
              </w:rPr>
            </w:pPr>
            <w:r w:rsidRPr="00583FA9">
              <w:rPr>
                <w:b/>
                <w:bCs/>
              </w:rPr>
              <w:t>(3)</w:t>
            </w:r>
          </w:p>
        </w:tc>
        <w:tc>
          <w:tcPr>
            <w:tcW w:w="1170" w:type="dxa"/>
            <w:tcBorders>
              <w:top w:val="single" w:sz="4" w:space="0" w:color="auto"/>
              <w:left w:val="nil"/>
              <w:bottom w:val="single" w:sz="4" w:space="0" w:color="auto"/>
              <w:right w:val="nil"/>
            </w:tcBorders>
            <w:shd w:val="clear" w:color="000000" w:fill="FFFFFF"/>
            <w:vAlign w:val="center"/>
            <w:hideMark/>
          </w:tcPr>
          <w:p w:rsidR="002F1FB4" w:rsidRPr="00583FA9" w:rsidRDefault="002F1FB4" w:rsidP="003E7A9C">
            <w:pPr>
              <w:spacing w:after="120"/>
              <w:jc w:val="center"/>
              <w:rPr>
                <w:b/>
                <w:bCs/>
              </w:rPr>
            </w:pPr>
            <w:r w:rsidRPr="00583FA9">
              <w:rPr>
                <w:b/>
                <w:bCs/>
              </w:rPr>
              <w:t>(4)</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2F1FB4" w:rsidRPr="00583FA9" w:rsidRDefault="002F1FB4" w:rsidP="003E7A9C">
            <w:pPr>
              <w:spacing w:after="120"/>
              <w:jc w:val="center"/>
              <w:rPr>
                <w:b/>
                <w:bCs/>
              </w:rPr>
            </w:pPr>
            <w:r w:rsidRPr="00583FA9">
              <w:rPr>
                <w:b/>
                <w:bCs/>
              </w:rPr>
              <w:t>(5)</w:t>
            </w:r>
          </w:p>
        </w:tc>
        <w:tc>
          <w:tcPr>
            <w:tcW w:w="270" w:type="dxa"/>
            <w:tcBorders>
              <w:top w:val="single" w:sz="4" w:space="0" w:color="auto"/>
              <w:left w:val="nil"/>
              <w:bottom w:val="single" w:sz="4" w:space="0" w:color="auto"/>
              <w:right w:val="nil"/>
            </w:tcBorders>
            <w:shd w:val="clear" w:color="000000" w:fill="FFFFFF"/>
            <w:noWrap/>
            <w:vAlign w:val="bottom"/>
            <w:hideMark/>
          </w:tcPr>
          <w:p w:rsidR="002F1FB4" w:rsidRPr="00583FA9" w:rsidRDefault="002F1FB4" w:rsidP="003E7A9C">
            <w:pPr>
              <w:spacing w:after="120"/>
              <w:rPr>
                <w:color w:val="000000"/>
              </w:rPr>
            </w:pPr>
            <w:r w:rsidRPr="00583FA9">
              <w:rPr>
                <w:color w:val="000000"/>
              </w:rPr>
              <w:t> </w:t>
            </w:r>
          </w:p>
        </w:tc>
        <w:tc>
          <w:tcPr>
            <w:tcW w:w="1290" w:type="dxa"/>
            <w:tcBorders>
              <w:top w:val="single" w:sz="4" w:space="0" w:color="auto"/>
              <w:left w:val="single" w:sz="4" w:space="0" w:color="auto"/>
              <w:bottom w:val="single" w:sz="4" w:space="0" w:color="auto"/>
              <w:right w:val="nil"/>
            </w:tcBorders>
            <w:shd w:val="clear" w:color="000000" w:fill="FFFFFF"/>
            <w:vAlign w:val="center"/>
            <w:hideMark/>
          </w:tcPr>
          <w:p w:rsidR="002F1FB4" w:rsidRPr="00583FA9" w:rsidRDefault="002F1FB4" w:rsidP="003E7A9C">
            <w:pPr>
              <w:spacing w:after="120"/>
              <w:jc w:val="center"/>
              <w:rPr>
                <w:b/>
                <w:bCs/>
              </w:rPr>
            </w:pPr>
            <w:r w:rsidRPr="00583FA9">
              <w:rPr>
                <w:b/>
                <w:bCs/>
              </w:rPr>
              <w:t>(</w:t>
            </w:r>
            <w:r>
              <w:rPr>
                <w:b/>
                <w:bCs/>
              </w:rPr>
              <w:t>6</w:t>
            </w:r>
            <w:r w:rsidRPr="00583FA9">
              <w:rPr>
                <w:b/>
                <w:bCs/>
              </w:rPr>
              <w:t>)</w:t>
            </w:r>
          </w:p>
        </w:tc>
        <w:tc>
          <w:tcPr>
            <w:tcW w:w="1290" w:type="dxa"/>
            <w:tcBorders>
              <w:top w:val="single" w:sz="4" w:space="0" w:color="auto"/>
              <w:left w:val="nil"/>
              <w:bottom w:val="single" w:sz="4" w:space="0" w:color="auto"/>
              <w:right w:val="nil"/>
            </w:tcBorders>
            <w:shd w:val="clear" w:color="000000" w:fill="FFFFFF"/>
            <w:vAlign w:val="center"/>
            <w:hideMark/>
          </w:tcPr>
          <w:p w:rsidR="002F1FB4" w:rsidRPr="00583FA9" w:rsidRDefault="002F1FB4" w:rsidP="003E7A9C">
            <w:pPr>
              <w:spacing w:after="120"/>
              <w:jc w:val="center"/>
              <w:rPr>
                <w:b/>
                <w:bCs/>
              </w:rPr>
            </w:pPr>
            <w:r w:rsidRPr="00583FA9">
              <w:rPr>
                <w:b/>
                <w:bCs/>
              </w:rPr>
              <w:t>(</w:t>
            </w:r>
            <w:r>
              <w:rPr>
                <w:b/>
                <w:bCs/>
              </w:rPr>
              <w:t>7</w:t>
            </w:r>
            <w:r w:rsidRPr="00583FA9">
              <w:rPr>
                <w:b/>
                <w:bCs/>
              </w:rPr>
              <w:t>)</w:t>
            </w:r>
          </w:p>
        </w:tc>
        <w:tc>
          <w:tcPr>
            <w:tcW w:w="1291" w:type="dxa"/>
            <w:tcBorders>
              <w:top w:val="single" w:sz="4" w:space="0" w:color="auto"/>
              <w:left w:val="nil"/>
              <w:bottom w:val="single" w:sz="4" w:space="0" w:color="auto"/>
              <w:right w:val="single" w:sz="4" w:space="0" w:color="auto"/>
            </w:tcBorders>
            <w:shd w:val="clear" w:color="000000" w:fill="FFFFFF"/>
            <w:vAlign w:val="center"/>
            <w:hideMark/>
          </w:tcPr>
          <w:p w:rsidR="002F1FB4" w:rsidRPr="00583FA9" w:rsidRDefault="002F1FB4" w:rsidP="003E7A9C">
            <w:pPr>
              <w:spacing w:after="120"/>
              <w:jc w:val="center"/>
              <w:rPr>
                <w:b/>
                <w:bCs/>
              </w:rPr>
            </w:pPr>
            <w:r w:rsidRPr="00583FA9">
              <w:rPr>
                <w:b/>
                <w:bCs/>
              </w:rPr>
              <w:t>(</w:t>
            </w:r>
            <w:r>
              <w:rPr>
                <w:b/>
                <w:bCs/>
              </w:rPr>
              <w:t>8</w:t>
            </w:r>
            <w:r w:rsidRPr="00583FA9">
              <w:rPr>
                <w:b/>
                <w:bCs/>
              </w:rPr>
              <w:t>)</w:t>
            </w:r>
          </w:p>
        </w:tc>
      </w:tr>
      <w:tr w:rsidR="002F1FB4" w:rsidRPr="00583FA9" w:rsidTr="003E7A9C">
        <w:trPr>
          <w:gridAfter w:val="1"/>
          <w:wAfter w:w="236" w:type="dxa"/>
          <w:trHeight w:val="315"/>
          <w:jc w:val="center"/>
        </w:trPr>
        <w:tc>
          <w:tcPr>
            <w:tcW w:w="2845" w:type="dxa"/>
            <w:tcBorders>
              <w:top w:val="single" w:sz="4" w:space="0" w:color="auto"/>
              <w:left w:val="single" w:sz="4" w:space="0" w:color="auto"/>
              <w:bottom w:val="nil"/>
              <w:right w:val="nil"/>
            </w:tcBorders>
            <w:shd w:val="clear" w:color="000000" w:fill="FFFFFF"/>
            <w:vAlign w:val="center"/>
            <w:hideMark/>
          </w:tcPr>
          <w:p w:rsidR="002F1FB4" w:rsidRPr="00583FA9" w:rsidRDefault="002F1FB4" w:rsidP="003E7A9C">
            <m:oMathPara>
              <m:oMathParaPr>
                <m:jc m:val="left"/>
              </m:oMathParaPr>
              <m:oMath>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169" w:type="dxa"/>
            <w:tcBorders>
              <w:top w:val="single" w:sz="4" w:space="0" w:color="auto"/>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single" w:sz="4" w:space="0" w:color="auto"/>
              <w:left w:val="nil"/>
              <w:bottom w:val="nil"/>
              <w:right w:val="nil"/>
            </w:tcBorders>
            <w:shd w:val="clear" w:color="000000" w:fill="FFFFFF"/>
            <w:noWrap/>
            <w:vAlign w:val="center"/>
            <w:hideMark/>
          </w:tcPr>
          <w:p w:rsidR="002F1FB4" w:rsidRPr="00583FA9" w:rsidRDefault="002F1FB4" w:rsidP="003E7A9C">
            <w:pPr>
              <w:jc w:val="center"/>
            </w:pPr>
            <w:r w:rsidRPr="00583FA9">
              <w:t>-0.088***</w:t>
            </w:r>
          </w:p>
        </w:tc>
        <w:tc>
          <w:tcPr>
            <w:tcW w:w="1170" w:type="dxa"/>
            <w:tcBorders>
              <w:top w:val="single" w:sz="4" w:space="0" w:color="auto"/>
              <w:left w:val="nil"/>
              <w:bottom w:val="nil"/>
              <w:right w:val="nil"/>
            </w:tcBorders>
            <w:shd w:val="clear" w:color="000000" w:fill="FFFFFF"/>
            <w:noWrap/>
            <w:vAlign w:val="center"/>
            <w:hideMark/>
          </w:tcPr>
          <w:p w:rsidR="002F1FB4" w:rsidRPr="00583FA9" w:rsidRDefault="002F1FB4" w:rsidP="003E7A9C">
            <w:pPr>
              <w:jc w:val="center"/>
            </w:pPr>
            <w:r w:rsidRPr="00583FA9">
              <w:t>-0.093***</w:t>
            </w:r>
          </w:p>
        </w:tc>
        <w:tc>
          <w:tcPr>
            <w:tcW w:w="1170" w:type="dxa"/>
            <w:tcBorders>
              <w:top w:val="single" w:sz="4" w:space="0" w:color="auto"/>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single" w:sz="4" w:space="0" w:color="auto"/>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-0.081***</w:t>
            </w:r>
          </w:p>
        </w:tc>
        <w:tc>
          <w:tcPr>
            <w:tcW w:w="270" w:type="dxa"/>
            <w:tcBorders>
              <w:top w:val="single" w:sz="4" w:space="0" w:color="auto"/>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single" w:sz="4" w:space="0" w:color="auto"/>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-0.084***</w:t>
            </w:r>
          </w:p>
        </w:tc>
        <w:tc>
          <w:tcPr>
            <w:tcW w:w="1290" w:type="dxa"/>
            <w:tcBorders>
              <w:top w:val="single" w:sz="4" w:space="0" w:color="auto"/>
              <w:left w:val="nil"/>
              <w:bottom w:val="nil"/>
              <w:right w:val="nil"/>
            </w:tcBorders>
            <w:shd w:val="clear" w:color="000000" w:fill="FFFFFF"/>
            <w:noWrap/>
            <w:vAlign w:val="center"/>
            <w:hideMark/>
          </w:tcPr>
          <w:p w:rsidR="002F1FB4" w:rsidRPr="00583FA9" w:rsidRDefault="002F1FB4" w:rsidP="003E7A9C">
            <w:pPr>
              <w:jc w:val="center"/>
            </w:pPr>
            <w:r w:rsidRPr="00583FA9">
              <w:t>-0.094***</w:t>
            </w:r>
          </w:p>
        </w:tc>
        <w:tc>
          <w:tcPr>
            <w:tcW w:w="1291" w:type="dxa"/>
            <w:tcBorders>
              <w:top w:val="single" w:sz="4" w:space="0" w:color="auto"/>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-0.080***</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2F1FB4" w:rsidP="003E7A9C">
            <w:r w:rsidRPr="00583FA9">
              <w:t> </w:t>
            </w:r>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(0.014)</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(0.015)</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(0.014)</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(0.015)</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(0.015)</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(0.014)</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092527" w:rsidP="003E7A9C">
            <m:oMathPara>
              <m:oMathParaPr>
                <m:jc m:val="left"/>
              </m:oMathParaPr>
              <m:oMath>
                <m:sSub>
                  <m:sSubPr>
                    <m:ctrlPr>
                      <w:rPr>
                        <w:rFonts w:ascii="Cambria Math" w:eastAsiaTheme="minorEastAsia" w:hAnsi="Cambria Math"/>
                        <w:i/>
                      </w:rPr>
                    </m:ctrlPr>
                  </m:sSubPr>
                  <m:e>
                    <m:r>
                      <w:rPr>
                        <w:rFonts w:ascii="Cambria Math" w:eastAsiaTheme="minorEastAsia" w:hAnsi="Cambria Math"/>
                      </w:rPr>
                      <m:t>UM</m:t>
                    </m:r>
                  </m:e>
                  <m:sub>
                    <m:r>
                      <w:rPr>
                        <w:rFonts w:ascii="Cambria Math" w:eastAsiaTheme="minorEastAsia" w:hAnsi="Cambria Math"/>
                      </w:rPr>
                      <m:t>it</m:t>
                    </m:r>
                  </m:sub>
                </m:sSub>
              </m:oMath>
            </m:oMathPara>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-0.012</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0.051***</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0.085**</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2F1FB4" w:rsidP="003E7A9C">
            <w:r w:rsidRPr="00583FA9">
              <w:t> </w:t>
            </w:r>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(0.012)</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(0.014)</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(0.036)</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092527" w:rsidP="003E7A9C">
            <m:oMathPara>
              <m:oMathParaPr>
                <m:jc m:val="left"/>
              </m:oMathParaPr>
              <m:oMath>
                <m:sSub>
                  <m:sSubPr>
                    <m:ctrlPr>
                      <w:rPr>
                        <w:rFonts w:ascii="Cambria Math" w:hAnsi="Cambria Math"/>
                        <w:i/>
                      </w:rPr>
                    </m:ctrlPr>
                  </m:sSubPr>
                  <m:e>
                    <m:r>
                      <w:rPr>
                        <w:rFonts w:ascii="Cambria Math" w:hAnsi="Cambria Math"/>
                      </w:rPr>
                      <m:t>Year(UM)</m:t>
                    </m:r>
                  </m:e>
                  <m:sub>
                    <m:r>
                      <w:rPr>
                        <w:rFonts w:ascii="Cambria Math" w:hAnsi="Cambria Math"/>
                      </w:rPr>
                      <m:t>it</m:t>
                    </m:r>
                  </m:sub>
                </m:sSub>
              </m:oMath>
            </m:oMathPara>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0.006***</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0.010***</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2F1FB4" w:rsidP="003E7A9C">
            <w:r w:rsidRPr="00583FA9">
              <w:t> </w:t>
            </w:r>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(0.002)</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(0.004)</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092527" w:rsidP="003E7A9C">
            <m:oMathPara>
              <m:oMathParaPr>
                <m:jc m:val="left"/>
              </m:oMathParaPr>
              <m:oMath>
                <m:sSub>
                  <m:sSubPr>
                    <m:ctrlPr>
                      <w:rPr>
                        <w:rFonts w:ascii="Cambria Math" w:eastAsiaTheme="minorEastAsia" w:hAnsi="Cambria Math"/>
                        <w:i/>
                      </w:rPr>
                    </m:ctrlPr>
                  </m:sSubPr>
                  <m:e>
                    <m:r>
                      <w:rPr>
                        <w:rFonts w:ascii="Cambria Math" w:eastAsiaTheme="minorEastAsia" w:hAnsi="Cambria Math"/>
                      </w:rPr>
                      <m:t>Total(UM)</m:t>
                    </m:r>
                  </m:e>
                  <m:sub>
                    <m:r>
                      <w:rPr>
                        <w:rFonts w:ascii="Cambria Math" w:eastAsiaTheme="minorEastAsia" w:hAnsi="Cambria Math"/>
                      </w:rPr>
                      <m:t>it</m:t>
                    </m:r>
                  </m:sub>
                </m:sSub>
              </m:oMath>
            </m:oMathPara>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-0.003*</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0.005</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0.023**</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2F1FB4" w:rsidP="003E7A9C">
            <w:r w:rsidRPr="00583FA9">
              <w:t> </w:t>
            </w:r>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(0.002)</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(0.003)</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(0.011)</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092527" w:rsidP="003E7A9C">
            <m:oMathPara>
              <m:oMathParaPr>
                <m:jc m:val="left"/>
              </m:oMathParaPr>
              <m:oMath>
                <m:sSub>
                  <m:sSubPr>
                    <m:ctrlPr>
                      <w:rPr>
                        <w:rFonts w:ascii="Cambria Math" w:hAnsi="Cambria Math"/>
                        <w:i/>
                      </w:rPr>
                    </m:ctrlPr>
                  </m:sSubPr>
                  <m:e>
                    <m:r>
                      <w:rPr>
                        <w:rFonts w:ascii="Cambria Math" w:hAnsi="Cambria Math"/>
                      </w:rPr>
                      <m:t>UM</m:t>
                    </m:r>
                  </m:e>
                  <m:sub>
                    <m:r>
                      <w:rPr>
                        <w:rFonts w:ascii="Cambria Math" w:hAnsi="Cambria Math"/>
                      </w:rPr>
                      <m:t>it</m:t>
                    </m:r>
                  </m:sub>
                </m:sSub>
                <m:r>
                  <w:rPr>
                    <w:rFonts w:ascii="Cambria Math"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-0.008</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2F1FB4" w:rsidP="003E7A9C">
            <w:r w:rsidRPr="00583FA9">
              <w:t> </w:t>
            </w:r>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(0.007)</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092527" w:rsidP="003E7A9C">
            <m:oMathPara>
              <m:oMathParaPr>
                <m:jc m:val="left"/>
              </m:oMathParaPr>
              <m:oMath>
                <m:sSub>
                  <m:sSubPr>
                    <m:ctrlPr>
                      <w:rPr>
                        <w:rFonts w:ascii="Cambria Math" w:hAnsi="Cambria Math"/>
                        <w:i/>
                      </w:rPr>
                    </m:ctrlPr>
                  </m:sSubPr>
                  <m:e>
                    <m:r>
                      <w:rPr>
                        <w:rFonts w:ascii="Cambria Math" w:hAnsi="Cambria Math"/>
                      </w:rPr>
                      <m:t>Year(UM)</m:t>
                    </m:r>
                  </m:e>
                  <m:sub>
                    <m:r>
                      <w:rPr>
                        <w:rFonts w:ascii="Cambria Math" w:hAnsi="Cambria Math"/>
                      </w:rPr>
                      <m:t>it</m:t>
                    </m:r>
                  </m:sub>
                </m:sSub>
                <m:r>
                  <w:rPr>
                    <w:rFonts w:ascii="Cambria Math"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-0.001</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2F1FB4" w:rsidP="003E7A9C">
            <w:r w:rsidRPr="00583FA9">
              <w:t> </w:t>
            </w:r>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(0.001)</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092527" w:rsidP="003E7A9C">
            <m:oMathPara>
              <m:oMathParaPr>
                <m:jc m:val="left"/>
              </m:oMathParaPr>
              <m:oMath>
                <m:sSub>
                  <m:sSubPr>
                    <m:ctrlPr>
                      <w:rPr>
                        <w:rFonts w:ascii="Cambria Math" w:hAnsi="Cambria Math"/>
                        <w:i/>
                      </w:rPr>
                    </m:ctrlPr>
                  </m:sSubPr>
                  <m:e>
                    <m:r>
                      <w:rPr>
                        <w:rFonts w:ascii="Cambria Math" w:hAnsi="Cambria Math"/>
                      </w:rPr>
                      <m:t>Total(UM)</m:t>
                    </m:r>
                  </m:e>
                  <m:sub>
                    <m:r>
                      <w:rPr>
                        <w:rFonts w:ascii="Cambria Math" w:hAnsi="Cambria Math"/>
                      </w:rPr>
                      <m:t>it</m:t>
                    </m:r>
                  </m:sub>
                </m:sSub>
                <m:r>
                  <w:rPr>
                    <w:rFonts w:ascii="Cambria Math"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hAnsi="Cambria Math"/>
                        <w:i/>
                      </w:rPr>
                    </m:ctrlPr>
                  </m:sSubPr>
                  <m:e>
                    <m:r>
                      <w:rPr>
                        <w:rFonts w:ascii="Cambria Math" w:hAnsi="Cambria Math"/>
                      </w:rPr>
                      <m:t>Costs</m:t>
                    </m:r>
                  </m:e>
                  <m:sub>
                    <m:r>
                      <w:rPr>
                        <w:rFonts w:ascii="Cambria Math" w:hAnsi="Cambria Math"/>
                      </w:rPr>
                      <m:t>it</m:t>
                    </m:r>
                  </m:sub>
                </m:sSub>
                <m:r>
                  <w:rPr>
                    <w:rFonts w:ascii="Cambria Math" w:hAnsi="Cambria Math"/>
                  </w:rPr>
                  <m:t>)</m:t>
                </m:r>
              </m:oMath>
            </m:oMathPara>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-0.003*</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2F1FB4" w:rsidP="003E7A9C">
            <w:r w:rsidRPr="00583FA9">
              <w:t> </w:t>
            </w:r>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 </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(0.002)</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583FA9" w:rsidRDefault="002F1FB4" w:rsidP="003E7A9C">
            <w:r w:rsidRPr="00583FA9">
              <w:t>Constant</w:t>
            </w:r>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1.381***</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1.702***</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1.753***</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1.378***</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1.698***</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1.686***</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1.761***</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1.691***</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single" w:sz="4" w:space="0" w:color="auto"/>
              <w:right w:val="nil"/>
            </w:tcBorders>
            <w:shd w:val="clear" w:color="000000" w:fill="FFFFFF"/>
            <w:vAlign w:val="center"/>
            <w:hideMark/>
          </w:tcPr>
          <w:p w:rsidR="002F1FB4" w:rsidRPr="00583FA9" w:rsidRDefault="002F1FB4" w:rsidP="003E7A9C">
            <w:r w:rsidRPr="00583FA9">
              <w:t> </w:t>
            </w:r>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(0.007)</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(0.054)</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(0.061)</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(0.002)</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(0.054)</w:t>
            </w:r>
          </w:p>
        </w:tc>
        <w:tc>
          <w:tcPr>
            <w:tcW w:w="2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(0.058)</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(0.061)</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(0.055)</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7020E4" w:rsidRDefault="002F1FB4" w:rsidP="003E7A9C">
            <w:r w:rsidRPr="007020E4">
              <w:t>No. of firms</w:t>
            </w:r>
          </w:p>
        </w:tc>
        <w:tc>
          <w:tcPr>
            <w:tcW w:w="1169" w:type="dxa"/>
            <w:tcBorders>
              <w:top w:val="single" w:sz="4" w:space="0" w:color="auto"/>
              <w:left w:val="nil"/>
              <w:bottom w:val="nil"/>
              <w:right w:val="nil"/>
            </w:tcBorders>
            <w:shd w:val="clear" w:color="000000" w:fill="FFFFFF"/>
            <w:noWrap/>
            <w:vAlign w:val="center"/>
            <w:hideMark/>
          </w:tcPr>
          <w:p w:rsidR="002F1FB4" w:rsidRPr="00583FA9" w:rsidRDefault="002F1FB4" w:rsidP="003E7A9C">
            <w:pPr>
              <w:jc w:val="center"/>
            </w:pPr>
            <w:r w:rsidRPr="00583FA9">
              <w:t>719</w:t>
            </w:r>
          </w:p>
        </w:tc>
        <w:tc>
          <w:tcPr>
            <w:tcW w:w="1170" w:type="dxa"/>
            <w:tcBorders>
              <w:top w:val="single" w:sz="4" w:space="0" w:color="auto"/>
              <w:left w:val="nil"/>
              <w:bottom w:val="nil"/>
              <w:right w:val="nil"/>
            </w:tcBorders>
            <w:shd w:val="clear" w:color="000000" w:fill="FFFFFF"/>
            <w:noWrap/>
            <w:vAlign w:val="center"/>
            <w:hideMark/>
          </w:tcPr>
          <w:p w:rsidR="002F1FB4" w:rsidRPr="00583FA9" w:rsidRDefault="002F1FB4" w:rsidP="003E7A9C">
            <w:pPr>
              <w:jc w:val="center"/>
            </w:pPr>
            <w:r w:rsidRPr="00583FA9">
              <w:t>719</w:t>
            </w:r>
          </w:p>
        </w:tc>
        <w:tc>
          <w:tcPr>
            <w:tcW w:w="1170" w:type="dxa"/>
            <w:tcBorders>
              <w:top w:val="single" w:sz="4" w:space="0" w:color="auto"/>
              <w:left w:val="nil"/>
              <w:bottom w:val="nil"/>
              <w:right w:val="nil"/>
            </w:tcBorders>
            <w:shd w:val="clear" w:color="000000" w:fill="FFFFFF"/>
            <w:noWrap/>
            <w:vAlign w:val="center"/>
            <w:hideMark/>
          </w:tcPr>
          <w:p w:rsidR="002F1FB4" w:rsidRPr="00583FA9" w:rsidRDefault="002F1FB4" w:rsidP="003E7A9C">
            <w:pPr>
              <w:jc w:val="center"/>
            </w:pPr>
            <w:r w:rsidRPr="00583FA9">
              <w:t>719</w:t>
            </w:r>
          </w:p>
        </w:tc>
        <w:tc>
          <w:tcPr>
            <w:tcW w:w="1170" w:type="dxa"/>
            <w:tcBorders>
              <w:top w:val="single" w:sz="4" w:space="0" w:color="auto"/>
              <w:left w:val="nil"/>
              <w:bottom w:val="nil"/>
              <w:right w:val="nil"/>
            </w:tcBorders>
            <w:shd w:val="clear" w:color="000000" w:fill="FFFFFF"/>
            <w:noWrap/>
            <w:vAlign w:val="center"/>
            <w:hideMark/>
          </w:tcPr>
          <w:p w:rsidR="002F1FB4" w:rsidRPr="00583FA9" w:rsidRDefault="002F1FB4" w:rsidP="003E7A9C">
            <w:pPr>
              <w:jc w:val="center"/>
            </w:pPr>
            <w:r w:rsidRPr="00583FA9">
              <w:t>719</w:t>
            </w:r>
          </w:p>
        </w:tc>
        <w:tc>
          <w:tcPr>
            <w:tcW w:w="1170" w:type="dxa"/>
            <w:tcBorders>
              <w:top w:val="single" w:sz="4" w:space="0" w:color="auto"/>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719</w:t>
            </w:r>
          </w:p>
        </w:tc>
        <w:tc>
          <w:tcPr>
            <w:tcW w:w="270" w:type="dxa"/>
            <w:tcBorders>
              <w:top w:val="nil"/>
              <w:left w:val="nil"/>
              <w:bottom w:val="nil"/>
              <w:right w:val="nil"/>
            </w:tcBorders>
            <w:shd w:val="clear" w:color="000000" w:fill="FFFFFF"/>
            <w:noWrap/>
            <w:vAlign w:val="bottom"/>
            <w:hideMark/>
          </w:tcPr>
          <w:p w:rsidR="002F1FB4" w:rsidRPr="00583FA9" w:rsidRDefault="002F1FB4" w:rsidP="003E7A9C">
            <w:pPr>
              <w:jc w:val="center"/>
              <w:rPr>
                <w:color w:val="000000"/>
              </w:rPr>
            </w:pPr>
            <w:r w:rsidRPr="00583FA9">
              <w:rPr>
                <w:color w:val="000000"/>
              </w:rPr>
              <w:t> </w:t>
            </w:r>
          </w:p>
        </w:tc>
        <w:tc>
          <w:tcPr>
            <w:tcW w:w="1290" w:type="dxa"/>
            <w:tcBorders>
              <w:top w:val="single" w:sz="4" w:space="0" w:color="auto"/>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719</w:t>
            </w:r>
          </w:p>
        </w:tc>
        <w:tc>
          <w:tcPr>
            <w:tcW w:w="1290" w:type="dxa"/>
            <w:tcBorders>
              <w:top w:val="single" w:sz="4" w:space="0" w:color="auto"/>
              <w:left w:val="nil"/>
              <w:bottom w:val="nil"/>
              <w:right w:val="nil"/>
            </w:tcBorders>
            <w:shd w:val="clear" w:color="000000" w:fill="FFFFFF"/>
            <w:noWrap/>
            <w:vAlign w:val="center"/>
            <w:hideMark/>
          </w:tcPr>
          <w:p w:rsidR="002F1FB4" w:rsidRPr="00583FA9" w:rsidRDefault="002F1FB4" w:rsidP="003E7A9C">
            <w:pPr>
              <w:jc w:val="center"/>
            </w:pPr>
            <w:r w:rsidRPr="00583FA9">
              <w:t>719</w:t>
            </w:r>
          </w:p>
        </w:tc>
        <w:tc>
          <w:tcPr>
            <w:tcW w:w="1291" w:type="dxa"/>
            <w:tcBorders>
              <w:top w:val="single" w:sz="4" w:space="0" w:color="auto"/>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719</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7020E4" w:rsidRDefault="002F1FB4" w:rsidP="003E7A9C">
            <w:r w:rsidRPr="007020E4">
              <w:t>Observations</w:t>
            </w:r>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8,000</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8,000</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8,000</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8,000</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8,000</w:t>
            </w:r>
          </w:p>
        </w:tc>
        <w:tc>
          <w:tcPr>
            <w:tcW w:w="270" w:type="dxa"/>
            <w:tcBorders>
              <w:top w:val="nil"/>
              <w:left w:val="nil"/>
              <w:bottom w:val="nil"/>
              <w:right w:val="nil"/>
            </w:tcBorders>
            <w:shd w:val="clear" w:color="000000" w:fill="FFFFFF"/>
            <w:noWrap/>
            <w:vAlign w:val="bottom"/>
            <w:hideMark/>
          </w:tcPr>
          <w:p w:rsidR="002F1FB4" w:rsidRPr="00583FA9" w:rsidRDefault="002F1FB4" w:rsidP="003E7A9C">
            <w:pPr>
              <w:jc w:val="center"/>
              <w:rPr>
                <w:color w:val="000000"/>
              </w:rPr>
            </w:pPr>
            <w:r w:rsidRPr="00583FA9">
              <w:rPr>
                <w:color w:val="000000"/>
              </w:rPr>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8,000</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8,000</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8,000</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7020E4" w:rsidRDefault="002F1FB4" w:rsidP="003E7A9C">
            <m:oMathPara>
              <m:oMathParaPr>
                <m:jc m:val="left"/>
              </m:oMathParaPr>
              <m:oMath>
                <m:r>
                  <w:rPr>
                    <w:rFonts w:ascii="Cambria Math" w:hAnsi="Cambria Math"/>
                  </w:rPr>
                  <m:t>F-statistics</m:t>
                </m:r>
              </m:oMath>
            </m:oMathPara>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1.0</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18.7</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19.4</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3.2</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17.9</w:t>
            </w:r>
          </w:p>
        </w:tc>
        <w:tc>
          <w:tcPr>
            <w:tcW w:w="270" w:type="dxa"/>
            <w:tcBorders>
              <w:top w:val="nil"/>
              <w:left w:val="nil"/>
              <w:bottom w:val="nil"/>
              <w:right w:val="nil"/>
            </w:tcBorders>
            <w:shd w:val="clear" w:color="000000" w:fill="FFFFFF"/>
            <w:noWrap/>
            <w:vAlign w:val="bottom"/>
            <w:hideMark/>
          </w:tcPr>
          <w:p w:rsidR="002F1FB4" w:rsidRPr="00583FA9" w:rsidRDefault="002F1FB4" w:rsidP="003E7A9C">
            <w:pPr>
              <w:jc w:val="center"/>
              <w:rPr>
                <w:color w:val="000000"/>
              </w:rPr>
            </w:pPr>
            <w:r w:rsidRPr="00583FA9">
              <w:rPr>
                <w:color w:val="000000"/>
              </w:rPr>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14.2</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15.8</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13.4</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trHeight w:val="315"/>
          <w:jc w:val="center"/>
        </w:trPr>
        <w:tc>
          <w:tcPr>
            <w:tcW w:w="2845" w:type="dxa"/>
            <w:tcBorders>
              <w:top w:val="nil"/>
              <w:left w:val="single" w:sz="4" w:space="0" w:color="auto"/>
              <w:bottom w:val="nil"/>
              <w:right w:val="nil"/>
            </w:tcBorders>
            <w:shd w:val="clear" w:color="000000" w:fill="FFFFFF"/>
            <w:vAlign w:val="center"/>
            <w:hideMark/>
          </w:tcPr>
          <w:p w:rsidR="002F1FB4" w:rsidRPr="007020E4" w:rsidRDefault="00092527" w:rsidP="003E7A9C">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1169"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0.000</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0.062</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0.064</w:t>
            </w:r>
          </w:p>
        </w:tc>
        <w:tc>
          <w:tcPr>
            <w:tcW w:w="117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0.000</w:t>
            </w:r>
          </w:p>
        </w:tc>
        <w:tc>
          <w:tcPr>
            <w:tcW w:w="1170"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0.058</w:t>
            </w:r>
          </w:p>
        </w:tc>
        <w:tc>
          <w:tcPr>
            <w:tcW w:w="270" w:type="dxa"/>
            <w:tcBorders>
              <w:top w:val="nil"/>
              <w:left w:val="nil"/>
              <w:bottom w:val="nil"/>
              <w:right w:val="nil"/>
            </w:tcBorders>
            <w:shd w:val="clear" w:color="000000" w:fill="FFFFFF"/>
            <w:noWrap/>
            <w:vAlign w:val="bottom"/>
            <w:hideMark/>
          </w:tcPr>
          <w:p w:rsidR="002F1FB4" w:rsidRPr="00583FA9" w:rsidRDefault="002F1FB4" w:rsidP="003E7A9C">
            <w:pPr>
              <w:jc w:val="center"/>
              <w:rPr>
                <w:color w:val="000000"/>
              </w:rPr>
            </w:pPr>
            <w:r w:rsidRPr="00583FA9">
              <w:rPr>
                <w:color w:val="000000"/>
              </w:rPr>
              <w:t> </w:t>
            </w:r>
          </w:p>
        </w:tc>
        <w:tc>
          <w:tcPr>
            <w:tcW w:w="1290" w:type="dxa"/>
            <w:tcBorders>
              <w:top w:val="nil"/>
              <w:left w:val="single" w:sz="4" w:space="0" w:color="auto"/>
              <w:bottom w:val="nil"/>
              <w:right w:val="nil"/>
            </w:tcBorders>
            <w:shd w:val="clear" w:color="000000" w:fill="FFFFFF"/>
            <w:noWrap/>
            <w:vAlign w:val="center"/>
            <w:hideMark/>
          </w:tcPr>
          <w:p w:rsidR="002F1FB4" w:rsidRPr="00583FA9" w:rsidRDefault="002F1FB4" w:rsidP="003E7A9C">
            <w:pPr>
              <w:jc w:val="center"/>
            </w:pPr>
            <w:r w:rsidRPr="00583FA9">
              <w:t>0.063</w:t>
            </w:r>
          </w:p>
        </w:tc>
        <w:tc>
          <w:tcPr>
            <w:tcW w:w="1290"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0.066</w:t>
            </w:r>
          </w:p>
        </w:tc>
        <w:tc>
          <w:tcPr>
            <w:tcW w:w="1291" w:type="dxa"/>
            <w:tcBorders>
              <w:top w:val="nil"/>
              <w:left w:val="nil"/>
              <w:bottom w:val="nil"/>
              <w:right w:val="single" w:sz="4" w:space="0" w:color="auto"/>
            </w:tcBorders>
            <w:shd w:val="clear" w:color="000000" w:fill="FFFFFF"/>
            <w:noWrap/>
            <w:vAlign w:val="center"/>
            <w:hideMark/>
          </w:tcPr>
          <w:p w:rsidR="002F1FB4" w:rsidRPr="00583FA9" w:rsidRDefault="002F1FB4" w:rsidP="003E7A9C">
            <w:pPr>
              <w:jc w:val="center"/>
            </w:pPr>
            <w:r w:rsidRPr="00583FA9">
              <w:t>0.059</w:t>
            </w:r>
          </w:p>
        </w:tc>
        <w:tc>
          <w:tcPr>
            <w:tcW w:w="236" w:type="dxa"/>
            <w:tcBorders>
              <w:top w:val="nil"/>
              <w:left w:val="nil"/>
              <w:bottom w:val="nil"/>
              <w:right w:val="nil"/>
            </w:tcBorders>
            <w:shd w:val="clear" w:color="000000" w:fill="FFFFFF"/>
            <w:noWrap/>
            <w:vAlign w:val="center"/>
            <w:hideMark/>
          </w:tcPr>
          <w:p w:rsidR="002F1FB4" w:rsidRPr="00583FA9" w:rsidRDefault="002F1FB4" w:rsidP="003E7A9C">
            <w:pPr>
              <w:jc w:val="center"/>
            </w:pPr>
            <w:r w:rsidRPr="00583FA9">
              <w:t> </w:t>
            </w:r>
          </w:p>
        </w:tc>
      </w:tr>
      <w:tr w:rsidR="002F1FB4" w:rsidRPr="00583FA9" w:rsidTr="003E7A9C">
        <w:trPr>
          <w:gridAfter w:val="1"/>
          <w:wAfter w:w="236" w:type="dxa"/>
          <w:trHeight w:val="315"/>
          <w:jc w:val="center"/>
        </w:trPr>
        <w:tc>
          <w:tcPr>
            <w:tcW w:w="2845" w:type="dxa"/>
            <w:tcBorders>
              <w:top w:val="nil"/>
              <w:left w:val="single" w:sz="4" w:space="0" w:color="auto"/>
              <w:bottom w:val="single" w:sz="4" w:space="0" w:color="auto"/>
              <w:right w:val="nil"/>
            </w:tcBorders>
            <w:shd w:val="clear" w:color="000000" w:fill="FFFFFF"/>
            <w:vAlign w:val="center"/>
            <w:hideMark/>
          </w:tcPr>
          <w:p w:rsidR="002F1FB4" w:rsidRPr="007020E4" w:rsidRDefault="002F1FB4" w:rsidP="003E7A9C">
            <w:r w:rsidRPr="007020E4">
              <w:t>ρ</w:t>
            </w:r>
          </w:p>
        </w:tc>
        <w:tc>
          <w:tcPr>
            <w:tcW w:w="1169" w:type="dxa"/>
            <w:tcBorders>
              <w:top w:val="nil"/>
              <w:left w:val="nil"/>
              <w:bottom w:val="single" w:sz="4" w:space="0" w:color="auto"/>
              <w:right w:val="nil"/>
            </w:tcBorders>
            <w:shd w:val="clear" w:color="000000" w:fill="FFFFFF"/>
            <w:noWrap/>
            <w:vAlign w:val="center"/>
            <w:hideMark/>
          </w:tcPr>
          <w:p w:rsidR="002F1FB4" w:rsidRPr="00583FA9" w:rsidRDefault="002F1FB4" w:rsidP="003E7A9C">
            <w:pPr>
              <w:jc w:val="center"/>
            </w:pPr>
            <w:r w:rsidRPr="00583FA9">
              <w:t>0.655</w:t>
            </w:r>
          </w:p>
        </w:tc>
        <w:tc>
          <w:tcPr>
            <w:tcW w:w="1170" w:type="dxa"/>
            <w:tcBorders>
              <w:top w:val="nil"/>
              <w:left w:val="nil"/>
              <w:bottom w:val="single" w:sz="4" w:space="0" w:color="auto"/>
              <w:right w:val="nil"/>
            </w:tcBorders>
            <w:shd w:val="clear" w:color="000000" w:fill="FFFFFF"/>
            <w:noWrap/>
            <w:vAlign w:val="center"/>
            <w:hideMark/>
          </w:tcPr>
          <w:p w:rsidR="002F1FB4" w:rsidRPr="00583FA9" w:rsidRDefault="002F1FB4" w:rsidP="003E7A9C">
            <w:pPr>
              <w:jc w:val="center"/>
            </w:pPr>
            <w:r w:rsidRPr="00583FA9">
              <w:t>0.658</w:t>
            </w:r>
          </w:p>
        </w:tc>
        <w:tc>
          <w:tcPr>
            <w:tcW w:w="1170" w:type="dxa"/>
            <w:tcBorders>
              <w:top w:val="nil"/>
              <w:left w:val="nil"/>
              <w:bottom w:val="single" w:sz="4" w:space="0" w:color="auto"/>
              <w:right w:val="nil"/>
            </w:tcBorders>
            <w:shd w:val="clear" w:color="000000" w:fill="FFFFFF"/>
            <w:noWrap/>
            <w:vAlign w:val="center"/>
            <w:hideMark/>
          </w:tcPr>
          <w:p w:rsidR="002F1FB4" w:rsidRPr="00583FA9" w:rsidRDefault="002F1FB4" w:rsidP="003E7A9C">
            <w:pPr>
              <w:jc w:val="center"/>
            </w:pPr>
            <w:r w:rsidRPr="00583FA9">
              <w:t>0.662</w:t>
            </w:r>
          </w:p>
        </w:tc>
        <w:tc>
          <w:tcPr>
            <w:tcW w:w="1170" w:type="dxa"/>
            <w:tcBorders>
              <w:top w:val="nil"/>
              <w:left w:val="nil"/>
              <w:bottom w:val="single" w:sz="4" w:space="0" w:color="auto"/>
              <w:right w:val="nil"/>
            </w:tcBorders>
            <w:shd w:val="clear" w:color="000000" w:fill="FFFFFF"/>
            <w:noWrap/>
            <w:vAlign w:val="center"/>
            <w:hideMark/>
          </w:tcPr>
          <w:p w:rsidR="002F1FB4" w:rsidRPr="00583FA9" w:rsidRDefault="002F1FB4" w:rsidP="003E7A9C">
            <w:pPr>
              <w:jc w:val="center"/>
            </w:pPr>
            <w:r w:rsidRPr="00583FA9">
              <w:t>0.655</w:t>
            </w:r>
          </w:p>
        </w:tc>
        <w:tc>
          <w:tcPr>
            <w:tcW w:w="1170" w:type="dxa"/>
            <w:tcBorders>
              <w:top w:val="nil"/>
              <w:left w:val="nil"/>
              <w:bottom w:val="single" w:sz="4" w:space="0" w:color="auto"/>
              <w:right w:val="single" w:sz="4" w:space="0" w:color="auto"/>
            </w:tcBorders>
            <w:shd w:val="clear" w:color="000000" w:fill="FFFFFF"/>
            <w:noWrap/>
            <w:vAlign w:val="center"/>
            <w:hideMark/>
          </w:tcPr>
          <w:p w:rsidR="002F1FB4" w:rsidRPr="00583FA9" w:rsidRDefault="002F1FB4" w:rsidP="003E7A9C">
            <w:pPr>
              <w:jc w:val="center"/>
            </w:pPr>
            <w:r w:rsidRPr="00583FA9">
              <w:t>0.651</w:t>
            </w:r>
          </w:p>
        </w:tc>
        <w:tc>
          <w:tcPr>
            <w:tcW w:w="270" w:type="dxa"/>
            <w:tcBorders>
              <w:top w:val="nil"/>
              <w:left w:val="nil"/>
              <w:bottom w:val="single" w:sz="4" w:space="0" w:color="auto"/>
              <w:right w:val="nil"/>
            </w:tcBorders>
            <w:shd w:val="clear" w:color="000000" w:fill="FFFFFF"/>
            <w:noWrap/>
            <w:vAlign w:val="bottom"/>
            <w:hideMark/>
          </w:tcPr>
          <w:p w:rsidR="002F1FB4" w:rsidRPr="00583FA9" w:rsidRDefault="002F1FB4" w:rsidP="003E7A9C">
            <w:pPr>
              <w:jc w:val="center"/>
              <w:rPr>
                <w:color w:val="000000"/>
              </w:rPr>
            </w:pPr>
            <w:r w:rsidRPr="00583FA9">
              <w:rPr>
                <w:color w:val="000000"/>
              </w:rPr>
              <w:t> </w:t>
            </w:r>
          </w:p>
        </w:tc>
        <w:tc>
          <w:tcPr>
            <w:tcW w:w="1290" w:type="dxa"/>
            <w:tcBorders>
              <w:top w:val="nil"/>
              <w:left w:val="single" w:sz="4" w:space="0" w:color="auto"/>
              <w:bottom w:val="single" w:sz="4" w:space="0" w:color="auto"/>
              <w:right w:val="nil"/>
            </w:tcBorders>
            <w:shd w:val="clear" w:color="000000" w:fill="FFFFFF"/>
            <w:noWrap/>
            <w:vAlign w:val="center"/>
            <w:hideMark/>
          </w:tcPr>
          <w:p w:rsidR="002F1FB4" w:rsidRPr="00583FA9" w:rsidRDefault="002F1FB4" w:rsidP="003E7A9C">
            <w:pPr>
              <w:jc w:val="center"/>
            </w:pPr>
            <w:r w:rsidRPr="00583FA9">
              <w:t>0.660</w:t>
            </w:r>
          </w:p>
        </w:tc>
        <w:tc>
          <w:tcPr>
            <w:tcW w:w="1290" w:type="dxa"/>
            <w:tcBorders>
              <w:top w:val="nil"/>
              <w:left w:val="nil"/>
              <w:bottom w:val="single" w:sz="4" w:space="0" w:color="auto"/>
              <w:right w:val="nil"/>
            </w:tcBorders>
            <w:shd w:val="clear" w:color="000000" w:fill="FFFFFF"/>
            <w:noWrap/>
            <w:vAlign w:val="center"/>
            <w:hideMark/>
          </w:tcPr>
          <w:p w:rsidR="002F1FB4" w:rsidRPr="00583FA9" w:rsidRDefault="002F1FB4" w:rsidP="003E7A9C">
            <w:pPr>
              <w:jc w:val="center"/>
            </w:pPr>
            <w:r w:rsidRPr="00583FA9">
              <w:t>0.666</w:t>
            </w:r>
          </w:p>
        </w:tc>
        <w:tc>
          <w:tcPr>
            <w:tcW w:w="1291" w:type="dxa"/>
            <w:tcBorders>
              <w:top w:val="nil"/>
              <w:left w:val="nil"/>
              <w:bottom w:val="single" w:sz="4" w:space="0" w:color="auto"/>
              <w:right w:val="single" w:sz="4" w:space="0" w:color="auto"/>
            </w:tcBorders>
            <w:shd w:val="clear" w:color="000000" w:fill="FFFFFF"/>
            <w:noWrap/>
            <w:vAlign w:val="center"/>
            <w:hideMark/>
          </w:tcPr>
          <w:p w:rsidR="002F1FB4" w:rsidRPr="00583FA9" w:rsidRDefault="002F1FB4" w:rsidP="003E7A9C">
            <w:pPr>
              <w:jc w:val="center"/>
            </w:pPr>
            <w:r w:rsidRPr="00583FA9">
              <w:t>0.655</w:t>
            </w:r>
          </w:p>
        </w:tc>
      </w:tr>
    </w:tbl>
    <w:p w:rsidR="002F1FB4" w:rsidRPr="00F27EE3" w:rsidRDefault="002F1FB4" w:rsidP="00496C85">
      <w:pPr>
        <w:jc w:val="center"/>
        <w:rPr>
          <w:i/>
        </w:rPr>
      </w:pPr>
      <w:r w:rsidRPr="00496C85">
        <w:rPr>
          <w:rFonts w:eastAsia="MS Mincho"/>
          <w:b/>
          <w:bCs/>
          <w:sz w:val="18"/>
          <w:szCs w:val="18"/>
          <w:lang w:bidi="ar-SA"/>
        </w:rPr>
        <w:t>Note: ***, ** and * indicate statistical significance at 1, 5 and 10 percent respectively. Standard errors are reported in parentheses</w:t>
      </w:r>
      <w:r w:rsidRPr="00F27EE3">
        <w:rPr>
          <w:i/>
        </w:rPr>
        <w:t>.</w:t>
      </w:r>
    </w:p>
    <w:p w:rsidR="003809A3" w:rsidRDefault="003809A3" w:rsidP="000715CC">
      <w:pPr>
        <w:rPr>
          <w:rFonts w:eastAsia="Calibri"/>
          <w:b/>
        </w:rPr>
      </w:pPr>
    </w:p>
    <w:p w:rsidR="00324178" w:rsidRDefault="00324178" w:rsidP="000715CC">
      <w:pPr>
        <w:rPr>
          <w:rFonts w:eastAsia="Calibri"/>
          <w:b/>
        </w:rPr>
        <w:sectPr w:rsidR="00324178" w:rsidSect="00076721">
          <w:pgSz w:w="16838" w:h="11906" w:orient="landscape" w:code="9"/>
          <w:pgMar w:top="1800" w:right="1440" w:bottom="1800" w:left="1440" w:header="706" w:footer="706" w:gutter="0"/>
          <w:cols w:space="720"/>
          <w:titlePg/>
          <w:docGrid w:linePitch="408"/>
        </w:sectPr>
      </w:pPr>
    </w:p>
    <w:p w:rsidR="007331F6" w:rsidRDefault="007331F6" w:rsidP="009F0926"/>
    <w:p w:rsidR="007331F6" w:rsidRPr="002436A8" w:rsidRDefault="00F66B22" w:rsidP="00EE6F52">
      <w:pPr>
        <w:pStyle w:val="Heading1"/>
        <w:rPr>
          <w:i w:val="0"/>
          <w:caps/>
        </w:rPr>
      </w:pPr>
      <w:bookmarkStart w:id="44" w:name="_Toc393894467"/>
      <w:r w:rsidRPr="002436A8">
        <w:rPr>
          <w:i w:val="0"/>
          <w:caps/>
        </w:rPr>
        <w:t>Conclusion</w:t>
      </w:r>
      <w:bookmarkEnd w:id="44"/>
    </w:p>
    <w:p w:rsidR="00F66B22" w:rsidRPr="00F66B22" w:rsidRDefault="00F66B22" w:rsidP="009F0926"/>
    <w:p w:rsidR="00F66B22" w:rsidRDefault="00F66B22" w:rsidP="00F66B22">
      <w:r>
        <w:t>This paper takes a first step in trying to establish if UM protection is useful in</w:t>
      </w:r>
      <w:r w:rsidR="00AE604E">
        <w:t xml:space="preserve"> a</w:t>
      </w:r>
      <w:r>
        <w:t xml:space="preserve"> less developed economy such as Thailand</w:t>
      </w:r>
      <w:r w:rsidRPr="005D326F">
        <w:t>.</w:t>
      </w:r>
      <w:r>
        <w:t xml:space="preserve"> </w:t>
      </w:r>
      <w:r w:rsidR="003F6A9C">
        <w:t xml:space="preserve"> </w:t>
      </w:r>
      <w:r>
        <w:t>In particular, i</w:t>
      </w:r>
      <w:r w:rsidRPr="005D326F">
        <w:t xml:space="preserve">t investigates the relationship of UM protection and firm economic performance in </w:t>
      </w:r>
      <w:r>
        <w:t>the country</w:t>
      </w:r>
      <w:r w:rsidRPr="005D326F">
        <w:t xml:space="preserve">. </w:t>
      </w:r>
      <w:r w:rsidR="003F6A9C">
        <w:t xml:space="preserve"> </w:t>
      </w:r>
      <w:r>
        <w:t>Th</w:t>
      </w:r>
      <w:r w:rsidR="00D131FA">
        <w:t>is</w:t>
      </w:r>
      <w:r>
        <w:t xml:space="preserve"> paper</w:t>
      </w:r>
      <w:r w:rsidRPr="005D326F">
        <w:t xml:space="preserve"> builds an earlier database, which collected information on Thai UM applications and registrations, and extended it to firm performance indicators. </w:t>
      </w:r>
      <w:r w:rsidR="003F6A9C">
        <w:t xml:space="preserve"> </w:t>
      </w:r>
      <w:r w:rsidRPr="005D326F">
        <w:t xml:space="preserve">Having information on the firms’ financial performance before and after they have applied for UM protection allows us </w:t>
      </w:r>
      <w:r w:rsidR="00D131FA">
        <w:t xml:space="preserve">conduct an event study </w:t>
      </w:r>
      <w:r w:rsidRPr="005D326F">
        <w:t>to</w:t>
      </w:r>
      <w:r>
        <w:t xml:space="preserve"> observe</w:t>
      </w:r>
      <w:r w:rsidRPr="005D326F">
        <w:t xml:space="preserve"> if UM protection does affect the firms’ performances</w:t>
      </w:r>
      <w:r>
        <w:t>.</w:t>
      </w:r>
      <w:r w:rsidRPr="005D326F">
        <w:t xml:space="preserve"> </w:t>
      </w:r>
    </w:p>
    <w:p w:rsidR="00F66B22" w:rsidRPr="005D326F" w:rsidRDefault="00F66B22" w:rsidP="00F66B22"/>
    <w:p w:rsidR="00F66B22" w:rsidRDefault="00F66B22" w:rsidP="00F66B22">
      <w:r w:rsidRPr="005D326F">
        <w:t>The results presented here on UM protection are promising.</w:t>
      </w:r>
      <w:r w:rsidR="003F6A9C">
        <w:t xml:space="preserve"> </w:t>
      </w:r>
      <w:r w:rsidRPr="005D326F">
        <w:t xml:space="preserve"> However, what we have shown is that there is a relationship between firms that apply for UM and their economic performances; but we </w:t>
      </w:r>
      <w:r w:rsidR="00D131FA">
        <w:t xml:space="preserve">are </w:t>
      </w:r>
      <w:r w:rsidRPr="005D326F">
        <w:t>not able to show that the gains are because of</w:t>
      </w:r>
      <w:r>
        <w:t xml:space="preserve"> the market exclusivity of</w:t>
      </w:r>
      <w:r w:rsidRPr="005D326F">
        <w:t xml:space="preserve"> UM</w:t>
      </w:r>
      <w:r>
        <w:t xml:space="preserve"> protection</w:t>
      </w:r>
      <w:r w:rsidRPr="005D326F">
        <w:t xml:space="preserve">. </w:t>
      </w:r>
      <w:r w:rsidR="003F6A9C">
        <w:t xml:space="preserve"> </w:t>
      </w:r>
      <w:r w:rsidRPr="005D326F">
        <w:t xml:space="preserve">Simply put, we were not able to show causality between the introduction and implementation of UM protection and gains in firm economic performance. </w:t>
      </w:r>
      <w:r w:rsidR="003F6A9C">
        <w:t xml:space="preserve"> </w:t>
      </w:r>
      <w:r w:rsidRPr="005D326F">
        <w:t>This is partly due to data limitations.</w:t>
      </w:r>
      <w:r w:rsidR="003F6A9C">
        <w:t xml:space="preserve"> </w:t>
      </w:r>
      <w:r w:rsidRPr="005D326F">
        <w:t xml:space="preserve"> We may be omitting some important factors that can well explain the economic gains that these firms observe which may also be related to the firms’ decision to file for UM.</w:t>
      </w:r>
      <w:r w:rsidR="003F6A9C">
        <w:t xml:space="preserve"> </w:t>
      </w:r>
      <w:r>
        <w:t xml:space="preserve"> In other words, do more successful innovators that take out more UM protection perform better? </w:t>
      </w:r>
      <w:r w:rsidR="003F6A9C">
        <w:t xml:space="preserve"> </w:t>
      </w:r>
      <w:r>
        <w:t>As a counter argument, do firms that produce successful innovation but do not take UM protection also perform equally well?</w:t>
      </w:r>
    </w:p>
    <w:p w:rsidR="00F66B22" w:rsidRDefault="00F66B22" w:rsidP="00F66B22"/>
    <w:p w:rsidR="00F66B22" w:rsidRPr="005D326F" w:rsidRDefault="00F66B22" w:rsidP="00F66B22">
      <w:r w:rsidRPr="005D326F">
        <w:t xml:space="preserve">Further investigation is needed before we can conclude how UM affects firms economic performance. </w:t>
      </w:r>
      <w:r w:rsidR="003F6A9C">
        <w:t xml:space="preserve"> </w:t>
      </w:r>
      <w:r w:rsidRPr="005D326F">
        <w:t xml:space="preserve">For one, what are the channels through which UM protection may affect the firms’ performance? </w:t>
      </w:r>
      <w:r w:rsidR="003F6A9C">
        <w:t xml:space="preserve"> </w:t>
      </w:r>
      <w:r w:rsidRPr="005D326F">
        <w:t xml:space="preserve">Does UM protection give time to the firms to commercialize their inventions, without fear that rivals may infringe on their intellectual property? </w:t>
      </w:r>
      <w:r w:rsidR="003F6A9C">
        <w:t xml:space="preserve"> </w:t>
      </w:r>
      <w:r w:rsidRPr="005D326F">
        <w:t xml:space="preserve">Does it facilitate the firms’ access to capital? </w:t>
      </w:r>
      <w:r w:rsidR="003F6A9C">
        <w:t xml:space="preserve"> </w:t>
      </w:r>
      <w:r w:rsidRPr="005D326F">
        <w:t xml:space="preserve">Also, what are the reasons behind the firms’ decision to file for UM protection, in comparison to patent protection for example? </w:t>
      </w:r>
      <w:r w:rsidR="003F6A9C">
        <w:t xml:space="preserve"> </w:t>
      </w:r>
      <w:r w:rsidRPr="005D326F">
        <w:t>We plan to investigate these avenues for future research work.</w:t>
      </w:r>
    </w:p>
    <w:p w:rsidR="007331F6" w:rsidRDefault="007331F6" w:rsidP="009F0926"/>
    <w:p w:rsidR="00A5718A" w:rsidRDefault="00A5718A" w:rsidP="009F0926"/>
    <w:p w:rsidR="00A5718A" w:rsidRDefault="00A5718A">
      <w:r>
        <w:br w:type="page"/>
      </w:r>
    </w:p>
    <w:p w:rsidR="00A5718A" w:rsidRDefault="00A5718A" w:rsidP="009F0926"/>
    <w:p w:rsidR="003E04E0" w:rsidRDefault="003E04E0" w:rsidP="009F0926"/>
    <w:p w:rsidR="003E04E0" w:rsidRPr="002436A8" w:rsidRDefault="003E04E0" w:rsidP="003E04E0">
      <w:pPr>
        <w:pStyle w:val="Heading1"/>
        <w:rPr>
          <w:i w:val="0"/>
          <w:caps/>
        </w:rPr>
      </w:pPr>
      <w:bookmarkStart w:id="45" w:name="_Toc393894468"/>
      <w:r w:rsidRPr="002436A8">
        <w:rPr>
          <w:i w:val="0"/>
          <w:caps/>
        </w:rPr>
        <w:t>Acknowledgements</w:t>
      </w:r>
      <w:bookmarkEnd w:id="45"/>
    </w:p>
    <w:p w:rsidR="003E04E0" w:rsidRDefault="003E04E0" w:rsidP="003E04E0"/>
    <w:p w:rsidR="003E04E0" w:rsidRPr="004B4D58" w:rsidRDefault="003E04E0" w:rsidP="003E04E0">
      <w:pPr>
        <w:rPr>
          <w:szCs w:val="22"/>
          <w:lang w:bidi="ar-SA"/>
        </w:rPr>
      </w:pPr>
      <w:r w:rsidRPr="004B4D58">
        <w:rPr>
          <w:szCs w:val="22"/>
          <w:lang w:bidi="ar-SA"/>
        </w:rPr>
        <w:t xml:space="preserve">This work would not have been possible without the close cooperation from the Thai </w:t>
      </w:r>
    </w:p>
    <w:p w:rsidR="003E04E0" w:rsidRPr="004B4D58" w:rsidRDefault="003E04E0" w:rsidP="003E04E0">
      <w:pPr>
        <w:rPr>
          <w:szCs w:val="22"/>
          <w:lang w:bidi="ar-SA"/>
        </w:rPr>
      </w:pPr>
      <w:r w:rsidRPr="004B4D58">
        <w:rPr>
          <w:szCs w:val="22"/>
          <w:lang w:bidi="ar-SA"/>
        </w:rPr>
        <w:t>Department of Intellectual Property (DIP), under the Ministry of Commerce.</w:t>
      </w:r>
      <w:r w:rsidR="00ED25C8">
        <w:rPr>
          <w:szCs w:val="22"/>
          <w:lang w:bidi="ar-SA"/>
        </w:rPr>
        <w:t xml:space="preserve"> </w:t>
      </w:r>
      <w:r w:rsidRPr="004B4D58">
        <w:rPr>
          <w:szCs w:val="22"/>
          <w:lang w:bidi="ar-SA"/>
        </w:rPr>
        <w:t xml:space="preserve"> We also thank Prof</w:t>
      </w:r>
      <w:r>
        <w:rPr>
          <w:szCs w:val="22"/>
          <w:lang w:bidi="ar-SA"/>
        </w:rPr>
        <w:t xml:space="preserve">essor </w:t>
      </w:r>
      <w:r w:rsidRPr="004B4D58">
        <w:rPr>
          <w:szCs w:val="22"/>
          <w:lang w:bidi="ar-SA"/>
        </w:rPr>
        <w:t xml:space="preserve">Keun Lee </w:t>
      </w:r>
      <w:r w:rsidR="00110043">
        <w:rPr>
          <w:szCs w:val="22"/>
          <w:lang w:bidi="ar-SA"/>
        </w:rPr>
        <w:t xml:space="preserve">and the DIP </w:t>
      </w:r>
      <w:r w:rsidRPr="004B4D58">
        <w:rPr>
          <w:szCs w:val="22"/>
          <w:lang w:bidi="ar-SA"/>
        </w:rPr>
        <w:t>for reviewing this document.</w:t>
      </w:r>
    </w:p>
    <w:p w:rsidR="00ED25C8" w:rsidRDefault="00ED25C8"/>
    <w:p w:rsidR="003E04E0" w:rsidRDefault="003E04E0" w:rsidP="009F0926"/>
    <w:p w:rsidR="00DC6599" w:rsidRDefault="002436A8" w:rsidP="002436A8">
      <w:pPr>
        <w:pStyle w:val="Heading1"/>
        <w:rPr>
          <w:i w:val="0"/>
          <w:caps/>
        </w:rPr>
      </w:pPr>
      <w:bookmarkStart w:id="46" w:name="_Toc393894469"/>
      <w:r w:rsidRPr="002436A8">
        <w:rPr>
          <w:i w:val="0"/>
          <w:caps/>
        </w:rPr>
        <w:t>References</w:t>
      </w:r>
      <w:bookmarkEnd w:id="46"/>
    </w:p>
    <w:p w:rsidR="00C85D1D" w:rsidRDefault="00C85D1D" w:rsidP="00C85D1D">
      <w:pPr>
        <w:rPr>
          <w:lang w:bidi="ar-SA"/>
        </w:rPr>
      </w:pPr>
    </w:p>
    <w:p w:rsidR="00C85D1D" w:rsidRDefault="00C85D1D" w:rsidP="00F25064">
      <w:pPr>
        <w:rPr>
          <w:noProof/>
        </w:rPr>
      </w:pPr>
      <w:bookmarkStart w:id="47" w:name="_ENREF_1"/>
      <w:r>
        <w:rPr>
          <w:noProof/>
        </w:rPr>
        <w:t xml:space="preserve">Commission on Intellectual Property Rights. (2002). </w:t>
      </w:r>
      <w:r w:rsidRPr="005011FA">
        <w:rPr>
          <w:i/>
          <w:noProof/>
        </w:rPr>
        <w:t>Integrating Intellectual Property Rights and Development Policy: Report of the Commission on Intellectual Property Rights</w:t>
      </w:r>
      <w:r>
        <w:rPr>
          <w:noProof/>
        </w:rPr>
        <w:t>. London: Commission on Intellectual Property Rights.</w:t>
      </w:r>
      <w:bookmarkEnd w:id="47"/>
    </w:p>
    <w:p w:rsidR="00F25064" w:rsidRDefault="00F25064" w:rsidP="00F25064">
      <w:pPr>
        <w:rPr>
          <w:noProof/>
        </w:rPr>
      </w:pPr>
    </w:p>
    <w:p w:rsidR="00C85D1D" w:rsidRDefault="00C85D1D" w:rsidP="00F25064">
      <w:pPr>
        <w:rPr>
          <w:noProof/>
        </w:rPr>
      </w:pPr>
      <w:bookmarkStart w:id="48" w:name="_ENREF_2"/>
      <w:r>
        <w:rPr>
          <w:noProof/>
        </w:rPr>
        <w:t xml:space="preserve">Granstrand, O. (1999). </w:t>
      </w:r>
      <w:r w:rsidRPr="005011FA">
        <w:rPr>
          <w:i/>
          <w:noProof/>
        </w:rPr>
        <w:t xml:space="preserve">The </w:t>
      </w:r>
      <w:r w:rsidR="007A4FA0">
        <w:rPr>
          <w:i/>
          <w:noProof/>
        </w:rPr>
        <w:t>E</w:t>
      </w:r>
      <w:r w:rsidRPr="005011FA">
        <w:rPr>
          <w:i/>
          <w:noProof/>
        </w:rPr>
        <w:t xml:space="preserve">conomics and </w:t>
      </w:r>
      <w:r w:rsidR="007A4FA0">
        <w:rPr>
          <w:i/>
          <w:noProof/>
        </w:rPr>
        <w:t>M</w:t>
      </w:r>
      <w:r w:rsidRPr="005011FA">
        <w:rPr>
          <w:i/>
          <w:noProof/>
        </w:rPr>
        <w:t xml:space="preserve">anagement of </w:t>
      </w:r>
      <w:r w:rsidR="007A4FA0">
        <w:rPr>
          <w:i/>
          <w:noProof/>
        </w:rPr>
        <w:t>I</w:t>
      </w:r>
      <w:r w:rsidRPr="005011FA">
        <w:rPr>
          <w:i/>
          <w:noProof/>
        </w:rPr>
        <w:t xml:space="preserve">ntellectual </w:t>
      </w:r>
      <w:r w:rsidR="007A4FA0">
        <w:rPr>
          <w:i/>
          <w:noProof/>
        </w:rPr>
        <w:t>P</w:t>
      </w:r>
      <w:r w:rsidRPr="005011FA">
        <w:rPr>
          <w:i/>
          <w:noProof/>
        </w:rPr>
        <w:t>roperty</w:t>
      </w:r>
      <w:r>
        <w:rPr>
          <w:noProof/>
        </w:rPr>
        <w:t>. Cheltenham: Edward Elgar Publishing Limited.</w:t>
      </w:r>
      <w:bookmarkEnd w:id="48"/>
    </w:p>
    <w:p w:rsidR="00F25064" w:rsidRDefault="00F25064" w:rsidP="00F25064">
      <w:pPr>
        <w:rPr>
          <w:noProof/>
        </w:rPr>
      </w:pPr>
    </w:p>
    <w:p w:rsidR="00C85D1D" w:rsidRDefault="00C85D1D" w:rsidP="00F25064">
      <w:pPr>
        <w:rPr>
          <w:noProof/>
        </w:rPr>
      </w:pPr>
      <w:bookmarkStart w:id="49" w:name="_ENREF_3"/>
      <w:r>
        <w:rPr>
          <w:noProof/>
        </w:rPr>
        <w:t xml:space="preserve">Kim, L. (1997). </w:t>
      </w:r>
      <w:r w:rsidRPr="005011FA">
        <w:rPr>
          <w:i/>
          <w:noProof/>
        </w:rPr>
        <w:t>Imitation to Innovation: The Dynamics of Korea's Technological Learning</w:t>
      </w:r>
      <w:r>
        <w:rPr>
          <w:noProof/>
        </w:rPr>
        <w:t>. Boston: Harvard Business Press.</w:t>
      </w:r>
      <w:bookmarkEnd w:id="49"/>
    </w:p>
    <w:p w:rsidR="00F25064" w:rsidRDefault="00F25064" w:rsidP="00F25064">
      <w:pPr>
        <w:rPr>
          <w:noProof/>
        </w:rPr>
      </w:pPr>
    </w:p>
    <w:p w:rsidR="00C85D1D" w:rsidRDefault="00C85D1D" w:rsidP="00F25064">
      <w:pPr>
        <w:rPr>
          <w:noProof/>
        </w:rPr>
      </w:pPr>
      <w:bookmarkStart w:id="50" w:name="_ENREF_4"/>
      <w:r>
        <w:rPr>
          <w:noProof/>
        </w:rPr>
        <w:t xml:space="preserve">Kim, Y. K., Lee, K., Park, W. G., &amp; Choo, K. (2012). Appropriate </w:t>
      </w:r>
      <w:r w:rsidR="007A4FA0">
        <w:rPr>
          <w:noProof/>
        </w:rPr>
        <w:t>I</w:t>
      </w:r>
      <w:r>
        <w:rPr>
          <w:noProof/>
        </w:rPr>
        <w:t xml:space="preserve">ntellectual </w:t>
      </w:r>
      <w:r w:rsidR="007A4FA0">
        <w:rPr>
          <w:noProof/>
        </w:rPr>
        <w:t>P</w:t>
      </w:r>
      <w:r>
        <w:rPr>
          <w:noProof/>
        </w:rPr>
        <w:t xml:space="preserve">roperty </w:t>
      </w:r>
      <w:r w:rsidR="007A4FA0">
        <w:rPr>
          <w:noProof/>
        </w:rPr>
        <w:t>P</w:t>
      </w:r>
      <w:r>
        <w:rPr>
          <w:noProof/>
        </w:rPr>
        <w:t xml:space="preserve">rotection and </w:t>
      </w:r>
      <w:r w:rsidR="007A4FA0">
        <w:rPr>
          <w:noProof/>
        </w:rPr>
        <w:t>E</w:t>
      </w:r>
      <w:r>
        <w:rPr>
          <w:noProof/>
        </w:rPr>
        <w:t xml:space="preserve">conomic </w:t>
      </w:r>
      <w:r w:rsidR="007A4FA0">
        <w:rPr>
          <w:noProof/>
        </w:rPr>
        <w:t>G</w:t>
      </w:r>
      <w:r>
        <w:rPr>
          <w:noProof/>
        </w:rPr>
        <w:t xml:space="preserve">rowth in </w:t>
      </w:r>
      <w:r w:rsidR="007A4FA0">
        <w:rPr>
          <w:noProof/>
        </w:rPr>
        <w:t>C</w:t>
      </w:r>
      <w:r>
        <w:rPr>
          <w:noProof/>
        </w:rPr>
        <w:t xml:space="preserve">ountries at </w:t>
      </w:r>
      <w:r w:rsidR="007A4FA0">
        <w:rPr>
          <w:noProof/>
        </w:rPr>
        <w:t>D</w:t>
      </w:r>
      <w:r>
        <w:rPr>
          <w:noProof/>
        </w:rPr>
        <w:t xml:space="preserve">ifferent </w:t>
      </w:r>
      <w:r w:rsidR="007A4FA0">
        <w:rPr>
          <w:noProof/>
        </w:rPr>
        <w:t>L</w:t>
      </w:r>
      <w:r>
        <w:rPr>
          <w:noProof/>
        </w:rPr>
        <w:t xml:space="preserve">evels of </w:t>
      </w:r>
      <w:r w:rsidR="007A4FA0">
        <w:rPr>
          <w:noProof/>
        </w:rPr>
        <w:t>D</w:t>
      </w:r>
      <w:r>
        <w:rPr>
          <w:noProof/>
        </w:rPr>
        <w:t xml:space="preserve">evelopment. </w:t>
      </w:r>
      <w:r w:rsidRPr="005011FA">
        <w:rPr>
          <w:i/>
          <w:noProof/>
        </w:rPr>
        <w:t>Research Policy, 41</w:t>
      </w:r>
      <w:r>
        <w:rPr>
          <w:noProof/>
        </w:rPr>
        <w:t>(2), 358-375.</w:t>
      </w:r>
      <w:bookmarkEnd w:id="50"/>
    </w:p>
    <w:p w:rsidR="00F25064" w:rsidRDefault="00F25064" w:rsidP="00F25064">
      <w:pPr>
        <w:rPr>
          <w:noProof/>
        </w:rPr>
      </w:pPr>
    </w:p>
    <w:p w:rsidR="00C85D1D" w:rsidRDefault="00C85D1D" w:rsidP="00F25064">
      <w:pPr>
        <w:rPr>
          <w:noProof/>
        </w:rPr>
      </w:pPr>
      <w:bookmarkStart w:id="51" w:name="_ENREF_5"/>
      <w:r>
        <w:rPr>
          <w:noProof/>
        </w:rPr>
        <w:t xml:space="preserve">Lall, S. (2001). Competitiveness Indices and Developing Countries: An Economic Evaluation of the Global Competitiveness Report. </w:t>
      </w:r>
      <w:r w:rsidRPr="005011FA">
        <w:rPr>
          <w:i/>
          <w:noProof/>
        </w:rPr>
        <w:t>World Development, 29</w:t>
      </w:r>
      <w:r>
        <w:rPr>
          <w:noProof/>
        </w:rPr>
        <w:t>(9), 1501-1525.</w:t>
      </w:r>
      <w:bookmarkEnd w:id="51"/>
    </w:p>
    <w:p w:rsidR="00F25064" w:rsidRDefault="00F25064" w:rsidP="00F25064">
      <w:pPr>
        <w:rPr>
          <w:noProof/>
        </w:rPr>
      </w:pPr>
    </w:p>
    <w:p w:rsidR="00C85D1D" w:rsidRDefault="00C85D1D" w:rsidP="00F25064">
      <w:pPr>
        <w:rPr>
          <w:noProof/>
        </w:rPr>
      </w:pPr>
      <w:bookmarkStart w:id="52" w:name="_ENREF_6"/>
      <w:r>
        <w:rPr>
          <w:noProof/>
        </w:rPr>
        <w:t xml:space="preserve">Lall, S. (2003). Indicators of the </w:t>
      </w:r>
      <w:r w:rsidR="007A4FA0">
        <w:rPr>
          <w:noProof/>
        </w:rPr>
        <w:t>R</w:t>
      </w:r>
      <w:r>
        <w:rPr>
          <w:noProof/>
        </w:rPr>
        <w:t xml:space="preserve">elative </w:t>
      </w:r>
      <w:r w:rsidR="007A4FA0">
        <w:rPr>
          <w:noProof/>
        </w:rPr>
        <w:t>I</w:t>
      </w:r>
      <w:r>
        <w:rPr>
          <w:noProof/>
        </w:rPr>
        <w:t xml:space="preserve">mportance of IPRs in </w:t>
      </w:r>
      <w:r w:rsidR="007A4FA0">
        <w:rPr>
          <w:noProof/>
        </w:rPr>
        <w:t>D</w:t>
      </w:r>
      <w:r>
        <w:rPr>
          <w:noProof/>
        </w:rPr>
        <w:t xml:space="preserve">eveloping </w:t>
      </w:r>
      <w:r w:rsidR="007A4FA0">
        <w:rPr>
          <w:noProof/>
        </w:rPr>
        <w:t>C</w:t>
      </w:r>
      <w:r>
        <w:rPr>
          <w:noProof/>
        </w:rPr>
        <w:t xml:space="preserve">ountries. </w:t>
      </w:r>
      <w:r w:rsidRPr="005011FA">
        <w:rPr>
          <w:i/>
          <w:noProof/>
        </w:rPr>
        <w:t>Research Policy, 32</w:t>
      </w:r>
      <w:r>
        <w:rPr>
          <w:noProof/>
        </w:rPr>
        <w:t>(9), 1657-1680.</w:t>
      </w:r>
      <w:bookmarkEnd w:id="52"/>
    </w:p>
    <w:p w:rsidR="00F25064" w:rsidRDefault="00F25064" w:rsidP="00F25064">
      <w:pPr>
        <w:rPr>
          <w:noProof/>
        </w:rPr>
      </w:pPr>
    </w:p>
    <w:p w:rsidR="00C85D1D" w:rsidRDefault="00C85D1D" w:rsidP="00F25064">
      <w:pPr>
        <w:rPr>
          <w:noProof/>
        </w:rPr>
      </w:pPr>
      <w:bookmarkStart w:id="53" w:name="_ENREF_7"/>
      <w:r>
        <w:rPr>
          <w:noProof/>
        </w:rPr>
        <w:t xml:space="preserve">Suthersanen, U. (2006). Utility </w:t>
      </w:r>
      <w:r w:rsidR="007A4FA0">
        <w:rPr>
          <w:noProof/>
        </w:rPr>
        <w:t>M</w:t>
      </w:r>
      <w:r>
        <w:rPr>
          <w:noProof/>
        </w:rPr>
        <w:t>o</w:t>
      </w:r>
      <w:r w:rsidR="007A4FA0">
        <w:rPr>
          <w:noProof/>
        </w:rPr>
        <w:t>de</w:t>
      </w:r>
      <w:r>
        <w:rPr>
          <w:noProof/>
        </w:rPr>
        <w:t xml:space="preserve">ls and </w:t>
      </w:r>
      <w:r w:rsidR="007A4FA0">
        <w:rPr>
          <w:noProof/>
        </w:rPr>
        <w:t>I</w:t>
      </w:r>
      <w:r>
        <w:rPr>
          <w:noProof/>
        </w:rPr>
        <w:t xml:space="preserve">nnovation in </w:t>
      </w:r>
      <w:r w:rsidR="007A4FA0">
        <w:rPr>
          <w:noProof/>
        </w:rPr>
        <w:t>D</w:t>
      </w:r>
      <w:r>
        <w:rPr>
          <w:noProof/>
        </w:rPr>
        <w:t xml:space="preserve">eveloping </w:t>
      </w:r>
      <w:r w:rsidR="007A4FA0">
        <w:rPr>
          <w:noProof/>
        </w:rPr>
        <w:t>C</w:t>
      </w:r>
      <w:r>
        <w:rPr>
          <w:noProof/>
        </w:rPr>
        <w:t xml:space="preserve">ountries, </w:t>
      </w:r>
      <w:r w:rsidRPr="005011FA">
        <w:rPr>
          <w:i/>
          <w:noProof/>
        </w:rPr>
        <w:t>UNCTAD-ICTSD Project on IPRs and Sustainable Development</w:t>
      </w:r>
      <w:r>
        <w:rPr>
          <w:noProof/>
        </w:rPr>
        <w:t>. Geneva: ICTSD-UNCTAD.</w:t>
      </w:r>
      <w:bookmarkEnd w:id="53"/>
    </w:p>
    <w:p w:rsidR="00F25064" w:rsidRDefault="00F25064" w:rsidP="00C85D1D">
      <w:pPr>
        <w:ind w:left="720" w:hanging="720"/>
        <w:rPr>
          <w:noProof/>
        </w:rPr>
      </w:pPr>
      <w:bookmarkStart w:id="54" w:name="_ENREF_8"/>
    </w:p>
    <w:p w:rsidR="00C85D1D" w:rsidRDefault="00C85D1D" w:rsidP="00C85D1D">
      <w:pPr>
        <w:ind w:left="720" w:hanging="720"/>
        <w:rPr>
          <w:noProof/>
        </w:rPr>
      </w:pPr>
      <w:r>
        <w:rPr>
          <w:noProof/>
        </w:rPr>
        <w:t xml:space="preserve">World Bank. (2008). </w:t>
      </w:r>
      <w:r w:rsidRPr="005011FA">
        <w:rPr>
          <w:i/>
          <w:noProof/>
        </w:rPr>
        <w:t xml:space="preserve">Global Economic Prospects 2008 </w:t>
      </w:r>
      <w:r>
        <w:rPr>
          <w:noProof/>
        </w:rPr>
        <w:t>Washington D.C.: World Bank.</w:t>
      </w:r>
      <w:bookmarkEnd w:id="54"/>
    </w:p>
    <w:p w:rsidR="007331F6" w:rsidRDefault="007331F6" w:rsidP="009F0926"/>
    <w:p w:rsidR="00A5718A" w:rsidRDefault="00A5718A" w:rsidP="009F0926"/>
    <w:p w:rsidR="00A5718A" w:rsidRDefault="00A5718A">
      <w:r>
        <w:br w:type="page"/>
      </w:r>
    </w:p>
    <w:p w:rsidR="00A5718A" w:rsidRDefault="00A5718A" w:rsidP="009F0926"/>
    <w:p w:rsidR="007331F6" w:rsidRPr="003D1623" w:rsidRDefault="00DC6599" w:rsidP="00EE6F52">
      <w:pPr>
        <w:pStyle w:val="Heading1"/>
        <w:rPr>
          <w:i w:val="0"/>
          <w:caps/>
        </w:rPr>
      </w:pPr>
      <w:bookmarkStart w:id="55" w:name="_Toc393894470"/>
      <w:r w:rsidRPr="003D1623">
        <w:rPr>
          <w:i w:val="0"/>
          <w:caps/>
        </w:rPr>
        <w:t xml:space="preserve">Appendix: </w:t>
      </w:r>
      <w:r w:rsidR="008F2176">
        <w:rPr>
          <w:i w:val="0"/>
          <w:caps/>
        </w:rPr>
        <w:t xml:space="preserve"> </w:t>
      </w:r>
      <w:r w:rsidRPr="003D1623">
        <w:rPr>
          <w:i w:val="0"/>
          <w:caps/>
        </w:rPr>
        <w:t>Construction of the TDRI-WIPO Database</w:t>
      </w:r>
      <w:bookmarkEnd w:id="55"/>
    </w:p>
    <w:p w:rsidR="00DC6599" w:rsidRDefault="00DC6599" w:rsidP="009F0926"/>
    <w:p w:rsidR="00DC6599" w:rsidRDefault="00DC6599" w:rsidP="00DC6599">
      <w:r w:rsidRPr="00B30CD6">
        <w:t>For the purposes of Country Study Thailand, the DIP provided the UM application and registration raw data.  This data contained all 7,498 UM filed between October 1996 and September 2012.</w:t>
      </w:r>
      <w:r w:rsidR="00ED25C8">
        <w:t xml:space="preserve"> </w:t>
      </w:r>
      <w:r w:rsidRPr="00B30CD6">
        <w:t xml:space="preserve"> Using this data, we identified UM applications filed by firms and then linked each of the observation with firm-level data.</w:t>
      </w:r>
    </w:p>
    <w:p w:rsidR="00DC6599" w:rsidRPr="00B30CD6" w:rsidRDefault="00DC6599" w:rsidP="00DC6599"/>
    <w:p w:rsidR="00DC6599" w:rsidRDefault="00DC6599" w:rsidP="00DC6599">
      <w:r w:rsidRPr="00B30CD6">
        <w:t xml:space="preserve">Before we could link the raw data with the firms, we had to carry out three cleaning processes to identify the applications made by firms. </w:t>
      </w:r>
      <w:r w:rsidR="00AF39E5">
        <w:t xml:space="preserve"> </w:t>
      </w:r>
      <w:r w:rsidRPr="00B30CD6">
        <w:t>First, we harmonized the applicants name as well as identified complementary information within the applicant’s field.</w:t>
      </w:r>
      <w:r w:rsidRPr="00B30CD6">
        <w:rPr>
          <w:vertAlign w:val="superscript"/>
        </w:rPr>
        <w:footnoteReference w:id="29"/>
      </w:r>
      <w:r w:rsidRPr="00B30CD6">
        <w:t xml:space="preserve"> </w:t>
      </w:r>
      <w:r w:rsidR="00AF39E5">
        <w:t xml:space="preserve"> </w:t>
      </w:r>
      <w:r w:rsidR="00AF39E5">
        <w:fldChar w:fldCharType="begin"/>
      </w:r>
      <w:r w:rsidR="00AF39E5">
        <w:instrText xml:space="preserve"> REF _Ref393876468 \h </w:instrText>
      </w:r>
      <w:r w:rsidR="00AF39E5">
        <w:fldChar w:fldCharType="separate"/>
      </w:r>
      <w:r w:rsidR="00092527" w:rsidRPr="00496C85">
        <w:rPr>
          <w:b/>
          <w:sz w:val="18"/>
        </w:rPr>
        <w:t xml:space="preserve">Figure </w:t>
      </w:r>
      <w:r w:rsidR="00092527">
        <w:rPr>
          <w:b/>
          <w:i/>
          <w:noProof/>
          <w:sz w:val="18"/>
        </w:rPr>
        <w:t>6</w:t>
      </w:r>
      <w:r w:rsidR="00AF39E5">
        <w:fldChar w:fldCharType="end"/>
      </w:r>
      <w:r w:rsidR="00AF39E5">
        <w:t xml:space="preserve"> </w:t>
      </w:r>
      <w:r w:rsidRPr="00B30CD6">
        <w:t xml:space="preserve">shows the breakdown of UM application by type of applicant. </w:t>
      </w:r>
      <w:r w:rsidR="00AF39E5">
        <w:t xml:space="preserve"> </w:t>
      </w:r>
      <w:r w:rsidRPr="00B30CD6">
        <w:t>For instance, many UM applications show the names of more than one applicant in the same field, where sometimes the second one is a registered company or university.  In addition, feedback from our interviews suggested that there might be an underrepresentation of firms in our dataset - in some instances, UM applications tend to be filed under the name of the inventor rather than the firm even if the firm would later be responsible for the sale of the invention - and manually corrected for it.</w:t>
      </w:r>
      <w:r w:rsidRPr="00B30CD6">
        <w:rPr>
          <w:vertAlign w:val="superscript"/>
        </w:rPr>
        <w:footnoteReference w:id="30"/>
      </w:r>
      <w:r w:rsidRPr="00B30CD6">
        <w:t xml:space="preserve"> </w:t>
      </w:r>
      <w:r w:rsidR="00AF39E5">
        <w:t xml:space="preserve"> </w:t>
      </w:r>
      <w:r w:rsidRPr="00B30CD6">
        <w:t xml:space="preserve">For example, many companies provide information on their legal registration or in other cases the name includes members of the company’s board of Directors.  </w:t>
      </w:r>
    </w:p>
    <w:p w:rsidR="00DC6599" w:rsidRPr="00B30CD6" w:rsidRDefault="00DC6599" w:rsidP="00DC6599"/>
    <w:p w:rsidR="00DC6599" w:rsidRPr="00B30CD6" w:rsidRDefault="00DC6599" w:rsidP="00DC6599">
      <w:r w:rsidRPr="00B30CD6">
        <w:t xml:space="preserve">Second, we performed an internal cross-check of individual applicant names.  We checked each applicant name from a natural person with the inventor names appearing in non-individual applications. </w:t>
      </w:r>
      <w:r w:rsidR="00AF39E5">
        <w:t xml:space="preserve"> </w:t>
      </w:r>
      <w:r w:rsidRPr="00B30CD6">
        <w:t xml:space="preserve">As a result, 206 out of 2,436 unique individual applicants are not listed as an inventor.  Among the 2,230 who are listed as inventors, 2,143 (92%) are actually inventors of their own applications, 21 are inventors of an application belonging to another individual, 36 to a corporation, 22 to a university and 8 to a government agency. </w:t>
      </w:r>
    </w:p>
    <w:p w:rsidR="00DC6599" w:rsidRDefault="00DC6599" w:rsidP="00DC6599"/>
    <w:p w:rsidR="00DC6599" w:rsidRDefault="00DC6599" w:rsidP="00DC6599">
      <w:r w:rsidRPr="00B30CD6">
        <w:t>Third, we performed Web searches for each of the 2,436 unique natural person names in order to establish a link with companies, universities or government agencies (see</w:t>
      </w:r>
      <w:r w:rsidR="00AF39E5">
        <w:t xml:space="preserve"> </w:t>
      </w:r>
      <w:r w:rsidR="00AF39E5">
        <w:fldChar w:fldCharType="begin"/>
      </w:r>
      <w:r w:rsidR="00AF39E5">
        <w:instrText xml:space="preserve"> REF _Ref393876495 \h </w:instrText>
      </w:r>
      <w:r w:rsidR="00AF39E5">
        <w:fldChar w:fldCharType="separate"/>
      </w:r>
      <w:r w:rsidR="00092527" w:rsidRPr="00496C85">
        <w:rPr>
          <w:b/>
          <w:sz w:val="18"/>
        </w:rPr>
        <w:t xml:space="preserve">Figure </w:t>
      </w:r>
      <w:r w:rsidR="00092527">
        <w:rPr>
          <w:b/>
          <w:i/>
          <w:noProof/>
          <w:sz w:val="18"/>
        </w:rPr>
        <w:t>7</w:t>
      </w:r>
      <w:r w:rsidR="00AF39E5">
        <w:fldChar w:fldCharType="end"/>
      </w:r>
      <w:r w:rsidR="00AF39E5">
        <w:t xml:space="preserve">).  </w:t>
      </w:r>
      <w:r w:rsidRPr="00B30CD6">
        <w:t>We found that no less than 300 individual applicants are foreigners whose institutional association cannot be traced.  For Thai individual applicants, most are engaged in small businesses which are not registered.  Around 37 individuals are involved in the Thai government initiative known as the One Tambon One Product (OTOP).</w:t>
      </w:r>
      <w:r w:rsidRPr="00B30CD6">
        <w:rPr>
          <w:vertAlign w:val="superscript"/>
        </w:rPr>
        <w:footnoteReference w:id="31"/>
      </w:r>
      <w:r w:rsidRPr="00B30CD6">
        <w:t xml:space="preserve">  About 93 individuals are professors and researchers from Thai Universities.  In this step, we successfully identified 208 individual applicants which can be linked to registered firms in BOL dataset.  These applicants appear tend to hold positions such as managing directors, chief executive officers or executive directors (</w:t>
      </w:r>
      <w:r>
        <w:t xml:space="preserve">see </w:t>
      </w:r>
      <w:r>
        <w:fldChar w:fldCharType="begin"/>
      </w:r>
      <w:r>
        <w:instrText xml:space="preserve"> REF _Ref393876028 \h </w:instrText>
      </w:r>
      <w:r>
        <w:fldChar w:fldCharType="separate"/>
      </w:r>
      <w:r w:rsidR="00092527" w:rsidRPr="00A2059A">
        <w:rPr>
          <w:rFonts w:eastAsia="MS Mincho"/>
          <w:b/>
          <w:sz w:val="18"/>
          <w:lang w:bidi="ar-SA"/>
        </w:rPr>
        <w:t xml:space="preserve">Table </w:t>
      </w:r>
      <w:r w:rsidR="00092527">
        <w:rPr>
          <w:rFonts w:eastAsia="MS Mincho"/>
          <w:b/>
          <w:i/>
          <w:noProof/>
          <w:sz w:val="18"/>
          <w:lang w:bidi="ar-SA"/>
        </w:rPr>
        <w:t>9</w:t>
      </w:r>
      <w:r>
        <w:fldChar w:fldCharType="end"/>
      </w:r>
      <w:r>
        <w:t xml:space="preserve"> below).</w:t>
      </w:r>
    </w:p>
    <w:p w:rsidR="00A5718A" w:rsidRDefault="00A5718A"/>
    <w:p w:rsidR="00A5718A" w:rsidRDefault="00A5718A" w:rsidP="00A5718A">
      <w:r w:rsidRPr="00467FBA">
        <w:t>For each of the UM applications filed for firms, we collected information on their financial performances from the Thai company register database, BOL.</w:t>
      </w:r>
      <w:r w:rsidRPr="00467FBA">
        <w:rPr>
          <w:vertAlign w:val="superscript"/>
        </w:rPr>
        <w:footnoteReference w:id="32"/>
      </w:r>
      <w:r w:rsidRPr="00467FBA">
        <w:t xml:space="preserve"> </w:t>
      </w:r>
    </w:p>
    <w:p w:rsidR="00A5718A" w:rsidRPr="00A2059A" w:rsidRDefault="00A5718A" w:rsidP="00A2059A">
      <w:pPr>
        <w:pStyle w:val="Caption"/>
        <w:rPr>
          <w:rFonts w:eastAsia="MS Mincho"/>
          <w:b/>
          <w:i w:val="0"/>
          <w:sz w:val="18"/>
          <w:lang w:bidi="ar-SA"/>
        </w:rPr>
      </w:pPr>
    </w:p>
    <w:p w:rsidR="00DC6599" w:rsidRPr="00A2059A" w:rsidRDefault="00DC6599" w:rsidP="00DC6599">
      <w:pPr>
        <w:pStyle w:val="Caption"/>
        <w:rPr>
          <w:rFonts w:eastAsia="MS Mincho"/>
          <w:b/>
          <w:i w:val="0"/>
          <w:sz w:val="18"/>
          <w:lang w:bidi="ar-SA"/>
        </w:rPr>
      </w:pPr>
      <w:bookmarkStart w:id="56" w:name="_Ref393876028"/>
      <w:bookmarkStart w:id="57" w:name="_Toc393894471"/>
      <w:r w:rsidRPr="00A2059A">
        <w:rPr>
          <w:rFonts w:eastAsia="MS Mincho"/>
          <w:b/>
          <w:i w:val="0"/>
          <w:sz w:val="18"/>
          <w:lang w:bidi="ar-SA"/>
        </w:rPr>
        <w:t xml:space="preserve">Table </w:t>
      </w:r>
      <w:r w:rsidR="00B82C96" w:rsidRPr="00A2059A">
        <w:rPr>
          <w:rFonts w:eastAsia="MS Mincho"/>
          <w:b/>
          <w:i w:val="0"/>
          <w:sz w:val="18"/>
          <w:lang w:bidi="ar-SA"/>
        </w:rPr>
        <w:fldChar w:fldCharType="begin"/>
      </w:r>
      <w:r w:rsidR="00B82C96" w:rsidRPr="00A2059A">
        <w:rPr>
          <w:rFonts w:eastAsia="MS Mincho"/>
          <w:b/>
          <w:i w:val="0"/>
          <w:sz w:val="18"/>
          <w:lang w:bidi="ar-SA"/>
        </w:rPr>
        <w:instrText xml:space="preserve"> SEQ Table \* ARABIC </w:instrText>
      </w:r>
      <w:r w:rsidR="00B82C96" w:rsidRPr="00A2059A">
        <w:rPr>
          <w:rFonts w:eastAsia="MS Mincho"/>
          <w:b/>
          <w:i w:val="0"/>
          <w:sz w:val="18"/>
          <w:lang w:bidi="ar-SA"/>
        </w:rPr>
        <w:fldChar w:fldCharType="separate"/>
      </w:r>
      <w:r w:rsidR="00092527">
        <w:rPr>
          <w:rFonts w:eastAsia="MS Mincho"/>
          <w:b/>
          <w:i w:val="0"/>
          <w:noProof/>
          <w:sz w:val="18"/>
          <w:lang w:bidi="ar-SA"/>
        </w:rPr>
        <w:t>9</w:t>
      </w:r>
      <w:r w:rsidR="00B82C96" w:rsidRPr="00A2059A">
        <w:rPr>
          <w:rFonts w:eastAsia="MS Mincho"/>
          <w:b/>
          <w:i w:val="0"/>
          <w:sz w:val="18"/>
          <w:lang w:bidi="ar-SA"/>
        </w:rPr>
        <w:fldChar w:fldCharType="end"/>
      </w:r>
      <w:bookmarkEnd w:id="56"/>
      <w:r w:rsidRPr="00A2059A">
        <w:rPr>
          <w:rFonts w:eastAsia="MS Mincho"/>
          <w:b/>
          <w:i w:val="0"/>
          <w:sz w:val="18"/>
          <w:lang w:bidi="ar-SA"/>
        </w:rPr>
        <w:t>:  Individual Applicants in UM Application Identified in BOL Firm Registry</w:t>
      </w:r>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739"/>
        <w:gridCol w:w="1739"/>
      </w:tblGrid>
      <w:tr w:rsidR="00DC6599" w:rsidRPr="006C2D81" w:rsidTr="003E7A9C">
        <w:trPr>
          <w:jc w:val="center"/>
        </w:trPr>
        <w:tc>
          <w:tcPr>
            <w:tcW w:w="3618" w:type="dxa"/>
            <w:vAlign w:val="center"/>
          </w:tcPr>
          <w:p w:rsidR="00DC6599" w:rsidRPr="006C2D81" w:rsidRDefault="00DC6599" w:rsidP="003E7A9C">
            <w:pPr>
              <w:jc w:val="center"/>
              <w:rPr>
                <w:b/>
              </w:rPr>
            </w:pPr>
            <w:r w:rsidRPr="006C2D81">
              <w:rPr>
                <w:b/>
              </w:rPr>
              <w:t>Positions of individual applicants in registered firms</w:t>
            </w:r>
          </w:p>
        </w:tc>
        <w:tc>
          <w:tcPr>
            <w:tcW w:w="1739" w:type="dxa"/>
            <w:vAlign w:val="center"/>
          </w:tcPr>
          <w:p w:rsidR="00DC6599" w:rsidRPr="006C2D81" w:rsidRDefault="00DC6599" w:rsidP="003E7A9C">
            <w:pPr>
              <w:jc w:val="center"/>
              <w:rPr>
                <w:b/>
              </w:rPr>
            </w:pPr>
            <w:r w:rsidRPr="006C2D81">
              <w:rPr>
                <w:b/>
              </w:rPr>
              <w:t xml:space="preserve">Individual applicants </w:t>
            </w:r>
          </w:p>
        </w:tc>
        <w:tc>
          <w:tcPr>
            <w:tcW w:w="1739" w:type="dxa"/>
            <w:vAlign w:val="center"/>
          </w:tcPr>
          <w:p w:rsidR="00DC6599" w:rsidRPr="006C2D81" w:rsidRDefault="00DC6599" w:rsidP="003E7A9C">
            <w:pPr>
              <w:jc w:val="center"/>
              <w:rPr>
                <w:b/>
              </w:rPr>
            </w:pPr>
            <w:r w:rsidRPr="006C2D81">
              <w:rPr>
                <w:b/>
              </w:rPr>
              <w:t>Percent</w:t>
            </w:r>
          </w:p>
        </w:tc>
      </w:tr>
      <w:tr w:rsidR="00DC6599" w:rsidRPr="006C2D81" w:rsidTr="003E7A9C">
        <w:trPr>
          <w:jc w:val="center"/>
        </w:trPr>
        <w:tc>
          <w:tcPr>
            <w:tcW w:w="3618" w:type="dxa"/>
          </w:tcPr>
          <w:p w:rsidR="00DC6599" w:rsidRPr="006C2D81" w:rsidRDefault="00DC6599" w:rsidP="003E7A9C">
            <w:r w:rsidRPr="006C2D81">
              <w:t>Executive director</w:t>
            </w:r>
          </w:p>
        </w:tc>
        <w:tc>
          <w:tcPr>
            <w:tcW w:w="1739" w:type="dxa"/>
          </w:tcPr>
          <w:p w:rsidR="00DC6599" w:rsidRPr="006C2D81" w:rsidRDefault="00DC6599" w:rsidP="003E7A9C">
            <w:pPr>
              <w:jc w:val="center"/>
            </w:pPr>
            <w:r w:rsidRPr="006C2D81">
              <w:t>40</w:t>
            </w:r>
          </w:p>
        </w:tc>
        <w:tc>
          <w:tcPr>
            <w:tcW w:w="1739" w:type="dxa"/>
          </w:tcPr>
          <w:p w:rsidR="00DC6599" w:rsidRPr="006C2D81" w:rsidRDefault="00DC6599" w:rsidP="003E7A9C">
            <w:pPr>
              <w:jc w:val="center"/>
            </w:pPr>
            <w:r w:rsidRPr="006C2D81">
              <w:t>19.2%</w:t>
            </w:r>
          </w:p>
        </w:tc>
      </w:tr>
      <w:tr w:rsidR="00DC6599" w:rsidRPr="006C2D81" w:rsidTr="003E7A9C">
        <w:trPr>
          <w:jc w:val="center"/>
        </w:trPr>
        <w:tc>
          <w:tcPr>
            <w:tcW w:w="3618" w:type="dxa"/>
          </w:tcPr>
          <w:p w:rsidR="00DC6599" w:rsidRPr="006C2D81" w:rsidRDefault="00DC6599" w:rsidP="003E7A9C">
            <w:r w:rsidRPr="006C2D81">
              <w:t>Managing director</w:t>
            </w:r>
          </w:p>
        </w:tc>
        <w:tc>
          <w:tcPr>
            <w:tcW w:w="1739" w:type="dxa"/>
          </w:tcPr>
          <w:p w:rsidR="00DC6599" w:rsidRPr="006C2D81" w:rsidRDefault="00DC6599" w:rsidP="003E7A9C">
            <w:pPr>
              <w:jc w:val="center"/>
            </w:pPr>
            <w:r w:rsidRPr="006C2D81">
              <w:t>80</w:t>
            </w:r>
          </w:p>
        </w:tc>
        <w:tc>
          <w:tcPr>
            <w:tcW w:w="1739" w:type="dxa"/>
          </w:tcPr>
          <w:p w:rsidR="00DC6599" w:rsidRPr="006C2D81" w:rsidRDefault="00DC6599" w:rsidP="003E7A9C">
            <w:pPr>
              <w:jc w:val="center"/>
            </w:pPr>
            <w:r w:rsidRPr="006C2D81">
              <w:t>38.5%</w:t>
            </w:r>
          </w:p>
        </w:tc>
      </w:tr>
      <w:tr w:rsidR="00DC6599" w:rsidRPr="006C2D81" w:rsidTr="003E7A9C">
        <w:trPr>
          <w:jc w:val="center"/>
        </w:trPr>
        <w:tc>
          <w:tcPr>
            <w:tcW w:w="3618" w:type="dxa"/>
          </w:tcPr>
          <w:p w:rsidR="00DC6599" w:rsidRPr="006C2D81" w:rsidRDefault="00DC6599" w:rsidP="003E7A9C">
            <w:r w:rsidRPr="006C2D81">
              <w:t>Consultant</w:t>
            </w:r>
          </w:p>
        </w:tc>
        <w:tc>
          <w:tcPr>
            <w:tcW w:w="1739" w:type="dxa"/>
          </w:tcPr>
          <w:p w:rsidR="00DC6599" w:rsidRPr="006C2D81" w:rsidRDefault="00DC6599" w:rsidP="003E7A9C">
            <w:pPr>
              <w:jc w:val="center"/>
            </w:pPr>
            <w:r w:rsidRPr="006C2D81">
              <w:t>1</w:t>
            </w:r>
          </w:p>
        </w:tc>
        <w:tc>
          <w:tcPr>
            <w:tcW w:w="1739" w:type="dxa"/>
          </w:tcPr>
          <w:p w:rsidR="00DC6599" w:rsidRPr="006C2D81" w:rsidRDefault="00DC6599" w:rsidP="003E7A9C">
            <w:pPr>
              <w:jc w:val="center"/>
            </w:pPr>
            <w:r w:rsidRPr="006C2D81">
              <w:t>0.5%</w:t>
            </w:r>
          </w:p>
        </w:tc>
      </w:tr>
      <w:tr w:rsidR="00DC6599" w:rsidRPr="006C2D81" w:rsidTr="003E7A9C">
        <w:trPr>
          <w:jc w:val="center"/>
        </w:trPr>
        <w:tc>
          <w:tcPr>
            <w:tcW w:w="3618" w:type="dxa"/>
          </w:tcPr>
          <w:p w:rsidR="00DC6599" w:rsidRPr="006C2D81" w:rsidRDefault="00DC6599" w:rsidP="003E7A9C">
            <w:r w:rsidRPr="006C2D81">
              <w:t>Chief Executive Officer</w:t>
            </w:r>
          </w:p>
        </w:tc>
        <w:tc>
          <w:tcPr>
            <w:tcW w:w="1739" w:type="dxa"/>
          </w:tcPr>
          <w:p w:rsidR="00DC6599" w:rsidRPr="006C2D81" w:rsidRDefault="00DC6599" w:rsidP="003E7A9C">
            <w:pPr>
              <w:jc w:val="center"/>
            </w:pPr>
            <w:r w:rsidRPr="006C2D81">
              <w:t>48</w:t>
            </w:r>
          </w:p>
        </w:tc>
        <w:tc>
          <w:tcPr>
            <w:tcW w:w="1739" w:type="dxa"/>
          </w:tcPr>
          <w:p w:rsidR="00DC6599" w:rsidRPr="006C2D81" w:rsidRDefault="00DC6599" w:rsidP="003E7A9C">
            <w:pPr>
              <w:jc w:val="center"/>
            </w:pPr>
            <w:r w:rsidRPr="006C2D81">
              <w:t>23.1%</w:t>
            </w:r>
          </w:p>
        </w:tc>
      </w:tr>
      <w:tr w:rsidR="00DC6599" w:rsidRPr="006C2D81" w:rsidTr="003E7A9C">
        <w:trPr>
          <w:jc w:val="center"/>
        </w:trPr>
        <w:tc>
          <w:tcPr>
            <w:tcW w:w="3618" w:type="dxa"/>
          </w:tcPr>
          <w:p w:rsidR="00DC6599" w:rsidRPr="006C2D81" w:rsidRDefault="00DC6599" w:rsidP="003E7A9C">
            <w:r w:rsidRPr="006C2D81">
              <w:t>Manager</w:t>
            </w:r>
          </w:p>
        </w:tc>
        <w:tc>
          <w:tcPr>
            <w:tcW w:w="1739" w:type="dxa"/>
          </w:tcPr>
          <w:p w:rsidR="00DC6599" w:rsidRPr="006C2D81" w:rsidRDefault="00DC6599" w:rsidP="003E7A9C">
            <w:pPr>
              <w:jc w:val="center"/>
            </w:pPr>
            <w:r w:rsidRPr="006C2D81">
              <w:t>8</w:t>
            </w:r>
          </w:p>
        </w:tc>
        <w:tc>
          <w:tcPr>
            <w:tcW w:w="1739" w:type="dxa"/>
          </w:tcPr>
          <w:p w:rsidR="00DC6599" w:rsidRPr="006C2D81" w:rsidRDefault="00DC6599" w:rsidP="003E7A9C">
            <w:pPr>
              <w:jc w:val="center"/>
            </w:pPr>
            <w:r w:rsidRPr="006C2D81">
              <w:t>3.9%</w:t>
            </w:r>
          </w:p>
        </w:tc>
      </w:tr>
      <w:tr w:rsidR="00DC6599" w:rsidRPr="006C2D81" w:rsidTr="003E7A9C">
        <w:trPr>
          <w:jc w:val="center"/>
        </w:trPr>
        <w:tc>
          <w:tcPr>
            <w:tcW w:w="3618" w:type="dxa"/>
          </w:tcPr>
          <w:p w:rsidR="00DC6599" w:rsidRPr="006C2D81" w:rsidRDefault="00DC6599" w:rsidP="003E7A9C">
            <w:r w:rsidRPr="006C2D81">
              <w:t>Share holder</w:t>
            </w:r>
          </w:p>
        </w:tc>
        <w:tc>
          <w:tcPr>
            <w:tcW w:w="1739" w:type="dxa"/>
          </w:tcPr>
          <w:p w:rsidR="00DC6599" w:rsidRPr="006C2D81" w:rsidRDefault="00DC6599" w:rsidP="003E7A9C">
            <w:pPr>
              <w:jc w:val="center"/>
            </w:pPr>
            <w:r w:rsidRPr="006C2D81">
              <w:t>5</w:t>
            </w:r>
          </w:p>
        </w:tc>
        <w:tc>
          <w:tcPr>
            <w:tcW w:w="1739" w:type="dxa"/>
          </w:tcPr>
          <w:p w:rsidR="00DC6599" w:rsidRPr="006C2D81" w:rsidRDefault="00DC6599" w:rsidP="003E7A9C">
            <w:pPr>
              <w:jc w:val="center"/>
            </w:pPr>
            <w:r w:rsidRPr="006C2D81">
              <w:t>2.4%</w:t>
            </w:r>
          </w:p>
        </w:tc>
      </w:tr>
      <w:tr w:rsidR="00DC6599" w:rsidRPr="006C2D81" w:rsidTr="003E7A9C">
        <w:trPr>
          <w:jc w:val="center"/>
        </w:trPr>
        <w:tc>
          <w:tcPr>
            <w:tcW w:w="3618" w:type="dxa"/>
          </w:tcPr>
          <w:p w:rsidR="00DC6599" w:rsidRPr="006C2D81" w:rsidRDefault="00DC6599" w:rsidP="003E7A9C">
            <w:r w:rsidRPr="006C2D81">
              <w:t>Director</w:t>
            </w:r>
          </w:p>
        </w:tc>
        <w:tc>
          <w:tcPr>
            <w:tcW w:w="1739" w:type="dxa"/>
          </w:tcPr>
          <w:p w:rsidR="00DC6599" w:rsidRPr="006C2D81" w:rsidRDefault="00DC6599" w:rsidP="003E7A9C">
            <w:pPr>
              <w:jc w:val="center"/>
            </w:pPr>
            <w:r w:rsidRPr="006C2D81">
              <w:t>5</w:t>
            </w:r>
          </w:p>
        </w:tc>
        <w:tc>
          <w:tcPr>
            <w:tcW w:w="1739" w:type="dxa"/>
          </w:tcPr>
          <w:p w:rsidR="00DC6599" w:rsidRPr="006C2D81" w:rsidRDefault="00DC6599" w:rsidP="003E7A9C">
            <w:pPr>
              <w:jc w:val="center"/>
            </w:pPr>
            <w:r w:rsidRPr="006C2D81">
              <w:t>2.4%</w:t>
            </w:r>
          </w:p>
        </w:tc>
      </w:tr>
      <w:tr w:rsidR="00DC6599" w:rsidRPr="006C2D81" w:rsidTr="003E7A9C">
        <w:trPr>
          <w:jc w:val="center"/>
        </w:trPr>
        <w:tc>
          <w:tcPr>
            <w:tcW w:w="3618" w:type="dxa"/>
          </w:tcPr>
          <w:p w:rsidR="00DC6599" w:rsidRPr="006C2D81" w:rsidRDefault="00DC6599" w:rsidP="003E7A9C">
            <w:r w:rsidRPr="006C2D81">
              <w:t>Deputy managing director</w:t>
            </w:r>
          </w:p>
        </w:tc>
        <w:tc>
          <w:tcPr>
            <w:tcW w:w="1739" w:type="dxa"/>
          </w:tcPr>
          <w:p w:rsidR="00DC6599" w:rsidRPr="006C2D81" w:rsidRDefault="00DC6599" w:rsidP="003E7A9C">
            <w:pPr>
              <w:jc w:val="center"/>
            </w:pPr>
            <w:r w:rsidRPr="006C2D81">
              <w:t>4</w:t>
            </w:r>
          </w:p>
        </w:tc>
        <w:tc>
          <w:tcPr>
            <w:tcW w:w="1739" w:type="dxa"/>
          </w:tcPr>
          <w:p w:rsidR="00DC6599" w:rsidRPr="006C2D81" w:rsidRDefault="00DC6599" w:rsidP="003E7A9C">
            <w:pPr>
              <w:jc w:val="center"/>
            </w:pPr>
            <w:r w:rsidRPr="006C2D81">
              <w:t>1.9%</w:t>
            </w:r>
          </w:p>
        </w:tc>
      </w:tr>
      <w:tr w:rsidR="00DC6599" w:rsidRPr="006C2D81" w:rsidTr="003E7A9C">
        <w:trPr>
          <w:jc w:val="center"/>
        </w:trPr>
        <w:tc>
          <w:tcPr>
            <w:tcW w:w="3618" w:type="dxa"/>
          </w:tcPr>
          <w:p w:rsidR="00DC6599" w:rsidRPr="006C2D81" w:rsidRDefault="00DC6599" w:rsidP="003E7A9C">
            <w:r w:rsidRPr="006C2D81">
              <w:t>Executive officer</w:t>
            </w:r>
          </w:p>
        </w:tc>
        <w:tc>
          <w:tcPr>
            <w:tcW w:w="1739" w:type="dxa"/>
          </w:tcPr>
          <w:p w:rsidR="00DC6599" w:rsidRPr="006C2D81" w:rsidRDefault="00DC6599" w:rsidP="003E7A9C">
            <w:pPr>
              <w:jc w:val="center"/>
            </w:pPr>
            <w:r w:rsidRPr="006C2D81">
              <w:t>4</w:t>
            </w:r>
          </w:p>
        </w:tc>
        <w:tc>
          <w:tcPr>
            <w:tcW w:w="1739" w:type="dxa"/>
          </w:tcPr>
          <w:p w:rsidR="00DC6599" w:rsidRPr="006C2D81" w:rsidRDefault="00DC6599" w:rsidP="003E7A9C">
            <w:pPr>
              <w:jc w:val="center"/>
            </w:pPr>
            <w:r w:rsidRPr="006C2D81">
              <w:t>1.9%</w:t>
            </w:r>
          </w:p>
        </w:tc>
      </w:tr>
      <w:tr w:rsidR="00DC6599" w:rsidRPr="006C2D81" w:rsidTr="003E7A9C">
        <w:trPr>
          <w:jc w:val="center"/>
        </w:trPr>
        <w:tc>
          <w:tcPr>
            <w:tcW w:w="3618" w:type="dxa"/>
          </w:tcPr>
          <w:p w:rsidR="00DC6599" w:rsidRPr="006C2D81" w:rsidRDefault="00DC6599" w:rsidP="003E7A9C">
            <w:r w:rsidRPr="006C2D81">
              <w:t>N/A</w:t>
            </w:r>
          </w:p>
        </w:tc>
        <w:tc>
          <w:tcPr>
            <w:tcW w:w="1739" w:type="dxa"/>
          </w:tcPr>
          <w:p w:rsidR="00DC6599" w:rsidRPr="006C2D81" w:rsidRDefault="00DC6599" w:rsidP="003E7A9C">
            <w:pPr>
              <w:jc w:val="center"/>
            </w:pPr>
            <w:r w:rsidRPr="006C2D81">
              <w:t>13</w:t>
            </w:r>
          </w:p>
        </w:tc>
        <w:tc>
          <w:tcPr>
            <w:tcW w:w="1739" w:type="dxa"/>
          </w:tcPr>
          <w:p w:rsidR="00DC6599" w:rsidRPr="006C2D81" w:rsidRDefault="00DC6599" w:rsidP="003E7A9C">
            <w:pPr>
              <w:jc w:val="center"/>
            </w:pPr>
            <w:r w:rsidRPr="006C2D81">
              <w:t>6.3%</w:t>
            </w:r>
          </w:p>
        </w:tc>
      </w:tr>
      <w:tr w:rsidR="00DC6599" w:rsidRPr="006C2D81" w:rsidTr="003E7A9C">
        <w:trPr>
          <w:jc w:val="center"/>
        </w:trPr>
        <w:tc>
          <w:tcPr>
            <w:tcW w:w="3618" w:type="dxa"/>
            <w:vAlign w:val="center"/>
          </w:tcPr>
          <w:p w:rsidR="00DC6599" w:rsidRPr="006C2D81" w:rsidRDefault="00DC6599" w:rsidP="003E7A9C">
            <w:pPr>
              <w:jc w:val="center"/>
              <w:rPr>
                <w:b/>
                <w:bCs/>
              </w:rPr>
            </w:pPr>
            <w:r w:rsidRPr="006C2D81">
              <w:rPr>
                <w:b/>
                <w:bCs/>
              </w:rPr>
              <w:t>Total</w:t>
            </w:r>
          </w:p>
        </w:tc>
        <w:tc>
          <w:tcPr>
            <w:tcW w:w="1739" w:type="dxa"/>
            <w:vAlign w:val="center"/>
          </w:tcPr>
          <w:p w:rsidR="00DC6599" w:rsidRPr="006C2D81" w:rsidRDefault="00DC6599" w:rsidP="003E7A9C">
            <w:pPr>
              <w:jc w:val="center"/>
              <w:rPr>
                <w:b/>
              </w:rPr>
            </w:pPr>
            <w:r w:rsidRPr="006C2D81">
              <w:rPr>
                <w:b/>
              </w:rPr>
              <w:t>208</w:t>
            </w:r>
          </w:p>
        </w:tc>
        <w:tc>
          <w:tcPr>
            <w:tcW w:w="1739" w:type="dxa"/>
            <w:vAlign w:val="center"/>
          </w:tcPr>
          <w:p w:rsidR="00DC6599" w:rsidRPr="006C2D81" w:rsidRDefault="00DC6599" w:rsidP="003E7A9C">
            <w:pPr>
              <w:jc w:val="center"/>
              <w:rPr>
                <w:b/>
              </w:rPr>
            </w:pPr>
            <w:r w:rsidRPr="006C2D81">
              <w:rPr>
                <w:b/>
              </w:rPr>
              <w:t>100%</w:t>
            </w:r>
          </w:p>
        </w:tc>
      </w:tr>
    </w:tbl>
    <w:p w:rsidR="00DC6599" w:rsidRPr="00A2059A" w:rsidRDefault="00DC6599" w:rsidP="00A2059A">
      <w:pPr>
        <w:tabs>
          <w:tab w:val="left" w:pos="900"/>
        </w:tabs>
        <w:ind w:left="900"/>
        <w:rPr>
          <w:b/>
          <w:sz w:val="18"/>
          <w:szCs w:val="18"/>
        </w:rPr>
      </w:pPr>
      <w:r w:rsidRPr="00A2059A">
        <w:rPr>
          <w:b/>
          <w:sz w:val="18"/>
          <w:szCs w:val="18"/>
        </w:rPr>
        <w:t>Source:</w:t>
      </w:r>
      <w:r w:rsidR="003C5992">
        <w:rPr>
          <w:b/>
          <w:sz w:val="18"/>
          <w:szCs w:val="18"/>
        </w:rPr>
        <w:t xml:space="preserve"> </w:t>
      </w:r>
      <w:r w:rsidRPr="00A2059A">
        <w:rPr>
          <w:b/>
          <w:sz w:val="18"/>
          <w:szCs w:val="18"/>
        </w:rPr>
        <w:t xml:space="preserve"> BOL (2013).</w:t>
      </w:r>
    </w:p>
    <w:p w:rsidR="00ED25C8" w:rsidRDefault="00DC6599">
      <w:r w:rsidRPr="00467FBA">
        <w:t xml:space="preserve">Our resulting extended database, which we refer to as the </w:t>
      </w:r>
      <w:r w:rsidRPr="00467FBA">
        <w:rPr>
          <w:i/>
        </w:rPr>
        <w:t>TDRI-WIPO extended database</w:t>
      </w:r>
      <w:r w:rsidRPr="00467FBA">
        <w:t>, contains a total of 754 unique companies with UM and economic performance information from the DIP and BOL, respectively.</w:t>
      </w:r>
      <w:r w:rsidRPr="00467FBA">
        <w:rPr>
          <w:vertAlign w:val="superscript"/>
        </w:rPr>
        <w:footnoteReference w:id="33"/>
      </w:r>
      <w:r w:rsidRPr="00467FBA">
        <w:t xml:space="preserve"> </w:t>
      </w:r>
      <w:r>
        <w:t xml:space="preserve"> </w:t>
      </w:r>
      <w:r>
        <w:fldChar w:fldCharType="begin"/>
      </w:r>
      <w:r>
        <w:instrText xml:space="preserve"> REF _Ref393876047 \h </w:instrText>
      </w:r>
      <w:r>
        <w:fldChar w:fldCharType="separate"/>
      </w:r>
      <w:r w:rsidR="00092527" w:rsidRPr="00A2059A">
        <w:rPr>
          <w:rFonts w:eastAsia="MS Mincho"/>
          <w:b/>
          <w:sz w:val="18"/>
          <w:lang w:bidi="ar-SA"/>
        </w:rPr>
        <w:t xml:space="preserve">Table </w:t>
      </w:r>
      <w:r w:rsidR="00092527">
        <w:rPr>
          <w:rFonts w:eastAsia="MS Mincho"/>
          <w:b/>
          <w:i/>
          <w:noProof/>
          <w:sz w:val="18"/>
          <w:lang w:bidi="ar-SA"/>
        </w:rPr>
        <w:t>10</w:t>
      </w:r>
      <w:r>
        <w:fldChar w:fldCharType="end"/>
      </w:r>
      <w:r>
        <w:t xml:space="preserve"> </w:t>
      </w:r>
      <w:r w:rsidRPr="00467FBA">
        <w:t>below summarizes the results of our data cleaning effort.</w:t>
      </w:r>
    </w:p>
    <w:p w:rsidR="00DC6599" w:rsidRDefault="00DC6599" w:rsidP="00DC6599"/>
    <w:p w:rsidR="00DC6599" w:rsidRPr="00A2059A" w:rsidRDefault="00DC6599" w:rsidP="00DC6599">
      <w:pPr>
        <w:pStyle w:val="Caption"/>
        <w:rPr>
          <w:rFonts w:eastAsia="MS Mincho"/>
          <w:b/>
          <w:i w:val="0"/>
          <w:sz w:val="18"/>
          <w:lang w:bidi="ar-SA"/>
        </w:rPr>
      </w:pPr>
      <w:bookmarkStart w:id="58" w:name="_Ref393876047"/>
      <w:bookmarkStart w:id="59" w:name="_Toc393894472"/>
      <w:r w:rsidRPr="00A2059A">
        <w:rPr>
          <w:rFonts w:eastAsia="MS Mincho"/>
          <w:b/>
          <w:i w:val="0"/>
          <w:sz w:val="18"/>
          <w:lang w:bidi="ar-SA"/>
        </w:rPr>
        <w:t xml:space="preserve">Table </w:t>
      </w:r>
      <w:r w:rsidR="00B82C96" w:rsidRPr="00A2059A">
        <w:rPr>
          <w:rFonts w:eastAsia="MS Mincho"/>
          <w:b/>
          <w:i w:val="0"/>
          <w:sz w:val="18"/>
          <w:lang w:bidi="ar-SA"/>
        </w:rPr>
        <w:fldChar w:fldCharType="begin"/>
      </w:r>
      <w:r w:rsidR="00B82C96" w:rsidRPr="00A2059A">
        <w:rPr>
          <w:rFonts w:eastAsia="MS Mincho"/>
          <w:b/>
          <w:i w:val="0"/>
          <w:sz w:val="18"/>
          <w:lang w:bidi="ar-SA"/>
        </w:rPr>
        <w:instrText xml:space="preserve"> SEQ Table \* ARABIC </w:instrText>
      </w:r>
      <w:r w:rsidR="00B82C96" w:rsidRPr="00A2059A">
        <w:rPr>
          <w:rFonts w:eastAsia="MS Mincho"/>
          <w:b/>
          <w:i w:val="0"/>
          <w:sz w:val="18"/>
          <w:lang w:bidi="ar-SA"/>
        </w:rPr>
        <w:fldChar w:fldCharType="separate"/>
      </w:r>
      <w:r w:rsidR="00092527">
        <w:rPr>
          <w:rFonts w:eastAsia="MS Mincho"/>
          <w:b/>
          <w:i w:val="0"/>
          <w:noProof/>
          <w:sz w:val="18"/>
          <w:lang w:bidi="ar-SA"/>
        </w:rPr>
        <w:t>10</w:t>
      </w:r>
      <w:r w:rsidR="00B82C96" w:rsidRPr="00A2059A">
        <w:rPr>
          <w:rFonts w:eastAsia="MS Mincho"/>
          <w:b/>
          <w:i w:val="0"/>
          <w:sz w:val="18"/>
          <w:lang w:bidi="ar-SA"/>
        </w:rPr>
        <w:fldChar w:fldCharType="end"/>
      </w:r>
      <w:bookmarkEnd w:id="58"/>
      <w:r w:rsidRPr="00A2059A">
        <w:rPr>
          <w:rFonts w:eastAsia="MS Mincho"/>
          <w:b/>
          <w:i w:val="0"/>
          <w:sz w:val="18"/>
          <w:lang w:bidi="ar-SA"/>
        </w:rPr>
        <w:t>:  Summary of Data Cleaning Effort</w:t>
      </w:r>
      <w:bookmarkEnd w:id="59"/>
    </w:p>
    <w:tbl>
      <w:tblPr>
        <w:tblW w:w="0" w:type="auto"/>
        <w:jc w:val="center"/>
        <w:tblLayout w:type="fixed"/>
        <w:tblLook w:val="04A0" w:firstRow="1" w:lastRow="0" w:firstColumn="1" w:lastColumn="0" w:noHBand="0" w:noVBand="1"/>
      </w:tblPr>
      <w:tblGrid>
        <w:gridCol w:w="3953"/>
        <w:gridCol w:w="1739"/>
        <w:gridCol w:w="1840"/>
      </w:tblGrid>
      <w:tr w:rsidR="00DC6599" w:rsidRPr="00A5718A" w:rsidTr="003E7A9C">
        <w:trPr>
          <w:jc w:val="center"/>
        </w:trPr>
        <w:tc>
          <w:tcPr>
            <w:tcW w:w="3953" w:type="dxa"/>
            <w:vMerge w:val="restart"/>
            <w:vAlign w:val="center"/>
          </w:tcPr>
          <w:p w:rsidR="00DC6599" w:rsidRPr="00A5718A" w:rsidRDefault="00DC6599" w:rsidP="003E7A9C">
            <w:pPr>
              <w:jc w:val="center"/>
              <w:rPr>
                <w:b/>
                <w:sz w:val="20"/>
              </w:rPr>
            </w:pPr>
            <w:r w:rsidRPr="00A5718A">
              <w:rPr>
                <w:b/>
                <w:sz w:val="20"/>
              </w:rPr>
              <w:t>Step</w:t>
            </w:r>
          </w:p>
        </w:tc>
        <w:tc>
          <w:tcPr>
            <w:tcW w:w="3579" w:type="dxa"/>
            <w:gridSpan w:val="2"/>
            <w:tcBorders>
              <w:bottom w:val="single" w:sz="4" w:space="0" w:color="auto"/>
            </w:tcBorders>
            <w:vAlign w:val="center"/>
          </w:tcPr>
          <w:p w:rsidR="00DC6599" w:rsidRPr="00A5718A" w:rsidRDefault="00DC6599" w:rsidP="003E7A9C">
            <w:pPr>
              <w:jc w:val="center"/>
              <w:rPr>
                <w:b/>
                <w:sz w:val="20"/>
              </w:rPr>
            </w:pPr>
            <w:r w:rsidRPr="00A5718A">
              <w:rPr>
                <w:b/>
                <w:sz w:val="20"/>
              </w:rPr>
              <w:t>UM applicant</w:t>
            </w:r>
          </w:p>
        </w:tc>
      </w:tr>
      <w:tr w:rsidR="00DC6599" w:rsidRPr="00A5718A" w:rsidTr="003E7A9C">
        <w:trPr>
          <w:trHeight w:val="350"/>
          <w:jc w:val="center"/>
        </w:trPr>
        <w:tc>
          <w:tcPr>
            <w:tcW w:w="3953" w:type="dxa"/>
            <w:vMerge/>
            <w:tcBorders>
              <w:bottom w:val="single" w:sz="4" w:space="0" w:color="auto"/>
            </w:tcBorders>
            <w:vAlign w:val="center"/>
          </w:tcPr>
          <w:p w:rsidR="00DC6599" w:rsidRPr="00A5718A" w:rsidRDefault="00DC6599" w:rsidP="003E7A9C">
            <w:pPr>
              <w:rPr>
                <w:b/>
                <w:sz w:val="20"/>
              </w:rPr>
            </w:pPr>
          </w:p>
        </w:tc>
        <w:tc>
          <w:tcPr>
            <w:tcW w:w="1739" w:type="dxa"/>
            <w:tcBorders>
              <w:top w:val="single" w:sz="4" w:space="0" w:color="auto"/>
              <w:bottom w:val="single" w:sz="4" w:space="0" w:color="auto"/>
            </w:tcBorders>
            <w:vAlign w:val="center"/>
          </w:tcPr>
          <w:p w:rsidR="00DC6599" w:rsidRPr="00A5718A" w:rsidRDefault="00DC6599" w:rsidP="003E7A9C">
            <w:pPr>
              <w:rPr>
                <w:b/>
                <w:bCs/>
                <w:sz w:val="20"/>
              </w:rPr>
            </w:pPr>
            <w:r w:rsidRPr="00A5718A">
              <w:rPr>
                <w:b/>
                <w:sz w:val="20"/>
              </w:rPr>
              <w:t>Natural person</w:t>
            </w:r>
          </w:p>
        </w:tc>
        <w:tc>
          <w:tcPr>
            <w:tcW w:w="1840" w:type="dxa"/>
            <w:tcBorders>
              <w:top w:val="single" w:sz="4" w:space="0" w:color="auto"/>
              <w:bottom w:val="single" w:sz="4" w:space="0" w:color="auto"/>
            </w:tcBorders>
            <w:vAlign w:val="center"/>
          </w:tcPr>
          <w:p w:rsidR="00DC6599" w:rsidRPr="00A5718A" w:rsidRDefault="00DC6599" w:rsidP="003E7A9C">
            <w:pPr>
              <w:rPr>
                <w:b/>
                <w:bCs/>
                <w:sz w:val="20"/>
              </w:rPr>
            </w:pPr>
            <w:r w:rsidRPr="00A5718A">
              <w:rPr>
                <w:b/>
                <w:sz w:val="20"/>
              </w:rPr>
              <w:t>Corporation</w:t>
            </w:r>
          </w:p>
        </w:tc>
      </w:tr>
      <w:tr w:rsidR="00DC6599" w:rsidRPr="00A5718A" w:rsidTr="003E7A9C">
        <w:trPr>
          <w:trHeight w:val="460"/>
          <w:jc w:val="center"/>
        </w:trPr>
        <w:tc>
          <w:tcPr>
            <w:tcW w:w="3953" w:type="dxa"/>
            <w:tcBorders>
              <w:top w:val="single" w:sz="4" w:space="0" w:color="auto"/>
            </w:tcBorders>
            <w:vAlign w:val="center"/>
          </w:tcPr>
          <w:p w:rsidR="00DC6599" w:rsidRPr="00A5718A" w:rsidRDefault="00DC6599" w:rsidP="003E7A9C">
            <w:pPr>
              <w:rPr>
                <w:sz w:val="20"/>
              </w:rPr>
            </w:pPr>
            <w:r w:rsidRPr="00A5718A">
              <w:rPr>
                <w:sz w:val="20"/>
              </w:rPr>
              <w:t>Total UM registrations</w:t>
            </w:r>
          </w:p>
        </w:tc>
        <w:tc>
          <w:tcPr>
            <w:tcW w:w="1739" w:type="dxa"/>
            <w:tcBorders>
              <w:top w:val="single" w:sz="4" w:space="0" w:color="auto"/>
            </w:tcBorders>
            <w:vAlign w:val="center"/>
          </w:tcPr>
          <w:p w:rsidR="00DC6599" w:rsidRPr="00A5718A" w:rsidRDefault="00DC6599" w:rsidP="003E7A9C">
            <w:pPr>
              <w:rPr>
                <w:sz w:val="20"/>
              </w:rPr>
            </w:pPr>
            <w:r w:rsidRPr="00A5718A">
              <w:rPr>
                <w:sz w:val="20"/>
              </w:rPr>
              <w:t>3,950</w:t>
            </w:r>
          </w:p>
        </w:tc>
        <w:tc>
          <w:tcPr>
            <w:tcW w:w="1840" w:type="dxa"/>
            <w:tcBorders>
              <w:top w:val="single" w:sz="4" w:space="0" w:color="auto"/>
            </w:tcBorders>
            <w:vAlign w:val="center"/>
          </w:tcPr>
          <w:p w:rsidR="00DC6599" w:rsidRPr="00A5718A" w:rsidRDefault="00DC6599" w:rsidP="003E7A9C">
            <w:pPr>
              <w:rPr>
                <w:sz w:val="20"/>
              </w:rPr>
            </w:pPr>
            <w:r w:rsidRPr="00A5718A">
              <w:rPr>
                <w:sz w:val="20"/>
              </w:rPr>
              <w:t>1,895</w:t>
            </w:r>
          </w:p>
        </w:tc>
      </w:tr>
      <w:tr w:rsidR="00DC6599" w:rsidRPr="00A5718A" w:rsidTr="003E7A9C">
        <w:trPr>
          <w:trHeight w:val="460"/>
          <w:jc w:val="center"/>
        </w:trPr>
        <w:tc>
          <w:tcPr>
            <w:tcW w:w="3953" w:type="dxa"/>
            <w:vAlign w:val="center"/>
          </w:tcPr>
          <w:p w:rsidR="00DC6599" w:rsidRPr="00A5718A" w:rsidRDefault="00DC6599" w:rsidP="003E7A9C">
            <w:pPr>
              <w:rPr>
                <w:sz w:val="20"/>
              </w:rPr>
            </w:pPr>
            <w:r w:rsidRPr="00A5718A">
              <w:rPr>
                <w:sz w:val="20"/>
              </w:rPr>
              <w:t>Identification of unique applicants</w:t>
            </w:r>
          </w:p>
        </w:tc>
        <w:tc>
          <w:tcPr>
            <w:tcW w:w="1739" w:type="dxa"/>
            <w:vAlign w:val="center"/>
          </w:tcPr>
          <w:p w:rsidR="00DC6599" w:rsidRPr="00A5718A" w:rsidRDefault="00DC6599" w:rsidP="003E7A9C">
            <w:pPr>
              <w:rPr>
                <w:sz w:val="20"/>
              </w:rPr>
            </w:pPr>
            <w:r w:rsidRPr="00A5718A">
              <w:rPr>
                <w:sz w:val="20"/>
              </w:rPr>
              <w:t>2,436</w:t>
            </w:r>
          </w:p>
        </w:tc>
        <w:tc>
          <w:tcPr>
            <w:tcW w:w="1840" w:type="dxa"/>
            <w:vAlign w:val="center"/>
          </w:tcPr>
          <w:p w:rsidR="00DC6599" w:rsidRPr="00A5718A" w:rsidRDefault="00DC6599" w:rsidP="003E7A9C">
            <w:pPr>
              <w:rPr>
                <w:sz w:val="20"/>
              </w:rPr>
            </w:pPr>
            <w:r w:rsidRPr="00A5718A">
              <w:rPr>
                <w:sz w:val="20"/>
              </w:rPr>
              <w:t>855</w:t>
            </w:r>
          </w:p>
        </w:tc>
      </w:tr>
      <w:tr w:rsidR="00DC6599" w:rsidRPr="00A5718A" w:rsidTr="003E7A9C">
        <w:trPr>
          <w:trHeight w:val="460"/>
          <w:jc w:val="center"/>
        </w:trPr>
        <w:tc>
          <w:tcPr>
            <w:tcW w:w="3953" w:type="dxa"/>
            <w:vAlign w:val="center"/>
          </w:tcPr>
          <w:p w:rsidR="00DC6599" w:rsidRPr="00A5718A" w:rsidRDefault="00DC6599" w:rsidP="003E7A9C">
            <w:pPr>
              <w:rPr>
                <w:sz w:val="20"/>
              </w:rPr>
            </w:pPr>
            <w:r w:rsidRPr="00A5718A">
              <w:rPr>
                <w:sz w:val="20"/>
              </w:rPr>
              <w:t>Linking to legal entities</w:t>
            </w:r>
          </w:p>
        </w:tc>
        <w:tc>
          <w:tcPr>
            <w:tcW w:w="1739" w:type="dxa"/>
            <w:vAlign w:val="center"/>
          </w:tcPr>
          <w:p w:rsidR="00DC6599" w:rsidRPr="00A5718A" w:rsidRDefault="00DC6599" w:rsidP="003E7A9C">
            <w:pPr>
              <w:rPr>
                <w:sz w:val="20"/>
              </w:rPr>
            </w:pPr>
            <w:r w:rsidRPr="00A5718A">
              <w:rPr>
                <w:sz w:val="20"/>
              </w:rPr>
              <w:t>262</w:t>
            </w:r>
          </w:p>
        </w:tc>
        <w:tc>
          <w:tcPr>
            <w:tcW w:w="1840" w:type="dxa"/>
            <w:vAlign w:val="center"/>
          </w:tcPr>
          <w:p w:rsidR="00DC6599" w:rsidRPr="00A5718A" w:rsidRDefault="00DC6599" w:rsidP="003E7A9C">
            <w:pPr>
              <w:rPr>
                <w:sz w:val="20"/>
              </w:rPr>
            </w:pPr>
            <w:r w:rsidRPr="00A5718A">
              <w:rPr>
                <w:sz w:val="20"/>
              </w:rPr>
              <w:t>855</w:t>
            </w:r>
          </w:p>
        </w:tc>
      </w:tr>
      <w:tr w:rsidR="00DC6599" w:rsidRPr="00A5718A" w:rsidTr="003E7A9C">
        <w:trPr>
          <w:trHeight w:val="460"/>
          <w:jc w:val="center"/>
        </w:trPr>
        <w:tc>
          <w:tcPr>
            <w:tcW w:w="3953" w:type="dxa"/>
            <w:tcBorders>
              <w:bottom w:val="single" w:sz="4" w:space="0" w:color="auto"/>
            </w:tcBorders>
            <w:vAlign w:val="center"/>
          </w:tcPr>
          <w:p w:rsidR="00DC6599" w:rsidRPr="00A5718A" w:rsidRDefault="00DC6599" w:rsidP="003E7A9C">
            <w:pPr>
              <w:rPr>
                <w:sz w:val="20"/>
              </w:rPr>
            </w:pPr>
            <w:r w:rsidRPr="00A5718A">
              <w:rPr>
                <w:sz w:val="20"/>
              </w:rPr>
              <w:t>Matching with  BOL record</w:t>
            </w:r>
          </w:p>
        </w:tc>
        <w:tc>
          <w:tcPr>
            <w:tcW w:w="1739" w:type="dxa"/>
            <w:tcBorders>
              <w:bottom w:val="single" w:sz="4" w:space="0" w:color="auto"/>
            </w:tcBorders>
            <w:vAlign w:val="center"/>
          </w:tcPr>
          <w:p w:rsidR="00DC6599" w:rsidRPr="00A5718A" w:rsidRDefault="00DC6599" w:rsidP="003E7A9C">
            <w:pPr>
              <w:rPr>
                <w:sz w:val="20"/>
              </w:rPr>
            </w:pPr>
            <w:r w:rsidRPr="00A5718A">
              <w:rPr>
                <w:sz w:val="20"/>
              </w:rPr>
              <w:t>208</w:t>
            </w:r>
          </w:p>
        </w:tc>
        <w:tc>
          <w:tcPr>
            <w:tcW w:w="1840" w:type="dxa"/>
            <w:tcBorders>
              <w:bottom w:val="single" w:sz="4" w:space="0" w:color="auto"/>
            </w:tcBorders>
            <w:vAlign w:val="center"/>
          </w:tcPr>
          <w:p w:rsidR="00DC6599" w:rsidRPr="00A5718A" w:rsidRDefault="00DC6599" w:rsidP="003E7A9C">
            <w:pPr>
              <w:rPr>
                <w:sz w:val="20"/>
              </w:rPr>
            </w:pPr>
            <w:r w:rsidRPr="00A5718A">
              <w:rPr>
                <w:sz w:val="20"/>
              </w:rPr>
              <w:t>561</w:t>
            </w:r>
          </w:p>
        </w:tc>
      </w:tr>
      <w:tr w:rsidR="00DC6599" w:rsidRPr="00A5718A" w:rsidTr="003E7A9C">
        <w:trPr>
          <w:trHeight w:val="460"/>
          <w:jc w:val="center"/>
        </w:trPr>
        <w:tc>
          <w:tcPr>
            <w:tcW w:w="3953" w:type="dxa"/>
            <w:tcBorders>
              <w:top w:val="single" w:sz="4" w:space="0" w:color="auto"/>
              <w:bottom w:val="single" w:sz="4" w:space="0" w:color="auto"/>
            </w:tcBorders>
            <w:vAlign w:val="center"/>
          </w:tcPr>
          <w:p w:rsidR="00DC6599" w:rsidRPr="00A5718A" w:rsidRDefault="00DC6599" w:rsidP="003E7A9C">
            <w:pPr>
              <w:rPr>
                <w:sz w:val="20"/>
              </w:rPr>
            </w:pPr>
            <w:r w:rsidRPr="00A5718A">
              <w:rPr>
                <w:sz w:val="20"/>
              </w:rPr>
              <w:t>Companies in extended database (DIP+BOL)</w:t>
            </w:r>
          </w:p>
        </w:tc>
        <w:tc>
          <w:tcPr>
            <w:tcW w:w="3579" w:type="dxa"/>
            <w:gridSpan w:val="2"/>
            <w:tcBorders>
              <w:top w:val="single" w:sz="4" w:space="0" w:color="auto"/>
              <w:bottom w:val="single" w:sz="4" w:space="0" w:color="auto"/>
            </w:tcBorders>
            <w:vAlign w:val="center"/>
          </w:tcPr>
          <w:p w:rsidR="00DC6599" w:rsidRPr="00A5718A" w:rsidRDefault="00DC6599" w:rsidP="003E7A9C">
            <w:pPr>
              <w:jc w:val="center"/>
              <w:rPr>
                <w:b/>
                <w:sz w:val="20"/>
              </w:rPr>
            </w:pPr>
            <w:r w:rsidRPr="00A5718A">
              <w:rPr>
                <w:b/>
                <w:sz w:val="20"/>
              </w:rPr>
              <w:t>754</w:t>
            </w:r>
          </w:p>
        </w:tc>
      </w:tr>
    </w:tbl>
    <w:p w:rsidR="00DC6599" w:rsidRPr="00496C85" w:rsidRDefault="00DC6599" w:rsidP="00496C85">
      <w:pPr>
        <w:tabs>
          <w:tab w:val="left" w:pos="900"/>
        </w:tabs>
        <w:ind w:left="900"/>
        <w:jc w:val="center"/>
        <w:rPr>
          <w:b/>
          <w:sz w:val="18"/>
          <w:szCs w:val="18"/>
        </w:rPr>
      </w:pPr>
      <w:r w:rsidRPr="00496C85">
        <w:rPr>
          <w:b/>
          <w:sz w:val="18"/>
          <w:szCs w:val="18"/>
        </w:rPr>
        <w:t>Source:</w:t>
      </w:r>
      <w:r w:rsidR="003C5992">
        <w:rPr>
          <w:b/>
          <w:sz w:val="18"/>
          <w:szCs w:val="18"/>
        </w:rPr>
        <w:t xml:space="preserve"> </w:t>
      </w:r>
      <w:r w:rsidRPr="00496C85">
        <w:rPr>
          <w:b/>
          <w:sz w:val="18"/>
          <w:szCs w:val="18"/>
        </w:rPr>
        <w:t xml:space="preserve"> TDRI-WIPO Extended Database (2013) and BOL (2013).</w:t>
      </w:r>
    </w:p>
    <w:p w:rsidR="00DC6599" w:rsidRDefault="00DC6599" w:rsidP="00DC6599">
      <w:pPr>
        <w:tabs>
          <w:tab w:val="left" w:pos="900"/>
        </w:tabs>
        <w:ind w:left="900"/>
        <w:rPr>
          <w:i/>
        </w:rPr>
      </w:pPr>
    </w:p>
    <w:p w:rsidR="00DC6599" w:rsidRDefault="00DC6599" w:rsidP="00DC6599">
      <w:r w:rsidRPr="00C61552">
        <w:t xml:space="preserve">For these 754 unique companies whose financial performance data appear in the BOL database, we compiled the revenue and net profit data for ten years back from 2002 to 2011.  In this process, we found that some companies are in the BOL registry with incomplete or inconsistent economic performance data. </w:t>
      </w:r>
      <w:r w:rsidR="00ED25C8">
        <w:t xml:space="preserve"> </w:t>
      </w:r>
      <w:r w:rsidRPr="00C61552">
        <w:t>Therefore, we have a total of 750 companies to conduct the statistical analysis and 719 for the econometric one.</w:t>
      </w:r>
      <w:r w:rsidRPr="00C61552">
        <w:rPr>
          <w:vertAlign w:val="superscript"/>
        </w:rPr>
        <w:footnoteReference w:id="34"/>
      </w:r>
      <w:r w:rsidRPr="00C61552">
        <w:t xml:space="preserve"> </w:t>
      </w:r>
    </w:p>
    <w:p w:rsidR="00A5718A" w:rsidRPr="00C61552" w:rsidRDefault="00A5718A" w:rsidP="00DC6599"/>
    <w:p w:rsidR="00DC6599" w:rsidRDefault="00DC6599" w:rsidP="00DC6599">
      <w:pPr>
        <w:sectPr w:rsidR="00DC6599" w:rsidSect="003E7A9C">
          <w:pgSz w:w="12240" w:h="15840"/>
          <w:pgMar w:top="1440" w:right="1440" w:bottom="1440" w:left="1440" w:header="720" w:footer="720" w:gutter="0"/>
          <w:cols w:space="720"/>
          <w:docGrid w:linePitch="360"/>
        </w:sectPr>
      </w:pPr>
    </w:p>
    <w:p w:rsidR="00DC6599" w:rsidRPr="00496C85" w:rsidRDefault="00DC6599" w:rsidP="00DC6599">
      <w:pPr>
        <w:pStyle w:val="Caption"/>
        <w:rPr>
          <w:b/>
          <w:i w:val="0"/>
          <w:sz w:val="18"/>
        </w:rPr>
      </w:pPr>
      <w:bookmarkStart w:id="60" w:name="_Ref393876468"/>
      <w:bookmarkStart w:id="61" w:name="_Ref391544289"/>
      <w:bookmarkStart w:id="62" w:name="_Toc393894473"/>
      <w:r w:rsidRPr="00496C85">
        <w:rPr>
          <w:b/>
          <w:i w:val="0"/>
          <w:sz w:val="18"/>
        </w:rPr>
        <w:lastRenderedPageBreak/>
        <w:t xml:space="preserve">Figure </w:t>
      </w:r>
      <w:r w:rsidR="00B82C96" w:rsidRPr="00496C85">
        <w:rPr>
          <w:b/>
          <w:i w:val="0"/>
          <w:sz w:val="18"/>
        </w:rPr>
        <w:fldChar w:fldCharType="begin"/>
      </w:r>
      <w:r w:rsidR="00B82C96" w:rsidRPr="00496C85">
        <w:rPr>
          <w:b/>
          <w:i w:val="0"/>
          <w:sz w:val="18"/>
        </w:rPr>
        <w:instrText xml:space="preserve"> SEQ Figure \* ARABIC </w:instrText>
      </w:r>
      <w:r w:rsidR="00B82C96" w:rsidRPr="00496C85">
        <w:rPr>
          <w:b/>
          <w:i w:val="0"/>
          <w:sz w:val="18"/>
        </w:rPr>
        <w:fldChar w:fldCharType="separate"/>
      </w:r>
      <w:r w:rsidR="00092527">
        <w:rPr>
          <w:b/>
          <w:i w:val="0"/>
          <w:noProof/>
          <w:sz w:val="18"/>
        </w:rPr>
        <w:t>6</w:t>
      </w:r>
      <w:r w:rsidR="00B82C96" w:rsidRPr="00496C85">
        <w:rPr>
          <w:b/>
          <w:i w:val="0"/>
          <w:noProof/>
          <w:sz w:val="18"/>
        </w:rPr>
        <w:fldChar w:fldCharType="end"/>
      </w:r>
      <w:bookmarkEnd w:id="60"/>
      <w:r w:rsidRPr="00496C85">
        <w:rPr>
          <w:b/>
          <w:i w:val="0"/>
          <w:sz w:val="18"/>
        </w:rPr>
        <w:t>:  UM Applications by Type of Applicant</w:t>
      </w:r>
      <w:bookmarkEnd w:id="61"/>
      <w:bookmarkEnd w:id="62"/>
    </w:p>
    <w:p w:rsidR="00FD6BA5" w:rsidRPr="00FD6BA5" w:rsidRDefault="00FD6BA5" w:rsidP="00FD6BA5"/>
    <w:p w:rsidR="00DC6599" w:rsidRDefault="00DC6599" w:rsidP="00DC6599">
      <w:r w:rsidRPr="00C61552">
        <w:rPr>
          <w:noProof/>
          <w:lang w:bidi="ar-SA"/>
        </w:rPr>
        <w:drawing>
          <wp:inline distT="0" distB="0" distL="0" distR="0" wp14:anchorId="35ED4FD9" wp14:editId="6C1D03E2">
            <wp:extent cx="8229600" cy="5036591"/>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29600" cy="5036591"/>
                    </a:xfrm>
                    <a:prstGeom prst="rect">
                      <a:avLst/>
                    </a:prstGeom>
                    <a:noFill/>
                    <a:ln>
                      <a:noFill/>
                    </a:ln>
                  </pic:spPr>
                </pic:pic>
              </a:graphicData>
            </a:graphic>
          </wp:inline>
        </w:drawing>
      </w:r>
    </w:p>
    <w:p w:rsidR="00DC6599" w:rsidRPr="00496C85" w:rsidRDefault="00DC6599" w:rsidP="00DC6599">
      <w:pPr>
        <w:rPr>
          <w:b/>
          <w:sz w:val="18"/>
          <w:szCs w:val="18"/>
        </w:rPr>
      </w:pPr>
      <w:r w:rsidRPr="00496C85">
        <w:rPr>
          <w:b/>
          <w:sz w:val="18"/>
          <w:szCs w:val="18"/>
        </w:rPr>
        <w:t>Source: DIP (2012) and TDRI-WIPO Extended Database (2013).</w:t>
      </w:r>
      <w:r w:rsidRPr="00496C85">
        <w:rPr>
          <w:b/>
          <w:sz w:val="18"/>
          <w:szCs w:val="18"/>
        </w:rPr>
        <w:br w:type="page"/>
      </w:r>
    </w:p>
    <w:p w:rsidR="00DC6599" w:rsidRPr="00496C85" w:rsidRDefault="00DC6599" w:rsidP="00DC6599">
      <w:pPr>
        <w:pStyle w:val="Caption"/>
        <w:rPr>
          <w:b/>
          <w:i w:val="0"/>
          <w:sz w:val="18"/>
        </w:rPr>
      </w:pPr>
      <w:bookmarkStart w:id="63" w:name="_Ref393876495"/>
      <w:bookmarkStart w:id="64" w:name="_Toc393894474"/>
      <w:r w:rsidRPr="00496C85">
        <w:rPr>
          <w:b/>
          <w:i w:val="0"/>
          <w:sz w:val="18"/>
        </w:rPr>
        <w:lastRenderedPageBreak/>
        <w:t xml:space="preserve">Figure </w:t>
      </w:r>
      <w:r w:rsidR="00B82C96" w:rsidRPr="00496C85">
        <w:rPr>
          <w:b/>
          <w:i w:val="0"/>
          <w:sz w:val="18"/>
        </w:rPr>
        <w:fldChar w:fldCharType="begin"/>
      </w:r>
      <w:r w:rsidR="00B82C96" w:rsidRPr="00496C85">
        <w:rPr>
          <w:b/>
          <w:i w:val="0"/>
          <w:sz w:val="18"/>
        </w:rPr>
        <w:instrText xml:space="preserve"> SEQ Figure \* ARABIC </w:instrText>
      </w:r>
      <w:r w:rsidR="00B82C96" w:rsidRPr="00496C85">
        <w:rPr>
          <w:b/>
          <w:i w:val="0"/>
          <w:sz w:val="18"/>
        </w:rPr>
        <w:fldChar w:fldCharType="separate"/>
      </w:r>
      <w:r w:rsidR="00092527">
        <w:rPr>
          <w:b/>
          <w:i w:val="0"/>
          <w:noProof/>
          <w:sz w:val="18"/>
        </w:rPr>
        <w:t>7</w:t>
      </w:r>
      <w:r w:rsidR="00B82C96" w:rsidRPr="00496C85">
        <w:rPr>
          <w:b/>
          <w:i w:val="0"/>
          <w:noProof/>
          <w:sz w:val="18"/>
        </w:rPr>
        <w:fldChar w:fldCharType="end"/>
      </w:r>
      <w:bookmarkEnd w:id="63"/>
      <w:r w:rsidRPr="00496C85">
        <w:rPr>
          <w:b/>
          <w:i w:val="0"/>
          <w:sz w:val="18"/>
        </w:rPr>
        <w:t>:  Firm Identification Procedure for UM Applicants</w:t>
      </w:r>
      <w:bookmarkEnd w:id="64"/>
    </w:p>
    <w:p w:rsidR="00FD6BA5" w:rsidRPr="00FD6BA5" w:rsidRDefault="00FD6BA5" w:rsidP="00FD6BA5"/>
    <w:p w:rsidR="00DC6599" w:rsidRDefault="00DC6599" w:rsidP="00DC6599">
      <w:r w:rsidRPr="00C61552">
        <w:rPr>
          <w:noProof/>
          <w:lang w:bidi="ar-SA"/>
        </w:rPr>
        <w:drawing>
          <wp:inline distT="0" distB="0" distL="0" distR="0" wp14:anchorId="302ADCF4" wp14:editId="776B4D09">
            <wp:extent cx="7580376" cy="5120640"/>
            <wp:effectExtent l="0" t="0" r="190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80376" cy="5120640"/>
                    </a:xfrm>
                    <a:prstGeom prst="rect">
                      <a:avLst/>
                    </a:prstGeom>
                    <a:noFill/>
                    <a:ln>
                      <a:noFill/>
                    </a:ln>
                  </pic:spPr>
                </pic:pic>
              </a:graphicData>
            </a:graphic>
          </wp:inline>
        </w:drawing>
      </w:r>
    </w:p>
    <w:p w:rsidR="00DC6599" w:rsidRPr="00496C85" w:rsidRDefault="00DC6599" w:rsidP="00DC6599">
      <w:pPr>
        <w:rPr>
          <w:b/>
          <w:sz w:val="18"/>
          <w:szCs w:val="18"/>
        </w:rPr>
      </w:pPr>
      <w:r w:rsidRPr="00496C85">
        <w:rPr>
          <w:b/>
          <w:sz w:val="18"/>
          <w:szCs w:val="18"/>
        </w:rPr>
        <w:t>Source:</w:t>
      </w:r>
      <w:r w:rsidR="003C5992">
        <w:rPr>
          <w:b/>
          <w:sz w:val="18"/>
          <w:szCs w:val="18"/>
        </w:rPr>
        <w:t xml:space="preserve"> </w:t>
      </w:r>
      <w:r w:rsidRPr="00496C85">
        <w:rPr>
          <w:b/>
          <w:sz w:val="18"/>
          <w:szCs w:val="18"/>
        </w:rPr>
        <w:t xml:space="preserve"> DIP (2012) and TDRI-WIPO Extended Database (2013).</w:t>
      </w:r>
    </w:p>
    <w:p w:rsidR="00DC6599" w:rsidRPr="00DC6599" w:rsidRDefault="00F711CB" w:rsidP="00A5718A">
      <w:pPr>
        <w:ind w:left="709" w:hanging="709"/>
        <w:jc w:val="right"/>
      </w:pPr>
      <w:r w:rsidRPr="00004E23">
        <w:t>[End of Annex and of document]</w:t>
      </w:r>
    </w:p>
    <w:sectPr w:rsidR="00DC6599" w:rsidRPr="00DC6599" w:rsidSect="000412E7">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2E7" w:rsidRDefault="000412E7">
      <w:r>
        <w:separator/>
      </w:r>
    </w:p>
  </w:endnote>
  <w:endnote w:type="continuationSeparator" w:id="0">
    <w:p w:rsidR="000412E7" w:rsidRDefault="00041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E7" w:rsidRPr="00CF7E3C" w:rsidRDefault="000412E7" w:rsidP="00CF7E3C">
    <w:pPr>
      <w:pStyle w:val="Footer"/>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2E7" w:rsidRDefault="000412E7" w:rsidP="00F50EE0">
      <w:pPr>
        <w:pStyle w:val="a"/>
      </w:pPr>
      <w:r>
        <w:separator/>
      </w:r>
    </w:p>
  </w:footnote>
  <w:footnote w:type="continuationSeparator" w:id="0">
    <w:p w:rsidR="000412E7" w:rsidRDefault="000412E7" w:rsidP="00F50EE0">
      <w:pPr>
        <w:pStyle w:val="a"/>
      </w:pPr>
      <w:r>
        <w:continuationSeparator/>
      </w:r>
    </w:p>
  </w:footnote>
  <w:footnote w:type="continuationNotice" w:id="1">
    <w:p w:rsidR="000412E7" w:rsidRDefault="000412E7" w:rsidP="00F50EE0">
      <w:pPr>
        <w:pStyle w:val="a"/>
      </w:pPr>
    </w:p>
  </w:footnote>
  <w:footnote w:id="2">
    <w:p w:rsidR="000412E7" w:rsidRPr="00B82C96" w:rsidRDefault="000412E7" w:rsidP="00BC4F40">
      <w:pPr>
        <w:pStyle w:val="FootnoteText"/>
        <w:rPr>
          <w:szCs w:val="18"/>
        </w:rPr>
      </w:pPr>
      <w:r w:rsidRPr="003809A3">
        <w:rPr>
          <w:rStyle w:val="FootnoteReference"/>
          <w:sz w:val="20"/>
          <w:szCs w:val="20"/>
        </w:rPr>
        <w:footnoteRef/>
      </w:r>
      <w:r w:rsidRPr="003809A3">
        <w:rPr>
          <w:sz w:val="20"/>
          <w:szCs w:val="20"/>
        </w:rPr>
        <w:t xml:space="preserve"> </w:t>
      </w:r>
      <w:r w:rsidRPr="00B82C96">
        <w:rPr>
          <w:szCs w:val="18"/>
        </w:rPr>
        <w:t xml:space="preserve">See WIPO Document </w:t>
      </w:r>
      <w:hyperlink r:id="rId1" w:history="1">
        <w:r w:rsidRPr="00B82C96">
          <w:rPr>
            <w:rStyle w:val="Hyperlink"/>
            <w:rFonts w:eastAsiaTheme="minorHAnsi"/>
            <w:szCs w:val="18"/>
          </w:rPr>
          <w:t xml:space="preserve">CDIP/5/7 </w:t>
        </w:r>
        <w:r>
          <w:rPr>
            <w:rStyle w:val="Hyperlink"/>
            <w:rFonts w:eastAsiaTheme="minorHAnsi"/>
            <w:szCs w:val="18"/>
          </w:rPr>
          <w:t>R</w:t>
        </w:r>
        <w:r w:rsidRPr="00B82C96">
          <w:rPr>
            <w:rStyle w:val="Hyperlink"/>
            <w:rFonts w:eastAsiaTheme="minorHAnsi"/>
            <w:szCs w:val="18"/>
          </w:rPr>
          <w:t>ev</w:t>
        </w:r>
      </w:hyperlink>
      <w:r w:rsidRPr="00B82C96">
        <w:rPr>
          <w:szCs w:val="18"/>
        </w:rPr>
        <w:t>.</w:t>
      </w:r>
    </w:p>
  </w:footnote>
  <w:footnote w:id="3">
    <w:p w:rsidR="000412E7" w:rsidRPr="00B82C96" w:rsidRDefault="000412E7" w:rsidP="00BC4F40">
      <w:pPr>
        <w:pStyle w:val="FootnoteText"/>
        <w:rPr>
          <w:szCs w:val="18"/>
        </w:rPr>
      </w:pPr>
      <w:r w:rsidRPr="00B82C96">
        <w:rPr>
          <w:rStyle w:val="FootnoteReference"/>
          <w:sz w:val="18"/>
          <w:szCs w:val="18"/>
        </w:rPr>
        <w:footnoteRef/>
      </w:r>
      <w:r w:rsidRPr="00B82C96">
        <w:rPr>
          <w:szCs w:val="18"/>
        </w:rPr>
        <w:t xml:space="preserve"> See WIPO document </w:t>
      </w:r>
      <w:hyperlink r:id="rId2" w:history="1">
        <w:r w:rsidRPr="00B82C96">
          <w:rPr>
            <w:rStyle w:val="Hyperlink"/>
            <w:rFonts w:eastAsiaTheme="minorHAnsi"/>
            <w:szCs w:val="18"/>
          </w:rPr>
          <w:t>CDIP/12/INF/6</w:t>
        </w:r>
      </w:hyperlink>
      <w:r w:rsidRPr="00B82C96">
        <w:rPr>
          <w:szCs w:val="18"/>
        </w:rPr>
        <w:t xml:space="preserve"> presented at the Twelfth Session of the Committee on Development and Intellectual Property (CDIP) in November 18 – 21, 2013.</w:t>
      </w:r>
    </w:p>
  </w:footnote>
  <w:footnote w:id="4">
    <w:p w:rsidR="000412E7" w:rsidRPr="00B82C96" w:rsidRDefault="000412E7" w:rsidP="0086058C">
      <w:pPr>
        <w:pStyle w:val="FootnoteText"/>
        <w:rPr>
          <w:szCs w:val="18"/>
        </w:rPr>
      </w:pPr>
      <w:r w:rsidRPr="00B82C96">
        <w:rPr>
          <w:rStyle w:val="FootnoteReference"/>
          <w:sz w:val="18"/>
          <w:szCs w:val="18"/>
        </w:rPr>
        <w:footnoteRef/>
      </w:r>
      <w:r w:rsidRPr="00B82C96">
        <w:rPr>
          <w:szCs w:val="18"/>
        </w:rPr>
        <w:t xml:space="preserve"> More information on the construction of this dataset is described in the WIPO Document </w:t>
      </w:r>
      <w:hyperlink r:id="rId3" w:history="1">
        <w:r w:rsidRPr="00B82C96">
          <w:rPr>
            <w:rStyle w:val="Hyperlink"/>
            <w:rFonts w:eastAsiaTheme="minorHAnsi"/>
            <w:szCs w:val="18"/>
          </w:rPr>
          <w:t>CDIP/12/INF/6</w:t>
        </w:r>
      </w:hyperlink>
      <w:r w:rsidRPr="00B82C96">
        <w:rPr>
          <w:rStyle w:val="Hyperlink"/>
          <w:rFonts w:eastAsiaTheme="minorHAnsi"/>
          <w:szCs w:val="18"/>
        </w:rPr>
        <w:t>.</w:t>
      </w:r>
    </w:p>
  </w:footnote>
  <w:footnote w:id="5">
    <w:p w:rsidR="000412E7" w:rsidRPr="005A3F91" w:rsidRDefault="000412E7" w:rsidP="002A4283">
      <w:pPr>
        <w:pStyle w:val="FootnoteText"/>
        <w:rPr>
          <w:sz w:val="20"/>
          <w:szCs w:val="20"/>
        </w:rPr>
      </w:pPr>
      <w:r w:rsidRPr="00B82C96">
        <w:rPr>
          <w:rStyle w:val="FootnoteReference"/>
          <w:sz w:val="18"/>
          <w:szCs w:val="18"/>
        </w:rPr>
        <w:footnoteRef/>
      </w:r>
      <w:r w:rsidRPr="00B82C96">
        <w:rPr>
          <w:szCs w:val="18"/>
        </w:rPr>
        <w:t xml:space="preserve"> Official exchange rate of 31.08 baht per 1 USD calculated as an annual average based on monthly averages for the year 2012, International Monetary Fund, International Financial Statistics (data available at: </w:t>
      </w:r>
      <w:hyperlink r:id="rId4" w:history="1">
        <w:r w:rsidRPr="00B82C96">
          <w:rPr>
            <w:rStyle w:val="Hyperlink"/>
            <w:szCs w:val="18"/>
          </w:rPr>
          <w:t>http://data.worldbank.org/indicator/PA.NUS.FCRF</w:t>
        </w:r>
      </w:hyperlink>
      <w:r w:rsidRPr="00B82C96">
        <w:rPr>
          <w:szCs w:val="18"/>
        </w:rPr>
        <w:t>).</w:t>
      </w:r>
    </w:p>
  </w:footnote>
  <w:footnote w:id="6">
    <w:p w:rsidR="000412E7" w:rsidRDefault="000412E7" w:rsidP="002A4283">
      <w:pPr>
        <w:pStyle w:val="FootnoteText"/>
      </w:pPr>
      <w:r w:rsidRPr="005A3F91">
        <w:rPr>
          <w:rStyle w:val="FootnoteReference"/>
          <w:sz w:val="20"/>
          <w:szCs w:val="20"/>
        </w:rPr>
        <w:footnoteRef/>
      </w:r>
      <w:r w:rsidRPr="005A3F91">
        <w:rPr>
          <w:sz w:val="20"/>
          <w:szCs w:val="20"/>
        </w:rPr>
        <w:t xml:space="preserve"> </w:t>
      </w:r>
      <w:r w:rsidRPr="00B82C96">
        <w:rPr>
          <w:szCs w:val="18"/>
        </w:rPr>
        <w:t>Ibid</w:t>
      </w:r>
      <w:r w:rsidRPr="005A3F91">
        <w:rPr>
          <w:sz w:val="20"/>
          <w:szCs w:val="20"/>
        </w:rPr>
        <w:t>.</w:t>
      </w:r>
    </w:p>
  </w:footnote>
  <w:footnote w:id="7">
    <w:p w:rsidR="000412E7" w:rsidRPr="00B82C96" w:rsidRDefault="000412E7" w:rsidP="00965802">
      <w:pPr>
        <w:pStyle w:val="FootnoteText"/>
        <w:rPr>
          <w:szCs w:val="18"/>
        </w:rPr>
      </w:pPr>
      <w:r w:rsidRPr="00B82C96">
        <w:rPr>
          <w:rStyle w:val="FootnoteReference"/>
          <w:sz w:val="18"/>
          <w:szCs w:val="18"/>
        </w:rPr>
        <w:footnoteRef/>
      </w:r>
      <w:r w:rsidRPr="00B82C96">
        <w:rPr>
          <w:szCs w:val="18"/>
        </w:rPr>
        <w:t xml:space="preserve"> See WIPO Document </w:t>
      </w:r>
      <w:hyperlink r:id="rId5" w:history="1">
        <w:r>
          <w:rPr>
            <w:rStyle w:val="Hyperlink"/>
            <w:rFonts w:eastAsiaTheme="minorHAnsi"/>
            <w:szCs w:val="18"/>
          </w:rPr>
          <w:t>CDIP/5/7 R</w:t>
        </w:r>
        <w:r w:rsidRPr="00B82C96">
          <w:rPr>
            <w:rStyle w:val="Hyperlink"/>
            <w:rFonts w:eastAsiaTheme="minorHAnsi"/>
            <w:szCs w:val="18"/>
          </w:rPr>
          <w:t>ev</w:t>
        </w:r>
      </w:hyperlink>
      <w:r w:rsidRPr="00B82C96">
        <w:rPr>
          <w:szCs w:val="18"/>
        </w:rPr>
        <w:t>.</w:t>
      </w:r>
    </w:p>
  </w:footnote>
  <w:footnote w:id="8">
    <w:p w:rsidR="000412E7" w:rsidRPr="00B82C96" w:rsidRDefault="000412E7" w:rsidP="00965802">
      <w:pPr>
        <w:pStyle w:val="FootnoteText"/>
        <w:rPr>
          <w:szCs w:val="18"/>
        </w:rPr>
      </w:pPr>
      <w:r w:rsidRPr="00B82C96">
        <w:rPr>
          <w:rStyle w:val="FootnoteReference"/>
          <w:sz w:val="18"/>
          <w:szCs w:val="18"/>
        </w:rPr>
        <w:footnoteRef/>
      </w:r>
      <w:r w:rsidRPr="00B82C96">
        <w:rPr>
          <w:szCs w:val="18"/>
        </w:rPr>
        <w:t xml:space="preserve"> See WIPO document </w:t>
      </w:r>
      <w:hyperlink r:id="rId6" w:history="1">
        <w:r w:rsidRPr="00B82C96">
          <w:rPr>
            <w:rStyle w:val="Hyperlink"/>
            <w:rFonts w:eastAsiaTheme="minorHAnsi"/>
            <w:szCs w:val="18"/>
          </w:rPr>
          <w:t>CDIP/12/INF/6</w:t>
        </w:r>
      </w:hyperlink>
      <w:r w:rsidRPr="00B82C96">
        <w:rPr>
          <w:szCs w:val="18"/>
        </w:rPr>
        <w:t xml:space="preserve"> presented at the Twelfth Session of the Committee on Development and Intellectual Property (CDIP) in November 18 – 21, 2013.</w:t>
      </w:r>
    </w:p>
  </w:footnote>
  <w:footnote w:id="9">
    <w:p w:rsidR="000412E7" w:rsidRPr="00B82C96" w:rsidRDefault="000412E7" w:rsidP="0044453F">
      <w:pPr>
        <w:pStyle w:val="FootnoteText"/>
        <w:rPr>
          <w:szCs w:val="18"/>
        </w:rPr>
      </w:pPr>
      <w:r w:rsidRPr="00B82C96">
        <w:rPr>
          <w:rStyle w:val="FootnoteReference"/>
          <w:sz w:val="18"/>
          <w:szCs w:val="18"/>
        </w:rPr>
        <w:footnoteRef/>
      </w:r>
      <w:r w:rsidRPr="00B82C96">
        <w:rPr>
          <w:szCs w:val="18"/>
        </w:rPr>
        <w:t xml:space="preserve"> See World Bank </w:t>
      </w:r>
      <w:r w:rsidRPr="00B82C96">
        <w:rPr>
          <w:szCs w:val="18"/>
        </w:rPr>
        <w:fldChar w:fldCharType="begin"/>
      </w:r>
      <w:r w:rsidRPr="00B82C96">
        <w:rPr>
          <w:szCs w:val="18"/>
        </w:rPr>
        <w:instrText xml:space="preserve"> ADDIN EN.CITE &lt;EndNote&gt;&lt;Cite ExcludeAuth="1"&gt;&lt;Author&gt;World Bank&lt;/Author&gt;&lt;Year&gt;2008&lt;/Year&gt;&lt;RecNum&gt;591&lt;/RecNum&gt;&lt;DisplayText&gt;(2008)&lt;/DisplayText&gt;&lt;record&gt;&lt;rec-number&gt;591&lt;/rec-number&gt;&lt;foreign-keys&gt;&lt;key app="EN" db-id="tx0d9f997w9wxsexzvyxfdp6psp5sxt0e59f"&gt;591&lt;/key&gt;&lt;/foreign-keys&gt;&lt;ref-type name="Book"&gt;6&lt;/ref-type&gt;&lt;contributors&gt;&lt;authors&gt;&lt;author&gt;World Bank, &lt;/author&gt;&lt;/authors&gt;&lt;/contributors&gt;&lt;titles&gt;&lt;title&gt;Global Economic Prospects 2008 &lt;/title&gt;&lt;/titles&gt;&lt;section&gt;2 Technology and Technological Diffusion in Developing Countries&lt;/section&gt;&lt;dates&gt;&lt;year&gt;2008&lt;/year&gt;&lt;/dates&gt;&lt;pub-location&gt;Washington D.C.&lt;/pub-location&gt;&lt;publisher&gt;World Bank&lt;/publisher&gt;&lt;urls&gt;&lt;/urls&gt;&lt;/record&gt;&lt;/Cite&gt;&lt;/EndNote&gt;</w:instrText>
      </w:r>
      <w:r w:rsidRPr="00B82C96">
        <w:rPr>
          <w:szCs w:val="18"/>
        </w:rPr>
        <w:fldChar w:fldCharType="separate"/>
      </w:r>
      <w:r w:rsidRPr="00B82C96">
        <w:rPr>
          <w:noProof/>
          <w:szCs w:val="18"/>
        </w:rPr>
        <w:t>(</w:t>
      </w:r>
      <w:hyperlink w:anchor="_ENREF_8" w:tooltip="World Bank, 2008 #591" w:history="1">
        <w:r w:rsidRPr="00B82C96">
          <w:rPr>
            <w:noProof/>
            <w:szCs w:val="18"/>
          </w:rPr>
          <w:t>2008</w:t>
        </w:r>
      </w:hyperlink>
      <w:r w:rsidRPr="00B82C96">
        <w:rPr>
          <w:noProof/>
          <w:szCs w:val="18"/>
        </w:rPr>
        <w:t>)</w:t>
      </w:r>
      <w:r w:rsidRPr="00B82C96">
        <w:rPr>
          <w:szCs w:val="18"/>
        </w:rPr>
        <w:fldChar w:fldCharType="end"/>
      </w:r>
      <w:r w:rsidRPr="00B82C96">
        <w:rPr>
          <w:szCs w:val="18"/>
        </w:rPr>
        <w:t>.</w:t>
      </w:r>
    </w:p>
  </w:footnote>
  <w:footnote w:id="10">
    <w:p w:rsidR="000412E7" w:rsidRPr="00B82C96" w:rsidRDefault="000412E7" w:rsidP="0044453F">
      <w:pPr>
        <w:pStyle w:val="FootnoteText"/>
        <w:rPr>
          <w:szCs w:val="18"/>
        </w:rPr>
      </w:pPr>
      <w:r w:rsidRPr="00B82C96">
        <w:rPr>
          <w:rStyle w:val="FootnoteReference"/>
          <w:sz w:val="18"/>
          <w:szCs w:val="18"/>
        </w:rPr>
        <w:footnoteRef/>
      </w:r>
      <w:r w:rsidRPr="00B82C96">
        <w:rPr>
          <w:szCs w:val="18"/>
        </w:rPr>
        <w:t xml:space="preserve"> See </w:t>
      </w:r>
      <w:proofErr w:type="spellStart"/>
      <w:r w:rsidRPr="00B82C96">
        <w:rPr>
          <w:szCs w:val="18"/>
        </w:rPr>
        <w:t>Lall</w:t>
      </w:r>
      <w:proofErr w:type="spellEnd"/>
      <w:r w:rsidRPr="00B82C96">
        <w:rPr>
          <w:szCs w:val="18"/>
        </w:rPr>
        <w:t xml:space="preserve"> </w:t>
      </w:r>
      <w:r w:rsidRPr="00B82C96">
        <w:rPr>
          <w:szCs w:val="18"/>
        </w:rPr>
        <w:fldChar w:fldCharType="begin">
          <w:fldData xml:space="preserve">PEVuZE5vdGU+PENpdGUgRXhjbHVkZUF1dGg9IjEiPjxBdXRob3I+TGFsbDwvQXV0aG9yPjxZZWFy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</w:fldData>
        </w:fldChar>
      </w:r>
      <w:r w:rsidRPr="00B82C96">
        <w:rPr>
          <w:szCs w:val="18"/>
        </w:rPr>
        <w:instrText xml:space="preserve"> ADDIN EN.CITE </w:instrText>
      </w:r>
      <w:r w:rsidRPr="00B82C96">
        <w:rPr>
          <w:szCs w:val="18"/>
        </w:rPr>
        <w:fldChar w:fldCharType="begin">
          <w:fldData xml:space="preserve">PEVuZE5vdGU+PENpdGUgRXhjbHVkZUF1dGg9IjEiPjxBdXRob3I+TGFsbDwvQXV0aG9yPjxZZWFy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</w:fldData>
        </w:fldChar>
      </w:r>
      <w:r w:rsidRPr="00B82C96">
        <w:rPr>
          <w:szCs w:val="18"/>
        </w:rPr>
        <w:instrText xml:space="preserve"> ADDIN EN.CITE.DATA </w:instrText>
      </w:r>
      <w:r w:rsidRPr="00B82C96">
        <w:rPr>
          <w:szCs w:val="18"/>
        </w:rPr>
      </w:r>
      <w:r w:rsidRPr="00B82C96">
        <w:rPr>
          <w:szCs w:val="18"/>
        </w:rPr>
        <w:fldChar w:fldCharType="end"/>
      </w:r>
      <w:r w:rsidRPr="00B82C96">
        <w:rPr>
          <w:szCs w:val="18"/>
        </w:rPr>
      </w:r>
      <w:r w:rsidRPr="00B82C96">
        <w:rPr>
          <w:szCs w:val="18"/>
        </w:rPr>
        <w:fldChar w:fldCharType="separate"/>
      </w:r>
      <w:r w:rsidRPr="00B82C96">
        <w:rPr>
          <w:noProof/>
          <w:szCs w:val="18"/>
        </w:rPr>
        <w:t>(</w:t>
      </w:r>
      <w:hyperlink w:anchor="_ENREF_5" w:tooltip="Lall, 2001 #132" w:history="1">
        <w:r w:rsidRPr="00B82C96">
          <w:rPr>
            <w:noProof/>
            <w:szCs w:val="18"/>
          </w:rPr>
          <w:t>2001</w:t>
        </w:r>
      </w:hyperlink>
      <w:r w:rsidRPr="00B82C96">
        <w:rPr>
          <w:noProof/>
          <w:szCs w:val="18"/>
        </w:rPr>
        <w:t xml:space="preserve">, </w:t>
      </w:r>
      <w:hyperlink w:anchor="_ENREF_6" w:tooltip="Lall, 2003 #144" w:history="1">
        <w:r w:rsidRPr="00B82C96">
          <w:rPr>
            <w:noProof/>
            <w:szCs w:val="18"/>
          </w:rPr>
          <w:t>2003</w:t>
        </w:r>
      </w:hyperlink>
      <w:r w:rsidRPr="00B82C96">
        <w:rPr>
          <w:noProof/>
          <w:szCs w:val="18"/>
        </w:rPr>
        <w:t>)</w:t>
      </w:r>
      <w:r w:rsidRPr="00B82C96">
        <w:rPr>
          <w:szCs w:val="18"/>
        </w:rPr>
        <w:fldChar w:fldCharType="end"/>
      </w:r>
      <w:r w:rsidRPr="00B82C96">
        <w:rPr>
          <w:szCs w:val="18"/>
        </w:rPr>
        <w:t>.</w:t>
      </w:r>
    </w:p>
  </w:footnote>
  <w:footnote w:id="11">
    <w:p w:rsidR="000412E7" w:rsidRPr="00B82C96" w:rsidRDefault="000412E7" w:rsidP="0044453F">
      <w:pPr>
        <w:pStyle w:val="FootnoteText"/>
        <w:rPr>
          <w:szCs w:val="18"/>
        </w:rPr>
      </w:pPr>
      <w:r w:rsidRPr="00B82C96">
        <w:rPr>
          <w:rStyle w:val="FootnoteReference"/>
          <w:sz w:val="18"/>
          <w:szCs w:val="18"/>
        </w:rPr>
        <w:footnoteRef/>
      </w:r>
      <w:r w:rsidRPr="00B82C96">
        <w:rPr>
          <w:szCs w:val="18"/>
        </w:rPr>
        <w:t xml:space="preserve"> See </w:t>
      </w:r>
      <w:proofErr w:type="spellStart"/>
      <w:r w:rsidRPr="00B82C96">
        <w:rPr>
          <w:szCs w:val="18"/>
        </w:rPr>
        <w:t>Granstrand</w:t>
      </w:r>
      <w:proofErr w:type="spellEnd"/>
      <w:r w:rsidRPr="00B82C96">
        <w:rPr>
          <w:szCs w:val="18"/>
        </w:rPr>
        <w:t xml:space="preserve"> </w:t>
      </w:r>
      <w:r w:rsidRPr="00B82C96">
        <w:rPr>
          <w:szCs w:val="18"/>
        </w:rPr>
        <w:fldChar w:fldCharType="begin"/>
      </w:r>
      <w:r w:rsidRPr="00B82C96">
        <w:rPr>
          <w:szCs w:val="18"/>
        </w:rPr>
        <w:instrText xml:space="preserve"> ADDIN EN.CITE &lt;EndNote&gt;&lt;Cite ExcludeAuth="1"&gt;&lt;Author&gt;Granstrand&lt;/Author&gt;&lt;Year&gt;1999&lt;/Year&gt;&lt;RecNum&gt;107&lt;/RecNum&gt;&lt;DisplayText&gt;(1999)&lt;/DisplayText&gt;&lt;record&gt;&lt;rec-number&gt;107&lt;/rec-number&gt;&lt;foreign-keys&gt;&lt;key app="EN" db-id="tx0d9f997w9wxsexzvyxfdp6psp5sxt0e59f"&gt;107&lt;/key&gt;&lt;/foreign-keys&gt;&lt;ref-type name="Book"&gt;6&lt;/ref-type&gt;&lt;contributors&gt;&lt;authors&gt;&lt;author&gt;Granstrand, Ove&lt;/author&gt;&lt;/authors&gt;&lt;/contributors&gt;&lt;titles&gt;&lt;title&gt;The economics and management of intellectual property&lt;/title&gt;&lt;/titles&gt;&lt;dates&gt;&lt;year&gt;1999&lt;/year&gt;&lt;/dates&gt;&lt;pub-location&gt;Cheltenham&lt;/pub-location&gt;&lt;publisher&gt;Edward Elgar Publishing Limited&lt;/publisher&gt;&lt;urls&gt;&lt;/urls&gt;&lt;/record&gt;&lt;/Cite&gt;&lt;/EndNote&gt;</w:instrText>
      </w:r>
      <w:r w:rsidRPr="00B82C96">
        <w:rPr>
          <w:szCs w:val="18"/>
        </w:rPr>
        <w:fldChar w:fldCharType="separate"/>
      </w:r>
      <w:r w:rsidRPr="00B82C96">
        <w:rPr>
          <w:noProof/>
          <w:szCs w:val="18"/>
        </w:rPr>
        <w:t>(</w:t>
      </w:r>
      <w:hyperlink w:anchor="_ENREF_2" w:tooltip="Granstrand, 1999 #107" w:history="1">
        <w:r w:rsidRPr="00B82C96">
          <w:rPr>
            <w:noProof/>
            <w:szCs w:val="18"/>
          </w:rPr>
          <w:t>1999</w:t>
        </w:r>
      </w:hyperlink>
      <w:r w:rsidRPr="00B82C96">
        <w:rPr>
          <w:noProof/>
          <w:szCs w:val="18"/>
        </w:rPr>
        <w:t>)</w:t>
      </w:r>
      <w:r w:rsidRPr="00B82C96">
        <w:rPr>
          <w:szCs w:val="18"/>
        </w:rPr>
        <w:fldChar w:fldCharType="end"/>
      </w:r>
      <w:r w:rsidRPr="00B82C96">
        <w:rPr>
          <w:szCs w:val="18"/>
        </w:rPr>
        <w:t xml:space="preserve">; as well as the report of the Commission on Intellectual Property Rights </w:t>
      </w:r>
      <w:r w:rsidRPr="00B82C96">
        <w:rPr>
          <w:szCs w:val="18"/>
        </w:rPr>
        <w:fldChar w:fldCharType="begin"/>
      </w:r>
      <w:r w:rsidRPr="00B82C96">
        <w:rPr>
          <w:szCs w:val="18"/>
        </w:rPr>
        <w:instrText xml:space="preserve"> ADDIN EN.CITE &lt;EndNote&gt;&lt;Cite ExcludeAuth="1"&gt;&lt;Author&gt;Commission on Intellectual Property Rights&lt;/Author&gt;&lt;Year&gt;2002&lt;/Year&gt;&lt;RecNum&gt;2040&lt;/RecNum&gt;&lt;DisplayText&gt;(2002)&lt;/DisplayText&gt;&lt;record&gt;&lt;rec-number&gt;2040&lt;/rec-number&gt;&lt;foreign-keys&gt;&lt;key app="EN" db-id="tx0d9f997w9wxsexzvyxfdp6psp5sxt0e59f"&gt;2040&lt;/key&gt;&lt;/foreign-keys&gt;&lt;ref-type name="Book"&gt;6&lt;/ref-type&gt;&lt;contributors&gt;&lt;authors&gt;&lt;author&gt;Commission on Intellectual Property Rights,&lt;/author&gt;&lt;/authors&gt;&lt;/contributors&gt;&lt;titles&gt;&lt;title&gt;Integrating Intellectual Property Rights and Development Policy: Report of the Commission on Intellectual Property Rights&lt;/title&gt;&lt;/titles&gt;&lt;dates&gt;&lt;year&gt;2002&lt;/year&gt;&lt;/dates&gt;&lt;pub-location&gt;London&lt;/pub-location&gt;&lt;publisher&gt;Commission on Intellectual Property Rights&lt;/publisher&gt;&lt;work-type&gt;Report&lt;/work-type&gt;&lt;urls&gt;&lt;/urls&gt;&lt;/record&gt;&lt;/Cite&gt;&lt;/EndNote&gt;</w:instrText>
      </w:r>
      <w:r w:rsidRPr="00B82C96">
        <w:rPr>
          <w:szCs w:val="18"/>
        </w:rPr>
        <w:fldChar w:fldCharType="separate"/>
      </w:r>
      <w:r w:rsidRPr="00B82C96">
        <w:rPr>
          <w:noProof/>
          <w:szCs w:val="18"/>
        </w:rPr>
        <w:t>(</w:t>
      </w:r>
      <w:hyperlink w:anchor="_ENREF_1" w:tooltip="Commission on Intellectual Property Rights, 2002 #2040" w:history="1">
        <w:r w:rsidRPr="00B82C96">
          <w:rPr>
            <w:noProof/>
            <w:szCs w:val="18"/>
          </w:rPr>
          <w:t>2002</w:t>
        </w:r>
      </w:hyperlink>
      <w:r w:rsidRPr="00B82C96">
        <w:rPr>
          <w:noProof/>
          <w:szCs w:val="18"/>
        </w:rPr>
        <w:t>)</w:t>
      </w:r>
      <w:r w:rsidRPr="00B82C96">
        <w:rPr>
          <w:szCs w:val="18"/>
        </w:rPr>
        <w:fldChar w:fldCharType="end"/>
      </w:r>
      <w:r w:rsidRPr="00B82C96">
        <w:rPr>
          <w:szCs w:val="18"/>
        </w:rPr>
        <w:t>.</w:t>
      </w:r>
    </w:p>
  </w:footnote>
  <w:footnote w:id="12">
    <w:p w:rsidR="000412E7" w:rsidRPr="005011FA" w:rsidRDefault="000412E7">
      <w:pPr>
        <w:pStyle w:val="FootnoteText"/>
        <w:rPr>
          <w:sz w:val="20"/>
          <w:szCs w:val="20"/>
        </w:rPr>
      </w:pPr>
      <w:r w:rsidRPr="00B82C96">
        <w:rPr>
          <w:rStyle w:val="FootnoteReference"/>
          <w:sz w:val="18"/>
          <w:szCs w:val="18"/>
        </w:rPr>
        <w:footnoteRef/>
      </w:r>
      <w:r w:rsidRPr="00B82C96">
        <w:rPr>
          <w:szCs w:val="18"/>
        </w:rPr>
        <w:t xml:space="preserve"> See Kim </w:t>
      </w:r>
      <w:r w:rsidRPr="00B82C96">
        <w:rPr>
          <w:szCs w:val="18"/>
        </w:rPr>
        <w:fldChar w:fldCharType="begin"/>
      </w:r>
      <w:r w:rsidRPr="00B82C96">
        <w:rPr>
          <w:szCs w:val="18"/>
        </w:rPr>
        <w:instrText xml:space="preserve"> ADDIN EN.CITE &lt;EndNote&gt;&lt;Cite ExcludeAuth="1"&gt;&lt;Author&gt;Kim&lt;/Author&gt;&lt;Year&gt;1997&lt;/Year&gt;&lt;RecNum&gt;253&lt;/RecNum&gt;&lt;DisplayText&gt;(1997)&lt;/DisplayText&gt;&lt;record&gt;&lt;rec-number&gt;253&lt;/rec-number&gt;&lt;foreign-keys&gt;&lt;key app="EN" db-id="tx0d9f997w9wxsexzvyxfdp6psp5sxt0e59f"&gt;253&lt;/key&gt;&lt;/foreign-keys&gt;&lt;ref-type name="Book"&gt;6&lt;/ref-type&gt;&lt;contributors&gt;&lt;authors&gt;&lt;author&gt;Kim, Linsu&lt;/author&gt;&lt;/authors&gt;&lt;/contributors&gt;&lt;titles&gt;&lt;title&gt;Imitation to Innovation: The Dynamics of Korea&amp;apos;s Technological Learning&lt;/title&gt;&lt;/titles&gt;&lt;dates&gt;&lt;year&gt;1997&lt;/year&gt;&lt;/dates&gt;&lt;pub-location&gt;Boston&lt;/pub-location&gt;&lt;publisher&gt;Harvard Business Press&lt;/publisher&gt;&lt;urls&gt;&lt;/urls&gt;&lt;/record&gt;&lt;/Cite&gt;&lt;/EndNote&gt;</w:instrText>
      </w:r>
      <w:r w:rsidRPr="00B82C96">
        <w:rPr>
          <w:szCs w:val="18"/>
        </w:rPr>
        <w:fldChar w:fldCharType="separate"/>
      </w:r>
      <w:r w:rsidRPr="00B82C96">
        <w:rPr>
          <w:noProof/>
          <w:szCs w:val="18"/>
        </w:rPr>
        <w:t>(</w:t>
      </w:r>
      <w:hyperlink w:anchor="_ENREF_3" w:tooltip="Kim, 1997 #253" w:history="1">
        <w:r w:rsidRPr="00B82C96">
          <w:rPr>
            <w:noProof/>
            <w:szCs w:val="18"/>
          </w:rPr>
          <w:t>1997</w:t>
        </w:r>
      </w:hyperlink>
      <w:r w:rsidRPr="00B82C96">
        <w:rPr>
          <w:noProof/>
          <w:szCs w:val="18"/>
        </w:rPr>
        <w:t>)</w:t>
      </w:r>
      <w:r w:rsidRPr="00B82C96">
        <w:rPr>
          <w:szCs w:val="18"/>
        </w:rPr>
        <w:fldChar w:fldCharType="end"/>
      </w:r>
      <w:r w:rsidRPr="00B82C96">
        <w:rPr>
          <w:szCs w:val="18"/>
        </w:rPr>
        <w:t xml:space="preserve"> for the case of South Korea; and </w:t>
      </w:r>
      <w:proofErr w:type="spellStart"/>
      <w:r w:rsidRPr="00B82C96">
        <w:rPr>
          <w:szCs w:val="18"/>
        </w:rPr>
        <w:t>Suthersanen</w:t>
      </w:r>
      <w:proofErr w:type="spellEnd"/>
      <w:r w:rsidRPr="00B82C96">
        <w:rPr>
          <w:szCs w:val="18"/>
        </w:rPr>
        <w:t xml:space="preserve"> </w:t>
      </w:r>
      <w:r w:rsidRPr="00B82C96">
        <w:rPr>
          <w:szCs w:val="18"/>
        </w:rPr>
        <w:fldChar w:fldCharType="begin"/>
      </w:r>
      <w:r w:rsidRPr="00B82C96">
        <w:rPr>
          <w:szCs w:val="18"/>
        </w:rPr>
        <w:instrText xml:space="preserve"> ADDIN EN.CITE &lt;EndNote&gt;&lt;Cite ExcludeAuth="1"&gt;&lt;Author&gt;Suthersanen&lt;/Author&gt;&lt;Year&gt;2006&lt;/Year&gt;&lt;RecNum&gt;654&lt;/RecNum&gt;&lt;DisplayText&gt;(2006)&lt;/DisplayText&gt;&lt;record&gt;&lt;rec-number&gt;654&lt;/rec-number&gt;&lt;foreign-keys&gt;&lt;key app="EN" db-id="tx0d9f997w9wxsexzvyxfdp6psp5sxt0e59f"&gt;654&lt;/key&gt;&lt;/foreign-keys&gt;&lt;ref-type name="Generic"&gt;13&lt;/ref-type&gt;&lt;contributors&gt;&lt;authors&gt;&lt;author&gt;Suthersanen, Uma&lt;/author&gt;&lt;/authors&gt;&lt;/contributors&gt;&lt;titles&gt;&lt;title&gt;Utility modles and innovation in developing countries&lt;/title&gt;&lt;secondary-title&gt;UNCTAD-ICTSD Project on IPRs and Sustainable Development&lt;/secondary-title&gt;&lt;/titles&gt;&lt;dates&gt;&lt;year&gt;2006&lt;/year&gt;&lt;/dates&gt;&lt;pub-location&gt;Geneva&lt;/pub-location&gt;&lt;publisher&gt;ICTSD-UNCTAD&lt;/publisher&gt;&lt;urls&gt;&lt;/urls&gt;&lt;/record&gt;&lt;/Cite&gt;&lt;/EndNote&gt;</w:instrText>
      </w:r>
      <w:r w:rsidRPr="00B82C96">
        <w:rPr>
          <w:szCs w:val="18"/>
        </w:rPr>
        <w:fldChar w:fldCharType="separate"/>
      </w:r>
      <w:r w:rsidRPr="00B82C96">
        <w:rPr>
          <w:noProof/>
          <w:szCs w:val="18"/>
        </w:rPr>
        <w:t>(</w:t>
      </w:r>
      <w:hyperlink w:anchor="_ENREF_7" w:tooltip="Suthersanen, 2006 #654" w:history="1">
        <w:r w:rsidRPr="00B82C96">
          <w:rPr>
            <w:noProof/>
            <w:szCs w:val="18"/>
          </w:rPr>
          <w:t>2006</w:t>
        </w:r>
      </w:hyperlink>
      <w:r w:rsidRPr="00B82C96">
        <w:rPr>
          <w:noProof/>
          <w:szCs w:val="18"/>
        </w:rPr>
        <w:t>)</w:t>
      </w:r>
      <w:r w:rsidRPr="00B82C96">
        <w:rPr>
          <w:szCs w:val="18"/>
        </w:rPr>
        <w:fldChar w:fldCharType="end"/>
      </w:r>
      <w:r w:rsidRPr="00B82C96">
        <w:rPr>
          <w:szCs w:val="18"/>
        </w:rPr>
        <w:t xml:space="preserve"> for a relatively comprehensive overview of UM systems in several less developed economies. In addition, the WIPO Document </w:t>
      </w:r>
      <w:hyperlink r:id="rId7" w:history="1">
        <w:r w:rsidRPr="00B82C96">
          <w:rPr>
            <w:rStyle w:val="Hyperlink"/>
            <w:rFonts w:eastAsiaTheme="minorHAnsi"/>
            <w:szCs w:val="18"/>
          </w:rPr>
          <w:t>CDIP/12/INF/6</w:t>
        </w:r>
      </w:hyperlink>
      <w:r w:rsidRPr="00B82C96">
        <w:rPr>
          <w:szCs w:val="18"/>
        </w:rPr>
        <w:t xml:space="preserve"> provides a more thorough literature review on this subject area.</w:t>
      </w:r>
    </w:p>
  </w:footnote>
  <w:footnote w:id="13">
    <w:p w:rsidR="000412E7" w:rsidRPr="00F0466E" w:rsidRDefault="000412E7" w:rsidP="000715CC">
      <w:pPr>
        <w:pStyle w:val="FootnoteText"/>
        <w:rPr>
          <w:szCs w:val="18"/>
        </w:rPr>
      </w:pPr>
      <w:r w:rsidRPr="00F0466E">
        <w:rPr>
          <w:rStyle w:val="FootnoteReference"/>
          <w:sz w:val="18"/>
          <w:szCs w:val="18"/>
        </w:rPr>
        <w:footnoteRef/>
      </w:r>
      <w:r w:rsidRPr="00F0466E">
        <w:rPr>
          <w:szCs w:val="18"/>
        </w:rPr>
        <w:t xml:space="preserve"> In June 2012, WIPO and TDRI staff conducted a series of interviews in Bangkok with a number of stakeholders to seek their views on the contribution and functioning of the Thai UM system.  See Appendix C of WIPO document </w:t>
      </w:r>
      <w:hyperlink r:id="rId8" w:history="1">
        <w:r w:rsidRPr="00F0466E">
          <w:rPr>
            <w:rStyle w:val="Hyperlink"/>
            <w:rFonts w:eastAsiaTheme="minorHAnsi"/>
            <w:szCs w:val="18"/>
          </w:rPr>
          <w:t>CDIP/12/INF/6</w:t>
        </w:r>
      </w:hyperlink>
      <w:r w:rsidRPr="00F0466E">
        <w:rPr>
          <w:szCs w:val="18"/>
        </w:rPr>
        <w:t xml:space="preserve"> for details.</w:t>
      </w:r>
    </w:p>
  </w:footnote>
  <w:footnote w:id="14">
    <w:p w:rsidR="000412E7" w:rsidRPr="00F0466E" w:rsidRDefault="000412E7" w:rsidP="000715CC">
      <w:pPr>
        <w:pStyle w:val="FootnoteText"/>
        <w:rPr>
          <w:rFonts w:asciiTheme="minorHAnsi" w:hAnsiTheme="minorHAnsi"/>
          <w:szCs w:val="18"/>
        </w:rPr>
      </w:pPr>
      <w:r w:rsidRPr="00F0466E">
        <w:rPr>
          <w:rStyle w:val="FootnoteReference"/>
          <w:rFonts w:eastAsiaTheme="majorEastAsia"/>
          <w:sz w:val="18"/>
          <w:szCs w:val="18"/>
        </w:rPr>
        <w:footnoteRef/>
      </w:r>
      <w:r w:rsidRPr="00F0466E">
        <w:rPr>
          <w:szCs w:val="18"/>
        </w:rPr>
        <w:t xml:space="preserve"> Ibid.</w:t>
      </w:r>
    </w:p>
  </w:footnote>
  <w:footnote w:id="15">
    <w:p w:rsidR="000412E7" w:rsidRPr="00F0466E" w:rsidRDefault="000412E7" w:rsidP="008D4CCE">
      <w:pPr>
        <w:pStyle w:val="FootnoteText"/>
        <w:rPr>
          <w:szCs w:val="18"/>
        </w:rPr>
      </w:pPr>
      <w:r w:rsidRPr="00F0466E">
        <w:rPr>
          <w:rStyle w:val="FootnoteReference"/>
          <w:sz w:val="18"/>
          <w:szCs w:val="18"/>
        </w:rPr>
        <w:footnoteRef/>
      </w:r>
      <w:r w:rsidRPr="00F0466E">
        <w:rPr>
          <w:szCs w:val="18"/>
        </w:rPr>
        <w:t xml:space="preserve"> See </w:t>
      </w:r>
      <w:r w:rsidRPr="00F0466E">
        <w:rPr>
          <w:szCs w:val="18"/>
        </w:rPr>
        <w:fldChar w:fldCharType="begin"/>
      </w:r>
      <w:r w:rsidRPr="00F0466E">
        <w:rPr>
          <w:szCs w:val="18"/>
        </w:rPr>
        <w:instrText xml:space="preserve"> REF _Ref393876468 \h  \* MERGEFORMAT </w:instrText>
      </w:r>
      <w:r w:rsidRPr="00F0466E">
        <w:rPr>
          <w:szCs w:val="18"/>
        </w:rPr>
      </w:r>
      <w:r w:rsidRPr="00F0466E">
        <w:rPr>
          <w:szCs w:val="18"/>
        </w:rPr>
        <w:fldChar w:fldCharType="separate"/>
      </w:r>
      <w:r w:rsidR="00092527" w:rsidRPr="00092527">
        <w:rPr>
          <w:szCs w:val="18"/>
        </w:rPr>
        <w:t xml:space="preserve">Figure </w:t>
      </w:r>
      <w:r w:rsidR="00092527" w:rsidRPr="00092527">
        <w:rPr>
          <w:noProof/>
          <w:szCs w:val="18"/>
        </w:rPr>
        <w:t>6</w:t>
      </w:r>
      <w:r w:rsidRPr="00F0466E">
        <w:rPr>
          <w:szCs w:val="18"/>
        </w:rPr>
        <w:fldChar w:fldCharType="end"/>
      </w:r>
      <w:r w:rsidRPr="00F0466E">
        <w:rPr>
          <w:szCs w:val="18"/>
        </w:rPr>
        <w:t xml:space="preserve"> on the breakdown of UM applications by four types of applicant: natural persons, corporations, universities and government agencies.</w:t>
      </w:r>
    </w:p>
  </w:footnote>
  <w:footnote w:id="16">
    <w:p w:rsidR="000412E7" w:rsidRPr="0067468E" w:rsidRDefault="000412E7" w:rsidP="008D4CCE">
      <w:pPr>
        <w:pStyle w:val="FootnoteText"/>
        <w:rPr>
          <w:sz w:val="20"/>
          <w:szCs w:val="20"/>
        </w:rPr>
      </w:pPr>
      <w:r w:rsidRPr="00F0466E">
        <w:rPr>
          <w:rStyle w:val="FootnoteReference"/>
          <w:sz w:val="18"/>
          <w:szCs w:val="18"/>
        </w:rPr>
        <w:footnoteRef/>
      </w:r>
      <w:r w:rsidRPr="00F0466E">
        <w:rPr>
          <w:szCs w:val="18"/>
        </w:rPr>
        <w:t xml:space="preserve"> See the appendix for details on the construction of the TDRI-WIPO Extended Database.</w:t>
      </w:r>
    </w:p>
  </w:footnote>
  <w:footnote w:id="17">
    <w:p w:rsidR="000412E7" w:rsidRPr="009927BD" w:rsidRDefault="000412E7" w:rsidP="008D4CCE">
      <w:pPr>
        <w:pStyle w:val="FootnoteText"/>
        <w:rPr>
          <w:szCs w:val="18"/>
        </w:rPr>
      </w:pPr>
      <w:r w:rsidRPr="009927BD">
        <w:rPr>
          <w:rStyle w:val="FootnoteReference"/>
          <w:sz w:val="18"/>
          <w:szCs w:val="18"/>
        </w:rPr>
        <w:footnoteRef/>
      </w:r>
      <w:r w:rsidRPr="009927BD">
        <w:rPr>
          <w:szCs w:val="18"/>
        </w:rPr>
        <w:t xml:space="preserve"> See </w:t>
      </w:r>
      <w:r w:rsidRPr="009927BD">
        <w:rPr>
          <w:szCs w:val="18"/>
        </w:rPr>
        <w:fldChar w:fldCharType="begin"/>
      </w:r>
      <w:r w:rsidRPr="009927BD">
        <w:rPr>
          <w:szCs w:val="18"/>
        </w:rPr>
        <w:instrText xml:space="preserve"> REF _Ref393876047 \h  \* MERGEFORMAT </w:instrText>
      </w:r>
      <w:r w:rsidRPr="009927BD">
        <w:rPr>
          <w:szCs w:val="18"/>
        </w:rPr>
      </w:r>
      <w:r w:rsidRPr="009927BD">
        <w:rPr>
          <w:szCs w:val="18"/>
        </w:rPr>
        <w:fldChar w:fldCharType="separate"/>
      </w:r>
      <w:r w:rsidR="00092527" w:rsidRPr="00092527">
        <w:rPr>
          <w:szCs w:val="18"/>
        </w:rPr>
        <w:t xml:space="preserve">Table </w:t>
      </w:r>
      <w:r w:rsidR="00092527" w:rsidRPr="00092527">
        <w:rPr>
          <w:noProof/>
          <w:szCs w:val="18"/>
        </w:rPr>
        <w:t>10</w:t>
      </w:r>
      <w:r w:rsidRPr="009927BD">
        <w:rPr>
          <w:szCs w:val="18"/>
        </w:rPr>
        <w:fldChar w:fldCharType="end"/>
      </w:r>
      <w:r w:rsidRPr="009927BD">
        <w:rPr>
          <w:szCs w:val="18"/>
        </w:rPr>
        <w:t xml:space="preserve"> in the appendix for a summary of the data cleaning effort.</w:t>
      </w:r>
    </w:p>
  </w:footnote>
  <w:footnote w:id="18">
    <w:p w:rsidR="000412E7" w:rsidRPr="009927BD" w:rsidRDefault="000412E7" w:rsidP="008D4CCE">
      <w:pPr>
        <w:pStyle w:val="FootnoteText"/>
        <w:rPr>
          <w:szCs w:val="18"/>
        </w:rPr>
      </w:pPr>
      <w:r w:rsidRPr="009927BD">
        <w:rPr>
          <w:rStyle w:val="FootnoteReference"/>
          <w:sz w:val="18"/>
          <w:szCs w:val="18"/>
        </w:rPr>
        <w:footnoteRef/>
      </w:r>
      <w:r w:rsidRPr="009927BD">
        <w:rPr>
          <w:szCs w:val="18"/>
        </w:rPr>
        <w:t xml:space="preserve"> Official exchange rate of 31.08 baht per 1 USD calculated as an annual average based on monthly averages for the year 2012, International Monetary Fund, International Financial Statistics (data available at: </w:t>
      </w:r>
      <w:hyperlink r:id="rId9" w:history="1">
        <w:r w:rsidRPr="009927BD">
          <w:rPr>
            <w:rStyle w:val="Hyperlink"/>
            <w:szCs w:val="18"/>
          </w:rPr>
          <w:t>http://data.worldbank.org/indicator/PA.NUS.FCRF</w:t>
        </w:r>
      </w:hyperlink>
      <w:r w:rsidRPr="009927BD">
        <w:rPr>
          <w:szCs w:val="18"/>
        </w:rPr>
        <w:t>).</w:t>
      </w:r>
    </w:p>
  </w:footnote>
  <w:footnote w:id="19">
    <w:p w:rsidR="000412E7" w:rsidRPr="005A3F91" w:rsidRDefault="000412E7" w:rsidP="008D4CCE">
      <w:pPr>
        <w:pStyle w:val="FootnoteText"/>
        <w:rPr>
          <w:sz w:val="20"/>
          <w:szCs w:val="20"/>
        </w:rPr>
      </w:pPr>
      <w:r w:rsidRPr="009927BD">
        <w:rPr>
          <w:rStyle w:val="FootnoteReference"/>
          <w:sz w:val="18"/>
          <w:szCs w:val="18"/>
        </w:rPr>
        <w:footnoteRef/>
      </w:r>
      <w:r w:rsidRPr="009927BD">
        <w:rPr>
          <w:szCs w:val="18"/>
        </w:rPr>
        <w:t xml:space="preserve"> However for a more accurate picture of the sales and net profit of the firms in the sample we should look at the median firm; the median sales is 87.3 million baht (approx. USD 28.1 million) while the median net profit is 575 thousand baht (approx. USD 185 thousand). The median number is more representative than the average because there are several large firms in the sample that skewed the average up.</w:t>
      </w:r>
    </w:p>
  </w:footnote>
  <w:footnote w:id="20">
    <w:p w:rsidR="000412E7" w:rsidRPr="009927BD" w:rsidRDefault="000412E7" w:rsidP="00AF7FAC">
      <w:pPr>
        <w:pStyle w:val="FootnoteText"/>
        <w:rPr>
          <w:szCs w:val="18"/>
        </w:rPr>
      </w:pPr>
      <w:r w:rsidRPr="009927BD">
        <w:rPr>
          <w:rStyle w:val="FootnoteReference"/>
          <w:sz w:val="18"/>
          <w:szCs w:val="18"/>
        </w:rPr>
        <w:footnoteRef/>
      </w:r>
      <w:r w:rsidRPr="009927BD">
        <w:rPr>
          <w:szCs w:val="18"/>
        </w:rPr>
        <w:t xml:space="preserve"> See footnote </w:t>
      </w:r>
      <w:r w:rsidRPr="009927BD">
        <w:rPr>
          <w:szCs w:val="18"/>
        </w:rPr>
        <w:fldChar w:fldCharType="begin"/>
      </w:r>
      <w:r w:rsidRPr="009927BD">
        <w:rPr>
          <w:szCs w:val="18"/>
        </w:rPr>
        <w:instrText xml:space="preserve"> NOTEREF _Ref391545286 \h </w:instrText>
      </w:r>
      <w:r>
        <w:rPr>
          <w:szCs w:val="18"/>
        </w:rPr>
        <w:instrText xml:space="preserve"> \* MERGEFORMAT </w:instrText>
      </w:r>
      <w:r w:rsidRPr="009927BD">
        <w:rPr>
          <w:szCs w:val="18"/>
        </w:rPr>
      </w:r>
      <w:r w:rsidRPr="009927BD">
        <w:rPr>
          <w:szCs w:val="18"/>
        </w:rPr>
        <w:fldChar w:fldCharType="separate"/>
      </w:r>
      <w:r w:rsidR="00092527">
        <w:rPr>
          <w:szCs w:val="18"/>
        </w:rPr>
        <w:t>17</w:t>
      </w:r>
      <w:r w:rsidRPr="009927BD">
        <w:rPr>
          <w:szCs w:val="18"/>
        </w:rPr>
        <w:fldChar w:fldCharType="end"/>
      </w:r>
      <w:r w:rsidRPr="009927BD">
        <w:rPr>
          <w:szCs w:val="18"/>
        </w:rPr>
        <w:t xml:space="preserve"> for conversion rate.</w:t>
      </w:r>
    </w:p>
  </w:footnote>
  <w:footnote w:id="21">
    <w:p w:rsidR="000412E7" w:rsidRDefault="000412E7" w:rsidP="00AF7FAC">
      <w:pPr>
        <w:pStyle w:val="FootnoteText"/>
      </w:pPr>
      <w:r w:rsidRPr="009927BD">
        <w:rPr>
          <w:rStyle w:val="FootnoteReference"/>
          <w:sz w:val="18"/>
          <w:szCs w:val="18"/>
        </w:rPr>
        <w:footnoteRef/>
      </w:r>
      <w:r w:rsidRPr="009927BD">
        <w:rPr>
          <w:szCs w:val="18"/>
        </w:rPr>
        <w:t xml:space="preserve"> Ibid.</w:t>
      </w:r>
    </w:p>
  </w:footnote>
  <w:footnote w:id="22">
    <w:p w:rsidR="000412E7" w:rsidRPr="009668C0" w:rsidRDefault="000412E7" w:rsidP="00930EA0">
      <w:pPr>
        <w:pStyle w:val="FootnoteText"/>
        <w:rPr>
          <w:szCs w:val="18"/>
        </w:rPr>
      </w:pPr>
      <w:r w:rsidRPr="009668C0">
        <w:rPr>
          <w:rStyle w:val="FootnoteReference"/>
          <w:sz w:val="18"/>
          <w:szCs w:val="18"/>
        </w:rPr>
        <w:footnoteRef/>
      </w:r>
      <w:r w:rsidRPr="009668C0">
        <w:rPr>
          <w:szCs w:val="18"/>
        </w:rPr>
        <w:t xml:space="preserve"> Thai provinces have been abbreviated to their 3-digit code: Bangkok (BKK), Chon Buri (CBI), Nonthaburi (NBI), Nakhon Pathom (NPT), Pathum Thani (PTE), Samut Sakhon (SKN) and Samut Prakan (SPK).</w:t>
      </w:r>
    </w:p>
  </w:footnote>
  <w:footnote w:id="23">
    <w:p w:rsidR="000412E7" w:rsidRPr="009F1047" w:rsidRDefault="000412E7" w:rsidP="004D1D5C">
      <w:pPr>
        <w:pStyle w:val="FootnoteText"/>
        <w:rPr>
          <w:szCs w:val="18"/>
        </w:rPr>
      </w:pPr>
      <w:r w:rsidRPr="009F1047">
        <w:rPr>
          <w:rStyle w:val="FootnoteReference"/>
          <w:sz w:val="18"/>
          <w:szCs w:val="18"/>
        </w:rPr>
        <w:footnoteRef/>
      </w:r>
      <w:r w:rsidRPr="009F1047">
        <w:rPr>
          <w:szCs w:val="18"/>
        </w:rPr>
        <w:t xml:space="preserve"> We have also computed the proxy for UM protection using the UM registration date. The results have been similar in both sign and size as for UM application date.</w:t>
      </w:r>
    </w:p>
  </w:footnote>
  <w:footnote w:id="24">
    <w:p w:rsidR="000412E7" w:rsidRPr="009F1047" w:rsidRDefault="000412E7" w:rsidP="006561BD">
      <w:pPr>
        <w:pStyle w:val="FootnoteText"/>
        <w:rPr>
          <w:szCs w:val="18"/>
        </w:rPr>
      </w:pPr>
      <w:r w:rsidRPr="009F1047">
        <w:rPr>
          <w:rStyle w:val="FootnoteReference"/>
          <w:sz w:val="18"/>
          <w:szCs w:val="18"/>
        </w:rPr>
        <w:footnoteRef/>
      </w:r>
      <w:r w:rsidRPr="009F1047">
        <w:rPr>
          <w:szCs w:val="18"/>
        </w:rPr>
        <w:t xml:space="preserve"> We also estimated all the specifications using UM registration data, instead of UM application, and obtained qualitatively similar results with regards to the coefficient signs and levels of statistical significance.</w:t>
      </w:r>
    </w:p>
  </w:footnote>
  <w:footnote w:id="25">
    <w:p w:rsidR="000412E7" w:rsidRPr="009F1047" w:rsidRDefault="000412E7" w:rsidP="006561BD">
      <w:pPr>
        <w:pStyle w:val="FootnoteText"/>
        <w:rPr>
          <w:i/>
          <w:szCs w:val="18"/>
        </w:rPr>
      </w:pPr>
      <w:r w:rsidRPr="009F1047">
        <w:rPr>
          <w:rStyle w:val="FootnoteReference"/>
          <w:sz w:val="18"/>
          <w:szCs w:val="18"/>
        </w:rPr>
        <w:footnoteRef/>
      </w:r>
      <w:r w:rsidRPr="009F1047">
        <w:rPr>
          <w:szCs w:val="18"/>
        </w:rPr>
        <w:t xml:space="preserve"> In addition, the results for both net sales and sales-to-cost ratio estimation seem to converge.</w:t>
      </w:r>
    </w:p>
  </w:footnote>
  <w:footnote w:id="26">
    <w:p w:rsidR="000412E7" w:rsidRPr="009F1047" w:rsidRDefault="000412E7" w:rsidP="006561BD">
      <w:pPr>
        <w:pStyle w:val="FootnoteText"/>
        <w:rPr>
          <w:szCs w:val="18"/>
        </w:rPr>
      </w:pPr>
      <w:r w:rsidRPr="009F1047">
        <w:rPr>
          <w:rStyle w:val="FootnoteReference"/>
          <w:sz w:val="18"/>
          <w:szCs w:val="18"/>
        </w:rPr>
        <w:footnoteRef/>
      </w:r>
      <w:r w:rsidRPr="009F1047">
        <w:rPr>
          <w:szCs w:val="18"/>
        </w:rPr>
        <w:t xml:space="preserve"> We had to transform the coefficient value in column (1) of </w:t>
      </w:r>
      <w:r w:rsidRPr="009F1047">
        <w:rPr>
          <w:szCs w:val="18"/>
        </w:rPr>
        <w:fldChar w:fldCharType="begin"/>
      </w:r>
      <w:r w:rsidRPr="009F1047">
        <w:rPr>
          <w:szCs w:val="18"/>
        </w:rPr>
        <w:instrText xml:space="preserve"> REF _Ref393875375 \h  \* MERGEFORMAT </w:instrText>
      </w:r>
      <w:r w:rsidRPr="009F1047">
        <w:rPr>
          <w:szCs w:val="18"/>
        </w:rPr>
      </w:r>
      <w:r w:rsidRPr="009F1047">
        <w:rPr>
          <w:szCs w:val="18"/>
        </w:rPr>
        <w:fldChar w:fldCharType="separate"/>
      </w:r>
      <w:r w:rsidR="00092527" w:rsidRPr="00092527">
        <w:rPr>
          <w:szCs w:val="18"/>
        </w:rPr>
        <w:t xml:space="preserve">Table </w:t>
      </w:r>
      <w:r w:rsidR="00092527" w:rsidRPr="00092527">
        <w:rPr>
          <w:noProof/>
          <w:szCs w:val="18"/>
        </w:rPr>
        <w:t>6</w:t>
      </w:r>
      <w:r w:rsidRPr="009F1047">
        <w:rPr>
          <w:szCs w:val="18"/>
        </w:rPr>
        <w:fldChar w:fldCharType="end"/>
      </w:r>
      <w:r w:rsidRPr="009F1047">
        <w:rPr>
          <w:szCs w:val="18"/>
        </w:rPr>
        <w:t xml:space="preserve"> to get the correct marginal estimate</w:t>
      </w:r>
      <w:proofErr w:type="gramStart"/>
      <w:r w:rsidRPr="009F1047">
        <w:rPr>
          <w:szCs w:val="18"/>
        </w:rPr>
        <w:t xml:space="preserve">: </w:t>
      </w:r>
      <w:proofErr w:type="gramEnd"/>
      <m:oMath>
        <m:d>
          <m:dPr>
            <m:ctrlPr>
              <w:rPr>
                <w:rFonts w:ascii="Cambria Math" w:hAnsi="Cambria Math"/>
                <w:i/>
                <w:szCs w:val="18"/>
              </w:rPr>
            </m:ctrlPr>
          </m:dPr>
          <m:e>
            <m:sSup>
              <m:sSupPr>
                <m:ctrlPr>
                  <w:rPr>
                    <w:rFonts w:ascii="Cambria Math" w:hAnsi="Cambria Math"/>
                    <w:i/>
                    <w:szCs w:val="18"/>
                  </w:rPr>
                </m:ctrlPr>
              </m:sSupPr>
              <m:e>
                <m:r>
                  <w:rPr>
                    <w:rFonts w:ascii="Cambria Math" w:hAnsi="Cambria Math"/>
                    <w:szCs w:val="18"/>
                  </w:rPr>
                  <m:t>e</m:t>
                </m:r>
              </m:e>
              <m:sup>
                <m:r>
                  <w:rPr>
                    <w:rFonts w:ascii="Cambria Math" w:hAnsi="Cambria Math"/>
                    <w:szCs w:val="18"/>
                  </w:rPr>
                  <m:t>0.713</m:t>
                </m:r>
              </m:sup>
            </m:sSup>
            <m:r>
              <w:rPr>
                <w:rFonts w:ascii="Cambria Math" w:hAnsi="Cambria Math"/>
                <w:szCs w:val="18"/>
              </w:rPr>
              <m:t>-1</m:t>
            </m:r>
          </m:e>
        </m:d>
        <m:r>
          <w:rPr>
            <w:rFonts w:ascii="Cambria Math" w:eastAsiaTheme="minorEastAsia" w:hAnsi="Cambria Math"/>
            <w:szCs w:val="18"/>
          </w:rPr>
          <m:t>*100=104%</m:t>
        </m:r>
      </m:oMath>
      <w:r w:rsidRPr="009F1047">
        <w:rPr>
          <w:rFonts w:eastAsiaTheme="minorEastAsia"/>
          <w:szCs w:val="18"/>
        </w:rPr>
        <w:t>.  This is the case when our dependent variable is in natural logarithms and our explanatory variable of interest takes on a dummy (0, 1) value.</w:t>
      </w:r>
    </w:p>
  </w:footnote>
  <w:footnote w:id="27">
    <w:p w:rsidR="000412E7" w:rsidRPr="009F1047" w:rsidRDefault="000412E7" w:rsidP="006561BD">
      <w:pPr>
        <w:pStyle w:val="FootnoteText"/>
        <w:rPr>
          <w:szCs w:val="18"/>
        </w:rPr>
      </w:pPr>
      <w:r w:rsidRPr="009F1047">
        <w:rPr>
          <w:rStyle w:val="FootnoteReference"/>
          <w:sz w:val="18"/>
          <w:szCs w:val="18"/>
        </w:rPr>
        <w:footnoteRef/>
      </w:r>
      <w:r w:rsidRPr="009F1047">
        <w:rPr>
          <w:szCs w:val="18"/>
        </w:rPr>
        <w:t xml:space="preserve"> Again, we need to transform the coefficient value in column (2) of </w:t>
      </w:r>
      <w:r w:rsidRPr="009F1047">
        <w:rPr>
          <w:szCs w:val="18"/>
        </w:rPr>
        <w:fldChar w:fldCharType="begin"/>
      </w:r>
      <w:r w:rsidRPr="009F1047">
        <w:rPr>
          <w:szCs w:val="18"/>
        </w:rPr>
        <w:instrText xml:space="preserve"> REF _Ref393875375 \h  \* MERGEFORMAT </w:instrText>
      </w:r>
      <w:r w:rsidRPr="009F1047">
        <w:rPr>
          <w:szCs w:val="18"/>
        </w:rPr>
      </w:r>
      <w:r w:rsidRPr="009F1047">
        <w:rPr>
          <w:szCs w:val="18"/>
        </w:rPr>
        <w:fldChar w:fldCharType="separate"/>
      </w:r>
      <w:r w:rsidR="00092527" w:rsidRPr="00092527">
        <w:rPr>
          <w:szCs w:val="18"/>
        </w:rPr>
        <w:t xml:space="preserve">Table </w:t>
      </w:r>
      <w:r w:rsidR="00092527" w:rsidRPr="00092527">
        <w:rPr>
          <w:noProof/>
          <w:szCs w:val="18"/>
        </w:rPr>
        <w:t>6</w:t>
      </w:r>
      <w:r w:rsidRPr="009F1047">
        <w:rPr>
          <w:szCs w:val="18"/>
        </w:rPr>
        <w:fldChar w:fldCharType="end"/>
      </w:r>
      <w:r w:rsidRPr="009F1047">
        <w:rPr>
          <w:szCs w:val="18"/>
        </w:rPr>
        <w:t xml:space="preserve"> as noted above</w:t>
      </w:r>
      <w:proofErr w:type="gramStart"/>
      <w:r w:rsidRPr="009F1047">
        <w:rPr>
          <w:szCs w:val="18"/>
        </w:rPr>
        <w:t xml:space="preserve">: </w:t>
      </w:r>
      <w:proofErr w:type="gramEnd"/>
      <m:oMath>
        <m:d>
          <m:dPr>
            <m:ctrlPr>
              <w:rPr>
                <w:rFonts w:ascii="Cambria Math" w:hAnsi="Cambria Math"/>
                <w:i/>
                <w:szCs w:val="18"/>
              </w:rPr>
            </m:ctrlPr>
          </m:dPr>
          <m:e>
            <m:sSup>
              <m:sSupPr>
                <m:ctrlPr>
                  <w:rPr>
                    <w:rFonts w:ascii="Cambria Math" w:hAnsi="Cambria Math"/>
                    <w:i/>
                    <w:szCs w:val="18"/>
                  </w:rPr>
                </m:ctrlPr>
              </m:sSupPr>
              <m:e>
                <m:r>
                  <w:rPr>
                    <w:rFonts w:ascii="Cambria Math" w:hAnsi="Cambria Math"/>
                    <w:szCs w:val="18"/>
                  </w:rPr>
                  <m:t>e</m:t>
                </m:r>
              </m:e>
              <m:sup>
                <m:r>
                  <w:rPr>
                    <w:rFonts w:ascii="Cambria Math" w:hAnsi="Cambria Math"/>
                    <w:szCs w:val="18"/>
                  </w:rPr>
                  <m:t>0.022</m:t>
                </m:r>
              </m:sup>
            </m:sSup>
            <m:r>
              <w:rPr>
                <w:rFonts w:ascii="Cambria Math" w:hAnsi="Cambria Math"/>
                <w:szCs w:val="18"/>
              </w:rPr>
              <m:t>-1</m:t>
            </m:r>
          </m:e>
        </m:d>
        <m:r>
          <w:rPr>
            <w:rFonts w:ascii="Cambria Math" w:eastAsiaTheme="minorEastAsia" w:hAnsi="Cambria Math"/>
            <w:szCs w:val="18"/>
          </w:rPr>
          <m:t>*100=2.26%</m:t>
        </m:r>
      </m:oMath>
      <w:r w:rsidRPr="009F1047">
        <w:rPr>
          <w:rFonts w:eastAsiaTheme="minorEastAsia"/>
          <w:szCs w:val="18"/>
        </w:rPr>
        <w:t>.</w:t>
      </w:r>
    </w:p>
  </w:footnote>
  <w:footnote w:id="28">
    <w:p w:rsidR="000412E7" w:rsidRPr="00422154" w:rsidRDefault="000412E7" w:rsidP="00997592">
      <w:pPr>
        <w:pStyle w:val="FootnoteText"/>
      </w:pPr>
      <w:r w:rsidRPr="009F1047">
        <w:rPr>
          <w:rStyle w:val="FootnoteReference"/>
          <w:sz w:val="18"/>
          <w:szCs w:val="18"/>
        </w:rPr>
        <w:footnoteRef/>
      </w:r>
      <w:r w:rsidRPr="009F1047">
        <w:rPr>
          <w:szCs w:val="18"/>
        </w:rPr>
        <w:t xml:space="preserve"> To make things simple, we assume that the larger firm has operating costs equals to 70.8 million baht (this is the median value of the operating costs in our sample).  The observable change in this firm’s net sales with UM application is </w:t>
      </w:r>
      <m:oMath>
        <m:d>
          <m:dPr>
            <m:ctrlPr>
              <w:rPr>
                <w:rFonts w:ascii="Cambria Math" w:hAnsi="Cambria Math"/>
                <w:szCs w:val="18"/>
              </w:rPr>
            </m:ctrlPr>
          </m:dPr>
          <m:e>
            <m:sSup>
              <m:sSupPr>
                <m:ctrlPr>
                  <w:rPr>
                    <w:rFonts w:ascii="Cambria Math" w:hAnsi="Cambria Math"/>
                    <w:szCs w:val="18"/>
                  </w:rPr>
                </m:ctrlPr>
              </m:sSupPr>
              <m:e>
                <m:r>
                  <m:rPr>
                    <m:sty m:val="p"/>
                  </m:rPr>
                  <w:rPr>
                    <w:rFonts w:ascii="Cambria Math" w:hAnsi="Cambria Math"/>
                    <w:szCs w:val="18"/>
                  </w:rPr>
                  <m:t>e</m:t>
                </m:r>
              </m:e>
              <m:sup>
                <m:r>
                  <w:rPr>
                    <w:rFonts w:ascii="Cambria Math" w:hAnsi="Cambria Math"/>
                    <w:szCs w:val="18"/>
                  </w:rPr>
                  <m:t>0</m:t>
                </m:r>
                <m:r>
                  <m:rPr>
                    <m:sty m:val="p"/>
                  </m:rPr>
                  <w:rPr>
                    <w:rFonts w:ascii="Cambria Math" w:hAnsi="Cambria Math"/>
                    <w:szCs w:val="18"/>
                  </w:rPr>
                  <m:t>.06-0.008*</m:t>
                </m:r>
                <m:func>
                  <m:funcPr>
                    <m:ctrlPr>
                      <w:rPr>
                        <w:rFonts w:ascii="Cambria Math" w:hAnsi="Cambria Math"/>
                        <w:szCs w:val="18"/>
                      </w:rPr>
                    </m:ctrlPr>
                  </m:funcPr>
                  <m:fName>
                    <m:r>
                      <m:rPr>
                        <m:sty m:val="p"/>
                      </m:rPr>
                      <w:rPr>
                        <w:rFonts w:ascii="Cambria Math" w:hAnsi="Cambria Math"/>
                        <w:szCs w:val="18"/>
                      </w:rPr>
                      <m:t>ln</m:t>
                    </m:r>
                  </m:fName>
                  <m:e>
                    <m:d>
                      <m:dPr>
                        <m:ctrlPr>
                          <w:rPr>
                            <w:rFonts w:ascii="Cambria Math" w:hAnsi="Cambria Math"/>
                            <w:i/>
                            <w:szCs w:val="18"/>
                          </w:rPr>
                        </m:ctrlPr>
                      </m:dPr>
                      <m:e>
                        <m:r>
                          <w:rPr>
                            <w:rFonts w:ascii="Cambria Math" w:hAnsi="Cambria Math"/>
                            <w:szCs w:val="18"/>
                          </w:rPr>
                          <m:t>70.8</m:t>
                        </m:r>
                      </m:e>
                    </m:d>
                  </m:e>
                </m:func>
              </m:sup>
            </m:sSup>
            <m:r>
              <w:rPr>
                <w:rFonts w:ascii="Cambria Math" w:hAnsi="Cambria Math"/>
                <w:szCs w:val="18"/>
              </w:rPr>
              <m:t>-1</m:t>
            </m:r>
            <m:ctrlPr>
              <w:rPr>
                <w:rFonts w:ascii="Cambria Math" w:eastAsiaTheme="minorEastAsia" w:hAnsi="Cambria Math"/>
                <w:i/>
                <w:szCs w:val="18"/>
              </w:rPr>
            </m:ctrlPr>
          </m:e>
        </m:d>
        <m:r>
          <w:rPr>
            <w:rFonts w:ascii="Cambria Math" w:eastAsiaTheme="minorEastAsia" w:hAnsi="Cambria Math"/>
            <w:szCs w:val="18"/>
          </w:rPr>
          <m:t>*100%=2.3%</m:t>
        </m:r>
      </m:oMath>
      <w:r w:rsidRPr="009F1047">
        <w:rPr>
          <w:rFonts w:eastAsiaTheme="minorEastAsia"/>
          <w:szCs w:val="18"/>
        </w:rPr>
        <w:t>.</w:t>
      </w:r>
    </w:p>
  </w:footnote>
  <w:footnote w:id="29">
    <w:p w:rsidR="000412E7" w:rsidRPr="00ED25C8" w:rsidRDefault="000412E7" w:rsidP="00DC6599">
      <w:pPr>
        <w:pStyle w:val="FootnoteText"/>
        <w:rPr>
          <w:szCs w:val="18"/>
        </w:rPr>
      </w:pPr>
      <w:r w:rsidRPr="00ED25C8">
        <w:rPr>
          <w:rStyle w:val="FootnoteReference"/>
          <w:sz w:val="18"/>
          <w:szCs w:val="18"/>
        </w:rPr>
        <w:footnoteRef/>
      </w:r>
      <w:r w:rsidRPr="00ED25C8">
        <w:rPr>
          <w:szCs w:val="18"/>
        </w:rPr>
        <w:t xml:space="preserve"> As there was incomplete information for certain variables, our local counterpart, TDRI, manually collected the missing data for all 7,498 applications. This is documented in further detail in Appendix B of WIPO Meeting Document CDIP/12/INF/6.</w:t>
      </w:r>
    </w:p>
  </w:footnote>
  <w:footnote w:id="30">
    <w:p w:rsidR="000412E7" w:rsidRPr="00BF3C11" w:rsidRDefault="000412E7" w:rsidP="00DC6599">
      <w:pPr>
        <w:pStyle w:val="FootnoteText"/>
        <w:rPr>
          <w:sz w:val="20"/>
          <w:szCs w:val="20"/>
        </w:rPr>
      </w:pPr>
      <w:r w:rsidRPr="00ED25C8">
        <w:rPr>
          <w:rStyle w:val="FootnoteReference"/>
          <w:sz w:val="18"/>
          <w:szCs w:val="18"/>
        </w:rPr>
        <w:footnoteRef/>
      </w:r>
      <w:r w:rsidRPr="00ED25C8">
        <w:rPr>
          <w:szCs w:val="18"/>
        </w:rPr>
        <w:t xml:space="preserve"> This particularity may be explained by the issue of IP ownership in the case of an infringement – IP infringement is a criminal offense – and in the case of business closure, where the right to exercise the UM protected invention is associated with the firm’s survival.</w:t>
      </w:r>
    </w:p>
  </w:footnote>
  <w:footnote w:id="31">
    <w:p w:rsidR="000412E7" w:rsidRPr="00ED25C8" w:rsidRDefault="000412E7" w:rsidP="00DC6599">
      <w:pPr>
        <w:pStyle w:val="FootnoteText"/>
        <w:rPr>
          <w:szCs w:val="18"/>
        </w:rPr>
      </w:pPr>
      <w:r w:rsidRPr="00ED25C8">
        <w:rPr>
          <w:rStyle w:val="FootnoteReference"/>
          <w:sz w:val="18"/>
          <w:szCs w:val="18"/>
        </w:rPr>
        <w:footnoteRef/>
      </w:r>
      <w:r w:rsidRPr="00ED25C8">
        <w:rPr>
          <w:szCs w:val="18"/>
        </w:rPr>
        <w:t xml:space="preserve"> OTOP</w:t>
      </w:r>
      <w:r w:rsidRPr="00ED25C8">
        <w:rPr>
          <w:szCs w:val="18"/>
          <w:shd w:val="clear" w:color="auto" w:fill="FFFFFF"/>
        </w:rPr>
        <w:t xml:space="preserve"> is a local entrepreneurship stimulus program. The program </w:t>
      </w:r>
      <w:r w:rsidRPr="00ED25C8">
        <w:rPr>
          <w:szCs w:val="18"/>
        </w:rPr>
        <w:t>aimed</w:t>
      </w:r>
      <w:r w:rsidRPr="00ED25C8">
        <w:rPr>
          <w:szCs w:val="18"/>
          <w:shd w:val="clear" w:color="auto" w:fill="FFFFFF"/>
        </w:rPr>
        <w:t xml:space="preserve"> to support the locally made and marketed products of each Thai</w:t>
      </w:r>
      <w:r w:rsidRPr="00ED25C8">
        <w:rPr>
          <w:szCs w:val="18"/>
        </w:rPr>
        <w:t xml:space="preserve"> Tambon</w:t>
      </w:r>
      <w:r w:rsidRPr="00ED25C8">
        <w:rPr>
          <w:szCs w:val="18"/>
          <w:shd w:val="clear" w:color="auto" w:fill="FFFFFF"/>
        </w:rPr>
        <w:t xml:space="preserve"> (i.e. sub-district).</w:t>
      </w:r>
      <w:r w:rsidRPr="00ED25C8">
        <w:rPr>
          <w:szCs w:val="18"/>
        </w:rPr>
        <w:t xml:space="preserve"> </w:t>
      </w:r>
    </w:p>
  </w:footnote>
  <w:footnote w:id="32">
    <w:p w:rsidR="000412E7" w:rsidRPr="00ED25C8" w:rsidRDefault="000412E7" w:rsidP="00A5718A">
      <w:pPr>
        <w:pStyle w:val="FootnoteText"/>
        <w:jc w:val="thaiDistribute"/>
        <w:rPr>
          <w:szCs w:val="18"/>
        </w:rPr>
      </w:pPr>
      <w:r w:rsidRPr="00ED25C8">
        <w:rPr>
          <w:rStyle w:val="FootnoteReference"/>
          <w:sz w:val="18"/>
          <w:szCs w:val="18"/>
        </w:rPr>
        <w:footnoteRef/>
      </w:r>
      <w:r w:rsidRPr="00ED25C8">
        <w:rPr>
          <w:szCs w:val="18"/>
        </w:rPr>
        <w:t xml:space="preserve"> BOL is a Thai limited public company, which provides the service of maintaining the database of the Thai registry of companies.  This database contains financial and economic information of registered companies, such as the financial statement, general information of company, financial ratio, etc.</w:t>
      </w:r>
    </w:p>
  </w:footnote>
  <w:footnote w:id="33">
    <w:p w:rsidR="000412E7" w:rsidRPr="009B5FE0" w:rsidRDefault="000412E7" w:rsidP="00DC6599">
      <w:pPr>
        <w:pStyle w:val="FootnoteText"/>
        <w:rPr>
          <w:sz w:val="20"/>
          <w:szCs w:val="20"/>
        </w:rPr>
      </w:pPr>
      <w:r w:rsidRPr="00ED25C8">
        <w:rPr>
          <w:rStyle w:val="FootnoteReference"/>
          <w:sz w:val="18"/>
          <w:szCs w:val="18"/>
        </w:rPr>
        <w:footnoteRef/>
      </w:r>
      <w:r w:rsidRPr="00ED25C8">
        <w:rPr>
          <w:szCs w:val="18"/>
        </w:rPr>
        <w:t xml:space="preserve"> There is an overlap of 15 companies.</w:t>
      </w:r>
    </w:p>
  </w:footnote>
  <w:footnote w:id="34">
    <w:p w:rsidR="000412E7" w:rsidRPr="00ED25C8" w:rsidRDefault="000412E7" w:rsidP="00DC6599">
      <w:pPr>
        <w:pStyle w:val="FootnoteText"/>
        <w:rPr>
          <w:szCs w:val="18"/>
        </w:rPr>
      </w:pPr>
      <w:r w:rsidRPr="00ED25C8">
        <w:rPr>
          <w:rStyle w:val="FootnoteReference"/>
          <w:sz w:val="18"/>
          <w:szCs w:val="18"/>
        </w:rPr>
        <w:footnoteRef/>
      </w:r>
      <w:r w:rsidRPr="00ED25C8">
        <w:rPr>
          <w:szCs w:val="18"/>
        </w:rPr>
        <w:t xml:space="preserve"> Due to business structure one firm from the DIP data appears twice in the BOL data. We have kept only one for the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E7" w:rsidRDefault="000412E7" w:rsidP="00184ABD">
    <w:pPr>
      <w:pStyle w:val="Header"/>
      <w:ind w:right="30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E7" w:rsidRPr="00F25064" w:rsidRDefault="000412E7" w:rsidP="003C6814">
    <w:pPr>
      <w:pStyle w:val="Apendix"/>
      <w:jc w:val="right"/>
      <w:rPr>
        <w:b w:val="0"/>
      </w:rPr>
    </w:pPr>
    <w:r w:rsidRPr="00F25064">
      <w:rPr>
        <w:b w:val="0"/>
      </w:rPr>
      <w:t>CDIP/14/</w:t>
    </w:r>
    <w:r>
      <w:rPr>
        <w:b w:val="0"/>
      </w:rPr>
      <w:t>INF/4</w:t>
    </w:r>
  </w:p>
  <w:p w:rsidR="000412E7" w:rsidRPr="00F25064" w:rsidRDefault="000412E7" w:rsidP="00982FFC">
    <w:pPr>
      <w:pStyle w:val="Apendix"/>
      <w:rPr>
        <w:b w:val="0"/>
        <w:noProof/>
      </w:rPr>
    </w:pPr>
    <w:r w:rsidRPr="00F25064">
      <w:rPr>
        <w:b w:val="0"/>
      </w:rPr>
      <w:ptab w:relativeTo="margin" w:alignment="right" w:leader="none"/>
    </w:r>
    <w:r w:rsidRPr="00F25064">
      <w:rPr>
        <w:b w:val="0"/>
      </w:rPr>
      <w:t xml:space="preserve">Annex, page </w:t>
    </w:r>
    <w:r w:rsidRPr="00F25064">
      <w:rPr>
        <w:b w:val="0"/>
      </w:rPr>
      <w:fldChar w:fldCharType="begin"/>
    </w:r>
    <w:r w:rsidRPr="00F25064">
      <w:rPr>
        <w:b w:val="0"/>
      </w:rPr>
      <w:instrText xml:space="preserve"> PAGE   \* MERGEFORMAT </w:instrText>
    </w:r>
    <w:r w:rsidRPr="00F25064">
      <w:rPr>
        <w:b w:val="0"/>
      </w:rPr>
      <w:fldChar w:fldCharType="separate"/>
    </w:r>
    <w:r w:rsidR="00C97E5E">
      <w:rPr>
        <w:b w:val="0"/>
        <w:noProof/>
      </w:rPr>
      <w:t>28</w:t>
    </w:r>
    <w:r w:rsidRPr="00F25064">
      <w:rPr>
        <w:b w:val="0"/>
        <w:noProof/>
      </w:rPr>
      <w:fldChar w:fldCharType="end"/>
    </w:r>
  </w:p>
  <w:p w:rsidR="000412E7" w:rsidRDefault="000412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E7" w:rsidRPr="00F25064" w:rsidRDefault="000412E7" w:rsidP="003C6814">
    <w:pPr>
      <w:pStyle w:val="Apendix"/>
      <w:rPr>
        <w:b w:val="0"/>
      </w:rPr>
    </w:pPr>
    <w:r w:rsidRPr="00F25064">
      <w:rPr>
        <w:b w:val="0"/>
      </w:rPr>
      <w:ptab w:relativeTo="margin" w:alignment="right" w:leader="none"/>
    </w:r>
    <w:r w:rsidRPr="00F25064">
      <w:rPr>
        <w:b w:val="0"/>
      </w:rPr>
      <w:t>CDIP/14/</w:t>
    </w:r>
    <w:r>
      <w:rPr>
        <w:b w:val="0"/>
      </w:rPr>
      <w:t>INF/4</w:t>
    </w:r>
  </w:p>
  <w:p w:rsidR="000412E7" w:rsidRPr="00F25064" w:rsidRDefault="000412E7" w:rsidP="00EA0810">
    <w:pPr>
      <w:pStyle w:val="Apendix"/>
      <w:rPr>
        <w:b w:val="0"/>
        <w:noProof/>
      </w:rPr>
    </w:pPr>
    <w:r w:rsidRPr="00F25064">
      <w:rPr>
        <w:b w:val="0"/>
      </w:rPr>
      <w:ptab w:relativeTo="margin" w:alignment="right" w:leader="none"/>
    </w:r>
    <w:r w:rsidRPr="00F25064">
      <w:rPr>
        <w:b w:val="0"/>
      </w:rPr>
      <w:t xml:space="preserve">Annex, page </w:t>
    </w:r>
    <w:r w:rsidRPr="00F25064">
      <w:rPr>
        <w:b w:val="0"/>
      </w:rPr>
      <w:fldChar w:fldCharType="begin"/>
    </w:r>
    <w:r w:rsidRPr="00F25064">
      <w:rPr>
        <w:b w:val="0"/>
      </w:rPr>
      <w:instrText xml:space="preserve"> PAGE   \* MERGEFORMAT </w:instrText>
    </w:r>
    <w:r w:rsidRPr="00F25064">
      <w:rPr>
        <w:b w:val="0"/>
      </w:rPr>
      <w:fldChar w:fldCharType="separate"/>
    </w:r>
    <w:r w:rsidR="00092527">
      <w:rPr>
        <w:b w:val="0"/>
        <w:noProof/>
      </w:rPr>
      <w:t>28</w:t>
    </w:r>
    <w:r w:rsidRPr="00F25064">
      <w:rPr>
        <w:b w:val="0"/>
        <w:noProof/>
      </w:rPr>
      <w:fldChar w:fldCharType="end"/>
    </w:r>
  </w:p>
  <w:p w:rsidR="000412E7" w:rsidRDefault="000412E7" w:rsidP="00EA0810">
    <w:pPr>
      <w:pStyle w:val="Apendix"/>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E7" w:rsidRPr="00F25064" w:rsidRDefault="000412E7" w:rsidP="003C6814">
    <w:pPr>
      <w:pStyle w:val="Apendix"/>
      <w:jc w:val="right"/>
      <w:rPr>
        <w:b w:val="0"/>
      </w:rPr>
    </w:pPr>
    <w:r w:rsidRPr="00F25064">
      <w:rPr>
        <w:b w:val="0"/>
      </w:rPr>
      <w:t>CDIP/14/</w:t>
    </w:r>
    <w:r>
      <w:rPr>
        <w:b w:val="0"/>
      </w:rPr>
      <w:t>INF/4</w:t>
    </w:r>
  </w:p>
  <w:p w:rsidR="000412E7" w:rsidRPr="00F25064" w:rsidRDefault="000412E7" w:rsidP="00982FFC">
    <w:pPr>
      <w:pStyle w:val="Apendix"/>
      <w:rPr>
        <w:b w:val="0"/>
        <w:noProof/>
      </w:rPr>
    </w:pPr>
    <w:r w:rsidRPr="00F25064">
      <w:rPr>
        <w:b w:val="0"/>
      </w:rPr>
      <w:ptab w:relativeTo="margin" w:alignment="right" w:leader="none"/>
    </w:r>
    <w:r>
      <w:rPr>
        <w:b w:val="0"/>
      </w:rPr>
      <w:t>ANNEX</w:t>
    </w:r>
  </w:p>
  <w:p w:rsidR="000412E7" w:rsidRDefault="000412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E7" w:rsidRPr="00F25064" w:rsidRDefault="000412E7" w:rsidP="003C6814">
    <w:pPr>
      <w:pStyle w:val="Apendix"/>
      <w:jc w:val="right"/>
      <w:rPr>
        <w:b w:val="0"/>
      </w:rPr>
    </w:pPr>
    <w:r w:rsidRPr="00F25064">
      <w:rPr>
        <w:b w:val="0"/>
      </w:rPr>
      <w:t>CDIP/14/</w:t>
    </w:r>
    <w:r>
      <w:rPr>
        <w:b w:val="0"/>
      </w:rPr>
      <w:t>INF/4</w:t>
    </w:r>
  </w:p>
  <w:p w:rsidR="000412E7" w:rsidRPr="00F25064" w:rsidRDefault="000412E7" w:rsidP="00982FFC">
    <w:pPr>
      <w:pStyle w:val="Apendix"/>
      <w:rPr>
        <w:b w:val="0"/>
        <w:noProof/>
      </w:rPr>
    </w:pPr>
    <w:r w:rsidRPr="00F25064">
      <w:rPr>
        <w:b w:val="0"/>
      </w:rPr>
      <w:ptab w:relativeTo="margin" w:alignment="right" w:leader="none"/>
    </w:r>
    <w:r>
      <w:rPr>
        <w:b w:val="0"/>
      </w:rPr>
      <w:t xml:space="preserve">Annex, page </w:t>
    </w:r>
    <w:r w:rsidRPr="00F83DDD">
      <w:rPr>
        <w:b w:val="0"/>
      </w:rPr>
      <w:fldChar w:fldCharType="begin"/>
    </w:r>
    <w:r w:rsidRPr="00F83DDD">
      <w:rPr>
        <w:b w:val="0"/>
      </w:rPr>
      <w:instrText xml:space="preserve"> PAGE   \* MERGEFORMAT </w:instrText>
    </w:r>
    <w:r w:rsidRPr="00F83DDD">
      <w:rPr>
        <w:b w:val="0"/>
      </w:rPr>
      <w:fldChar w:fldCharType="separate"/>
    </w:r>
    <w:r w:rsidR="00092527">
      <w:rPr>
        <w:b w:val="0"/>
        <w:noProof/>
      </w:rPr>
      <w:t>15</w:t>
    </w:r>
    <w:r w:rsidRPr="00F83DDD">
      <w:rPr>
        <w:b w:val="0"/>
        <w:noProof/>
      </w:rPr>
      <w:fldChar w:fldCharType="end"/>
    </w:r>
  </w:p>
  <w:p w:rsidR="000412E7" w:rsidRDefault="000412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E7" w:rsidRPr="00F25064" w:rsidRDefault="000412E7" w:rsidP="003C6814">
    <w:pPr>
      <w:pStyle w:val="Apendix"/>
      <w:jc w:val="right"/>
      <w:rPr>
        <w:b w:val="0"/>
      </w:rPr>
    </w:pPr>
    <w:r w:rsidRPr="00F25064">
      <w:rPr>
        <w:b w:val="0"/>
      </w:rPr>
      <w:t>CDIP/14/</w:t>
    </w:r>
    <w:r>
      <w:rPr>
        <w:b w:val="0"/>
      </w:rPr>
      <w:t>INF/4</w:t>
    </w:r>
  </w:p>
  <w:p w:rsidR="000412E7" w:rsidRPr="00F25064" w:rsidRDefault="000412E7" w:rsidP="00982FFC">
    <w:pPr>
      <w:pStyle w:val="Apendix"/>
      <w:rPr>
        <w:b w:val="0"/>
        <w:noProof/>
      </w:rPr>
    </w:pPr>
    <w:r w:rsidRPr="00F25064">
      <w:rPr>
        <w:b w:val="0"/>
      </w:rPr>
      <w:ptab w:relativeTo="margin" w:alignment="right" w:leader="none"/>
    </w:r>
    <w:r>
      <w:rPr>
        <w:b w:val="0"/>
      </w:rPr>
      <w:t xml:space="preserve">Annex, page </w:t>
    </w:r>
    <w:r w:rsidRPr="00F077C5">
      <w:rPr>
        <w:b w:val="0"/>
      </w:rPr>
      <w:fldChar w:fldCharType="begin"/>
    </w:r>
    <w:r w:rsidRPr="00F077C5">
      <w:rPr>
        <w:b w:val="0"/>
      </w:rPr>
      <w:instrText xml:space="preserve"> PAGE   \* MERGEFORMAT </w:instrText>
    </w:r>
    <w:r w:rsidRPr="00F077C5">
      <w:rPr>
        <w:b w:val="0"/>
      </w:rPr>
      <w:fldChar w:fldCharType="separate"/>
    </w:r>
    <w:r w:rsidR="00092527">
      <w:rPr>
        <w:b w:val="0"/>
        <w:noProof/>
      </w:rPr>
      <w:t>20</w:t>
    </w:r>
    <w:r w:rsidRPr="00F077C5">
      <w:rPr>
        <w:b w:val="0"/>
        <w:noProof/>
      </w:rPr>
      <w:fldChar w:fldCharType="end"/>
    </w:r>
  </w:p>
  <w:p w:rsidR="000412E7" w:rsidRDefault="000412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C478C"/>
    <w:multiLevelType w:val="multilevel"/>
    <w:tmpl w:val="09F8D4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59D051B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5C0442F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nsid w:val="631D261D"/>
    <w:multiLevelType w:val="hybridMultilevel"/>
    <w:tmpl w:val="0454889C"/>
    <w:lvl w:ilvl="0" w:tplc="8452BCFE">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SUBSubsectio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F91D38"/>
    <w:multiLevelType w:val="multilevel"/>
    <w:tmpl w:val="CD1EA8D6"/>
    <w:lvl w:ilvl="0">
      <w:start w:val="1"/>
      <w:numFmt w:val="decimal"/>
      <w:lvlText w:val="3.2.%1."/>
      <w:lvlJc w:val="left"/>
      <w:pPr>
        <w:ind w:left="360" w:hanging="360"/>
      </w:pPr>
      <w:rPr>
        <w:rFonts w:hint="default"/>
      </w:rPr>
    </w:lvl>
    <w:lvl w:ilvl="1">
      <w:start w:val="1"/>
      <w:numFmt w:val="decimal"/>
      <w:pStyle w:val="Subsection"/>
      <w:lvlText w:val="%1.%2."/>
      <w:lvlJc w:val="left"/>
      <w:pPr>
        <w:ind w:left="45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882009F"/>
    <w:multiLevelType w:val="multilevel"/>
    <w:tmpl w:val="F6F4A8EA"/>
    <w:styleLink w:val="StyleBulleted"/>
    <w:lvl w:ilvl="0">
      <w:start w:val="10"/>
      <w:numFmt w:val="bullet"/>
      <w:lvlText w:val=""/>
      <w:lvlJc w:val="left"/>
      <w:pPr>
        <w:tabs>
          <w:tab w:val="num" w:pos="567"/>
        </w:tabs>
        <w:ind w:left="720" w:hanging="360"/>
      </w:pPr>
      <w:rPr>
        <w:rFonts w:ascii="Wingdings" w:hAnsi="Wingdings" w:hint="default"/>
        <w:sz w:val="24"/>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7">
    <w:nsid w:val="69732E1A"/>
    <w:multiLevelType w:val="hybridMultilevel"/>
    <w:tmpl w:val="429CB222"/>
    <w:lvl w:ilvl="0" w:tplc="6D4C57DE">
      <w:start w:val="1"/>
      <w:numFmt w:val="decimal"/>
      <w:pStyle w:val="Section"/>
      <w:lvlText w:val="%1."/>
      <w:lvlJc w:val="left"/>
      <w:pPr>
        <w:tabs>
          <w:tab w:val="num" w:pos="720"/>
        </w:tabs>
        <w:ind w:left="720" w:hanging="360"/>
      </w:pPr>
      <w:rPr>
        <w:rFonts w:hint="default"/>
      </w:rPr>
    </w:lvl>
    <w:lvl w:ilvl="1" w:tplc="BBE0135C">
      <w:start w:val="1"/>
      <w:numFmt w:val="none"/>
      <w:lvlText w:val="1.2"/>
      <w:lvlJc w:val="left"/>
      <w:pPr>
        <w:tabs>
          <w:tab w:val="num" w:pos="720"/>
        </w:tabs>
        <w:ind w:left="720" w:hanging="360"/>
      </w:pPr>
      <w:rPr>
        <w:rFonts w:hint="default"/>
      </w:rPr>
    </w:lvl>
    <w:lvl w:ilvl="2" w:tplc="5A1E9A1E">
      <w:start w:val="5"/>
      <w:numFmt w:val="bullet"/>
      <w:lvlText w:val="-"/>
      <w:lvlJc w:val="left"/>
      <w:pPr>
        <w:tabs>
          <w:tab w:val="num" w:pos="2340"/>
        </w:tabs>
        <w:ind w:left="2340" w:hanging="360"/>
      </w:pPr>
      <w:rPr>
        <w:rFonts w:ascii="Arial" w:eastAsia="Times New Roman" w:hAnsi="Arial" w:cs="Arial" w:hint="default"/>
      </w:rPr>
    </w:lvl>
    <w:lvl w:ilvl="3" w:tplc="37F89D40">
      <w:start w:val="1"/>
      <w:numFmt w:val="decimal"/>
      <w:lvlText w:val="%4."/>
      <w:lvlJc w:val="left"/>
      <w:pPr>
        <w:tabs>
          <w:tab w:val="num" w:pos="2880"/>
        </w:tabs>
        <w:ind w:left="2880"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BC252AA"/>
    <w:multiLevelType w:val="hybridMultilevel"/>
    <w:tmpl w:val="E3AAA344"/>
    <w:lvl w:ilvl="0" w:tplc="E7F08A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DA1B9B"/>
    <w:multiLevelType w:val="hybridMultilevel"/>
    <w:tmpl w:val="84B804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1">
    <w:nsid w:val="76AD147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0"/>
  </w:num>
  <w:num w:numId="3">
    <w:abstractNumId w:val="6"/>
  </w:num>
  <w:num w:numId="4">
    <w:abstractNumId w:val="7"/>
  </w:num>
  <w:num w:numId="5">
    <w:abstractNumId w:val="4"/>
  </w:num>
  <w:num w:numId="6">
    <w:abstractNumId w:val="3"/>
  </w:num>
  <w:num w:numId="7">
    <w:abstractNumId w:val="2"/>
  </w:num>
  <w:num w:numId="8">
    <w:abstractNumId w:val="11"/>
  </w:num>
  <w:num w:numId="9">
    <w:abstractNumId w:val="1"/>
  </w:num>
  <w:num w:numId="10">
    <w:abstractNumId w:val="5"/>
  </w:num>
  <w:num w:numId="11">
    <w:abstractNumId w:val="9"/>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20481"/>
  </w:hdrShapeDefaults>
  <w:footnotePr>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x0d9f997w9wxsexzvyxfdp6psp5sxt0e59f&quot;&gt;masterwipr&lt;record-ids&gt;&lt;item&gt;107&lt;/item&gt;&lt;item&gt;132&lt;/item&gt;&lt;item&gt;144&lt;/item&gt;&lt;item&gt;253&lt;/item&gt;&lt;item&gt;591&lt;/item&gt;&lt;item&gt;654&lt;/item&gt;&lt;item&gt;2035&lt;/item&gt;&lt;item&gt;2040&lt;/item&gt;&lt;/record-ids&gt;&lt;/item&gt;&lt;/Libraries&gt;"/>
  </w:docVars>
  <w:rsids>
    <w:rsidRoot w:val="00870DDE"/>
    <w:rsid w:val="00002B44"/>
    <w:rsid w:val="00003040"/>
    <w:rsid w:val="000044C4"/>
    <w:rsid w:val="000068C5"/>
    <w:rsid w:val="0001066D"/>
    <w:rsid w:val="000119D0"/>
    <w:rsid w:val="00014E60"/>
    <w:rsid w:val="00016906"/>
    <w:rsid w:val="0002462D"/>
    <w:rsid w:val="000258E1"/>
    <w:rsid w:val="00026FBE"/>
    <w:rsid w:val="0003185E"/>
    <w:rsid w:val="00032A10"/>
    <w:rsid w:val="0003608D"/>
    <w:rsid w:val="0004065B"/>
    <w:rsid w:val="000412E7"/>
    <w:rsid w:val="0004229C"/>
    <w:rsid w:val="00042F46"/>
    <w:rsid w:val="000444C8"/>
    <w:rsid w:val="00045537"/>
    <w:rsid w:val="00052482"/>
    <w:rsid w:val="00053561"/>
    <w:rsid w:val="00056224"/>
    <w:rsid w:val="0006090F"/>
    <w:rsid w:val="00063027"/>
    <w:rsid w:val="00063506"/>
    <w:rsid w:val="00067C34"/>
    <w:rsid w:val="00070832"/>
    <w:rsid w:val="000715CC"/>
    <w:rsid w:val="00076721"/>
    <w:rsid w:val="00077032"/>
    <w:rsid w:val="000841AE"/>
    <w:rsid w:val="00085953"/>
    <w:rsid w:val="00090DD5"/>
    <w:rsid w:val="00092527"/>
    <w:rsid w:val="00092A40"/>
    <w:rsid w:val="000A1325"/>
    <w:rsid w:val="000A5389"/>
    <w:rsid w:val="000A5B63"/>
    <w:rsid w:val="000A7171"/>
    <w:rsid w:val="000C0F2D"/>
    <w:rsid w:val="000C4524"/>
    <w:rsid w:val="000C50B5"/>
    <w:rsid w:val="000C6668"/>
    <w:rsid w:val="000C67FF"/>
    <w:rsid w:val="000D0640"/>
    <w:rsid w:val="000D0DB8"/>
    <w:rsid w:val="000D1D88"/>
    <w:rsid w:val="000D4ACE"/>
    <w:rsid w:val="000D5CF4"/>
    <w:rsid w:val="000D788C"/>
    <w:rsid w:val="000E0540"/>
    <w:rsid w:val="000E1CB6"/>
    <w:rsid w:val="000E278D"/>
    <w:rsid w:val="000E6A4A"/>
    <w:rsid w:val="000E77DA"/>
    <w:rsid w:val="000F360C"/>
    <w:rsid w:val="000F3C12"/>
    <w:rsid w:val="000F543E"/>
    <w:rsid w:val="00100C93"/>
    <w:rsid w:val="001043D5"/>
    <w:rsid w:val="00110043"/>
    <w:rsid w:val="0011085D"/>
    <w:rsid w:val="00113755"/>
    <w:rsid w:val="00122683"/>
    <w:rsid w:val="001232B8"/>
    <w:rsid w:val="0012570C"/>
    <w:rsid w:val="00130AD5"/>
    <w:rsid w:val="00132812"/>
    <w:rsid w:val="001373DB"/>
    <w:rsid w:val="001411C6"/>
    <w:rsid w:val="0014376C"/>
    <w:rsid w:val="0014458A"/>
    <w:rsid w:val="0014458D"/>
    <w:rsid w:val="00144622"/>
    <w:rsid w:val="0014467D"/>
    <w:rsid w:val="00145546"/>
    <w:rsid w:val="001545EA"/>
    <w:rsid w:val="00163B8E"/>
    <w:rsid w:val="00167E5C"/>
    <w:rsid w:val="00170C6E"/>
    <w:rsid w:val="0017133E"/>
    <w:rsid w:val="00171E86"/>
    <w:rsid w:val="001769D5"/>
    <w:rsid w:val="001815C0"/>
    <w:rsid w:val="00183E6A"/>
    <w:rsid w:val="00184ABD"/>
    <w:rsid w:val="00191E61"/>
    <w:rsid w:val="00194CF8"/>
    <w:rsid w:val="0019628A"/>
    <w:rsid w:val="00197BCE"/>
    <w:rsid w:val="001A4284"/>
    <w:rsid w:val="001A4E04"/>
    <w:rsid w:val="001A56B0"/>
    <w:rsid w:val="001B17E2"/>
    <w:rsid w:val="001B4ACC"/>
    <w:rsid w:val="001B4E9E"/>
    <w:rsid w:val="001B5A42"/>
    <w:rsid w:val="001B5C4E"/>
    <w:rsid w:val="001B6192"/>
    <w:rsid w:val="001B71CE"/>
    <w:rsid w:val="001C17EB"/>
    <w:rsid w:val="001C23E7"/>
    <w:rsid w:val="001C3E31"/>
    <w:rsid w:val="001D2F32"/>
    <w:rsid w:val="001D5593"/>
    <w:rsid w:val="001E0F9C"/>
    <w:rsid w:val="001E3942"/>
    <w:rsid w:val="001F3958"/>
    <w:rsid w:val="001F3EF9"/>
    <w:rsid w:val="001F55D5"/>
    <w:rsid w:val="001F5C0B"/>
    <w:rsid w:val="001F6D5B"/>
    <w:rsid w:val="001F7F27"/>
    <w:rsid w:val="00200114"/>
    <w:rsid w:val="00201B0C"/>
    <w:rsid w:val="00202595"/>
    <w:rsid w:val="00206580"/>
    <w:rsid w:val="00210E43"/>
    <w:rsid w:val="002128FF"/>
    <w:rsid w:val="00216017"/>
    <w:rsid w:val="00227BF9"/>
    <w:rsid w:val="00234225"/>
    <w:rsid w:val="00236117"/>
    <w:rsid w:val="00236D69"/>
    <w:rsid w:val="002413EA"/>
    <w:rsid w:val="00241C59"/>
    <w:rsid w:val="0024213A"/>
    <w:rsid w:val="002436A8"/>
    <w:rsid w:val="0024751C"/>
    <w:rsid w:val="00252229"/>
    <w:rsid w:val="002537BE"/>
    <w:rsid w:val="0025456F"/>
    <w:rsid w:val="002551E9"/>
    <w:rsid w:val="00256559"/>
    <w:rsid w:val="002576E6"/>
    <w:rsid w:val="0026077F"/>
    <w:rsid w:val="00270AB7"/>
    <w:rsid w:val="00272288"/>
    <w:rsid w:val="00276CF8"/>
    <w:rsid w:val="00277D43"/>
    <w:rsid w:val="00283464"/>
    <w:rsid w:val="002858C5"/>
    <w:rsid w:val="00285B83"/>
    <w:rsid w:val="00287908"/>
    <w:rsid w:val="00287D56"/>
    <w:rsid w:val="00293531"/>
    <w:rsid w:val="00294FD3"/>
    <w:rsid w:val="00296FB0"/>
    <w:rsid w:val="002A20D3"/>
    <w:rsid w:val="002A3E75"/>
    <w:rsid w:val="002A4283"/>
    <w:rsid w:val="002A575E"/>
    <w:rsid w:val="002B3878"/>
    <w:rsid w:val="002B44E9"/>
    <w:rsid w:val="002C52FE"/>
    <w:rsid w:val="002C5C04"/>
    <w:rsid w:val="002D0F66"/>
    <w:rsid w:val="002D37DF"/>
    <w:rsid w:val="002D4916"/>
    <w:rsid w:val="002E0502"/>
    <w:rsid w:val="002E3435"/>
    <w:rsid w:val="002E5764"/>
    <w:rsid w:val="002E5DC9"/>
    <w:rsid w:val="002E68A9"/>
    <w:rsid w:val="002E7970"/>
    <w:rsid w:val="002F13CD"/>
    <w:rsid w:val="002F1FB4"/>
    <w:rsid w:val="002F33B6"/>
    <w:rsid w:val="002F51ED"/>
    <w:rsid w:val="003014BE"/>
    <w:rsid w:val="0030318C"/>
    <w:rsid w:val="003032FB"/>
    <w:rsid w:val="00303628"/>
    <w:rsid w:val="00304B8C"/>
    <w:rsid w:val="0030720E"/>
    <w:rsid w:val="003128F8"/>
    <w:rsid w:val="003166A3"/>
    <w:rsid w:val="00321EBE"/>
    <w:rsid w:val="00324178"/>
    <w:rsid w:val="00324C83"/>
    <w:rsid w:val="00324D40"/>
    <w:rsid w:val="00325194"/>
    <w:rsid w:val="00326137"/>
    <w:rsid w:val="00327359"/>
    <w:rsid w:val="003305CE"/>
    <w:rsid w:val="00333847"/>
    <w:rsid w:val="003378FC"/>
    <w:rsid w:val="00340951"/>
    <w:rsid w:val="00341933"/>
    <w:rsid w:val="00342C3D"/>
    <w:rsid w:val="00342FD6"/>
    <w:rsid w:val="003433F8"/>
    <w:rsid w:val="00345CB8"/>
    <w:rsid w:val="00350A45"/>
    <w:rsid w:val="00350E88"/>
    <w:rsid w:val="00352186"/>
    <w:rsid w:val="0035441F"/>
    <w:rsid w:val="003562CD"/>
    <w:rsid w:val="00362974"/>
    <w:rsid w:val="00365B93"/>
    <w:rsid w:val="003704B7"/>
    <w:rsid w:val="00371565"/>
    <w:rsid w:val="0037259A"/>
    <w:rsid w:val="00373B58"/>
    <w:rsid w:val="00373B5F"/>
    <w:rsid w:val="003770F6"/>
    <w:rsid w:val="0038085F"/>
    <w:rsid w:val="003809A3"/>
    <w:rsid w:val="003809CD"/>
    <w:rsid w:val="00380EB7"/>
    <w:rsid w:val="00381291"/>
    <w:rsid w:val="00386991"/>
    <w:rsid w:val="003913EB"/>
    <w:rsid w:val="003A2980"/>
    <w:rsid w:val="003A74B5"/>
    <w:rsid w:val="003B2198"/>
    <w:rsid w:val="003B74B2"/>
    <w:rsid w:val="003B78AD"/>
    <w:rsid w:val="003C0D98"/>
    <w:rsid w:val="003C4DA2"/>
    <w:rsid w:val="003C5992"/>
    <w:rsid w:val="003C6814"/>
    <w:rsid w:val="003C75C7"/>
    <w:rsid w:val="003D0F0B"/>
    <w:rsid w:val="003D1623"/>
    <w:rsid w:val="003D1626"/>
    <w:rsid w:val="003D3B6D"/>
    <w:rsid w:val="003D43EA"/>
    <w:rsid w:val="003D5300"/>
    <w:rsid w:val="003D53CA"/>
    <w:rsid w:val="003D630B"/>
    <w:rsid w:val="003E032A"/>
    <w:rsid w:val="003E04E0"/>
    <w:rsid w:val="003E2C34"/>
    <w:rsid w:val="003E4EDA"/>
    <w:rsid w:val="003E68FA"/>
    <w:rsid w:val="003E6F05"/>
    <w:rsid w:val="003E79F4"/>
    <w:rsid w:val="003E7A9C"/>
    <w:rsid w:val="003F6A9C"/>
    <w:rsid w:val="00400861"/>
    <w:rsid w:val="00400E04"/>
    <w:rsid w:val="004011F4"/>
    <w:rsid w:val="004129BF"/>
    <w:rsid w:val="00420FCC"/>
    <w:rsid w:val="00424FB9"/>
    <w:rsid w:val="00432167"/>
    <w:rsid w:val="00432763"/>
    <w:rsid w:val="0043341D"/>
    <w:rsid w:val="00436497"/>
    <w:rsid w:val="0044080A"/>
    <w:rsid w:val="004408D0"/>
    <w:rsid w:val="00441BBF"/>
    <w:rsid w:val="00441FA3"/>
    <w:rsid w:val="00444016"/>
    <w:rsid w:val="0044453F"/>
    <w:rsid w:val="00446EAE"/>
    <w:rsid w:val="004503BF"/>
    <w:rsid w:val="00451330"/>
    <w:rsid w:val="00452BCF"/>
    <w:rsid w:val="00455590"/>
    <w:rsid w:val="00461ECD"/>
    <w:rsid w:val="00462F1C"/>
    <w:rsid w:val="004655A7"/>
    <w:rsid w:val="0046605B"/>
    <w:rsid w:val="004671DA"/>
    <w:rsid w:val="004674F4"/>
    <w:rsid w:val="0047120D"/>
    <w:rsid w:val="00477DB9"/>
    <w:rsid w:val="004855FC"/>
    <w:rsid w:val="004918A3"/>
    <w:rsid w:val="00494375"/>
    <w:rsid w:val="00496C85"/>
    <w:rsid w:val="004A212F"/>
    <w:rsid w:val="004A72AF"/>
    <w:rsid w:val="004B0654"/>
    <w:rsid w:val="004B2618"/>
    <w:rsid w:val="004B29B9"/>
    <w:rsid w:val="004B41F6"/>
    <w:rsid w:val="004B4D58"/>
    <w:rsid w:val="004B58DA"/>
    <w:rsid w:val="004C0AE9"/>
    <w:rsid w:val="004C45C7"/>
    <w:rsid w:val="004C4928"/>
    <w:rsid w:val="004C4F26"/>
    <w:rsid w:val="004C7759"/>
    <w:rsid w:val="004D1CFE"/>
    <w:rsid w:val="004D1D5C"/>
    <w:rsid w:val="004D30AC"/>
    <w:rsid w:val="004D3D03"/>
    <w:rsid w:val="004E0847"/>
    <w:rsid w:val="004E1217"/>
    <w:rsid w:val="004E2495"/>
    <w:rsid w:val="004E4B3B"/>
    <w:rsid w:val="004E4E65"/>
    <w:rsid w:val="004E548F"/>
    <w:rsid w:val="004E6D5B"/>
    <w:rsid w:val="004E77DD"/>
    <w:rsid w:val="004F25E0"/>
    <w:rsid w:val="004F2BE5"/>
    <w:rsid w:val="004F3417"/>
    <w:rsid w:val="004F3B04"/>
    <w:rsid w:val="00500036"/>
    <w:rsid w:val="0050021E"/>
    <w:rsid w:val="005011FA"/>
    <w:rsid w:val="00506533"/>
    <w:rsid w:val="00513428"/>
    <w:rsid w:val="005163E5"/>
    <w:rsid w:val="00516641"/>
    <w:rsid w:val="00520AD0"/>
    <w:rsid w:val="00521B18"/>
    <w:rsid w:val="00522CE3"/>
    <w:rsid w:val="00522F11"/>
    <w:rsid w:val="00525CD5"/>
    <w:rsid w:val="0053256E"/>
    <w:rsid w:val="0053547D"/>
    <w:rsid w:val="00535E4C"/>
    <w:rsid w:val="0054263C"/>
    <w:rsid w:val="00542D26"/>
    <w:rsid w:val="00543A09"/>
    <w:rsid w:val="00543D9C"/>
    <w:rsid w:val="005466B4"/>
    <w:rsid w:val="00546A17"/>
    <w:rsid w:val="00547D93"/>
    <w:rsid w:val="0055158A"/>
    <w:rsid w:val="00552E05"/>
    <w:rsid w:val="0055320E"/>
    <w:rsid w:val="00557FDA"/>
    <w:rsid w:val="00564D04"/>
    <w:rsid w:val="00565B1E"/>
    <w:rsid w:val="00565D68"/>
    <w:rsid w:val="00566BD3"/>
    <w:rsid w:val="005739D3"/>
    <w:rsid w:val="005749A8"/>
    <w:rsid w:val="00574B6B"/>
    <w:rsid w:val="00583347"/>
    <w:rsid w:val="00585194"/>
    <w:rsid w:val="0059237C"/>
    <w:rsid w:val="0059379D"/>
    <w:rsid w:val="00594237"/>
    <w:rsid w:val="00594896"/>
    <w:rsid w:val="005A04CC"/>
    <w:rsid w:val="005A1363"/>
    <w:rsid w:val="005A2047"/>
    <w:rsid w:val="005A3F91"/>
    <w:rsid w:val="005A7CAC"/>
    <w:rsid w:val="005B0913"/>
    <w:rsid w:val="005B104B"/>
    <w:rsid w:val="005B203C"/>
    <w:rsid w:val="005B3B0D"/>
    <w:rsid w:val="005B446B"/>
    <w:rsid w:val="005B7045"/>
    <w:rsid w:val="005C26E8"/>
    <w:rsid w:val="005C527B"/>
    <w:rsid w:val="005C57E3"/>
    <w:rsid w:val="005D292C"/>
    <w:rsid w:val="005D648D"/>
    <w:rsid w:val="005E18A6"/>
    <w:rsid w:val="005E2483"/>
    <w:rsid w:val="005E6D2A"/>
    <w:rsid w:val="005F044A"/>
    <w:rsid w:val="005F2DF6"/>
    <w:rsid w:val="005F74D6"/>
    <w:rsid w:val="005F7A7D"/>
    <w:rsid w:val="00601FEA"/>
    <w:rsid w:val="00602E9D"/>
    <w:rsid w:val="006062DC"/>
    <w:rsid w:val="006063EF"/>
    <w:rsid w:val="00614B59"/>
    <w:rsid w:val="00614D8A"/>
    <w:rsid w:val="00620F01"/>
    <w:rsid w:val="006242C6"/>
    <w:rsid w:val="0062599B"/>
    <w:rsid w:val="00626E80"/>
    <w:rsid w:val="0062733F"/>
    <w:rsid w:val="00631BC8"/>
    <w:rsid w:val="00637DDD"/>
    <w:rsid w:val="00640386"/>
    <w:rsid w:val="0064165E"/>
    <w:rsid w:val="00643F7E"/>
    <w:rsid w:val="00646816"/>
    <w:rsid w:val="006507E1"/>
    <w:rsid w:val="00651BEC"/>
    <w:rsid w:val="006561BD"/>
    <w:rsid w:val="006563FE"/>
    <w:rsid w:val="006611C1"/>
    <w:rsid w:val="0066518F"/>
    <w:rsid w:val="00667C69"/>
    <w:rsid w:val="00670EDD"/>
    <w:rsid w:val="0067212C"/>
    <w:rsid w:val="0067468E"/>
    <w:rsid w:val="006746F2"/>
    <w:rsid w:val="00676E52"/>
    <w:rsid w:val="00677E26"/>
    <w:rsid w:val="00681BA4"/>
    <w:rsid w:val="00682D9E"/>
    <w:rsid w:val="00683015"/>
    <w:rsid w:val="00685B63"/>
    <w:rsid w:val="00686FB7"/>
    <w:rsid w:val="00691474"/>
    <w:rsid w:val="00691772"/>
    <w:rsid w:val="00692457"/>
    <w:rsid w:val="00693F08"/>
    <w:rsid w:val="00694617"/>
    <w:rsid w:val="00695554"/>
    <w:rsid w:val="006A29E2"/>
    <w:rsid w:val="006A34E1"/>
    <w:rsid w:val="006A5166"/>
    <w:rsid w:val="006A6329"/>
    <w:rsid w:val="006A681D"/>
    <w:rsid w:val="006B06E9"/>
    <w:rsid w:val="006B509F"/>
    <w:rsid w:val="006C0064"/>
    <w:rsid w:val="006C092B"/>
    <w:rsid w:val="006C2A56"/>
    <w:rsid w:val="006C4041"/>
    <w:rsid w:val="006D3C22"/>
    <w:rsid w:val="006D54A1"/>
    <w:rsid w:val="006D780F"/>
    <w:rsid w:val="006D7F78"/>
    <w:rsid w:val="006E09E6"/>
    <w:rsid w:val="006E1784"/>
    <w:rsid w:val="006E2F38"/>
    <w:rsid w:val="006F2CE2"/>
    <w:rsid w:val="006F4E56"/>
    <w:rsid w:val="006F6A7F"/>
    <w:rsid w:val="007018C5"/>
    <w:rsid w:val="007100CC"/>
    <w:rsid w:val="00711F53"/>
    <w:rsid w:val="00721492"/>
    <w:rsid w:val="00721BFD"/>
    <w:rsid w:val="00723D55"/>
    <w:rsid w:val="00730CDF"/>
    <w:rsid w:val="007311E2"/>
    <w:rsid w:val="00732F6E"/>
    <w:rsid w:val="007331F6"/>
    <w:rsid w:val="007339FC"/>
    <w:rsid w:val="007373DC"/>
    <w:rsid w:val="0073758C"/>
    <w:rsid w:val="00737798"/>
    <w:rsid w:val="0074770D"/>
    <w:rsid w:val="007532ED"/>
    <w:rsid w:val="00756682"/>
    <w:rsid w:val="007567E6"/>
    <w:rsid w:val="0076140C"/>
    <w:rsid w:val="0076150C"/>
    <w:rsid w:val="007645EB"/>
    <w:rsid w:val="00764AFE"/>
    <w:rsid w:val="0077037F"/>
    <w:rsid w:val="007704C0"/>
    <w:rsid w:val="007742D9"/>
    <w:rsid w:val="00780DE4"/>
    <w:rsid w:val="00784605"/>
    <w:rsid w:val="00785946"/>
    <w:rsid w:val="0078610A"/>
    <w:rsid w:val="007863B1"/>
    <w:rsid w:val="00786C22"/>
    <w:rsid w:val="00787CA0"/>
    <w:rsid w:val="00790392"/>
    <w:rsid w:val="00790CA5"/>
    <w:rsid w:val="0079136A"/>
    <w:rsid w:val="0079459D"/>
    <w:rsid w:val="007958DD"/>
    <w:rsid w:val="00796362"/>
    <w:rsid w:val="00797024"/>
    <w:rsid w:val="007A0E0C"/>
    <w:rsid w:val="007A29CF"/>
    <w:rsid w:val="007A3B9C"/>
    <w:rsid w:val="007A4FA0"/>
    <w:rsid w:val="007A612A"/>
    <w:rsid w:val="007A75E0"/>
    <w:rsid w:val="007B2F79"/>
    <w:rsid w:val="007B4FF0"/>
    <w:rsid w:val="007C3087"/>
    <w:rsid w:val="007C495C"/>
    <w:rsid w:val="007D21B4"/>
    <w:rsid w:val="007D547F"/>
    <w:rsid w:val="007D782D"/>
    <w:rsid w:val="007E1E25"/>
    <w:rsid w:val="007E4BC6"/>
    <w:rsid w:val="007E6E12"/>
    <w:rsid w:val="007F32E3"/>
    <w:rsid w:val="007F3BC1"/>
    <w:rsid w:val="007F469B"/>
    <w:rsid w:val="007F52F3"/>
    <w:rsid w:val="007F545F"/>
    <w:rsid w:val="007F5542"/>
    <w:rsid w:val="007F6BA8"/>
    <w:rsid w:val="008000B3"/>
    <w:rsid w:val="00804333"/>
    <w:rsid w:val="008050FC"/>
    <w:rsid w:val="008066EA"/>
    <w:rsid w:val="00806FEB"/>
    <w:rsid w:val="0081142A"/>
    <w:rsid w:val="0081478D"/>
    <w:rsid w:val="00815395"/>
    <w:rsid w:val="008165E3"/>
    <w:rsid w:val="00816DBB"/>
    <w:rsid w:val="008176B1"/>
    <w:rsid w:val="00822405"/>
    <w:rsid w:val="00822694"/>
    <w:rsid w:val="008236E9"/>
    <w:rsid w:val="00825FFB"/>
    <w:rsid w:val="00830176"/>
    <w:rsid w:val="008345D8"/>
    <w:rsid w:val="00834DA8"/>
    <w:rsid w:val="00836E68"/>
    <w:rsid w:val="0083723F"/>
    <w:rsid w:val="0084025C"/>
    <w:rsid w:val="008405B3"/>
    <w:rsid w:val="00840D42"/>
    <w:rsid w:val="00841C98"/>
    <w:rsid w:val="008433A0"/>
    <w:rsid w:val="00843D7E"/>
    <w:rsid w:val="00844FCE"/>
    <w:rsid w:val="00851008"/>
    <w:rsid w:val="00851500"/>
    <w:rsid w:val="00855F89"/>
    <w:rsid w:val="00856330"/>
    <w:rsid w:val="00856C60"/>
    <w:rsid w:val="008575F0"/>
    <w:rsid w:val="0086058C"/>
    <w:rsid w:val="00866E3B"/>
    <w:rsid w:val="008679B2"/>
    <w:rsid w:val="00870DDE"/>
    <w:rsid w:val="00876625"/>
    <w:rsid w:val="0088093F"/>
    <w:rsid w:val="0088582E"/>
    <w:rsid w:val="00886224"/>
    <w:rsid w:val="008868E1"/>
    <w:rsid w:val="0088729E"/>
    <w:rsid w:val="00890B67"/>
    <w:rsid w:val="00890F24"/>
    <w:rsid w:val="00891144"/>
    <w:rsid w:val="00896B08"/>
    <w:rsid w:val="008A163D"/>
    <w:rsid w:val="008B2236"/>
    <w:rsid w:val="008B5EAF"/>
    <w:rsid w:val="008B64EC"/>
    <w:rsid w:val="008C29B5"/>
    <w:rsid w:val="008C59A4"/>
    <w:rsid w:val="008D0DED"/>
    <w:rsid w:val="008D178F"/>
    <w:rsid w:val="008D46BC"/>
    <w:rsid w:val="008D4CCE"/>
    <w:rsid w:val="008D5123"/>
    <w:rsid w:val="008E1150"/>
    <w:rsid w:val="008E17F8"/>
    <w:rsid w:val="008E21FF"/>
    <w:rsid w:val="008E2518"/>
    <w:rsid w:val="008E4D3F"/>
    <w:rsid w:val="008F0A95"/>
    <w:rsid w:val="008F1050"/>
    <w:rsid w:val="008F1A3A"/>
    <w:rsid w:val="008F1B07"/>
    <w:rsid w:val="008F2176"/>
    <w:rsid w:val="008F281A"/>
    <w:rsid w:val="008F2AB1"/>
    <w:rsid w:val="008F381E"/>
    <w:rsid w:val="008F68ED"/>
    <w:rsid w:val="008F75A1"/>
    <w:rsid w:val="00900AFD"/>
    <w:rsid w:val="00902262"/>
    <w:rsid w:val="009032DA"/>
    <w:rsid w:val="009075E0"/>
    <w:rsid w:val="0091239E"/>
    <w:rsid w:val="00913911"/>
    <w:rsid w:val="00915A1F"/>
    <w:rsid w:val="00915C76"/>
    <w:rsid w:val="009209B2"/>
    <w:rsid w:val="0092179E"/>
    <w:rsid w:val="00922DBA"/>
    <w:rsid w:val="00924DF9"/>
    <w:rsid w:val="00927249"/>
    <w:rsid w:val="009302D4"/>
    <w:rsid w:val="00930454"/>
    <w:rsid w:val="00930EA0"/>
    <w:rsid w:val="0093313B"/>
    <w:rsid w:val="0093401D"/>
    <w:rsid w:val="0094096C"/>
    <w:rsid w:val="00940E7C"/>
    <w:rsid w:val="0094289C"/>
    <w:rsid w:val="00942AC6"/>
    <w:rsid w:val="00944989"/>
    <w:rsid w:val="00946F07"/>
    <w:rsid w:val="009514D7"/>
    <w:rsid w:val="0095209B"/>
    <w:rsid w:val="0095498C"/>
    <w:rsid w:val="00955F0C"/>
    <w:rsid w:val="00957A80"/>
    <w:rsid w:val="009604A8"/>
    <w:rsid w:val="009604B8"/>
    <w:rsid w:val="009652BD"/>
    <w:rsid w:val="009654A5"/>
    <w:rsid w:val="00965802"/>
    <w:rsid w:val="009668C0"/>
    <w:rsid w:val="0097112C"/>
    <w:rsid w:val="009800A9"/>
    <w:rsid w:val="009828E7"/>
    <w:rsid w:val="00982AF6"/>
    <w:rsid w:val="00982FFC"/>
    <w:rsid w:val="0098347C"/>
    <w:rsid w:val="009840A7"/>
    <w:rsid w:val="00984B12"/>
    <w:rsid w:val="009877D0"/>
    <w:rsid w:val="00987D5A"/>
    <w:rsid w:val="009927BD"/>
    <w:rsid w:val="00993C54"/>
    <w:rsid w:val="00994B2F"/>
    <w:rsid w:val="00996995"/>
    <w:rsid w:val="00997592"/>
    <w:rsid w:val="009A47D0"/>
    <w:rsid w:val="009B3BF3"/>
    <w:rsid w:val="009B54A7"/>
    <w:rsid w:val="009B5FE0"/>
    <w:rsid w:val="009B611B"/>
    <w:rsid w:val="009C0BEB"/>
    <w:rsid w:val="009C34E9"/>
    <w:rsid w:val="009C3C0A"/>
    <w:rsid w:val="009C60D5"/>
    <w:rsid w:val="009C688E"/>
    <w:rsid w:val="009D3385"/>
    <w:rsid w:val="009D7077"/>
    <w:rsid w:val="009D7CBC"/>
    <w:rsid w:val="009E3F82"/>
    <w:rsid w:val="009E6CB7"/>
    <w:rsid w:val="009F031F"/>
    <w:rsid w:val="009F0926"/>
    <w:rsid w:val="009F1047"/>
    <w:rsid w:val="009F2527"/>
    <w:rsid w:val="009F37A4"/>
    <w:rsid w:val="009F3D9E"/>
    <w:rsid w:val="009F4E1C"/>
    <w:rsid w:val="009F615D"/>
    <w:rsid w:val="009F6368"/>
    <w:rsid w:val="009F6ADB"/>
    <w:rsid w:val="00A007CD"/>
    <w:rsid w:val="00A05E9A"/>
    <w:rsid w:val="00A06152"/>
    <w:rsid w:val="00A06240"/>
    <w:rsid w:val="00A07C1C"/>
    <w:rsid w:val="00A10DF8"/>
    <w:rsid w:val="00A12538"/>
    <w:rsid w:val="00A2059A"/>
    <w:rsid w:val="00A210E1"/>
    <w:rsid w:val="00A226FB"/>
    <w:rsid w:val="00A25243"/>
    <w:rsid w:val="00A25C1B"/>
    <w:rsid w:val="00A2696F"/>
    <w:rsid w:val="00A311A8"/>
    <w:rsid w:val="00A36005"/>
    <w:rsid w:val="00A41D00"/>
    <w:rsid w:val="00A46F19"/>
    <w:rsid w:val="00A46FC7"/>
    <w:rsid w:val="00A5362A"/>
    <w:rsid w:val="00A554AD"/>
    <w:rsid w:val="00A56375"/>
    <w:rsid w:val="00A5718A"/>
    <w:rsid w:val="00A60A3F"/>
    <w:rsid w:val="00A6141E"/>
    <w:rsid w:val="00A63025"/>
    <w:rsid w:val="00A652A2"/>
    <w:rsid w:val="00A6557F"/>
    <w:rsid w:val="00A70AC1"/>
    <w:rsid w:val="00A767FD"/>
    <w:rsid w:val="00A80BAB"/>
    <w:rsid w:val="00A81809"/>
    <w:rsid w:val="00A81B18"/>
    <w:rsid w:val="00A829D8"/>
    <w:rsid w:val="00A91A8B"/>
    <w:rsid w:val="00A91CD7"/>
    <w:rsid w:val="00A93F47"/>
    <w:rsid w:val="00A952D2"/>
    <w:rsid w:val="00A97408"/>
    <w:rsid w:val="00AA2095"/>
    <w:rsid w:val="00AA2C8F"/>
    <w:rsid w:val="00AB13A5"/>
    <w:rsid w:val="00AB1595"/>
    <w:rsid w:val="00AB1D63"/>
    <w:rsid w:val="00AB5A2F"/>
    <w:rsid w:val="00AB6489"/>
    <w:rsid w:val="00AC0C33"/>
    <w:rsid w:val="00AC3267"/>
    <w:rsid w:val="00AD2726"/>
    <w:rsid w:val="00AD6A84"/>
    <w:rsid w:val="00AD6C65"/>
    <w:rsid w:val="00AD77D7"/>
    <w:rsid w:val="00AE04EC"/>
    <w:rsid w:val="00AE0909"/>
    <w:rsid w:val="00AE604E"/>
    <w:rsid w:val="00AE63B2"/>
    <w:rsid w:val="00AE70A4"/>
    <w:rsid w:val="00AF183C"/>
    <w:rsid w:val="00AF2982"/>
    <w:rsid w:val="00AF39E5"/>
    <w:rsid w:val="00AF7FAC"/>
    <w:rsid w:val="00B01364"/>
    <w:rsid w:val="00B02DB9"/>
    <w:rsid w:val="00B03202"/>
    <w:rsid w:val="00B0799A"/>
    <w:rsid w:val="00B12102"/>
    <w:rsid w:val="00B12690"/>
    <w:rsid w:val="00B12BC2"/>
    <w:rsid w:val="00B15F86"/>
    <w:rsid w:val="00B2047D"/>
    <w:rsid w:val="00B27EA2"/>
    <w:rsid w:val="00B3217D"/>
    <w:rsid w:val="00B340A4"/>
    <w:rsid w:val="00B3490B"/>
    <w:rsid w:val="00B35184"/>
    <w:rsid w:val="00B41AB6"/>
    <w:rsid w:val="00B4341B"/>
    <w:rsid w:val="00B4677E"/>
    <w:rsid w:val="00B53BA6"/>
    <w:rsid w:val="00B66BC3"/>
    <w:rsid w:val="00B702D9"/>
    <w:rsid w:val="00B709CB"/>
    <w:rsid w:val="00B718DF"/>
    <w:rsid w:val="00B726A5"/>
    <w:rsid w:val="00B8026B"/>
    <w:rsid w:val="00B8100F"/>
    <w:rsid w:val="00B82778"/>
    <w:rsid w:val="00B82C96"/>
    <w:rsid w:val="00B91761"/>
    <w:rsid w:val="00B927A2"/>
    <w:rsid w:val="00B92998"/>
    <w:rsid w:val="00B9452C"/>
    <w:rsid w:val="00B95B2C"/>
    <w:rsid w:val="00BA04C0"/>
    <w:rsid w:val="00BA0B58"/>
    <w:rsid w:val="00BA45DB"/>
    <w:rsid w:val="00BA6A1A"/>
    <w:rsid w:val="00BB1E73"/>
    <w:rsid w:val="00BB7664"/>
    <w:rsid w:val="00BC1DBB"/>
    <w:rsid w:val="00BC4F40"/>
    <w:rsid w:val="00BC5953"/>
    <w:rsid w:val="00BC6EBC"/>
    <w:rsid w:val="00BD2082"/>
    <w:rsid w:val="00BD4039"/>
    <w:rsid w:val="00BE0679"/>
    <w:rsid w:val="00BE1B31"/>
    <w:rsid w:val="00BE731E"/>
    <w:rsid w:val="00BF0652"/>
    <w:rsid w:val="00BF3C11"/>
    <w:rsid w:val="00BF3CCE"/>
    <w:rsid w:val="00BF4F58"/>
    <w:rsid w:val="00BF652A"/>
    <w:rsid w:val="00C02A2E"/>
    <w:rsid w:val="00C03492"/>
    <w:rsid w:val="00C05AF9"/>
    <w:rsid w:val="00C06592"/>
    <w:rsid w:val="00C11CA5"/>
    <w:rsid w:val="00C12503"/>
    <w:rsid w:val="00C1269C"/>
    <w:rsid w:val="00C13F16"/>
    <w:rsid w:val="00C21709"/>
    <w:rsid w:val="00C321FE"/>
    <w:rsid w:val="00C322C4"/>
    <w:rsid w:val="00C325C0"/>
    <w:rsid w:val="00C3400C"/>
    <w:rsid w:val="00C340A3"/>
    <w:rsid w:val="00C431AF"/>
    <w:rsid w:val="00C45959"/>
    <w:rsid w:val="00C45DB7"/>
    <w:rsid w:val="00C53E49"/>
    <w:rsid w:val="00C546E8"/>
    <w:rsid w:val="00C600A3"/>
    <w:rsid w:val="00C670CF"/>
    <w:rsid w:val="00C71BD7"/>
    <w:rsid w:val="00C7250E"/>
    <w:rsid w:val="00C72B58"/>
    <w:rsid w:val="00C73521"/>
    <w:rsid w:val="00C83AB3"/>
    <w:rsid w:val="00C85D1D"/>
    <w:rsid w:val="00C90DEF"/>
    <w:rsid w:val="00C93B9C"/>
    <w:rsid w:val="00C94104"/>
    <w:rsid w:val="00C97E5E"/>
    <w:rsid w:val="00CA113D"/>
    <w:rsid w:val="00CA4286"/>
    <w:rsid w:val="00CA4D74"/>
    <w:rsid w:val="00CA55BC"/>
    <w:rsid w:val="00CA5DE0"/>
    <w:rsid w:val="00CA6007"/>
    <w:rsid w:val="00CB024D"/>
    <w:rsid w:val="00CB2F3F"/>
    <w:rsid w:val="00CB64CE"/>
    <w:rsid w:val="00CC0719"/>
    <w:rsid w:val="00CC0CFE"/>
    <w:rsid w:val="00CC225A"/>
    <w:rsid w:val="00CC5942"/>
    <w:rsid w:val="00CC66A7"/>
    <w:rsid w:val="00CD07D6"/>
    <w:rsid w:val="00CD22D9"/>
    <w:rsid w:val="00CD4C6A"/>
    <w:rsid w:val="00CD569A"/>
    <w:rsid w:val="00CD6B74"/>
    <w:rsid w:val="00CE0A0F"/>
    <w:rsid w:val="00CE36A5"/>
    <w:rsid w:val="00CE567A"/>
    <w:rsid w:val="00CE5B48"/>
    <w:rsid w:val="00CE6A42"/>
    <w:rsid w:val="00CE6DE9"/>
    <w:rsid w:val="00CF102D"/>
    <w:rsid w:val="00CF10E9"/>
    <w:rsid w:val="00CF3955"/>
    <w:rsid w:val="00CF5DC9"/>
    <w:rsid w:val="00CF699A"/>
    <w:rsid w:val="00CF7E3C"/>
    <w:rsid w:val="00D05F13"/>
    <w:rsid w:val="00D060AB"/>
    <w:rsid w:val="00D07E17"/>
    <w:rsid w:val="00D131FA"/>
    <w:rsid w:val="00D13223"/>
    <w:rsid w:val="00D13668"/>
    <w:rsid w:val="00D1451F"/>
    <w:rsid w:val="00D14836"/>
    <w:rsid w:val="00D15346"/>
    <w:rsid w:val="00D16951"/>
    <w:rsid w:val="00D25805"/>
    <w:rsid w:val="00D26C3C"/>
    <w:rsid w:val="00D26ED1"/>
    <w:rsid w:val="00D27E51"/>
    <w:rsid w:val="00D31225"/>
    <w:rsid w:val="00D31A8E"/>
    <w:rsid w:val="00D43156"/>
    <w:rsid w:val="00D43CC5"/>
    <w:rsid w:val="00D44087"/>
    <w:rsid w:val="00D500BD"/>
    <w:rsid w:val="00D5479C"/>
    <w:rsid w:val="00D54845"/>
    <w:rsid w:val="00D5490D"/>
    <w:rsid w:val="00D56C0F"/>
    <w:rsid w:val="00D63DEC"/>
    <w:rsid w:val="00D66CC5"/>
    <w:rsid w:val="00D71D2E"/>
    <w:rsid w:val="00D74D1C"/>
    <w:rsid w:val="00D76B83"/>
    <w:rsid w:val="00D76CD9"/>
    <w:rsid w:val="00D822BD"/>
    <w:rsid w:val="00D872A0"/>
    <w:rsid w:val="00D90B1E"/>
    <w:rsid w:val="00D92337"/>
    <w:rsid w:val="00D950E4"/>
    <w:rsid w:val="00D96194"/>
    <w:rsid w:val="00D96237"/>
    <w:rsid w:val="00D96D22"/>
    <w:rsid w:val="00D96E35"/>
    <w:rsid w:val="00D97A85"/>
    <w:rsid w:val="00DA0088"/>
    <w:rsid w:val="00DA0718"/>
    <w:rsid w:val="00DA1C57"/>
    <w:rsid w:val="00DA3674"/>
    <w:rsid w:val="00DA36D6"/>
    <w:rsid w:val="00DA4929"/>
    <w:rsid w:val="00DA5E8A"/>
    <w:rsid w:val="00DA6203"/>
    <w:rsid w:val="00DA66E6"/>
    <w:rsid w:val="00DA7CF8"/>
    <w:rsid w:val="00DB302D"/>
    <w:rsid w:val="00DB5723"/>
    <w:rsid w:val="00DB5905"/>
    <w:rsid w:val="00DB7E0B"/>
    <w:rsid w:val="00DC3884"/>
    <w:rsid w:val="00DC424E"/>
    <w:rsid w:val="00DC6599"/>
    <w:rsid w:val="00DC748A"/>
    <w:rsid w:val="00DD0BC8"/>
    <w:rsid w:val="00DD685B"/>
    <w:rsid w:val="00DD7A59"/>
    <w:rsid w:val="00DE234C"/>
    <w:rsid w:val="00DE566D"/>
    <w:rsid w:val="00DF1428"/>
    <w:rsid w:val="00DF3AAB"/>
    <w:rsid w:val="00DF66F3"/>
    <w:rsid w:val="00DF77D7"/>
    <w:rsid w:val="00E0687A"/>
    <w:rsid w:val="00E128F0"/>
    <w:rsid w:val="00E15504"/>
    <w:rsid w:val="00E162B4"/>
    <w:rsid w:val="00E17EF5"/>
    <w:rsid w:val="00E2202F"/>
    <w:rsid w:val="00E22DC7"/>
    <w:rsid w:val="00E26884"/>
    <w:rsid w:val="00E273E7"/>
    <w:rsid w:val="00E31732"/>
    <w:rsid w:val="00E34459"/>
    <w:rsid w:val="00E4275F"/>
    <w:rsid w:val="00E451D0"/>
    <w:rsid w:val="00E47B54"/>
    <w:rsid w:val="00E6014A"/>
    <w:rsid w:val="00E6054B"/>
    <w:rsid w:val="00E66000"/>
    <w:rsid w:val="00E6616C"/>
    <w:rsid w:val="00E719A9"/>
    <w:rsid w:val="00E72A25"/>
    <w:rsid w:val="00E730FD"/>
    <w:rsid w:val="00E74D7A"/>
    <w:rsid w:val="00E75DCA"/>
    <w:rsid w:val="00E80B6D"/>
    <w:rsid w:val="00E81FF7"/>
    <w:rsid w:val="00E82C68"/>
    <w:rsid w:val="00E84D1D"/>
    <w:rsid w:val="00E84F08"/>
    <w:rsid w:val="00E879CF"/>
    <w:rsid w:val="00E90465"/>
    <w:rsid w:val="00E93500"/>
    <w:rsid w:val="00E974B4"/>
    <w:rsid w:val="00EA0810"/>
    <w:rsid w:val="00EA4FC4"/>
    <w:rsid w:val="00EA5CA0"/>
    <w:rsid w:val="00EB0207"/>
    <w:rsid w:val="00EB2668"/>
    <w:rsid w:val="00EB7268"/>
    <w:rsid w:val="00EC281D"/>
    <w:rsid w:val="00EC3863"/>
    <w:rsid w:val="00EC3BFC"/>
    <w:rsid w:val="00EC5EC8"/>
    <w:rsid w:val="00EC7B7D"/>
    <w:rsid w:val="00ED25C8"/>
    <w:rsid w:val="00ED5788"/>
    <w:rsid w:val="00ED5F20"/>
    <w:rsid w:val="00EE07A7"/>
    <w:rsid w:val="00EE40BA"/>
    <w:rsid w:val="00EE59F6"/>
    <w:rsid w:val="00EE5BA4"/>
    <w:rsid w:val="00EE6F52"/>
    <w:rsid w:val="00EF3451"/>
    <w:rsid w:val="00EF5527"/>
    <w:rsid w:val="00EF64FA"/>
    <w:rsid w:val="00EF68E0"/>
    <w:rsid w:val="00EF72BD"/>
    <w:rsid w:val="00F0049B"/>
    <w:rsid w:val="00F005DC"/>
    <w:rsid w:val="00F00651"/>
    <w:rsid w:val="00F00A62"/>
    <w:rsid w:val="00F0126C"/>
    <w:rsid w:val="00F0466E"/>
    <w:rsid w:val="00F05982"/>
    <w:rsid w:val="00F0613B"/>
    <w:rsid w:val="00F06984"/>
    <w:rsid w:val="00F070F5"/>
    <w:rsid w:val="00F07275"/>
    <w:rsid w:val="00F077C5"/>
    <w:rsid w:val="00F07AFA"/>
    <w:rsid w:val="00F1262C"/>
    <w:rsid w:val="00F15241"/>
    <w:rsid w:val="00F167F0"/>
    <w:rsid w:val="00F2127A"/>
    <w:rsid w:val="00F22CC0"/>
    <w:rsid w:val="00F236FC"/>
    <w:rsid w:val="00F2432C"/>
    <w:rsid w:val="00F25064"/>
    <w:rsid w:val="00F262D1"/>
    <w:rsid w:val="00F30E16"/>
    <w:rsid w:val="00F33C2E"/>
    <w:rsid w:val="00F3498C"/>
    <w:rsid w:val="00F43A96"/>
    <w:rsid w:val="00F44DDD"/>
    <w:rsid w:val="00F45E54"/>
    <w:rsid w:val="00F463DC"/>
    <w:rsid w:val="00F473F7"/>
    <w:rsid w:val="00F47922"/>
    <w:rsid w:val="00F500FE"/>
    <w:rsid w:val="00F50DCE"/>
    <w:rsid w:val="00F50EE0"/>
    <w:rsid w:val="00F511B1"/>
    <w:rsid w:val="00F5238E"/>
    <w:rsid w:val="00F52A92"/>
    <w:rsid w:val="00F610BE"/>
    <w:rsid w:val="00F64624"/>
    <w:rsid w:val="00F66B22"/>
    <w:rsid w:val="00F70D74"/>
    <w:rsid w:val="00F711CB"/>
    <w:rsid w:val="00F72185"/>
    <w:rsid w:val="00F763AE"/>
    <w:rsid w:val="00F80473"/>
    <w:rsid w:val="00F83DDD"/>
    <w:rsid w:val="00F90076"/>
    <w:rsid w:val="00F905FF"/>
    <w:rsid w:val="00F92A3F"/>
    <w:rsid w:val="00FA4968"/>
    <w:rsid w:val="00FA5489"/>
    <w:rsid w:val="00FA5A50"/>
    <w:rsid w:val="00FA6EED"/>
    <w:rsid w:val="00FB1DAE"/>
    <w:rsid w:val="00FB2411"/>
    <w:rsid w:val="00FB24C3"/>
    <w:rsid w:val="00FB3680"/>
    <w:rsid w:val="00FB751A"/>
    <w:rsid w:val="00FB7BBD"/>
    <w:rsid w:val="00FC5F6B"/>
    <w:rsid w:val="00FD2F2B"/>
    <w:rsid w:val="00FD5303"/>
    <w:rsid w:val="00FD5DF5"/>
    <w:rsid w:val="00FD6BA5"/>
    <w:rsid w:val="00FE1923"/>
    <w:rsid w:val="00FE1C8A"/>
    <w:rsid w:val="00FE1E9F"/>
    <w:rsid w:val="00FE261C"/>
    <w:rsid w:val="00FE4561"/>
    <w:rsid w:val="00FE553F"/>
    <w:rsid w:val="00FE57D3"/>
    <w:rsid w:val="00FE5DA9"/>
    <w:rsid w:val="00FF1049"/>
    <w:rsid w:val="00FF382E"/>
    <w:rsid w:val="00FF4BEB"/>
    <w:rsid w:val="00FF58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6" w:uiPriority="39"/>
    <w:lsdException w:name="footnote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Title" w:qFormat="1"/>
    <w:lsdException w:name="Body Text" w:qFormat="1"/>
    <w:lsdException w:name="Subtitle" w:qFormat="1"/>
    <w:lsdException w:name="Hyperlink" w:uiPriority="99"/>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3942"/>
    <w:rPr>
      <w:rFonts w:ascii="Arial" w:hAnsi="Arial" w:cs="Arial"/>
      <w:sz w:val="22"/>
    </w:rPr>
  </w:style>
  <w:style w:type="paragraph" w:styleId="Heading1">
    <w:name w:val="heading 1"/>
    <w:basedOn w:val="Normal"/>
    <w:next w:val="Normal"/>
    <w:link w:val="Heading1Char"/>
    <w:qFormat/>
    <w:rsid w:val="00EA0810"/>
    <w:pPr>
      <w:keepNext/>
      <w:keepLines/>
      <w:ind w:left="432" w:hanging="432"/>
      <w:outlineLvl w:val="0"/>
    </w:pPr>
    <w:rPr>
      <w:rFonts w:eastAsiaTheme="majorEastAsia"/>
      <w:b/>
      <w:bCs/>
      <w:i/>
      <w:szCs w:val="22"/>
      <w:lang w:bidi="ar-SA"/>
    </w:rPr>
  </w:style>
  <w:style w:type="paragraph" w:styleId="Heading2">
    <w:name w:val="heading 2"/>
    <w:basedOn w:val="Normal"/>
    <w:next w:val="Normal"/>
    <w:link w:val="Heading2Char"/>
    <w:qFormat/>
    <w:rsid w:val="00525CD5"/>
    <w:pPr>
      <w:keepNext/>
      <w:keepLines/>
      <w:ind w:left="576" w:hanging="576"/>
      <w:outlineLvl w:val="1"/>
    </w:pPr>
    <w:rPr>
      <w:rFonts w:eastAsia="Calibri"/>
      <w:bCs/>
      <w:i/>
      <w:szCs w:val="26"/>
    </w:rPr>
  </w:style>
  <w:style w:type="paragraph" w:styleId="Heading3">
    <w:name w:val="heading 3"/>
    <w:basedOn w:val="Normal"/>
    <w:next w:val="Normal"/>
    <w:link w:val="Heading3Char"/>
    <w:qFormat/>
    <w:rsid w:val="00830176"/>
    <w:pPr>
      <w:keepNext/>
      <w:keepLines/>
      <w:numPr>
        <w:ilvl w:val="2"/>
        <w:numId w:val="1"/>
      </w:numPr>
      <w:outlineLvl w:val="2"/>
    </w:pPr>
    <w:rPr>
      <w:rFonts w:eastAsiaTheme="majorEastAsia" w:cstheme="majorBidi"/>
      <w:bCs/>
      <w:i/>
    </w:rPr>
  </w:style>
  <w:style w:type="paragraph" w:styleId="Heading4">
    <w:name w:val="heading 4"/>
    <w:basedOn w:val="Normal"/>
    <w:next w:val="Normal"/>
    <w:link w:val="Heading4Char"/>
    <w:qFormat/>
    <w:rsid w:val="00830176"/>
    <w:pPr>
      <w:keepNext/>
      <w:numPr>
        <w:ilvl w:val="3"/>
        <w:numId w:val="1"/>
      </w:numPr>
      <w:outlineLvl w:val="3"/>
    </w:pPr>
    <w:rPr>
      <w:bCs/>
      <w:i/>
      <w:szCs w:val="28"/>
    </w:rPr>
  </w:style>
  <w:style w:type="paragraph" w:styleId="Heading5">
    <w:name w:val="heading 5"/>
    <w:basedOn w:val="Normal"/>
    <w:next w:val="Normal"/>
    <w:link w:val="Heading5Char"/>
    <w:autoRedefine/>
    <w:qFormat/>
    <w:rsid w:val="007D21B4"/>
    <w:pPr>
      <w:numPr>
        <w:ilvl w:val="4"/>
        <w:numId w:val="1"/>
      </w:numPr>
      <w:spacing w:before="120"/>
      <w:outlineLvl w:val="4"/>
    </w:pPr>
    <w:rPr>
      <w:i/>
      <w:iCs/>
    </w:rPr>
  </w:style>
  <w:style w:type="paragraph" w:styleId="Heading6">
    <w:name w:val="heading 6"/>
    <w:basedOn w:val="Normal"/>
    <w:next w:val="Normal"/>
    <w:link w:val="Heading6Char"/>
    <w:uiPriority w:val="9"/>
    <w:unhideWhenUsed/>
    <w:qFormat/>
    <w:rsid w:val="00FD5303"/>
    <w:pPr>
      <w:keepNext/>
      <w:keepLines/>
      <w:numPr>
        <w:ilvl w:val="5"/>
        <w:numId w:val="1"/>
      </w:numPr>
      <w:spacing w:before="200"/>
      <w:outlineLvl w:val="5"/>
    </w:pPr>
    <w:rPr>
      <w:rFonts w:asciiTheme="majorHAnsi" w:eastAsiaTheme="majorEastAsia" w:hAnsiTheme="majorHAnsi" w:cs="Angsana New"/>
      <w:i/>
      <w:iCs/>
      <w:color w:val="243F60" w:themeColor="accent1" w:themeShade="7F"/>
      <w:szCs w:val="30"/>
    </w:rPr>
  </w:style>
  <w:style w:type="paragraph" w:styleId="Heading7">
    <w:name w:val="heading 7"/>
    <w:basedOn w:val="Normal"/>
    <w:next w:val="Normal"/>
    <w:link w:val="Heading7Char"/>
    <w:uiPriority w:val="9"/>
    <w:unhideWhenUsed/>
    <w:qFormat/>
    <w:rsid w:val="00FD5303"/>
    <w:pPr>
      <w:keepNext/>
      <w:keepLines/>
      <w:numPr>
        <w:ilvl w:val="6"/>
        <w:numId w:val="1"/>
      </w:numPr>
      <w:spacing w:before="200"/>
      <w:outlineLvl w:val="6"/>
    </w:pPr>
    <w:rPr>
      <w:rFonts w:asciiTheme="majorHAnsi" w:eastAsiaTheme="majorEastAsia" w:hAnsiTheme="majorHAnsi" w:cs="Angsana New"/>
      <w:i/>
      <w:iCs/>
      <w:color w:val="404040" w:themeColor="text1" w:themeTint="BF"/>
      <w:szCs w:val="30"/>
    </w:rPr>
  </w:style>
  <w:style w:type="paragraph" w:styleId="Heading8">
    <w:name w:val="heading 8"/>
    <w:basedOn w:val="Normal"/>
    <w:next w:val="Normal"/>
    <w:link w:val="Heading8Char"/>
    <w:uiPriority w:val="9"/>
    <w:unhideWhenUsed/>
    <w:qFormat/>
    <w:rsid w:val="00FD5303"/>
    <w:pPr>
      <w:keepNext/>
      <w:keepLines/>
      <w:numPr>
        <w:ilvl w:val="7"/>
        <w:numId w:val="1"/>
      </w:numPr>
      <w:spacing w:before="200"/>
      <w:outlineLvl w:val="7"/>
    </w:pPr>
    <w:rPr>
      <w:rFonts w:asciiTheme="majorHAnsi" w:eastAsiaTheme="majorEastAsia" w:hAnsiTheme="majorHAnsi" w:cs="Angsana New"/>
      <w:color w:val="404040" w:themeColor="text1" w:themeTint="BF"/>
      <w:sz w:val="20"/>
      <w:szCs w:val="25"/>
    </w:rPr>
  </w:style>
  <w:style w:type="paragraph" w:styleId="Heading9">
    <w:name w:val="heading 9"/>
    <w:basedOn w:val="Normal"/>
    <w:next w:val="Normal"/>
    <w:link w:val="Heading9Char"/>
    <w:uiPriority w:val="9"/>
    <w:unhideWhenUsed/>
    <w:qFormat/>
    <w:rsid w:val="00FD5303"/>
    <w:pPr>
      <w:keepNext/>
      <w:keepLines/>
      <w:numPr>
        <w:ilvl w:val="8"/>
        <w:numId w:val="1"/>
      </w:numPr>
      <w:spacing w:before="200"/>
      <w:outlineLvl w:val="8"/>
    </w:pPr>
    <w:rPr>
      <w:rFonts w:asciiTheme="majorHAnsi" w:eastAsiaTheme="majorEastAsia" w:hAnsiTheme="majorHAnsi" w:cs="Angsana New"/>
      <w:i/>
      <w:iCs/>
      <w:color w:val="404040" w:themeColor="text1" w:themeTint="BF"/>
      <w:sz w:val="20"/>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D5303"/>
    <w:rPr>
      <w:rFonts w:asciiTheme="majorHAnsi" w:eastAsiaTheme="majorEastAsia" w:hAnsiTheme="majorHAnsi" w:cs="Angsana New"/>
      <w:i/>
      <w:iCs/>
      <w:color w:val="243F60" w:themeColor="accent1" w:themeShade="7F"/>
      <w:sz w:val="22"/>
      <w:szCs w:val="30"/>
    </w:rPr>
  </w:style>
  <w:style w:type="character" w:customStyle="1" w:styleId="Heading7Char">
    <w:name w:val="Heading 7 Char"/>
    <w:basedOn w:val="DefaultParagraphFont"/>
    <w:link w:val="Heading7"/>
    <w:uiPriority w:val="9"/>
    <w:rsid w:val="00FD5303"/>
    <w:rPr>
      <w:rFonts w:asciiTheme="majorHAnsi" w:eastAsiaTheme="majorEastAsia" w:hAnsiTheme="majorHAnsi" w:cs="Angsana New"/>
      <w:i/>
      <w:iCs/>
      <w:color w:val="404040" w:themeColor="text1" w:themeTint="BF"/>
      <w:sz w:val="22"/>
      <w:szCs w:val="30"/>
    </w:rPr>
  </w:style>
  <w:style w:type="character" w:customStyle="1" w:styleId="Heading8Char">
    <w:name w:val="Heading 8 Char"/>
    <w:basedOn w:val="DefaultParagraphFont"/>
    <w:link w:val="Heading8"/>
    <w:uiPriority w:val="9"/>
    <w:rsid w:val="00FD5303"/>
    <w:rPr>
      <w:rFonts w:asciiTheme="majorHAnsi" w:eastAsiaTheme="majorEastAsia" w:hAnsiTheme="majorHAnsi" w:cs="Angsana New"/>
      <w:color w:val="404040" w:themeColor="text1" w:themeTint="BF"/>
      <w:sz w:val="20"/>
      <w:szCs w:val="25"/>
    </w:rPr>
  </w:style>
  <w:style w:type="character" w:customStyle="1" w:styleId="Heading9Char">
    <w:name w:val="Heading 9 Char"/>
    <w:basedOn w:val="DefaultParagraphFont"/>
    <w:link w:val="Heading9"/>
    <w:uiPriority w:val="9"/>
    <w:rsid w:val="00FD5303"/>
    <w:rPr>
      <w:rFonts w:asciiTheme="majorHAnsi" w:eastAsiaTheme="majorEastAsia" w:hAnsiTheme="majorHAnsi" w:cs="Angsana New"/>
      <w:i/>
      <w:iCs/>
      <w:color w:val="404040" w:themeColor="text1" w:themeTint="BF"/>
      <w:sz w:val="20"/>
      <w:szCs w:val="25"/>
    </w:rPr>
  </w:style>
  <w:style w:type="character" w:styleId="FootnoteReference">
    <w:name w:val="footnote reference"/>
    <w:basedOn w:val="DefaultParagraphFont"/>
    <w:uiPriority w:val="99"/>
    <w:rsid w:val="00C670CF"/>
    <w:rPr>
      <w:rFonts w:ascii="Arial" w:hAnsi="Arial"/>
      <w:sz w:val="22"/>
      <w:vertAlign w:val="superscript"/>
      <w:lang w:bidi="th-TH"/>
    </w:rPr>
  </w:style>
  <w:style w:type="paragraph" w:customStyle="1" w:styleId="source">
    <w:name w:val="source"/>
    <w:basedOn w:val="Normal"/>
    <w:link w:val="sourceChar"/>
    <w:qFormat/>
    <w:rsid w:val="006E1784"/>
    <w:rPr>
      <w:sz w:val="18"/>
      <w:szCs w:val="18"/>
    </w:rPr>
  </w:style>
  <w:style w:type="character" w:customStyle="1" w:styleId="sourceChar">
    <w:name w:val="source Char"/>
    <w:basedOn w:val="DefaultParagraphFont"/>
    <w:link w:val="source"/>
    <w:rsid w:val="006E1784"/>
    <w:rPr>
      <w:rFonts w:ascii="Times New Roman" w:hAnsi="Times New Roman" w:cs="Times New Roman"/>
      <w:sz w:val="18"/>
      <w:szCs w:val="18"/>
    </w:rPr>
  </w:style>
  <w:style w:type="paragraph" w:customStyle="1" w:styleId="formattable">
    <w:name w:val="format_table"/>
    <w:basedOn w:val="Normal"/>
    <w:qFormat/>
    <w:rsid w:val="006E1784"/>
    <w:rPr>
      <w:sz w:val="20"/>
      <w:szCs w:val="20"/>
    </w:rPr>
  </w:style>
  <w:style w:type="paragraph" w:customStyle="1" w:styleId="Tablename">
    <w:name w:val="Table_name"/>
    <w:basedOn w:val="Normal"/>
    <w:link w:val="TablenameChar"/>
    <w:qFormat/>
    <w:rsid w:val="004E548F"/>
    <w:rPr>
      <w:b/>
      <w:bCs/>
    </w:rPr>
  </w:style>
  <w:style w:type="character" w:customStyle="1" w:styleId="TablenameChar">
    <w:name w:val="Table_name Char"/>
    <w:basedOn w:val="DefaultParagraphFont"/>
    <w:link w:val="Tablename"/>
    <w:rsid w:val="006E1784"/>
    <w:rPr>
      <w:rFonts w:ascii="Times New Roman" w:hAnsi="Times New Roman" w:cs="Times New Roman"/>
      <w:b/>
      <w:bCs/>
      <w:sz w:val="24"/>
      <w:szCs w:val="24"/>
    </w:rPr>
  </w:style>
  <w:style w:type="paragraph" w:styleId="ListBullet">
    <w:name w:val="List Bullet"/>
    <w:basedOn w:val="Normal"/>
    <w:autoRedefine/>
    <w:rsid w:val="007D21B4"/>
    <w:pPr>
      <w:tabs>
        <w:tab w:val="num" w:pos="1080"/>
      </w:tabs>
    </w:pPr>
  </w:style>
  <w:style w:type="paragraph" w:styleId="ListNumber2">
    <w:name w:val="List Number 2"/>
    <w:basedOn w:val="Normal"/>
    <w:rsid w:val="007D21B4"/>
    <w:pPr>
      <w:tabs>
        <w:tab w:val="num" w:pos="1080"/>
      </w:tabs>
    </w:pPr>
  </w:style>
  <w:style w:type="paragraph" w:styleId="ListNumber3">
    <w:name w:val="List Number 3"/>
    <w:basedOn w:val="Normal"/>
    <w:rsid w:val="007D21B4"/>
    <w:pPr>
      <w:tabs>
        <w:tab w:val="num" w:pos="1080"/>
      </w:tabs>
    </w:pPr>
  </w:style>
  <w:style w:type="paragraph" w:styleId="ListNumber4">
    <w:name w:val="List Number 4"/>
    <w:basedOn w:val="Normal"/>
    <w:rsid w:val="007D21B4"/>
    <w:pPr>
      <w:tabs>
        <w:tab w:val="num" w:pos="1080"/>
      </w:tabs>
    </w:pPr>
  </w:style>
  <w:style w:type="paragraph" w:customStyle="1" w:styleId="Figurename">
    <w:name w:val="Figure_name"/>
    <w:basedOn w:val="Normal"/>
    <w:rsid w:val="006E2F38"/>
    <w:pPr>
      <w:jc w:val="center"/>
    </w:pPr>
    <w:rPr>
      <w:b/>
      <w:bCs/>
    </w:rPr>
  </w:style>
  <w:style w:type="paragraph" w:styleId="Footer">
    <w:name w:val="footer"/>
    <w:basedOn w:val="Normal"/>
    <w:link w:val="FooterChar"/>
    <w:uiPriority w:val="99"/>
    <w:rsid w:val="007D21B4"/>
    <w:pPr>
      <w:tabs>
        <w:tab w:val="center" w:pos="4153"/>
        <w:tab w:val="right" w:pos="8306"/>
      </w:tabs>
    </w:pPr>
    <w:rPr>
      <w:sz w:val="32"/>
      <w:szCs w:val="32"/>
    </w:rPr>
  </w:style>
  <w:style w:type="character" w:customStyle="1" w:styleId="FooterChar">
    <w:name w:val="Footer Char"/>
    <w:basedOn w:val="DefaultParagraphFont"/>
    <w:link w:val="Footer"/>
    <w:uiPriority w:val="99"/>
    <w:rsid w:val="00C73521"/>
    <w:rPr>
      <w:rFonts w:ascii="Times New Roman" w:hAnsi="Times New Roman" w:cs="Times New Roman"/>
      <w:sz w:val="32"/>
      <w:szCs w:val="32"/>
    </w:rPr>
  </w:style>
  <w:style w:type="paragraph" w:styleId="FootnoteText">
    <w:name w:val="footnote text"/>
    <w:aliases w:val="Footnote ak"/>
    <w:basedOn w:val="Normal"/>
    <w:link w:val="FootnoteTextChar"/>
    <w:uiPriority w:val="99"/>
    <w:rsid w:val="001E3942"/>
    <w:rPr>
      <w:sz w:val="18"/>
    </w:rPr>
  </w:style>
  <w:style w:type="character" w:customStyle="1" w:styleId="FootnoteTextChar">
    <w:name w:val="Footnote Text Char"/>
    <w:aliases w:val="Footnote ak Char"/>
    <w:basedOn w:val="DefaultParagraphFont"/>
    <w:link w:val="FootnoteText"/>
    <w:uiPriority w:val="99"/>
    <w:rsid w:val="001E3942"/>
    <w:rPr>
      <w:rFonts w:ascii="Arial" w:hAnsi="Arial" w:cs="Arial"/>
      <w:sz w:val="18"/>
    </w:rPr>
  </w:style>
  <w:style w:type="character" w:styleId="PageNumber">
    <w:name w:val="page number"/>
    <w:basedOn w:val="DefaultParagraphFont"/>
    <w:rsid w:val="007D21B4"/>
  </w:style>
  <w:style w:type="paragraph" w:styleId="Header">
    <w:name w:val="header"/>
    <w:basedOn w:val="Normal"/>
    <w:link w:val="HeaderChar"/>
    <w:uiPriority w:val="99"/>
    <w:rsid w:val="007D21B4"/>
    <w:pPr>
      <w:tabs>
        <w:tab w:val="center" w:pos="4153"/>
        <w:tab w:val="right" w:pos="8306"/>
      </w:tabs>
    </w:pPr>
  </w:style>
  <w:style w:type="paragraph" w:customStyle="1" w:styleId="a">
    <w:name w:val="เชิงอัต"/>
    <w:basedOn w:val="Normal"/>
    <w:autoRedefine/>
    <w:rsid w:val="00F50EE0"/>
  </w:style>
  <w:style w:type="character" w:customStyle="1" w:styleId="BalloonTextChar">
    <w:name w:val="Balloon Text Char"/>
    <w:basedOn w:val="DefaultParagraphFont"/>
    <w:link w:val="BalloonText"/>
    <w:uiPriority w:val="99"/>
    <w:rsid w:val="006E1784"/>
    <w:rPr>
      <w:rFonts w:ascii="Tahoma" w:eastAsiaTheme="minorHAnsi" w:hAnsi="Tahoma"/>
      <w:sz w:val="16"/>
    </w:rPr>
  </w:style>
  <w:style w:type="paragraph" w:styleId="BalloonText">
    <w:name w:val="Balloon Text"/>
    <w:basedOn w:val="Normal"/>
    <w:link w:val="BalloonTextChar"/>
    <w:uiPriority w:val="99"/>
    <w:unhideWhenUsed/>
    <w:rsid w:val="006E1784"/>
    <w:rPr>
      <w:rFonts w:ascii="Tahoma" w:eastAsiaTheme="minorHAnsi" w:hAnsi="Tahoma" w:cs="Angsana New"/>
      <w:sz w:val="16"/>
      <w:szCs w:val="20"/>
    </w:rPr>
  </w:style>
  <w:style w:type="paragraph" w:customStyle="1" w:styleId="Styleformattable12pt">
    <w:name w:val="Style format_table + 12 pt"/>
    <w:basedOn w:val="formattable"/>
    <w:qFormat/>
    <w:rsid w:val="006E1784"/>
  </w:style>
  <w:style w:type="character" w:customStyle="1" w:styleId="hps">
    <w:name w:val="hps"/>
    <w:basedOn w:val="DefaultParagraphFont"/>
    <w:rsid w:val="006E1784"/>
  </w:style>
  <w:style w:type="character" w:customStyle="1" w:styleId="shorttext">
    <w:name w:val="short_text"/>
    <w:basedOn w:val="DefaultParagraphFont"/>
    <w:rsid w:val="006E1784"/>
  </w:style>
  <w:style w:type="table" w:styleId="TableGrid">
    <w:name w:val="Table Grid"/>
    <w:basedOn w:val="TableNormal"/>
    <w:uiPriority w:val="59"/>
    <w:rsid w:val="00686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70CF"/>
    <w:pPr>
      <w:ind w:left="720"/>
      <w:contextualSpacing/>
    </w:pPr>
    <w:rPr>
      <w:rFonts w:eastAsiaTheme="minorHAnsi" w:cstheme="minorBidi"/>
      <w:szCs w:val="28"/>
    </w:rPr>
  </w:style>
  <w:style w:type="character" w:styleId="Hyperlink">
    <w:name w:val="Hyperlink"/>
    <w:basedOn w:val="DefaultParagraphFont"/>
    <w:uiPriority w:val="99"/>
    <w:unhideWhenUsed/>
    <w:rsid w:val="003D53CA"/>
    <w:rPr>
      <w:color w:val="0000FF"/>
      <w:u w:val="single"/>
    </w:rPr>
  </w:style>
  <w:style w:type="character" w:customStyle="1" w:styleId="Title1">
    <w:name w:val="Title1"/>
    <w:basedOn w:val="DefaultParagraphFont"/>
    <w:rsid w:val="00A007CD"/>
  </w:style>
  <w:style w:type="character" w:styleId="CommentReference">
    <w:name w:val="annotation reference"/>
    <w:basedOn w:val="DefaultParagraphFont"/>
    <w:rsid w:val="001E0F9C"/>
    <w:rPr>
      <w:sz w:val="16"/>
      <w:szCs w:val="18"/>
    </w:rPr>
  </w:style>
  <w:style w:type="paragraph" w:styleId="CommentText">
    <w:name w:val="annotation text"/>
    <w:basedOn w:val="Normal"/>
    <w:link w:val="CommentTextChar"/>
    <w:rsid w:val="001E0F9C"/>
    <w:rPr>
      <w:rFonts w:cs="Angsana New"/>
      <w:sz w:val="20"/>
      <w:szCs w:val="25"/>
    </w:rPr>
  </w:style>
  <w:style w:type="character" w:customStyle="1" w:styleId="CommentTextChar">
    <w:name w:val="Comment Text Char"/>
    <w:basedOn w:val="DefaultParagraphFont"/>
    <w:link w:val="CommentText"/>
    <w:rsid w:val="001E0F9C"/>
    <w:rPr>
      <w:rFonts w:ascii="Times New Roman" w:hAnsi="Times New Roman"/>
      <w:szCs w:val="25"/>
    </w:rPr>
  </w:style>
  <w:style w:type="paragraph" w:styleId="CommentSubject">
    <w:name w:val="annotation subject"/>
    <w:basedOn w:val="CommentText"/>
    <w:next w:val="CommentText"/>
    <w:link w:val="CommentSubjectChar"/>
    <w:rsid w:val="001E0F9C"/>
    <w:rPr>
      <w:b/>
      <w:bCs/>
    </w:rPr>
  </w:style>
  <w:style w:type="character" w:customStyle="1" w:styleId="CommentSubjectChar">
    <w:name w:val="Comment Subject Char"/>
    <w:basedOn w:val="CommentTextChar"/>
    <w:link w:val="CommentSubject"/>
    <w:rsid w:val="001E0F9C"/>
    <w:rPr>
      <w:rFonts w:ascii="Times New Roman" w:hAnsi="Times New Roman"/>
      <w:b/>
      <w:bCs/>
      <w:szCs w:val="25"/>
    </w:rPr>
  </w:style>
  <w:style w:type="paragraph" w:styleId="Revision">
    <w:name w:val="Revision"/>
    <w:hidden/>
    <w:uiPriority w:val="99"/>
    <w:semiHidden/>
    <w:rsid w:val="001E0F9C"/>
    <w:rPr>
      <w:szCs w:val="30"/>
    </w:rPr>
  </w:style>
  <w:style w:type="character" w:customStyle="1" w:styleId="Title2">
    <w:name w:val="Title2"/>
    <w:basedOn w:val="DefaultParagraphFont"/>
    <w:rsid w:val="0074770D"/>
  </w:style>
  <w:style w:type="character" w:customStyle="1" w:styleId="ref">
    <w:name w:val="ref"/>
    <w:basedOn w:val="DefaultParagraphFont"/>
    <w:rsid w:val="0074770D"/>
  </w:style>
  <w:style w:type="character" w:customStyle="1" w:styleId="Title3">
    <w:name w:val="Title3"/>
    <w:basedOn w:val="DefaultParagraphFont"/>
    <w:rsid w:val="008C29B5"/>
  </w:style>
  <w:style w:type="character" w:styleId="Emphasis">
    <w:name w:val="Emphasis"/>
    <w:uiPriority w:val="20"/>
    <w:qFormat/>
    <w:rsid w:val="00830176"/>
    <w:rPr>
      <w:i/>
      <w:iCs/>
    </w:rPr>
  </w:style>
  <w:style w:type="paragraph" w:styleId="TOC1">
    <w:name w:val="toc 1"/>
    <w:basedOn w:val="Normal"/>
    <w:next w:val="Normal"/>
    <w:autoRedefine/>
    <w:uiPriority w:val="39"/>
    <w:qFormat/>
    <w:rsid w:val="00A5718A"/>
    <w:pPr>
      <w:spacing w:before="120"/>
    </w:pPr>
    <w:rPr>
      <w:rFonts w:cstheme="majorBidi"/>
      <w:b/>
      <w:bCs/>
      <w:caps/>
      <w:sz w:val="20"/>
      <w:szCs w:val="23"/>
    </w:rPr>
  </w:style>
  <w:style w:type="paragraph" w:styleId="TOC2">
    <w:name w:val="toc 2"/>
    <w:basedOn w:val="Normal"/>
    <w:next w:val="Normal"/>
    <w:autoRedefine/>
    <w:uiPriority w:val="39"/>
    <w:qFormat/>
    <w:rsid w:val="00A5718A"/>
    <w:pPr>
      <w:ind w:left="240"/>
    </w:pPr>
    <w:rPr>
      <w:rFonts w:cstheme="majorBidi"/>
      <w:smallCaps/>
      <w:sz w:val="20"/>
      <w:szCs w:val="23"/>
    </w:rPr>
  </w:style>
  <w:style w:type="paragraph" w:styleId="TOC3">
    <w:name w:val="toc 3"/>
    <w:basedOn w:val="Normal"/>
    <w:next w:val="Normal"/>
    <w:autoRedefine/>
    <w:uiPriority w:val="39"/>
    <w:qFormat/>
    <w:rsid w:val="00A5718A"/>
    <w:pPr>
      <w:ind w:left="480"/>
    </w:pPr>
    <w:rPr>
      <w:rFonts w:cstheme="majorBidi"/>
      <w:i/>
      <w:iCs/>
      <w:sz w:val="20"/>
      <w:szCs w:val="23"/>
    </w:rPr>
  </w:style>
  <w:style w:type="paragraph" w:styleId="TOC4">
    <w:name w:val="toc 4"/>
    <w:basedOn w:val="Normal"/>
    <w:next w:val="Normal"/>
    <w:autoRedefine/>
    <w:uiPriority w:val="39"/>
    <w:rsid w:val="00F500FE"/>
    <w:pPr>
      <w:ind w:left="720"/>
    </w:pPr>
    <w:rPr>
      <w:rFonts w:asciiTheme="minorHAnsi" w:hAnsiTheme="minorHAnsi" w:cstheme="majorBidi"/>
      <w:sz w:val="18"/>
      <w:szCs w:val="21"/>
    </w:rPr>
  </w:style>
  <w:style w:type="paragraph" w:styleId="TOC5">
    <w:name w:val="toc 5"/>
    <w:basedOn w:val="Normal"/>
    <w:next w:val="Normal"/>
    <w:autoRedefine/>
    <w:rsid w:val="00F500FE"/>
    <w:pPr>
      <w:ind w:left="960"/>
    </w:pPr>
    <w:rPr>
      <w:rFonts w:asciiTheme="minorHAnsi" w:hAnsiTheme="minorHAnsi" w:cstheme="majorBidi"/>
      <w:sz w:val="18"/>
      <w:szCs w:val="21"/>
    </w:rPr>
  </w:style>
  <w:style w:type="paragraph" w:styleId="TOC6">
    <w:name w:val="toc 6"/>
    <w:basedOn w:val="Normal"/>
    <w:next w:val="Normal"/>
    <w:autoRedefine/>
    <w:uiPriority w:val="39"/>
    <w:rsid w:val="00F500FE"/>
    <w:pPr>
      <w:ind w:left="1200"/>
    </w:pPr>
    <w:rPr>
      <w:rFonts w:asciiTheme="minorHAnsi" w:hAnsiTheme="minorHAnsi" w:cstheme="majorBidi"/>
      <w:sz w:val="18"/>
      <w:szCs w:val="21"/>
    </w:rPr>
  </w:style>
  <w:style w:type="paragraph" w:styleId="TOC7">
    <w:name w:val="toc 7"/>
    <w:basedOn w:val="Normal"/>
    <w:next w:val="Normal"/>
    <w:autoRedefine/>
    <w:rsid w:val="00F500FE"/>
    <w:pPr>
      <w:ind w:left="1440"/>
    </w:pPr>
    <w:rPr>
      <w:rFonts w:asciiTheme="minorHAnsi" w:hAnsiTheme="minorHAnsi" w:cstheme="majorBidi"/>
      <w:sz w:val="18"/>
      <w:szCs w:val="21"/>
    </w:rPr>
  </w:style>
  <w:style w:type="paragraph" w:styleId="TOC8">
    <w:name w:val="toc 8"/>
    <w:basedOn w:val="Normal"/>
    <w:next w:val="Normal"/>
    <w:autoRedefine/>
    <w:rsid w:val="00F500FE"/>
    <w:pPr>
      <w:ind w:left="1680"/>
    </w:pPr>
    <w:rPr>
      <w:rFonts w:asciiTheme="minorHAnsi" w:hAnsiTheme="minorHAnsi" w:cstheme="majorBidi"/>
      <w:sz w:val="18"/>
      <w:szCs w:val="21"/>
    </w:rPr>
  </w:style>
  <w:style w:type="paragraph" w:styleId="TOC9">
    <w:name w:val="toc 9"/>
    <w:basedOn w:val="Normal"/>
    <w:next w:val="Normal"/>
    <w:autoRedefine/>
    <w:rsid w:val="00F500FE"/>
    <w:pPr>
      <w:ind w:left="1920"/>
    </w:pPr>
    <w:rPr>
      <w:rFonts w:asciiTheme="minorHAnsi" w:hAnsiTheme="minorHAnsi" w:cstheme="majorBidi"/>
      <w:sz w:val="18"/>
      <w:szCs w:val="21"/>
    </w:rPr>
  </w:style>
  <w:style w:type="paragraph" w:styleId="TableofFigures">
    <w:name w:val="table of figures"/>
    <w:basedOn w:val="Normal"/>
    <w:next w:val="Normal"/>
    <w:uiPriority w:val="99"/>
    <w:rsid w:val="00326137"/>
    <w:pPr>
      <w:ind w:left="480" w:hanging="480"/>
    </w:pPr>
    <w:rPr>
      <w:rFonts w:asciiTheme="minorHAnsi" w:hAnsiTheme="minorHAnsi" w:cstheme="majorBidi"/>
      <w:smallCaps/>
      <w:sz w:val="20"/>
      <w:szCs w:val="23"/>
    </w:rPr>
  </w:style>
  <w:style w:type="paragraph" w:styleId="NormalWeb">
    <w:name w:val="Normal (Web)"/>
    <w:basedOn w:val="Normal"/>
    <w:unhideWhenUsed/>
    <w:rsid w:val="003913EB"/>
    <w:pPr>
      <w:spacing w:before="100" w:beforeAutospacing="1" w:after="100" w:afterAutospacing="1"/>
    </w:pPr>
    <w:rPr>
      <w:rFonts w:ascii="Tahoma" w:hAnsi="Tahoma" w:cs="Tahoma"/>
    </w:rPr>
  </w:style>
  <w:style w:type="paragraph" w:customStyle="1" w:styleId="Listenabsatz">
    <w:name w:val="Listenabsatz"/>
    <w:basedOn w:val="Normal"/>
    <w:uiPriority w:val="34"/>
    <w:qFormat/>
    <w:rsid w:val="003913EB"/>
    <w:pPr>
      <w:tabs>
        <w:tab w:val="left" w:pos="720"/>
      </w:tabs>
      <w:ind w:left="720"/>
      <w:jc w:val="both"/>
    </w:pPr>
    <w:rPr>
      <w:szCs w:val="20"/>
      <w:lang w:val="en-GB" w:bidi="ar-SA"/>
    </w:rPr>
  </w:style>
  <w:style w:type="paragraph" w:styleId="DocumentMap">
    <w:name w:val="Document Map"/>
    <w:basedOn w:val="Normal"/>
    <w:link w:val="DocumentMapChar"/>
    <w:rsid w:val="006A681D"/>
    <w:rPr>
      <w:rFonts w:ascii="Tahoma" w:hAnsi="Tahoma" w:cs="Angsana New"/>
      <w:sz w:val="16"/>
      <w:szCs w:val="20"/>
    </w:rPr>
  </w:style>
  <w:style w:type="character" w:customStyle="1" w:styleId="DocumentMapChar">
    <w:name w:val="Document Map Char"/>
    <w:basedOn w:val="DefaultParagraphFont"/>
    <w:link w:val="DocumentMap"/>
    <w:rsid w:val="006A681D"/>
    <w:rPr>
      <w:rFonts w:ascii="Tahoma" w:hAnsi="Tahoma"/>
      <w:sz w:val="16"/>
    </w:rPr>
  </w:style>
  <w:style w:type="paragraph" w:styleId="Title">
    <w:name w:val="Title"/>
    <w:basedOn w:val="Normal"/>
    <w:link w:val="TitleChar"/>
    <w:qFormat/>
    <w:rsid w:val="00830176"/>
    <w:pPr>
      <w:jc w:val="center"/>
      <w:outlineLvl w:val="0"/>
    </w:pPr>
    <w:rPr>
      <w:rFonts w:eastAsiaTheme="majorEastAsia"/>
      <w:b/>
      <w:bCs/>
      <w:kern w:val="28"/>
      <w:sz w:val="32"/>
      <w:szCs w:val="32"/>
    </w:rPr>
  </w:style>
  <w:style w:type="character" w:customStyle="1" w:styleId="TitleChar">
    <w:name w:val="Title Char"/>
    <w:link w:val="Title"/>
    <w:rsid w:val="00830176"/>
    <w:rPr>
      <w:rFonts w:ascii="Arial" w:eastAsiaTheme="majorEastAsia" w:hAnsi="Arial" w:cs="Arial"/>
      <w:b/>
      <w:bCs/>
      <w:kern w:val="28"/>
      <w:sz w:val="32"/>
      <w:szCs w:val="32"/>
    </w:rPr>
  </w:style>
  <w:style w:type="paragraph" w:styleId="Caption">
    <w:name w:val="caption"/>
    <w:basedOn w:val="Normal"/>
    <w:next w:val="Normal"/>
    <w:uiPriority w:val="35"/>
    <w:qFormat/>
    <w:rsid w:val="00C322C4"/>
    <w:pPr>
      <w:keepNext/>
      <w:jc w:val="center"/>
      <w:outlineLvl w:val="2"/>
    </w:pPr>
    <w:rPr>
      <w:bCs/>
      <w:i/>
      <w:szCs w:val="18"/>
    </w:rPr>
  </w:style>
  <w:style w:type="paragraph" w:customStyle="1" w:styleId="captionnotes">
    <w:name w:val="caption notes"/>
    <w:basedOn w:val="Normal"/>
    <w:link w:val="captionnotesChar"/>
    <w:rsid w:val="00B709CB"/>
    <w:rPr>
      <w:rFonts w:eastAsiaTheme="minorHAnsi" w:cstheme="minorBidi"/>
      <w:i/>
      <w:sz w:val="16"/>
      <w:szCs w:val="22"/>
      <w:lang w:bidi="ar-SA"/>
    </w:rPr>
  </w:style>
  <w:style w:type="character" w:customStyle="1" w:styleId="captionnotesChar">
    <w:name w:val="caption notes Char"/>
    <w:basedOn w:val="DefaultParagraphFont"/>
    <w:link w:val="captionnotes"/>
    <w:rsid w:val="00B709CB"/>
    <w:rPr>
      <w:rFonts w:ascii="Arial" w:eastAsiaTheme="minorHAnsi" w:hAnsi="Arial" w:cstheme="minorBidi"/>
      <w:i/>
      <w:sz w:val="16"/>
      <w:szCs w:val="22"/>
      <w:lang w:bidi="ar-SA"/>
    </w:rPr>
  </w:style>
  <w:style w:type="paragraph" w:customStyle="1" w:styleId="Captionnotes0">
    <w:name w:val="Caption notes"/>
    <w:basedOn w:val="BodyText"/>
    <w:qFormat/>
    <w:rsid w:val="000D0640"/>
    <w:pPr>
      <w:keepLines/>
      <w:jc w:val="center"/>
    </w:pPr>
    <w:rPr>
      <w:i/>
      <w:sz w:val="16"/>
    </w:rPr>
  </w:style>
  <w:style w:type="paragraph" w:styleId="BodyText">
    <w:name w:val="Body Text"/>
    <w:basedOn w:val="Normal"/>
    <w:link w:val="BodyTextChar"/>
    <w:qFormat/>
    <w:rsid w:val="00830176"/>
  </w:style>
  <w:style w:type="character" w:customStyle="1" w:styleId="BodyTextChar">
    <w:name w:val="Body Text Char"/>
    <w:basedOn w:val="DefaultParagraphFont"/>
    <w:link w:val="BodyText"/>
    <w:rsid w:val="00830176"/>
    <w:rPr>
      <w:rFonts w:ascii="Arial" w:hAnsi="Arial" w:cs="Arial"/>
      <w:sz w:val="22"/>
    </w:rPr>
  </w:style>
  <w:style w:type="character" w:customStyle="1" w:styleId="Heading1Char">
    <w:name w:val="Heading 1 Char"/>
    <w:basedOn w:val="DefaultParagraphFont"/>
    <w:link w:val="Heading1"/>
    <w:rsid w:val="00EA0810"/>
    <w:rPr>
      <w:rFonts w:ascii="Arial" w:eastAsiaTheme="majorEastAsia" w:hAnsi="Arial" w:cs="Arial"/>
      <w:b/>
      <w:bCs/>
      <w:i/>
      <w:sz w:val="22"/>
      <w:szCs w:val="22"/>
      <w:lang w:bidi="ar-SA"/>
    </w:rPr>
  </w:style>
  <w:style w:type="character" w:customStyle="1" w:styleId="Heading2Char">
    <w:name w:val="Heading 2 Char"/>
    <w:basedOn w:val="DefaultParagraphFont"/>
    <w:link w:val="Heading2"/>
    <w:rsid w:val="00525CD5"/>
    <w:rPr>
      <w:rFonts w:ascii="Arial" w:eastAsia="Calibri" w:hAnsi="Arial" w:cs="Arial"/>
      <w:bCs/>
      <w:i/>
      <w:sz w:val="22"/>
      <w:szCs w:val="26"/>
    </w:rPr>
  </w:style>
  <w:style w:type="character" w:customStyle="1" w:styleId="Heading3Char">
    <w:name w:val="Heading 3 Char"/>
    <w:basedOn w:val="DefaultParagraphFont"/>
    <w:link w:val="Heading3"/>
    <w:rsid w:val="00830176"/>
    <w:rPr>
      <w:rFonts w:ascii="Arial" w:eastAsiaTheme="majorEastAsia" w:hAnsi="Arial" w:cstheme="majorBidi"/>
      <w:bCs/>
      <w:i/>
      <w:sz w:val="22"/>
    </w:rPr>
  </w:style>
  <w:style w:type="paragraph" w:styleId="Subtitle">
    <w:name w:val="Subtitle"/>
    <w:basedOn w:val="Normal"/>
    <w:link w:val="SubtitleChar"/>
    <w:qFormat/>
    <w:rsid w:val="00830176"/>
    <w:pPr>
      <w:spacing w:after="60"/>
      <w:jc w:val="center"/>
      <w:outlineLvl w:val="1"/>
    </w:pPr>
    <w:rPr>
      <w:rFonts w:ascii="Century" w:hAnsi="Century"/>
    </w:rPr>
  </w:style>
  <w:style w:type="character" w:customStyle="1" w:styleId="SubtitleChar">
    <w:name w:val="Subtitle Char"/>
    <w:basedOn w:val="DefaultParagraphFont"/>
    <w:link w:val="Subtitle"/>
    <w:rsid w:val="009F37A4"/>
    <w:rPr>
      <w:rFonts w:ascii="Century" w:hAnsi="Century" w:cs="Arial"/>
      <w:sz w:val="22"/>
    </w:rPr>
  </w:style>
  <w:style w:type="paragraph" w:styleId="TOCHeading">
    <w:name w:val="TOC Heading"/>
    <w:basedOn w:val="Heading1"/>
    <w:next w:val="Normal"/>
    <w:uiPriority w:val="39"/>
    <w:unhideWhenUsed/>
    <w:qFormat/>
    <w:rsid w:val="00830176"/>
    <w:pPr>
      <w:spacing w:line="276" w:lineRule="auto"/>
      <w:ind w:left="0" w:firstLine="0"/>
      <w:outlineLvl w:val="9"/>
    </w:pPr>
    <w:rPr>
      <w:rFonts w:cstheme="majorBidi"/>
      <w:i w:val="0"/>
      <w:szCs w:val="28"/>
      <w:u w:val="single"/>
      <w:lang w:eastAsia="ja-JP"/>
    </w:rPr>
  </w:style>
  <w:style w:type="paragraph" w:customStyle="1" w:styleId="Apendix">
    <w:name w:val="Apendix"/>
    <w:basedOn w:val="Heading1"/>
    <w:qFormat/>
    <w:rsid w:val="00184ABD"/>
    <w:pPr>
      <w:keepNext w:val="0"/>
      <w:keepLines w:val="0"/>
      <w:contextualSpacing/>
    </w:pPr>
    <w:rPr>
      <w:rFonts w:eastAsia="Times New Roman" w:cs="Times New Roman"/>
      <w:i w:val="0"/>
      <w:szCs w:val="28"/>
    </w:rPr>
  </w:style>
  <w:style w:type="character" w:customStyle="1" w:styleId="A8">
    <w:name w:val="A8"/>
    <w:uiPriority w:val="99"/>
    <w:rsid w:val="00EA0810"/>
    <w:rPr>
      <w:rFonts w:cs="Trebuchet MS"/>
      <w:color w:val="000000"/>
      <w:sz w:val="11"/>
      <w:szCs w:val="11"/>
    </w:rPr>
  </w:style>
  <w:style w:type="character" w:customStyle="1" w:styleId="apple-converted-space">
    <w:name w:val="apple-converted-space"/>
    <w:basedOn w:val="DefaultParagraphFont"/>
    <w:rsid w:val="00EA0810"/>
  </w:style>
  <w:style w:type="paragraph" w:styleId="Bibliography">
    <w:name w:val="Bibliography"/>
    <w:basedOn w:val="Normal"/>
    <w:next w:val="Normal"/>
    <w:uiPriority w:val="37"/>
    <w:rsid w:val="00EA0810"/>
    <w:pPr>
      <w:spacing w:before="60"/>
      <w:ind w:left="720" w:hanging="720"/>
    </w:pPr>
    <w:rPr>
      <w:sz w:val="20"/>
      <w:lang w:bidi="ar-SA"/>
    </w:rPr>
  </w:style>
  <w:style w:type="character" w:styleId="BookTitle">
    <w:name w:val="Book Title"/>
    <w:uiPriority w:val="33"/>
    <w:qFormat/>
    <w:rsid w:val="00EA0810"/>
    <w:rPr>
      <w:i/>
      <w:iCs/>
      <w:smallCaps/>
      <w:spacing w:val="5"/>
    </w:rPr>
  </w:style>
  <w:style w:type="paragraph" w:customStyle="1" w:styleId="Box">
    <w:name w:val="Box"/>
    <w:basedOn w:val="TableofFigures"/>
    <w:qFormat/>
    <w:rsid w:val="00EA0810"/>
    <w:pPr>
      <w:ind w:left="0" w:firstLine="0"/>
    </w:pPr>
    <w:rPr>
      <w:rFonts w:ascii="Arial" w:hAnsi="Arial" w:cs="Arial"/>
      <w:b/>
      <w:smallCaps w:val="0"/>
      <w:szCs w:val="20"/>
      <w:lang w:bidi="ar-SA"/>
    </w:rPr>
  </w:style>
  <w:style w:type="paragraph" w:customStyle="1" w:styleId="CarCar">
    <w:name w:val="Car Car"/>
    <w:basedOn w:val="Normal"/>
    <w:semiHidden/>
    <w:rsid w:val="00EA0810"/>
    <w:pPr>
      <w:spacing w:after="160" w:line="240" w:lineRule="exact"/>
    </w:pPr>
    <w:rPr>
      <w:rFonts w:ascii="Verdana" w:hAnsi="Verdana"/>
      <w:sz w:val="20"/>
      <w:lang w:val="en-GB" w:bidi="ar-SA"/>
    </w:rPr>
  </w:style>
  <w:style w:type="character" w:customStyle="1" w:styleId="Caracteresdenotaalpie">
    <w:name w:val="Caracteres de nota al pie"/>
    <w:semiHidden/>
    <w:rsid w:val="00EA0810"/>
    <w:rPr>
      <w:vertAlign w:val="superscript"/>
    </w:rPr>
  </w:style>
  <w:style w:type="paragraph" w:customStyle="1" w:styleId="Default">
    <w:name w:val="Default"/>
    <w:rsid w:val="00EA0810"/>
    <w:pPr>
      <w:autoSpaceDE w:val="0"/>
      <w:autoSpaceDN w:val="0"/>
      <w:adjustRightInd w:val="0"/>
    </w:pPr>
    <w:rPr>
      <w:color w:val="000000"/>
      <w:lang w:bidi="ar-SA"/>
    </w:rPr>
  </w:style>
  <w:style w:type="character" w:customStyle="1" w:styleId="emailaddress">
    <w:name w:val="email_address"/>
    <w:basedOn w:val="DefaultParagraphFont"/>
    <w:semiHidden/>
    <w:rsid w:val="00EA0810"/>
  </w:style>
  <w:style w:type="character" w:styleId="EndnoteReference">
    <w:name w:val="endnote reference"/>
    <w:rsid w:val="00EA0810"/>
    <w:rPr>
      <w:vertAlign w:val="superscript"/>
    </w:rPr>
  </w:style>
  <w:style w:type="paragraph" w:styleId="EndnoteText">
    <w:name w:val="endnote text"/>
    <w:basedOn w:val="Normal"/>
    <w:link w:val="EndnoteTextChar"/>
    <w:rsid w:val="00EA0810"/>
    <w:rPr>
      <w:sz w:val="20"/>
      <w:lang w:bidi="ar-SA"/>
    </w:rPr>
  </w:style>
  <w:style w:type="character" w:customStyle="1" w:styleId="EndnoteTextChar">
    <w:name w:val="Endnote Text Char"/>
    <w:basedOn w:val="DefaultParagraphFont"/>
    <w:link w:val="EndnoteText"/>
    <w:rsid w:val="00EA0810"/>
    <w:rPr>
      <w:rFonts w:ascii="Arial" w:hAnsi="Arial" w:cs="Arial"/>
      <w:sz w:val="20"/>
      <w:lang w:bidi="ar-SA"/>
    </w:rPr>
  </w:style>
  <w:style w:type="paragraph" w:customStyle="1" w:styleId="Figura">
    <w:name w:val="Figura"/>
    <w:basedOn w:val="TableofFigures"/>
    <w:qFormat/>
    <w:rsid w:val="00EA0810"/>
    <w:pPr>
      <w:ind w:left="0" w:firstLine="0"/>
    </w:pPr>
    <w:rPr>
      <w:rFonts w:ascii="Arial" w:hAnsi="Arial" w:cs="Arial"/>
      <w:b/>
      <w:smallCaps w:val="0"/>
      <w:sz w:val="22"/>
      <w:szCs w:val="24"/>
      <w:lang w:bidi="ar-SA"/>
    </w:rPr>
  </w:style>
  <w:style w:type="character" w:styleId="FollowedHyperlink">
    <w:name w:val="FollowedHyperlink"/>
    <w:rsid w:val="00EA0810"/>
    <w:rPr>
      <w:color w:val="606420"/>
      <w:u w:val="single"/>
    </w:rPr>
  </w:style>
  <w:style w:type="paragraph" w:customStyle="1" w:styleId="Footnote">
    <w:name w:val="Footnote"/>
    <w:basedOn w:val="FootnoteText"/>
    <w:uiPriority w:val="99"/>
    <w:qFormat/>
    <w:rsid w:val="00EA0810"/>
    <w:rPr>
      <w:lang w:bidi="ar-SA"/>
    </w:rPr>
  </w:style>
  <w:style w:type="paragraph" w:styleId="PlainText">
    <w:name w:val="Plain Text"/>
    <w:basedOn w:val="Normal"/>
    <w:link w:val="PlainTextChar"/>
    <w:rsid w:val="00EA0810"/>
    <w:rPr>
      <w:rFonts w:ascii="Courier New" w:hAnsi="Courier New" w:cs="Courier New"/>
      <w:sz w:val="20"/>
      <w:lang w:bidi="ar-SA"/>
    </w:rPr>
  </w:style>
  <w:style w:type="character" w:customStyle="1" w:styleId="PlainTextChar">
    <w:name w:val="Plain Text Char"/>
    <w:basedOn w:val="DefaultParagraphFont"/>
    <w:link w:val="PlainText"/>
    <w:rsid w:val="00EA0810"/>
    <w:rPr>
      <w:rFonts w:ascii="Courier New" w:hAnsi="Courier New" w:cs="Courier New"/>
      <w:sz w:val="20"/>
      <w:lang w:bidi="ar-SA"/>
    </w:rPr>
  </w:style>
  <w:style w:type="paragraph" w:customStyle="1" w:styleId="Globaltitle">
    <w:name w:val="Global_title"/>
    <w:basedOn w:val="PlainText"/>
    <w:qFormat/>
    <w:rsid w:val="00EA0810"/>
    <w:pPr>
      <w:jc w:val="center"/>
    </w:pPr>
    <w:rPr>
      <w:rFonts w:ascii="Cambria" w:hAnsi="Cambria"/>
      <w:b/>
      <w:sz w:val="40"/>
      <w:szCs w:val="40"/>
    </w:rPr>
  </w:style>
  <w:style w:type="character" w:customStyle="1" w:styleId="grame">
    <w:name w:val="grame"/>
    <w:basedOn w:val="DefaultParagraphFont"/>
    <w:rsid w:val="00EA0810"/>
  </w:style>
  <w:style w:type="character" w:customStyle="1" w:styleId="HeaderChar">
    <w:name w:val="Header Char"/>
    <w:basedOn w:val="DefaultParagraphFont"/>
    <w:link w:val="Header"/>
    <w:uiPriority w:val="99"/>
    <w:rsid w:val="00EA0810"/>
    <w:rPr>
      <w:rFonts w:ascii="Arial" w:hAnsi="Arial" w:cs="Arial"/>
      <w:sz w:val="22"/>
    </w:rPr>
  </w:style>
  <w:style w:type="character" w:customStyle="1" w:styleId="Heading4Char">
    <w:name w:val="Heading 4 Char"/>
    <w:link w:val="Heading4"/>
    <w:rsid w:val="00EA0810"/>
    <w:rPr>
      <w:rFonts w:ascii="Arial" w:hAnsi="Arial" w:cs="Arial"/>
      <w:bCs/>
      <w:i/>
      <w:sz w:val="22"/>
      <w:szCs w:val="28"/>
    </w:rPr>
  </w:style>
  <w:style w:type="character" w:customStyle="1" w:styleId="Heading5Char">
    <w:name w:val="Heading 5 Char"/>
    <w:link w:val="Heading5"/>
    <w:rsid w:val="00EA0810"/>
    <w:rPr>
      <w:rFonts w:ascii="Arial" w:hAnsi="Arial" w:cs="Arial"/>
      <w:i/>
      <w:iCs/>
      <w:sz w:val="22"/>
    </w:rPr>
  </w:style>
  <w:style w:type="character" w:customStyle="1" w:styleId="highlight">
    <w:name w:val="highlight"/>
    <w:basedOn w:val="DefaultParagraphFont"/>
    <w:rsid w:val="00EA0810"/>
  </w:style>
  <w:style w:type="character" w:styleId="HTMLCite">
    <w:name w:val="HTML Cite"/>
    <w:rsid w:val="00EA0810"/>
    <w:rPr>
      <w:i/>
      <w:iCs/>
    </w:rPr>
  </w:style>
  <w:style w:type="character" w:styleId="IntenseEmphasis">
    <w:name w:val="Intense Emphasis"/>
    <w:uiPriority w:val="21"/>
    <w:qFormat/>
    <w:rsid w:val="00EA0810"/>
    <w:rPr>
      <w:b/>
      <w:bCs/>
    </w:rPr>
  </w:style>
  <w:style w:type="paragraph" w:styleId="IntenseQuote">
    <w:name w:val="Intense Quote"/>
    <w:basedOn w:val="Normal"/>
    <w:next w:val="Normal"/>
    <w:link w:val="IntenseQuoteChar"/>
    <w:uiPriority w:val="30"/>
    <w:qFormat/>
    <w:rsid w:val="00EA0810"/>
    <w:pPr>
      <w:pBdr>
        <w:bottom w:val="single" w:sz="4" w:space="1" w:color="auto"/>
      </w:pBdr>
      <w:spacing w:before="200" w:after="280"/>
      <w:ind w:left="1008" w:right="1152"/>
      <w:jc w:val="both"/>
    </w:pPr>
    <w:rPr>
      <w:b/>
      <w:bCs/>
      <w:i/>
      <w:iCs/>
      <w:lang w:bidi="ar-SA"/>
    </w:rPr>
  </w:style>
  <w:style w:type="character" w:customStyle="1" w:styleId="IntenseQuoteChar">
    <w:name w:val="Intense Quote Char"/>
    <w:basedOn w:val="DefaultParagraphFont"/>
    <w:link w:val="IntenseQuote"/>
    <w:uiPriority w:val="30"/>
    <w:rsid w:val="00EA0810"/>
    <w:rPr>
      <w:rFonts w:ascii="Arial" w:hAnsi="Arial" w:cs="Arial"/>
      <w:b/>
      <w:bCs/>
      <w:i/>
      <w:iCs/>
      <w:sz w:val="22"/>
      <w:lang w:bidi="ar-SA"/>
    </w:rPr>
  </w:style>
  <w:style w:type="character" w:styleId="IntenseReference">
    <w:name w:val="Intense Reference"/>
    <w:uiPriority w:val="32"/>
    <w:qFormat/>
    <w:rsid w:val="00EA0810"/>
    <w:rPr>
      <w:smallCaps/>
      <w:spacing w:val="5"/>
      <w:u w:val="single"/>
    </w:rPr>
  </w:style>
  <w:style w:type="paragraph" w:styleId="ListNumber">
    <w:name w:val="List Number"/>
    <w:basedOn w:val="Normal"/>
    <w:rsid w:val="00EA0810"/>
    <w:pPr>
      <w:tabs>
        <w:tab w:val="num" w:pos="360"/>
      </w:tabs>
      <w:ind w:left="360" w:hanging="360"/>
    </w:pPr>
    <w:rPr>
      <w:lang w:bidi="ar-SA"/>
    </w:rPr>
  </w:style>
  <w:style w:type="numbering" w:customStyle="1" w:styleId="NoList1">
    <w:name w:val="No List1"/>
    <w:next w:val="NoList"/>
    <w:uiPriority w:val="99"/>
    <w:semiHidden/>
    <w:unhideWhenUsed/>
    <w:rsid w:val="00EA0810"/>
  </w:style>
  <w:style w:type="paragraph" w:styleId="NoSpacing">
    <w:name w:val="No Spacing"/>
    <w:basedOn w:val="Normal"/>
    <w:uiPriority w:val="1"/>
    <w:qFormat/>
    <w:rsid w:val="00EA0810"/>
    <w:rPr>
      <w:lang w:bidi="ar-SA"/>
    </w:rPr>
  </w:style>
  <w:style w:type="paragraph" w:customStyle="1" w:styleId="ONUME">
    <w:name w:val="ONUM E"/>
    <w:basedOn w:val="BodyText"/>
    <w:semiHidden/>
    <w:rsid w:val="00EA0810"/>
    <w:pPr>
      <w:numPr>
        <w:numId w:val="2"/>
      </w:numPr>
    </w:pPr>
    <w:rPr>
      <w:lang w:bidi="ar-SA"/>
    </w:rPr>
  </w:style>
  <w:style w:type="paragraph" w:customStyle="1" w:styleId="ONUMFS">
    <w:name w:val="ONUM FS"/>
    <w:basedOn w:val="BodyText"/>
    <w:semiHidden/>
    <w:rsid w:val="00EA0810"/>
    <w:pPr>
      <w:numPr>
        <w:numId w:val="3"/>
      </w:numPr>
    </w:pPr>
    <w:rPr>
      <w:lang w:bidi="ar-SA"/>
    </w:rPr>
  </w:style>
  <w:style w:type="paragraph" w:customStyle="1" w:styleId="Presection">
    <w:name w:val="Presection"/>
    <w:basedOn w:val="Heading1"/>
    <w:uiPriority w:val="99"/>
    <w:qFormat/>
    <w:rsid w:val="00EA0810"/>
    <w:pPr>
      <w:ind w:left="0" w:firstLine="0"/>
    </w:pPr>
  </w:style>
  <w:style w:type="paragraph" w:styleId="Quote">
    <w:name w:val="Quote"/>
    <w:basedOn w:val="Normal"/>
    <w:next w:val="Normal"/>
    <w:link w:val="QuoteChar"/>
    <w:uiPriority w:val="29"/>
    <w:qFormat/>
    <w:rsid w:val="00EA0810"/>
    <w:pPr>
      <w:spacing w:before="200"/>
      <w:ind w:left="360" w:right="360"/>
    </w:pPr>
    <w:rPr>
      <w:i/>
      <w:iCs/>
      <w:lang w:bidi="ar-SA"/>
    </w:rPr>
  </w:style>
  <w:style w:type="character" w:customStyle="1" w:styleId="QuoteChar">
    <w:name w:val="Quote Char"/>
    <w:basedOn w:val="DefaultParagraphFont"/>
    <w:link w:val="Quote"/>
    <w:uiPriority w:val="29"/>
    <w:rsid w:val="00EA0810"/>
    <w:rPr>
      <w:rFonts w:ascii="Arial" w:hAnsi="Arial" w:cs="Arial"/>
      <w:i/>
      <w:iCs/>
      <w:sz w:val="22"/>
      <w:lang w:bidi="ar-SA"/>
    </w:rPr>
  </w:style>
  <w:style w:type="paragraph" w:customStyle="1" w:styleId="References">
    <w:name w:val="References"/>
    <w:basedOn w:val="Heading1"/>
    <w:qFormat/>
    <w:rsid w:val="00EA0810"/>
    <w:pPr>
      <w:ind w:left="0" w:firstLine="0"/>
    </w:pPr>
  </w:style>
  <w:style w:type="paragraph" w:styleId="Salutation">
    <w:name w:val="Salutation"/>
    <w:basedOn w:val="Normal"/>
    <w:next w:val="Normal"/>
    <w:link w:val="SalutationChar"/>
    <w:rsid w:val="00EA0810"/>
    <w:rPr>
      <w:lang w:bidi="ar-SA"/>
    </w:rPr>
  </w:style>
  <w:style w:type="character" w:customStyle="1" w:styleId="SalutationChar">
    <w:name w:val="Salutation Char"/>
    <w:basedOn w:val="DefaultParagraphFont"/>
    <w:link w:val="Salutation"/>
    <w:rsid w:val="00EA0810"/>
    <w:rPr>
      <w:rFonts w:ascii="Arial" w:hAnsi="Arial" w:cs="Arial"/>
      <w:sz w:val="22"/>
      <w:lang w:bidi="ar-SA"/>
    </w:rPr>
  </w:style>
  <w:style w:type="paragraph" w:customStyle="1" w:styleId="Section">
    <w:name w:val="Section"/>
    <w:basedOn w:val="Heading1"/>
    <w:uiPriority w:val="99"/>
    <w:qFormat/>
    <w:rsid w:val="00EA0810"/>
    <w:pPr>
      <w:numPr>
        <w:numId w:val="4"/>
      </w:numPr>
    </w:pPr>
  </w:style>
  <w:style w:type="paragraph" w:styleId="Signature">
    <w:name w:val="Signature"/>
    <w:basedOn w:val="Normal"/>
    <w:link w:val="SignatureChar"/>
    <w:rsid w:val="00EA0810"/>
    <w:pPr>
      <w:ind w:left="4252"/>
    </w:pPr>
    <w:rPr>
      <w:lang w:bidi="ar-SA"/>
    </w:rPr>
  </w:style>
  <w:style w:type="character" w:customStyle="1" w:styleId="SignatureChar">
    <w:name w:val="Signature Char"/>
    <w:basedOn w:val="DefaultParagraphFont"/>
    <w:link w:val="Signature"/>
    <w:rsid w:val="00EA0810"/>
    <w:rPr>
      <w:rFonts w:ascii="Arial" w:hAnsi="Arial" w:cs="Arial"/>
      <w:sz w:val="22"/>
      <w:lang w:bidi="ar-SA"/>
    </w:rPr>
  </w:style>
  <w:style w:type="character" w:customStyle="1" w:styleId="slug-ahead-of-print-date">
    <w:name w:val="slug-ahead-of-print-date"/>
    <w:basedOn w:val="DefaultParagraphFont"/>
    <w:semiHidden/>
    <w:rsid w:val="00EA0810"/>
  </w:style>
  <w:style w:type="character" w:customStyle="1" w:styleId="slug-doi">
    <w:name w:val="slug-doi"/>
    <w:basedOn w:val="DefaultParagraphFont"/>
    <w:semiHidden/>
    <w:rsid w:val="00EA0810"/>
  </w:style>
  <w:style w:type="character" w:customStyle="1" w:styleId="slug-doi-wrapper">
    <w:name w:val="slug-doi-wrapper"/>
    <w:basedOn w:val="DefaultParagraphFont"/>
    <w:semiHidden/>
    <w:rsid w:val="00EA0810"/>
  </w:style>
  <w:style w:type="character" w:customStyle="1" w:styleId="slug-issue">
    <w:name w:val="slug-issue"/>
    <w:basedOn w:val="DefaultParagraphFont"/>
    <w:rsid w:val="00EA0810"/>
  </w:style>
  <w:style w:type="character" w:customStyle="1" w:styleId="slug-metadata-noteahead-of-print">
    <w:name w:val="slug-metadata-note ahead-of-print"/>
    <w:basedOn w:val="DefaultParagraphFont"/>
    <w:semiHidden/>
    <w:rsid w:val="00EA0810"/>
  </w:style>
  <w:style w:type="character" w:customStyle="1" w:styleId="slug-pages">
    <w:name w:val="slug-pages"/>
    <w:basedOn w:val="DefaultParagraphFont"/>
    <w:rsid w:val="00EA0810"/>
  </w:style>
  <w:style w:type="character" w:customStyle="1" w:styleId="slug-pub-date">
    <w:name w:val="slug-pub-date"/>
    <w:basedOn w:val="DefaultParagraphFont"/>
    <w:rsid w:val="00EA0810"/>
  </w:style>
  <w:style w:type="character" w:customStyle="1" w:styleId="slug-vol">
    <w:name w:val="slug-vol"/>
    <w:basedOn w:val="DefaultParagraphFont"/>
    <w:rsid w:val="00EA0810"/>
  </w:style>
  <w:style w:type="character" w:customStyle="1" w:styleId="spelle">
    <w:name w:val="spelle"/>
    <w:basedOn w:val="DefaultParagraphFont"/>
    <w:rsid w:val="00EA0810"/>
  </w:style>
  <w:style w:type="character" w:customStyle="1" w:styleId="st">
    <w:name w:val="st"/>
    <w:basedOn w:val="DefaultParagraphFont"/>
    <w:rsid w:val="00EA0810"/>
  </w:style>
  <w:style w:type="character" w:styleId="Strong">
    <w:name w:val="Strong"/>
    <w:rsid w:val="00EA0810"/>
    <w:rPr>
      <w:b/>
      <w:bCs/>
    </w:rPr>
  </w:style>
  <w:style w:type="paragraph" w:customStyle="1" w:styleId="Subsection">
    <w:name w:val="Subsection"/>
    <w:basedOn w:val="Heading2"/>
    <w:uiPriority w:val="99"/>
    <w:qFormat/>
    <w:rsid w:val="00EA0810"/>
    <w:pPr>
      <w:numPr>
        <w:ilvl w:val="1"/>
        <w:numId w:val="5"/>
      </w:numPr>
    </w:pPr>
    <w:rPr>
      <w:b/>
      <w:lang w:bidi="ar-SA"/>
    </w:rPr>
  </w:style>
  <w:style w:type="paragraph" w:customStyle="1" w:styleId="Subsectionappendix">
    <w:name w:val="Subsection_appendix"/>
    <w:basedOn w:val="Heading2"/>
    <w:qFormat/>
    <w:rsid w:val="00EA0810"/>
    <w:pPr>
      <w:ind w:left="0" w:firstLine="0"/>
    </w:pPr>
    <w:rPr>
      <w:i w:val="0"/>
      <w:lang w:bidi="ar-SA"/>
    </w:rPr>
  </w:style>
  <w:style w:type="paragraph" w:customStyle="1" w:styleId="SUBSubsection">
    <w:name w:val="SUBSubsection"/>
    <w:basedOn w:val="Heading3"/>
    <w:qFormat/>
    <w:rsid w:val="00EA0810"/>
    <w:pPr>
      <w:numPr>
        <w:numId w:val="6"/>
      </w:numPr>
    </w:pPr>
    <w:rPr>
      <w:b/>
      <w:i w:val="0"/>
      <w:szCs w:val="26"/>
      <w:lang w:bidi="ar-SA"/>
    </w:rPr>
  </w:style>
  <w:style w:type="character" w:styleId="SubtleEmphasis">
    <w:name w:val="Subtle Emphasis"/>
    <w:uiPriority w:val="19"/>
    <w:qFormat/>
    <w:rsid w:val="00EA0810"/>
    <w:rPr>
      <w:i/>
      <w:iCs/>
    </w:rPr>
  </w:style>
  <w:style w:type="character" w:styleId="SubtleReference">
    <w:name w:val="Subtle Reference"/>
    <w:uiPriority w:val="31"/>
    <w:qFormat/>
    <w:rsid w:val="00EA0810"/>
    <w:rPr>
      <w:smallCaps/>
    </w:rPr>
  </w:style>
  <w:style w:type="table" w:customStyle="1" w:styleId="TableGrid1">
    <w:name w:val="Table Grid1"/>
    <w:basedOn w:val="TableNormal"/>
    <w:next w:val="TableGrid"/>
    <w:uiPriority w:val="59"/>
    <w:rsid w:val="00EA0810"/>
    <w:rPr>
      <w:rFonts w:ascii="Calibri" w:eastAsia="Calibri" w:hAnsi="Calibr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ules">
    <w:name w:val="Taules"/>
    <w:basedOn w:val="TableofFigures"/>
    <w:qFormat/>
    <w:rsid w:val="00EA0810"/>
    <w:pPr>
      <w:ind w:left="0" w:firstLine="0"/>
    </w:pPr>
    <w:rPr>
      <w:rFonts w:ascii="Arial" w:hAnsi="Arial" w:cs="Arial"/>
      <w:b/>
      <w:smallCaps w:val="0"/>
      <w:sz w:val="22"/>
      <w:szCs w:val="24"/>
      <w:lang w:bidi="ar-SA"/>
    </w:rPr>
  </w:style>
  <w:style w:type="paragraph" w:customStyle="1" w:styleId="Text">
    <w:name w:val="Text"/>
    <w:basedOn w:val="Normal"/>
    <w:uiPriority w:val="99"/>
    <w:qFormat/>
    <w:rsid w:val="00EA0810"/>
    <w:rPr>
      <w:lang w:bidi="ar-SA"/>
    </w:rPr>
  </w:style>
  <w:style w:type="character" w:customStyle="1" w:styleId="themevertgauche">
    <w:name w:val="themevertgauche"/>
    <w:basedOn w:val="DefaultParagraphFont"/>
    <w:rsid w:val="00EA0810"/>
  </w:style>
  <w:style w:type="paragraph" w:customStyle="1" w:styleId="TOC51">
    <w:name w:val="TOC 51"/>
    <w:basedOn w:val="Normal"/>
    <w:next w:val="Normal"/>
    <w:autoRedefine/>
    <w:rsid w:val="00EA0810"/>
    <w:pPr>
      <w:ind w:left="960" w:firstLine="720"/>
    </w:pPr>
    <w:rPr>
      <w:rFonts w:eastAsia="Cordia New"/>
      <w:sz w:val="18"/>
      <w:szCs w:val="21"/>
    </w:rPr>
  </w:style>
  <w:style w:type="paragraph" w:customStyle="1" w:styleId="TOC61">
    <w:name w:val="TOC 61"/>
    <w:basedOn w:val="Normal"/>
    <w:next w:val="Normal"/>
    <w:autoRedefine/>
    <w:rsid w:val="00EA0810"/>
    <w:pPr>
      <w:ind w:left="1200" w:firstLine="720"/>
    </w:pPr>
    <w:rPr>
      <w:rFonts w:eastAsia="Cordia New"/>
      <w:sz w:val="18"/>
      <w:szCs w:val="21"/>
    </w:rPr>
  </w:style>
  <w:style w:type="paragraph" w:customStyle="1" w:styleId="TOC71">
    <w:name w:val="TOC 71"/>
    <w:basedOn w:val="Normal"/>
    <w:next w:val="Normal"/>
    <w:autoRedefine/>
    <w:rsid w:val="00EA0810"/>
    <w:pPr>
      <w:ind w:left="1440" w:firstLine="720"/>
    </w:pPr>
    <w:rPr>
      <w:rFonts w:eastAsia="Cordia New"/>
      <w:sz w:val="18"/>
      <w:szCs w:val="21"/>
    </w:rPr>
  </w:style>
  <w:style w:type="paragraph" w:customStyle="1" w:styleId="TOC81">
    <w:name w:val="TOC 81"/>
    <w:basedOn w:val="Normal"/>
    <w:next w:val="Normal"/>
    <w:autoRedefine/>
    <w:rsid w:val="00EA0810"/>
    <w:pPr>
      <w:ind w:left="1680" w:firstLine="720"/>
    </w:pPr>
    <w:rPr>
      <w:rFonts w:eastAsia="Cordia New"/>
      <w:sz w:val="18"/>
      <w:szCs w:val="21"/>
    </w:rPr>
  </w:style>
  <w:style w:type="paragraph" w:customStyle="1" w:styleId="TOC91">
    <w:name w:val="TOC 91"/>
    <w:basedOn w:val="Normal"/>
    <w:next w:val="Normal"/>
    <w:autoRedefine/>
    <w:rsid w:val="00EA0810"/>
    <w:pPr>
      <w:ind w:left="1920" w:firstLine="720"/>
    </w:pPr>
    <w:rPr>
      <w:rFonts w:eastAsia="Cordia New"/>
      <w:sz w:val="18"/>
      <w:szCs w:val="21"/>
    </w:rPr>
  </w:style>
  <w:style w:type="numbering" w:styleId="111111">
    <w:name w:val="Outline List 2"/>
    <w:basedOn w:val="NoList"/>
    <w:rsid w:val="00EA0810"/>
    <w:pPr>
      <w:numPr>
        <w:numId w:val="7"/>
      </w:numPr>
    </w:pPr>
  </w:style>
  <w:style w:type="numbering" w:styleId="1ai">
    <w:name w:val="Outline List 1"/>
    <w:basedOn w:val="NoList"/>
    <w:rsid w:val="00EA0810"/>
    <w:pPr>
      <w:numPr>
        <w:numId w:val="8"/>
      </w:numPr>
    </w:pPr>
  </w:style>
  <w:style w:type="numbering" w:styleId="ArticleSection">
    <w:name w:val="Outline List 3"/>
    <w:basedOn w:val="NoList"/>
    <w:rsid w:val="00EA0810"/>
    <w:pPr>
      <w:numPr>
        <w:numId w:val="9"/>
      </w:numPr>
    </w:pPr>
  </w:style>
  <w:style w:type="paragraph" w:styleId="BlockText">
    <w:name w:val="Block Text"/>
    <w:basedOn w:val="Normal"/>
    <w:rsid w:val="00EA0810"/>
    <w:pPr>
      <w:spacing w:after="120"/>
      <w:ind w:left="1440" w:right="1440"/>
    </w:pPr>
    <w:rPr>
      <w:lang w:bidi="ar-SA"/>
    </w:rPr>
  </w:style>
  <w:style w:type="paragraph" w:styleId="BodyTextIndent">
    <w:name w:val="Body Text Indent"/>
    <w:basedOn w:val="Normal"/>
    <w:link w:val="BodyTextIndentChar"/>
    <w:rsid w:val="00EA0810"/>
    <w:pPr>
      <w:spacing w:after="120"/>
      <w:ind w:left="283"/>
    </w:pPr>
    <w:rPr>
      <w:lang w:bidi="ar-SA"/>
    </w:rPr>
  </w:style>
  <w:style w:type="character" w:customStyle="1" w:styleId="BodyTextIndentChar">
    <w:name w:val="Body Text Indent Char"/>
    <w:basedOn w:val="DefaultParagraphFont"/>
    <w:link w:val="BodyTextIndent"/>
    <w:rsid w:val="00EA0810"/>
    <w:rPr>
      <w:rFonts w:ascii="Arial" w:hAnsi="Arial" w:cs="Arial"/>
      <w:sz w:val="22"/>
      <w:lang w:bidi="ar-SA"/>
    </w:rPr>
  </w:style>
  <w:style w:type="paragraph" w:styleId="BodyTextFirstIndent2">
    <w:name w:val="Body Text First Indent 2"/>
    <w:basedOn w:val="BodyTextIndent"/>
    <w:link w:val="BodyTextFirstIndent2Char"/>
    <w:rsid w:val="00EA0810"/>
    <w:pPr>
      <w:ind w:firstLine="210"/>
    </w:pPr>
  </w:style>
  <w:style w:type="character" w:customStyle="1" w:styleId="BodyTextFirstIndent2Char">
    <w:name w:val="Body Text First Indent 2 Char"/>
    <w:basedOn w:val="BodyTextIndentChar"/>
    <w:link w:val="BodyTextFirstIndent2"/>
    <w:rsid w:val="00EA0810"/>
    <w:rPr>
      <w:rFonts w:ascii="Arial" w:hAnsi="Arial" w:cs="Arial"/>
      <w:sz w:val="22"/>
      <w:lang w:bidi="ar-SA"/>
    </w:rPr>
  </w:style>
  <w:style w:type="character" w:customStyle="1" w:styleId="CharChar2">
    <w:name w:val="Char Char2"/>
    <w:rsid w:val="00EA0810"/>
    <w:rPr>
      <w:rFonts w:ascii="Arial" w:eastAsia="Times New Roman" w:hAnsi="Arial" w:cs="Arial"/>
      <w:b/>
      <w:bCs/>
      <w:kern w:val="28"/>
      <w:sz w:val="32"/>
      <w:szCs w:val="32"/>
    </w:rPr>
  </w:style>
  <w:style w:type="paragraph" w:styleId="Closing">
    <w:name w:val="Closing"/>
    <w:basedOn w:val="Normal"/>
    <w:link w:val="ClosingChar"/>
    <w:rsid w:val="00EA0810"/>
    <w:pPr>
      <w:ind w:left="4252"/>
    </w:pPr>
    <w:rPr>
      <w:lang w:bidi="ar-SA"/>
    </w:rPr>
  </w:style>
  <w:style w:type="character" w:customStyle="1" w:styleId="ClosingChar">
    <w:name w:val="Closing Char"/>
    <w:basedOn w:val="DefaultParagraphFont"/>
    <w:link w:val="Closing"/>
    <w:rsid w:val="00EA0810"/>
    <w:rPr>
      <w:rFonts w:ascii="Arial" w:hAnsi="Arial" w:cs="Arial"/>
      <w:sz w:val="22"/>
      <w:lang w:bidi="ar-SA"/>
    </w:rPr>
  </w:style>
  <w:style w:type="paragraph" w:styleId="Date">
    <w:name w:val="Date"/>
    <w:basedOn w:val="Normal"/>
    <w:next w:val="Normal"/>
    <w:link w:val="DateChar"/>
    <w:rsid w:val="00EA0810"/>
    <w:rPr>
      <w:lang w:bidi="ar-SA"/>
    </w:rPr>
  </w:style>
  <w:style w:type="character" w:customStyle="1" w:styleId="DateChar">
    <w:name w:val="Date Char"/>
    <w:basedOn w:val="DefaultParagraphFont"/>
    <w:link w:val="Date"/>
    <w:rsid w:val="00EA0810"/>
    <w:rPr>
      <w:rFonts w:ascii="Arial" w:hAnsi="Arial" w:cs="Arial"/>
      <w:sz w:val="22"/>
      <w:lang w:bidi="ar-SA"/>
    </w:rPr>
  </w:style>
  <w:style w:type="paragraph" w:styleId="E-mailSignature">
    <w:name w:val="E-mail Signature"/>
    <w:basedOn w:val="Normal"/>
    <w:link w:val="E-mailSignatureChar"/>
    <w:rsid w:val="00EA0810"/>
    <w:rPr>
      <w:lang w:bidi="ar-SA"/>
    </w:rPr>
  </w:style>
  <w:style w:type="character" w:customStyle="1" w:styleId="E-mailSignatureChar">
    <w:name w:val="E-mail Signature Char"/>
    <w:basedOn w:val="DefaultParagraphFont"/>
    <w:link w:val="E-mailSignature"/>
    <w:rsid w:val="00EA0810"/>
    <w:rPr>
      <w:rFonts w:ascii="Arial" w:hAnsi="Arial" w:cs="Arial"/>
      <w:sz w:val="22"/>
      <w:lang w:bidi="ar-SA"/>
    </w:rPr>
  </w:style>
  <w:style w:type="paragraph" w:styleId="EnvelopeAddress">
    <w:name w:val="envelope address"/>
    <w:basedOn w:val="Normal"/>
    <w:rsid w:val="00EA0810"/>
    <w:pPr>
      <w:framePr w:w="7920" w:h="1980" w:hRule="exact" w:hSpace="180" w:wrap="auto" w:hAnchor="page" w:xAlign="center" w:yAlign="bottom"/>
      <w:ind w:left="2880"/>
    </w:pPr>
    <w:rPr>
      <w:lang w:bidi="ar-SA"/>
    </w:rPr>
  </w:style>
  <w:style w:type="paragraph" w:styleId="EnvelopeReturn">
    <w:name w:val="envelope return"/>
    <w:basedOn w:val="Normal"/>
    <w:rsid w:val="00EA0810"/>
    <w:rPr>
      <w:sz w:val="20"/>
      <w:lang w:bidi="ar-SA"/>
    </w:rPr>
  </w:style>
  <w:style w:type="character" w:styleId="HTMLAcronym">
    <w:name w:val="HTML Acronym"/>
    <w:basedOn w:val="DefaultParagraphFont"/>
    <w:rsid w:val="00EA0810"/>
  </w:style>
  <w:style w:type="paragraph" w:styleId="HTMLAddress">
    <w:name w:val="HTML Address"/>
    <w:basedOn w:val="Normal"/>
    <w:link w:val="HTMLAddressChar"/>
    <w:rsid w:val="00EA0810"/>
    <w:rPr>
      <w:i/>
      <w:iCs/>
      <w:lang w:bidi="ar-SA"/>
    </w:rPr>
  </w:style>
  <w:style w:type="character" w:customStyle="1" w:styleId="HTMLAddressChar">
    <w:name w:val="HTML Address Char"/>
    <w:basedOn w:val="DefaultParagraphFont"/>
    <w:link w:val="HTMLAddress"/>
    <w:rsid w:val="00EA0810"/>
    <w:rPr>
      <w:rFonts w:ascii="Arial" w:hAnsi="Arial" w:cs="Arial"/>
      <w:i/>
      <w:iCs/>
      <w:sz w:val="22"/>
      <w:lang w:bidi="ar-SA"/>
    </w:rPr>
  </w:style>
  <w:style w:type="character" w:styleId="HTMLCode">
    <w:name w:val="HTML Code"/>
    <w:rsid w:val="00EA0810"/>
    <w:rPr>
      <w:rFonts w:ascii="Courier New" w:hAnsi="Courier New" w:cs="Courier New"/>
      <w:sz w:val="20"/>
      <w:szCs w:val="20"/>
    </w:rPr>
  </w:style>
  <w:style w:type="character" w:styleId="HTMLDefinition">
    <w:name w:val="HTML Definition"/>
    <w:rsid w:val="00EA0810"/>
    <w:rPr>
      <w:i/>
      <w:iCs/>
    </w:rPr>
  </w:style>
  <w:style w:type="character" w:styleId="HTMLKeyboard">
    <w:name w:val="HTML Keyboard"/>
    <w:rsid w:val="00EA0810"/>
    <w:rPr>
      <w:rFonts w:ascii="Courier New" w:hAnsi="Courier New" w:cs="Courier New"/>
      <w:sz w:val="20"/>
      <w:szCs w:val="20"/>
    </w:rPr>
  </w:style>
  <w:style w:type="paragraph" w:styleId="HTMLPreformatted">
    <w:name w:val="HTML Preformatted"/>
    <w:basedOn w:val="Normal"/>
    <w:link w:val="HTMLPreformattedChar"/>
    <w:rsid w:val="00EA0810"/>
    <w:rPr>
      <w:rFonts w:ascii="Courier New" w:hAnsi="Courier New" w:cs="Courier New"/>
      <w:sz w:val="20"/>
      <w:lang w:bidi="ar-SA"/>
    </w:rPr>
  </w:style>
  <w:style w:type="character" w:customStyle="1" w:styleId="HTMLPreformattedChar">
    <w:name w:val="HTML Preformatted Char"/>
    <w:basedOn w:val="DefaultParagraphFont"/>
    <w:link w:val="HTMLPreformatted"/>
    <w:rsid w:val="00EA0810"/>
    <w:rPr>
      <w:rFonts w:ascii="Courier New" w:hAnsi="Courier New" w:cs="Courier New"/>
      <w:sz w:val="20"/>
      <w:lang w:bidi="ar-SA"/>
    </w:rPr>
  </w:style>
  <w:style w:type="character" w:styleId="HTMLSample">
    <w:name w:val="HTML Sample"/>
    <w:rsid w:val="00EA0810"/>
    <w:rPr>
      <w:rFonts w:ascii="Courier New" w:hAnsi="Courier New" w:cs="Courier New"/>
    </w:rPr>
  </w:style>
  <w:style w:type="character" w:styleId="HTMLTypewriter">
    <w:name w:val="HTML Typewriter"/>
    <w:rsid w:val="00EA0810"/>
    <w:rPr>
      <w:rFonts w:ascii="Courier New" w:hAnsi="Courier New" w:cs="Courier New"/>
      <w:sz w:val="20"/>
      <w:szCs w:val="20"/>
    </w:rPr>
  </w:style>
  <w:style w:type="character" w:styleId="HTMLVariable">
    <w:name w:val="HTML Variable"/>
    <w:rsid w:val="00EA0810"/>
    <w:rPr>
      <w:i/>
      <w:iCs/>
    </w:rPr>
  </w:style>
  <w:style w:type="character" w:styleId="LineNumber">
    <w:name w:val="line number"/>
    <w:basedOn w:val="DefaultParagraphFont"/>
    <w:rsid w:val="00EA0810"/>
  </w:style>
  <w:style w:type="paragraph" w:styleId="List">
    <w:name w:val="List"/>
    <w:basedOn w:val="Normal"/>
    <w:rsid w:val="00EA0810"/>
    <w:pPr>
      <w:ind w:left="283" w:hanging="283"/>
    </w:pPr>
    <w:rPr>
      <w:lang w:bidi="ar-SA"/>
    </w:rPr>
  </w:style>
  <w:style w:type="paragraph" w:styleId="List2">
    <w:name w:val="List 2"/>
    <w:basedOn w:val="Normal"/>
    <w:rsid w:val="00EA0810"/>
    <w:pPr>
      <w:ind w:left="566" w:hanging="283"/>
    </w:pPr>
    <w:rPr>
      <w:lang w:bidi="ar-SA"/>
    </w:rPr>
  </w:style>
  <w:style w:type="paragraph" w:styleId="List3">
    <w:name w:val="List 3"/>
    <w:basedOn w:val="Normal"/>
    <w:rsid w:val="00EA0810"/>
    <w:pPr>
      <w:ind w:left="849" w:hanging="283"/>
    </w:pPr>
    <w:rPr>
      <w:lang w:bidi="ar-SA"/>
    </w:rPr>
  </w:style>
  <w:style w:type="paragraph" w:styleId="List4">
    <w:name w:val="List 4"/>
    <w:basedOn w:val="Normal"/>
    <w:rsid w:val="00EA0810"/>
    <w:pPr>
      <w:ind w:left="1132" w:hanging="283"/>
    </w:pPr>
    <w:rPr>
      <w:lang w:bidi="ar-SA"/>
    </w:rPr>
  </w:style>
  <w:style w:type="paragraph" w:styleId="List5">
    <w:name w:val="List 5"/>
    <w:basedOn w:val="Normal"/>
    <w:rsid w:val="00EA0810"/>
    <w:pPr>
      <w:ind w:left="1415" w:hanging="283"/>
    </w:pPr>
    <w:rPr>
      <w:lang w:bidi="ar-SA"/>
    </w:rPr>
  </w:style>
  <w:style w:type="paragraph" w:styleId="ListBullet2">
    <w:name w:val="List Bullet 2"/>
    <w:basedOn w:val="Normal"/>
    <w:rsid w:val="00EA0810"/>
    <w:pPr>
      <w:tabs>
        <w:tab w:val="num" w:pos="643"/>
      </w:tabs>
      <w:ind w:left="643" w:hanging="360"/>
    </w:pPr>
    <w:rPr>
      <w:lang w:bidi="ar-SA"/>
    </w:rPr>
  </w:style>
  <w:style w:type="paragraph" w:styleId="ListBullet3">
    <w:name w:val="List Bullet 3"/>
    <w:basedOn w:val="Normal"/>
    <w:rsid w:val="00EA0810"/>
    <w:pPr>
      <w:tabs>
        <w:tab w:val="num" w:pos="926"/>
      </w:tabs>
      <w:ind w:left="926" w:hanging="360"/>
    </w:pPr>
    <w:rPr>
      <w:lang w:bidi="ar-SA"/>
    </w:rPr>
  </w:style>
  <w:style w:type="paragraph" w:styleId="ListBullet4">
    <w:name w:val="List Bullet 4"/>
    <w:basedOn w:val="Normal"/>
    <w:rsid w:val="00EA0810"/>
    <w:pPr>
      <w:tabs>
        <w:tab w:val="num" w:pos="1209"/>
      </w:tabs>
      <w:ind w:left="1209" w:hanging="360"/>
    </w:pPr>
    <w:rPr>
      <w:lang w:bidi="ar-SA"/>
    </w:rPr>
  </w:style>
  <w:style w:type="paragraph" w:styleId="ListBullet5">
    <w:name w:val="List Bullet 5"/>
    <w:basedOn w:val="Normal"/>
    <w:rsid w:val="00EA0810"/>
    <w:pPr>
      <w:tabs>
        <w:tab w:val="num" w:pos="1492"/>
      </w:tabs>
      <w:ind w:left="1492" w:hanging="360"/>
    </w:pPr>
    <w:rPr>
      <w:lang w:bidi="ar-SA"/>
    </w:rPr>
  </w:style>
  <w:style w:type="paragraph" w:styleId="ListContinue">
    <w:name w:val="List Continue"/>
    <w:basedOn w:val="Normal"/>
    <w:rsid w:val="00EA0810"/>
    <w:pPr>
      <w:spacing w:after="120"/>
      <w:ind w:left="283"/>
    </w:pPr>
    <w:rPr>
      <w:lang w:bidi="ar-SA"/>
    </w:rPr>
  </w:style>
  <w:style w:type="paragraph" w:styleId="ListContinue2">
    <w:name w:val="List Continue 2"/>
    <w:basedOn w:val="Normal"/>
    <w:rsid w:val="00EA0810"/>
    <w:pPr>
      <w:spacing w:after="120"/>
      <w:ind w:left="566"/>
    </w:pPr>
    <w:rPr>
      <w:lang w:bidi="ar-SA"/>
    </w:rPr>
  </w:style>
  <w:style w:type="paragraph" w:styleId="ListContinue3">
    <w:name w:val="List Continue 3"/>
    <w:basedOn w:val="Normal"/>
    <w:rsid w:val="00EA0810"/>
    <w:pPr>
      <w:spacing w:after="120"/>
      <w:ind w:left="849"/>
    </w:pPr>
    <w:rPr>
      <w:lang w:bidi="ar-SA"/>
    </w:rPr>
  </w:style>
  <w:style w:type="paragraph" w:styleId="ListContinue4">
    <w:name w:val="List Continue 4"/>
    <w:basedOn w:val="Normal"/>
    <w:rsid w:val="00EA0810"/>
    <w:pPr>
      <w:spacing w:after="120"/>
      <w:ind w:left="1132"/>
    </w:pPr>
    <w:rPr>
      <w:lang w:bidi="ar-SA"/>
    </w:rPr>
  </w:style>
  <w:style w:type="paragraph" w:styleId="ListContinue5">
    <w:name w:val="List Continue 5"/>
    <w:basedOn w:val="Normal"/>
    <w:rsid w:val="00EA0810"/>
    <w:pPr>
      <w:spacing w:after="120"/>
      <w:ind w:left="1415"/>
    </w:pPr>
    <w:rPr>
      <w:lang w:bidi="ar-SA"/>
    </w:rPr>
  </w:style>
  <w:style w:type="paragraph" w:styleId="ListNumber5">
    <w:name w:val="List Number 5"/>
    <w:basedOn w:val="Normal"/>
    <w:rsid w:val="00EA0810"/>
    <w:pPr>
      <w:tabs>
        <w:tab w:val="num" w:pos="1492"/>
      </w:tabs>
      <w:ind w:left="1492" w:hanging="360"/>
    </w:pPr>
    <w:rPr>
      <w:lang w:bidi="ar-SA"/>
    </w:rPr>
  </w:style>
  <w:style w:type="table" w:customStyle="1" w:styleId="MediumGrid31">
    <w:name w:val="Medium Grid 31"/>
    <w:basedOn w:val="TableNormal"/>
    <w:uiPriority w:val="60"/>
    <w:rsid w:val="00EA0810"/>
    <w:rPr>
      <w:rFonts w:ascii="Cambria" w:eastAsia="MS Mincho" w:hAnsi="Cambria"/>
      <w:color w:val="00000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MessageHeader">
    <w:name w:val="Message Header"/>
    <w:basedOn w:val="Normal"/>
    <w:link w:val="MessageHeaderChar"/>
    <w:rsid w:val="00EA0810"/>
    <w:pPr>
      <w:pBdr>
        <w:top w:val="single" w:sz="6" w:space="1" w:color="auto"/>
        <w:left w:val="single" w:sz="6" w:space="1" w:color="auto"/>
        <w:bottom w:val="single" w:sz="6" w:space="1" w:color="auto"/>
        <w:right w:val="single" w:sz="6" w:space="1" w:color="auto"/>
      </w:pBdr>
      <w:shd w:val="pct20" w:color="auto" w:fill="auto"/>
      <w:ind w:left="1134" w:hanging="1134"/>
    </w:pPr>
    <w:rPr>
      <w:lang w:bidi="ar-SA"/>
    </w:rPr>
  </w:style>
  <w:style w:type="character" w:customStyle="1" w:styleId="MessageHeaderChar">
    <w:name w:val="Message Header Char"/>
    <w:basedOn w:val="DefaultParagraphFont"/>
    <w:link w:val="MessageHeader"/>
    <w:rsid w:val="00EA0810"/>
    <w:rPr>
      <w:rFonts w:ascii="Arial" w:hAnsi="Arial" w:cs="Arial"/>
      <w:sz w:val="22"/>
      <w:shd w:val="pct20" w:color="auto" w:fill="auto"/>
      <w:lang w:bidi="ar-SA"/>
    </w:rPr>
  </w:style>
  <w:style w:type="paragraph" w:styleId="NormalIndent">
    <w:name w:val="Normal Indent"/>
    <w:basedOn w:val="Normal"/>
    <w:rsid w:val="00EA0810"/>
    <w:pPr>
      <w:ind w:left="720"/>
    </w:pPr>
    <w:rPr>
      <w:lang w:bidi="ar-SA"/>
    </w:rPr>
  </w:style>
  <w:style w:type="paragraph" w:styleId="NoteHeading">
    <w:name w:val="Note Heading"/>
    <w:basedOn w:val="Normal"/>
    <w:next w:val="Normal"/>
    <w:link w:val="NoteHeadingChar"/>
    <w:rsid w:val="00EA0810"/>
    <w:rPr>
      <w:lang w:bidi="ar-SA"/>
    </w:rPr>
  </w:style>
  <w:style w:type="character" w:customStyle="1" w:styleId="NoteHeadingChar">
    <w:name w:val="Note Heading Char"/>
    <w:basedOn w:val="DefaultParagraphFont"/>
    <w:link w:val="NoteHeading"/>
    <w:rsid w:val="00EA0810"/>
    <w:rPr>
      <w:rFonts w:ascii="Arial" w:hAnsi="Arial" w:cs="Arial"/>
      <w:sz w:val="22"/>
      <w:lang w:bidi="ar-SA"/>
    </w:rPr>
  </w:style>
  <w:style w:type="character" w:styleId="PlaceholderText">
    <w:name w:val="Placeholder Text"/>
    <w:basedOn w:val="DefaultParagraphFont"/>
    <w:uiPriority w:val="99"/>
    <w:semiHidden/>
    <w:rsid w:val="00EA0810"/>
    <w:rPr>
      <w:color w:val="808080"/>
    </w:rPr>
  </w:style>
  <w:style w:type="table" w:customStyle="1" w:styleId="Quote1">
    <w:name w:val="Quote1"/>
    <w:basedOn w:val="TableNormal"/>
    <w:uiPriority w:val="29"/>
    <w:qFormat/>
    <w:rsid w:val="00EA0810"/>
    <w:rPr>
      <w:color w:val="000000"/>
      <w:lang w:bidi="ar-SA"/>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numbering" w:customStyle="1" w:styleId="StyleBulleted">
    <w:name w:val="Style Bulleted"/>
    <w:basedOn w:val="NoList"/>
    <w:rsid w:val="00EA0810"/>
    <w:pPr>
      <w:numPr>
        <w:numId w:val="10"/>
      </w:numPr>
    </w:pPr>
  </w:style>
  <w:style w:type="table" w:styleId="Table3Deffects1">
    <w:name w:val="Table 3D effects 1"/>
    <w:basedOn w:val="TableNormal"/>
    <w:rsid w:val="00EA0810"/>
    <w:rPr>
      <w:rFonts w:ascii="Calibri" w:eastAsia="Calibri" w:hAnsi="Calibri"/>
      <w:lang w:bidi="ar-S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A0810"/>
    <w:rPr>
      <w:rFonts w:ascii="Calibri" w:eastAsia="Calibri" w:hAnsi="Calibri"/>
      <w:lang w:bidi="ar-S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A0810"/>
    <w:rPr>
      <w:rFonts w:ascii="Calibri" w:eastAsia="Calibri" w:hAnsi="Calibri"/>
      <w:lang w:bidi="ar-S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A0810"/>
    <w:rPr>
      <w:rFonts w:ascii="Calibri" w:eastAsia="Calibri" w:hAnsi="Calibri"/>
      <w:lang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A0810"/>
    <w:rPr>
      <w:rFonts w:ascii="Calibri" w:eastAsia="Calibri" w:hAnsi="Calibri"/>
      <w:lang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A0810"/>
    <w:rPr>
      <w:rFonts w:ascii="Calibri" w:eastAsia="Calibri" w:hAnsi="Calibri"/>
      <w:color w:val="000080"/>
      <w:lang w:bidi="ar-S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A0810"/>
    <w:rPr>
      <w:rFonts w:ascii="Calibri" w:eastAsia="Calibri" w:hAnsi="Calibri"/>
      <w:lang w:bidi="ar-S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A0810"/>
    <w:rPr>
      <w:rFonts w:ascii="Calibri" w:eastAsia="Calibri" w:hAnsi="Calibri"/>
      <w:color w:val="FFFFFF"/>
      <w:lang w:bidi="ar-SA"/>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A0810"/>
    <w:rPr>
      <w:rFonts w:ascii="Calibri" w:eastAsia="Calibri" w:hAnsi="Calibri"/>
      <w:lang w:bidi="ar-S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A0810"/>
    <w:rPr>
      <w:rFonts w:ascii="Calibri" w:eastAsia="Calibri" w:hAnsi="Calibri"/>
      <w:lang w:bidi="ar-S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A0810"/>
    <w:rPr>
      <w:rFonts w:ascii="Calibri" w:eastAsia="Calibri" w:hAnsi="Calibri"/>
      <w:b/>
      <w:bCs/>
      <w:lang w:bidi="ar-S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A0810"/>
    <w:rPr>
      <w:rFonts w:ascii="Calibri" w:eastAsia="Calibri" w:hAnsi="Calibri"/>
      <w:b/>
      <w:bCs/>
      <w:lang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A0810"/>
    <w:rPr>
      <w:rFonts w:ascii="Calibri" w:eastAsia="Calibri" w:hAnsi="Calibri"/>
      <w:b/>
      <w:bCs/>
      <w:lang w:bidi="ar-S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A0810"/>
    <w:rPr>
      <w:rFonts w:ascii="Calibri" w:eastAsia="Calibri" w:hAnsi="Calibri"/>
      <w:lang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A0810"/>
    <w:rPr>
      <w:rFonts w:ascii="Calibri" w:eastAsia="Calibri" w:hAnsi="Calibri"/>
      <w:lang w:bidi="ar-S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A0810"/>
    <w:rPr>
      <w:rFonts w:ascii="Calibri" w:eastAsia="Calibri" w:hAnsi="Calibri"/>
      <w:lang w:bidi="ar-S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A0810"/>
    <w:rPr>
      <w:rFonts w:ascii="Calibri" w:eastAsia="Calibri" w:hAnsi="Calibri"/>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EA0810"/>
    <w:rPr>
      <w:rFonts w:ascii="Calibri" w:eastAsia="Calibri" w:hAnsi="Calibri"/>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A0810"/>
    <w:rPr>
      <w:rFonts w:ascii="Calibri" w:eastAsia="Calibri" w:hAnsi="Calibri"/>
      <w:lang w:bidi="ar-SA"/>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A0810"/>
    <w:rPr>
      <w:rFonts w:ascii="Calibri" w:eastAsia="Calibri" w:hAnsi="Calibri"/>
      <w:lang w:bidi="ar-S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A0810"/>
    <w:rPr>
      <w:rFonts w:ascii="Calibri" w:eastAsia="Calibri" w:hAnsi="Calibri"/>
      <w:lang w:bidi="ar-SA"/>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A0810"/>
    <w:rPr>
      <w:rFonts w:ascii="Calibri" w:eastAsia="Calibri" w:hAnsi="Calibri"/>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A0810"/>
    <w:rPr>
      <w:rFonts w:ascii="Calibri" w:eastAsia="Calibri" w:hAnsi="Calibri"/>
      <w:lang w:bidi="ar-SA"/>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A0810"/>
    <w:rPr>
      <w:rFonts w:ascii="Calibri" w:eastAsia="Calibri" w:hAnsi="Calibri"/>
      <w:b/>
      <w:bCs/>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A0810"/>
    <w:rPr>
      <w:rFonts w:ascii="Calibri" w:eastAsia="Calibri" w:hAnsi="Calibri"/>
      <w:lang w:bidi="ar-S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A0810"/>
    <w:rPr>
      <w:rFonts w:ascii="Calibri" w:eastAsia="Calibri" w:hAnsi="Calibri"/>
      <w:lang w:bidi="ar-S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A0810"/>
    <w:rPr>
      <w:rFonts w:ascii="Calibri" w:eastAsia="Calibri" w:hAnsi="Calibri"/>
      <w:lang w:bidi="ar-S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A0810"/>
    <w:rPr>
      <w:rFonts w:ascii="Calibri" w:eastAsia="Calibri" w:hAnsi="Calibri"/>
      <w:lang w:bidi="ar-SA"/>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A0810"/>
    <w:rPr>
      <w:rFonts w:ascii="Calibri" w:eastAsia="Calibri" w:hAnsi="Calibri"/>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A0810"/>
    <w:rPr>
      <w:rFonts w:ascii="Calibri" w:eastAsia="Calibri" w:hAnsi="Calibri"/>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A0810"/>
    <w:rPr>
      <w:rFonts w:ascii="Calibri" w:eastAsia="Calibri" w:hAnsi="Calibri"/>
      <w:lang w:bidi="ar-S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A0810"/>
    <w:rPr>
      <w:rFonts w:ascii="Calibri" w:eastAsia="Calibri" w:hAnsi="Calibri"/>
      <w:lang w:bidi="ar-SA"/>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A0810"/>
    <w:rPr>
      <w:rFonts w:ascii="Calibri" w:eastAsia="Calibri" w:hAnsi="Calibri"/>
      <w:lang w:bidi="ar-S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A0810"/>
    <w:rPr>
      <w:rFonts w:ascii="Calibri" w:eastAsia="Calibri" w:hAnsi="Calibri"/>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A0810"/>
    <w:rPr>
      <w:rFonts w:ascii="Calibri" w:eastAsia="Calibri" w:hAnsi="Calibri"/>
      <w:lang w:bidi="ar-S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A0810"/>
    <w:rPr>
      <w:rFonts w:ascii="Calibri" w:eastAsia="Calibri" w:hAnsi="Calibri"/>
      <w:lang w:bidi="ar-S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A0810"/>
    <w:rPr>
      <w:rFonts w:ascii="Calibri" w:eastAsia="Calibri" w:hAnsi="Calibri"/>
      <w:lang w:bidi="ar-S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A0810"/>
    <w:rPr>
      <w:rFonts w:ascii="Calibri" w:eastAsia="Calibri" w:hAnsi="Calibri"/>
      <w:lang w:bidi="ar-S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A0810"/>
    <w:rPr>
      <w:rFonts w:ascii="Calibri" w:eastAsia="Calibri" w:hAnsi="Calibri"/>
      <w:lang w:bidi="ar-S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A0810"/>
    <w:rPr>
      <w:rFonts w:ascii="Calibri" w:eastAsia="Calibri" w:hAnsi="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A0810"/>
    <w:rPr>
      <w:rFonts w:ascii="Calibri" w:eastAsia="Calibri" w:hAnsi="Calibri"/>
      <w:lang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A0810"/>
    <w:rPr>
      <w:rFonts w:ascii="Calibri" w:eastAsia="Calibri" w:hAnsi="Calibri"/>
      <w:lang w:bidi="ar-S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A0810"/>
    <w:rPr>
      <w:rFonts w:ascii="Calibri" w:eastAsia="Calibri" w:hAnsi="Calibri"/>
      <w:lang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Before12ptAfter12ptLinespacing15lines">
    <w:name w:val="Style Before:  12 pt After:  12 pt Line spacing:  1.5 lines"/>
    <w:basedOn w:val="Normal"/>
    <w:rsid w:val="00B82C96"/>
    <w:pPr>
      <w:widowControl w:val="0"/>
      <w:spacing w:before="240" w:after="240" w:line="360" w:lineRule="auto"/>
      <w:ind w:left="360"/>
    </w:pPr>
    <w:rPr>
      <w:rFonts w:eastAsia="SimSun" w:cs="Times New Roman"/>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6" w:uiPriority="39"/>
    <w:lsdException w:name="footnote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Title" w:qFormat="1"/>
    <w:lsdException w:name="Body Text" w:qFormat="1"/>
    <w:lsdException w:name="Subtitle" w:qFormat="1"/>
    <w:lsdException w:name="Hyperlink" w:uiPriority="99"/>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3942"/>
    <w:rPr>
      <w:rFonts w:ascii="Arial" w:hAnsi="Arial" w:cs="Arial"/>
      <w:sz w:val="22"/>
    </w:rPr>
  </w:style>
  <w:style w:type="paragraph" w:styleId="Heading1">
    <w:name w:val="heading 1"/>
    <w:basedOn w:val="Normal"/>
    <w:next w:val="Normal"/>
    <w:link w:val="Heading1Char"/>
    <w:qFormat/>
    <w:rsid w:val="00EA0810"/>
    <w:pPr>
      <w:keepNext/>
      <w:keepLines/>
      <w:ind w:left="432" w:hanging="432"/>
      <w:outlineLvl w:val="0"/>
    </w:pPr>
    <w:rPr>
      <w:rFonts w:eastAsiaTheme="majorEastAsia"/>
      <w:b/>
      <w:bCs/>
      <w:i/>
      <w:szCs w:val="22"/>
      <w:lang w:bidi="ar-SA"/>
    </w:rPr>
  </w:style>
  <w:style w:type="paragraph" w:styleId="Heading2">
    <w:name w:val="heading 2"/>
    <w:basedOn w:val="Normal"/>
    <w:next w:val="Normal"/>
    <w:link w:val="Heading2Char"/>
    <w:qFormat/>
    <w:rsid w:val="00525CD5"/>
    <w:pPr>
      <w:keepNext/>
      <w:keepLines/>
      <w:ind w:left="576" w:hanging="576"/>
      <w:outlineLvl w:val="1"/>
    </w:pPr>
    <w:rPr>
      <w:rFonts w:eastAsia="Calibri"/>
      <w:bCs/>
      <w:i/>
      <w:szCs w:val="26"/>
    </w:rPr>
  </w:style>
  <w:style w:type="paragraph" w:styleId="Heading3">
    <w:name w:val="heading 3"/>
    <w:basedOn w:val="Normal"/>
    <w:next w:val="Normal"/>
    <w:link w:val="Heading3Char"/>
    <w:qFormat/>
    <w:rsid w:val="00830176"/>
    <w:pPr>
      <w:keepNext/>
      <w:keepLines/>
      <w:numPr>
        <w:ilvl w:val="2"/>
        <w:numId w:val="1"/>
      </w:numPr>
      <w:outlineLvl w:val="2"/>
    </w:pPr>
    <w:rPr>
      <w:rFonts w:eastAsiaTheme="majorEastAsia" w:cstheme="majorBidi"/>
      <w:bCs/>
      <w:i/>
    </w:rPr>
  </w:style>
  <w:style w:type="paragraph" w:styleId="Heading4">
    <w:name w:val="heading 4"/>
    <w:basedOn w:val="Normal"/>
    <w:next w:val="Normal"/>
    <w:link w:val="Heading4Char"/>
    <w:qFormat/>
    <w:rsid w:val="00830176"/>
    <w:pPr>
      <w:keepNext/>
      <w:numPr>
        <w:ilvl w:val="3"/>
        <w:numId w:val="1"/>
      </w:numPr>
      <w:outlineLvl w:val="3"/>
    </w:pPr>
    <w:rPr>
      <w:bCs/>
      <w:i/>
      <w:szCs w:val="28"/>
    </w:rPr>
  </w:style>
  <w:style w:type="paragraph" w:styleId="Heading5">
    <w:name w:val="heading 5"/>
    <w:basedOn w:val="Normal"/>
    <w:next w:val="Normal"/>
    <w:link w:val="Heading5Char"/>
    <w:autoRedefine/>
    <w:qFormat/>
    <w:rsid w:val="007D21B4"/>
    <w:pPr>
      <w:numPr>
        <w:ilvl w:val="4"/>
        <w:numId w:val="1"/>
      </w:numPr>
      <w:spacing w:before="120"/>
      <w:outlineLvl w:val="4"/>
    </w:pPr>
    <w:rPr>
      <w:i/>
      <w:iCs/>
    </w:rPr>
  </w:style>
  <w:style w:type="paragraph" w:styleId="Heading6">
    <w:name w:val="heading 6"/>
    <w:basedOn w:val="Normal"/>
    <w:next w:val="Normal"/>
    <w:link w:val="Heading6Char"/>
    <w:uiPriority w:val="9"/>
    <w:unhideWhenUsed/>
    <w:qFormat/>
    <w:rsid w:val="00FD5303"/>
    <w:pPr>
      <w:keepNext/>
      <w:keepLines/>
      <w:numPr>
        <w:ilvl w:val="5"/>
        <w:numId w:val="1"/>
      </w:numPr>
      <w:spacing w:before="200"/>
      <w:outlineLvl w:val="5"/>
    </w:pPr>
    <w:rPr>
      <w:rFonts w:asciiTheme="majorHAnsi" w:eastAsiaTheme="majorEastAsia" w:hAnsiTheme="majorHAnsi" w:cs="Angsana New"/>
      <w:i/>
      <w:iCs/>
      <w:color w:val="243F60" w:themeColor="accent1" w:themeShade="7F"/>
      <w:szCs w:val="30"/>
    </w:rPr>
  </w:style>
  <w:style w:type="paragraph" w:styleId="Heading7">
    <w:name w:val="heading 7"/>
    <w:basedOn w:val="Normal"/>
    <w:next w:val="Normal"/>
    <w:link w:val="Heading7Char"/>
    <w:uiPriority w:val="9"/>
    <w:unhideWhenUsed/>
    <w:qFormat/>
    <w:rsid w:val="00FD5303"/>
    <w:pPr>
      <w:keepNext/>
      <w:keepLines/>
      <w:numPr>
        <w:ilvl w:val="6"/>
        <w:numId w:val="1"/>
      </w:numPr>
      <w:spacing w:before="200"/>
      <w:outlineLvl w:val="6"/>
    </w:pPr>
    <w:rPr>
      <w:rFonts w:asciiTheme="majorHAnsi" w:eastAsiaTheme="majorEastAsia" w:hAnsiTheme="majorHAnsi" w:cs="Angsana New"/>
      <w:i/>
      <w:iCs/>
      <w:color w:val="404040" w:themeColor="text1" w:themeTint="BF"/>
      <w:szCs w:val="30"/>
    </w:rPr>
  </w:style>
  <w:style w:type="paragraph" w:styleId="Heading8">
    <w:name w:val="heading 8"/>
    <w:basedOn w:val="Normal"/>
    <w:next w:val="Normal"/>
    <w:link w:val="Heading8Char"/>
    <w:uiPriority w:val="9"/>
    <w:unhideWhenUsed/>
    <w:qFormat/>
    <w:rsid w:val="00FD5303"/>
    <w:pPr>
      <w:keepNext/>
      <w:keepLines/>
      <w:numPr>
        <w:ilvl w:val="7"/>
        <w:numId w:val="1"/>
      </w:numPr>
      <w:spacing w:before="200"/>
      <w:outlineLvl w:val="7"/>
    </w:pPr>
    <w:rPr>
      <w:rFonts w:asciiTheme="majorHAnsi" w:eastAsiaTheme="majorEastAsia" w:hAnsiTheme="majorHAnsi" w:cs="Angsana New"/>
      <w:color w:val="404040" w:themeColor="text1" w:themeTint="BF"/>
      <w:sz w:val="20"/>
      <w:szCs w:val="25"/>
    </w:rPr>
  </w:style>
  <w:style w:type="paragraph" w:styleId="Heading9">
    <w:name w:val="heading 9"/>
    <w:basedOn w:val="Normal"/>
    <w:next w:val="Normal"/>
    <w:link w:val="Heading9Char"/>
    <w:uiPriority w:val="9"/>
    <w:unhideWhenUsed/>
    <w:qFormat/>
    <w:rsid w:val="00FD5303"/>
    <w:pPr>
      <w:keepNext/>
      <w:keepLines/>
      <w:numPr>
        <w:ilvl w:val="8"/>
        <w:numId w:val="1"/>
      </w:numPr>
      <w:spacing w:before="200"/>
      <w:outlineLvl w:val="8"/>
    </w:pPr>
    <w:rPr>
      <w:rFonts w:asciiTheme="majorHAnsi" w:eastAsiaTheme="majorEastAsia" w:hAnsiTheme="majorHAnsi" w:cs="Angsana New"/>
      <w:i/>
      <w:iCs/>
      <w:color w:val="404040" w:themeColor="text1" w:themeTint="BF"/>
      <w:sz w:val="20"/>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D5303"/>
    <w:rPr>
      <w:rFonts w:asciiTheme="majorHAnsi" w:eastAsiaTheme="majorEastAsia" w:hAnsiTheme="majorHAnsi" w:cs="Angsana New"/>
      <w:i/>
      <w:iCs/>
      <w:color w:val="243F60" w:themeColor="accent1" w:themeShade="7F"/>
      <w:sz w:val="22"/>
      <w:szCs w:val="30"/>
    </w:rPr>
  </w:style>
  <w:style w:type="character" w:customStyle="1" w:styleId="Heading7Char">
    <w:name w:val="Heading 7 Char"/>
    <w:basedOn w:val="DefaultParagraphFont"/>
    <w:link w:val="Heading7"/>
    <w:uiPriority w:val="9"/>
    <w:rsid w:val="00FD5303"/>
    <w:rPr>
      <w:rFonts w:asciiTheme="majorHAnsi" w:eastAsiaTheme="majorEastAsia" w:hAnsiTheme="majorHAnsi" w:cs="Angsana New"/>
      <w:i/>
      <w:iCs/>
      <w:color w:val="404040" w:themeColor="text1" w:themeTint="BF"/>
      <w:sz w:val="22"/>
      <w:szCs w:val="30"/>
    </w:rPr>
  </w:style>
  <w:style w:type="character" w:customStyle="1" w:styleId="Heading8Char">
    <w:name w:val="Heading 8 Char"/>
    <w:basedOn w:val="DefaultParagraphFont"/>
    <w:link w:val="Heading8"/>
    <w:uiPriority w:val="9"/>
    <w:rsid w:val="00FD5303"/>
    <w:rPr>
      <w:rFonts w:asciiTheme="majorHAnsi" w:eastAsiaTheme="majorEastAsia" w:hAnsiTheme="majorHAnsi" w:cs="Angsana New"/>
      <w:color w:val="404040" w:themeColor="text1" w:themeTint="BF"/>
      <w:sz w:val="20"/>
      <w:szCs w:val="25"/>
    </w:rPr>
  </w:style>
  <w:style w:type="character" w:customStyle="1" w:styleId="Heading9Char">
    <w:name w:val="Heading 9 Char"/>
    <w:basedOn w:val="DefaultParagraphFont"/>
    <w:link w:val="Heading9"/>
    <w:uiPriority w:val="9"/>
    <w:rsid w:val="00FD5303"/>
    <w:rPr>
      <w:rFonts w:asciiTheme="majorHAnsi" w:eastAsiaTheme="majorEastAsia" w:hAnsiTheme="majorHAnsi" w:cs="Angsana New"/>
      <w:i/>
      <w:iCs/>
      <w:color w:val="404040" w:themeColor="text1" w:themeTint="BF"/>
      <w:sz w:val="20"/>
      <w:szCs w:val="25"/>
    </w:rPr>
  </w:style>
  <w:style w:type="character" w:styleId="FootnoteReference">
    <w:name w:val="footnote reference"/>
    <w:basedOn w:val="DefaultParagraphFont"/>
    <w:uiPriority w:val="99"/>
    <w:rsid w:val="00C670CF"/>
    <w:rPr>
      <w:rFonts w:ascii="Arial" w:hAnsi="Arial"/>
      <w:sz w:val="22"/>
      <w:vertAlign w:val="superscript"/>
      <w:lang w:bidi="th-TH"/>
    </w:rPr>
  </w:style>
  <w:style w:type="paragraph" w:customStyle="1" w:styleId="source">
    <w:name w:val="source"/>
    <w:basedOn w:val="Normal"/>
    <w:link w:val="sourceChar"/>
    <w:qFormat/>
    <w:rsid w:val="006E1784"/>
    <w:rPr>
      <w:sz w:val="18"/>
      <w:szCs w:val="18"/>
    </w:rPr>
  </w:style>
  <w:style w:type="character" w:customStyle="1" w:styleId="sourceChar">
    <w:name w:val="source Char"/>
    <w:basedOn w:val="DefaultParagraphFont"/>
    <w:link w:val="source"/>
    <w:rsid w:val="006E1784"/>
    <w:rPr>
      <w:rFonts w:ascii="Times New Roman" w:hAnsi="Times New Roman" w:cs="Times New Roman"/>
      <w:sz w:val="18"/>
      <w:szCs w:val="18"/>
    </w:rPr>
  </w:style>
  <w:style w:type="paragraph" w:customStyle="1" w:styleId="formattable">
    <w:name w:val="format_table"/>
    <w:basedOn w:val="Normal"/>
    <w:qFormat/>
    <w:rsid w:val="006E1784"/>
    <w:rPr>
      <w:sz w:val="20"/>
      <w:szCs w:val="20"/>
    </w:rPr>
  </w:style>
  <w:style w:type="paragraph" w:customStyle="1" w:styleId="Tablename">
    <w:name w:val="Table_name"/>
    <w:basedOn w:val="Normal"/>
    <w:link w:val="TablenameChar"/>
    <w:qFormat/>
    <w:rsid w:val="004E548F"/>
    <w:rPr>
      <w:b/>
      <w:bCs/>
    </w:rPr>
  </w:style>
  <w:style w:type="character" w:customStyle="1" w:styleId="TablenameChar">
    <w:name w:val="Table_name Char"/>
    <w:basedOn w:val="DefaultParagraphFont"/>
    <w:link w:val="Tablename"/>
    <w:rsid w:val="006E1784"/>
    <w:rPr>
      <w:rFonts w:ascii="Times New Roman" w:hAnsi="Times New Roman" w:cs="Times New Roman"/>
      <w:b/>
      <w:bCs/>
      <w:sz w:val="24"/>
      <w:szCs w:val="24"/>
    </w:rPr>
  </w:style>
  <w:style w:type="paragraph" w:styleId="ListBullet">
    <w:name w:val="List Bullet"/>
    <w:basedOn w:val="Normal"/>
    <w:autoRedefine/>
    <w:rsid w:val="007D21B4"/>
    <w:pPr>
      <w:tabs>
        <w:tab w:val="num" w:pos="1080"/>
      </w:tabs>
    </w:pPr>
  </w:style>
  <w:style w:type="paragraph" w:styleId="ListNumber2">
    <w:name w:val="List Number 2"/>
    <w:basedOn w:val="Normal"/>
    <w:rsid w:val="007D21B4"/>
    <w:pPr>
      <w:tabs>
        <w:tab w:val="num" w:pos="1080"/>
      </w:tabs>
    </w:pPr>
  </w:style>
  <w:style w:type="paragraph" w:styleId="ListNumber3">
    <w:name w:val="List Number 3"/>
    <w:basedOn w:val="Normal"/>
    <w:rsid w:val="007D21B4"/>
    <w:pPr>
      <w:tabs>
        <w:tab w:val="num" w:pos="1080"/>
      </w:tabs>
    </w:pPr>
  </w:style>
  <w:style w:type="paragraph" w:styleId="ListNumber4">
    <w:name w:val="List Number 4"/>
    <w:basedOn w:val="Normal"/>
    <w:rsid w:val="007D21B4"/>
    <w:pPr>
      <w:tabs>
        <w:tab w:val="num" w:pos="1080"/>
      </w:tabs>
    </w:pPr>
  </w:style>
  <w:style w:type="paragraph" w:customStyle="1" w:styleId="Figurename">
    <w:name w:val="Figure_name"/>
    <w:basedOn w:val="Normal"/>
    <w:rsid w:val="006E2F38"/>
    <w:pPr>
      <w:jc w:val="center"/>
    </w:pPr>
    <w:rPr>
      <w:b/>
      <w:bCs/>
    </w:rPr>
  </w:style>
  <w:style w:type="paragraph" w:styleId="Footer">
    <w:name w:val="footer"/>
    <w:basedOn w:val="Normal"/>
    <w:link w:val="FooterChar"/>
    <w:uiPriority w:val="99"/>
    <w:rsid w:val="007D21B4"/>
    <w:pPr>
      <w:tabs>
        <w:tab w:val="center" w:pos="4153"/>
        <w:tab w:val="right" w:pos="8306"/>
      </w:tabs>
    </w:pPr>
    <w:rPr>
      <w:sz w:val="32"/>
      <w:szCs w:val="32"/>
    </w:rPr>
  </w:style>
  <w:style w:type="character" w:customStyle="1" w:styleId="FooterChar">
    <w:name w:val="Footer Char"/>
    <w:basedOn w:val="DefaultParagraphFont"/>
    <w:link w:val="Footer"/>
    <w:uiPriority w:val="99"/>
    <w:rsid w:val="00C73521"/>
    <w:rPr>
      <w:rFonts w:ascii="Times New Roman" w:hAnsi="Times New Roman" w:cs="Times New Roman"/>
      <w:sz w:val="32"/>
      <w:szCs w:val="32"/>
    </w:rPr>
  </w:style>
  <w:style w:type="paragraph" w:styleId="FootnoteText">
    <w:name w:val="footnote text"/>
    <w:aliases w:val="Footnote ak"/>
    <w:basedOn w:val="Normal"/>
    <w:link w:val="FootnoteTextChar"/>
    <w:uiPriority w:val="99"/>
    <w:rsid w:val="001E3942"/>
    <w:rPr>
      <w:sz w:val="18"/>
    </w:rPr>
  </w:style>
  <w:style w:type="character" w:customStyle="1" w:styleId="FootnoteTextChar">
    <w:name w:val="Footnote Text Char"/>
    <w:aliases w:val="Footnote ak Char"/>
    <w:basedOn w:val="DefaultParagraphFont"/>
    <w:link w:val="FootnoteText"/>
    <w:uiPriority w:val="99"/>
    <w:rsid w:val="001E3942"/>
    <w:rPr>
      <w:rFonts w:ascii="Arial" w:hAnsi="Arial" w:cs="Arial"/>
      <w:sz w:val="18"/>
    </w:rPr>
  </w:style>
  <w:style w:type="character" w:styleId="PageNumber">
    <w:name w:val="page number"/>
    <w:basedOn w:val="DefaultParagraphFont"/>
    <w:rsid w:val="007D21B4"/>
  </w:style>
  <w:style w:type="paragraph" w:styleId="Header">
    <w:name w:val="header"/>
    <w:basedOn w:val="Normal"/>
    <w:link w:val="HeaderChar"/>
    <w:uiPriority w:val="99"/>
    <w:rsid w:val="007D21B4"/>
    <w:pPr>
      <w:tabs>
        <w:tab w:val="center" w:pos="4153"/>
        <w:tab w:val="right" w:pos="8306"/>
      </w:tabs>
    </w:pPr>
  </w:style>
  <w:style w:type="paragraph" w:customStyle="1" w:styleId="a">
    <w:name w:val="เชิงอัต"/>
    <w:basedOn w:val="Normal"/>
    <w:autoRedefine/>
    <w:rsid w:val="00F50EE0"/>
  </w:style>
  <w:style w:type="character" w:customStyle="1" w:styleId="BalloonTextChar">
    <w:name w:val="Balloon Text Char"/>
    <w:basedOn w:val="DefaultParagraphFont"/>
    <w:link w:val="BalloonText"/>
    <w:uiPriority w:val="99"/>
    <w:rsid w:val="006E1784"/>
    <w:rPr>
      <w:rFonts w:ascii="Tahoma" w:eastAsiaTheme="minorHAnsi" w:hAnsi="Tahoma"/>
      <w:sz w:val="16"/>
    </w:rPr>
  </w:style>
  <w:style w:type="paragraph" w:styleId="BalloonText">
    <w:name w:val="Balloon Text"/>
    <w:basedOn w:val="Normal"/>
    <w:link w:val="BalloonTextChar"/>
    <w:uiPriority w:val="99"/>
    <w:unhideWhenUsed/>
    <w:rsid w:val="006E1784"/>
    <w:rPr>
      <w:rFonts w:ascii="Tahoma" w:eastAsiaTheme="minorHAnsi" w:hAnsi="Tahoma" w:cs="Angsana New"/>
      <w:sz w:val="16"/>
      <w:szCs w:val="20"/>
    </w:rPr>
  </w:style>
  <w:style w:type="paragraph" w:customStyle="1" w:styleId="Styleformattable12pt">
    <w:name w:val="Style format_table + 12 pt"/>
    <w:basedOn w:val="formattable"/>
    <w:qFormat/>
    <w:rsid w:val="006E1784"/>
  </w:style>
  <w:style w:type="character" w:customStyle="1" w:styleId="hps">
    <w:name w:val="hps"/>
    <w:basedOn w:val="DefaultParagraphFont"/>
    <w:rsid w:val="006E1784"/>
  </w:style>
  <w:style w:type="character" w:customStyle="1" w:styleId="shorttext">
    <w:name w:val="short_text"/>
    <w:basedOn w:val="DefaultParagraphFont"/>
    <w:rsid w:val="006E1784"/>
  </w:style>
  <w:style w:type="table" w:styleId="TableGrid">
    <w:name w:val="Table Grid"/>
    <w:basedOn w:val="TableNormal"/>
    <w:uiPriority w:val="59"/>
    <w:rsid w:val="00686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70CF"/>
    <w:pPr>
      <w:ind w:left="720"/>
      <w:contextualSpacing/>
    </w:pPr>
    <w:rPr>
      <w:rFonts w:eastAsiaTheme="minorHAnsi" w:cstheme="minorBidi"/>
      <w:szCs w:val="28"/>
    </w:rPr>
  </w:style>
  <w:style w:type="character" w:styleId="Hyperlink">
    <w:name w:val="Hyperlink"/>
    <w:basedOn w:val="DefaultParagraphFont"/>
    <w:uiPriority w:val="99"/>
    <w:unhideWhenUsed/>
    <w:rsid w:val="003D53CA"/>
    <w:rPr>
      <w:color w:val="0000FF"/>
      <w:u w:val="single"/>
    </w:rPr>
  </w:style>
  <w:style w:type="character" w:customStyle="1" w:styleId="Title1">
    <w:name w:val="Title1"/>
    <w:basedOn w:val="DefaultParagraphFont"/>
    <w:rsid w:val="00A007CD"/>
  </w:style>
  <w:style w:type="character" w:styleId="CommentReference">
    <w:name w:val="annotation reference"/>
    <w:basedOn w:val="DefaultParagraphFont"/>
    <w:rsid w:val="001E0F9C"/>
    <w:rPr>
      <w:sz w:val="16"/>
      <w:szCs w:val="18"/>
    </w:rPr>
  </w:style>
  <w:style w:type="paragraph" w:styleId="CommentText">
    <w:name w:val="annotation text"/>
    <w:basedOn w:val="Normal"/>
    <w:link w:val="CommentTextChar"/>
    <w:rsid w:val="001E0F9C"/>
    <w:rPr>
      <w:rFonts w:cs="Angsana New"/>
      <w:sz w:val="20"/>
      <w:szCs w:val="25"/>
    </w:rPr>
  </w:style>
  <w:style w:type="character" w:customStyle="1" w:styleId="CommentTextChar">
    <w:name w:val="Comment Text Char"/>
    <w:basedOn w:val="DefaultParagraphFont"/>
    <w:link w:val="CommentText"/>
    <w:rsid w:val="001E0F9C"/>
    <w:rPr>
      <w:rFonts w:ascii="Times New Roman" w:hAnsi="Times New Roman"/>
      <w:szCs w:val="25"/>
    </w:rPr>
  </w:style>
  <w:style w:type="paragraph" w:styleId="CommentSubject">
    <w:name w:val="annotation subject"/>
    <w:basedOn w:val="CommentText"/>
    <w:next w:val="CommentText"/>
    <w:link w:val="CommentSubjectChar"/>
    <w:rsid w:val="001E0F9C"/>
    <w:rPr>
      <w:b/>
      <w:bCs/>
    </w:rPr>
  </w:style>
  <w:style w:type="character" w:customStyle="1" w:styleId="CommentSubjectChar">
    <w:name w:val="Comment Subject Char"/>
    <w:basedOn w:val="CommentTextChar"/>
    <w:link w:val="CommentSubject"/>
    <w:rsid w:val="001E0F9C"/>
    <w:rPr>
      <w:rFonts w:ascii="Times New Roman" w:hAnsi="Times New Roman"/>
      <w:b/>
      <w:bCs/>
      <w:szCs w:val="25"/>
    </w:rPr>
  </w:style>
  <w:style w:type="paragraph" w:styleId="Revision">
    <w:name w:val="Revision"/>
    <w:hidden/>
    <w:uiPriority w:val="99"/>
    <w:semiHidden/>
    <w:rsid w:val="001E0F9C"/>
    <w:rPr>
      <w:szCs w:val="30"/>
    </w:rPr>
  </w:style>
  <w:style w:type="character" w:customStyle="1" w:styleId="Title2">
    <w:name w:val="Title2"/>
    <w:basedOn w:val="DefaultParagraphFont"/>
    <w:rsid w:val="0074770D"/>
  </w:style>
  <w:style w:type="character" w:customStyle="1" w:styleId="ref">
    <w:name w:val="ref"/>
    <w:basedOn w:val="DefaultParagraphFont"/>
    <w:rsid w:val="0074770D"/>
  </w:style>
  <w:style w:type="character" w:customStyle="1" w:styleId="Title3">
    <w:name w:val="Title3"/>
    <w:basedOn w:val="DefaultParagraphFont"/>
    <w:rsid w:val="008C29B5"/>
  </w:style>
  <w:style w:type="character" w:styleId="Emphasis">
    <w:name w:val="Emphasis"/>
    <w:uiPriority w:val="20"/>
    <w:qFormat/>
    <w:rsid w:val="00830176"/>
    <w:rPr>
      <w:i/>
      <w:iCs/>
    </w:rPr>
  </w:style>
  <w:style w:type="paragraph" w:styleId="TOC1">
    <w:name w:val="toc 1"/>
    <w:basedOn w:val="Normal"/>
    <w:next w:val="Normal"/>
    <w:autoRedefine/>
    <w:uiPriority w:val="39"/>
    <w:qFormat/>
    <w:rsid w:val="00A5718A"/>
    <w:pPr>
      <w:spacing w:before="120"/>
    </w:pPr>
    <w:rPr>
      <w:rFonts w:cstheme="majorBidi"/>
      <w:b/>
      <w:bCs/>
      <w:caps/>
      <w:sz w:val="20"/>
      <w:szCs w:val="23"/>
    </w:rPr>
  </w:style>
  <w:style w:type="paragraph" w:styleId="TOC2">
    <w:name w:val="toc 2"/>
    <w:basedOn w:val="Normal"/>
    <w:next w:val="Normal"/>
    <w:autoRedefine/>
    <w:uiPriority w:val="39"/>
    <w:qFormat/>
    <w:rsid w:val="00A5718A"/>
    <w:pPr>
      <w:ind w:left="240"/>
    </w:pPr>
    <w:rPr>
      <w:rFonts w:cstheme="majorBidi"/>
      <w:smallCaps/>
      <w:sz w:val="20"/>
      <w:szCs w:val="23"/>
    </w:rPr>
  </w:style>
  <w:style w:type="paragraph" w:styleId="TOC3">
    <w:name w:val="toc 3"/>
    <w:basedOn w:val="Normal"/>
    <w:next w:val="Normal"/>
    <w:autoRedefine/>
    <w:uiPriority w:val="39"/>
    <w:qFormat/>
    <w:rsid w:val="00A5718A"/>
    <w:pPr>
      <w:ind w:left="480"/>
    </w:pPr>
    <w:rPr>
      <w:rFonts w:cstheme="majorBidi"/>
      <w:i/>
      <w:iCs/>
      <w:sz w:val="20"/>
      <w:szCs w:val="23"/>
    </w:rPr>
  </w:style>
  <w:style w:type="paragraph" w:styleId="TOC4">
    <w:name w:val="toc 4"/>
    <w:basedOn w:val="Normal"/>
    <w:next w:val="Normal"/>
    <w:autoRedefine/>
    <w:uiPriority w:val="39"/>
    <w:rsid w:val="00F500FE"/>
    <w:pPr>
      <w:ind w:left="720"/>
    </w:pPr>
    <w:rPr>
      <w:rFonts w:asciiTheme="minorHAnsi" w:hAnsiTheme="minorHAnsi" w:cstheme="majorBidi"/>
      <w:sz w:val="18"/>
      <w:szCs w:val="21"/>
    </w:rPr>
  </w:style>
  <w:style w:type="paragraph" w:styleId="TOC5">
    <w:name w:val="toc 5"/>
    <w:basedOn w:val="Normal"/>
    <w:next w:val="Normal"/>
    <w:autoRedefine/>
    <w:rsid w:val="00F500FE"/>
    <w:pPr>
      <w:ind w:left="960"/>
    </w:pPr>
    <w:rPr>
      <w:rFonts w:asciiTheme="minorHAnsi" w:hAnsiTheme="minorHAnsi" w:cstheme="majorBidi"/>
      <w:sz w:val="18"/>
      <w:szCs w:val="21"/>
    </w:rPr>
  </w:style>
  <w:style w:type="paragraph" w:styleId="TOC6">
    <w:name w:val="toc 6"/>
    <w:basedOn w:val="Normal"/>
    <w:next w:val="Normal"/>
    <w:autoRedefine/>
    <w:uiPriority w:val="39"/>
    <w:rsid w:val="00F500FE"/>
    <w:pPr>
      <w:ind w:left="1200"/>
    </w:pPr>
    <w:rPr>
      <w:rFonts w:asciiTheme="minorHAnsi" w:hAnsiTheme="minorHAnsi" w:cstheme="majorBidi"/>
      <w:sz w:val="18"/>
      <w:szCs w:val="21"/>
    </w:rPr>
  </w:style>
  <w:style w:type="paragraph" w:styleId="TOC7">
    <w:name w:val="toc 7"/>
    <w:basedOn w:val="Normal"/>
    <w:next w:val="Normal"/>
    <w:autoRedefine/>
    <w:rsid w:val="00F500FE"/>
    <w:pPr>
      <w:ind w:left="1440"/>
    </w:pPr>
    <w:rPr>
      <w:rFonts w:asciiTheme="minorHAnsi" w:hAnsiTheme="minorHAnsi" w:cstheme="majorBidi"/>
      <w:sz w:val="18"/>
      <w:szCs w:val="21"/>
    </w:rPr>
  </w:style>
  <w:style w:type="paragraph" w:styleId="TOC8">
    <w:name w:val="toc 8"/>
    <w:basedOn w:val="Normal"/>
    <w:next w:val="Normal"/>
    <w:autoRedefine/>
    <w:rsid w:val="00F500FE"/>
    <w:pPr>
      <w:ind w:left="1680"/>
    </w:pPr>
    <w:rPr>
      <w:rFonts w:asciiTheme="minorHAnsi" w:hAnsiTheme="minorHAnsi" w:cstheme="majorBidi"/>
      <w:sz w:val="18"/>
      <w:szCs w:val="21"/>
    </w:rPr>
  </w:style>
  <w:style w:type="paragraph" w:styleId="TOC9">
    <w:name w:val="toc 9"/>
    <w:basedOn w:val="Normal"/>
    <w:next w:val="Normal"/>
    <w:autoRedefine/>
    <w:rsid w:val="00F500FE"/>
    <w:pPr>
      <w:ind w:left="1920"/>
    </w:pPr>
    <w:rPr>
      <w:rFonts w:asciiTheme="minorHAnsi" w:hAnsiTheme="minorHAnsi" w:cstheme="majorBidi"/>
      <w:sz w:val="18"/>
      <w:szCs w:val="21"/>
    </w:rPr>
  </w:style>
  <w:style w:type="paragraph" w:styleId="TableofFigures">
    <w:name w:val="table of figures"/>
    <w:basedOn w:val="Normal"/>
    <w:next w:val="Normal"/>
    <w:uiPriority w:val="99"/>
    <w:rsid w:val="00326137"/>
    <w:pPr>
      <w:ind w:left="480" w:hanging="480"/>
    </w:pPr>
    <w:rPr>
      <w:rFonts w:asciiTheme="minorHAnsi" w:hAnsiTheme="minorHAnsi" w:cstheme="majorBidi"/>
      <w:smallCaps/>
      <w:sz w:val="20"/>
      <w:szCs w:val="23"/>
    </w:rPr>
  </w:style>
  <w:style w:type="paragraph" w:styleId="NormalWeb">
    <w:name w:val="Normal (Web)"/>
    <w:basedOn w:val="Normal"/>
    <w:unhideWhenUsed/>
    <w:rsid w:val="003913EB"/>
    <w:pPr>
      <w:spacing w:before="100" w:beforeAutospacing="1" w:after="100" w:afterAutospacing="1"/>
    </w:pPr>
    <w:rPr>
      <w:rFonts w:ascii="Tahoma" w:hAnsi="Tahoma" w:cs="Tahoma"/>
    </w:rPr>
  </w:style>
  <w:style w:type="paragraph" w:customStyle="1" w:styleId="Listenabsatz">
    <w:name w:val="Listenabsatz"/>
    <w:basedOn w:val="Normal"/>
    <w:uiPriority w:val="34"/>
    <w:qFormat/>
    <w:rsid w:val="003913EB"/>
    <w:pPr>
      <w:tabs>
        <w:tab w:val="left" w:pos="720"/>
      </w:tabs>
      <w:ind w:left="720"/>
      <w:jc w:val="both"/>
    </w:pPr>
    <w:rPr>
      <w:szCs w:val="20"/>
      <w:lang w:val="en-GB" w:bidi="ar-SA"/>
    </w:rPr>
  </w:style>
  <w:style w:type="paragraph" w:styleId="DocumentMap">
    <w:name w:val="Document Map"/>
    <w:basedOn w:val="Normal"/>
    <w:link w:val="DocumentMapChar"/>
    <w:rsid w:val="006A681D"/>
    <w:rPr>
      <w:rFonts w:ascii="Tahoma" w:hAnsi="Tahoma" w:cs="Angsana New"/>
      <w:sz w:val="16"/>
      <w:szCs w:val="20"/>
    </w:rPr>
  </w:style>
  <w:style w:type="character" w:customStyle="1" w:styleId="DocumentMapChar">
    <w:name w:val="Document Map Char"/>
    <w:basedOn w:val="DefaultParagraphFont"/>
    <w:link w:val="DocumentMap"/>
    <w:rsid w:val="006A681D"/>
    <w:rPr>
      <w:rFonts w:ascii="Tahoma" w:hAnsi="Tahoma"/>
      <w:sz w:val="16"/>
    </w:rPr>
  </w:style>
  <w:style w:type="paragraph" w:styleId="Title">
    <w:name w:val="Title"/>
    <w:basedOn w:val="Normal"/>
    <w:link w:val="TitleChar"/>
    <w:qFormat/>
    <w:rsid w:val="00830176"/>
    <w:pPr>
      <w:jc w:val="center"/>
      <w:outlineLvl w:val="0"/>
    </w:pPr>
    <w:rPr>
      <w:rFonts w:eastAsiaTheme="majorEastAsia"/>
      <w:b/>
      <w:bCs/>
      <w:kern w:val="28"/>
      <w:sz w:val="32"/>
      <w:szCs w:val="32"/>
    </w:rPr>
  </w:style>
  <w:style w:type="character" w:customStyle="1" w:styleId="TitleChar">
    <w:name w:val="Title Char"/>
    <w:link w:val="Title"/>
    <w:rsid w:val="00830176"/>
    <w:rPr>
      <w:rFonts w:ascii="Arial" w:eastAsiaTheme="majorEastAsia" w:hAnsi="Arial" w:cs="Arial"/>
      <w:b/>
      <w:bCs/>
      <w:kern w:val="28"/>
      <w:sz w:val="32"/>
      <w:szCs w:val="32"/>
    </w:rPr>
  </w:style>
  <w:style w:type="paragraph" w:styleId="Caption">
    <w:name w:val="caption"/>
    <w:basedOn w:val="Normal"/>
    <w:next w:val="Normal"/>
    <w:uiPriority w:val="35"/>
    <w:qFormat/>
    <w:rsid w:val="00C322C4"/>
    <w:pPr>
      <w:keepNext/>
      <w:jc w:val="center"/>
      <w:outlineLvl w:val="2"/>
    </w:pPr>
    <w:rPr>
      <w:bCs/>
      <w:i/>
      <w:szCs w:val="18"/>
    </w:rPr>
  </w:style>
  <w:style w:type="paragraph" w:customStyle="1" w:styleId="captionnotes">
    <w:name w:val="caption notes"/>
    <w:basedOn w:val="Normal"/>
    <w:link w:val="captionnotesChar"/>
    <w:rsid w:val="00B709CB"/>
    <w:rPr>
      <w:rFonts w:eastAsiaTheme="minorHAnsi" w:cstheme="minorBidi"/>
      <w:i/>
      <w:sz w:val="16"/>
      <w:szCs w:val="22"/>
      <w:lang w:bidi="ar-SA"/>
    </w:rPr>
  </w:style>
  <w:style w:type="character" w:customStyle="1" w:styleId="captionnotesChar">
    <w:name w:val="caption notes Char"/>
    <w:basedOn w:val="DefaultParagraphFont"/>
    <w:link w:val="captionnotes"/>
    <w:rsid w:val="00B709CB"/>
    <w:rPr>
      <w:rFonts w:ascii="Arial" w:eastAsiaTheme="minorHAnsi" w:hAnsi="Arial" w:cstheme="minorBidi"/>
      <w:i/>
      <w:sz w:val="16"/>
      <w:szCs w:val="22"/>
      <w:lang w:bidi="ar-SA"/>
    </w:rPr>
  </w:style>
  <w:style w:type="paragraph" w:customStyle="1" w:styleId="Captionnotes0">
    <w:name w:val="Caption notes"/>
    <w:basedOn w:val="BodyText"/>
    <w:qFormat/>
    <w:rsid w:val="000D0640"/>
    <w:pPr>
      <w:keepLines/>
      <w:jc w:val="center"/>
    </w:pPr>
    <w:rPr>
      <w:i/>
      <w:sz w:val="16"/>
    </w:rPr>
  </w:style>
  <w:style w:type="paragraph" w:styleId="BodyText">
    <w:name w:val="Body Text"/>
    <w:basedOn w:val="Normal"/>
    <w:link w:val="BodyTextChar"/>
    <w:qFormat/>
    <w:rsid w:val="00830176"/>
  </w:style>
  <w:style w:type="character" w:customStyle="1" w:styleId="BodyTextChar">
    <w:name w:val="Body Text Char"/>
    <w:basedOn w:val="DefaultParagraphFont"/>
    <w:link w:val="BodyText"/>
    <w:rsid w:val="00830176"/>
    <w:rPr>
      <w:rFonts w:ascii="Arial" w:hAnsi="Arial" w:cs="Arial"/>
      <w:sz w:val="22"/>
    </w:rPr>
  </w:style>
  <w:style w:type="character" w:customStyle="1" w:styleId="Heading1Char">
    <w:name w:val="Heading 1 Char"/>
    <w:basedOn w:val="DefaultParagraphFont"/>
    <w:link w:val="Heading1"/>
    <w:rsid w:val="00EA0810"/>
    <w:rPr>
      <w:rFonts w:ascii="Arial" w:eastAsiaTheme="majorEastAsia" w:hAnsi="Arial" w:cs="Arial"/>
      <w:b/>
      <w:bCs/>
      <w:i/>
      <w:sz w:val="22"/>
      <w:szCs w:val="22"/>
      <w:lang w:bidi="ar-SA"/>
    </w:rPr>
  </w:style>
  <w:style w:type="character" w:customStyle="1" w:styleId="Heading2Char">
    <w:name w:val="Heading 2 Char"/>
    <w:basedOn w:val="DefaultParagraphFont"/>
    <w:link w:val="Heading2"/>
    <w:rsid w:val="00525CD5"/>
    <w:rPr>
      <w:rFonts w:ascii="Arial" w:eastAsia="Calibri" w:hAnsi="Arial" w:cs="Arial"/>
      <w:bCs/>
      <w:i/>
      <w:sz w:val="22"/>
      <w:szCs w:val="26"/>
    </w:rPr>
  </w:style>
  <w:style w:type="character" w:customStyle="1" w:styleId="Heading3Char">
    <w:name w:val="Heading 3 Char"/>
    <w:basedOn w:val="DefaultParagraphFont"/>
    <w:link w:val="Heading3"/>
    <w:rsid w:val="00830176"/>
    <w:rPr>
      <w:rFonts w:ascii="Arial" w:eastAsiaTheme="majorEastAsia" w:hAnsi="Arial" w:cstheme="majorBidi"/>
      <w:bCs/>
      <w:i/>
      <w:sz w:val="22"/>
    </w:rPr>
  </w:style>
  <w:style w:type="paragraph" w:styleId="Subtitle">
    <w:name w:val="Subtitle"/>
    <w:basedOn w:val="Normal"/>
    <w:link w:val="SubtitleChar"/>
    <w:qFormat/>
    <w:rsid w:val="00830176"/>
    <w:pPr>
      <w:spacing w:after="60"/>
      <w:jc w:val="center"/>
      <w:outlineLvl w:val="1"/>
    </w:pPr>
    <w:rPr>
      <w:rFonts w:ascii="Century" w:hAnsi="Century"/>
    </w:rPr>
  </w:style>
  <w:style w:type="character" w:customStyle="1" w:styleId="SubtitleChar">
    <w:name w:val="Subtitle Char"/>
    <w:basedOn w:val="DefaultParagraphFont"/>
    <w:link w:val="Subtitle"/>
    <w:rsid w:val="009F37A4"/>
    <w:rPr>
      <w:rFonts w:ascii="Century" w:hAnsi="Century" w:cs="Arial"/>
      <w:sz w:val="22"/>
    </w:rPr>
  </w:style>
  <w:style w:type="paragraph" w:styleId="TOCHeading">
    <w:name w:val="TOC Heading"/>
    <w:basedOn w:val="Heading1"/>
    <w:next w:val="Normal"/>
    <w:uiPriority w:val="39"/>
    <w:unhideWhenUsed/>
    <w:qFormat/>
    <w:rsid w:val="00830176"/>
    <w:pPr>
      <w:spacing w:line="276" w:lineRule="auto"/>
      <w:ind w:left="0" w:firstLine="0"/>
      <w:outlineLvl w:val="9"/>
    </w:pPr>
    <w:rPr>
      <w:rFonts w:cstheme="majorBidi"/>
      <w:i w:val="0"/>
      <w:szCs w:val="28"/>
      <w:u w:val="single"/>
      <w:lang w:eastAsia="ja-JP"/>
    </w:rPr>
  </w:style>
  <w:style w:type="paragraph" w:customStyle="1" w:styleId="Apendix">
    <w:name w:val="Apendix"/>
    <w:basedOn w:val="Heading1"/>
    <w:qFormat/>
    <w:rsid w:val="00184ABD"/>
    <w:pPr>
      <w:keepNext w:val="0"/>
      <w:keepLines w:val="0"/>
      <w:contextualSpacing/>
    </w:pPr>
    <w:rPr>
      <w:rFonts w:eastAsia="Times New Roman" w:cs="Times New Roman"/>
      <w:i w:val="0"/>
      <w:szCs w:val="28"/>
    </w:rPr>
  </w:style>
  <w:style w:type="character" w:customStyle="1" w:styleId="A8">
    <w:name w:val="A8"/>
    <w:uiPriority w:val="99"/>
    <w:rsid w:val="00EA0810"/>
    <w:rPr>
      <w:rFonts w:cs="Trebuchet MS"/>
      <w:color w:val="000000"/>
      <w:sz w:val="11"/>
      <w:szCs w:val="11"/>
    </w:rPr>
  </w:style>
  <w:style w:type="character" w:customStyle="1" w:styleId="apple-converted-space">
    <w:name w:val="apple-converted-space"/>
    <w:basedOn w:val="DefaultParagraphFont"/>
    <w:rsid w:val="00EA0810"/>
  </w:style>
  <w:style w:type="paragraph" w:styleId="Bibliography">
    <w:name w:val="Bibliography"/>
    <w:basedOn w:val="Normal"/>
    <w:next w:val="Normal"/>
    <w:uiPriority w:val="37"/>
    <w:rsid w:val="00EA0810"/>
    <w:pPr>
      <w:spacing w:before="60"/>
      <w:ind w:left="720" w:hanging="720"/>
    </w:pPr>
    <w:rPr>
      <w:sz w:val="20"/>
      <w:lang w:bidi="ar-SA"/>
    </w:rPr>
  </w:style>
  <w:style w:type="character" w:styleId="BookTitle">
    <w:name w:val="Book Title"/>
    <w:uiPriority w:val="33"/>
    <w:qFormat/>
    <w:rsid w:val="00EA0810"/>
    <w:rPr>
      <w:i/>
      <w:iCs/>
      <w:smallCaps/>
      <w:spacing w:val="5"/>
    </w:rPr>
  </w:style>
  <w:style w:type="paragraph" w:customStyle="1" w:styleId="Box">
    <w:name w:val="Box"/>
    <w:basedOn w:val="TableofFigures"/>
    <w:qFormat/>
    <w:rsid w:val="00EA0810"/>
    <w:pPr>
      <w:ind w:left="0" w:firstLine="0"/>
    </w:pPr>
    <w:rPr>
      <w:rFonts w:ascii="Arial" w:hAnsi="Arial" w:cs="Arial"/>
      <w:b/>
      <w:smallCaps w:val="0"/>
      <w:szCs w:val="20"/>
      <w:lang w:bidi="ar-SA"/>
    </w:rPr>
  </w:style>
  <w:style w:type="paragraph" w:customStyle="1" w:styleId="CarCar">
    <w:name w:val="Car Car"/>
    <w:basedOn w:val="Normal"/>
    <w:semiHidden/>
    <w:rsid w:val="00EA0810"/>
    <w:pPr>
      <w:spacing w:after="160" w:line="240" w:lineRule="exact"/>
    </w:pPr>
    <w:rPr>
      <w:rFonts w:ascii="Verdana" w:hAnsi="Verdana"/>
      <w:sz w:val="20"/>
      <w:lang w:val="en-GB" w:bidi="ar-SA"/>
    </w:rPr>
  </w:style>
  <w:style w:type="character" w:customStyle="1" w:styleId="Caracteresdenotaalpie">
    <w:name w:val="Caracteres de nota al pie"/>
    <w:semiHidden/>
    <w:rsid w:val="00EA0810"/>
    <w:rPr>
      <w:vertAlign w:val="superscript"/>
    </w:rPr>
  </w:style>
  <w:style w:type="paragraph" w:customStyle="1" w:styleId="Default">
    <w:name w:val="Default"/>
    <w:rsid w:val="00EA0810"/>
    <w:pPr>
      <w:autoSpaceDE w:val="0"/>
      <w:autoSpaceDN w:val="0"/>
      <w:adjustRightInd w:val="0"/>
    </w:pPr>
    <w:rPr>
      <w:color w:val="000000"/>
      <w:lang w:bidi="ar-SA"/>
    </w:rPr>
  </w:style>
  <w:style w:type="character" w:customStyle="1" w:styleId="emailaddress">
    <w:name w:val="email_address"/>
    <w:basedOn w:val="DefaultParagraphFont"/>
    <w:semiHidden/>
    <w:rsid w:val="00EA0810"/>
  </w:style>
  <w:style w:type="character" w:styleId="EndnoteReference">
    <w:name w:val="endnote reference"/>
    <w:rsid w:val="00EA0810"/>
    <w:rPr>
      <w:vertAlign w:val="superscript"/>
    </w:rPr>
  </w:style>
  <w:style w:type="paragraph" w:styleId="EndnoteText">
    <w:name w:val="endnote text"/>
    <w:basedOn w:val="Normal"/>
    <w:link w:val="EndnoteTextChar"/>
    <w:rsid w:val="00EA0810"/>
    <w:rPr>
      <w:sz w:val="20"/>
      <w:lang w:bidi="ar-SA"/>
    </w:rPr>
  </w:style>
  <w:style w:type="character" w:customStyle="1" w:styleId="EndnoteTextChar">
    <w:name w:val="Endnote Text Char"/>
    <w:basedOn w:val="DefaultParagraphFont"/>
    <w:link w:val="EndnoteText"/>
    <w:rsid w:val="00EA0810"/>
    <w:rPr>
      <w:rFonts w:ascii="Arial" w:hAnsi="Arial" w:cs="Arial"/>
      <w:sz w:val="20"/>
      <w:lang w:bidi="ar-SA"/>
    </w:rPr>
  </w:style>
  <w:style w:type="paragraph" w:customStyle="1" w:styleId="Figura">
    <w:name w:val="Figura"/>
    <w:basedOn w:val="TableofFigures"/>
    <w:qFormat/>
    <w:rsid w:val="00EA0810"/>
    <w:pPr>
      <w:ind w:left="0" w:firstLine="0"/>
    </w:pPr>
    <w:rPr>
      <w:rFonts w:ascii="Arial" w:hAnsi="Arial" w:cs="Arial"/>
      <w:b/>
      <w:smallCaps w:val="0"/>
      <w:sz w:val="22"/>
      <w:szCs w:val="24"/>
      <w:lang w:bidi="ar-SA"/>
    </w:rPr>
  </w:style>
  <w:style w:type="character" w:styleId="FollowedHyperlink">
    <w:name w:val="FollowedHyperlink"/>
    <w:rsid w:val="00EA0810"/>
    <w:rPr>
      <w:color w:val="606420"/>
      <w:u w:val="single"/>
    </w:rPr>
  </w:style>
  <w:style w:type="paragraph" w:customStyle="1" w:styleId="Footnote">
    <w:name w:val="Footnote"/>
    <w:basedOn w:val="FootnoteText"/>
    <w:uiPriority w:val="99"/>
    <w:qFormat/>
    <w:rsid w:val="00EA0810"/>
    <w:rPr>
      <w:lang w:bidi="ar-SA"/>
    </w:rPr>
  </w:style>
  <w:style w:type="paragraph" w:styleId="PlainText">
    <w:name w:val="Plain Text"/>
    <w:basedOn w:val="Normal"/>
    <w:link w:val="PlainTextChar"/>
    <w:rsid w:val="00EA0810"/>
    <w:rPr>
      <w:rFonts w:ascii="Courier New" w:hAnsi="Courier New" w:cs="Courier New"/>
      <w:sz w:val="20"/>
      <w:lang w:bidi="ar-SA"/>
    </w:rPr>
  </w:style>
  <w:style w:type="character" w:customStyle="1" w:styleId="PlainTextChar">
    <w:name w:val="Plain Text Char"/>
    <w:basedOn w:val="DefaultParagraphFont"/>
    <w:link w:val="PlainText"/>
    <w:rsid w:val="00EA0810"/>
    <w:rPr>
      <w:rFonts w:ascii="Courier New" w:hAnsi="Courier New" w:cs="Courier New"/>
      <w:sz w:val="20"/>
      <w:lang w:bidi="ar-SA"/>
    </w:rPr>
  </w:style>
  <w:style w:type="paragraph" w:customStyle="1" w:styleId="Globaltitle">
    <w:name w:val="Global_title"/>
    <w:basedOn w:val="PlainText"/>
    <w:qFormat/>
    <w:rsid w:val="00EA0810"/>
    <w:pPr>
      <w:jc w:val="center"/>
    </w:pPr>
    <w:rPr>
      <w:rFonts w:ascii="Cambria" w:hAnsi="Cambria"/>
      <w:b/>
      <w:sz w:val="40"/>
      <w:szCs w:val="40"/>
    </w:rPr>
  </w:style>
  <w:style w:type="character" w:customStyle="1" w:styleId="grame">
    <w:name w:val="grame"/>
    <w:basedOn w:val="DefaultParagraphFont"/>
    <w:rsid w:val="00EA0810"/>
  </w:style>
  <w:style w:type="character" w:customStyle="1" w:styleId="HeaderChar">
    <w:name w:val="Header Char"/>
    <w:basedOn w:val="DefaultParagraphFont"/>
    <w:link w:val="Header"/>
    <w:uiPriority w:val="99"/>
    <w:rsid w:val="00EA0810"/>
    <w:rPr>
      <w:rFonts w:ascii="Arial" w:hAnsi="Arial" w:cs="Arial"/>
      <w:sz w:val="22"/>
    </w:rPr>
  </w:style>
  <w:style w:type="character" w:customStyle="1" w:styleId="Heading4Char">
    <w:name w:val="Heading 4 Char"/>
    <w:link w:val="Heading4"/>
    <w:rsid w:val="00EA0810"/>
    <w:rPr>
      <w:rFonts w:ascii="Arial" w:hAnsi="Arial" w:cs="Arial"/>
      <w:bCs/>
      <w:i/>
      <w:sz w:val="22"/>
      <w:szCs w:val="28"/>
    </w:rPr>
  </w:style>
  <w:style w:type="character" w:customStyle="1" w:styleId="Heading5Char">
    <w:name w:val="Heading 5 Char"/>
    <w:link w:val="Heading5"/>
    <w:rsid w:val="00EA0810"/>
    <w:rPr>
      <w:rFonts w:ascii="Arial" w:hAnsi="Arial" w:cs="Arial"/>
      <w:i/>
      <w:iCs/>
      <w:sz w:val="22"/>
    </w:rPr>
  </w:style>
  <w:style w:type="character" w:customStyle="1" w:styleId="highlight">
    <w:name w:val="highlight"/>
    <w:basedOn w:val="DefaultParagraphFont"/>
    <w:rsid w:val="00EA0810"/>
  </w:style>
  <w:style w:type="character" w:styleId="HTMLCite">
    <w:name w:val="HTML Cite"/>
    <w:rsid w:val="00EA0810"/>
    <w:rPr>
      <w:i/>
      <w:iCs/>
    </w:rPr>
  </w:style>
  <w:style w:type="character" w:styleId="IntenseEmphasis">
    <w:name w:val="Intense Emphasis"/>
    <w:uiPriority w:val="21"/>
    <w:qFormat/>
    <w:rsid w:val="00EA0810"/>
    <w:rPr>
      <w:b/>
      <w:bCs/>
    </w:rPr>
  </w:style>
  <w:style w:type="paragraph" w:styleId="IntenseQuote">
    <w:name w:val="Intense Quote"/>
    <w:basedOn w:val="Normal"/>
    <w:next w:val="Normal"/>
    <w:link w:val="IntenseQuoteChar"/>
    <w:uiPriority w:val="30"/>
    <w:qFormat/>
    <w:rsid w:val="00EA0810"/>
    <w:pPr>
      <w:pBdr>
        <w:bottom w:val="single" w:sz="4" w:space="1" w:color="auto"/>
      </w:pBdr>
      <w:spacing w:before="200" w:after="280"/>
      <w:ind w:left="1008" w:right="1152"/>
      <w:jc w:val="both"/>
    </w:pPr>
    <w:rPr>
      <w:b/>
      <w:bCs/>
      <w:i/>
      <w:iCs/>
      <w:lang w:bidi="ar-SA"/>
    </w:rPr>
  </w:style>
  <w:style w:type="character" w:customStyle="1" w:styleId="IntenseQuoteChar">
    <w:name w:val="Intense Quote Char"/>
    <w:basedOn w:val="DefaultParagraphFont"/>
    <w:link w:val="IntenseQuote"/>
    <w:uiPriority w:val="30"/>
    <w:rsid w:val="00EA0810"/>
    <w:rPr>
      <w:rFonts w:ascii="Arial" w:hAnsi="Arial" w:cs="Arial"/>
      <w:b/>
      <w:bCs/>
      <w:i/>
      <w:iCs/>
      <w:sz w:val="22"/>
      <w:lang w:bidi="ar-SA"/>
    </w:rPr>
  </w:style>
  <w:style w:type="character" w:styleId="IntenseReference">
    <w:name w:val="Intense Reference"/>
    <w:uiPriority w:val="32"/>
    <w:qFormat/>
    <w:rsid w:val="00EA0810"/>
    <w:rPr>
      <w:smallCaps/>
      <w:spacing w:val="5"/>
      <w:u w:val="single"/>
    </w:rPr>
  </w:style>
  <w:style w:type="paragraph" w:styleId="ListNumber">
    <w:name w:val="List Number"/>
    <w:basedOn w:val="Normal"/>
    <w:rsid w:val="00EA0810"/>
    <w:pPr>
      <w:tabs>
        <w:tab w:val="num" w:pos="360"/>
      </w:tabs>
      <w:ind w:left="360" w:hanging="360"/>
    </w:pPr>
    <w:rPr>
      <w:lang w:bidi="ar-SA"/>
    </w:rPr>
  </w:style>
  <w:style w:type="numbering" w:customStyle="1" w:styleId="NoList1">
    <w:name w:val="No List1"/>
    <w:next w:val="NoList"/>
    <w:uiPriority w:val="99"/>
    <w:semiHidden/>
    <w:unhideWhenUsed/>
    <w:rsid w:val="00EA0810"/>
  </w:style>
  <w:style w:type="paragraph" w:styleId="NoSpacing">
    <w:name w:val="No Spacing"/>
    <w:basedOn w:val="Normal"/>
    <w:uiPriority w:val="1"/>
    <w:qFormat/>
    <w:rsid w:val="00EA0810"/>
    <w:rPr>
      <w:lang w:bidi="ar-SA"/>
    </w:rPr>
  </w:style>
  <w:style w:type="paragraph" w:customStyle="1" w:styleId="ONUME">
    <w:name w:val="ONUM E"/>
    <w:basedOn w:val="BodyText"/>
    <w:semiHidden/>
    <w:rsid w:val="00EA0810"/>
    <w:pPr>
      <w:numPr>
        <w:numId w:val="2"/>
      </w:numPr>
    </w:pPr>
    <w:rPr>
      <w:lang w:bidi="ar-SA"/>
    </w:rPr>
  </w:style>
  <w:style w:type="paragraph" w:customStyle="1" w:styleId="ONUMFS">
    <w:name w:val="ONUM FS"/>
    <w:basedOn w:val="BodyText"/>
    <w:semiHidden/>
    <w:rsid w:val="00EA0810"/>
    <w:pPr>
      <w:numPr>
        <w:numId w:val="3"/>
      </w:numPr>
    </w:pPr>
    <w:rPr>
      <w:lang w:bidi="ar-SA"/>
    </w:rPr>
  </w:style>
  <w:style w:type="paragraph" w:customStyle="1" w:styleId="Presection">
    <w:name w:val="Presection"/>
    <w:basedOn w:val="Heading1"/>
    <w:uiPriority w:val="99"/>
    <w:qFormat/>
    <w:rsid w:val="00EA0810"/>
    <w:pPr>
      <w:ind w:left="0" w:firstLine="0"/>
    </w:pPr>
  </w:style>
  <w:style w:type="paragraph" w:styleId="Quote">
    <w:name w:val="Quote"/>
    <w:basedOn w:val="Normal"/>
    <w:next w:val="Normal"/>
    <w:link w:val="QuoteChar"/>
    <w:uiPriority w:val="29"/>
    <w:qFormat/>
    <w:rsid w:val="00EA0810"/>
    <w:pPr>
      <w:spacing w:before="200"/>
      <w:ind w:left="360" w:right="360"/>
    </w:pPr>
    <w:rPr>
      <w:i/>
      <w:iCs/>
      <w:lang w:bidi="ar-SA"/>
    </w:rPr>
  </w:style>
  <w:style w:type="character" w:customStyle="1" w:styleId="QuoteChar">
    <w:name w:val="Quote Char"/>
    <w:basedOn w:val="DefaultParagraphFont"/>
    <w:link w:val="Quote"/>
    <w:uiPriority w:val="29"/>
    <w:rsid w:val="00EA0810"/>
    <w:rPr>
      <w:rFonts w:ascii="Arial" w:hAnsi="Arial" w:cs="Arial"/>
      <w:i/>
      <w:iCs/>
      <w:sz w:val="22"/>
      <w:lang w:bidi="ar-SA"/>
    </w:rPr>
  </w:style>
  <w:style w:type="paragraph" w:customStyle="1" w:styleId="References">
    <w:name w:val="References"/>
    <w:basedOn w:val="Heading1"/>
    <w:qFormat/>
    <w:rsid w:val="00EA0810"/>
    <w:pPr>
      <w:ind w:left="0" w:firstLine="0"/>
    </w:pPr>
  </w:style>
  <w:style w:type="paragraph" w:styleId="Salutation">
    <w:name w:val="Salutation"/>
    <w:basedOn w:val="Normal"/>
    <w:next w:val="Normal"/>
    <w:link w:val="SalutationChar"/>
    <w:rsid w:val="00EA0810"/>
    <w:rPr>
      <w:lang w:bidi="ar-SA"/>
    </w:rPr>
  </w:style>
  <w:style w:type="character" w:customStyle="1" w:styleId="SalutationChar">
    <w:name w:val="Salutation Char"/>
    <w:basedOn w:val="DefaultParagraphFont"/>
    <w:link w:val="Salutation"/>
    <w:rsid w:val="00EA0810"/>
    <w:rPr>
      <w:rFonts w:ascii="Arial" w:hAnsi="Arial" w:cs="Arial"/>
      <w:sz w:val="22"/>
      <w:lang w:bidi="ar-SA"/>
    </w:rPr>
  </w:style>
  <w:style w:type="paragraph" w:customStyle="1" w:styleId="Section">
    <w:name w:val="Section"/>
    <w:basedOn w:val="Heading1"/>
    <w:uiPriority w:val="99"/>
    <w:qFormat/>
    <w:rsid w:val="00EA0810"/>
    <w:pPr>
      <w:numPr>
        <w:numId w:val="4"/>
      </w:numPr>
    </w:pPr>
  </w:style>
  <w:style w:type="paragraph" w:styleId="Signature">
    <w:name w:val="Signature"/>
    <w:basedOn w:val="Normal"/>
    <w:link w:val="SignatureChar"/>
    <w:rsid w:val="00EA0810"/>
    <w:pPr>
      <w:ind w:left="4252"/>
    </w:pPr>
    <w:rPr>
      <w:lang w:bidi="ar-SA"/>
    </w:rPr>
  </w:style>
  <w:style w:type="character" w:customStyle="1" w:styleId="SignatureChar">
    <w:name w:val="Signature Char"/>
    <w:basedOn w:val="DefaultParagraphFont"/>
    <w:link w:val="Signature"/>
    <w:rsid w:val="00EA0810"/>
    <w:rPr>
      <w:rFonts w:ascii="Arial" w:hAnsi="Arial" w:cs="Arial"/>
      <w:sz w:val="22"/>
      <w:lang w:bidi="ar-SA"/>
    </w:rPr>
  </w:style>
  <w:style w:type="character" w:customStyle="1" w:styleId="slug-ahead-of-print-date">
    <w:name w:val="slug-ahead-of-print-date"/>
    <w:basedOn w:val="DefaultParagraphFont"/>
    <w:semiHidden/>
    <w:rsid w:val="00EA0810"/>
  </w:style>
  <w:style w:type="character" w:customStyle="1" w:styleId="slug-doi">
    <w:name w:val="slug-doi"/>
    <w:basedOn w:val="DefaultParagraphFont"/>
    <w:semiHidden/>
    <w:rsid w:val="00EA0810"/>
  </w:style>
  <w:style w:type="character" w:customStyle="1" w:styleId="slug-doi-wrapper">
    <w:name w:val="slug-doi-wrapper"/>
    <w:basedOn w:val="DefaultParagraphFont"/>
    <w:semiHidden/>
    <w:rsid w:val="00EA0810"/>
  </w:style>
  <w:style w:type="character" w:customStyle="1" w:styleId="slug-issue">
    <w:name w:val="slug-issue"/>
    <w:basedOn w:val="DefaultParagraphFont"/>
    <w:rsid w:val="00EA0810"/>
  </w:style>
  <w:style w:type="character" w:customStyle="1" w:styleId="slug-metadata-noteahead-of-print">
    <w:name w:val="slug-metadata-note ahead-of-print"/>
    <w:basedOn w:val="DefaultParagraphFont"/>
    <w:semiHidden/>
    <w:rsid w:val="00EA0810"/>
  </w:style>
  <w:style w:type="character" w:customStyle="1" w:styleId="slug-pages">
    <w:name w:val="slug-pages"/>
    <w:basedOn w:val="DefaultParagraphFont"/>
    <w:rsid w:val="00EA0810"/>
  </w:style>
  <w:style w:type="character" w:customStyle="1" w:styleId="slug-pub-date">
    <w:name w:val="slug-pub-date"/>
    <w:basedOn w:val="DefaultParagraphFont"/>
    <w:rsid w:val="00EA0810"/>
  </w:style>
  <w:style w:type="character" w:customStyle="1" w:styleId="slug-vol">
    <w:name w:val="slug-vol"/>
    <w:basedOn w:val="DefaultParagraphFont"/>
    <w:rsid w:val="00EA0810"/>
  </w:style>
  <w:style w:type="character" w:customStyle="1" w:styleId="spelle">
    <w:name w:val="spelle"/>
    <w:basedOn w:val="DefaultParagraphFont"/>
    <w:rsid w:val="00EA0810"/>
  </w:style>
  <w:style w:type="character" w:customStyle="1" w:styleId="st">
    <w:name w:val="st"/>
    <w:basedOn w:val="DefaultParagraphFont"/>
    <w:rsid w:val="00EA0810"/>
  </w:style>
  <w:style w:type="character" w:styleId="Strong">
    <w:name w:val="Strong"/>
    <w:rsid w:val="00EA0810"/>
    <w:rPr>
      <w:b/>
      <w:bCs/>
    </w:rPr>
  </w:style>
  <w:style w:type="paragraph" w:customStyle="1" w:styleId="Subsection">
    <w:name w:val="Subsection"/>
    <w:basedOn w:val="Heading2"/>
    <w:uiPriority w:val="99"/>
    <w:qFormat/>
    <w:rsid w:val="00EA0810"/>
    <w:pPr>
      <w:numPr>
        <w:ilvl w:val="1"/>
        <w:numId w:val="5"/>
      </w:numPr>
    </w:pPr>
    <w:rPr>
      <w:b/>
      <w:lang w:bidi="ar-SA"/>
    </w:rPr>
  </w:style>
  <w:style w:type="paragraph" w:customStyle="1" w:styleId="Subsectionappendix">
    <w:name w:val="Subsection_appendix"/>
    <w:basedOn w:val="Heading2"/>
    <w:qFormat/>
    <w:rsid w:val="00EA0810"/>
    <w:pPr>
      <w:ind w:left="0" w:firstLine="0"/>
    </w:pPr>
    <w:rPr>
      <w:i w:val="0"/>
      <w:lang w:bidi="ar-SA"/>
    </w:rPr>
  </w:style>
  <w:style w:type="paragraph" w:customStyle="1" w:styleId="SUBSubsection">
    <w:name w:val="SUBSubsection"/>
    <w:basedOn w:val="Heading3"/>
    <w:qFormat/>
    <w:rsid w:val="00EA0810"/>
    <w:pPr>
      <w:numPr>
        <w:numId w:val="6"/>
      </w:numPr>
    </w:pPr>
    <w:rPr>
      <w:b/>
      <w:i w:val="0"/>
      <w:szCs w:val="26"/>
      <w:lang w:bidi="ar-SA"/>
    </w:rPr>
  </w:style>
  <w:style w:type="character" w:styleId="SubtleEmphasis">
    <w:name w:val="Subtle Emphasis"/>
    <w:uiPriority w:val="19"/>
    <w:qFormat/>
    <w:rsid w:val="00EA0810"/>
    <w:rPr>
      <w:i/>
      <w:iCs/>
    </w:rPr>
  </w:style>
  <w:style w:type="character" w:styleId="SubtleReference">
    <w:name w:val="Subtle Reference"/>
    <w:uiPriority w:val="31"/>
    <w:qFormat/>
    <w:rsid w:val="00EA0810"/>
    <w:rPr>
      <w:smallCaps/>
    </w:rPr>
  </w:style>
  <w:style w:type="table" w:customStyle="1" w:styleId="TableGrid1">
    <w:name w:val="Table Grid1"/>
    <w:basedOn w:val="TableNormal"/>
    <w:next w:val="TableGrid"/>
    <w:uiPriority w:val="59"/>
    <w:rsid w:val="00EA0810"/>
    <w:rPr>
      <w:rFonts w:ascii="Calibri" w:eastAsia="Calibri" w:hAnsi="Calibr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ules">
    <w:name w:val="Taules"/>
    <w:basedOn w:val="TableofFigures"/>
    <w:qFormat/>
    <w:rsid w:val="00EA0810"/>
    <w:pPr>
      <w:ind w:left="0" w:firstLine="0"/>
    </w:pPr>
    <w:rPr>
      <w:rFonts w:ascii="Arial" w:hAnsi="Arial" w:cs="Arial"/>
      <w:b/>
      <w:smallCaps w:val="0"/>
      <w:sz w:val="22"/>
      <w:szCs w:val="24"/>
      <w:lang w:bidi="ar-SA"/>
    </w:rPr>
  </w:style>
  <w:style w:type="paragraph" w:customStyle="1" w:styleId="Text">
    <w:name w:val="Text"/>
    <w:basedOn w:val="Normal"/>
    <w:uiPriority w:val="99"/>
    <w:qFormat/>
    <w:rsid w:val="00EA0810"/>
    <w:rPr>
      <w:lang w:bidi="ar-SA"/>
    </w:rPr>
  </w:style>
  <w:style w:type="character" w:customStyle="1" w:styleId="themevertgauche">
    <w:name w:val="themevertgauche"/>
    <w:basedOn w:val="DefaultParagraphFont"/>
    <w:rsid w:val="00EA0810"/>
  </w:style>
  <w:style w:type="paragraph" w:customStyle="1" w:styleId="TOC51">
    <w:name w:val="TOC 51"/>
    <w:basedOn w:val="Normal"/>
    <w:next w:val="Normal"/>
    <w:autoRedefine/>
    <w:rsid w:val="00EA0810"/>
    <w:pPr>
      <w:ind w:left="960" w:firstLine="720"/>
    </w:pPr>
    <w:rPr>
      <w:rFonts w:eastAsia="Cordia New"/>
      <w:sz w:val="18"/>
      <w:szCs w:val="21"/>
    </w:rPr>
  </w:style>
  <w:style w:type="paragraph" w:customStyle="1" w:styleId="TOC61">
    <w:name w:val="TOC 61"/>
    <w:basedOn w:val="Normal"/>
    <w:next w:val="Normal"/>
    <w:autoRedefine/>
    <w:rsid w:val="00EA0810"/>
    <w:pPr>
      <w:ind w:left="1200" w:firstLine="720"/>
    </w:pPr>
    <w:rPr>
      <w:rFonts w:eastAsia="Cordia New"/>
      <w:sz w:val="18"/>
      <w:szCs w:val="21"/>
    </w:rPr>
  </w:style>
  <w:style w:type="paragraph" w:customStyle="1" w:styleId="TOC71">
    <w:name w:val="TOC 71"/>
    <w:basedOn w:val="Normal"/>
    <w:next w:val="Normal"/>
    <w:autoRedefine/>
    <w:rsid w:val="00EA0810"/>
    <w:pPr>
      <w:ind w:left="1440" w:firstLine="720"/>
    </w:pPr>
    <w:rPr>
      <w:rFonts w:eastAsia="Cordia New"/>
      <w:sz w:val="18"/>
      <w:szCs w:val="21"/>
    </w:rPr>
  </w:style>
  <w:style w:type="paragraph" w:customStyle="1" w:styleId="TOC81">
    <w:name w:val="TOC 81"/>
    <w:basedOn w:val="Normal"/>
    <w:next w:val="Normal"/>
    <w:autoRedefine/>
    <w:rsid w:val="00EA0810"/>
    <w:pPr>
      <w:ind w:left="1680" w:firstLine="720"/>
    </w:pPr>
    <w:rPr>
      <w:rFonts w:eastAsia="Cordia New"/>
      <w:sz w:val="18"/>
      <w:szCs w:val="21"/>
    </w:rPr>
  </w:style>
  <w:style w:type="paragraph" w:customStyle="1" w:styleId="TOC91">
    <w:name w:val="TOC 91"/>
    <w:basedOn w:val="Normal"/>
    <w:next w:val="Normal"/>
    <w:autoRedefine/>
    <w:rsid w:val="00EA0810"/>
    <w:pPr>
      <w:ind w:left="1920" w:firstLine="720"/>
    </w:pPr>
    <w:rPr>
      <w:rFonts w:eastAsia="Cordia New"/>
      <w:sz w:val="18"/>
      <w:szCs w:val="21"/>
    </w:rPr>
  </w:style>
  <w:style w:type="numbering" w:styleId="111111">
    <w:name w:val="Outline List 2"/>
    <w:basedOn w:val="NoList"/>
    <w:rsid w:val="00EA0810"/>
    <w:pPr>
      <w:numPr>
        <w:numId w:val="7"/>
      </w:numPr>
    </w:pPr>
  </w:style>
  <w:style w:type="numbering" w:styleId="1ai">
    <w:name w:val="Outline List 1"/>
    <w:basedOn w:val="NoList"/>
    <w:rsid w:val="00EA0810"/>
    <w:pPr>
      <w:numPr>
        <w:numId w:val="8"/>
      </w:numPr>
    </w:pPr>
  </w:style>
  <w:style w:type="numbering" w:styleId="ArticleSection">
    <w:name w:val="Outline List 3"/>
    <w:basedOn w:val="NoList"/>
    <w:rsid w:val="00EA0810"/>
    <w:pPr>
      <w:numPr>
        <w:numId w:val="9"/>
      </w:numPr>
    </w:pPr>
  </w:style>
  <w:style w:type="paragraph" w:styleId="BlockText">
    <w:name w:val="Block Text"/>
    <w:basedOn w:val="Normal"/>
    <w:rsid w:val="00EA0810"/>
    <w:pPr>
      <w:spacing w:after="120"/>
      <w:ind w:left="1440" w:right="1440"/>
    </w:pPr>
    <w:rPr>
      <w:lang w:bidi="ar-SA"/>
    </w:rPr>
  </w:style>
  <w:style w:type="paragraph" w:styleId="BodyTextIndent">
    <w:name w:val="Body Text Indent"/>
    <w:basedOn w:val="Normal"/>
    <w:link w:val="BodyTextIndentChar"/>
    <w:rsid w:val="00EA0810"/>
    <w:pPr>
      <w:spacing w:after="120"/>
      <w:ind w:left="283"/>
    </w:pPr>
    <w:rPr>
      <w:lang w:bidi="ar-SA"/>
    </w:rPr>
  </w:style>
  <w:style w:type="character" w:customStyle="1" w:styleId="BodyTextIndentChar">
    <w:name w:val="Body Text Indent Char"/>
    <w:basedOn w:val="DefaultParagraphFont"/>
    <w:link w:val="BodyTextIndent"/>
    <w:rsid w:val="00EA0810"/>
    <w:rPr>
      <w:rFonts w:ascii="Arial" w:hAnsi="Arial" w:cs="Arial"/>
      <w:sz w:val="22"/>
      <w:lang w:bidi="ar-SA"/>
    </w:rPr>
  </w:style>
  <w:style w:type="paragraph" w:styleId="BodyTextFirstIndent2">
    <w:name w:val="Body Text First Indent 2"/>
    <w:basedOn w:val="BodyTextIndent"/>
    <w:link w:val="BodyTextFirstIndent2Char"/>
    <w:rsid w:val="00EA0810"/>
    <w:pPr>
      <w:ind w:firstLine="210"/>
    </w:pPr>
  </w:style>
  <w:style w:type="character" w:customStyle="1" w:styleId="BodyTextFirstIndent2Char">
    <w:name w:val="Body Text First Indent 2 Char"/>
    <w:basedOn w:val="BodyTextIndentChar"/>
    <w:link w:val="BodyTextFirstIndent2"/>
    <w:rsid w:val="00EA0810"/>
    <w:rPr>
      <w:rFonts w:ascii="Arial" w:hAnsi="Arial" w:cs="Arial"/>
      <w:sz w:val="22"/>
      <w:lang w:bidi="ar-SA"/>
    </w:rPr>
  </w:style>
  <w:style w:type="character" w:customStyle="1" w:styleId="CharChar2">
    <w:name w:val="Char Char2"/>
    <w:rsid w:val="00EA0810"/>
    <w:rPr>
      <w:rFonts w:ascii="Arial" w:eastAsia="Times New Roman" w:hAnsi="Arial" w:cs="Arial"/>
      <w:b/>
      <w:bCs/>
      <w:kern w:val="28"/>
      <w:sz w:val="32"/>
      <w:szCs w:val="32"/>
    </w:rPr>
  </w:style>
  <w:style w:type="paragraph" w:styleId="Closing">
    <w:name w:val="Closing"/>
    <w:basedOn w:val="Normal"/>
    <w:link w:val="ClosingChar"/>
    <w:rsid w:val="00EA0810"/>
    <w:pPr>
      <w:ind w:left="4252"/>
    </w:pPr>
    <w:rPr>
      <w:lang w:bidi="ar-SA"/>
    </w:rPr>
  </w:style>
  <w:style w:type="character" w:customStyle="1" w:styleId="ClosingChar">
    <w:name w:val="Closing Char"/>
    <w:basedOn w:val="DefaultParagraphFont"/>
    <w:link w:val="Closing"/>
    <w:rsid w:val="00EA0810"/>
    <w:rPr>
      <w:rFonts w:ascii="Arial" w:hAnsi="Arial" w:cs="Arial"/>
      <w:sz w:val="22"/>
      <w:lang w:bidi="ar-SA"/>
    </w:rPr>
  </w:style>
  <w:style w:type="paragraph" w:styleId="Date">
    <w:name w:val="Date"/>
    <w:basedOn w:val="Normal"/>
    <w:next w:val="Normal"/>
    <w:link w:val="DateChar"/>
    <w:rsid w:val="00EA0810"/>
    <w:rPr>
      <w:lang w:bidi="ar-SA"/>
    </w:rPr>
  </w:style>
  <w:style w:type="character" w:customStyle="1" w:styleId="DateChar">
    <w:name w:val="Date Char"/>
    <w:basedOn w:val="DefaultParagraphFont"/>
    <w:link w:val="Date"/>
    <w:rsid w:val="00EA0810"/>
    <w:rPr>
      <w:rFonts w:ascii="Arial" w:hAnsi="Arial" w:cs="Arial"/>
      <w:sz w:val="22"/>
      <w:lang w:bidi="ar-SA"/>
    </w:rPr>
  </w:style>
  <w:style w:type="paragraph" w:styleId="E-mailSignature">
    <w:name w:val="E-mail Signature"/>
    <w:basedOn w:val="Normal"/>
    <w:link w:val="E-mailSignatureChar"/>
    <w:rsid w:val="00EA0810"/>
    <w:rPr>
      <w:lang w:bidi="ar-SA"/>
    </w:rPr>
  </w:style>
  <w:style w:type="character" w:customStyle="1" w:styleId="E-mailSignatureChar">
    <w:name w:val="E-mail Signature Char"/>
    <w:basedOn w:val="DefaultParagraphFont"/>
    <w:link w:val="E-mailSignature"/>
    <w:rsid w:val="00EA0810"/>
    <w:rPr>
      <w:rFonts w:ascii="Arial" w:hAnsi="Arial" w:cs="Arial"/>
      <w:sz w:val="22"/>
      <w:lang w:bidi="ar-SA"/>
    </w:rPr>
  </w:style>
  <w:style w:type="paragraph" w:styleId="EnvelopeAddress">
    <w:name w:val="envelope address"/>
    <w:basedOn w:val="Normal"/>
    <w:rsid w:val="00EA0810"/>
    <w:pPr>
      <w:framePr w:w="7920" w:h="1980" w:hRule="exact" w:hSpace="180" w:wrap="auto" w:hAnchor="page" w:xAlign="center" w:yAlign="bottom"/>
      <w:ind w:left="2880"/>
    </w:pPr>
    <w:rPr>
      <w:lang w:bidi="ar-SA"/>
    </w:rPr>
  </w:style>
  <w:style w:type="paragraph" w:styleId="EnvelopeReturn">
    <w:name w:val="envelope return"/>
    <w:basedOn w:val="Normal"/>
    <w:rsid w:val="00EA0810"/>
    <w:rPr>
      <w:sz w:val="20"/>
      <w:lang w:bidi="ar-SA"/>
    </w:rPr>
  </w:style>
  <w:style w:type="character" w:styleId="HTMLAcronym">
    <w:name w:val="HTML Acronym"/>
    <w:basedOn w:val="DefaultParagraphFont"/>
    <w:rsid w:val="00EA0810"/>
  </w:style>
  <w:style w:type="paragraph" w:styleId="HTMLAddress">
    <w:name w:val="HTML Address"/>
    <w:basedOn w:val="Normal"/>
    <w:link w:val="HTMLAddressChar"/>
    <w:rsid w:val="00EA0810"/>
    <w:rPr>
      <w:i/>
      <w:iCs/>
      <w:lang w:bidi="ar-SA"/>
    </w:rPr>
  </w:style>
  <w:style w:type="character" w:customStyle="1" w:styleId="HTMLAddressChar">
    <w:name w:val="HTML Address Char"/>
    <w:basedOn w:val="DefaultParagraphFont"/>
    <w:link w:val="HTMLAddress"/>
    <w:rsid w:val="00EA0810"/>
    <w:rPr>
      <w:rFonts w:ascii="Arial" w:hAnsi="Arial" w:cs="Arial"/>
      <w:i/>
      <w:iCs/>
      <w:sz w:val="22"/>
      <w:lang w:bidi="ar-SA"/>
    </w:rPr>
  </w:style>
  <w:style w:type="character" w:styleId="HTMLCode">
    <w:name w:val="HTML Code"/>
    <w:rsid w:val="00EA0810"/>
    <w:rPr>
      <w:rFonts w:ascii="Courier New" w:hAnsi="Courier New" w:cs="Courier New"/>
      <w:sz w:val="20"/>
      <w:szCs w:val="20"/>
    </w:rPr>
  </w:style>
  <w:style w:type="character" w:styleId="HTMLDefinition">
    <w:name w:val="HTML Definition"/>
    <w:rsid w:val="00EA0810"/>
    <w:rPr>
      <w:i/>
      <w:iCs/>
    </w:rPr>
  </w:style>
  <w:style w:type="character" w:styleId="HTMLKeyboard">
    <w:name w:val="HTML Keyboard"/>
    <w:rsid w:val="00EA0810"/>
    <w:rPr>
      <w:rFonts w:ascii="Courier New" w:hAnsi="Courier New" w:cs="Courier New"/>
      <w:sz w:val="20"/>
      <w:szCs w:val="20"/>
    </w:rPr>
  </w:style>
  <w:style w:type="paragraph" w:styleId="HTMLPreformatted">
    <w:name w:val="HTML Preformatted"/>
    <w:basedOn w:val="Normal"/>
    <w:link w:val="HTMLPreformattedChar"/>
    <w:rsid w:val="00EA0810"/>
    <w:rPr>
      <w:rFonts w:ascii="Courier New" w:hAnsi="Courier New" w:cs="Courier New"/>
      <w:sz w:val="20"/>
      <w:lang w:bidi="ar-SA"/>
    </w:rPr>
  </w:style>
  <w:style w:type="character" w:customStyle="1" w:styleId="HTMLPreformattedChar">
    <w:name w:val="HTML Preformatted Char"/>
    <w:basedOn w:val="DefaultParagraphFont"/>
    <w:link w:val="HTMLPreformatted"/>
    <w:rsid w:val="00EA0810"/>
    <w:rPr>
      <w:rFonts w:ascii="Courier New" w:hAnsi="Courier New" w:cs="Courier New"/>
      <w:sz w:val="20"/>
      <w:lang w:bidi="ar-SA"/>
    </w:rPr>
  </w:style>
  <w:style w:type="character" w:styleId="HTMLSample">
    <w:name w:val="HTML Sample"/>
    <w:rsid w:val="00EA0810"/>
    <w:rPr>
      <w:rFonts w:ascii="Courier New" w:hAnsi="Courier New" w:cs="Courier New"/>
    </w:rPr>
  </w:style>
  <w:style w:type="character" w:styleId="HTMLTypewriter">
    <w:name w:val="HTML Typewriter"/>
    <w:rsid w:val="00EA0810"/>
    <w:rPr>
      <w:rFonts w:ascii="Courier New" w:hAnsi="Courier New" w:cs="Courier New"/>
      <w:sz w:val="20"/>
      <w:szCs w:val="20"/>
    </w:rPr>
  </w:style>
  <w:style w:type="character" w:styleId="HTMLVariable">
    <w:name w:val="HTML Variable"/>
    <w:rsid w:val="00EA0810"/>
    <w:rPr>
      <w:i/>
      <w:iCs/>
    </w:rPr>
  </w:style>
  <w:style w:type="character" w:styleId="LineNumber">
    <w:name w:val="line number"/>
    <w:basedOn w:val="DefaultParagraphFont"/>
    <w:rsid w:val="00EA0810"/>
  </w:style>
  <w:style w:type="paragraph" w:styleId="List">
    <w:name w:val="List"/>
    <w:basedOn w:val="Normal"/>
    <w:rsid w:val="00EA0810"/>
    <w:pPr>
      <w:ind w:left="283" w:hanging="283"/>
    </w:pPr>
    <w:rPr>
      <w:lang w:bidi="ar-SA"/>
    </w:rPr>
  </w:style>
  <w:style w:type="paragraph" w:styleId="List2">
    <w:name w:val="List 2"/>
    <w:basedOn w:val="Normal"/>
    <w:rsid w:val="00EA0810"/>
    <w:pPr>
      <w:ind w:left="566" w:hanging="283"/>
    </w:pPr>
    <w:rPr>
      <w:lang w:bidi="ar-SA"/>
    </w:rPr>
  </w:style>
  <w:style w:type="paragraph" w:styleId="List3">
    <w:name w:val="List 3"/>
    <w:basedOn w:val="Normal"/>
    <w:rsid w:val="00EA0810"/>
    <w:pPr>
      <w:ind w:left="849" w:hanging="283"/>
    </w:pPr>
    <w:rPr>
      <w:lang w:bidi="ar-SA"/>
    </w:rPr>
  </w:style>
  <w:style w:type="paragraph" w:styleId="List4">
    <w:name w:val="List 4"/>
    <w:basedOn w:val="Normal"/>
    <w:rsid w:val="00EA0810"/>
    <w:pPr>
      <w:ind w:left="1132" w:hanging="283"/>
    </w:pPr>
    <w:rPr>
      <w:lang w:bidi="ar-SA"/>
    </w:rPr>
  </w:style>
  <w:style w:type="paragraph" w:styleId="List5">
    <w:name w:val="List 5"/>
    <w:basedOn w:val="Normal"/>
    <w:rsid w:val="00EA0810"/>
    <w:pPr>
      <w:ind w:left="1415" w:hanging="283"/>
    </w:pPr>
    <w:rPr>
      <w:lang w:bidi="ar-SA"/>
    </w:rPr>
  </w:style>
  <w:style w:type="paragraph" w:styleId="ListBullet2">
    <w:name w:val="List Bullet 2"/>
    <w:basedOn w:val="Normal"/>
    <w:rsid w:val="00EA0810"/>
    <w:pPr>
      <w:tabs>
        <w:tab w:val="num" w:pos="643"/>
      </w:tabs>
      <w:ind w:left="643" w:hanging="360"/>
    </w:pPr>
    <w:rPr>
      <w:lang w:bidi="ar-SA"/>
    </w:rPr>
  </w:style>
  <w:style w:type="paragraph" w:styleId="ListBullet3">
    <w:name w:val="List Bullet 3"/>
    <w:basedOn w:val="Normal"/>
    <w:rsid w:val="00EA0810"/>
    <w:pPr>
      <w:tabs>
        <w:tab w:val="num" w:pos="926"/>
      </w:tabs>
      <w:ind w:left="926" w:hanging="360"/>
    </w:pPr>
    <w:rPr>
      <w:lang w:bidi="ar-SA"/>
    </w:rPr>
  </w:style>
  <w:style w:type="paragraph" w:styleId="ListBullet4">
    <w:name w:val="List Bullet 4"/>
    <w:basedOn w:val="Normal"/>
    <w:rsid w:val="00EA0810"/>
    <w:pPr>
      <w:tabs>
        <w:tab w:val="num" w:pos="1209"/>
      </w:tabs>
      <w:ind w:left="1209" w:hanging="360"/>
    </w:pPr>
    <w:rPr>
      <w:lang w:bidi="ar-SA"/>
    </w:rPr>
  </w:style>
  <w:style w:type="paragraph" w:styleId="ListBullet5">
    <w:name w:val="List Bullet 5"/>
    <w:basedOn w:val="Normal"/>
    <w:rsid w:val="00EA0810"/>
    <w:pPr>
      <w:tabs>
        <w:tab w:val="num" w:pos="1492"/>
      </w:tabs>
      <w:ind w:left="1492" w:hanging="360"/>
    </w:pPr>
    <w:rPr>
      <w:lang w:bidi="ar-SA"/>
    </w:rPr>
  </w:style>
  <w:style w:type="paragraph" w:styleId="ListContinue">
    <w:name w:val="List Continue"/>
    <w:basedOn w:val="Normal"/>
    <w:rsid w:val="00EA0810"/>
    <w:pPr>
      <w:spacing w:after="120"/>
      <w:ind w:left="283"/>
    </w:pPr>
    <w:rPr>
      <w:lang w:bidi="ar-SA"/>
    </w:rPr>
  </w:style>
  <w:style w:type="paragraph" w:styleId="ListContinue2">
    <w:name w:val="List Continue 2"/>
    <w:basedOn w:val="Normal"/>
    <w:rsid w:val="00EA0810"/>
    <w:pPr>
      <w:spacing w:after="120"/>
      <w:ind w:left="566"/>
    </w:pPr>
    <w:rPr>
      <w:lang w:bidi="ar-SA"/>
    </w:rPr>
  </w:style>
  <w:style w:type="paragraph" w:styleId="ListContinue3">
    <w:name w:val="List Continue 3"/>
    <w:basedOn w:val="Normal"/>
    <w:rsid w:val="00EA0810"/>
    <w:pPr>
      <w:spacing w:after="120"/>
      <w:ind w:left="849"/>
    </w:pPr>
    <w:rPr>
      <w:lang w:bidi="ar-SA"/>
    </w:rPr>
  </w:style>
  <w:style w:type="paragraph" w:styleId="ListContinue4">
    <w:name w:val="List Continue 4"/>
    <w:basedOn w:val="Normal"/>
    <w:rsid w:val="00EA0810"/>
    <w:pPr>
      <w:spacing w:after="120"/>
      <w:ind w:left="1132"/>
    </w:pPr>
    <w:rPr>
      <w:lang w:bidi="ar-SA"/>
    </w:rPr>
  </w:style>
  <w:style w:type="paragraph" w:styleId="ListContinue5">
    <w:name w:val="List Continue 5"/>
    <w:basedOn w:val="Normal"/>
    <w:rsid w:val="00EA0810"/>
    <w:pPr>
      <w:spacing w:after="120"/>
      <w:ind w:left="1415"/>
    </w:pPr>
    <w:rPr>
      <w:lang w:bidi="ar-SA"/>
    </w:rPr>
  </w:style>
  <w:style w:type="paragraph" w:styleId="ListNumber5">
    <w:name w:val="List Number 5"/>
    <w:basedOn w:val="Normal"/>
    <w:rsid w:val="00EA0810"/>
    <w:pPr>
      <w:tabs>
        <w:tab w:val="num" w:pos="1492"/>
      </w:tabs>
      <w:ind w:left="1492" w:hanging="360"/>
    </w:pPr>
    <w:rPr>
      <w:lang w:bidi="ar-SA"/>
    </w:rPr>
  </w:style>
  <w:style w:type="table" w:customStyle="1" w:styleId="MediumGrid31">
    <w:name w:val="Medium Grid 31"/>
    <w:basedOn w:val="TableNormal"/>
    <w:uiPriority w:val="60"/>
    <w:rsid w:val="00EA0810"/>
    <w:rPr>
      <w:rFonts w:ascii="Cambria" w:eastAsia="MS Mincho" w:hAnsi="Cambria"/>
      <w:color w:val="00000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MessageHeader">
    <w:name w:val="Message Header"/>
    <w:basedOn w:val="Normal"/>
    <w:link w:val="MessageHeaderChar"/>
    <w:rsid w:val="00EA0810"/>
    <w:pPr>
      <w:pBdr>
        <w:top w:val="single" w:sz="6" w:space="1" w:color="auto"/>
        <w:left w:val="single" w:sz="6" w:space="1" w:color="auto"/>
        <w:bottom w:val="single" w:sz="6" w:space="1" w:color="auto"/>
        <w:right w:val="single" w:sz="6" w:space="1" w:color="auto"/>
      </w:pBdr>
      <w:shd w:val="pct20" w:color="auto" w:fill="auto"/>
      <w:ind w:left="1134" w:hanging="1134"/>
    </w:pPr>
    <w:rPr>
      <w:lang w:bidi="ar-SA"/>
    </w:rPr>
  </w:style>
  <w:style w:type="character" w:customStyle="1" w:styleId="MessageHeaderChar">
    <w:name w:val="Message Header Char"/>
    <w:basedOn w:val="DefaultParagraphFont"/>
    <w:link w:val="MessageHeader"/>
    <w:rsid w:val="00EA0810"/>
    <w:rPr>
      <w:rFonts w:ascii="Arial" w:hAnsi="Arial" w:cs="Arial"/>
      <w:sz w:val="22"/>
      <w:shd w:val="pct20" w:color="auto" w:fill="auto"/>
      <w:lang w:bidi="ar-SA"/>
    </w:rPr>
  </w:style>
  <w:style w:type="paragraph" w:styleId="NormalIndent">
    <w:name w:val="Normal Indent"/>
    <w:basedOn w:val="Normal"/>
    <w:rsid w:val="00EA0810"/>
    <w:pPr>
      <w:ind w:left="720"/>
    </w:pPr>
    <w:rPr>
      <w:lang w:bidi="ar-SA"/>
    </w:rPr>
  </w:style>
  <w:style w:type="paragraph" w:styleId="NoteHeading">
    <w:name w:val="Note Heading"/>
    <w:basedOn w:val="Normal"/>
    <w:next w:val="Normal"/>
    <w:link w:val="NoteHeadingChar"/>
    <w:rsid w:val="00EA0810"/>
    <w:rPr>
      <w:lang w:bidi="ar-SA"/>
    </w:rPr>
  </w:style>
  <w:style w:type="character" w:customStyle="1" w:styleId="NoteHeadingChar">
    <w:name w:val="Note Heading Char"/>
    <w:basedOn w:val="DefaultParagraphFont"/>
    <w:link w:val="NoteHeading"/>
    <w:rsid w:val="00EA0810"/>
    <w:rPr>
      <w:rFonts w:ascii="Arial" w:hAnsi="Arial" w:cs="Arial"/>
      <w:sz w:val="22"/>
      <w:lang w:bidi="ar-SA"/>
    </w:rPr>
  </w:style>
  <w:style w:type="character" w:styleId="PlaceholderText">
    <w:name w:val="Placeholder Text"/>
    <w:basedOn w:val="DefaultParagraphFont"/>
    <w:uiPriority w:val="99"/>
    <w:semiHidden/>
    <w:rsid w:val="00EA0810"/>
    <w:rPr>
      <w:color w:val="808080"/>
    </w:rPr>
  </w:style>
  <w:style w:type="table" w:customStyle="1" w:styleId="Quote1">
    <w:name w:val="Quote1"/>
    <w:basedOn w:val="TableNormal"/>
    <w:uiPriority w:val="29"/>
    <w:qFormat/>
    <w:rsid w:val="00EA0810"/>
    <w:rPr>
      <w:color w:val="000000"/>
      <w:lang w:bidi="ar-SA"/>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numbering" w:customStyle="1" w:styleId="StyleBulleted">
    <w:name w:val="Style Bulleted"/>
    <w:basedOn w:val="NoList"/>
    <w:rsid w:val="00EA0810"/>
    <w:pPr>
      <w:numPr>
        <w:numId w:val="10"/>
      </w:numPr>
    </w:pPr>
  </w:style>
  <w:style w:type="table" w:styleId="Table3Deffects1">
    <w:name w:val="Table 3D effects 1"/>
    <w:basedOn w:val="TableNormal"/>
    <w:rsid w:val="00EA0810"/>
    <w:rPr>
      <w:rFonts w:ascii="Calibri" w:eastAsia="Calibri" w:hAnsi="Calibri"/>
      <w:lang w:bidi="ar-S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A0810"/>
    <w:rPr>
      <w:rFonts w:ascii="Calibri" w:eastAsia="Calibri" w:hAnsi="Calibri"/>
      <w:lang w:bidi="ar-S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A0810"/>
    <w:rPr>
      <w:rFonts w:ascii="Calibri" w:eastAsia="Calibri" w:hAnsi="Calibri"/>
      <w:lang w:bidi="ar-S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A0810"/>
    <w:rPr>
      <w:rFonts w:ascii="Calibri" w:eastAsia="Calibri" w:hAnsi="Calibri"/>
      <w:lang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A0810"/>
    <w:rPr>
      <w:rFonts w:ascii="Calibri" w:eastAsia="Calibri" w:hAnsi="Calibri"/>
      <w:lang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A0810"/>
    <w:rPr>
      <w:rFonts w:ascii="Calibri" w:eastAsia="Calibri" w:hAnsi="Calibri"/>
      <w:color w:val="000080"/>
      <w:lang w:bidi="ar-S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A0810"/>
    <w:rPr>
      <w:rFonts w:ascii="Calibri" w:eastAsia="Calibri" w:hAnsi="Calibri"/>
      <w:lang w:bidi="ar-S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A0810"/>
    <w:rPr>
      <w:rFonts w:ascii="Calibri" w:eastAsia="Calibri" w:hAnsi="Calibri"/>
      <w:color w:val="FFFFFF"/>
      <w:lang w:bidi="ar-SA"/>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A0810"/>
    <w:rPr>
      <w:rFonts w:ascii="Calibri" w:eastAsia="Calibri" w:hAnsi="Calibri"/>
      <w:lang w:bidi="ar-S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A0810"/>
    <w:rPr>
      <w:rFonts w:ascii="Calibri" w:eastAsia="Calibri" w:hAnsi="Calibri"/>
      <w:lang w:bidi="ar-S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A0810"/>
    <w:rPr>
      <w:rFonts w:ascii="Calibri" w:eastAsia="Calibri" w:hAnsi="Calibri"/>
      <w:b/>
      <w:bCs/>
      <w:lang w:bidi="ar-S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A0810"/>
    <w:rPr>
      <w:rFonts w:ascii="Calibri" w:eastAsia="Calibri" w:hAnsi="Calibri"/>
      <w:b/>
      <w:bCs/>
      <w:lang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A0810"/>
    <w:rPr>
      <w:rFonts w:ascii="Calibri" w:eastAsia="Calibri" w:hAnsi="Calibri"/>
      <w:b/>
      <w:bCs/>
      <w:lang w:bidi="ar-S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A0810"/>
    <w:rPr>
      <w:rFonts w:ascii="Calibri" w:eastAsia="Calibri" w:hAnsi="Calibri"/>
      <w:lang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A0810"/>
    <w:rPr>
      <w:rFonts w:ascii="Calibri" w:eastAsia="Calibri" w:hAnsi="Calibri"/>
      <w:lang w:bidi="ar-S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A0810"/>
    <w:rPr>
      <w:rFonts w:ascii="Calibri" w:eastAsia="Calibri" w:hAnsi="Calibri"/>
      <w:lang w:bidi="ar-S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A0810"/>
    <w:rPr>
      <w:rFonts w:ascii="Calibri" w:eastAsia="Calibri" w:hAnsi="Calibri"/>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EA0810"/>
    <w:rPr>
      <w:rFonts w:ascii="Calibri" w:eastAsia="Calibri" w:hAnsi="Calibri"/>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A0810"/>
    <w:rPr>
      <w:rFonts w:ascii="Calibri" w:eastAsia="Calibri" w:hAnsi="Calibri"/>
      <w:lang w:bidi="ar-SA"/>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A0810"/>
    <w:rPr>
      <w:rFonts w:ascii="Calibri" w:eastAsia="Calibri" w:hAnsi="Calibri"/>
      <w:lang w:bidi="ar-S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A0810"/>
    <w:rPr>
      <w:rFonts w:ascii="Calibri" w:eastAsia="Calibri" w:hAnsi="Calibri"/>
      <w:lang w:bidi="ar-SA"/>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A0810"/>
    <w:rPr>
      <w:rFonts w:ascii="Calibri" w:eastAsia="Calibri" w:hAnsi="Calibri"/>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A0810"/>
    <w:rPr>
      <w:rFonts w:ascii="Calibri" w:eastAsia="Calibri" w:hAnsi="Calibri"/>
      <w:lang w:bidi="ar-SA"/>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A0810"/>
    <w:rPr>
      <w:rFonts w:ascii="Calibri" w:eastAsia="Calibri" w:hAnsi="Calibri"/>
      <w:b/>
      <w:bCs/>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A0810"/>
    <w:rPr>
      <w:rFonts w:ascii="Calibri" w:eastAsia="Calibri" w:hAnsi="Calibri"/>
      <w:lang w:bidi="ar-S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A0810"/>
    <w:rPr>
      <w:rFonts w:ascii="Calibri" w:eastAsia="Calibri" w:hAnsi="Calibri"/>
      <w:lang w:bidi="ar-S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A0810"/>
    <w:rPr>
      <w:rFonts w:ascii="Calibri" w:eastAsia="Calibri" w:hAnsi="Calibri"/>
      <w:lang w:bidi="ar-S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A0810"/>
    <w:rPr>
      <w:rFonts w:ascii="Calibri" w:eastAsia="Calibri" w:hAnsi="Calibri"/>
      <w:lang w:bidi="ar-SA"/>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A0810"/>
    <w:rPr>
      <w:rFonts w:ascii="Calibri" w:eastAsia="Calibri" w:hAnsi="Calibri"/>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A0810"/>
    <w:rPr>
      <w:rFonts w:ascii="Calibri" w:eastAsia="Calibri" w:hAnsi="Calibri"/>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A0810"/>
    <w:rPr>
      <w:rFonts w:ascii="Calibri" w:eastAsia="Calibri" w:hAnsi="Calibri"/>
      <w:lang w:bidi="ar-S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A0810"/>
    <w:rPr>
      <w:rFonts w:ascii="Calibri" w:eastAsia="Calibri" w:hAnsi="Calibri"/>
      <w:lang w:bidi="ar-SA"/>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A0810"/>
    <w:rPr>
      <w:rFonts w:ascii="Calibri" w:eastAsia="Calibri" w:hAnsi="Calibri"/>
      <w:lang w:bidi="ar-S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A0810"/>
    <w:rPr>
      <w:rFonts w:ascii="Calibri" w:eastAsia="Calibri" w:hAnsi="Calibri"/>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A0810"/>
    <w:rPr>
      <w:rFonts w:ascii="Calibri" w:eastAsia="Calibri" w:hAnsi="Calibri"/>
      <w:lang w:bidi="ar-S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A0810"/>
    <w:rPr>
      <w:rFonts w:ascii="Calibri" w:eastAsia="Calibri" w:hAnsi="Calibri"/>
      <w:lang w:bidi="ar-S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A0810"/>
    <w:rPr>
      <w:rFonts w:ascii="Calibri" w:eastAsia="Calibri" w:hAnsi="Calibri"/>
      <w:lang w:bidi="ar-S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A0810"/>
    <w:rPr>
      <w:rFonts w:ascii="Calibri" w:eastAsia="Calibri" w:hAnsi="Calibri"/>
      <w:lang w:bidi="ar-S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A0810"/>
    <w:rPr>
      <w:rFonts w:ascii="Calibri" w:eastAsia="Calibri" w:hAnsi="Calibri"/>
      <w:lang w:bidi="ar-S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A0810"/>
    <w:rPr>
      <w:rFonts w:ascii="Calibri" w:eastAsia="Calibri" w:hAnsi="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A0810"/>
    <w:rPr>
      <w:rFonts w:ascii="Calibri" w:eastAsia="Calibri" w:hAnsi="Calibri"/>
      <w:lang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A0810"/>
    <w:rPr>
      <w:rFonts w:ascii="Calibri" w:eastAsia="Calibri" w:hAnsi="Calibri"/>
      <w:lang w:bidi="ar-S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A0810"/>
    <w:rPr>
      <w:rFonts w:ascii="Calibri" w:eastAsia="Calibri" w:hAnsi="Calibri"/>
      <w:lang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Before12ptAfter12ptLinespacing15lines">
    <w:name w:val="Style Before:  12 pt After:  12 pt Line spacing:  1.5 lines"/>
    <w:basedOn w:val="Normal"/>
    <w:rsid w:val="00B82C96"/>
    <w:pPr>
      <w:widowControl w:val="0"/>
      <w:spacing w:before="240" w:after="240" w:line="360" w:lineRule="auto"/>
      <w:ind w:left="360"/>
    </w:pPr>
    <w:rPr>
      <w:rFonts w:eastAsia="SimSun" w:cs="Times New Roman"/>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7424">
      <w:bodyDiv w:val="1"/>
      <w:marLeft w:val="0"/>
      <w:marRight w:val="0"/>
      <w:marTop w:val="0"/>
      <w:marBottom w:val="0"/>
      <w:divBdr>
        <w:top w:val="none" w:sz="0" w:space="0" w:color="auto"/>
        <w:left w:val="none" w:sz="0" w:space="0" w:color="auto"/>
        <w:bottom w:val="none" w:sz="0" w:space="0" w:color="auto"/>
        <w:right w:val="none" w:sz="0" w:space="0" w:color="auto"/>
      </w:divBdr>
    </w:div>
    <w:div w:id="54865153">
      <w:bodyDiv w:val="1"/>
      <w:marLeft w:val="0"/>
      <w:marRight w:val="0"/>
      <w:marTop w:val="0"/>
      <w:marBottom w:val="0"/>
      <w:divBdr>
        <w:top w:val="none" w:sz="0" w:space="0" w:color="auto"/>
        <w:left w:val="none" w:sz="0" w:space="0" w:color="auto"/>
        <w:bottom w:val="none" w:sz="0" w:space="0" w:color="auto"/>
        <w:right w:val="none" w:sz="0" w:space="0" w:color="auto"/>
      </w:divBdr>
    </w:div>
    <w:div w:id="222564981">
      <w:bodyDiv w:val="1"/>
      <w:marLeft w:val="0"/>
      <w:marRight w:val="0"/>
      <w:marTop w:val="0"/>
      <w:marBottom w:val="0"/>
      <w:divBdr>
        <w:top w:val="none" w:sz="0" w:space="0" w:color="auto"/>
        <w:left w:val="none" w:sz="0" w:space="0" w:color="auto"/>
        <w:bottom w:val="none" w:sz="0" w:space="0" w:color="auto"/>
        <w:right w:val="none" w:sz="0" w:space="0" w:color="auto"/>
      </w:divBdr>
    </w:div>
    <w:div w:id="227813869">
      <w:bodyDiv w:val="1"/>
      <w:marLeft w:val="0"/>
      <w:marRight w:val="0"/>
      <w:marTop w:val="0"/>
      <w:marBottom w:val="0"/>
      <w:divBdr>
        <w:top w:val="none" w:sz="0" w:space="0" w:color="auto"/>
        <w:left w:val="none" w:sz="0" w:space="0" w:color="auto"/>
        <w:bottom w:val="none" w:sz="0" w:space="0" w:color="auto"/>
        <w:right w:val="none" w:sz="0" w:space="0" w:color="auto"/>
      </w:divBdr>
    </w:div>
    <w:div w:id="247933575">
      <w:bodyDiv w:val="1"/>
      <w:marLeft w:val="0"/>
      <w:marRight w:val="0"/>
      <w:marTop w:val="0"/>
      <w:marBottom w:val="0"/>
      <w:divBdr>
        <w:top w:val="none" w:sz="0" w:space="0" w:color="auto"/>
        <w:left w:val="none" w:sz="0" w:space="0" w:color="auto"/>
        <w:bottom w:val="none" w:sz="0" w:space="0" w:color="auto"/>
        <w:right w:val="none" w:sz="0" w:space="0" w:color="auto"/>
      </w:divBdr>
    </w:div>
    <w:div w:id="311451998">
      <w:bodyDiv w:val="1"/>
      <w:marLeft w:val="0"/>
      <w:marRight w:val="0"/>
      <w:marTop w:val="0"/>
      <w:marBottom w:val="0"/>
      <w:divBdr>
        <w:top w:val="none" w:sz="0" w:space="0" w:color="auto"/>
        <w:left w:val="none" w:sz="0" w:space="0" w:color="auto"/>
        <w:bottom w:val="none" w:sz="0" w:space="0" w:color="auto"/>
        <w:right w:val="none" w:sz="0" w:space="0" w:color="auto"/>
      </w:divBdr>
    </w:div>
    <w:div w:id="342437420">
      <w:bodyDiv w:val="1"/>
      <w:marLeft w:val="0"/>
      <w:marRight w:val="0"/>
      <w:marTop w:val="0"/>
      <w:marBottom w:val="0"/>
      <w:divBdr>
        <w:top w:val="none" w:sz="0" w:space="0" w:color="auto"/>
        <w:left w:val="none" w:sz="0" w:space="0" w:color="auto"/>
        <w:bottom w:val="none" w:sz="0" w:space="0" w:color="auto"/>
        <w:right w:val="none" w:sz="0" w:space="0" w:color="auto"/>
      </w:divBdr>
      <w:divsChild>
        <w:div w:id="1099105960">
          <w:marLeft w:val="0"/>
          <w:marRight w:val="0"/>
          <w:marTop w:val="0"/>
          <w:marBottom w:val="0"/>
          <w:divBdr>
            <w:top w:val="none" w:sz="0" w:space="0" w:color="auto"/>
            <w:left w:val="none" w:sz="0" w:space="0" w:color="auto"/>
            <w:bottom w:val="none" w:sz="0" w:space="0" w:color="auto"/>
            <w:right w:val="none" w:sz="0" w:space="0" w:color="auto"/>
          </w:divBdr>
        </w:div>
        <w:div w:id="1849368810">
          <w:marLeft w:val="0"/>
          <w:marRight w:val="0"/>
          <w:marTop w:val="0"/>
          <w:marBottom w:val="0"/>
          <w:divBdr>
            <w:top w:val="none" w:sz="0" w:space="0" w:color="auto"/>
            <w:left w:val="none" w:sz="0" w:space="0" w:color="auto"/>
            <w:bottom w:val="none" w:sz="0" w:space="0" w:color="auto"/>
            <w:right w:val="none" w:sz="0" w:space="0" w:color="auto"/>
          </w:divBdr>
        </w:div>
        <w:div w:id="841430819">
          <w:marLeft w:val="0"/>
          <w:marRight w:val="0"/>
          <w:marTop w:val="0"/>
          <w:marBottom w:val="0"/>
          <w:divBdr>
            <w:top w:val="none" w:sz="0" w:space="0" w:color="auto"/>
            <w:left w:val="none" w:sz="0" w:space="0" w:color="auto"/>
            <w:bottom w:val="none" w:sz="0" w:space="0" w:color="auto"/>
            <w:right w:val="none" w:sz="0" w:space="0" w:color="auto"/>
          </w:divBdr>
        </w:div>
        <w:div w:id="1259754460">
          <w:marLeft w:val="0"/>
          <w:marRight w:val="0"/>
          <w:marTop w:val="0"/>
          <w:marBottom w:val="0"/>
          <w:divBdr>
            <w:top w:val="none" w:sz="0" w:space="0" w:color="auto"/>
            <w:left w:val="none" w:sz="0" w:space="0" w:color="auto"/>
            <w:bottom w:val="none" w:sz="0" w:space="0" w:color="auto"/>
            <w:right w:val="none" w:sz="0" w:space="0" w:color="auto"/>
          </w:divBdr>
        </w:div>
        <w:div w:id="855459352">
          <w:marLeft w:val="0"/>
          <w:marRight w:val="0"/>
          <w:marTop w:val="0"/>
          <w:marBottom w:val="0"/>
          <w:divBdr>
            <w:top w:val="none" w:sz="0" w:space="0" w:color="auto"/>
            <w:left w:val="none" w:sz="0" w:space="0" w:color="auto"/>
            <w:bottom w:val="none" w:sz="0" w:space="0" w:color="auto"/>
            <w:right w:val="none" w:sz="0" w:space="0" w:color="auto"/>
          </w:divBdr>
        </w:div>
      </w:divsChild>
    </w:div>
    <w:div w:id="437485512">
      <w:bodyDiv w:val="1"/>
      <w:marLeft w:val="0"/>
      <w:marRight w:val="0"/>
      <w:marTop w:val="0"/>
      <w:marBottom w:val="0"/>
      <w:divBdr>
        <w:top w:val="none" w:sz="0" w:space="0" w:color="auto"/>
        <w:left w:val="none" w:sz="0" w:space="0" w:color="auto"/>
        <w:bottom w:val="none" w:sz="0" w:space="0" w:color="auto"/>
        <w:right w:val="none" w:sz="0" w:space="0" w:color="auto"/>
      </w:divBdr>
    </w:div>
    <w:div w:id="479809737">
      <w:bodyDiv w:val="1"/>
      <w:marLeft w:val="0"/>
      <w:marRight w:val="0"/>
      <w:marTop w:val="0"/>
      <w:marBottom w:val="0"/>
      <w:divBdr>
        <w:top w:val="none" w:sz="0" w:space="0" w:color="auto"/>
        <w:left w:val="none" w:sz="0" w:space="0" w:color="auto"/>
        <w:bottom w:val="none" w:sz="0" w:space="0" w:color="auto"/>
        <w:right w:val="none" w:sz="0" w:space="0" w:color="auto"/>
      </w:divBdr>
    </w:div>
    <w:div w:id="526873691">
      <w:bodyDiv w:val="1"/>
      <w:marLeft w:val="0"/>
      <w:marRight w:val="0"/>
      <w:marTop w:val="0"/>
      <w:marBottom w:val="0"/>
      <w:divBdr>
        <w:top w:val="none" w:sz="0" w:space="0" w:color="auto"/>
        <w:left w:val="none" w:sz="0" w:space="0" w:color="auto"/>
        <w:bottom w:val="none" w:sz="0" w:space="0" w:color="auto"/>
        <w:right w:val="none" w:sz="0" w:space="0" w:color="auto"/>
      </w:divBdr>
    </w:div>
    <w:div w:id="527836939">
      <w:bodyDiv w:val="1"/>
      <w:marLeft w:val="0"/>
      <w:marRight w:val="0"/>
      <w:marTop w:val="0"/>
      <w:marBottom w:val="0"/>
      <w:divBdr>
        <w:top w:val="none" w:sz="0" w:space="0" w:color="auto"/>
        <w:left w:val="none" w:sz="0" w:space="0" w:color="auto"/>
        <w:bottom w:val="none" w:sz="0" w:space="0" w:color="auto"/>
        <w:right w:val="none" w:sz="0" w:space="0" w:color="auto"/>
      </w:divBdr>
    </w:div>
    <w:div w:id="830876850">
      <w:bodyDiv w:val="1"/>
      <w:marLeft w:val="0"/>
      <w:marRight w:val="0"/>
      <w:marTop w:val="0"/>
      <w:marBottom w:val="0"/>
      <w:divBdr>
        <w:top w:val="none" w:sz="0" w:space="0" w:color="auto"/>
        <w:left w:val="none" w:sz="0" w:space="0" w:color="auto"/>
        <w:bottom w:val="none" w:sz="0" w:space="0" w:color="auto"/>
        <w:right w:val="none" w:sz="0" w:space="0" w:color="auto"/>
      </w:divBdr>
    </w:div>
    <w:div w:id="1239287791">
      <w:bodyDiv w:val="1"/>
      <w:marLeft w:val="0"/>
      <w:marRight w:val="0"/>
      <w:marTop w:val="0"/>
      <w:marBottom w:val="0"/>
      <w:divBdr>
        <w:top w:val="none" w:sz="0" w:space="0" w:color="auto"/>
        <w:left w:val="none" w:sz="0" w:space="0" w:color="auto"/>
        <w:bottom w:val="none" w:sz="0" w:space="0" w:color="auto"/>
        <w:right w:val="none" w:sz="0" w:space="0" w:color="auto"/>
      </w:divBdr>
    </w:div>
    <w:div w:id="1356228742">
      <w:bodyDiv w:val="1"/>
      <w:marLeft w:val="0"/>
      <w:marRight w:val="0"/>
      <w:marTop w:val="0"/>
      <w:marBottom w:val="0"/>
      <w:divBdr>
        <w:top w:val="none" w:sz="0" w:space="0" w:color="auto"/>
        <w:left w:val="none" w:sz="0" w:space="0" w:color="auto"/>
        <w:bottom w:val="none" w:sz="0" w:space="0" w:color="auto"/>
        <w:right w:val="none" w:sz="0" w:space="0" w:color="auto"/>
      </w:divBdr>
    </w:div>
    <w:div w:id="1461191437">
      <w:bodyDiv w:val="1"/>
      <w:marLeft w:val="0"/>
      <w:marRight w:val="0"/>
      <w:marTop w:val="0"/>
      <w:marBottom w:val="0"/>
      <w:divBdr>
        <w:top w:val="none" w:sz="0" w:space="0" w:color="auto"/>
        <w:left w:val="none" w:sz="0" w:space="0" w:color="auto"/>
        <w:bottom w:val="none" w:sz="0" w:space="0" w:color="auto"/>
        <w:right w:val="none" w:sz="0" w:space="0" w:color="auto"/>
      </w:divBdr>
    </w:div>
    <w:div w:id="1520389156">
      <w:bodyDiv w:val="1"/>
      <w:marLeft w:val="0"/>
      <w:marRight w:val="0"/>
      <w:marTop w:val="0"/>
      <w:marBottom w:val="0"/>
      <w:divBdr>
        <w:top w:val="none" w:sz="0" w:space="0" w:color="auto"/>
        <w:left w:val="none" w:sz="0" w:space="0" w:color="auto"/>
        <w:bottom w:val="none" w:sz="0" w:space="0" w:color="auto"/>
        <w:right w:val="none" w:sz="0" w:space="0" w:color="auto"/>
      </w:divBdr>
    </w:div>
    <w:div w:id="1527064470">
      <w:bodyDiv w:val="1"/>
      <w:marLeft w:val="0"/>
      <w:marRight w:val="0"/>
      <w:marTop w:val="0"/>
      <w:marBottom w:val="0"/>
      <w:divBdr>
        <w:top w:val="none" w:sz="0" w:space="0" w:color="auto"/>
        <w:left w:val="none" w:sz="0" w:space="0" w:color="auto"/>
        <w:bottom w:val="none" w:sz="0" w:space="0" w:color="auto"/>
        <w:right w:val="none" w:sz="0" w:space="0" w:color="auto"/>
      </w:divBdr>
    </w:div>
    <w:div w:id="1530148343">
      <w:bodyDiv w:val="1"/>
      <w:marLeft w:val="0"/>
      <w:marRight w:val="0"/>
      <w:marTop w:val="0"/>
      <w:marBottom w:val="0"/>
      <w:divBdr>
        <w:top w:val="none" w:sz="0" w:space="0" w:color="auto"/>
        <w:left w:val="none" w:sz="0" w:space="0" w:color="auto"/>
        <w:bottom w:val="none" w:sz="0" w:space="0" w:color="auto"/>
        <w:right w:val="none" w:sz="0" w:space="0" w:color="auto"/>
      </w:divBdr>
    </w:div>
    <w:div w:id="1549029507">
      <w:bodyDiv w:val="1"/>
      <w:marLeft w:val="0"/>
      <w:marRight w:val="0"/>
      <w:marTop w:val="0"/>
      <w:marBottom w:val="0"/>
      <w:divBdr>
        <w:top w:val="none" w:sz="0" w:space="0" w:color="auto"/>
        <w:left w:val="none" w:sz="0" w:space="0" w:color="auto"/>
        <w:bottom w:val="none" w:sz="0" w:space="0" w:color="auto"/>
        <w:right w:val="none" w:sz="0" w:space="0" w:color="auto"/>
      </w:divBdr>
    </w:div>
    <w:div w:id="1693073003">
      <w:bodyDiv w:val="1"/>
      <w:marLeft w:val="0"/>
      <w:marRight w:val="0"/>
      <w:marTop w:val="0"/>
      <w:marBottom w:val="0"/>
      <w:divBdr>
        <w:top w:val="none" w:sz="0" w:space="0" w:color="auto"/>
        <w:left w:val="none" w:sz="0" w:space="0" w:color="auto"/>
        <w:bottom w:val="none" w:sz="0" w:space="0" w:color="auto"/>
        <w:right w:val="none" w:sz="0" w:space="0" w:color="auto"/>
      </w:divBdr>
    </w:div>
    <w:div w:id="1788086735">
      <w:bodyDiv w:val="1"/>
      <w:marLeft w:val="0"/>
      <w:marRight w:val="0"/>
      <w:marTop w:val="0"/>
      <w:marBottom w:val="0"/>
      <w:divBdr>
        <w:top w:val="none" w:sz="0" w:space="0" w:color="auto"/>
        <w:left w:val="none" w:sz="0" w:space="0" w:color="auto"/>
        <w:bottom w:val="none" w:sz="0" w:space="0" w:color="auto"/>
        <w:right w:val="none" w:sz="0" w:space="0" w:color="auto"/>
      </w:divBdr>
    </w:div>
    <w:div w:id="1937206082">
      <w:bodyDiv w:val="1"/>
      <w:marLeft w:val="0"/>
      <w:marRight w:val="0"/>
      <w:marTop w:val="0"/>
      <w:marBottom w:val="0"/>
      <w:divBdr>
        <w:top w:val="none" w:sz="0" w:space="0" w:color="auto"/>
        <w:left w:val="none" w:sz="0" w:space="0" w:color="auto"/>
        <w:bottom w:val="none" w:sz="0" w:space="0" w:color="auto"/>
        <w:right w:val="none" w:sz="0" w:space="0" w:color="auto"/>
      </w:divBdr>
    </w:div>
    <w:div w:id="2002611638">
      <w:bodyDiv w:val="1"/>
      <w:marLeft w:val="0"/>
      <w:marRight w:val="0"/>
      <w:marTop w:val="0"/>
      <w:marBottom w:val="0"/>
      <w:divBdr>
        <w:top w:val="none" w:sz="0" w:space="0" w:color="auto"/>
        <w:left w:val="none" w:sz="0" w:space="0" w:color="auto"/>
        <w:bottom w:val="none" w:sz="0" w:space="0" w:color="auto"/>
        <w:right w:val="none" w:sz="0" w:space="0" w:color="auto"/>
      </w:divBdr>
    </w:div>
    <w:div w:id="2040549846">
      <w:bodyDiv w:val="1"/>
      <w:marLeft w:val="0"/>
      <w:marRight w:val="0"/>
      <w:marTop w:val="0"/>
      <w:marBottom w:val="0"/>
      <w:divBdr>
        <w:top w:val="none" w:sz="0" w:space="0" w:color="auto"/>
        <w:left w:val="none" w:sz="0" w:space="0" w:color="auto"/>
        <w:bottom w:val="none" w:sz="0" w:space="0" w:color="auto"/>
        <w:right w:val="none" w:sz="0" w:space="0" w:color="auto"/>
      </w:divBdr>
      <w:divsChild>
        <w:div w:id="1507744273">
          <w:marLeft w:val="0"/>
          <w:marRight w:val="0"/>
          <w:marTop w:val="0"/>
          <w:marBottom w:val="0"/>
          <w:divBdr>
            <w:top w:val="none" w:sz="0" w:space="0" w:color="auto"/>
            <w:left w:val="none" w:sz="0" w:space="0" w:color="auto"/>
            <w:bottom w:val="none" w:sz="0" w:space="0" w:color="auto"/>
            <w:right w:val="none" w:sz="0" w:space="0" w:color="auto"/>
          </w:divBdr>
          <w:divsChild>
            <w:div w:id="154034512">
              <w:marLeft w:val="0"/>
              <w:marRight w:val="0"/>
              <w:marTop w:val="0"/>
              <w:marBottom w:val="0"/>
              <w:divBdr>
                <w:top w:val="none" w:sz="0" w:space="0" w:color="auto"/>
                <w:left w:val="none" w:sz="0" w:space="0" w:color="auto"/>
                <w:bottom w:val="none" w:sz="0" w:space="0" w:color="auto"/>
                <w:right w:val="none" w:sz="0" w:space="0" w:color="auto"/>
              </w:divBdr>
              <w:divsChild>
                <w:div w:id="1021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5.emf"/></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n/doc_details.jsp?doc_id=253571" TargetMode="External"/><Relationship Id="rId3" Type="http://schemas.openxmlformats.org/officeDocument/2006/relationships/hyperlink" Target="http://www.wipo.int/meetings/en/doc_details.jsp?doc_id=253571" TargetMode="External"/><Relationship Id="rId7" Type="http://schemas.openxmlformats.org/officeDocument/2006/relationships/hyperlink" Target="http://www.wipo.int/meetings/en/doc_details.jsp?doc_id=253571" TargetMode="External"/><Relationship Id="rId2" Type="http://schemas.openxmlformats.org/officeDocument/2006/relationships/hyperlink" Target="http://www.wipo.int/meetings/en/doc_details.jsp?doc_id=253571" TargetMode="External"/><Relationship Id="rId1" Type="http://schemas.openxmlformats.org/officeDocument/2006/relationships/hyperlink" Target="http://www.wipo.int/meetings/en/doc_details.jsp?doc_id=139640" TargetMode="External"/><Relationship Id="rId6" Type="http://schemas.openxmlformats.org/officeDocument/2006/relationships/hyperlink" Target="http://www.wipo.int/meetings/en/doc_details.jsp?doc_id=253571" TargetMode="External"/><Relationship Id="rId5" Type="http://schemas.openxmlformats.org/officeDocument/2006/relationships/hyperlink" Target="http://www.wipo.int/meetings/en/doc_details.jsp?doc_id=139640" TargetMode="External"/><Relationship Id="rId4" Type="http://schemas.openxmlformats.org/officeDocument/2006/relationships/hyperlink" Target="http://data.worldbank.org/indicator/PA.NUS.FCRF" TargetMode="External"/><Relationship Id="rId9" Type="http://schemas.openxmlformats.org/officeDocument/2006/relationships/hyperlink" Target="http://data.worldbank.org/indicator/PA.NUS.FCR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4CD76-BCDB-4D15-BD4D-83CBC7A72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29</Pages>
  <Words>7391</Words>
  <Characters>44524</Characters>
  <Application>Microsoft Office Word</Application>
  <DocSecurity>0</DocSecurity>
  <Lines>371</Lines>
  <Paragraphs>103</Paragraphs>
  <ScaleCrop>false</ScaleCrop>
  <HeadingPairs>
    <vt:vector size="2" baseType="variant">
      <vt:variant>
        <vt:lpstr>Title</vt:lpstr>
      </vt:variant>
      <vt:variant>
        <vt:i4>1</vt:i4>
      </vt:variant>
    </vt:vector>
  </HeadingPairs>
  <TitlesOfParts>
    <vt:vector size="1" baseType="lpstr">
      <vt:lpstr>าาาาาามาสมามามา</vt:lpstr>
    </vt:vector>
  </TitlesOfParts>
  <Company>TDRI</Company>
  <LinksUpToDate>false</LinksUpToDate>
  <CharactersWithSpaces>51812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าาาาาามาสมามามา</dc:title>
  <dc:creator>Siraporn</dc:creator>
  <cp:lastModifiedBy>BRACI Biljana</cp:lastModifiedBy>
  <cp:revision>18</cp:revision>
  <cp:lastPrinted>2014-09-16T13:40:00Z</cp:lastPrinted>
  <dcterms:created xsi:type="dcterms:W3CDTF">2014-09-10T15:36:00Z</dcterms:created>
  <dcterms:modified xsi:type="dcterms:W3CDTF">2014-09-16T13:48:00Z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zotero-version="4.0.16"&gt;&lt;session id="6Qjliufu"/&gt;&lt;style id="http://www.zotero.org/styles/apa" hasBibliography="1" bibliographyStyleHasBeenSet="0"/&gt;&lt;prefs&gt;&lt;pref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