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1.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5"/>
        <w:gridCol w:w="4339"/>
        <w:gridCol w:w="506"/>
      </w:tblGrid>
      <w:tr w:rsidR="00AA1E26" w:rsidRPr="00A55EE7" w:rsidTr="00BE048B">
        <w:tc>
          <w:tcPr>
            <w:tcW w:w="4513" w:type="dxa"/>
            <w:tcBorders>
              <w:top w:val="nil"/>
              <w:left w:val="nil"/>
              <w:bottom w:val="single" w:sz="4" w:space="0" w:color="auto"/>
              <w:right w:val="nil"/>
            </w:tcBorders>
            <w:tcMar>
              <w:top w:w="0" w:type="dxa"/>
              <w:left w:w="108" w:type="dxa"/>
              <w:bottom w:w="170" w:type="dxa"/>
              <w:right w:w="108" w:type="dxa"/>
            </w:tcMar>
          </w:tcPr>
          <w:p w:rsidR="00AA1E26" w:rsidRPr="00AA1E26" w:rsidRDefault="00AA1E26" w:rsidP="00BE048B">
            <w:pPr>
              <w:widowControl/>
              <w:jc w:val="left"/>
              <w:rPr>
                <w:rFonts w:eastAsia="SimSun" w:cs="Arial"/>
                <w:kern w:val="0"/>
                <w:lang w:eastAsia="zh-CN"/>
              </w:rPr>
            </w:pPr>
            <w:bookmarkStart w:id="0" w:name="_GoBack"/>
            <w:bookmarkEnd w:id="0"/>
          </w:p>
        </w:tc>
        <w:tc>
          <w:tcPr>
            <w:tcW w:w="4337" w:type="dxa"/>
            <w:tcBorders>
              <w:top w:val="nil"/>
              <w:left w:val="nil"/>
              <w:bottom w:val="single" w:sz="4" w:space="0" w:color="auto"/>
              <w:right w:val="nil"/>
            </w:tcBorders>
            <w:tcMar>
              <w:top w:w="0" w:type="dxa"/>
              <w:left w:w="0" w:type="dxa"/>
              <w:bottom w:w="0" w:type="dxa"/>
              <w:right w:w="0" w:type="dxa"/>
            </w:tcMar>
            <w:hideMark/>
          </w:tcPr>
          <w:p w:rsidR="00AA1E26" w:rsidRPr="00AA1E26" w:rsidRDefault="00AA1E26" w:rsidP="00BE048B">
            <w:pPr>
              <w:widowControl/>
              <w:jc w:val="left"/>
              <w:rPr>
                <w:rFonts w:eastAsia="SimSun" w:cs="Arial"/>
                <w:kern w:val="0"/>
                <w:lang w:eastAsia="zh-CN"/>
              </w:rPr>
            </w:pPr>
            <w:r w:rsidRPr="00AA1E26">
              <w:rPr>
                <w:rFonts w:eastAsia="SimSun" w:cs="Arial"/>
                <w:noProof/>
                <w:kern w:val="0"/>
                <w:lang w:eastAsia="en-US"/>
              </w:rPr>
              <w:drawing>
                <wp:inline distT="0" distB="0" distL="0" distR="0">
                  <wp:extent cx="1851660" cy="1325245"/>
                  <wp:effectExtent l="0" t="0" r="0" b="8255"/>
                  <wp:docPr id="11" name="Picture 1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660" cy="1325245"/>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AA1E26" w:rsidRPr="00A55EE7" w:rsidRDefault="00AA1E26" w:rsidP="00BE048B">
            <w:pPr>
              <w:widowControl/>
              <w:jc w:val="right"/>
              <w:rPr>
                <w:rFonts w:eastAsia="SimSun" w:cs="Arial"/>
                <w:b/>
                <w:kern w:val="0"/>
                <w:sz w:val="40"/>
                <w:szCs w:val="40"/>
                <w:lang w:eastAsia="zh-CN"/>
              </w:rPr>
            </w:pPr>
            <w:r w:rsidRPr="00A55EE7">
              <w:rPr>
                <w:rFonts w:eastAsia="SimSun" w:cs="Arial"/>
                <w:b/>
                <w:kern w:val="0"/>
                <w:sz w:val="40"/>
                <w:szCs w:val="40"/>
                <w:lang w:eastAsia="zh-CN"/>
              </w:rPr>
              <w:t>E</w:t>
            </w:r>
          </w:p>
        </w:tc>
      </w:tr>
      <w:tr w:rsidR="00AA1E26" w:rsidRPr="003630DB" w:rsidTr="00BE048B">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AA1E26" w:rsidRPr="003630DB" w:rsidRDefault="00AA1E26" w:rsidP="00A02D54">
            <w:pPr>
              <w:widowControl/>
              <w:jc w:val="right"/>
              <w:rPr>
                <w:rFonts w:ascii="Arial Black" w:eastAsia="SimSun" w:hAnsi="Arial Black" w:cs="Arial"/>
                <w:caps/>
                <w:kern w:val="0"/>
                <w:sz w:val="15"/>
                <w:szCs w:val="20"/>
                <w:lang w:eastAsia="zh-CN"/>
              </w:rPr>
            </w:pPr>
            <w:r w:rsidRPr="003630DB">
              <w:rPr>
                <w:rFonts w:ascii="Arial Black" w:eastAsia="SimSun" w:hAnsi="Arial Black" w:cs="Arial"/>
                <w:caps/>
                <w:kern w:val="0"/>
                <w:sz w:val="15"/>
                <w:szCs w:val="20"/>
                <w:lang w:eastAsia="zh-CN"/>
              </w:rPr>
              <w:t>cdip/1</w:t>
            </w:r>
            <w:r w:rsidR="00B15F06">
              <w:rPr>
                <w:rFonts w:ascii="Arial Black" w:eastAsia="SimSun" w:hAnsi="Arial Black" w:cs="Arial"/>
                <w:caps/>
                <w:kern w:val="0"/>
                <w:sz w:val="15"/>
                <w:szCs w:val="20"/>
                <w:lang w:eastAsia="zh-CN"/>
              </w:rPr>
              <w:t>3</w:t>
            </w:r>
            <w:r w:rsidRPr="003630DB">
              <w:rPr>
                <w:rFonts w:ascii="Arial Black" w:eastAsia="SimSun" w:hAnsi="Arial Black" w:cs="Arial"/>
                <w:caps/>
                <w:kern w:val="0"/>
                <w:sz w:val="15"/>
                <w:szCs w:val="20"/>
                <w:lang w:eastAsia="zh-CN"/>
              </w:rPr>
              <w:t>/</w:t>
            </w:r>
            <w:bookmarkStart w:id="1" w:name="Code"/>
            <w:bookmarkEnd w:id="1"/>
            <w:r w:rsidRPr="003630DB">
              <w:rPr>
                <w:rFonts w:ascii="Arial Black" w:eastAsia="SimSun" w:hAnsi="Arial Black" w:cs="Arial"/>
                <w:caps/>
                <w:kern w:val="0"/>
                <w:sz w:val="15"/>
                <w:szCs w:val="20"/>
                <w:lang w:eastAsia="zh-CN"/>
              </w:rPr>
              <w:t>INF/</w:t>
            </w:r>
            <w:r w:rsidR="00A02D54">
              <w:rPr>
                <w:rFonts w:ascii="Arial Black" w:eastAsia="SimSun" w:hAnsi="Arial Black" w:cs="Arial"/>
                <w:caps/>
                <w:kern w:val="0"/>
                <w:sz w:val="15"/>
                <w:szCs w:val="20"/>
                <w:lang w:eastAsia="zh-CN"/>
              </w:rPr>
              <w:t>9</w:t>
            </w:r>
            <w:r w:rsidRPr="003630DB">
              <w:rPr>
                <w:rFonts w:ascii="Arial Black" w:eastAsia="SimSun" w:hAnsi="Arial Black" w:cs="Arial"/>
                <w:caps/>
                <w:kern w:val="0"/>
                <w:sz w:val="15"/>
                <w:szCs w:val="20"/>
                <w:lang w:eastAsia="zh-CN"/>
              </w:rPr>
              <w:t xml:space="preserve">  </w:t>
            </w:r>
          </w:p>
        </w:tc>
      </w:tr>
      <w:tr w:rsidR="00AA1E26" w:rsidRPr="00AA1E26" w:rsidTr="00BE048B">
        <w:trPr>
          <w:trHeight w:val="170"/>
        </w:trPr>
        <w:tc>
          <w:tcPr>
            <w:tcW w:w="9356" w:type="dxa"/>
            <w:gridSpan w:val="3"/>
            <w:noWrap/>
            <w:tcMar>
              <w:top w:w="0" w:type="dxa"/>
              <w:left w:w="0" w:type="dxa"/>
              <w:bottom w:w="0" w:type="dxa"/>
              <w:right w:w="0" w:type="dxa"/>
            </w:tcMar>
            <w:vAlign w:val="bottom"/>
            <w:hideMark/>
          </w:tcPr>
          <w:p w:rsidR="00AA1E26" w:rsidRPr="003630DB" w:rsidRDefault="00AA1E26" w:rsidP="00BE048B">
            <w:pPr>
              <w:widowControl/>
              <w:jc w:val="right"/>
              <w:rPr>
                <w:rFonts w:ascii="Arial Black" w:eastAsia="SimSun" w:hAnsi="Arial Black" w:cs="Arial"/>
                <w:caps/>
                <w:kern w:val="0"/>
                <w:sz w:val="15"/>
                <w:szCs w:val="20"/>
                <w:lang w:eastAsia="zh-CN"/>
              </w:rPr>
            </w:pPr>
            <w:r w:rsidRPr="003630DB">
              <w:rPr>
                <w:rFonts w:ascii="Arial Black" w:eastAsia="SimSun" w:hAnsi="Arial Black" w:cs="Arial"/>
                <w:caps/>
                <w:kern w:val="0"/>
                <w:sz w:val="15"/>
                <w:szCs w:val="20"/>
                <w:lang w:eastAsia="zh-CN"/>
              </w:rPr>
              <w:t xml:space="preserve">ORIGINAL:  </w:t>
            </w:r>
            <w:bookmarkStart w:id="2" w:name="Original"/>
            <w:bookmarkEnd w:id="2"/>
            <w:r w:rsidRPr="003630DB">
              <w:rPr>
                <w:rFonts w:ascii="Arial Black" w:eastAsia="SimSun" w:hAnsi="Arial Black" w:cs="Arial"/>
                <w:caps/>
                <w:kern w:val="0"/>
                <w:sz w:val="15"/>
                <w:szCs w:val="20"/>
                <w:lang w:eastAsia="zh-CN"/>
              </w:rPr>
              <w:t>English</w:t>
            </w:r>
          </w:p>
        </w:tc>
      </w:tr>
      <w:tr w:rsidR="00AA1E26" w:rsidRPr="00AA1E26" w:rsidTr="00BE048B">
        <w:trPr>
          <w:trHeight w:val="198"/>
        </w:trPr>
        <w:tc>
          <w:tcPr>
            <w:tcW w:w="9356" w:type="dxa"/>
            <w:gridSpan w:val="3"/>
            <w:tcMar>
              <w:top w:w="0" w:type="dxa"/>
              <w:left w:w="0" w:type="dxa"/>
              <w:bottom w:w="0" w:type="dxa"/>
              <w:right w:w="0" w:type="dxa"/>
            </w:tcMar>
            <w:vAlign w:val="bottom"/>
            <w:hideMark/>
          </w:tcPr>
          <w:p w:rsidR="00AA1E26" w:rsidRPr="003630DB" w:rsidRDefault="00AA1E26" w:rsidP="003F3172">
            <w:pPr>
              <w:widowControl/>
              <w:jc w:val="right"/>
              <w:rPr>
                <w:rFonts w:ascii="Arial Black" w:eastAsia="SimSun" w:hAnsi="Arial Black" w:cs="Arial"/>
                <w:caps/>
                <w:kern w:val="0"/>
                <w:sz w:val="15"/>
                <w:szCs w:val="20"/>
                <w:lang w:eastAsia="zh-CN"/>
              </w:rPr>
            </w:pPr>
            <w:r w:rsidRPr="003630DB">
              <w:rPr>
                <w:rFonts w:ascii="Arial Black" w:eastAsia="SimSun" w:hAnsi="Arial Black" w:cs="Arial"/>
                <w:caps/>
                <w:kern w:val="0"/>
                <w:sz w:val="15"/>
                <w:szCs w:val="20"/>
                <w:lang w:eastAsia="zh-CN"/>
              </w:rPr>
              <w:t xml:space="preserve">DATE:  </w:t>
            </w:r>
            <w:bookmarkStart w:id="3" w:name="Date"/>
            <w:bookmarkEnd w:id="3"/>
            <w:r w:rsidRPr="003630DB">
              <w:rPr>
                <w:rFonts w:ascii="Arial Black" w:eastAsia="SimSun" w:hAnsi="Arial Black" w:cs="Arial"/>
                <w:caps/>
                <w:kern w:val="0"/>
                <w:sz w:val="15"/>
                <w:szCs w:val="20"/>
                <w:lang w:eastAsia="zh-CN"/>
              </w:rPr>
              <w:t xml:space="preserve">April </w:t>
            </w:r>
            <w:r w:rsidR="00304263">
              <w:rPr>
                <w:rFonts w:ascii="Arial Black" w:eastAsia="SimSun" w:hAnsi="Arial Black" w:cs="Arial"/>
                <w:caps/>
                <w:kern w:val="0"/>
                <w:sz w:val="15"/>
                <w:szCs w:val="20"/>
                <w:lang w:eastAsia="zh-CN"/>
              </w:rPr>
              <w:t>23</w:t>
            </w:r>
            <w:r w:rsidRPr="003630DB">
              <w:rPr>
                <w:rFonts w:ascii="Arial Black" w:eastAsia="SimSun" w:hAnsi="Arial Black" w:cs="Arial"/>
                <w:caps/>
                <w:kern w:val="0"/>
                <w:sz w:val="15"/>
                <w:szCs w:val="20"/>
                <w:lang w:eastAsia="zh-CN"/>
              </w:rPr>
              <w:t>, 2014</w:t>
            </w:r>
          </w:p>
        </w:tc>
      </w:tr>
    </w:tbl>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3630DB" w:rsidRDefault="00AA1E26" w:rsidP="003630DB">
      <w:pPr>
        <w:widowControl/>
        <w:jc w:val="left"/>
        <w:rPr>
          <w:rFonts w:eastAsia="SimSun" w:cs="Arial"/>
          <w:b/>
          <w:kern w:val="0"/>
          <w:sz w:val="28"/>
          <w:szCs w:val="28"/>
          <w:lang w:eastAsia="zh-CN"/>
        </w:rPr>
      </w:pPr>
      <w:bookmarkStart w:id="4" w:name="_Toc381274326"/>
      <w:bookmarkStart w:id="5" w:name="_Toc350869288"/>
      <w:r w:rsidRPr="003630DB">
        <w:rPr>
          <w:rFonts w:eastAsia="SimSun" w:cs="Arial"/>
          <w:b/>
          <w:kern w:val="0"/>
          <w:sz w:val="28"/>
          <w:szCs w:val="28"/>
          <w:lang w:eastAsia="zh-CN"/>
        </w:rPr>
        <w:t>Committee on Development and Intellectual Property (CDIP)</w:t>
      </w:r>
      <w:bookmarkEnd w:id="4"/>
      <w:bookmarkEnd w:id="5"/>
    </w:p>
    <w:p w:rsidR="00AA1E26" w:rsidRPr="003630DB" w:rsidRDefault="00AA1E26" w:rsidP="00AA1E26">
      <w:pPr>
        <w:widowControl/>
        <w:jc w:val="left"/>
        <w:rPr>
          <w:rFonts w:eastAsia="SimSun" w:cs="Arial"/>
          <w:kern w:val="0"/>
          <w:szCs w:val="20"/>
          <w:lang w:eastAsia="zh-CN"/>
        </w:rPr>
      </w:pPr>
    </w:p>
    <w:p w:rsidR="00AA1E26" w:rsidRPr="003630DB" w:rsidRDefault="00AA1E26" w:rsidP="00AA1E26">
      <w:pPr>
        <w:widowControl/>
        <w:jc w:val="left"/>
        <w:rPr>
          <w:rFonts w:eastAsia="SimSun" w:cs="Arial"/>
          <w:kern w:val="0"/>
          <w:szCs w:val="20"/>
          <w:lang w:eastAsia="zh-CN"/>
        </w:rPr>
      </w:pPr>
    </w:p>
    <w:p w:rsidR="003630DB" w:rsidRPr="00DF04A2" w:rsidRDefault="003630DB" w:rsidP="003630DB">
      <w:pPr>
        <w:rPr>
          <w:b/>
          <w:sz w:val="24"/>
          <w:szCs w:val="24"/>
        </w:rPr>
      </w:pPr>
      <w:r w:rsidRPr="00DF04A2">
        <w:rPr>
          <w:b/>
          <w:sz w:val="24"/>
          <w:szCs w:val="24"/>
        </w:rPr>
        <w:t>Thirteenth Session</w:t>
      </w:r>
    </w:p>
    <w:p w:rsidR="003630DB" w:rsidRPr="00DF04A2" w:rsidRDefault="003630DB" w:rsidP="003630DB">
      <w:pPr>
        <w:tabs>
          <w:tab w:val="left" w:pos="7695"/>
        </w:tabs>
        <w:rPr>
          <w:b/>
          <w:sz w:val="24"/>
          <w:szCs w:val="24"/>
        </w:rPr>
      </w:pPr>
      <w:r w:rsidRPr="00DF04A2">
        <w:rPr>
          <w:b/>
          <w:sz w:val="24"/>
          <w:szCs w:val="24"/>
        </w:rPr>
        <w:t>Geneva, May 19 to 23, 2014</w:t>
      </w: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4C7260" w:rsidRDefault="000556EB" w:rsidP="00AA1E26">
      <w:pPr>
        <w:widowControl/>
        <w:jc w:val="left"/>
        <w:rPr>
          <w:rFonts w:eastAsia="SimSun" w:cs="Arial"/>
          <w:caps/>
          <w:kern w:val="0"/>
          <w:sz w:val="24"/>
          <w:szCs w:val="20"/>
          <w:lang w:eastAsia="zh-CN"/>
        </w:rPr>
      </w:pPr>
      <w:bookmarkStart w:id="6" w:name="TitleOfDoc"/>
      <w:bookmarkEnd w:id="6"/>
      <w:r w:rsidRPr="004C7260">
        <w:rPr>
          <w:rFonts w:eastAsia="SimSun" w:cs="Arial"/>
          <w:caps/>
          <w:kern w:val="0"/>
          <w:sz w:val="24"/>
          <w:szCs w:val="20"/>
          <w:lang w:eastAsia="zh-CN"/>
        </w:rPr>
        <w:t xml:space="preserve">International </w:t>
      </w:r>
      <w:r w:rsidR="00A82F94" w:rsidRPr="004C7260">
        <w:rPr>
          <w:rFonts w:eastAsia="SimSun" w:cs="Arial"/>
          <w:caps/>
          <w:kern w:val="0"/>
          <w:sz w:val="24"/>
          <w:szCs w:val="20"/>
          <w:lang w:eastAsia="zh-CN"/>
        </w:rPr>
        <w:t xml:space="preserve">Patenting </w:t>
      </w:r>
      <w:r w:rsidRPr="004C7260">
        <w:rPr>
          <w:rFonts w:eastAsia="SimSun" w:cs="Arial"/>
          <w:caps/>
          <w:kern w:val="0"/>
          <w:sz w:val="24"/>
          <w:szCs w:val="20"/>
          <w:lang w:eastAsia="zh-CN"/>
        </w:rPr>
        <w:t>Strategies of</w:t>
      </w:r>
      <w:r w:rsidR="00A82F94" w:rsidRPr="004C7260">
        <w:rPr>
          <w:rFonts w:eastAsia="SimSun" w:cs="Arial"/>
          <w:caps/>
          <w:kern w:val="0"/>
          <w:sz w:val="24"/>
          <w:szCs w:val="20"/>
          <w:lang w:eastAsia="zh-CN"/>
        </w:rPr>
        <w:t xml:space="preserve"> Chinese residents</w:t>
      </w:r>
    </w:p>
    <w:p w:rsidR="00AA1E26" w:rsidRPr="00AA1E26" w:rsidRDefault="00AA1E26" w:rsidP="00AA1E26">
      <w:pPr>
        <w:widowControl/>
        <w:jc w:val="left"/>
        <w:rPr>
          <w:rFonts w:eastAsia="SimSun" w:cs="Arial"/>
          <w:kern w:val="0"/>
          <w:lang w:eastAsia="zh-CN"/>
        </w:rPr>
      </w:pPr>
    </w:p>
    <w:p w:rsidR="00251E9C" w:rsidRDefault="003630DB" w:rsidP="00B959E8">
      <w:pPr>
        <w:widowControl/>
        <w:jc w:val="left"/>
        <w:rPr>
          <w:rFonts w:eastAsia="SimSun" w:cs="Arial"/>
          <w:i/>
          <w:kern w:val="0"/>
          <w:lang w:eastAsia="zh-CN"/>
        </w:rPr>
      </w:pPr>
      <w:bookmarkStart w:id="7" w:name="Prepared"/>
      <w:bookmarkEnd w:id="7"/>
      <w:proofErr w:type="gramStart"/>
      <w:r w:rsidRPr="000526D7">
        <w:rPr>
          <w:i/>
        </w:rPr>
        <w:t>prepared</w:t>
      </w:r>
      <w:proofErr w:type="gramEnd"/>
      <w:r w:rsidRPr="000526D7">
        <w:rPr>
          <w:i/>
        </w:rPr>
        <w:t xml:space="preserve"> </w:t>
      </w:r>
      <w:r>
        <w:rPr>
          <w:i/>
        </w:rPr>
        <w:t xml:space="preserve">by the Secretariat </w:t>
      </w:r>
      <w:r w:rsidR="00EB59CE">
        <w:rPr>
          <w:i/>
        </w:rPr>
        <w:t xml:space="preserve">with contributions from Ms. </w:t>
      </w:r>
      <w:r w:rsidR="00EB59CE" w:rsidRPr="00EB59CE">
        <w:rPr>
          <w:i/>
        </w:rPr>
        <w:t xml:space="preserve">Mila Kashcheeva, </w:t>
      </w:r>
      <w:r w:rsidR="00E25AE1" w:rsidRPr="00E25AE1">
        <w:rPr>
          <w:i/>
        </w:rPr>
        <w:t>Research Fellow at the BB&amp;T Center for Education and Economic Policy Studies</w:t>
      </w:r>
      <w:r w:rsidR="00B959E8">
        <w:rPr>
          <w:i/>
        </w:rPr>
        <w:t>,</w:t>
      </w:r>
      <w:r w:rsidR="00E25AE1" w:rsidRPr="00E25AE1">
        <w:rPr>
          <w:i/>
        </w:rPr>
        <w:t xml:space="preserve"> Clemson University</w:t>
      </w:r>
      <w:r w:rsidR="00861544">
        <w:rPr>
          <w:i/>
        </w:rPr>
        <w:t xml:space="preserve">, </w:t>
      </w:r>
      <w:r w:rsidR="00304263">
        <w:rPr>
          <w:i/>
        </w:rPr>
        <w:t xml:space="preserve">Clemson, </w:t>
      </w:r>
      <w:r w:rsidR="007A4996">
        <w:rPr>
          <w:i/>
        </w:rPr>
        <w:t>United States of America</w:t>
      </w:r>
    </w:p>
    <w:p w:rsidR="00AA1E26" w:rsidRPr="003630DB" w:rsidRDefault="00AA1E26" w:rsidP="00AA1E26">
      <w:pPr>
        <w:widowControl/>
        <w:jc w:val="left"/>
        <w:rPr>
          <w:rFonts w:eastAsia="SimSun" w:cs="Arial"/>
          <w:kern w:val="0"/>
          <w:lang w:eastAsia="zh-CN"/>
        </w:rPr>
      </w:pPr>
    </w:p>
    <w:p w:rsidR="00AA1E26" w:rsidRPr="003630DB" w:rsidRDefault="00AA1E26" w:rsidP="00AA1E26">
      <w:pPr>
        <w:widowControl/>
        <w:jc w:val="left"/>
        <w:rPr>
          <w:rFonts w:eastAsia="SimSun" w:cs="Arial"/>
          <w:kern w:val="0"/>
          <w:lang w:eastAsia="zh-CN"/>
        </w:rPr>
      </w:pPr>
    </w:p>
    <w:p w:rsidR="00AA1E26" w:rsidRPr="003630DB" w:rsidRDefault="00AA1E26" w:rsidP="00AA1E26">
      <w:pPr>
        <w:widowControl/>
        <w:jc w:val="left"/>
        <w:rPr>
          <w:rFonts w:eastAsia="SimSun" w:cs="Arial"/>
          <w:kern w:val="0"/>
          <w:lang w:eastAsia="zh-CN"/>
        </w:rPr>
      </w:pPr>
    </w:p>
    <w:p w:rsidR="00AA1E26" w:rsidRPr="003630DB" w:rsidRDefault="00AA1E26" w:rsidP="00AA1E26">
      <w:pPr>
        <w:widowControl/>
        <w:jc w:val="left"/>
        <w:rPr>
          <w:rFonts w:eastAsia="SimSun" w:cs="Arial"/>
          <w:kern w:val="0"/>
          <w:lang w:eastAsia="zh-CN"/>
        </w:rPr>
      </w:pPr>
    </w:p>
    <w:p w:rsidR="00AA1E26" w:rsidRPr="00AA1E26" w:rsidRDefault="00461799">
      <w:pPr>
        <w:widowControl/>
        <w:jc w:val="left"/>
        <w:rPr>
          <w:rFonts w:eastAsia="SimSun" w:cs="Arial"/>
          <w:kern w:val="0"/>
          <w:lang w:eastAsia="zh-CN"/>
        </w:rPr>
      </w:pPr>
      <w:r w:rsidRPr="00AA1E26">
        <w:rPr>
          <w:rFonts w:eastAsia="SimSun" w:cs="Arial"/>
          <w:kern w:val="0"/>
          <w:lang w:eastAsia="zh-CN"/>
        </w:rPr>
        <w:fldChar w:fldCharType="begin"/>
      </w:r>
      <w:r w:rsidR="00AA1E26" w:rsidRPr="00AA1E26">
        <w:rPr>
          <w:rFonts w:eastAsia="SimSun" w:cs="Arial"/>
          <w:kern w:val="0"/>
          <w:lang w:eastAsia="zh-CN"/>
        </w:rPr>
        <w:instrText xml:space="preserve"> AUTONUM  </w:instrText>
      </w:r>
      <w:r w:rsidRPr="00AA1E26">
        <w:rPr>
          <w:rFonts w:eastAsia="SimSun" w:cs="Arial"/>
          <w:kern w:val="0"/>
          <w:lang w:eastAsia="zh-CN"/>
        </w:rPr>
        <w:fldChar w:fldCharType="end"/>
      </w:r>
      <w:r w:rsidR="00AA1E26" w:rsidRPr="00AA1E26">
        <w:rPr>
          <w:rFonts w:eastAsia="SimSun" w:cs="Arial"/>
          <w:kern w:val="0"/>
          <w:lang w:eastAsia="zh-CN"/>
        </w:rPr>
        <w:tab/>
        <w:t xml:space="preserve">The Annex to this document contains a Study on </w:t>
      </w:r>
      <w:r w:rsidR="00861544" w:rsidRPr="00861544">
        <w:rPr>
          <w:rFonts w:eastAsia="SimSun" w:cs="Arial"/>
          <w:kern w:val="0"/>
          <w:lang w:eastAsia="zh-CN"/>
        </w:rPr>
        <w:t xml:space="preserve">International Patenting Strategies </w:t>
      </w:r>
      <w:r w:rsidR="00861544">
        <w:rPr>
          <w:rFonts w:eastAsia="SimSun" w:cs="Arial"/>
          <w:kern w:val="0"/>
          <w:lang w:eastAsia="zh-CN"/>
        </w:rPr>
        <w:t>o</w:t>
      </w:r>
      <w:r w:rsidR="00861544" w:rsidRPr="00861544">
        <w:rPr>
          <w:rFonts w:eastAsia="SimSun" w:cs="Arial"/>
          <w:kern w:val="0"/>
          <w:lang w:eastAsia="zh-CN"/>
        </w:rPr>
        <w:t>f Chinese Residents</w:t>
      </w:r>
      <w:r w:rsidR="00861544">
        <w:rPr>
          <w:rFonts w:eastAsia="SimSun" w:cs="Arial"/>
          <w:kern w:val="0"/>
          <w:lang w:eastAsia="zh-CN"/>
        </w:rPr>
        <w:t>,</w:t>
      </w:r>
      <w:r w:rsidR="00AA1E26" w:rsidRPr="00AA1E26">
        <w:rPr>
          <w:rFonts w:eastAsia="SimSun" w:cs="Arial"/>
          <w:kern w:val="0"/>
          <w:lang w:eastAsia="zh-CN"/>
        </w:rPr>
        <w:t xml:space="preserve"> prepared under the </w:t>
      </w:r>
      <w:r w:rsidR="0070554F">
        <w:rPr>
          <w:rFonts w:eastAsia="SimSun" w:cs="Arial"/>
          <w:kern w:val="0"/>
          <w:lang w:eastAsia="zh-CN"/>
        </w:rPr>
        <w:t xml:space="preserve">Project </w:t>
      </w:r>
      <w:r w:rsidR="003630DB" w:rsidRPr="00E46395">
        <w:t xml:space="preserve">on </w:t>
      </w:r>
      <w:r w:rsidR="003630DB">
        <w:t xml:space="preserve">Intellectual Property and </w:t>
      </w:r>
      <w:r w:rsidR="003630DB" w:rsidRPr="003427C8">
        <w:t>Socio</w:t>
      </w:r>
      <w:r w:rsidR="003630DB">
        <w:t>-</w:t>
      </w:r>
      <w:r w:rsidR="003630DB" w:rsidRPr="003427C8">
        <w:t>Economic Development</w:t>
      </w:r>
      <w:r w:rsidR="003630DB" w:rsidRPr="00E46395">
        <w:t xml:space="preserve"> </w:t>
      </w:r>
      <w:r w:rsidR="0070554F" w:rsidRPr="00E46395">
        <w:t>(CDIP/</w:t>
      </w:r>
      <w:r w:rsidR="0070554F">
        <w:t>5</w:t>
      </w:r>
      <w:r w:rsidR="0070554F" w:rsidRPr="00E46395">
        <w:t>/</w:t>
      </w:r>
      <w:r w:rsidR="0070554F">
        <w:t>7 Rev.)</w:t>
      </w:r>
      <w:r w:rsidR="0070554F" w:rsidRPr="00DF04A2">
        <w:t>.</w:t>
      </w: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ind w:left="5534"/>
        <w:jc w:val="left"/>
        <w:rPr>
          <w:rFonts w:eastAsia="SimSun" w:cs="Arial"/>
          <w:i/>
          <w:kern w:val="0"/>
          <w:lang w:eastAsia="zh-CN"/>
        </w:rPr>
      </w:pPr>
      <w:r w:rsidRPr="00AA1E26">
        <w:rPr>
          <w:rFonts w:eastAsia="SimSun" w:cs="Arial"/>
          <w:i/>
          <w:kern w:val="0"/>
          <w:lang w:eastAsia="zh-CN"/>
        </w:rPr>
        <w:t>2.</w:t>
      </w:r>
      <w:r w:rsidRPr="00AA1E26">
        <w:rPr>
          <w:rFonts w:eastAsia="SimSun" w:cs="Arial"/>
          <w:i/>
          <w:kern w:val="0"/>
          <w:lang w:eastAsia="zh-CN"/>
        </w:rPr>
        <w:tab/>
        <w:t>The CDIP is invited to take note of the information contained in the Annex to this document.</w:t>
      </w: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jc w:val="left"/>
        <w:rPr>
          <w:rFonts w:eastAsia="SimSun" w:cs="Arial"/>
          <w:kern w:val="0"/>
          <w:lang w:eastAsia="zh-CN"/>
        </w:rPr>
      </w:pPr>
    </w:p>
    <w:p w:rsidR="00AA1E26" w:rsidRPr="00AA1E26" w:rsidRDefault="00AA1E26" w:rsidP="00AA1E26">
      <w:pPr>
        <w:widowControl/>
        <w:ind w:left="5534"/>
        <w:jc w:val="left"/>
        <w:rPr>
          <w:rFonts w:eastAsia="SimSun" w:cs="Arial"/>
          <w:kern w:val="0"/>
          <w:lang w:eastAsia="zh-CN"/>
        </w:rPr>
      </w:pPr>
      <w:r w:rsidRPr="00AA1E26">
        <w:rPr>
          <w:rFonts w:eastAsia="SimSun" w:cs="Arial"/>
          <w:kern w:val="0"/>
          <w:lang w:eastAsia="zh-CN"/>
        </w:rPr>
        <w:t>[Annex follows]</w:t>
      </w:r>
    </w:p>
    <w:p w:rsidR="00A02D54" w:rsidRDefault="00A02D54" w:rsidP="00AA1E26">
      <w:pPr>
        <w:widowControl/>
        <w:jc w:val="left"/>
        <w:rPr>
          <w:rFonts w:eastAsia="SimSun" w:cs="Arial"/>
          <w:kern w:val="0"/>
          <w:lang w:eastAsia="zh-CN"/>
        </w:rPr>
      </w:pPr>
    </w:p>
    <w:p w:rsidR="00A02D54" w:rsidRPr="00A02D54" w:rsidRDefault="00A02D54" w:rsidP="00A02D54">
      <w:pPr>
        <w:rPr>
          <w:rFonts w:eastAsia="SimSun" w:cs="Arial"/>
          <w:lang w:eastAsia="zh-CN"/>
        </w:rPr>
      </w:pPr>
    </w:p>
    <w:p w:rsidR="00A02D54" w:rsidRDefault="00A02D54" w:rsidP="00A02D54">
      <w:pPr>
        <w:tabs>
          <w:tab w:val="left" w:pos="6600"/>
        </w:tabs>
        <w:rPr>
          <w:rFonts w:eastAsia="SimSun" w:cs="Arial"/>
          <w:lang w:eastAsia="zh-CN"/>
        </w:rPr>
      </w:pPr>
      <w:r>
        <w:rPr>
          <w:rFonts w:eastAsia="SimSun" w:cs="Arial"/>
          <w:lang w:eastAsia="zh-CN"/>
        </w:rPr>
        <w:tab/>
      </w:r>
    </w:p>
    <w:p w:rsidR="00A02D54" w:rsidRDefault="00A02D54" w:rsidP="00A02D54">
      <w:pPr>
        <w:rPr>
          <w:rFonts w:eastAsia="SimSun" w:cs="Arial"/>
          <w:lang w:eastAsia="zh-CN"/>
        </w:rPr>
      </w:pPr>
    </w:p>
    <w:p w:rsidR="00AA1E26" w:rsidRPr="00A02D54" w:rsidRDefault="00AA1E26" w:rsidP="00A02D54">
      <w:pPr>
        <w:rPr>
          <w:rFonts w:eastAsia="SimSun" w:cs="Arial"/>
          <w:lang w:eastAsia="zh-CN"/>
        </w:rPr>
        <w:sectPr w:rsidR="00AA1E26" w:rsidRPr="00A02D54" w:rsidSect="00A02D54">
          <w:headerReference w:type="first" r:id="rId10"/>
          <w:pgSz w:w="11907" w:h="16840"/>
          <w:pgMar w:top="567" w:right="1134" w:bottom="1418" w:left="1418" w:header="709" w:footer="709" w:gutter="0"/>
          <w:pgNumType w:start="2"/>
          <w:cols w:space="720"/>
        </w:sectPr>
      </w:pPr>
    </w:p>
    <w:p w:rsidR="00AA1E26" w:rsidRPr="00A6622C" w:rsidRDefault="00AA1E26" w:rsidP="00A02D54">
      <w:pPr>
        <w:keepNext/>
        <w:keepLines/>
        <w:widowControl/>
        <w:contextualSpacing/>
        <w:jc w:val="left"/>
        <w:rPr>
          <w:rFonts w:eastAsiaTheme="majorEastAsia" w:cs="Arial"/>
          <w:b/>
          <w:bCs/>
          <w:color w:val="000000" w:themeColor="text1"/>
          <w:kern w:val="0"/>
          <w:lang w:eastAsia="en-US"/>
        </w:rPr>
      </w:pPr>
      <w:r w:rsidRPr="00A6622C">
        <w:rPr>
          <w:rFonts w:eastAsiaTheme="majorEastAsia" w:cs="Arial"/>
          <w:b/>
          <w:bCs/>
          <w:color w:val="000000" w:themeColor="text1"/>
          <w:kern w:val="0"/>
          <w:lang w:eastAsia="en-US"/>
        </w:rPr>
        <w:lastRenderedPageBreak/>
        <w:t>INTELLECTUAL PROPERTY</w:t>
      </w:r>
      <w:r w:rsidR="00A82F94" w:rsidRPr="00A6622C">
        <w:rPr>
          <w:rFonts w:eastAsiaTheme="majorEastAsia" w:cs="Arial"/>
          <w:b/>
          <w:bCs/>
          <w:color w:val="000000" w:themeColor="text1"/>
          <w:kern w:val="0"/>
          <w:lang w:eastAsia="en-US"/>
        </w:rPr>
        <w:t xml:space="preserve"> AND SOCIO-ECONOMIC DEVELOPMENT</w:t>
      </w:r>
      <w:r w:rsidRPr="00A6622C">
        <w:rPr>
          <w:rFonts w:eastAsiaTheme="majorEastAsia" w:cs="Arial"/>
          <w:b/>
          <w:bCs/>
          <w:color w:val="000000" w:themeColor="text1"/>
          <w:kern w:val="0"/>
          <w:lang w:eastAsia="en-US"/>
        </w:rPr>
        <w:t xml:space="preserve">: </w:t>
      </w:r>
      <w:r w:rsidR="00A6622C">
        <w:rPr>
          <w:rFonts w:eastAsiaTheme="majorEastAsia" w:cs="Arial"/>
          <w:b/>
          <w:bCs/>
          <w:color w:val="000000" w:themeColor="text1"/>
          <w:kern w:val="0"/>
          <w:lang w:eastAsia="en-US"/>
        </w:rPr>
        <w:t xml:space="preserve"> </w:t>
      </w:r>
      <w:r w:rsidR="000556EB" w:rsidRPr="00A6622C">
        <w:rPr>
          <w:rFonts w:eastAsiaTheme="majorEastAsia" w:cs="Arial"/>
          <w:b/>
          <w:bCs/>
          <w:color w:val="000000" w:themeColor="text1"/>
          <w:kern w:val="0"/>
          <w:lang w:eastAsia="en-US"/>
        </w:rPr>
        <w:t>INTERNATIONAL PATENTING STRATEGIES OF CHINESE RESIDENTS</w:t>
      </w:r>
    </w:p>
    <w:p w:rsidR="00AA1E26" w:rsidRPr="00AA1E26" w:rsidRDefault="00AA1E26" w:rsidP="00A02D54">
      <w:pPr>
        <w:keepNext/>
        <w:keepLines/>
        <w:contextualSpacing/>
        <w:jc w:val="left"/>
        <w:rPr>
          <w:rFonts w:eastAsiaTheme="majorEastAsia" w:cs="Arial"/>
          <w:b/>
          <w:bCs/>
          <w:color w:val="000000" w:themeColor="text1"/>
        </w:rPr>
      </w:pPr>
    </w:p>
    <w:p w:rsidR="00AA1E26" w:rsidRPr="00A6622C" w:rsidRDefault="00AA1E26" w:rsidP="00A02D54">
      <w:pPr>
        <w:keepNext/>
        <w:keepLines/>
        <w:widowControl/>
        <w:contextualSpacing/>
        <w:jc w:val="left"/>
        <w:rPr>
          <w:rFonts w:eastAsiaTheme="majorEastAsia" w:cs="Arial"/>
          <w:b/>
          <w:bCs/>
          <w:color w:val="000000" w:themeColor="text1"/>
          <w:kern w:val="0"/>
          <w:lang w:eastAsia="en-US"/>
        </w:rPr>
      </w:pPr>
      <w:r w:rsidRPr="00A6622C">
        <w:rPr>
          <w:rFonts w:eastAsiaTheme="majorEastAsia" w:cs="Arial"/>
          <w:b/>
          <w:bCs/>
          <w:color w:val="000000" w:themeColor="text1"/>
          <w:kern w:val="0"/>
          <w:lang w:eastAsia="en-US"/>
        </w:rPr>
        <w:t>EXECUTIVE SUMMARY</w:t>
      </w:r>
    </w:p>
    <w:p w:rsidR="00AA1E26" w:rsidRPr="00AA1E26" w:rsidRDefault="00AA1E26" w:rsidP="00A02D54">
      <w:pPr>
        <w:jc w:val="left"/>
        <w:rPr>
          <w:rFonts w:eastAsia="SimSun" w:cs="Arial"/>
          <w:lang w:eastAsia="zh-CN"/>
        </w:rPr>
      </w:pPr>
    </w:p>
    <w:p w:rsidR="00AA1E26" w:rsidRPr="00A02D54" w:rsidRDefault="00C96862" w:rsidP="00A02D54">
      <w:pPr>
        <w:widowControl/>
        <w:jc w:val="left"/>
        <w:rPr>
          <w:rFonts w:eastAsia="SimSun" w:cs="Arial"/>
          <w:kern w:val="0"/>
          <w:lang w:eastAsia="zh-CN"/>
        </w:rPr>
      </w:pPr>
      <w:r w:rsidRPr="00A02D54">
        <w:rPr>
          <w:rFonts w:eastAsia="SimSun" w:cs="Arial"/>
          <w:kern w:val="0"/>
          <w:lang w:eastAsia="zh-CN"/>
        </w:rPr>
        <w:t>This executive s</w:t>
      </w:r>
      <w:r w:rsidR="00AA1E26" w:rsidRPr="00A02D54">
        <w:rPr>
          <w:rFonts w:eastAsia="SimSun" w:cs="Arial"/>
          <w:kern w:val="0"/>
          <w:lang w:eastAsia="zh-CN"/>
        </w:rPr>
        <w:t xml:space="preserve">ummary presents the results of the study </w:t>
      </w:r>
      <w:r w:rsidR="00861544" w:rsidRPr="00A02D54">
        <w:rPr>
          <w:rFonts w:eastAsia="SimSun" w:cs="Arial"/>
          <w:kern w:val="0"/>
          <w:lang w:eastAsia="zh-CN"/>
        </w:rPr>
        <w:t>on</w:t>
      </w:r>
      <w:r w:rsidR="00AA1E26" w:rsidRPr="00A02D54">
        <w:rPr>
          <w:rFonts w:eastAsia="SimSun" w:cs="Arial"/>
          <w:kern w:val="0"/>
          <w:lang w:eastAsia="zh-CN"/>
        </w:rPr>
        <w:t xml:space="preserve"> </w:t>
      </w:r>
      <w:r w:rsidR="000556EB" w:rsidRPr="00A02D54">
        <w:rPr>
          <w:rFonts w:eastAsia="SimSun" w:cs="Arial"/>
          <w:kern w:val="0"/>
          <w:lang w:eastAsia="zh-CN"/>
        </w:rPr>
        <w:t xml:space="preserve">International </w:t>
      </w:r>
      <w:r w:rsidR="00861544" w:rsidRPr="00A02D54">
        <w:rPr>
          <w:rFonts w:eastAsia="SimSun" w:cs="Arial"/>
          <w:kern w:val="0"/>
          <w:lang w:eastAsia="zh-CN"/>
        </w:rPr>
        <w:t xml:space="preserve">Patenting Strategies </w:t>
      </w:r>
      <w:r w:rsidR="000556EB" w:rsidRPr="00A02D54">
        <w:rPr>
          <w:rFonts w:eastAsia="SimSun" w:cs="Arial"/>
          <w:kern w:val="0"/>
          <w:lang w:eastAsia="zh-CN"/>
        </w:rPr>
        <w:t xml:space="preserve">of Chinese </w:t>
      </w:r>
      <w:r w:rsidR="00861544" w:rsidRPr="00A02D54">
        <w:rPr>
          <w:rFonts w:eastAsia="SimSun" w:cs="Arial"/>
          <w:kern w:val="0"/>
          <w:lang w:eastAsia="zh-CN"/>
        </w:rPr>
        <w:t>Residents</w:t>
      </w:r>
      <w:r w:rsidR="00AA1E26" w:rsidRPr="00A02D54">
        <w:rPr>
          <w:rFonts w:eastAsia="SimSun" w:cs="Arial"/>
          <w:kern w:val="0"/>
          <w:lang w:eastAsia="zh-CN"/>
        </w:rPr>
        <w:t>.</w:t>
      </w:r>
    </w:p>
    <w:p w:rsidR="00AA1E26" w:rsidRPr="00AA1E26" w:rsidRDefault="00AA1E26" w:rsidP="00A02D54">
      <w:pPr>
        <w:jc w:val="left"/>
        <w:rPr>
          <w:rFonts w:cs="Arial"/>
          <w:lang w:eastAsia="zh-CN"/>
        </w:rPr>
      </w:pPr>
    </w:p>
    <w:p w:rsidR="00A6622C" w:rsidRPr="00A6622C" w:rsidRDefault="00E21B2D" w:rsidP="00A02D54">
      <w:pPr>
        <w:keepNext/>
        <w:keepLines/>
        <w:widowControl/>
        <w:contextualSpacing/>
        <w:jc w:val="left"/>
        <w:rPr>
          <w:rFonts w:eastAsiaTheme="majorEastAsia" w:cs="Arial"/>
          <w:b/>
          <w:bCs/>
          <w:color w:val="000000" w:themeColor="text1"/>
          <w:kern w:val="0"/>
          <w:lang w:eastAsia="en-US"/>
        </w:rPr>
      </w:pPr>
      <w:r w:rsidRPr="00A6622C">
        <w:rPr>
          <w:rFonts w:eastAsiaTheme="majorEastAsia" w:cs="Arial"/>
          <w:b/>
          <w:bCs/>
          <w:color w:val="000000" w:themeColor="text1"/>
          <w:kern w:val="0"/>
          <w:lang w:eastAsia="en-US"/>
        </w:rPr>
        <w:t>Objective of the study</w:t>
      </w:r>
    </w:p>
    <w:p w:rsidR="00A6622C" w:rsidRDefault="00A6622C" w:rsidP="00A02D54">
      <w:pPr>
        <w:keepNext/>
        <w:keepLines/>
        <w:contextualSpacing/>
        <w:jc w:val="left"/>
        <w:rPr>
          <w:rFonts w:eastAsiaTheme="majorEastAsia" w:cs="Arial"/>
          <w:b/>
          <w:bCs/>
          <w:color w:val="000000" w:themeColor="text1"/>
        </w:rPr>
      </w:pPr>
    </w:p>
    <w:p w:rsidR="00F32AEE" w:rsidRDefault="00F32AEE" w:rsidP="00A02D54">
      <w:pPr>
        <w:jc w:val="left"/>
        <w:rPr>
          <w:lang w:eastAsia="zh-CN"/>
        </w:rPr>
      </w:pPr>
      <w:r w:rsidRPr="00A6622C">
        <w:rPr>
          <w:lang w:eastAsia="zh-CN"/>
        </w:rPr>
        <w:t>In terms of the number of its patent applications</w:t>
      </w:r>
      <w:r w:rsidR="00D737FB">
        <w:rPr>
          <w:lang w:eastAsia="zh-CN"/>
        </w:rPr>
        <w:t>,</w:t>
      </w:r>
      <w:r w:rsidR="00A61A1E" w:rsidRPr="00A6622C">
        <w:rPr>
          <w:lang w:eastAsia="zh-CN"/>
        </w:rPr>
        <w:t xml:space="preserve"> in 2012</w:t>
      </w:r>
      <w:r w:rsidRPr="00A6622C">
        <w:rPr>
          <w:lang w:eastAsia="zh-CN"/>
        </w:rPr>
        <w:t xml:space="preserve"> China has emerged as the country with the</w:t>
      </w:r>
      <w:r w:rsidR="00A61A1E" w:rsidRPr="00A6622C">
        <w:rPr>
          <w:lang w:eastAsia="zh-CN"/>
        </w:rPr>
        <w:t xml:space="preserve"> largest IP office in the world</w:t>
      </w:r>
      <w:r w:rsidRPr="00A6622C">
        <w:rPr>
          <w:lang w:eastAsia="zh-CN"/>
        </w:rPr>
        <w:t xml:space="preserve">. </w:t>
      </w:r>
      <w:r w:rsidR="00A6622C" w:rsidRPr="00A6622C">
        <w:rPr>
          <w:lang w:eastAsia="zh-CN"/>
        </w:rPr>
        <w:t xml:space="preserve"> </w:t>
      </w:r>
      <w:r w:rsidRPr="00A6622C">
        <w:rPr>
          <w:lang w:eastAsia="zh-CN"/>
        </w:rPr>
        <w:t xml:space="preserve">The performance of the Chinese IP system is thus increasingly </w:t>
      </w:r>
      <w:r w:rsidR="00234E6E" w:rsidRPr="00A6622C">
        <w:rPr>
          <w:lang w:eastAsia="zh-CN"/>
        </w:rPr>
        <w:t>in the spotlight</w:t>
      </w:r>
      <w:r w:rsidR="00B959E8">
        <w:rPr>
          <w:lang w:eastAsia="zh-CN"/>
        </w:rPr>
        <w:t xml:space="preserve">, </w:t>
      </w:r>
      <w:r w:rsidR="00861544">
        <w:rPr>
          <w:lang w:eastAsia="zh-CN"/>
        </w:rPr>
        <w:t>a</w:t>
      </w:r>
      <w:r w:rsidR="00861544" w:rsidRPr="00A6622C">
        <w:rPr>
          <w:lang w:eastAsia="zh-CN"/>
        </w:rPr>
        <w:t xml:space="preserve"> </w:t>
      </w:r>
      <w:r w:rsidRPr="00A6622C">
        <w:rPr>
          <w:lang w:eastAsia="zh-CN"/>
        </w:rPr>
        <w:t xml:space="preserve">better understanding </w:t>
      </w:r>
      <w:r w:rsidR="00B959E8">
        <w:rPr>
          <w:lang w:eastAsia="zh-CN"/>
        </w:rPr>
        <w:t xml:space="preserve">of </w:t>
      </w:r>
      <w:r w:rsidRPr="00A6622C">
        <w:rPr>
          <w:lang w:eastAsia="zh-CN"/>
        </w:rPr>
        <w:t xml:space="preserve">the linkages between IP activity and socio-economic development in China is a priority. </w:t>
      </w:r>
    </w:p>
    <w:p w:rsidR="00EB59CE" w:rsidRPr="00A6622C" w:rsidRDefault="00EB59CE" w:rsidP="00A02D54">
      <w:pPr>
        <w:widowControl/>
        <w:jc w:val="left"/>
        <w:rPr>
          <w:rFonts w:eastAsia="SimSun" w:cs="Arial"/>
          <w:kern w:val="0"/>
          <w:szCs w:val="24"/>
          <w:lang w:eastAsia="zh-CN"/>
        </w:rPr>
      </w:pPr>
    </w:p>
    <w:p w:rsidR="00545CCB" w:rsidRPr="00A6622C" w:rsidRDefault="00A13A5D" w:rsidP="00A02D54">
      <w:pPr>
        <w:widowControl/>
        <w:jc w:val="left"/>
        <w:rPr>
          <w:rFonts w:eastAsia="SimSun" w:cs="Arial"/>
          <w:kern w:val="0"/>
          <w:szCs w:val="24"/>
          <w:lang w:eastAsia="zh-CN"/>
        </w:rPr>
      </w:pPr>
      <w:r w:rsidRPr="00A6622C">
        <w:rPr>
          <w:rFonts w:eastAsia="SimSun" w:cs="Arial"/>
          <w:kern w:val="0"/>
          <w:szCs w:val="24"/>
          <w:lang w:eastAsia="zh-CN"/>
        </w:rPr>
        <w:t>As part of a broader series of studies</w:t>
      </w:r>
      <w:r w:rsidR="00212C47" w:rsidRPr="00A6622C">
        <w:rPr>
          <w:rFonts w:eastAsia="SimSun" w:cs="Arial"/>
          <w:kern w:val="0"/>
          <w:szCs w:val="24"/>
          <w:lang w:eastAsia="zh-CN"/>
        </w:rPr>
        <w:t xml:space="preserve"> addressing this topic</w:t>
      </w:r>
      <w:r w:rsidRPr="00A6622C">
        <w:rPr>
          <w:rFonts w:eastAsia="SimSun" w:cs="Arial"/>
          <w:kern w:val="0"/>
          <w:szCs w:val="24"/>
          <w:lang w:eastAsia="zh-CN"/>
        </w:rPr>
        <w:t xml:space="preserve">, this study offers insights into </w:t>
      </w:r>
      <w:r w:rsidR="00283130" w:rsidRPr="00A6622C">
        <w:rPr>
          <w:rFonts w:eastAsia="SimSun" w:cs="Arial"/>
          <w:kern w:val="0"/>
          <w:szCs w:val="24"/>
          <w:lang w:eastAsia="zh-CN"/>
        </w:rPr>
        <w:t xml:space="preserve">the international patenting behavior of Chinese residents. </w:t>
      </w:r>
      <w:r w:rsidR="00A6622C" w:rsidRPr="00A6622C">
        <w:rPr>
          <w:rFonts w:eastAsia="SimSun" w:cs="Arial"/>
          <w:kern w:val="0"/>
          <w:szCs w:val="24"/>
          <w:lang w:eastAsia="zh-CN"/>
        </w:rPr>
        <w:t xml:space="preserve"> </w:t>
      </w:r>
      <w:r w:rsidR="00C96862" w:rsidRPr="00A6622C">
        <w:rPr>
          <w:rFonts w:eastAsia="SimSun" w:cs="Arial"/>
          <w:kern w:val="0"/>
          <w:szCs w:val="24"/>
          <w:lang w:eastAsia="zh-CN"/>
        </w:rPr>
        <w:t>S</w:t>
      </w:r>
      <w:r w:rsidR="00D85852" w:rsidRPr="00A6622C">
        <w:rPr>
          <w:rFonts w:eastAsia="SimSun" w:cs="Arial"/>
          <w:kern w:val="0"/>
          <w:szCs w:val="24"/>
          <w:lang w:eastAsia="zh-CN"/>
        </w:rPr>
        <w:t>ignificant economic studies have been devoted to the rise</w:t>
      </w:r>
      <w:r w:rsidR="00C96862" w:rsidRPr="00A6622C">
        <w:rPr>
          <w:rFonts w:eastAsia="SimSun" w:cs="Arial"/>
          <w:kern w:val="0"/>
          <w:szCs w:val="24"/>
          <w:lang w:eastAsia="zh-CN"/>
        </w:rPr>
        <w:t xml:space="preserve"> of domestic patenting in China.</w:t>
      </w:r>
      <w:r w:rsidR="00A6622C" w:rsidRPr="00A6622C">
        <w:rPr>
          <w:rFonts w:eastAsia="SimSun" w:cs="Arial"/>
          <w:kern w:val="0"/>
          <w:szCs w:val="24"/>
          <w:lang w:eastAsia="zh-CN"/>
        </w:rPr>
        <w:t xml:space="preserve"> </w:t>
      </w:r>
      <w:r w:rsidR="00C96862" w:rsidRPr="00A6622C">
        <w:rPr>
          <w:rFonts w:eastAsia="SimSun" w:cs="Arial"/>
          <w:kern w:val="0"/>
          <w:szCs w:val="24"/>
          <w:lang w:eastAsia="zh-CN"/>
        </w:rPr>
        <w:t xml:space="preserve"> Also</w:t>
      </w:r>
      <w:r w:rsidR="00D85852" w:rsidRPr="00A6622C">
        <w:rPr>
          <w:rFonts w:eastAsia="SimSun" w:cs="Arial"/>
          <w:kern w:val="0"/>
          <w:szCs w:val="24"/>
          <w:lang w:eastAsia="zh-CN"/>
        </w:rPr>
        <w:t xml:space="preserve"> </w:t>
      </w:r>
      <w:r w:rsidR="00DB3379" w:rsidRPr="00A6622C">
        <w:rPr>
          <w:rFonts w:eastAsia="SimSun" w:cs="Arial"/>
          <w:kern w:val="0"/>
          <w:szCs w:val="24"/>
          <w:lang w:eastAsia="zh-CN"/>
        </w:rPr>
        <w:t>Chinese companies</w:t>
      </w:r>
      <w:r w:rsidR="00477BF3" w:rsidRPr="00A6622C">
        <w:rPr>
          <w:rFonts w:eastAsia="SimSun" w:cs="Arial"/>
          <w:kern w:val="0"/>
          <w:szCs w:val="24"/>
          <w:lang w:eastAsia="zh-CN"/>
        </w:rPr>
        <w:t>, academic institutions and individuals</w:t>
      </w:r>
      <w:r w:rsidR="00DB3379" w:rsidRPr="00A6622C">
        <w:rPr>
          <w:rFonts w:eastAsia="SimSun" w:cs="Arial"/>
          <w:kern w:val="0"/>
          <w:szCs w:val="24"/>
          <w:lang w:eastAsia="zh-CN"/>
        </w:rPr>
        <w:t xml:space="preserve"> have rapidly increase</w:t>
      </w:r>
      <w:r w:rsidR="00283130" w:rsidRPr="00A6622C">
        <w:rPr>
          <w:rFonts w:eastAsia="SimSun" w:cs="Arial"/>
          <w:kern w:val="0"/>
          <w:szCs w:val="24"/>
          <w:lang w:eastAsia="zh-CN"/>
        </w:rPr>
        <w:t>d their patent filin</w:t>
      </w:r>
      <w:r w:rsidR="00477BF3" w:rsidRPr="00A6622C">
        <w:rPr>
          <w:rFonts w:eastAsia="SimSun" w:cs="Arial"/>
          <w:kern w:val="0"/>
          <w:szCs w:val="24"/>
          <w:lang w:eastAsia="zh-CN"/>
        </w:rPr>
        <w:t>gs abroad.</w:t>
      </w:r>
      <w:r w:rsidR="00A6622C" w:rsidRPr="00A6622C">
        <w:rPr>
          <w:rFonts w:eastAsia="SimSun" w:cs="Arial"/>
          <w:kern w:val="0"/>
          <w:szCs w:val="24"/>
          <w:lang w:eastAsia="zh-CN"/>
        </w:rPr>
        <w:t xml:space="preserve"> </w:t>
      </w:r>
      <w:r w:rsidR="00477BF3" w:rsidRPr="00A6622C">
        <w:rPr>
          <w:rFonts w:eastAsia="SimSun" w:cs="Arial"/>
          <w:kern w:val="0"/>
          <w:szCs w:val="24"/>
          <w:lang w:eastAsia="zh-CN"/>
        </w:rPr>
        <w:t xml:space="preserve"> Still,</w:t>
      </w:r>
      <w:r w:rsidR="00283130" w:rsidRPr="00A6622C">
        <w:rPr>
          <w:rFonts w:eastAsia="SimSun" w:cs="Arial"/>
          <w:kern w:val="0"/>
          <w:szCs w:val="24"/>
          <w:lang w:eastAsia="zh-CN"/>
        </w:rPr>
        <w:t xml:space="preserve"> </w:t>
      </w:r>
      <w:r w:rsidR="00DB3379" w:rsidRPr="00A6622C">
        <w:rPr>
          <w:rFonts w:eastAsia="SimSun" w:cs="Arial"/>
          <w:kern w:val="0"/>
          <w:szCs w:val="24"/>
          <w:lang w:eastAsia="zh-CN"/>
        </w:rPr>
        <w:t>there is little systematic study of Chinese foreign-oriented patent familie</w:t>
      </w:r>
      <w:r w:rsidR="00DC215B" w:rsidRPr="00A6622C">
        <w:rPr>
          <w:rFonts w:eastAsia="SimSun" w:cs="Arial"/>
          <w:kern w:val="0"/>
          <w:szCs w:val="24"/>
          <w:lang w:eastAsia="zh-CN"/>
        </w:rPr>
        <w:t>s</w:t>
      </w:r>
      <w:r w:rsidR="00F66F43" w:rsidRPr="00A6622C">
        <w:rPr>
          <w:rFonts w:eastAsia="SimSun" w:cs="Arial"/>
          <w:kern w:val="0"/>
          <w:szCs w:val="24"/>
          <w:lang w:eastAsia="zh-CN"/>
        </w:rPr>
        <w:t xml:space="preserve"> </w:t>
      </w:r>
      <w:r w:rsidR="00D737FB">
        <w:rPr>
          <w:rFonts w:eastAsia="SimSun" w:cs="Arial"/>
          <w:kern w:val="0"/>
          <w:szCs w:val="24"/>
          <w:lang w:eastAsia="zh-CN"/>
        </w:rPr>
        <w:t xml:space="preserve">which would analyze the </w:t>
      </w:r>
      <w:r w:rsidR="00D85852" w:rsidRPr="00A6622C">
        <w:rPr>
          <w:rFonts w:eastAsia="SimSun" w:cs="Arial"/>
          <w:kern w:val="0"/>
          <w:szCs w:val="24"/>
          <w:lang w:eastAsia="zh-CN"/>
        </w:rPr>
        <w:t>characteristics</w:t>
      </w:r>
      <w:r w:rsidR="00545CCB" w:rsidRPr="00A6622C">
        <w:rPr>
          <w:rFonts w:eastAsia="SimSun" w:cs="Arial"/>
          <w:kern w:val="0"/>
          <w:szCs w:val="24"/>
          <w:lang w:eastAsia="zh-CN"/>
        </w:rPr>
        <w:t xml:space="preserve"> </w:t>
      </w:r>
      <w:r w:rsidR="00DC215B" w:rsidRPr="00A6622C">
        <w:rPr>
          <w:rFonts w:eastAsia="SimSun" w:cs="Arial"/>
          <w:kern w:val="0"/>
          <w:szCs w:val="24"/>
          <w:lang w:eastAsia="zh-CN"/>
        </w:rPr>
        <w:t xml:space="preserve">of </w:t>
      </w:r>
      <w:r w:rsidR="00D737FB">
        <w:rPr>
          <w:rFonts w:eastAsia="SimSun" w:cs="Arial"/>
          <w:kern w:val="0"/>
          <w:szCs w:val="24"/>
          <w:lang w:eastAsia="zh-CN"/>
        </w:rPr>
        <w:t>Chinese patenting abroad</w:t>
      </w:r>
      <w:r w:rsidR="00DB3379" w:rsidRPr="00A6622C">
        <w:rPr>
          <w:rFonts w:eastAsia="SimSun" w:cs="Arial"/>
          <w:kern w:val="0"/>
          <w:szCs w:val="24"/>
          <w:lang w:eastAsia="zh-CN"/>
        </w:rPr>
        <w:t xml:space="preserve">.  </w:t>
      </w:r>
      <w:r w:rsidR="00545CCB" w:rsidRPr="00A6622C">
        <w:rPr>
          <w:rFonts w:eastAsia="SimSun" w:cs="Arial"/>
          <w:kern w:val="0"/>
          <w:szCs w:val="24"/>
          <w:lang w:eastAsia="zh-CN"/>
        </w:rPr>
        <w:t xml:space="preserve">The objective of this </w:t>
      </w:r>
      <w:r w:rsidR="00212C47" w:rsidRPr="00A6622C">
        <w:rPr>
          <w:rFonts w:eastAsia="SimSun" w:cs="Arial"/>
          <w:kern w:val="0"/>
          <w:szCs w:val="24"/>
          <w:lang w:eastAsia="zh-CN"/>
        </w:rPr>
        <w:t>work</w:t>
      </w:r>
      <w:r w:rsidR="00545CCB" w:rsidRPr="00A6622C">
        <w:rPr>
          <w:rFonts w:eastAsia="SimSun" w:cs="Arial"/>
          <w:kern w:val="0"/>
          <w:szCs w:val="24"/>
          <w:lang w:eastAsia="zh-CN"/>
        </w:rPr>
        <w:t xml:space="preserve"> is </w:t>
      </w:r>
      <w:r w:rsidR="00212C47" w:rsidRPr="00A6622C">
        <w:rPr>
          <w:rFonts w:eastAsia="SimSun" w:cs="Arial"/>
          <w:kern w:val="0"/>
          <w:szCs w:val="24"/>
          <w:lang w:eastAsia="zh-CN"/>
        </w:rPr>
        <w:t xml:space="preserve">thus </w:t>
      </w:r>
      <w:r w:rsidR="00545CCB" w:rsidRPr="00A6622C">
        <w:rPr>
          <w:rFonts w:eastAsia="SimSun" w:cs="Arial"/>
          <w:kern w:val="0"/>
          <w:szCs w:val="24"/>
          <w:lang w:eastAsia="zh-CN"/>
        </w:rPr>
        <w:t>to describe and analyze Chinese patenting abroad by using WIPO’s foreign-</w:t>
      </w:r>
      <w:r w:rsidR="000B7F7B" w:rsidRPr="00A6622C">
        <w:rPr>
          <w:rFonts w:eastAsia="SimSun" w:cs="Arial"/>
          <w:kern w:val="0"/>
          <w:szCs w:val="24"/>
          <w:lang w:eastAsia="zh-CN"/>
        </w:rPr>
        <w:t>oriented patent family dataset</w:t>
      </w:r>
      <w:r w:rsidR="00545CCB" w:rsidRPr="00A6622C">
        <w:rPr>
          <w:rFonts w:eastAsia="SimSun" w:cs="Arial"/>
          <w:kern w:val="0"/>
          <w:szCs w:val="24"/>
          <w:lang w:eastAsia="zh-CN"/>
        </w:rPr>
        <w:t xml:space="preserve">. </w:t>
      </w:r>
      <w:r w:rsidR="00A6622C" w:rsidRPr="00A6622C">
        <w:rPr>
          <w:rFonts w:eastAsia="SimSun" w:cs="Arial"/>
          <w:kern w:val="0"/>
          <w:szCs w:val="24"/>
          <w:lang w:eastAsia="zh-CN"/>
        </w:rPr>
        <w:t xml:space="preserve"> </w:t>
      </w:r>
      <w:r w:rsidR="00545CCB" w:rsidRPr="00A6622C">
        <w:rPr>
          <w:rFonts w:eastAsia="SimSun" w:cs="Arial"/>
          <w:kern w:val="0"/>
          <w:szCs w:val="24"/>
          <w:lang w:eastAsia="zh-CN"/>
        </w:rPr>
        <w:t xml:space="preserve">It offers descriptive statistics and econometric evidence on the observed increase in Chinese foreign patenting and its drivers. </w:t>
      </w:r>
    </w:p>
    <w:p w:rsidR="00AA1E26" w:rsidRPr="00AA1E26" w:rsidRDefault="00AA1E26" w:rsidP="00A02D54">
      <w:pPr>
        <w:widowControl/>
        <w:jc w:val="left"/>
        <w:rPr>
          <w:rFonts w:eastAsia="SimSun" w:cs="Arial"/>
          <w:kern w:val="0"/>
          <w:lang w:eastAsia="zh-CN"/>
        </w:rPr>
      </w:pPr>
    </w:p>
    <w:p w:rsidR="00AA1E26" w:rsidRDefault="00AA1E26" w:rsidP="00A02D54">
      <w:pPr>
        <w:widowControl/>
        <w:jc w:val="left"/>
        <w:rPr>
          <w:rFonts w:eastAsia="SimSun" w:cs="Arial"/>
          <w:b/>
          <w:kern w:val="0"/>
          <w:lang w:eastAsia="zh-CN"/>
        </w:rPr>
      </w:pPr>
      <w:r w:rsidRPr="00AA1E26">
        <w:rPr>
          <w:rFonts w:eastAsia="SimSun" w:cs="Arial"/>
          <w:b/>
          <w:kern w:val="0"/>
          <w:lang w:eastAsia="zh-CN"/>
        </w:rPr>
        <w:t>Main findings</w:t>
      </w:r>
    </w:p>
    <w:p w:rsidR="00A6622C" w:rsidRPr="00AA1E26" w:rsidRDefault="00A6622C" w:rsidP="00A02D54">
      <w:pPr>
        <w:widowControl/>
        <w:jc w:val="left"/>
        <w:rPr>
          <w:rFonts w:eastAsia="SimSun" w:cs="Arial"/>
          <w:b/>
          <w:kern w:val="0"/>
          <w:lang w:eastAsia="zh-CN"/>
        </w:rPr>
      </w:pPr>
    </w:p>
    <w:p w:rsidR="00AA1E26" w:rsidRDefault="00AA1E26" w:rsidP="00A02D54">
      <w:pPr>
        <w:widowControl/>
        <w:jc w:val="left"/>
        <w:rPr>
          <w:rFonts w:cs="Arial"/>
          <w:color w:val="000000"/>
          <w:szCs w:val="20"/>
        </w:rPr>
      </w:pPr>
      <w:r w:rsidRPr="00EC4D92">
        <w:rPr>
          <w:rFonts w:cs="Arial"/>
          <w:color w:val="000000"/>
          <w:szCs w:val="20"/>
        </w:rPr>
        <w:t xml:space="preserve">The conclusions of this </w:t>
      </w:r>
      <w:r w:rsidR="00212C47">
        <w:rPr>
          <w:rFonts w:cs="Arial"/>
          <w:color w:val="000000"/>
          <w:szCs w:val="20"/>
        </w:rPr>
        <w:t>s</w:t>
      </w:r>
      <w:r w:rsidRPr="00EC4D92">
        <w:rPr>
          <w:rFonts w:cs="Arial"/>
          <w:color w:val="000000"/>
          <w:szCs w:val="20"/>
        </w:rPr>
        <w:t xml:space="preserve">tudy </w:t>
      </w:r>
      <w:r w:rsidR="002C0113">
        <w:rPr>
          <w:rFonts w:cs="Arial"/>
          <w:color w:val="000000"/>
          <w:szCs w:val="20"/>
        </w:rPr>
        <w:t>are as</w:t>
      </w:r>
      <w:r w:rsidRPr="00EC4D92">
        <w:rPr>
          <w:rFonts w:cs="Arial"/>
          <w:color w:val="000000"/>
          <w:szCs w:val="20"/>
        </w:rPr>
        <w:t xml:space="preserve"> follows</w:t>
      </w:r>
      <w:r w:rsidR="000B7F7B" w:rsidRPr="00EC4D92">
        <w:rPr>
          <w:rFonts w:cs="Arial"/>
          <w:color w:val="000000"/>
          <w:szCs w:val="20"/>
        </w:rPr>
        <w:t>:</w:t>
      </w:r>
    </w:p>
    <w:p w:rsidR="00A6622C" w:rsidRPr="00EC4D92" w:rsidRDefault="00A6622C" w:rsidP="00A02D54">
      <w:pPr>
        <w:widowControl/>
        <w:jc w:val="left"/>
        <w:rPr>
          <w:rFonts w:cs="Arial"/>
          <w:color w:val="000000"/>
          <w:szCs w:val="20"/>
        </w:rPr>
      </w:pPr>
    </w:p>
    <w:p w:rsidR="00895D8C" w:rsidRDefault="00895D8C" w:rsidP="00A02D54">
      <w:pPr>
        <w:pStyle w:val="Heading1"/>
        <w:widowControl/>
        <w:numPr>
          <w:ilvl w:val="0"/>
          <w:numId w:val="10"/>
        </w:numPr>
        <w:spacing w:before="0" w:after="0"/>
        <w:ind w:left="0" w:firstLine="0"/>
        <w:jc w:val="left"/>
        <w:rPr>
          <w:rFonts w:cs="Arial"/>
          <w:szCs w:val="22"/>
        </w:rPr>
      </w:pPr>
      <w:r w:rsidRPr="00AA1E26">
        <w:rPr>
          <w:rFonts w:cs="Arial"/>
          <w:szCs w:val="22"/>
        </w:rPr>
        <w:t xml:space="preserve">The </w:t>
      </w:r>
      <w:r w:rsidR="002C0113">
        <w:rPr>
          <w:rFonts w:cs="Arial"/>
          <w:szCs w:val="22"/>
        </w:rPr>
        <w:t>rise</w:t>
      </w:r>
      <w:r w:rsidRPr="00AA1E26">
        <w:rPr>
          <w:rFonts w:cs="Arial"/>
          <w:szCs w:val="22"/>
        </w:rPr>
        <w:t xml:space="preserve"> of Chinese foreign-oriented patent families</w:t>
      </w:r>
    </w:p>
    <w:p w:rsidR="00A6622C" w:rsidRPr="00A6622C" w:rsidRDefault="00A6622C" w:rsidP="00A02D54">
      <w:pPr>
        <w:ind w:left="567" w:hanging="567"/>
        <w:jc w:val="left"/>
      </w:pPr>
    </w:p>
    <w:p w:rsidR="003C43E8" w:rsidRDefault="003C43E8" w:rsidP="00A02D54">
      <w:pPr>
        <w:pStyle w:val="ListParagraph"/>
        <w:numPr>
          <w:ilvl w:val="0"/>
          <w:numId w:val="21"/>
        </w:numPr>
        <w:ind w:leftChars="0" w:left="567" w:hanging="567"/>
        <w:jc w:val="left"/>
        <w:rPr>
          <w:rFonts w:cs="Arial"/>
        </w:rPr>
      </w:pPr>
      <w:r w:rsidRPr="00944247">
        <w:rPr>
          <w:rFonts w:cs="Arial"/>
        </w:rPr>
        <w:t xml:space="preserve">While in the beginning of the 1990s the total number of Chinese foreign-oriented patent families was on par with the </w:t>
      </w:r>
      <w:r w:rsidR="00544066">
        <w:rPr>
          <w:rFonts w:cs="Arial"/>
        </w:rPr>
        <w:t>those found in</w:t>
      </w:r>
      <w:r w:rsidRPr="00944247">
        <w:rPr>
          <w:rFonts w:cs="Arial"/>
        </w:rPr>
        <w:t xml:space="preserve"> other fast-growing middle-income economies, by the </w:t>
      </w:r>
      <w:r w:rsidR="00944247">
        <w:rPr>
          <w:rFonts w:cs="Arial"/>
        </w:rPr>
        <w:t>turn of the century</w:t>
      </w:r>
      <w:r w:rsidRPr="00944247">
        <w:rPr>
          <w:rFonts w:cs="Arial"/>
        </w:rPr>
        <w:t xml:space="preserve"> China decoupled</w:t>
      </w:r>
      <w:r w:rsidR="00544066">
        <w:rPr>
          <w:rFonts w:cs="Arial"/>
        </w:rPr>
        <w:t xml:space="preserve"> from </w:t>
      </w:r>
      <w:r w:rsidR="00234E6E">
        <w:rPr>
          <w:rFonts w:cs="Arial"/>
        </w:rPr>
        <w:t xml:space="preserve">other fast-growing economies </w:t>
      </w:r>
      <w:r w:rsidR="0064179D">
        <w:rPr>
          <w:rFonts w:cs="Arial"/>
        </w:rPr>
        <w:t xml:space="preserve">such as </w:t>
      </w:r>
      <w:r w:rsidR="0064179D" w:rsidRPr="0064179D">
        <w:rPr>
          <w:rFonts w:cs="Arial"/>
        </w:rPr>
        <w:t>Brazil, Russia, India, and South Africa</w:t>
      </w:r>
      <w:r w:rsidR="0064179D">
        <w:rPr>
          <w:rFonts w:cs="Arial"/>
        </w:rPr>
        <w:t xml:space="preserve"> </w:t>
      </w:r>
      <w:r w:rsidRPr="00944247">
        <w:rPr>
          <w:rFonts w:cs="Arial"/>
        </w:rPr>
        <w:t>and started to emerge as major player in t</w:t>
      </w:r>
      <w:r w:rsidR="0064179D">
        <w:rPr>
          <w:rFonts w:cs="Arial"/>
        </w:rPr>
        <w:t>erms of international patenting</w:t>
      </w:r>
      <w:r w:rsidRPr="00944247">
        <w:rPr>
          <w:rFonts w:cs="Arial"/>
        </w:rPr>
        <w:t xml:space="preserve">. </w:t>
      </w:r>
      <w:r w:rsidRPr="00944247">
        <w:rPr>
          <w:rFonts w:cs="Arial"/>
        </w:rPr>
        <w:tab/>
      </w:r>
    </w:p>
    <w:p w:rsidR="00D737FB" w:rsidRDefault="00D737FB" w:rsidP="00A02D54">
      <w:pPr>
        <w:pStyle w:val="ListParagraph"/>
        <w:ind w:leftChars="0" w:left="567"/>
        <w:jc w:val="left"/>
        <w:rPr>
          <w:rFonts w:cs="Arial"/>
        </w:rPr>
      </w:pPr>
    </w:p>
    <w:p w:rsidR="00A02D54" w:rsidRDefault="00A02D54" w:rsidP="00A02D54">
      <w:pPr>
        <w:pStyle w:val="ListParagraph"/>
        <w:ind w:leftChars="0" w:left="567"/>
        <w:jc w:val="left"/>
        <w:rPr>
          <w:rFonts w:cs="Arial"/>
        </w:rPr>
      </w:pPr>
    </w:p>
    <w:p w:rsidR="00A02D54" w:rsidRDefault="00A02D54" w:rsidP="00A02D54">
      <w:pPr>
        <w:pStyle w:val="ListParagraph"/>
        <w:ind w:leftChars="0" w:left="567"/>
        <w:jc w:val="left"/>
        <w:rPr>
          <w:rFonts w:cs="Arial"/>
        </w:rPr>
      </w:pPr>
    </w:p>
    <w:p w:rsidR="00E5178D" w:rsidRPr="00A6622C" w:rsidRDefault="00E5178D" w:rsidP="00A02D54">
      <w:pPr>
        <w:pStyle w:val="ListParagraph"/>
        <w:numPr>
          <w:ilvl w:val="0"/>
          <w:numId w:val="21"/>
        </w:numPr>
        <w:ind w:leftChars="0" w:left="567" w:hanging="567"/>
        <w:jc w:val="left"/>
        <w:rPr>
          <w:rFonts w:cs="Arial"/>
        </w:rPr>
      </w:pPr>
      <w:r>
        <w:lastRenderedPageBreak/>
        <w:t>More specifically, t</w:t>
      </w:r>
      <w:r w:rsidRPr="00AA1E26">
        <w:t>he growth of Chinese patent filings abroad increased sig</w:t>
      </w:r>
      <w:r>
        <w:t>nificantly after the year 2000, with a</w:t>
      </w:r>
      <w:r w:rsidRPr="00AA1E26">
        <w:t xml:space="preserve"> five-</w:t>
      </w:r>
      <w:r w:rsidR="00F81FB1">
        <w:t>year average annual growth rate</w:t>
      </w:r>
      <w:r w:rsidR="00B70B35">
        <w:t xml:space="preserve"> of </w:t>
      </w:r>
      <w:r w:rsidRPr="00AA1E26">
        <w:t xml:space="preserve">40% between 2000 and 2005, </w:t>
      </w:r>
      <w:r>
        <w:t>and</w:t>
      </w:r>
      <w:r w:rsidRPr="00AA1E26">
        <w:t xml:space="preserve"> </w:t>
      </w:r>
      <w:r w:rsidR="00B70B35">
        <w:t xml:space="preserve">of </w:t>
      </w:r>
      <w:r w:rsidRPr="00AA1E26">
        <w:t xml:space="preserve">23% since 2005. </w:t>
      </w:r>
    </w:p>
    <w:p w:rsidR="00A6622C" w:rsidRPr="004865BA" w:rsidRDefault="00A6622C" w:rsidP="00A6622C">
      <w:pPr>
        <w:pStyle w:val="ListParagraph"/>
        <w:ind w:leftChars="0" w:left="567" w:hanging="567"/>
        <w:jc w:val="left"/>
        <w:rPr>
          <w:rFonts w:cs="Arial"/>
        </w:rPr>
      </w:pPr>
    </w:p>
    <w:p w:rsidR="00895D8C" w:rsidRDefault="00477BF3" w:rsidP="00A6622C">
      <w:pPr>
        <w:pStyle w:val="ListParagraph"/>
        <w:numPr>
          <w:ilvl w:val="0"/>
          <w:numId w:val="21"/>
        </w:numPr>
        <w:ind w:leftChars="0" w:left="567" w:hanging="567"/>
        <w:jc w:val="left"/>
        <w:rPr>
          <w:rFonts w:cs="Arial"/>
        </w:rPr>
      </w:pPr>
      <w:r>
        <w:rPr>
          <w:rFonts w:cs="Arial"/>
        </w:rPr>
        <w:t>T</w:t>
      </w:r>
      <w:r w:rsidR="003C43E8" w:rsidRPr="00E5178D">
        <w:rPr>
          <w:rFonts w:cs="Arial"/>
        </w:rPr>
        <w:t xml:space="preserve">he share of </w:t>
      </w:r>
      <w:r w:rsidR="003C43E8" w:rsidRPr="00535E9C">
        <w:rPr>
          <w:rFonts w:cs="Arial"/>
        </w:rPr>
        <w:t xml:space="preserve">Chinese patents which get filed abroad is still a fraction of total patents filed at home. </w:t>
      </w:r>
      <w:r w:rsidR="00A6622C">
        <w:rPr>
          <w:rFonts w:cs="Arial"/>
        </w:rPr>
        <w:t xml:space="preserve"> </w:t>
      </w:r>
      <w:r w:rsidR="00535E9C" w:rsidRPr="00535E9C">
        <w:rPr>
          <w:rFonts w:cs="Arial"/>
        </w:rPr>
        <w:t>R</w:t>
      </w:r>
      <w:r w:rsidR="003C43E8" w:rsidRPr="00535E9C">
        <w:rPr>
          <w:rFonts w:cs="Arial"/>
        </w:rPr>
        <w:t>oughly speaking, for every 16 domestic families starting with an invention patent, there is one foreign-oriented patent family – of which each might contain several pat</w:t>
      </w:r>
      <w:r w:rsidR="00A6622C">
        <w:rPr>
          <w:rFonts w:cs="Arial"/>
        </w:rPr>
        <w:t>ents in multiple jurisdictions.</w:t>
      </w:r>
    </w:p>
    <w:p w:rsidR="00A6622C" w:rsidRPr="00A6622C" w:rsidRDefault="00A6622C" w:rsidP="00A6622C">
      <w:pPr>
        <w:pStyle w:val="ListParagraph"/>
        <w:ind w:left="1447" w:hanging="567"/>
        <w:rPr>
          <w:rFonts w:cs="Arial"/>
        </w:rPr>
      </w:pPr>
    </w:p>
    <w:p w:rsidR="003C43E8" w:rsidRDefault="003C43E8" w:rsidP="00A6622C">
      <w:pPr>
        <w:pStyle w:val="ListParagraph"/>
        <w:numPr>
          <w:ilvl w:val="0"/>
          <w:numId w:val="21"/>
        </w:numPr>
        <w:ind w:leftChars="0" w:left="567" w:hanging="567"/>
        <w:jc w:val="left"/>
        <w:rPr>
          <w:rFonts w:cs="Arial"/>
        </w:rPr>
      </w:pPr>
      <w:r w:rsidRPr="00895D8C">
        <w:rPr>
          <w:rFonts w:cs="Arial"/>
        </w:rPr>
        <w:t>When comparing to high-income countries such as Germany, Japan or the US it becomes apparent that these countries have significantly higher shares of foreign-oriented to total patent families</w:t>
      </w:r>
      <w:r w:rsidR="007D19AC">
        <w:rPr>
          <w:rFonts w:cs="Arial"/>
        </w:rPr>
        <w:t xml:space="preserve"> than is the case in China</w:t>
      </w:r>
      <w:r w:rsidR="00A6622C">
        <w:rPr>
          <w:rFonts w:cs="Arial"/>
        </w:rPr>
        <w:t>.</w:t>
      </w:r>
    </w:p>
    <w:p w:rsidR="00A6622C" w:rsidRPr="00A6622C" w:rsidRDefault="00A6622C" w:rsidP="00A6622C">
      <w:pPr>
        <w:pStyle w:val="ListParagraph"/>
        <w:ind w:left="1447" w:hanging="567"/>
        <w:rPr>
          <w:rFonts w:cs="Arial"/>
        </w:rPr>
      </w:pPr>
    </w:p>
    <w:p w:rsidR="00477BF3" w:rsidRPr="00895D8C" w:rsidRDefault="00477BF3" w:rsidP="00A6622C">
      <w:pPr>
        <w:pStyle w:val="ListParagraph"/>
        <w:numPr>
          <w:ilvl w:val="0"/>
          <w:numId w:val="21"/>
        </w:numPr>
        <w:ind w:leftChars="0" w:left="567" w:hanging="567"/>
        <w:jc w:val="left"/>
        <w:rPr>
          <w:rFonts w:cs="Arial"/>
        </w:rPr>
      </w:pPr>
      <w:r w:rsidRPr="00535E9C">
        <w:rPr>
          <w:rFonts w:cs="Arial"/>
        </w:rPr>
        <w:t>Relative to the growth of domestic patent families, the growth of foreign-oriented families has been much faster on average, admittedly from a lower level.</w:t>
      </w:r>
    </w:p>
    <w:p w:rsidR="003C43E8" w:rsidRDefault="003C43E8" w:rsidP="00A6622C">
      <w:pPr>
        <w:jc w:val="left"/>
        <w:rPr>
          <w:rFonts w:cs="Arial"/>
        </w:rPr>
      </w:pPr>
    </w:p>
    <w:p w:rsidR="009A60DF" w:rsidRPr="00AA1E26" w:rsidRDefault="009A60DF" w:rsidP="00A6622C">
      <w:pPr>
        <w:jc w:val="left"/>
        <w:rPr>
          <w:rFonts w:cs="Arial"/>
        </w:rPr>
      </w:pPr>
    </w:p>
    <w:p w:rsidR="003C43E8" w:rsidRDefault="003C43E8" w:rsidP="00A6622C">
      <w:pPr>
        <w:pStyle w:val="Heading1"/>
        <w:widowControl/>
        <w:numPr>
          <w:ilvl w:val="0"/>
          <w:numId w:val="10"/>
        </w:numPr>
        <w:spacing w:before="0" w:after="0"/>
        <w:ind w:left="0" w:firstLine="0"/>
        <w:jc w:val="left"/>
        <w:rPr>
          <w:rFonts w:cs="Arial"/>
          <w:szCs w:val="22"/>
        </w:rPr>
      </w:pPr>
      <w:r>
        <w:rPr>
          <w:rFonts w:cs="Arial"/>
          <w:szCs w:val="22"/>
        </w:rPr>
        <w:t>Destination of foreign-oriented paten</w:t>
      </w:r>
      <w:r w:rsidR="00A6622C">
        <w:rPr>
          <w:rFonts w:cs="Arial"/>
          <w:szCs w:val="22"/>
        </w:rPr>
        <w:t>t families by chinese residents</w:t>
      </w:r>
    </w:p>
    <w:p w:rsidR="00A6622C" w:rsidRPr="00A6622C" w:rsidRDefault="00A6622C" w:rsidP="00A6622C"/>
    <w:p w:rsidR="000128E2" w:rsidRPr="00A6622C" w:rsidRDefault="003C43E8">
      <w:pPr>
        <w:pStyle w:val="ListParagraph"/>
        <w:numPr>
          <w:ilvl w:val="0"/>
          <w:numId w:val="22"/>
        </w:numPr>
        <w:ind w:leftChars="0" w:left="567" w:hanging="567"/>
        <w:jc w:val="left"/>
        <w:rPr>
          <w:rFonts w:cs="Arial"/>
        </w:rPr>
      </w:pPr>
      <w:r w:rsidRPr="002B1B55">
        <w:t xml:space="preserve">Despite the </w:t>
      </w:r>
      <w:r w:rsidR="001D1A51">
        <w:t>apparent</w:t>
      </w:r>
      <w:r w:rsidRPr="002B1B55">
        <w:t xml:space="preserve"> rise of foreign-oriented patent families by Chinese residents, </w:t>
      </w:r>
      <w:r>
        <w:t>still the m</w:t>
      </w:r>
      <w:r w:rsidRPr="002B1B55">
        <w:t>ajority</w:t>
      </w:r>
      <w:r>
        <w:t xml:space="preserve">, and thus about </w:t>
      </w:r>
      <w:r w:rsidR="007D4711" w:rsidRPr="007D4711">
        <w:t>70</w:t>
      </w:r>
      <w:r w:rsidRPr="007D4711">
        <w:t>%</w:t>
      </w:r>
      <w:r w:rsidR="00895D8C" w:rsidRPr="007D4711">
        <w:t xml:space="preserve">, </w:t>
      </w:r>
      <w:r w:rsidR="00C129E2">
        <w:t xml:space="preserve">target </w:t>
      </w:r>
      <w:r w:rsidR="00F526BE">
        <w:t xml:space="preserve">only </w:t>
      </w:r>
      <w:r w:rsidR="00895D8C" w:rsidRPr="007D4711">
        <w:t xml:space="preserve">one foreign </w:t>
      </w:r>
      <w:r w:rsidR="00B46819">
        <w:t xml:space="preserve">IP </w:t>
      </w:r>
      <w:r w:rsidR="00895D8C" w:rsidRPr="007D4711">
        <w:t>office</w:t>
      </w:r>
      <w:r w:rsidRPr="007D4711">
        <w:t>.</w:t>
      </w:r>
    </w:p>
    <w:p w:rsidR="00A6622C" w:rsidRPr="000128E2" w:rsidRDefault="00A6622C" w:rsidP="00A6622C">
      <w:pPr>
        <w:pStyle w:val="ListParagraph"/>
        <w:ind w:leftChars="0" w:left="567"/>
        <w:jc w:val="left"/>
        <w:rPr>
          <w:rFonts w:cs="Arial"/>
        </w:rPr>
      </w:pPr>
    </w:p>
    <w:p w:rsidR="000128E2" w:rsidRDefault="003C43E8">
      <w:pPr>
        <w:pStyle w:val="ListParagraph"/>
        <w:numPr>
          <w:ilvl w:val="0"/>
          <w:numId w:val="22"/>
        </w:numPr>
        <w:ind w:leftChars="0" w:left="567" w:hanging="567"/>
        <w:jc w:val="left"/>
        <w:rPr>
          <w:rFonts w:cs="Arial"/>
        </w:rPr>
      </w:pPr>
      <w:r w:rsidRPr="00895D8C">
        <w:rPr>
          <w:rFonts w:cs="Arial"/>
        </w:rPr>
        <w:t xml:space="preserve">This is in contrast to Japan and </w:t>
      </w:r>
      <w:r w:rsidR="00C129E2">
        <w:rPr>
          <w:rFonts w:cs="Arial"/>
        </w:rPr>
        <w:t xml:space="preserve">the </w:t>
      </w:r>
      <w:r w:rsidRPr="00895D8C">
        <w:rPr>
          <w:rFonts w:cs="Arial"/>
        </w:rPr>
        <w:t>Republic of Korea where foreign-oriented families with two foreign offices have the largest shares among total f</w:t>
      </w:r>
      <w:r w:rsidR="000128E2">
        <w:rPr>
          <w:rFonts w:cs="Arial"/>
        </w:rPr>
        <w:t>oreign-oriented patent families</w:t>
      </w:r>
      <w:r w:rsidRPr="00895D8C">
        <w:rPr>
          <w:rFonts w:cs="Arial"/>
        </w:rPr>
        <w:t xml:space="preserve">. </w:t>
      </w:r>
      <w:r w:rsidR="00F526BE">
        <w:rPr>
          <w:rFonts w:cs="Arial"/>
        </w:rPr>
        <w:t xml:space="preserve">In the US and in Germany, respectively 39% and 38% </w:t>
      </w:r>
      <w:r w:rsidRPr="00895D8C">
        <w:rPr>
          <w:rFonts w:cs="Arial"/>
        </w:rPr>
        <w:t>of total foreign-oriented patent families</w:t>
      </w:r>
      <w:r w:rsidR="00B46819">
        <w:rPr>
          <w:rFonts w:cs="Arial"/>
        </w:rPr>
        <w:t xml:space="preserve"> target only one office</w:t>
      </w:r>
      <w:r w:rsidR="00A6622C">
        <w:rPr>
          <w:rFonts w:cs="Arial"/>
        </w:rPr>
        <w:t>.</w:t>
      </w:r>
    </w:p>
    <w:p w:rsidR="00A6622C" w:rsidRDefault="00A6622C" w:rsidP="00A6622C">
      <w:pPr>
        <w:pStyle w:val="ListParagraph"/>
        <w:ind w:leftChars="0" w:left="567"/>
        <w:jc w:val="left"/>
        <w:rPr>
          <w:rFonts w:cs="Arial"/>
        </w:rPr>
      </w:pPr>
    </w:p>
    <w:p w:rsidR="000128E2" w:rsidRPr="00A6622C" w:rsidRDefault="003C43E8" w:rsidP="00A6622C">
      <w:pPr>
        <w:pStyle w:val="ListParagraph"/>
        <w:numPr>
          <w:ilvl w:val="0"/>
          <w:numId w:val="22"/>
        </w:numPr>
        <w:ind w:leftChars="0" w:left="567" w:hanging="567"/>
        <w:jc w:val="left"/>
        <w:rPr>
          <w:rFonts w:cs="Arial"/>
        </w:rPr>
      </w:pPr>
      <w:r w:rsidRPr="006E7350">
        <w:t>That said, over time,</w:t>
      </w:r>
      <w:r w:rsidRPr="006F3909">
        <w:t xml:space="preserve"> the share of</w:t>
      </w:r>
      <w:r w:rsidR="000128E2">
        <w:t xml:space="preserve"> Chinese</w:t>
      </w:r>
      <w:r w:rsidRPr="006F3909">
        <w:t xml:space="preserve"> families with more than one foreign office has increased – from about </w:t>
      </w:r>
      <w:r w:rsidRPr="007D4711">
        <w:t>5%</w:t>
      </w:r>
      <w:r w:rsidRPr="006F3909">
        <w:t xml:space="preserve"> in the 1970s to </w:t>
      </w:r>
      <w:r w:rsidR="007D4711" w:rsidRPr="007D4711">
        <w:t>36</w:t>
      </w:r>
      <w:r w:rsidRPr="007D4711">
        <w:t xml:space="preserve">% </w:t>
      </w:r>
      <w:r w:rsidRPr="006F3909">
        <w:t>in 2009. While among families</w:t>
      </w:r>
      <w:r w:rsidR="003149C6">
        <w:t xml:space="preserve"> </w:t>
      </w:r>
      <w:r w:rsidR="003149C6" w:rsidRPr="006F3909">
        <w:t>with more than one foreign office</w:t>
      </w:r>
      <w:r w:rsidRPr="006F3909">
        <w:t xml:space="preserve">, the majority </w:t>
      </w:r>
      <w:r w:rsidR="00C129E2">
        <w:t>still target</w:t>
      </w:r>
      <w:r w:rsidR="004E506D">
        <w:t>s</w:t>
      </w:r>
      <w:r w:rsidR="00A30E55">
        <w:t xml:space="preserve"> </w:t>
      </w:r>
      <w:r w:rsidRPr="006F3909">
        <w:t>two patent offices (</w:t>
      </w:r>
      <w:r w:rsidR="00083957">
        <w:t>about</w:t>
      </w:r>
      <w:r w:rsidR="00083957" w:rsidRPr="00E135D7">
        <w:t xml:space="preserve"> 55%</w:t>
      </w:r>
      <w:r w:rsidR="00DB1610">
        <w:t xml:space="preserve"> in 2009</w:t>
      </w:r>
      <w:r w:rsidR="00083957" w:rsidRPr="00E135D7">
        <w:t>,</w:t>
      </w:r>
      <w:r w:rsidR="00083957">
        <w:t xml:space="preserve"> or</w:t>
      </w:r>
      <w:r w:rsidR="00083957" w:rsidRPr="006F3909">
        <w:rPr>
          <w:color w:val="FF0000"/>
        </w:rPr>
        <w:t xml:space="preserve"> </w:t>
      </w:r>
      <w:r w:rsidR="00083957" w:rsidRPr="00E135D7">
        <w:t>1</w:t>
      </w:r>
      <w:r w:rsidR="00B60056">
        <w:t>,</w:t>
      </w:r>
      <w:r w:rsidR="00083957" w:rsidRPr="00E135D7">
        <w:t>848</w:t>
      </w:r>
      <w:r w:rsidR="00083957">
        <w:t xml:space="preserve"> patent families</w:t>
      </w:r>
      <w:r w:rsidRPr="006F3909">
        <w:t>), and not more, a considerable share also targets three (</w:t>
      </w:r>
      <w:r w:rsidR="00083957">
        <w:t>23</w:t>
      </w:r>
      <w:r w:rsidR="00083957" w:rsidRPr="006F3909">
        <w:t>%</w:t>
      </w:r>
      <w:r w:rsidR="00DB1610">
        <w:t xml:space="preserve"> in 2009</w:t>
      </w:r>
      <w:r w:rsidR="00083957" w:rsidRPr="006F3909">
        <w:t xml:space="preserve">, </w:t>
      </w:r>
      <w:r w:rsidR="00083957">
        <w:t>or 782 patent families</w:t>
      </w:r>
      <w:r w:rsidRPr="006F3909">
        <w:t>) and four offices (</w:t>
      </w:r>
      <w:r w:rsidR="00083957" w:rsidRPr="00E135D7">
        <w:t>13%</w:t>
      </w:r>
      <w:r w:rsidR="00DB1610">
        <w:t xml:space="preserve"> in 2009</w:t>
      </w:r>
      <w:r w:rsidR="00083957" w:rsidRPr="00E135D7">
        <w:t>,</w:t>
      </w:r>
      <w:r w:rsidR="00083957">
        <w:t xml:space="preserve"> or</w:t>
      </w:r>
      <w:r w:rsidR="00083957" w:rsidRPr="006F3909">
        <w:rPr>
          <w:color w:val="FF0000"/>
        </w:rPr>
        <w:t xml:space="preserve"> </w:t>
      </w:r>
      <w:r w:rsidR="00083957" w:rsidRPr="00E135D7">
        <w:t>441</w:t>
      </w:r>
      <w:r w:rsidR="00083957">
        <w:t xml:space="preserve"> patent families</w:t>
      </w:r>
      <w:r w:rsidRPr="006F3909">
        <w:t>).</w:t>
      </w:r>
    </w:p>
    <w:p w:rsidR="00A6622C" w:rsidRPr="000128E2" w:rsidRDefault="00A6622C" w:rsidP="00A6622C">
      <w:pPr>
        <w:pStyle w:val="ListParagraph"/>
        <w:ind w:leftChars="0" w:left="567"/>
        <w:jc w:val="left"/>
        <w:rPr>
          <w:rFonts w:cs="Arial"/>
        </w:rPr>
      </w:pPr>
    </w:p>
    <w:p w:rsidR="000128E2" w:rsidRDefault="003C43E8" w:rsidP="00A6622C">
      <w:pPr>
        <w:pStyle w:val="ListParagraph"/>
        <w:numPr>
          <w:ilvl w:val="0"/>
          <w:numId w:val="22"/>
        </w:numPr>
        <w:ind w:leftChars="0" w:left="567" w:hanging="567"/>
        <w:jc w:val="left"/>
        <w:rPr>
          <w:rFonts w:cs="Arial"/>
        </w:rPr>
      </w:pPr>
      <w:r w:rsidRPr="000128E2">
        <w:rPr>
          <w:rFonts w:cs="Arial"/>
        </w:rPr>
        <w:t>More than 80% of Chinese foreign-oriented patent families in 1</w:t>
      </w:r>
      <w:r w:rsidRPr="00A30E55">
        <w:rPr>
          <w:rFonts w:cs="Arial"/>
        </w:rPr>
        <w:t>970-</w:t>
      </w:r>
      <w:r w:rsidR="00A30E55" w:rsidRPr="00A30E55">
        <w:rPr>
          <w:rFonts w:cs="Arial"/>
        </w:rPr>
        <w:t>2012</w:t>
      </w:r>
      <w:r w:rsidR="009E1ED2">
        <w:rPr>
          <w:rFonts w:cs="Arial"/>
        </w:rPr>
        <w:t xml:space="preserve"> </w:t>
      </w:r>
      <w:r w:rsidRPr="000128E2">
        <w:rPr>
          <w:rFonts w:cs="Arial"/>
        </w:rPr>
        <w:t xml:space="preserve">include at least one patent application with </w:t>
      </w:r>
      <w:r w:rsidR="009E1ED2">
        <w:rPr>
          <w:rFonts w:cs="Arial"/>
        </w:rPr>
        <w:t>the United States Patent and Trademark Office (</w:t>
      </w:r>
      <w:r w:rsidRPr="000128E2">
        <w:rPr>
          <w:rFonts w:cs="Arial"/>
        </w:rPr>
        <w:t>USPTO</w:t>
      </w:r>
      <w:r w:rsidR="009E1ED2">
        <w:rPr>
          <w:rFonts w:cs="Arial"/>
        </w:rPr>
        <w:t>)</w:t>
      </w:r>
      <w:r w:rsidRPr="000128E2">
        <w:rPr>
          <w:rFonts w:cs="Arial"/>
        </w:rPr>
        <w:t xml:space="preserve">, </w:t>
      </w:r>
      <w:r w:rsidR="009E1ED2">
        <w:rPr>
          <w:rFonts w:cs="Arial"/>
        </w:rPr>
        <w:t>the European Patent Office (</w:t>
      </w:r>
      <w:r w:rsidRPr="000128E2">
        <w:rPr>
          <w:rFonts w:cs="Arial"/>
        </w:rPr>
        <w:t>EPO</w:t>
      </w:r>
      <w:r w:rsidR="009E1ED2">
        <w:rPr>
          <w:rFonts w:cs="Arial"/>
        </w:rPr>
        <w:t>)</w:t>
      </w:r>
      <w:r w:rsidRPr="000128E2">
        <w:rPr>
          <w:rFonts w:cs="Arial"/>
        </w:rPr>
        <w:t xml:space="preserve">, or </w:t>
      </w:r>
      <w:r w:rsidR="009E1ED2">
        <w:rPr>
          <w:rFonts w:cs="Arial"/>
        </w:rPr>
        <w:t>the Japanese Patent Office (</w:t>
      </w:r>
      <w:r w:rsidRPr="000128E2">
        <w:rPr>
          <w:rFonts w:cs="Arial"/>
        </w:rPr>
        <w:t>JPO</w:t>
      </w:r>
      <w:r w:rsidR="009E1ED2">
        <w:rPr>
          <w:rFonts w:cs="Arial"/>
        </w:rPr>
        <w:t>)</w:t>
      </w:r>
      <w:r w:rsidRPr="000128E2">
        <w:rPr>
          <w:rFonts w:cs="Arial"/>
        </w:rPr>
        <w:t>.</w:t>
      </w:r>
      <w:r w:rsidRPr="000128E2">
        <w:rPr>
          <w:rFonts w:cs="Arial"/>
          <w:b/>
        </w:rPr>
        <w:t xml:space="preserve"> </w:t>
      </w:r>
      <w:r w:rsidR="00A6622C">
        <w:rPr>
          <w:rFonts w:cs="Arial"/>
          <w:b/>
        </w:rPr>
        <w:t xml:space="preserve"> </w:t>
      </w:r>
      <w:r w:rsidRPr="000128E2">
        <w:rPr>
          <w:rFonts w:cs="Arial"/>
        </w:rPr>
        <w:t xml:space="preserve">The share of triadic patent families (USPTO, EPO, and JPO) is approximately 7% and the share of families </w:t>
      </w:r>
      <w:r w:rsidRPr="000128E2">
        <w:rPr>
          <w:rFonts w:cs="Arial"/>
        </w:rPr>
        <w:lastRenderedPageBreak/>
        <w:t xml:space="preserve">that include applications </w:t>
      </w:r>
      <w:r w:rsidR="00C1613C">
        <w:rPr>
          <w:rFonts w:cs="Arial"/>
        </w:rPr>
        <w:t>at</w:t>
      </w:r>
      <w:r w:rsidRPr="000128E2">
        <w:rPr>
          <w:rFonts w:cs="Arial"/>
        </w:rPr>
        <w:t xml:space="preserve"> five patent offices (USPTO, EPO, JPO, KIPO, and SIPO) is less than 3% </w:t>
      </w:r>
      <w:r w:rsidR="00CD6B51">
        <w:rPr>
          <w:rFonts w:cs="Arial"/>
        </w:rPr>
        <w:t>for the same time span</w:t>
      </w:r>
      <w:r w:rsidRPr="000128E2">
        <w:rPr>
          <w:rFonts w:cs="Arial"/>
        </w:rPr>
        <w:t>.</w:t>
      </w:r>
      <w:r w:rsidRPr="000128E2">
        <w:rPr>
          <w:rFonts w:eastAsia="MS PGothic" w:cs="Arial"/>
          <w:color w:val="000000"/>
          <w:kern w:val="0"/>
        </w:rPr>
        <w:t xml:space="preserve"> </w:t>
      </w:r>
      <w:r w:rsidRPr="000128E2">
        <w:rPr>
          <w:rFonts w:cs="Arial"/>
        </w:rPr>
        <w:t xml:space="preserve"> </w:t>
      </w:r>
    </w:p>
    <w:p w:rsidR="009A60DF" w:rsidRPr="009A60DF" w:rsidRDefault="009A60DF" w:rsidP="009A60DF">
      <w:pPr>
        <w:pStyle w:val="ListParagraph"/>
        <w:ind w:left="880"/>
        <w:rPr>
          <w:rFonts w:cs="Arial"/>
        </w:rPr>
      </w:pPr>
    </w:p>
    <w:p w:rsidR="003C43E8" w:rsidRDefault="003C43E8" w:rsidP="00A6622C">
      <w:pPr>
        <w:pStyle w:val="ListParagraph"/>
        <w:numPr>
          <w:ilvl w:val="0"/>
          <w:numId w:val="22"/>
        </w:numPr>
        <w:ind w:leftChars="0" w:left="567" w:hanging="567"/>
        <w:jc w:val="left"/>
        <w:rPr>
          <w:rFonts w:cs="Arial"/>
        </w:rPr>
      </w:pPr>
      <w:r w:rsidRPr="000128E2">
        <w:rPr>
          <w:rFonts w:cs="Arial"/>
        </w:rPr>
        <w:t xml:space="preserve">In terms of absolute numbers, the majority of patent </w:t>
      </w:r>
      <w:r w:rsidR="00987C7F">
        <w:rPr>
          <w:rFonts w:cs="Arial"/>
        </w:rPr>
        <w:t>applications</w:t>
      </w:r>
      <w:r w:rsidRPr="000128E2">
        <w:rPr>
          <w:rFonts w:cs="Arial"/>
        </w:rPr>
        <w:t xml:space="preserve"> </w:t>
      </w:r>
      <w:r w:rsidR="002E41E8">
        <w:rPr>
          <w:rFonts w:cs="Arial"/>
        </w:rPr>
        <w:t xml:space="preserve">abroad </w:t>
      </w:r>
      <w:r w:rsidRPr="000128E2">
        <w:rPr>
          <w:rFonts w:cs="Arial"/>
        </w:rPr>
        <w:t xml:space="preserve">by Chinese residents target the US with close to 50,000 </w:t>
      </w:r>
      <w:r w:rsidR="00922126" w:rsidRPr="00922126">
        <w:rPr>
          <w:rFonts w:cs="Arial"/>
        </w:rPr>
        <w:t>patent applications based on avail</w:t>
      </w:r>
      <w:r w:rsidR="00922126">
        <w:rPr>
          <w:rFonts w:cs="Arial"/>
        </w:rPr>
        <w:t>able data between 1970 and 2012</w:t>
      </w:r>
      <w:r w:rsidRPr="000128E2">
        <w:rPr>
          <w:rFonts w:cs="Arial"/>
        </w:rPr>
        <w:t xml:space="preserve">, followed by Europe, Japan, the Republic of Korea, and Canada. </w:t>
      </w:r>
      <w:r w:rsidR="00A6622C">
        <w:rPr>
          <w:rFonts w:cs="Arial"/>
        </w:rPr>
        <w:t xml:space="preserve"> </w:t>
      </w:r>
      <w:r w:rsidRPr="000128E2">
        <w:rPr>
          <w:rFonts w:cs="Arial"/>
        </w:rPr>
        <w:t xml:space="preserve">A significant number of families also target Australia, and the Russian Federation. </w:t>
      </w:r>
      <w:r w:rsidR="00987C7F">
        <w:rPr>
          <w:rFonts w:cs="Arial"/>
        </w:rPr>
        <w:t>F</w:t>
      </w:r>
      <w:r w:rsidRPr="000128E2">
        <w:rPr>
          <w:rFonts w:cs="Arial"/>
        </w:rPr>
        <w:t xml:space="preserve">ewer </w:t>
      </w:r>
      <w:r w:rsidR="00987C7F">
        <w:rPr>
          <w:rFonts w:cs="Arial"/>
        </w:rPr>
        <w:t>Chinese patent applications</w:t>
      </w:r>
      <w:r w:rsidRPr="000128E2">
        <w:rPr>
          <w:rFonts w:cs="Arial"/>
        </w:rPr>
        <w:t xml:space="preserve"> </w:t>
      </w:r>
      <w:r w:rsidR="00987C7F">
        <w:rPr>
          <w:rFonts w:cs="Arial"/>
        </w:rPr>
        <w:t>are filed in</w:t>
      </w:r>
      <w:r w:rsidRPr="000128E2">
        <w:rPr>
          <w:rFonts w:cs="Arial"/>
        </w:rPr>
        <w:t xml:space="preserve"> Brazil or other Asian economies. </w:t>
      </w:r>
    </w:p>
    <w:p w:rsidR="00EC4D92" w:rsidRDefault="00EC4D92" w:rsidP="00A6622C">
      <w:pPr>
        <w:pStyle w:val="ListParagraph"/>
        <w:ind w:leftChars="0" w:left="567" w:hanging="567"/>
        <w:jc w:val="left"/>
        <w:rPr>
          <w:rFonts w:cs="Arial"/>
        </w:rPr>
      </w:pPr>
    </w:p>
    <w:p w:rsidR="00A6622C" w:rsidRDefault="00857471" w:rsidP="00A6622C">
      <w:pPr>
        <w:pStyle w:val="Heading1"/>
        <w:widowControl/>
        <w:numPr>
          <w:ilvl w:val="0"/>
          <w:numId w:val="10"/>
        </w:numPr>
        <w:spacing w:before="0" w:after="0"/>
        <w:ind w:left="0" w:firstLine="0"/>
        <w:jc w:val="left"/>
        <w:rPr>
          <w:rFonts w:cs="Arial"/>
          <w:szCs w:val="22"/>
        </w:rPr>
      </w:pPr>
      <w:r w:rsidRPr="00AA1E26">
        <w:rPr>
          <w:rFonts w:cs="Arial"/>
          <w:szCs w:val="22"/>
        </w:rPr>
        <w:t>Applicant types</w:t>
      </w:r>
      <w:r>
        <w:rPr>
          <w:rFonts w:cs="Arial"/>
          <w:szCs w:val="22"/>
        </w:rPr>
        <w:t>:</w:t>
      </w:r>
      <w:r w:rsidR="00A6622C">
        <w:rPr>
          <w:rFonts w:cs="Arial"/>
          <w:szCs w:val="22"/>
        </w:rPr>
        <w:t xml:space="preserve"> </w:t>
      </w:r>
      <w:r>
        <w:rPr>
          <w:rFonts w:cs="Arial"/>
          <w:szCs w:val="22"/>
        </w:rPr>
        <w:t xml:space="preserve"> Actors, Technology fields and sectors</w:t>
      </w:r>
    </w:p>
    <w:p w:rsidR="00A6622C" w:rsidRPr="00A6622C" w:rsidRDefault="00A6622C" w:rsidP="00A6622C"/>
    <w:p w:rsidR="00CA40D4" w:rsidRDefault="003C43E8" w:rsidP="00A6622C">
      <w:pPr>
        <w:pStyle w:val="ListParagraph"/>
        <w:numPr>
          <w:ilvl w:val="0"/>
          <w:numId w:val="26"/>
        </w:numPr>
        <w:ind w:leftChars="0" w:left="567" w:hanging="567"/>
        <w:jc w:val="left"/>
        <w:rPr>
          <w:rFonts w:cs="Arial"/>
        </w:rPr>
      </w:pPr>
      <w:r w:rsidRPr="00857471">
        <w:rPr>
          <w:rFonts w:cs="Arial"/>
        </w:rPr>
        <w:t xml:space="preserve">Almost </w:t>
      </w:r>
      <w:r w:rsidRPr="00464E1E">
        <w:rPr>
          <w:rFonts w:cs="Arial"/>
        </w:rPr>
        <w:t>70%</w:t>
      </w:r>
      <w:r w:rsidRPr="00857471">
        <w:rPr>
          <w:rFonts w:cs="Arial"/>
        </w:rPr>
        <w:t xml:space="preserve"> of foreign-oriented patent families by Chinese residents are owned by </w:t>
      </w:r>
      <w:r w:rsidR="00C1613C">
        <w:rPr>
          <w:rFonts w:cs="Arial"/>
        </w:rPr>
        <w:t xml:space="preserve">firms. The share of firms in total foreign-oriented patent families has indeed been growing rapidly </w:t>
      </w:r>
      <w:r w:rsidRPr="00857471">
        <w:rPr>
          <w:rFonts w:cs="Arial"/>
        </w:rPr>
        <w:t>between 1970 and 2009, more</w:t>
      </w:r>
      <w:r w:rsidR="00857471">
        <w:rPr>
          <w:rFonts w:cs="Arial"/>
        </w:rPr>
        <w:t xml:space="preserve"> than doubling every decade. </w:t>
      </w:r>
      <w:r w:rsidR="00A6622C">
        <w:rPr>
          <w:rFonts w:cs="Arial"/>
        </w:rPr>
        <w:t xml:space="preserve"> </w:t>
      </w:r>
      <w:r w:rsidRPr="00857471">
        <w:rPr>
          <w:rFonts w:cs="Arial"/>
        </w:rPr>
        <w:t xml:space="preserve">The share of universities and research institutes in total foreign-oriented patent families is about 6%, which is similar to </w:t>
      </w:r>
      <w:r w:rsidR="009B152B">
        <w:rPr>
          <w:rFonts w:cs="Arial"/>
        </w:rPr>
        <w:t xml:space="preserve">the situation in the </w:t>
      </w:r>
      <w:r w:rsidRPr="00857471">
        <w:rPr>
          <w:rFonts w:cs="Arial"/>
        </w:rPr>
        <w:t xml:space="preserve">Republic of Korea (about 6%), and </w:t>
      </w:r>
      <w:r w:rsidR="009B152B">
        <w:rPr>
          <w:rFonts w:cs="Arial"/>
        </w:rPr>
        <w:t>larger</w:t>
      </w:r>
      <w:r w:rsidRPr="00857471">
        <w:rPr>
          <w:rFonts w:cs="Arial"/>
        </w:rPr>
        <w:t xml:space="preserve"> if compared to the US (about 2%), Japan (less than 1%), and Germany (about 1%). </w:t>
      </w:r>
    </w:p>
    <w:p w:rsidR="00A6622C" w:rsidRDefault="00A6622C" w:rsidP="00A6622C">
      <w:pPr>
        <w:pStyle w:val="ListParagraph"/>
        <w:ind w:leftChars="0" w:left="567"/>
        <w:jc w:val="left"/>
        <w:rPr>
          <w:rFonts w:cs="Arial"/>
        </w:rPr>
      </w:pPr>
    </w:p>
    <w:p w:rsidR="00A921DA" w:rsidRDefault="00CA40D4" w:rsidP="00A6622C">
      <w:pPr>
        <w:pStyle w:val="ListParagraph"/>
        <w:numPr>
          <w:ilvl w:val="0"/>
          <w:numId w:val="26"/>
        </w:numPr>
        <w:ind w:leftChars="0" w:left="567" w:hanging="567"/>
        <w:jc w:val="left"/>
        <w:rPr>
          <w:rFonts w:cs="Arial"/>
        </w:rPr>
      </w:pPr>
      <w:r>
        <w:rPr>
          <w:rFonts w:cs="Arial"/>
        </w:rPr>
        <w:t xml:space="preserve">Chinese foreign-oriented patent families are concentrated in a few technology fields and </w:t>
      </w:r>
      <w:r w:rsidR="009B152B">
        <w:rPr>
          <w:rFonts w:cs="Arial"/>
        </w:rPr>
        <w:t xml:space="preserve">their </w:t>
      </w:r>
      <w:r>
        <w:rPr>
          <w:rFonts w:cs="Arial"/>
        </w:rPr>
        <w:t xml:space="preserve">corresponding sectors. </w:t>
      </w:r>
      <w:r w:rsidR="00A6622C">
        <w:rPr>
          <w:rFonts w:cs="Arial"/>
        </w:rPr>
        <w:t xml:space="preserve"> </w:t>
      </w:r>
      <w:r w:rsidR="009B152B">
        <w:rPr>
          <w:rFonts w:cs="Arial"/>
        </w:rPr>
        <w:t>This concentration in</w:t>
      </w:r>
      <w:r w:rsidR="0001520D" w:rsidRPr="00565DF3">
        <w:rPr>
          <w:rFonts w:cs="Arial"/>
        </w:rPr>
        <w:t xml:space="preserve"> a small</w:t>
      </w:r>
      <w:r w:rsidR="00B54D31">
        <w:rPr>
          <w:rFonts w:cs="Arial"/>
        </w:rPr>
        <w:t xml:space="preserve"> number of technologies fields i</w:t>
      </w:r>
      <w:r w:rsidR="008C3A0B">
        <w:rPr>
          <w:rFonts w:cs="Arial"/>
        </w:rPr>
        <w:t>s actually increasing over time</w:t>
      </w:r>
      <w:r w:rsidR="00B54D31">
        <w:rPr>
          <w:rFonts w:cs="Arial"/>
        </w:rPr>
        <w:t xml:space="preserve">, </w:t>
      </w:r>
      <w:r w:rsidR="0001520D">
        <w:rPr>
          <w:rFonts w:cs="Arial"/>
        </w:rPr>
        <w:t xml:space="preserve">and this </w:t>
      </w:r>
      <w:r w:rsidR="0001520D" w:rsidRPr="00565DF3">
        <w:rPr>
          <w:rFonts w:cs="Arial"/>
        </w:rPr>
        <w:t xml:space="preserve">despite the considerably </w:t>
      </w:r>
      <w:r w:rsidR="00B54D31">
        <w:rPr>
          <w:rFonts w:cs="Arial"/>
        </w:rPr>
        <w:t>increased</w:t>
      </w:r>
      <w:r w:rsidR="0001520D" w:rsidRPr="00565DF3">
        <w:rPr>
          <w:rFonts w:cs="Arial"/>
        </w:rPr>
        <w:t xml:space="preserve"> volume of </w:t>
      </w:r>
      <w:r w:rsidR="00B54D31">
        <w:rPr>
          <w:rFonts w:cs="Arial"/>
        </w:rPr>
        <w:t>Chinese patents filed abroad.</w:t>
      </w:r>
    </w:p>
    <w:p w:rsidR="00A6622C" w:rsidRDefault="00A6622C" w:rsidP="00A6622C">
      <w:pPr>
        <w:pStyle w:val="ListParagraph"/>
        <w:ind w:leftChars="0" w:left="567"/>
        <w:jc w:val="left"/>
        <w:rPr>
          <w:rFonts w:cs="Arial"/>
        </w:rPr>
      </w:pPr>
    </w:p>
    <w:p w:rsidR="00631138" w:rsidRDefault="00631138" w:rsidP="00A6622C">
      <w:pPr>
        <w:pStyle w:val="ListParagraph"/>
        <w:numPr>
          <w:ilvl w:val="0"/>
          <w:numId w:val="26"/>
        </w:numPr>
        <w:ind w:leftChars="0" w:left="567" w:hanging="567"/>
        <w:jc w:val="left"/>
        <w:rPr>
          <w:rFonts w:cs="Arial"/>
        </w:rPr>
      </w:pPr>
      <w:r w:rsidRPr="00A921DA">
        <w:rPr>
          <w:rFonts w:cs="Arial"/>
        </w:rPr>
        <w:t xml:space="preserve">The share of “complex” technology fields among total </w:t>
      </w:r>
      <w:r w:rsidR="004E506D">
        <w:rPr>
          <w:rFonts w:cs="Arial"/>
        </w:rPr>
        <w:t xml:space="preserve">Chinese </w:t>
      </w:r>
      <w:r w:rsidRPr="00A921DA">
        <w:rPr>
          <w:rFonts w:cs="Arial"/>
        </w:rPr>
        <w:t>foreign-oriented patent familie</w:t>
      </w:r>
      <w:r w:rsidR="002E41E8">
        <w:rPr>
          <w:rFonts w:cs="Arial"/>
        </w:rPr>
        <w:t xml:space="preserve">s has been growing between 1970 and </w:t>
      </w:r>
      <w:r w:rsidRPr="00A921DA">
        <w:rPr>
          <w:rFonts w:cs="Arial"/>
        </w:rPr>
        <w:t xml:space="preserve">2009 to reach a 75%-share of total patents abroad on average per annum since 2000. </w:t>
      </w:r>
    </w:p>
    <w:p w:rsidR="00A6622C" w:rsidRPr="00A921DA" w:rsidRDefault="00A6622C" w:rsidP="00A6622C">
      <w:pPr>
        <w:pStyle w:val="ListParagraph"/>
        <w:ind w:leftChars="0" w:left="567"/>
        <w:jc w:val="left"/>
        <w:rPr>
          <w:rFonts w:cs="Arial"/>
        </w:rPr>
      </w:pPr>
    </w:p>
    <w:p w:rsidR="008B22DE" w:rsidRDefault="0001520D" w:rsidP="00A6622C">
      <w:pPr>
        <w:pStyle w:val="ListParagraph"/>
        <w:numPr>
          <w:ilvl w:val="0"/>
          <w:numId w:val="26"/>
        </w:numPr>
        <w:ind w:leftChars="0" w:left="567" w:hanging="567"/>
        <w:jc w:val="left"/>
        <w:rPr>
          <w:rFonts w:cs="Arial"/>
        </w:rPr>
      </w:pPr>
      <w:r>
        <w:rPr>
          <w:rFonts w:cs="Arial"/>
        </w:rPr>
        <w:t xml:space="preserve">Specifically, </w:t>
      </w:r>
      <w:r w:rsidR="00A403F0" w:rsidRPr="0001520D">
        <w:rPr>
          <w:rFonts w:cs="Arial"/>
        </w:rPr>
        <w:t>the</w:t>
      </w:r>
      <w:r w:rsidR="00A403F0" w:rsidRPr="005C58A6">
        <w:rPr>
          <w:rFonts w:cs="Arial"/>
          <w:b/>
        </w:rPr>
        <w:t xml:space="preserve"> </w:t>
      </w:r>
      <w:r w:rsidR="003C43E8" w:rsidRPr="005C58A6">
        <w:rPr>
          <w:rFonts w:cs="Arial"/>
        </w:rPr>
        <w:t xml:space="preserve">ICT sector has the largest number of foreign-oriented patent families, with roughly one </w:t>
      </w:r>
      <w:r w:rsidR="006D1C4B">
        <w:rPr>
          <w:rFonts w:cs="Arial"/>
        </w:rPr>
        <w:t xml:space="preserve">fourth </w:t>
      </w:r>
      <w:r w:rsidR="003C43E8" w:rsidRPr="005C58A6">
        <w:rPr>
          <w:rFonts w:cs="Arial"/>
        </w:rPr>
        <w:t xml:space="preserve">of all patents </w:t>
      </w:r>
      <w:r w:rsidR="00A403F0" w:rsidRPr="005C58A6">
        <w:rPr>
          <w:rFonts w:cs="Arial"/>
        </w:rPr>
        <w:t>filed abroad</w:t>
      </w:r>
      <w:r w:rsidR="00396347">
        <w:rPr>
          <w:rFonts w:cs="Arial"/>
        </w:rPr>
        <w:t xml:space="preserve"> </w:t>
      </w:r>
      <w:r w:rsidR="008F4AA9">
        <w:rPr>
          <w:rFonts w:cs="Arial"/>
        </w:rPr>
        <w:t>(25% within the whole period of 1970-2012, and 29% in 2005-2009)</w:t>
      </w:r>
      <w:r w:rsidR="00A403F0" w:rsidRPr="005C58A6">
        <w:rPr>
          <w:rFonts w:cs="Arial"/>
        </w:rPr>
        <w:t>.</w:t>
      </w:r>
      <w:r w:rsidR="00A6622C">
        <w:rPr>
          <w:rFonts w:cs="Arial"/>
        </w:rPr>
        <w:t xml:space="preserve"> </w:t>
      </w:r>
      <w:r w:rsidR="00A403F0" w:rsidRPr="005C58A6">
        <w:rPr>
          <w:rFonts w:cs="Arial"/>
        </w:rPr>
        <w:t xml:space="preserve"> </w:t>
      </w:r>
      <w:r w:rsidR="005C58A6">
        <w:rPr>
          <w:rFonts w:cs="Arial"/>
        </w:rPr>
        <w:t>T</w:t>
      </w:r>
      <w:r w:rsidR="003C43E8" w:rsidRPr="005C58A6">
        <w:rPr>
          <w:rFonts w:cs="Arial"/>
        </w:rPr>
        <w:t>he “Electrical machinery, apparatus, energy” technology field ha</w:t>
      </w:r>
      <w:r w:rsidR="005C58A6">
        <w:rPr>
          <w:rFonts w:cs="Arial"/>
        </w:rPr>
        <w:t>s</w:t>
      </w:r>
      <w:r w:rsidR="003C43E8" w:rsidRPr="005C58A6">
        <w:rPr>
          <w:rFonts w:cs="Arial"/>
        </w:rPr>
        <w:t xml:space="preserve"> the bigge</w:t>
      </w:r>
      <w:r w:rsidR="00A403F0" w:rsidRPr="005C58A6">
        <w:rPr>
          <w:rFonts w:cs="Arial"/>
        </w:rPr>
        <w:t>st share in total families</w:t>
      </w:r>
      <w:r w:rsidR="003C43E8" w:rsidRPr="005C58A6">
        <w:rPr>
          <w:rFonts w:cs="Arial"/>
        </w:rPr>
        <w:t>, followed by “Computer t</w:t>
      </w:r>
      <w:r w:rsidR="00A403F0" w:rsidRPr="005C58A6">
        <w:rPr>
          <w:rFonts w:cs="Arial"/>
        </w:rPr>
        <w:t>echnology”</w:t>
      </w:r>
      <w:r w:rsidR="003C43E8" w:rsidRPr="005C58A6">
        <w:rPr>
          <w:rFonts w:cs="Arial"/>
        </w:rPr>
        <w:t>, “</w:t>
      </w:r>
      <w:r w:rsidR="00A403F0" w:rsidRPr="005C58A6">
        <w:rPr>
          <w:rFonts w:cs="Arial"/>
        </w:rPr>
        <w:t>Digital co</w:t>
      </w:r>
      <w:r w:rsidR="00DA54A0">
        <w:rPr>
          <w:rFonts w:cs="Arial"/>
        </w:rPr>
        <w:t>mmunication” and “</w:t>
      </w:r>
      <w:r w:rsidR="00784652">
        <w:rPr>
          <w:rFonts w:cs="Arial"/>
        </w:rPr>
        <w:t>Computer technology</w:t>
      </w:r>
      <w:r w:rsidR="00DA54A0">
        <w:rPr>
          <w:rFonts w:cs="Arial"/>
        </w:rPr>
        <w:t>”</w:t>
      </w:r>
      <w:r w:rsidR="00A403F0" w:rsidRPr="005C58A6">
        <w:rPr>
          <w:rFonts w:cs="Arial"/>
        </w:rPr>
        <w:t>.</w:t>
      </w:r>
    </w:p>
    <w:p w:rsidR="009A60DF" w:rsidRPr="009A60DF" w:rsidRDefault="009A60DF" w:rsidP="009A60DF">
      <w:pPr>
        <w:pStyle w:val="ListParagraph"/>
        <w:ind w:left="880"/>
        <w:rPr>
          <w:rFonts w:cs="Arial"/>
        </w:rPr>
      </w:pPr>
    </w:p>
    <w:p w:rsidR="008B22DE" w:rsidRPr="00A6622C" w:rsidRDefault="003C43E8" w:rsidP="00A6622C">
      <w:pPr>
        <w:pStyle w:val="ListParagraph"/>
        <w:numPr>
          <w:ilvl w:val="0"/>
          <w:numId w:val="26"/>
        </w:numPr>
        <w:ind w:leftChars="0" w:left="567" w:hanging="567"/>
        <w:jc w:val="left"/>
        <w:rPr>
          <w:rFonts w:cs="Arial"/>
        </w:rPr>
      </w:pPr>
      <w:r w:rsidRPr="008B22DE">
        <w:rPr>
          <w:rFonts w:cs="Arial"/>
        </w:rPr>
        <w:t xml:space="preserve">The top technology fields among foreign-oriented patent families and domestic patent families overlap only partially. </w:t>
      </w:r>
      <w:r w:rsidR="00A6622C">
        <w:rPr>
          <w:rFonts w:cs="Arial"/>
        </w:rPr>
        <w:t xml:space="preserve"> </w:t>
      </w:r>
      <w:r w:rsidRPr="008B22DE">
        <w:rPr>
          <w:rFonts w:cs="Arial"/>
        </w:rPr>
        <w:t xml:space="preserve">Specifically, only four out of the top ten technology fields are the same among foreign-oriented and domestic patent families </w:t>
      </w:r>
      <w:r w:rsidR="00DA54A0">
        <w:rPr>
          <w:rFonts w:cs="Arial"/>
        </w:rPr>
        <w:t xml:space="preserve">groups, </w:t>
      </w:r>
      <w:r w:rsidRPr="008B22DE">
        <w:rPr>
          <w:rFonts w:cs="Arial"/>
        </w:rPr>
        <w:t>i.e., “Electrical machinery, apparatus, energy”, “Measurement”, “Furniture, game</w:t>
      </w:r>
      <w:r w:rsidR="00DA54A0">
        <w:rPr>
          <w:rFonts w:cs="Arial"/>
        </w:rPr>
        <w:t>s,” and “Other consumer goods”.</w:t>
      </w:r>
      <w:r w:rsidR="00A6622C">
        <w:rPr>
          <w:rFonts w:cs="Arial"/>
        </w:rPr>
        <w:t xml:space="preserve"> </w:t>
      </w:r>
      <w:r w:rsidR="00A43478">
        <w:rPr>
          <w:rFonts w:cs="Arial"/>
        </w:rPr>
        <w:t xml:space="preserve"> </w:t>
      </w:r>
      <w:r w:rsidR="00A43478">
        <w:t>In recent years, “Digital communication</w:t>
      </w:r>
      <w:r w:rsidR="00286E31">
        <w:t>”</w:t>
      </w:r>
      <w:r w:rsidR="00A43478">
        <w:t xml:space="preserve"> a</w:t>
      </w:r>
      <w:r w:rsidR="00286E31">
        <w:t>nd “C</w:t>
      </w:r>
      <w:r w:rsidR="00A43478">
        <w:t>omputer technology</w:t>
      </w:r>
      <w:r w:rsidR="00286E31">
        <w:t>”</w:t>
      </w:r>
      <w:r w:rsidR="00A43478">
        <w:t xml:space="preserve"> are</w:t>
      </w:r>
      <w:r w:rsidR="00286E31">
        <w:t xml:space="preserve"> among </w:t>
      </w:r>
      <w:r w:rsidR="00286E31">
        <w:lastRenderedPageBreak/>
        <w:t>the top domestic fields as well as</w:t>
      </w:r>
      <w:r w:rsidR="00A43478">
        <w:t xml:space="preserve"> top fields for foreign-oriented technologies</w:t>
      </w:r>
      <w:r w:rsidR="00286E31">
        <w:t xml:space="preserve"> suggesting some convergence.</w:t>
      </w:r>
    </w:p>
    <w:p w:rsidR="00A6622C" w:rsidRDefault="00A6622C" w:rsidP="00A6622C">
      <w:pPr>
        <w:pStyle w:val="ListParagraph"/>
        <w:ind w:leftChars="0" w:left="567"/>
        <w:jc w:val="left"/>
        <w:rPr>
          <w:rFonts w:cs="Arial"/>
        </w:rPr>
      </w:pPr>
    </w:p>
    <w:p w:rsidR="003C43E8" w:rsidRDefault="003C43E8" w:rsidP="00A6622C">
      <w:pPr>
        <w:pStyle w:val="ListParagraph"/>
        <w:numPr>
          <w:ilvl w:val="0"/>
          <w:numId w:val="26"/>
        </w:numPr>
        <w:ind w:leftChars="0" w:left="567" w:hanging="567"/>
        <w:jc w:val="left"/>
        <w:rPr>
          <w:rFonts w:cs="Arial"/>
        </w:rPr>
      </w:pPr>
      <w:r w:rsidRPr="00A81A10">
        <w:rPr>
          <w:rFonts w:cs="Arial"/>
        </w:rPr>
        <w:t xml:space="preserve">In terms of growth, “Digital communication” is the fastest growing field among Chinese foreign-oriented patent families between 2000-2009, followed by </w:t>
      </w:r>
      <w:r w:rsidR="00631138">
        <w:rPr>
          <w:rFonts w:cs="Arial"/>
        </w:rPr>
        <w:t>“C</w:t>
      </w:r>
      <w:r w:rsidRPr="00A81A10">
        <w:rPr>
          <w:rFonts w:cs="Arial"/>
        </w:rPr>
        <w:t>omputer technology</w:t>
      </w:r>
      <w:r w:rsidR="00631138">
        <w:rPr>
          <w:rFonts w:cs="Arial"/>
        </w:rPr>
        <w:t>”, “N</w:t>
      </w:r>
      <w:r w:rsidRPr="00A81A10">
        <w:rPr>
          <w:rFonts w:cs="Arial"/>
        </w:rPr>
        <w:t>anotechnology</w:t>
      </w:r>
      <w:r w:rsidR="00631138">
        <w:rPr>
          <w:rFonts w:cs="Arial"/>
        </w:rPr>
        <w:t>”, “S</w:t>
      </w:r>
      <w:r w:rsidRPr="00A81A10">
        <w:rPr>
          <w:rFonts w:cs="Arial"/>
        </w:rPr>
        <w:t>emiconductors</w:t>
      </w:r>
      <w:r w:rsidR="00631138">
        <w:rPr>
          <w:rFonts w:cs="Arial"/>
        </w:rPr>
        <w:t>”</w:t>
      </w:r>
      <w:r w:rsidRPr="00A81A10">
        <w:rPr>
          <w:rFonts w:cs="Arial"/>
        </w:rPr>
        <w:t xml:space="preserve"> and </w:t>
      </w:r>
      <w:r w:rsidR="00631138">
        <w:rPr>
          <w:rFonts w:cs="Arial"/>
        </w:rPr>
        <w:t>“T</w:t>
      </w:r>
      <w:r w:rsidRPr="00A81A10">
        <w:rPr>
          <w:rFonts w:cs="Arial"/>
        </w:rPr>
        <w:t>elecommunications</w:t>
      </w:r>
      <w:r w:rsidR="00631138">
        <w:rPr>
          <w:rFonts w:cs="Arial"/>
        </w:rPr>
        <w:t>”</w:t>
      </w:r>
      <w:r w:rsidRPr="00A81A10">
        <w:rPr>
          <w:rFonts w:cs="Arial"/>
        </w:rPr>
        <w:t xml:space="preserve">. </w:t>
      </w:r>
      <w:r w:rsidR="00A6622C">
        <w:rPr>
          <w:rFonts w:cs="Arial"/>
        </w:rPr>
        <w:t xml:space="preserve"> </w:t>
      </w:r>
      <w:r w:rsidR="005C6667">
        <w:rPr>
          <w:rFonts w:cs="Arial"/>
        </w:rPr>
        <w:t>That said, some of the</w:t>
      </w:r>
      <w:r w:rsidR="003F3172">
        <w:rPr>
          <w:rFonts w:cs="Arial"/>
        </w:rPr>
        <w:t>se</w:t>
      </w:r>
      <w:r w:rsidR="005C6667">
        <w:rPr>
          <w:rFonts w:cs="Arial"/>
        </w:rPr>
        <w:t xml:space="preserve"> fastest-growing fields such as nanotechnology or semiconductors are growing fast only from </w:t>
      </w:r>
      <w:r w:rsidR="00A77B14">
        <w:rPr>
          <w:rFonts w:cs="Arial"/>
        </w:rPr>
        <w:t>a very low initial level</w:t>
      </w:r>
      <w:r w:rsidR="005C6667" w:rsidRPr="00CC7111">
        <w:rPr>
          <w:rFonts w:cs="Arial"/>
        </w:rPr>
        <w:t>.</w:t>
      </w:r>
    </w:p>
    <w:p w:rsidR="00A6622C" w:rsidRPr="00A6622C" w:rsidRDefault="00A6622C" w:rsidP="00A6622C">
      <w:pPr>
        <w:pStyle w:val="ListParagraph"/>
        <w:ind w:left="880"/>
        <w:rPr>
          <w:rFonts w:cs="Arial"/>
        </w:rPr>
      </w:pPr>
    </w:p>
    <w:p w:rsidR="00A81A10" w:rsidRPr="00A81A10" w:rsidRDefault="00A81A10" w:rsidP="00A6622C">
      <w:pPr>
        <w:pStyle w:val="ListParagraph"/>
        <w:numPr>
          <w:ilvl w:val="0"/>
          <w:numId w:val="26"/>
        </w:numPr>
        <w:ind w:leftChars="0" w:left="567" w:hanging="567"/>
        <w:jc w:val="left"/>
        <w:rPr>
          <w:rFonts w:cs="Arial"/>
        </w:rPr>
      </w:pPr>
      <w:r w:rsidRPr="008B22DE">
        <w:rPr>
          <w:rFonts w:cs="Arial"/>
        </w:rPr>
        <w:t xml:space="preserve">China has a very similar “portfolio” of foreign-oriented patent families </w:t>
      </w:r>
      <w:r w:rsidR="00A921DA">
        <w:rPr>
          <w:rFonts w:cs="Arial"/>
        </w:rPr>
        <w:t xml:space="preserve">when judged by technology field </w:t>
      </w:r>
      <w:r w:rsidRPr="008B22DE">
        <w:rPr>
          <w:rFonts w:cs="Arial"/>
        </w:rPr>
        <w:t>to those of the Republic of Korea and Japan, but quite a different</w:t>
      </w:r>
      <w:r w:rsidR="00A921DA">
        <w:rPr>
          <w:rFonts w:cs="Arial"/>
        </w:rPr>
        <w:t xml:space="preserve"> one </w:t>
      </w:r>
      <w:r w:rsidRPr="008B22DE">
        <w:rPr>
          <w:rFonts w:cs="Arial"/>
        </w:rPr>
        <w:t>from those of Western high-income economies such as the US and Germany.</w:t>
      </w:r>
      <w:r w:rsidRPr="008B22DE">
        <w:rPr>
          <w:rFonts w:cs="Arial"/>
          <w:b/>
        </w:rPr>
        <w:t xml:space="preserve"> </w:t>
      </w:r>
    </w:p>
    <w:p w:rsidR="003C43E8" w:rsidRPr="00AA1E26" w:rsidRDefault="003C43E8" w:rsidP="00A6622C">
      <w:pPr>
        <w:jc w:val="left"/>
        <w:rPr>
          <w:rFonts w:cs="Arial"/>
        </w:rPr>
      </w:pPr>
    </w:p>
    <w:p w:rsidR="00A6622C" w:rsidRDefault="003C43E8" w:rsidP="00A6622C">
      <w:pPr>
        <w:pStyle w:val="Heading1"/>
        <w:widowControl/>
        <w:numPr>
          <w:ilvl w:val="0"/>
          <w:numId w:val="10"/>
        </w:numPr>
        <w:spacing w:before="0" w:after="0"/>
        <w:ind w:left="0" w:firstLine="0"/>
        <w:jc w:val="left"/>
        <w:rPr>
          <w:rFonts w:cs="Arial"/>
          <w:szCs w:val="22"/>
        </w:rPr>
      </w:pPr>
      <w:r w:rsidRPr="00AA1E26">
        <w:rPr>
          <w:rFonts w:cs="Arial"/>
          <w:szCs w:val="22"/>
        </w:rPr>
        <w:t>Top applicants of Chinese origin</w:t>
      </w:r>
    </w:p>
    <w:p w:rsidR="00A6622C" w:rsidRPr="00A6622C" w:rsidRDefault="00A6622C" w:rsidP="00A6622C">
      <w:pPr>
        <w:ind w:left="567" w:hanging="567"/>
      </w:pPr>
    </w:p>
    <w:p w:rsidR="00E5530B" w:rsidRDefault="00E5530B">
      <w:pPr>
        <w:pStyle w:val="ListParagraph"/>
        <w:numPr>
          <w:ilvl w:val="0"/>
          <w:numId w:val="29"/>
        </w:numPr>
        <w:ind w:leftChars="0" w:left="567" w:hanging="567"/>
        <w:jc w:val="left"/>
      </w:pPr>
      <w:r w:rsidRPr="00E5530B">
        <w:rPr>
          <w:lang w:val="en-GB"/>
        </w:rPr>
        <w:t xml:space="preserve">When </w:t>
      </w:r>
      <w:r w:rsidR="006F4928">
        <w:rPr>
          <w:lang w:val="en-GB"/>
        </w:rPr>
        <w:t>analysing</w:t>
      </w:r>
      <w:r w:rsidR="00686ACD" w:rsidRPr="00E5530B">
        <w:rPr>
          <w:lang w:val="en-GB"/>
        </w:rPr>
        <w:t xml:space="preserve"> </w:t>
      </w:r>
      <w:r w:rsidRPr="00E5530B">
        <w:t>foreign-oriented patent families of the top filers over time, one sees that the five most active filers increased their filing abroad considerably only after 2004.</w:t>
      </w:r>
      <w:r w:rsidR="00A6622C">
        <w:t xml:space="preserve"> </w:t>
      </w:r>
      <w:r w:rsidRPr="00E5530B">
        <w:t xml:space="preserve"> One can also show that the largest foreign-oriented patent family holders </w:t>
      </w:r>
      <w:r w:rsidR="00EF00CD">
        <w:t>start close to all their foreign-oriented patent families by an invention patent as opposed to a utility model application</w:t>
      </w:r>
      <w:r w:rsidRPr="00E5530B">
        <w:t>.</w:t>
      </w:r>
    </w:p>
    <w:p w:rsidR="00A6622C" w:rsidRPr="00E5530B" w:rsidRDefault="00A6622C" w:rsidP="00A6622C">
      <w:pPr>
        <w:pStyle w:val="ListParagraph"/>
        <w:ind w:leftChars="0" w:left="567"/>
        <w:jc w:val="left"/>
      </w:pPr>
    </w:p>
    <w:p w:rsidR="003C2EDB" w:rsidRDefault="003C43E8" w:rsidP="00A6622C">
      <w:pPr>
        <w:pStyle w:val="ListParagraph"/>
        <w:numPr>
          <w:ilvl w:val="0"/>
          <w:numId w:val="27"/>
        </w:numPr>
        <w:ind w:leftChars="0" w:left="567" w:hanging="567"/>
        <w:jc w:val="left"/>
        <w:rPr>
          <w:rFonts w:cs="Arial"/>
        </w:rPr>
      </w:pPr>
      <w:r>
        <w:t>A few Chinese applicants are responsible for a large share of total Chinese patents filed abroad.</w:t>
      </w:r>
      <w:r w:rsidR="00A6622C">
        <w:t xml:space="preserve"> </w:t>
      </w:r>
      <w:r>
        <w:t xml:space="preserve"> Specifically, the </w:t>
      </w:r>
      <w:r w:rsidRPr="003C2EDB">
        <w:rPr>
          <w:rFonts w:cs="Arial"/>
        </w:rPr>
        <w:t>patents filed abroad of the top 10 applicants make up for 35% of the total volume of foreign-oriented patent families by Chinese residents</w:t>
      </w:r>
      <w:r w:rsidR="003C2EDB">
        <w:rPr>
          <w:rFonts w:cs="Arial"/>
          <w:b/>
        </w:rPr>
        <w:t xml:space="preserve">, </w:t>
      </w:r>
      <w:r w:rsidR="00FE7875">
        <w:rPr>
          <w:rFonts w:cs="Arial"/>
        </w:rPr>
        <w:t>and the top 10</w:t>
      </w:r>
      <w:r w:rsidR="00E5530B">
        <w:rPr>
          <w:rFonts w:cs="Arial"/>
        </w:rPr>
        <w:t xml:space="preserve">0 for close to </w:t>
      </w:r>
      <w:r w:rsidR="00EF00CD">
        <w:rPr>
          <w:rFonts w:cs="Arial"/>
        </w:rPr>
        <w:t>50%</w:t>
      </w:r>
      <w:r w:rsidRPr="003C2EDB">
        <w:rPr>
          <w:rFonts w:cs="Arial"/>
        </w:rPr>
        <w:t xml:space="preserve">. </w:t>
      </w:r>
    </w:p>
    <w:p w:rsidR="00A6622C" w:rsidRPr="003C2EDB" w:rsidRDefault="00A6622C" w:rsidP="00A6622C">
      <w:pPr>
        <w:pStyle w:val="ListParagraph"/>
        <w:ind w:leftChars="0" w:left="567"/>
        <w:jc w:val="left"/>
        <w:rPr>
          <w:rFonts w:cs="Arial"/>
        </w:rPr>
      </w:pPr>
    </w:p>
    <w:p w:rsidR="00A6622C" w:rsidRDefault="00FE7875" w:rsidP="00A6622C">
      <w:pPr>
        <w:pStyle w:val="ListParagraph"/>
        <w:numPr>
          <w:ilvl w:val="0"/>
          <w:numId w:val="27"/>
        </w:numPr>
        <w:ind w:leftChars="0" w:left="567" w:hanging="567"/>
        <w:jc w:val="left"/>
        <w:rPr>
          <w:rFonts w:cs="Arial"/>
        </w:rPr>
      </w:pPr>
      <w:r>
        <w:rPr>
          <w:rFonts w:cs="Arial"/>
        </w:rPr>
        <w:t>T</w:t>
      </w:r>
      <w:r w:rsidR="003C2EDB">
        <w:rPr>
          <w:rFonts w:cs="Arial"/>
        </w:rPr>
        <w:t>he</w:t>
      </w:r>
      <w:r w:rsidR="003C43E8" w:rsidRPr="002F4149">
        <w:rPr>
          <w:rFonts w:cs="Arial"/>
        </w:rPr>
        <w:t xml:space="preserve"> top 10 list exclusively contains companies, except one univer</w:t>
      </w:r>
      <w:r w:rsidR="003C2EDB">
        <w:rPr>
          <w:rFonts w:cs="Arial"/>
        </w:rPr>
        <w:t>sity namely Tsinghua University</w:t>
      </w:r>
      <w:r w:rsidR="003C43E8" w:rsidRPr="002F4149">
        <w:rPr>
          <w:rFonts w:cs="Arial"/>
        </w:rPr>
        <w:t>.</w:t>
      </w:r>
      <w:r>
        <w:rPr>
          <w:rFonts w:cs="Arial"/>
        </w:rPr>
        <w:t xml:space="preserve"> </w:t>
      </w:r>
      <w:r w:rsidR="00A6622C">
        <w:rPr>
          <w:rFonts w:cs="Arial"/>
        </w:rPr>
        <w:t xml:space="preserve"> </w:t>
      </w:r>
      <w:r w:rsidR="003C43E8" w:rsidRPr="00FE7875">
        <w:rPr>
          <w:rFonts w:cs="Arial"/>
        </w:rPr>
        <w:t>Aside from ICT and electronics companies, the top 10 list includes BYD Co Ltd which is a Chinese manufacturer of automobiles and rechargeable batteries, and China Petroleum &amp; Chemical Corporation, or Sinopec Limited, a Chinese oil and gas company.</w:t>
      </w:r>
    </w:p>
    <w:p w:rsidR="00C97B58" w:rsidRPr="00FE7875" w:rsidRDefault="00C97B58" w:rsidP="00161A92">
      <w:pPr>
        <w:widowControl/>
        <w:jc w:val="left"/>
        <w:rPr>
          <w:rFonts w:cs="Arial"/>
        </w:rPr>
      </w:pPr>
    </w:p>
    <w:p w:rsidR="00C97B58" w:rsidRPr="00A6622C" w:rsidRDefault="003C43E8" w:rsidP="00A6622C">
      <w:pPr>
        <w:pStyle w:val="ListParagraph"/>
        <w:numPr>
          <w:ilvl w:val="0"/>
          <w:numId w:val="27"/>
        </w:numPr>
        <w:ind w:leftChars="0" w:left="567" w:hanging="567"/>
        <w:jc w:val="left"/>
        <w:rPr>
          <w:rFonts w:cs="Arial"/>
        </w:rPr>
      </w:pPr>
      <w:r w:rsidRPr="00C97B58">
        <w:rPr>
          <w:rFonts w:cs="Arial"/>
        </w:rPr>
        <w:t xml:space="preserve">Among the first top </w:t>
      </w:r>
      <w:r w:rsidR="00FE7875">
        <w:rPr>
          <w:rFonts w:cs="Arial"/>
        </w:rPr>
        <w:t xml:space="preserve">ten </w:t>
      </w:r>
      <w:r w:rsidRPr="00C97B58">
        <w:rPr>
          <w:rFonts w:cs="Arial"/>
        </w:rPr>
        <w:t>applicants</w:t>
      </w:r>
      <w:r w:rsidR="00C97B58">
        <w:rPr>
          <w:rFonts w:cs="Arial"/>
        </w:rPr>
        <w:t xml:space="preserve"> several </w:t>
      </w:r>
      <w:r w:rsidRPr="00C97B58">
        <w:rPr>
          <w:rFonts w:cs="Arial"/>
        </w:rPr>
        <w:t>entities of “</w:t>
      </w:r>
      <w:proofErr w:type="spellStart"/>
      <w:r w:rsidRPr="00C97B58">
        <w:rPr>
          <w:rFonts w:cs="Arial"/>
        </w:rPr>
        <w:t>Foxconn</w:t>
      </w:r>
      <w:proofErr w:type="spellEnd"/>
      <w:r w:rsidRPr="00C97B58">
        <w:rPr>
          <w:rFonts w:cs="Arial"/>
        </w:rPr>
        <w:t xml:space="preserve"> International Holdings Limited</w:t>
      </w:r>
      <w:r w:rsidR="00540011">
        <w:rPr>
          <w:rFonts w:cs="Arial"/>
        </w:rPr>
        <w:t>”</w:t>
      </w:r>
      <w:r w:rsidR="00C97B58">
        <w:rPr>
          <w:rFonts w:cs="Arial"/>
        </w:rPr>
        <w:t>, one of the world’</w:t>
      </w:r>
      <w:r w:rsidR="00540011">
        <w:rPr>
          <w:rFonts w:cs="Arial"/>
        </w:rPr>
        <w:t>s largest electronics contract</w:t>
      </w:r>
      <w:r w:rsidRPr="00C97B58">
        <w:rPr>
          <w:rFonts w:cs="Arial"/>
        </w:rPr>
        <w:t xml:space="preserve"> manufacturer</w:t>
      </w:r>
      <w:r w:rsidR="006F4928">
        <w:rPr>
          <w:rFonts w:cs="Arial"/>
        </w:rPr>
        <w:t>s</w:t>
      </w:r>
      <w:r w:rsidR="00540011">
        <w:rPr>
          <w:rFonts w:cs="Arial"/>
        </w:rPr>
        <w:t xml:space="preserve">, </w:t>
      </w:r>
      <w:r w:rsidR="00275C40">
        <w:rPr>
          <w:rFonts w:cs="Arial"/>
        </w:rPr>
        <w:t>appear</w:t>
      </w:r>
      <w:r w:rsidRPr="00C97B58">
        <w:rPr>
          <w:rFonts w:cs="Arial"/>
        </w:rPr>
        <w:t xml:space="preserve">. Huawei Technologies Co., Ltd. and </w:t>
      </w:r>
      <w:r w:rsidRPr="00C97B58">
        <w:rPr>
          <w:rFonts w:eastAsia="Times New Roman" w:cs="Arial"/>
          <w:color w:val="000000"/>
          <w:kern w:val="0"/>
          <w:lang w:val="en-GB" w:eastAsia="en-US"/>
        </w:rPr>
        <w:t xml:space="preserve">ZTE Corporation, both leading Chinese telecommunication equipment providers and major users of the patent system, </w:t>
      </w:r>
      <w:r w:rsidR="00540011">
        <w:rPr>
          <w:rFonts w:eastAsia="Times New Roman" w:cs="Arial"/>
          <w:color w:val="000000"/>
          <w:kern w:val="0"/>
          <w:lang w:val="en-GB" w:eastAsia="en-US"/>
        </w:rPr>
        <w:t>feature prominently with a</w:t>
      </w:r>
      <w:r w:rsidR="00C97B58">
        <w:rPr>
          <w:rFonts w:eastAsia="Times New Roman" w:cs="Arial"/>
          <w:color w:val="000000"/>
          <w:kern w:val="0"/>
          <w:lang w:val="en-GB" w:eastAsia="en-US"/>
        </w:rPr>
        <w:t>lmost identical international patenting</w:t>
      </w:r>
      <w:r w:rsidR="00540011">
        <w:rPr>
          <w:rFonts w:eastAsia="Times New Roman" w:cs="Arial"/>
          <w:color w:val="000000"/>
          <w:kern w:val="0"/>
          <w:lang w:val="en-GB" w:eastAsia="en-US"/>
        </w:rPr>
        <w:t xml:space="preserve"> portfolios in terms of technology field</w:t>
      </w:r>
      <w:r w:rsidRPr="00C97B58">
        <w:rPr>
          <w:rFonts w:eastAsia="Times New Roman" w:cs="Arial"/>
          <w:color w:val="000000"/>
          <w:kern w:val="0"/>
          <w:lang w:val="en-GB" w:eastAsia="en-US"/>
        </w:rPr>
        <w:t>.</w:t>
      </w:r>
    </w:p>
    <w:p w:rsidR="00A6622C" w:rsidRPr="00C97B58" w:rsidRDefault="00A6622C" w:rsidP="00161A92">
      <w:pPr>
        <w:pStyle w:val="ListParagraph"/>
        <w:ind w:leftChars="0" w:left="567"/>
        <w:jc w:val="left"/>
        <w:rPr>
          <w:rFonts w:cs="Arial"/>
        </w:rPr>
      </w:pPr>
    </w:p>
    <w:p w:rsidR="003C43E8" w:rsidRDefault="00AD5470" w:rsidP="00A6622C">
      <w:pPr>
        <w:pStyle w:val="ListParagraph"/>
        <w:numPr>
          <w:ilvl w:val="0"/>
          <w:numId w:val="27"/>
        </w:numPr>
        <w:ind w:leftChars="0" w:left="567" w:hanging="567"/>
        <w:jc w:val="left"/>
        <w:rPr>
          <w:rFonts w:cs="Arial"/>
        </w:rPr>
      </w:pPr>
      <w:r w:rsidRPr="00C97B58">
        <w:rPr>
          <w:rFonts w:cs="Arial"/>
        </w:rPr>
        <w:lastRenderedPageBreak/>
        <w:t xml:space="preserve">Interestingly these top 10 applicants </w:t>
      </w:r>
      <w:r>
        <w:rPr>
          <w:rFonts w:cs="Arial"/>
        </w:rPr>
        <w:t>adopted different filing strategies.</w:t>
      </w:r>
      <w:r w:rsidRPr="00C97B58">
        <w:rPr>
          <w:rFonts w:cs="Arial"/>
        </w:rPr>
        <w:t xml:space="preserve"> </w:t>
      </w:r>
      <w:r w:rsidR="00A6622C">
        <w:rPr>
          <w:rFonts w:cs="Arial"/>
        </w:rPr>
        <w:t xml:space="preserve"> </w:t>
      </w:r>
      <w:r>
        <w:rPr>
          <w:rFonts w:cs="Arial"/>
        </w:rPr>
        <w:t xml:space="preserve">The </w:t>
      </w:r>
      <w:proofErr w:type="spellStart"/>
      <w:r>
        <w:rPr>
          <w:rFonts w:cs="Arial"/>
        </w:rPr>
        <w:t>Foxconn</w:t>
      </w:r>
      <w:proofErr w:type="spellEnd"/>
      <w:r>
        <w:rPr>
          <w:rFonts w:cs="Arial"/>
        </w:rPr>
        <w:t xml:space="preserve"> group files exclusively in the US; Huawei and ZTE file on average in two offices.</w:t>
      </w:r>
      <w:r w:rsidR="003C43E8" w:rsidRPr="00C97B58">
        <w:rPr>
          <w:rFonts w:cs="Arial"/>
        </w:rPr>
        <w:t xml:space="preserve"> </w:t>
      </w:r>
      <w:r w:rsidR="00A6622C">
        <w:rPr>
          <w:rFonts w:cs="Arial"/>
        </w:rPr>
        <w:t xml:space="preserve"> </w:t>
      </w:r>
      <w:r w:rsidR="004E506D">
        <w:rPr>
          <w:rFonts w:cs="Arial"/>
        </w:rPr>
        <w:t xml:space="preserve">The </w:t>
      </w:r>
      <w:r w:rsidR="003C43E8" w:rsidRPr="00C97B58">
        <w:rPr>
          <w:rFonts w:cs="Arial"/>
        </w:rPr>
        <w:t xml:space="preserve">chemical and automotive </w:t>
      </w:r>
      <w:r w:rsidR="000C3B55">
        <w:rPr>
          <w:rFonts w:cs="Arial"/>
        </w:rPr>
        <w:t>firms</w:t>
      </w:r>
      <w:r w:rsidR="004E506D">
        <w:rPr>
          <w:rFonts w:cs="Arial"/>
        </w:rPr>
        <w:t xml:space="preserve"> in the top filer list, </w:t>
      </w:r>
      <w:r w:rsidR="000C3B55" w:rsidRPr="000C3B55">
        <w:rPr>
          <w:rFonts w:cs="Arial"/>
          <w:i/>
        </w:rPr>
        <w:t>i.e.</w:t>
      </w:r>
      <w:r w:rsidR="004E506D">
        <w:rPr>
          <w:rFonts w:cs="Arial"/>
        </w:rPr>
        <w:t xml:space="preserve"> </w:t>
      </w:r>
      <w:r w:rsidR="003C43E8" w:rsidRPr="00C97B58">
        <w:rPr>
          <w:rFonts w:cs="Arial"/>
        </w:rPr>
        <w:t>China Petroleum</w:t>
      </w:r>
      <w:r w:rsidR="00B138CB">
        <w:rPr>
          <w:rFonts w:cs="Arial"/>
        </w:rPr>
        <w:t xml:space="preserve"> </w:t>
      </w:r>
      <w:r w:rsidR="00275C40">
        <w:rPr>
          <w:rFonts w:cs="Arial"/>
        </w:rPr>
        <w:t xml:space="preserve">and BYD </w:t>
      </w:r>
      <w:r w:rsidR="004E506D">
        <w:rPr>
          <w:rFonts w:cs="Arial"/>
        </w:rPr>
        <w:t>both</w:t>
      </w:r>
      <w:r w:rsidR="003C43E8" w:rsidRPr="00C97B58">
        <w:rPr>
          <w:rFonts w:cs="Arial"/>
        </w:rPr>
        <w:t xml:space="preserve"> have more offices and a broader geographical coverage than the </w:t>
      </w:r>
      <w:r w:rsidR="000C3B55">
        <w:rPr>
          <w:rFonts w:cs="Arial"/>
        </w:rPr>
        <w:t>firms</w:t>
      </w:r>
      <w:r w:rsidR="003C43E8" w:rsidRPr="00C97B58">
        <w:rPr>
          <w:rFonts w:cs="Arial"/>
        </w:rPr>
        <w:t xml:space="preserve"> in the electronics and </w:t>
      </w:r>
      <w:r w:rsidR="000C3B55">
        <w:rPr>
          <w:rFonts w:cs="Arial"/>
        </w:rPr>
        <w:t xml:space="preserve">the </w:t>
      </w:r>
      <w:r w:rsidR="003C43E8" w:rsidRPr="00C97B58">
        <w:rPr>
          <w:rFonts w:cs="Arial"/>
        </w:rPr>
        <w:t>ICT sector.</w:t>
      </w:r>
    </w:p>
    <w:p w:rsidR="003C43E8" w:rsidRPr="00AA1E26" w:rsidRDefault="003C43E8" w:rsidP="00A6622C">
      <w:pPr>
        <w:jc w:val="left"/>
        <w:rPr>
          <w:rFonts w:cs="Arial"/>
        </w:rPr>
      </w:pPr>
    </w:p>
    <w:p w:rsidR="003C43E8" w:rsidRDefault="003C43E8" w:rsidP="00A6622C">
      <w:pPr>
        <w:pStyle w:val="Heading1"/>
        <w:numPr>
          <w:ilvl w:val="0"/>
          <w:numId w:val="17"/>
        </w:numPr>
        <w:spacing w:before="0" w:after="0"/>
        <w:ind w:left="0" w:firstLine="0"/>
        <w:jc w:val="left"/>
        <w:rPr>
          <w:rFonts w:cs="Arial"/>
          <w:szCs w:val="22"/>
        </w:rPr>
      </w:pPr>
      <w:r>
        <w:rPr>
          <w:rFonts w:cs="Arial"/>
          <w:szCs w:val="22"/>
        </w:rPr>
        <w:t xml:space="preserve">Chinese use </w:t>
      </w:r>
      <w:r w:rsidRPr="00AA1E26">
        <w:rPr>
          <w:rFonts w:cs="Arial"/>
          <w:szCs w:val="22"/>
        </w:rPr>
        <w:t xml:space="preserve">of </w:t>
      </w:r>
      <w:r>
        <w:rPr>
          <w:rFonts w:cs="Arial"/>
          <w:szCs w:val="22"/>
        </w:rPr>
        <w:t>the Patent Co-operation Treaty for filing abroad</w:t>
      </w:r>
    </w:p>
    <w:p w:rsidR="00161A92" w:rsidRPr="00161A92" w:rsidRDefault="00161A92" w:rsidP="00161A92">
      <w:pPr>
        <w:ind w:left="567" w:hanging="567"/>
      </w:pPr>
    </w:p>
    <w:p w:rsidR="00870AB4" w:rsidRPr="00002655" w:rsidRDefault="003C43E8" w:rsidP="00161A92">
      <w:pPr>
        <w:pStyle w:val="ListParagraph"/>
        <w:numPr>
          <w:ilvl w:val="0"/>
          <w:numId w:val="28"/>
        </w:numPr>
        <w:ind w:leftChars="0" w:left="567" w:hanging="567"/>
        <w:jc w:val="left"/>
        <w:rPr>
          <w:rFonts w:cs="Arial"/>
        </w:rPr>
      </w:pPr>
      <w:r w:rsidRPr="00EC4D92">
        <w:rPr>
          <w:rFonts w:cs="Arial"/>
        </w:rPr>
        <w:t>One third of foreign-oriented patent families by Chinese residents have at least one PCT application.</w:t>
      </w:r>
      <w:r w:rsidR="00161A92">
        <w:rPr>
          <w:rFonts w:cs="Arial"/>
        </w:rPr>
        <w:t xml:space="preserve"> </w:t>
      </w:r>
      <w:r w:rsidRPr="00EC4D92">
        <w:rPr>
          <w:rFonts w:cs="Arial"/>
        </w:rPr>
        <w:t xml:space="preserve"> </w:t>
      </w:r>
      <w:r w:rsidR="00002655">
        <w:rPr>
          <w:rFonts w:cs="Arial"/>
        </w:rPr>
        <w:t>Indeed, t</w:t>
      </w:r>
      <w:r w:rsidRPr="00002655">
        <w:rPr>
          <w:rFonts w:cs="Arial"/>
        </w:rPr>
        <w:t xml:space="preserve">he share of families with at least one PCT application has grown from 20% per annum in the 1990s to an average </w:t>
      </w:r>
      <w:r w:rsidR="00870AB4" w:rsidRPr="00002655">
        <w:rPr>
          <w:rFonts w:cs="Arial"/>
        </w:rPr>
        <w:t>of 33% in 2000-09.</w:t>
      </w:r>
    </w:p>
    <w:p w:rsidR="00275C40" w:rsidRDefault="000C3B55" w:rsidP="00275C40">
      <w:pPr>
        <w:pStyle w:val="ListParagraph"/>
        <w:numPr>
          <w:ilvl w:val="0"/>
          <w:numId w:val="28"/>
        </w:numPr>
        <w:ind w:leftChars="0" w:left="567" w:hanging="567"/>
        <w:jc w:val="left"/>
        <w:rPr>
          <w:rFonts w:cs="Arial"/>
        </w:rPr>
      </w:pPr>
      <w:r>
        <w:rPr>
          <w:rFonts w:cs="Arial"/>
        </w:rPr>
        <w:t>T</w:t>
      </w:r>
      <w:r w:rsidR="003C43E8" w:rsidRPr="00870AB4">
        <w:rPr>
          <w:rFonts w:cs="Arial"/>
        </w:rPr>
        <w:t>he share of patent families with at least one PCT application among Chinese foreign-oriented patent families in 2000-</w:t>
      </w:r>
      <w:r>
        <w:rPr>
          <w:rFonts w:cs="Arial"/>
        </w:rPr>
        <w:t>20</w:t>
      </w:r>
      <w:r w:rsidR="003C43E8" w:rsidRPr="00870AB4">
        <w:rPr>
          <w:rFonts w:cs="Arial"/>
        </w:rPr>
        <w:t xml:space="preserve">09 is somewhat smaller than is the case </w:t>
      </w:r>
      <w:r w:rsidR="00002655">
        <w:rPr>
          <w:rFonts w:cs="Arial"/>
        </w:rPr>
        <w:t>of</w:t>
      </w:r>
      <w:r>
        <w:rPr>
          <w:rFonts w:cs="Arial"/>
        </w:rPr>
        <w:t xml:space="preserve"> the US (45% on average in 2000 to 20</w:t>
      </w:r>
      <w:r w:rsidR="003C43E8" w:rsidRPr="00870AB4">
        <w:rPr>
          <w:rFonts w:cs="Arial"/>
        </w:rPr>
        <w:t>09) or Germ</w:t>
      </w:r>
      <w:r w:rsidR="0084104E">
        <w:rPr>
          <w:rFonts w:cs="Arial"/>
        </w:rPr>
        <w:t xml:space="preserve">any (40% on average in 2000-09). </w:t>
      </w:r>
      <w:r w:rsidR="00161A92">
        <w:rPr>
          <w:rFonts w:cs="Arial"/>
        </w:rPr>
        <w:t xml:space="preserve"> </w:t>
      </w:r>
      <w:r w:rsidR="0084104E">
        <w:rPr>
          <w:rFonts w:cs="Arial"/>
        </w:rPr>
        <w:t xml:space="preserve">Yet </w:t>
      </w:r>
      <w:r w:rsidR="003C43E8" w:rsidRPr="00870AB4">
        <w:rPr>
          <w:rFonts w:cs="Arial"/>
        </w:rPr>
        <w:t xml:space="preserve">it is larger </w:t>
      </w:r>
      <w:r w:rsidR="0084104E">
        <w:rPr>
          <w:rFonts w:cs="Arial"/>
        </w:rPr>
        <w:t xml:space="preserve">as </w:t>
      </w:r>
      <w:r w:rsidR="003C43E8" w:rsidRPr="00870AB4">
        <w:rPr>
          <w:rFonts w:cs="Arial"/>
        </w:rPr>
        <w:t>compared to t</w:t>
      </w:r>
      <w:r w:rsidR="0084104E">
        <w:rPr>
          <w:rFonts w:cs="Arial"/>
        </w:rPr>
        <w:t xml:space="preserve">he Republic of Korea and Japan, with </w:t>
      </w:r>
      <w:r w:rsidR="003C43E8" w:rsidRPr="00870AB4">
        <w:rPr>
          <w:rFonts w:cs="Arial"/>
        </w:rPr>
        <w:t>20% on averag</w:t>
      </w:r>
      <w:r w:rsidR="0084104E">
        <w:rPr>
          <w:rFonts w:cs="Arial"/>
        </w:rPr>
        <w:t>e in 2000-</w:t>
      </w:r>
      <w:r>
        <w:rPr>
          <w:rFonts w:cs="Arial"/>
        </w:rPr>
        <w:t>20</w:t>
      </w:r>
      <w:r w:rsidR="0084104E">
        <w:rPr>
          <w:rFonts w:cs="Arial"/>
        </w:rPr>
        <w:t>09</w:t>
      </w:r>
      <w:r w:rsidR="003C43E8" w:rsidRPr="00870AB4">
        <w:rPr>
          <w:rFonts w:cs="Arial"/>
        </w:rPr>
        <w:t xml:space="preserve">. </w:t>
      </w:r>
    </w:p>
    <w:p w:rsidR="00870AB4" w:rsidRPr="00275C40" w:rsidRDefault="003C43E8" w:rsidP="00275C40">
      <w:pPr>
        <w:pStyle w:val="ListParagraph"/>
        <w:numPr>
          <w:ilvl w:val="0"/>
          <w:numId w:val="28"/>
        </w:numPr>
        <w:ind w:leftChars="0" w:left="567" w:hanging="567"/>
        <w:jc w:val="left"/>
        <w:rPr>
          <w:rFonts w:cs="Arial"/>
        </w:rPr>
      </w:pPr>
      <w:r w:rsidRPr="00275C40">
        <w:rPr>
          <w:rFonts w:cs="Arial"/>
        </w:rPr>
        <w:t>It must also be noted here that the Chinese use of the PCT system for filing abroad has intensified strongly since 2009, a trend not capture</w:t>
      </w:r>
      <w:r w:rsidR="0084104E" w:rsidRPr="00275C40">
        <w:rPr>
          <w:rFonts w:cs="Arial"/>
        </w:rPr>
        <w:t>d</w:t>
      </w:r>
      <w:r w:rsidRPr="00275C40">
        <w:rPr>
          <w:rFonts w:cs="Arial"/>
        </w:rPr>
        <w:t xml:space="preserve"> in </w:t>
      </w:r>
      <w:r w:rsidR="008210C8" w:rsidRPr="00275C40">
        <w:rPr>
          <w:rFonts w:cs="Arial"/>
        </w:rPr>
        <w:t>the above</w:t>
      </w:r>
      <w:r w:rsidRPr="00275C40">
        <w:rPr>
          <w:rFonts w:cs="Arial"/>
        </w:rPr>
        <w:t xml:space="preserve"> data. </w:t>
      </w:r>
      <w:r w:rsidR="00B22D38" w:rsidRPr="00275C40">
        <w:rPr>
          <w:rFonts w:cs="Arial"/>
        </w:rPr>
        <w:t xml:space="preserve">In 2013, China surpassed Germany to become the third largest user of the PCT system, with Japan as the second-highest user. </w:t>
      </w:r>
      <w:r w:rsidR="008210C8" w:rsidRPr="00275C40">
        <w:rPr>
          <w:rFonts w:cs="Arial"/>
        </w:rPr>
        <w:t xml:space="preserve">Indeed, </w:t>
      </w:r>
      <w:r w:rsidRPr="00275C40">
        <w:rPr>
          <w:rFonts w:cs="Arial"/>
        </w:rPr>
        <w:t xml:space="preserve">ZTE Corporation with 2,309 PCT applications was the second most important </w:t>
      </w:r>
      <w:r w:rsidR="00FC1B44" w:rsidRPr="00275C40">
        <w:rPr>
          <w:rFonts w:cs="Arial"/>
        </w:rPr>
        <w:t>PCT filer</w:t>
      </w:r>
      <w:r w:rsidR="00B138CB" w:rsidRPr="00275C40">
        <w:rPr>
          <w:rFonts w:cs="Arial"/>
        </w:rPr>
        <w:t xml:space="preserve"> </w:t>
      </w:r>
      <w:r w:rsidRPr="00275C40">
        <w:rPr>
          <w:rFonts w:cs="Arial"/>
        </w:rPr>
        <w:t xml:space="preserve">and Huawei Technologies, Co. with 2,094 PCT applications </w:t>
      </w:r>
      <w:r w:rsidR="0084104E" w:rsidRPr="00275C40">
        <w:rPr>
          <w:rFonts w:cs="Arial"/>
        </w:rPr>
        <w:t>the</w:t>
      </w:r>
      <w:r w:rsidR="00016862" w:rsidRPr="00275C40">
        <w:rPr>
          <w:rFonts w:cs="Arial"/>
        </w:rPr>
        <w:t xml:space="preserve"> third </w:t>
      </w:r>
      <w:r w:rsidR="008210C8" w:rsidRPr="00275C40">
        <w:rPr>
          <w:rFonts w:cs="Arial"/>
        </w:rPr>
        <w:t>most important</w:t>
      </w:r>
      <w:r w:rsidR="00016862" w:rsidRPr="00275C40">
        <w:rPr>
          <w:rFonts w:cs="Arial"/>
        </w:rPr>
        <w:t xml:space="preserve"> PCT </w:t>
      </w:r>
      <w:r w:rsidR="008210C8" w:rsidRPr="00275C40">
        <w:rPr>
          <w:rFonts w:cs="Arial"/>
        </w:rPr>
        <w:t>filer in 2013</w:t>
      </w:r>
      <w:r w:rsidRPr="00275C40">
        <w:rPr>
          <w:rFonts w:cs="Arial"/>
        </w:rPr>
        <w:t>.</w:t>
      </w:r>
      <w:r w:rsidR="00275C40" w:rsidRPr="00275C40">
        <w:t xml:space="preserve"> </w:t>
      </w:r>
      <w:r w:rsidR="00275C40">
        <w:t xml:space="preserve">And in 2012, </w:t>
      </w:r>
      <w:r w:rsidR="00275C40" w:rsidRPr="00275C40">
        <w:rPr>
          <w:rFonts w:cs="Arial"/>
        </w:rPr>
        <w:t>ZTE was the top PCT applicant with 3,906 published applications,</w:t>
      </w:r>
      <w:r w:rsidR="00632F69">
        <w:rPr>
          <w:rFonts w:cs="Arial"/>
        </w:rPr>
        <w:t xml:space="preserve"> the highest ever yearly number of PCT applications for one single firm.</w:t>
      </w:r>
    </w:p>
    <w:p w:rsidR="005242E8" w:rsidRDefault="003C43E8" w:rsidP="00161A92">
      <w:pPr>
        <w:pStyle w:val="ListParagraph"/>
        <w:numPr>
          <w:ilvl w:val="0"/>
          <w:numId w:val="28"/>
        </w:numPr>
        <w:ind w:leftChars="0" w:left="567" w:hanging="567"/>
        <w:jc w:val="left"/>
        <w:rPr>
          <w:rFonts w:cs="Arial"/>
        </w:rPr>
      </w:pPr>
      <w:r w:rsidRPr="00870AB4">
        <w:rPr>
          <w:rFonts w:cs="Arial"/>
        </w:rPr>
        <w:t>Interestingly, Chinese university and research institutes have the highest share of foreign-oriented patent families</w:t>
      </w:r>
      <w:r w:rsidR="005242E8">
        <w:rPr>
          <w:rFonts w:cs="Arial"/>
        </w:rPr>
        <w:t xml:space="preserve"> </w:t>
      </w:r>
      <w:r w:rsidR="008210C8">
        <w:rPr>
          <w:rFonts w:cs="Arial"/>
        </w:rPr>
        <w:t xml:space="preserve">which use the </w:t>
      </w:r>
      <w:r w:rsidR="005242E8">
        <w:rPr>
          <w:rFonts w:cs="Arial"/>
        </w:rPr>
        <w:t>PCT route</w:t>
      </w:r>
      <w:r w:rsidR="008210C8">
        <w:rPr>
          <w:rFonts w:cs="Arial"/>
        </w:rPr>
        <w:t>.</w:t>
      </w:r>
      <w:r w:rsidRPr="00870AB4">
        <w:rPr>
          <w:rFonts w:cs="Arial"/>
        </w:rPr>
        <w:t xml:space="preserve"> </w:t>
      </w:r>
      <w:r w:rsidR="00161A92">
        <w:rPr>
          <w:rFonts w:cs="Arial"/>
        </w:rPr>
        <w:t xml:space="preserve"> </w:t>
      </w:r>
      <w:r w:rsidR="008210C8">
        <w:rPr>
          <w:rFonts w:cs="Arial"/>
        </w:rPr>
        <w:t>In turn,</w:t>
      </w:r>
      <w:r w:rsidRPr="00870AB4">
        <w:rPr>
          <w:rFonts w:cs="Arial"/>
        </w:rPr>
        <w:t xml:space="preserve"> companies seem to have idiosyncratic strategies of PCT route usage, with some companies employing the PCT route </w:t>
      </w:r>
      <w:r w:rsidR="00144E0B">
        <w:rPr>
          <w:rFonts w:cs="Arial"/>
        </w:rPr>
        <w:t>for all filings abroad</w:t>
      </w:r>
      <w:r w:rsidRPr="00870AB4">
        <w:rPr>
          <w:rFonts w:cs="Arial"/>
        </w:rPr>
        <w:t>, other</w:t>
      </w:r>
      <w:r w:rsidR="00144E0B">
        <w:rPr>
          <w:rFonts w:cs="Arial"/>
        </w:rPr>
        <w:t>s</w:t>
      </w:r>
      <w:r w:rsidRPr="00870AB4">
        <w:rPr>
          <w:rFonts w:cs="Arial"/>
        </w:rPr>
        <w:t xml:space="preserve"> never using it, and yet others using </w:t>
      </w:r>
      <w:r w:rsidR="001047FE">
        <w:rPr>
          <w:rFonts w:cs="Arial"/>
        </w:rPr>
        <w:t>the PCT</w:t>
      </w:r>
      <w:r w:rsidRPr="00870AB4">
        <w:rPr>
          <w:rFonts w:cs="Arial"/>
        </w:rPr>
        <w:t xml:space="preserve"> </w:t>
      </w:r>
      <w:r w:rsidR="00144E0B">
        <w:rPr>
          <w:rFonts w:cs="Arial"/>
        </w:rPr>
        <w:t>selectively</w:t>
      </w:r>
      <w:r w:rsidRPr="00870AB4">
        <w:rPr>
          <w:rFonts w:cs="Arial"/>
        </w:rPr>
        <w:t xml:space="preserve">. </w:t>
      </w:r>
    </w:p>
    <w:p w:rsidR="00247600" w:rsidRDefault="00247600" w:rsidP="00161A92">
      <w:pPr>
        <w:pStyle w:val="ListParagraph"/>
        <w:numPr>
          <w:ilvl w:val="0"/>
          <w:numId w:val="28"/>
        </w:numPr>
        <w:ind w:leftChars="0" w:left="567" w:hanging="567"/>
        <w:jc w:val="left"/>
        <w:rPr>
          <w:rFonts w:cs="Arial"/>
        </w:rPr>
      </w:pPr>
      <w:r>
        <w:rPr>
          <w:rFonts w:cs="Arial"/>
        </w:rPr>
        <w:t>Additional regression analysis finds that</w:t>
      </w:r>
      <w:r w:rsidR="002D1607">
        <w:rPr>
          <w:rFonts w:cs="Arial"/>
        </w:rPr>
        <w:t>:</w:t>
      </w:r>
    </w:p>
    <w:p w:rsidR="005242E8" w:rsidRDefault="001047FE" w:rsidP="00161A92">
      <w:pPr>
        <w:pStyle w:val="ListParagraph"/>
        <w:numPr>
          <w:ilvl w:val="1"/>
          <w:numId w:val="28"/>
        </w:numPr>
        <w:ind w:leftChars="0" w:left="567" w:hanging="567"/>
        <w:jc w:val="left"/>
        <w:rPr>
          <w:rFonts w:cs="Arial"/>
        </w:rPr>
      </w:pPr>
      <w:r>
        <w:rPr>
          <w:rFonts w:cs="Arial"/>
        </w:rPr>
        <w:t>Research i</w:t>
      </w:r>
      <w:r w:rsidR="003C43E8" w:rsidRPr="005242E8">
        <w:rPr>
          <w:rFonts w:cs="Arial"/>
        </w:rPr>
        <w:t>nstitutes are more likely to apply t</w:t>
      </w:r>
      <w:r w:rsidR="00632F69">
        <w:rPr>
          <w:rFonts w:cs="Arial"/>
        </w:rPr>
        <w:t>h</w:t>
      </w:r>
      <w:r w:rsidR="003C43E8" w:rsidRPr="005242E8">
        <w:rPr>
          <w:rFonts w:cs="Arial"/>
        </w:rPr>
        <w:t xml:space="preserve">rough the PCT route </w:t>
      </w:r>
      <w:r w:rsidR="004A1D29">
        <w:rPr>
          <w:rFonts w:cs="Arial"/>
        </w:rPr>
        <w:t xml:space="preserve">as </w:t>
      </w:r>
      <w:r w:rsidR="003C43E8" w:rsidRPr="005242E8">
        <w:rPr>
          <w:rFonts w:cs="Arial"/>
        </w:rPr>
        <w:t>compared to companies, universities and individuals.</w:t>
      </w:r>
    </w:p>
    <w:p w:rsidR="005242E8" w:rsidRDefault="003C43E8" w:rsidP="00161A92">
      <w:pPr>
        <w:pStyle w:val="ListParagraph"/>
        <w:numPr>
          <w:ilvl w:val="1"/>
          <w:numId w:val="28"/>
        </w:numPr>
        <w:ind w:leftChars="0" w:left="567" w:hanging="567"/>
        <w:jc w:val="left"/>
        <w:rPr>
          <w:rFonts w:cs="Arial"/>
        </w:rPr>
      </w:pPr>
      <w:r w:rsidRPr="005242E8">
        <w:rPr>
          <w:rFonts w:cs="Arial"/>
        </w:rPr>
        <w:t>Families originated through patent for invention applications are more likely to be applied through the PCT route.</w:t>
      </w:r>
    </w:p>
    <w:p w:rsidR="004259E0" w:rsidRDefault="003C43E8" w:rsidP="00161A92">
      <w:pPr>
        <w:pStyle w:val="ListParagraph"/>
        <w:numPr>
          <w:ilvl w:val="1"/>
          <w:numId w:val="28"/>
        </w:numPr>
        <w:ind w:leftChars="0" w:left="567" w:hanging="567"/>
        <w:jc w:val="left"/>
        <w:rPr>
          <w:rFonts w:cs="Arial"/>
        </w:rPr>
      </w:pPr>
      <w:r w:rsidRPr="005242E8">
        <w:rPr>
          <w:rFonts w:cs="Arial"/>
        </w:rPr>
        <w:t>The bigger the size of a family, the more likely it is to be applied t</w:t>
      </w:r>
      <w:r w:rsidR="00632F69">
        <w:rPr>
          <w:rFonts w:cs="Arial"/>
        </w:rPr>
        <w:t>h</w:t>
      </w:r>
      <w:r w:rsidRPr="005242E8">
        <w:rPr>
          <w:rFonts w:cs="Arial"/>
        </w:rPr>
        <w:t>rough the PCT route.</w:t>
      </w:r>
      <w:r w:rsidR="004259E0">
        <w:rPr>
          <w:rFonts w:cs="Arial"/>
        </w:rPr>
        <w:t xml:space="preserve"> </w:t>
      </w:r>
    </w:p>
    <w:p w:rsidR="004259E0" w:rsidRDefault="003C43E8" w:rsidP="00161A92">
      <w:pPr>
        <w:pStyle w:val="ListParagraph"/>
        <w:numPr>
          <w:ilvl w:val="1"/>
          <w:numId w:val="28"/>
        </w:numPr>
        <w:ind w:leftChars="0" w:left="567" w:hanging="567"/>
        <w:jc w:val="left"/>
        <w:rPr>
          <w:rFonts w:cs="Arial"/>
        </w:rPr>
      </w:pPr>
      <w:r w:rsidRPr="004259E0">
        <w:rPr>
          <w:rFonts w:cs="Arial"/>
        </w:rPr>
        <w:t xml:space="preserve">Patent families that include applications with SIPO among other patent offices are more likely to use the PCT route. </w:t>
      </w:r>
    </w:p>
    <w:p w:rsidR="003C43E8" w:rsidRPr="0064179D" w:rsidRDefault="00247600" w:rsidP="00161A92">
      <w:pPr>
        <w:pStyle w:val="ListParagraph"/>
        <w:numPr>
          <w:ilvl w:val="1"/>
          <w:numId w:val="28"/>
        </w:numPr>
        <w:ind w:leftChars="0" w:left="567" w:hanging="567"/>
        <w:jc w:val="left"/>
        <w:rPr>
          <w:rFonts w:cs="Arial"/>
        </w:rPr>
      </w:pPr>
      <w:r>
        <w:rPr>
          <w:rFonts w:cs="Arial"/>
        </w:rPr>
        <w:t>D</w:t>
      </w:r>
      <w:r w:rsidR="003C43E8" w:rsidRPr="004259E0">
        <w:rPr>
          <w:rFonts w:cs="Arial"/>
        </w:rPr>
        <w:t xml:space="preserve">igital communication, biotechnology and pharmaceutical companies are more likely to use the PCT route compared to </w:t>
      </w:r>
      <w:r w:rsidR="001047FE">
        <w:rPr>
          <w:rFonts w:cs="Arial"/>
        </w:rPr>
        <w:t>firms</w:t>
      </w:r>
      <w:r w:rsidR="003C43E8" w:rsidRPr="004259E0">
        <w:rPr>
          <w:rFonts w:cs="Arial"/>
        </w:rPr>
        <w:t xml:space="preserve"> in other technology fields.</w:t>
      </w:r>
      <w:r w:rsidR="003C43E8" w:rsidRPr="004259E0">
        <w:rPr>
          <w:rFonts w:cs="Arial"/>
          <w:b/>
        </w:rPr>
        <w:t xml:space="preserve"> </w:t>
      </w:r>
    </w:p>
    <w:p w:rsidR="0064179D" w:rsidRPr="0064179D" w:rsidRDefault="0064179D" w:rsidP="00A6622C">
      <w:pPr>
        <w:jc w:val="left"/>
        <w:rPr>
          <w:rFonts w:cs="Arial"/>
        </w:rPr>
      </w:pPr>
    </w:p>
    <w:p w:rsidR="007A382D" w:rsidRPr="007A382D" w:rsidRDefault="007A382D" w:rsidP="00A6622C">
      <w:pPr>
        <w:widowControl/>
        <w:jc w:val="left"/>
        <w:rPr>
          <w:rFonts w:eastAsia="Calibri" w:cs="Arial"/>
          <w:kern w:val="0"/>
          <w:lang w:eastAsia="en-US"/>
        </w:rPr>
      </w:pPr>
      <w:r w:rsidRPr="007A382D">
        <w:rPr>
          <w:rFonts w:eastAsia="Calibri" w:cs="Arial"/>
          <w:kern w:val="0"/>
          <w:lang w:eastAsia="en-US"/>
        </w:rPr>
        <w:t xml:space="preserve">Some of these findings are obvious, for instance, the fact that larger patent families or patent invention triggered-families tend to make use of the PCT route more frequently. </w:t>
      </w:r>
    </w:p>
    <w:p w:rsidR="007A382D" w:rsidRPr="007A382D" w:rsidRDefault="007A382D" w:rsidP="00A6622C">
      <w:pPr>
        <w:widowControl/>
        <w:jc w:val="left"/>
        <w:rPr>
          <w:rFonts w:eastAsia="Calibri" w:cs="Arial"/>
          <w:kern w:val="0"/>
          <w:lang w:eastAsia="en-US"/>
        </w:rPr>
      </w:pPr>
    </w:p>
    <w:p w:rsidR="007A382D" w:rsidRPr="007A382D" w:rsidRDefault="007A382D" w:rsidP="00A6622C">
      <w:pPr>
        <w:widowControl/>
        <w:jc w:val="left"/>
        <w:rPr>
          <w:rFonts w:eastAsia="Calibri" w:cs="Arial"/>
          <w:kern w:val="0"/>
          <w:lang w:eastAsia="en-US"/>
        </w:rPr>
      </w:pPr>
      <w:r w:rsidRPr="007A382D">
        <w:rPr>
          <w:rFonts w:eastAsia="Calibri" w:cs="Arial"/>
          <w:kern w:val="0"/>
          <w:lang w:eastAsia="en-US"/>
        </w:rPr>
        <w:t xml:space="preserve">Others are less obvious, and need more analytical work, for instance, why academic inventors would favor the PCT more than their counterparts based in companies. </w:t>
      </w:r>
      <w:r w:rsidR="00161A92">
        <w:rPr>
          <w:rFonts w:eastAsia="Calibri" w:cs="Arial"/>
          <w:kern w:val="0"/>
          <w:lang w:eastAsia="en-US"/>
        </w:rPr>
        <w:t xml:space="preserve"> </w:t>
      </w:r>
      <w:r w:rsidRPr="007A382D">
        <w:rPr>
          <w:rFonts w:eastAsia="Calibri" w:cs="Arial"/>
          <w:kern w:val="0"/>
          <w:lang w:eastAsia="en-US"/>
        </w:rPr>
        <w:t xml:space="preserve">This will be subject to future research. </w:t>
      </w:r>
    </w:p>
    <w:p w:rsidR="00AA1E26" w:rsidRPr="00AA1E26" w:rsidRDefault="00AA1E26" w:rsidP="00AA1E26">
      <w:pPr>
        <w:widowControl/>
        <w:jc w:val="left"/>
        <w:rPr>
          <w:rFonts w:eastAsia="Calibri" w:cs="Arial"/>
          <w:kern w:val="0"/>
          <w:lang w:eastAsia="en-US"/>
        </w:rPr>
      </w:pPr>
    </w:p>
    <w:p w:rsidR="00C870CB" w:rsidRDefault="00AA1E26" w:rsidP="00161A92">
      <w:pPr>
        <w:pStyle w:val="Heading1"/>
        <w:spacing w:before="0" w:after="0"/>
        <w:jc w:val="left"/>
        <w:rPr>
          <w:lang w:eastAsia="en-US"/>
        </w:rPr>
      </w:pPr>
      <w:r w:rsidRPr="00AA1E26">
        <w:rPr>
          <w:lang w:eastAsia="en-US"/>
        </w:rPr>
        <w:br w:type="page"/>
      </w:r>
      <w:bookmarkStart w:id="8" w:name="_Toc381274330"/>
      <w:r w:rsidR="00C870CB" w:rsidRPr="00C870CB">
        <w:rPr>
          <w:lang w:eastAsia="en-US"/>
        </w:rPr>
        <w:lastRenderedPageBreak/>
        <w:t xml:space="preserve">INTELLECTUAL PROPERTY AND SOCIO-ECONOMIC DEVELOPMENT: </w:t>
      </w:r>
      <w:r w:rsidR="00161A92">
        <w:rPr>
          <w:lang w:eastAsia="en-US"/>
        </w:rPr>
        <w:t xml:space="preserve"> </w:t>
      </w:r>
      <w:r w:rsidR="00C870CB" w:rsidRPr="00C870CB">
        <w:rPr>
          <w:lang w:eastAsia="en-US"/>
        </w:rPr>
        <w:t>INTERNATIONAL PATENTING STRATEGIES OF CHINESE RESIDENTS</w:t>
      </w:r>
    </w:p>
    <w:p w:rsidR="00C870CB" w:rsidRDefault="00C870CB" w:rsidP="00C870CB">
      <w:pPr>
        <w:rPr>
          <w:lang w:eastAsia="en-US"/>
        </w:rPr>
      </w:pPr>
    </w:p>
    <w:p w:rsidR="00ED4881" w:rsidRPr="00C870CB" w:rsidRDefault="00ED4881" w:rsidP="00C870CB">
      <w:pPr>
        <w:rPr>
          <w:lang w:eastAsia="en-US"/>
        </w:rPr>
      </w:pPr>
    </w:p>
    <w:p w:rsidR="00AA1E26" w:rsidRDefault="00AA1E26" w:rsidP="00B92B20">
      <w:pPr>
        <w:keepNext/>
        <w:keepLines/>
        <w:widowControl/>
        <w:contextualSpacing/>
        <w:jc w:val="left"/>
        <w:rPr>
          <w:rFonts w:eastAsiaTheme="majorEastAsia" w:cs="Arial"/>
          <w:b/>
          <w:bCs/>
          <w:color w:val="000000" w:themeColor="text1"/>
          <w:kern w:val="0"/>
          <w:lang w:eastAsia="en-US"/>
        </w:rPr>
      </w:pPr>
      <w:r w:rsidRPr="00B92B20">
        <w:rPr>
          <w:rFonts w:eastAsiaTheme="majorEastAsia" w:cs="Arial"/>
          <w:b/>
          <w:bCs/>
          <w:color w:val="000000" w:themeColor="text1"/>
          <w:kern w:val="0"/>
          <w:lang w:eastAsia="en-US"/>
        </w:rPr>
        <w:t>Introduction and background</w:t>
      </w:r>
      <w:bookmarkStart w:id="9" w:name="_Toc381274331"/>
      <w:bookmarkEnd w:id="8"/>
    </w:p>
    <w:p w:rsidR="00B92B20" w:rsidRPr="00B92B20" w:rsidRDefault="00B92B20" w:rsidP="00B92B20">
      <w:pPr>
        <w:keepNext/>
        <w:keepLines/>
        <w:widowControl/>
        <w:contextualSpacing/>
        <w:jc w:val="left"/>
        <w:rPr>
          <w:rFonts w:eastAsiaTheme="majorEastAsia" w:cs="Arial"/>
          <w:b/>
          <w:bCs/>
          <w:color w:val="000000" w:themeColor="text1"/>
          <w:kern w:val="0"/>
          <w:lang w:eastAsia="en-US"/>
        </w:rPr>
      </w:pPr>
    </w:p>
    <w:p w:rsidR="0041619A" w:rsidRPr="00AA1E26" w:rsidRDefault="00AA1E26" w:rsidP="00E0733D">
      <w:pPr>
        <w:widowControl/>
        <w:jc w:val="left"/>
        <w:rPr>
          <w:rFonts w:eastAsia="Calibri" w:cs="Arial"/>
          <w:kern w:val="0"/>
          <w:lang w:eastAsia="en-US"/>
        </w:rPr>
      </w:pPr>
      <w:r w:rsidRPr="00AA1E26">
        <w:rPr>
          <w:rFonts w:eastAsia="Calibri" w:cs="Arial"/>
          <w:kern w:val="0"/>
          <w:lang w:eastAsia="en-US"/>
        </w:rPr>
        <w:t xml:space="preserve">The Committee on Development and Intellectual Property (CDIP) has mandated the Economics and Statistics Division of the World Intellectual Property Organization (WIPO) to carry out a series of studies under the </w:t>
      </w:r>
      <w:r w:rsidR="00BB39F6">
        <w:rPr>
          <w:rFonts w:eastAsia="Calibri" w:cs="Arial"/>
          <w:kern w:val="0"/>
          <w:lang w:eastAsia="en-US"/>
        </w:rPr>
        <w:t xml:space="preserve">Development Agenda </w:t>
      </w:r>
      <w:r w:rsidRPr="00AA1E26">
        <w:rPr>
          <w:rFonts w:eastAsia="Calibri" w:cs="Arial"/>
          <w:kern w:val="0"/>
          <w:lang w:eastAsia="en-US"/>
        </w:rPr>
        <w:t>project “Intellectual Property (IP) and Socio-Economic Development”.</w:t>
      </w:r>
      <w:r w:rsidR="00E42448">
        <w:rPr>
          <w:rStyle w:val="FootnoteReference"/>
          <w:rFonts w:eastAsia="Calibri" w:cs="Arial"/>
          <w:kern w:val="0"/>
          <w:lang w:eastAsia="en-US"/>
        </w:rPr>
        <w:footnoteReference w:id="1"/>
      </w:r>
      <w:r w:rsidRPr="00AA1E26">
        <w:rPr>
          <w:rFonts w:eastAsia="Calibri" w:cs="Arial"/>
          <w:kern w:val="0"/>
          <w:lang w:eastAsia="en-US"/>
        </w:rPr>
        <w:t xml:space="preserve">  These studies gather empirical evidence about the relationship between IP protection and economic performance in developing countries. </w:t>
      </w:r>
      <w:r w:rsidR="00B92B20">
        <w:rPr>
          <w:rFonts w:eastAsia="Calibri" w:cs="Arial"/>
          <w:kern w:val="0"/>
          <w:lang w:eastAsia="en-US"/>
        </w:rPr>
        <w:t xml:space="preserve"> </w:t>
      </w:r>
      <w:r w:rsidR="0041619A">
        <w:rPr>
          <w:rFonts w:eastAsia="Calibri" w:cs="Arial"/>
          <w:kern w:val="0"/>
          <w:lang w:eastAsia="en-US"/>
        </w:rPr>
        <w:t>W</w:t>
      </w:r>
      <w:r w:rsidR="0041619A" w:rsidRPr="00AA1E26">
        <w:rPr>
          <w:rFonts w:eastAsia="Calibri" w:cs="Arial"/>
          <w:kern w:val="0"/>
          <w:lang w:eastAsia="en-US"/>
        </w:rPr>
        <w:t xml:space="preserve">ithin this context, </w:t>
      </w:r>
      <w:r w:rsidR="00E42448">
        <w:rPr>
          <w:rFonts w:eastAsia="Calibri" w:cs="Arial"/>
          <w:kern w:val="0"/>
          <w:lang w:eastAsia="en-US"/>
        </w:rPr>
        <w:t xml:space="preserve">so far </w:t>
      </w:r>
      <w:r w:rsidR="0041619A" w:rsidRPr="00AA1E26">
        <w:rPr>
          <w:rFonts w:eastAsia="Calibri" w:cs="Arial"/>
          <w:kern w:val="0"/>
          <w:lang w:eastAsia="en-US"/>
        </w:rPr>
        <w:t>two studies are focused on the patent system of the People’s Republic of China are submitted to the</w:t>
      </w:r>
      <w:r w:rsidR="00BB39F6">
        <w:rPr>
          <w:rFonts w:eastAsia="Calibri" w:cs="Arial"/>
          <w:kern w:val="0"/>
          <w:lang w:eastAsia="en-US"/>
        </w:rPr>
        <w:t xml:space="preserve"> thirteenth </w:t>
      </w:r>
      <w:r w:rsidR="0041619A" w:rsidRPr="00AA1E26">
        <w:rPr>
          <w:rFonts w:eastAsia="Calibri" w:cs="Arial"/>
          <w:kern w:val="0"/>
          <w:lang w:eastAsia="en-US"/>
        </w:rPr>
        <w:t xml:space="preserve">session of the CDIP.  </w:t>
      </w:r>
    </w:p>
    <w:p w:rsidR="00AA1E26" w:rsidRPr="00AA1E26" w:rsidRDefault="00AA1E26" w:rsidP="00B92B20">
      <w:pPr>
        <w:widowControl/>
        <w:jc w:val="left"/>
        <w:rPr>
          <w:rFonts w:eastAsia="Calibri" w:cs="Arial"/>
          <w:kern w:val="0"/>
          <w:lang w:eastAsia="en-US"/>
        </w:rPr>
      </w:pPr>
    </w:p>
    <w:p w:rsidR="002D0EE2" w:rsidRDefault="00AA1E26" w:rsidP="006F4928">
      <w:pPr>
        <w:widowControl/>
        <w:jc w:val="left"/>
        <w:rPr>
          <w:rFonts w:eastAsia="Calibri" w:cs="Arial"/>
          <w:kern w:val="0"/>
          <w:lang w:eastAsia="en-US"/>
        </w:rPr>
      </w:pPr>
      <w:r w:rsidRPr="00AA1E26">
        <w:rPr>
          <w:rFonts w:eastAsia="Calibri" w:cs="Arial"/>
          <w:kern w:val="0"/>
          <w:lang w:eastAsia="en-US"/>
        </w:rPr>
        <w:t>In terms of the number of its patent applications</w:t>
      </w:r>
      <w:r w:rsidR="00632F69">
        <w:rPr>
          <w:rFonts w:eastAsia="Calibri" w:cs="Arial"/>
          <w:kern w:val="0"/>
          <w:lang w:eastAsia="en-US"/>
        </w:rPr>
        <w:t>, in 2012</w:t>
      </w:r>
      <w:r w:rsidRPr="00AA1E26">
        <w:rPr>
          <w:rFonts w:eastAsia="Calibri" w:cs="Arial"/>
          <w:kern w:val="0"/>
          <w:lang w:eastAsia="en-US"/>
        </w:rPr>
        <w:t xml:space="preserve"> China has emerged as the country with the largest IP office in the world. </w:t>
      </w:r>
      <w:r w:rsidR="00B92B20">
        <w:rPr>
          <w:rFonts w:eastAsia="Calibri" w:cs="Arial"/>
          <w:kern w:val="0"/>
          <w:lang w:eastAsia="en-US"/>
        </w:rPr>
        <w:t xml:space="preserve"> </w:t>
      </w:r>
      <w:r w:rsidRPr="00AA1E26">
        <w:rPr>
          <w:rFonts w:eastAsia="Calibri" w:cs="Arial"/>
          <w:kern w:val="0"/>
          <w:lang w:eastAsia="en-US"/>
        </w:rPr>
        <w:t xml:space="preserve">The performance of the Chinese IP system is thus increasingly </w:t>
      </w:r>
      <w:r w:rsidR="00FC2C3C">
        <w:rPr>
          <w:rFonts w:eastAsia="Calibri" w:cs="Arial"/>
          <w:kern w:val="0"/>
          <w:lang w:eastAsia="en-US"/>
        </w:rPr>
        <w:t>in the spotlight</w:t>
      </w:r>
      <w:r w:rsidRPr="00AA1E26">
        <w:rPr>
          <w:rFonts w:eastAsia="Calibri" w:cs="Arial"/>
          <w:kern w:val="0"/>
          <w:lang w:eastAsia="en-US"/>
        </w:rPr>
        <w:t xml:space="preserve">; </w:t>
      </w:r>
      <w:r w:rsidR="005C0BA5">
        <w:rPr>
          <w:rFonts w:eastAsia="Calibri" w:cs="Arial"/>
          <w:kern w:val="0"/>
          <w:lang w:eastAsia="en-US"/>
        </w:rPr>
        <w:t xml:space="preserve">a </w:t>
      </w:r>
      <w:r w:rsidRPr="00AA1E26">
        <w:rPr>
          <w:rFonts w:eastAsia="Calibri" w:cs="Arial"/>
          <w:kern w:val="0"/>
          <w:lang w:eastAsia="en-US"/>
        </w:rPr>
        <w:t xml:space="preserve">better understanding </w:t>
      </w:r>
      <w:r w:rsidR="00B959E8">
        <w:rPr>
          <w:rFonts w:eastAsia="Calibri" w:cs="Arial"/>
          <w:kern w:val="0"/>
          <w:lang w:eastAsia="en-US"/>
        </w:rPr>
        <w:t xml:space="preserve">of </w:t>
      </w:r>
      <w:r w:rsidRPr="00AA1E26">
        <w:rPr>
          <w:rFonts w:eastAsia="Calibri" w:cs="Arial"/>
          <w:kern w:val="0"/>
          <w:lang w:eastAsia="en-US"/>
        </w:rPr>
        <w:t xml:space="preserve">the linkages between IP activity and socio-economic development in China is </w:t>
      </w:r>
      <w:r w:rsidR="002444E8">
        <w:rPr>
          <w:rFonts w:eastAsia="Calibri" w:cs="Arial"/>
          <w:kern w:val="0"/>
          <w:lang w:eastAsia="en-US"/>
        </w:rPr>
        <w:t>a priority</w:t>
      </w:r>
      <w:r w:rsidRPr="00AA1E26">
        <w:rPr>
          <w:rFonts w:eastAsia="Calibri" w:cs="Arial"/>
          <w:kern w:val="0"/>
          <w:lang w:eastAsia="en-US"/>
        </w:rPr>
        <w:t xml:space="preserve">. </w:t>
      </w:r>
      <w:r w:rsidR="00B92B20">
        <w:rPr>
          <w:rFonts w:eastAsia="Calibri" w:cs="Arial"/>
          <w:kern w:val="0"/>
          <w:lang w:eastAsia="en-US"/>
        </w:rPr>
        <w:t xml:space="preserve"> </w:t>
      </w:r>
      <w:r w:rsidRPr="00AA1E26">
        <w:rPr>
          <w:rFonts w:eastAsia="Calibri" w:cs="Arial"/>
          <w:kern w:val="0"/>
          <w:lang w:eastAsia="en-US"/>
        </w:rPr>
        <w:t xml:space="preserve">Moreover, the rapid development of China’s IP system holds important lessons for other low- and middle-income countries.  </w:t>
      </w:r>
    </w:p>
    <w:p w:rsidR="00AA1E26" w:rsidRDefault="00AA1E26" w:rsidP="00B92B20">
      <w:pPr>
        <w:widowControl/>
        <w:jc w:val="left"/>
        <w:rPr>
          <w:rFonts w:eastAsia="Calibri" w:cs="Arial"/>
          <w:kern w:val="0"/>
          <w:lang w:eastAsia="en-US"/>
        </w:rPr>
      </w:pPr>
    </w:p>
    <w:p w:rsidR="00ED4881" w:rsidRPr="00AA1E26" w:rsidRDefault="00ED4881" w:rsidP="00B92B20">
      <w:pPr>
        <w:widowControl/>
        <w:jc w:val="left"/>
        <w:rPr>
          <w:rFonts w:eastAsia="Calibri" w:cs="Arial"/>
          <w:kern w:val="0"/>
          <w:lang w:eastAsia="en-US"/>
        </w:rPr>
      </w:pPr>
    </w:p>
    <w:p w:rsidR="00AA1E26" w:rsidRDefault="00AA1E26" w:rsidP="00AA1E26">
      <w:pPr>
        <w:keepNext/>
        <w:keepLines/>
        <w:widowControl/>
        <w:contextualSpacing/>
        <w:outlineLvl w:val="1"/>
        <w:rPr>
          <w:rFonts w:eastAsia="Times New Roman" w:cs="Arial"/>
          <w:b/>
          <w:bCs/>
          <w:color w:val="000000"/>
          <w:kern w:val="0"/>
          <w:lang w:eastAsia="en-US"/>
        </w:rPr>
      </w:pPr>
      <w:r w:rsidRPr="00AA1E26">
        <w:rPr>
          <w:rFonts w:eastAsia="Times New Roman" w:cs="Arial"/>
          <w:b/>
          <w:bCs/>
          <w:color w:val="000000"/>
          <w:kern w:val="0"/>
          <w:lang w:eastAsia="en-US"/>
        </w:rPr>
        <w:t>The project</w:t>
      </w:r>
      <w:bookmarkEnd w:id="9"/>
    </w:p>
    <w:p w:rsidR="00B92B20" w:rsidRPr="00B92B20" w:rsidRDefault="00B92B20" w:rsidP="00B92B20">
      <w:pPr>
        <w:widowControl/>
        <w:jc w:val="left"/>
        <w:rPr>
          <w:rFonts w:eastAsiaTheme="minorHAnsi" w:cs="Arial"/>
          <w:kern w:val="0"/>
          <w:lang w:eastAsia="en-US"/>
        </w:rPr>
      </w:pPr>
    </w:p>
    <w:p w:rsidR="00AA1E26" w:rsidRPr="00B92B20" w:rsidRDefault="00AA1E26" w:rsidP="00B92B20">
      <w:pPr>
        <w:widowControl/>
        <w:jc w:val="left"/>
        <w:rPr>
          <w:rFonts w:eastAsiaTheme="minorHAnsi" w:cs="Arial"/>
          <w:kern w:val="0"/>
          <w:lang w:eastAsia="en-US"/>
        </w:rPr>
      </w:pPr>
      <w:r w:rsidRPr="00B92B20">
        <w:rPr>
          <w:rFonts w:eastAsiaTheme="minorHAnsi" w:cs="Arial"/>
          <w:kern w:val="0"/>
          <w:lang w:eastAsia="en-US"/>
        </w:rPr>
        <w:t>In 2011, the Chinese Government expressed interest for WIPO to conduct a joint study on IP, innovation, and economic development under Development Agenda project CDIP/5/7. Joint study work between the State Intellectual Property Office of The People’s Republic of China (SIPO) and WIPO has been initiated to this effect.</w:t>
      </w:r>
    </w:p>
    <w:p w:rsidR="004A1D29" w:rsidRPr="00B92B20" w:rsidRDefault="004A1D29" w:rsidP="00B92B20">
      <w:pPr>
        <w:widowControl/>
        <w:jc w:val="left"/>
        <w:rPr>
          <w:rFonts w:eastAsiaTheme="minorHAnsi" w:cs="Arial"/>
          <w:kern w:val="0"/>
          <w:lang w:eastAsia="en-US"/>
        </w:rPr>
      </w:pPr>
    </w:p>
    <w:p w:rsidR="00AA1E26" w:rsidRPr="00B92B20" w:rsidRDefault="00AA1E26" w:rsidP="00B92B20">
      <w:pPr>
        <w:widowControl/>
        <w:jc w:val="left"/>
        <w:rPr>
          <w:rFonts w:eastAsiaTheme="minorHAnsi" w:cs="Arial"/>
          <w:kern w:val="0"/>
          <w:lang w:eastAsia="en-US"/>
        </w:rPr>
      </w:pPr>
      <w:r w:rsidRPr="00B92B20">
        <w:rPr>
          <w:rFonts w:eastAsiaTheme="minorHAnsi" w:cs="Arial"/>
          <w:kern w:val="0"/>
          <w:lang w:eastAsia="en-US"/>
        </w:rPr>
        <w:t xml:space="preserve">A first mission to launch the study took place from April 24 to 27, 2012 to understand respective data sources and to narrow down the scope of the research project. </w:t>
      </w:r>
      <w:r w:rsidR="00B92B20">
        <w:rPr>
          <w:rFonts w:eastAsiaTheme="minorHAnsi" w:cs="Arial"/>
          <w:kern w:val="0"/>
          <w:lang w:eastAsia="en-US"/>
        </w:rPr>
        <w:t xml:space="preserve"> </w:t>
      </w:r>
      <w:r w:rsidRPr="00B92B20">
        <w:rPr>
          <w:rFonts w:eastAsiaTheme="minorHAnsi" w:cs="Arial"/>
          <w:kern w:val="0"/>
          <w:lang w:eastAsia="en-US"/>
        </w:rPr>
        <w:t xml:space="preserve">Technical discussions with SIPO were instrumental in better understanding the state of the Office’s existing data and research work.  </w:t>
      </w:r>
    </w:p>
    <w:p w:rsidR="00AA1E26" w:rsidRDefault="00AA1E26" w:rsidP="00FF7D62">
      <w:pPr>
        <w:widowControl/>
        <w:rPr>
          <w:rFonts w:eastAsia="Calibri" w:cs="Arial"/>
          <w:kern w:val="0"/>
          <w:lang w:eastAsia="en-US"/>
        </w:rPr>
      </w:pPr>
    </w:p>
    <w:p w:rsidR="00AA1E26" w:rsidRPr="00AA1E26" w:rsidRDefault="00AA1E26" w:rsidP="00B92B20">
      <w:pPr>
        <w:widowControl/>
        <w:jc w:val="left"/>
        <w:rPr>
          <w:rFonts w:eastAsia="Calibri" w:cs="Arial"/>
          <w:kern w:val="0"/>
          <w:lang w:eastAsia="en-US"/>
        </w:rPr>
      </w:pPr>
      <w:r w:rsidRPr="00AA1E26">
        <w:rPr>
          <w:rFonts w:eastAsia="Calibri" w:cs="Arial"/>
          <w:kern w:val="0"/>
          <w:lang w:eastAsia="en-US"/>
        </w:rPr>
        <w:t xml:space="preserve">On this basis, it was decided that the joint economic research work and its associated studies </w:t>
      </w:r>
      <w:r w:rsidR="009526BB">
        <w:rPr>
          <w:rFonts w:eastAsia="Calibri" w:cs="Arial"/>
          <w:kern w:val="0"/>
          <w:lang w:eastAsia="en-US"/>
        </w:rPr>
        <w:t>deliver</w:t>
      </w:r>
      <w:r w:rsidRPr="00AA1E26">
        <w:rPr>
          <w:rFonts w:eastAsia="Calibri" w:cs="Arial"/>
          <w:kern w:val="0"/>
          <w:lang w:eastAsia="en-US"/>
        </w:rPr>
        <w:t xml:space="preserve"> answers to the following questions:</w:t>
      </w:r>
    </w:p>
    <w:p w:rsidR="00AA1E26" w:rsidRPr="00AA1E26" w:rsidRDefault="00AA1E26" w:rsidP="00AA1E26">
      <w:pPr>
        <w:widowControl/>
        <w:jc w:val="left"/>
        <w:rPr>
          <w:rFonts w:eastAsia="Calibri" w:cs="Arial"/>
          <w:kern w:val="0"/>
          <w:lang w:eastAsia="en-US"/>
        </w:rPr>
      </w:pPr>
    </w:p>
    <w:p w:rsidR="00AA1E26" w:rsidRDefault="00AA1E26" w:rsidP="00B92B20">
      <w:pPr>
        <w:pStyle w:val="ListParagraph"/>
        <w:widowControl/>
        <w:numPr>
          <w:ilvl w:val="0"/>
          <w:numId w:val="18"/>
        </w:numPr>
        <w:ind w:leftChars="0" w:left="567" w:hanging="567"/>
        <w:contextualSpacing/>
        <w:jc w:val="left"/>
        <w:rPr>
          <w:rFonts w:eastAsia="Calibri" w:cs="Arial"/>
          <w:b/>
          <w:kern w:val="0"/>
          <w:lang w:eastAsia="en-US"/>
        </w:rPr>
      </w:pPr>
      <w:r w:rsidRPr="00AA1E26">
        <w:rPr>
          <w:rFonts w:eastAsia="Calibri" w:cs="Arial"/>
          <w:b/>
          <w:kern w:val="0"/>
          <w:lang w:eastAsia="en-US"/>
        </w:rPr>
        <w:lastRenderedPageBreak/>
        <w:t>What is behind China’s rapid increase in patenting?</w:t>
      </w:r>
    </w:p>
    <w:p w:rsidR="00B92B20" w:rsidRPr="00AA1E26" w:rsidRDefault="00B92B20" w:rsidP="00B92B20">
      <w:pPr>
        <w:pStyle w:val="ListParagraph"/>
        <w:widowControl/>
        <w:ind w:leftChars="0" w:left="567"/>
        <w:contextualSpacing/>
        <w:jc w:val="left"/>
        <w:rPr>
          <w:rFonts w:eastAsia="Calibri" w:cs="Arial"/>
          <w:b/>
          <w:kern w:val="0"/>
          <w:lang w:eastAsia="en-US"/>
        </w:rPr>
      </w:pPr>
    </w:p>
    <w:p w:rsidR="00AA1E26" w:rsidRPr="00AA1E26" w:rsidRDefault="00AA1E26" w:rsidP="00B92B20">
      <w:pPr>
        <w:widowControl/>
        <w:jc w:val="left"/>
        <w:rPr>
          <w:rFonts w:eastAsia="Calibri" w:cs="Arial"/>
          <w:kern w:val="0"/>
          <w:lang w:eastAsia="en-US"/>
        </w:rPr>
      </w:pPr>
      <w:r w:rsidRPr="00AA1E26">
        <w:rPr>
          <w:rFonts w:eastAsia="Calibri" w:cs="Arial"/>
          <w:kern w:val="0"/>
          <w:lang w:eastAsia="en-US"/>
        </w:rPr>
        <w:t>This part of the joint economic research work analyze</w:t>
      </w:r>
      <w:r w:rsidR="009526BB">
        <w:rPr>
          <w:rFonts w:eastAsia="Calibri" w:cs="Arial"/>
          <w:kern w:val="0"/>
          <w:lang w:eastAsia="en-US"/>
        </w:rPr>
        <w:t>s</w:t>
      </w:r>
      <w:r w:rsidRPr="00AA1E26">
        <w:rPr>
          <w:rFonts w:eastAsia="Calibri" w:cs="Arial"/>
          <w:kern w:val="0"/>
          <w:lang w:eastAsia="en-US"/>
        </w:rPr>
        <w:t xml:space="preserve"> which factors have contributed to the fast growth of patenting in China, ranging from the growing innovative capacity of China’s economy, policy reforms, to industry-specific business strategies.  Drawing on national IP and other statistical data, broken down to the greatest extent possible, it seeks to quantify the importance of the different growth forces.  The analysis distinguishes between the different types of patent rights (invention patents, design patents, utility models) and considers, in particular, the patenting behavior of foreign (both non-resident as well as foreign firms established in China) versus domestic applicants.  To the extent available data allow, the analysis would also try to quantify the contribution of patenting firms to overall economic output.</w:t>
      </w:r>
    </w:p>
    <w:p w:rsidR="00AA1E26" w:rsidRPr="00AA1E26" w:rsidRDefault="00AA1E26" w:rsidP="00FF7D62">
      <w:pPr>
        <w:widowControl/>
        <w:contextualSpacing/>
        <w:rPr>
          <w:rFonts w:eastAsia="Calibri" w:cs="Arial"/>
          <w:kern w:val="0"/>
          <w:lang w:eastAsia="en-US"/>
        </w:rPr>
      </w:pPr>
    </w:p>
    <w:p w:rsidR="00AA1E26" w:rsidRDefault="00AA1E26" w:rsidP="00F75D11">
      <w:pPr>
        <w:pStyle w:val="ListParagraph"/>
        <w:widowControl/>
        <w:numPr>
          <w:ilvl w:val="0"/>
          <w:numId w:val="18"/>
        </w:numPr>
        <w:ind w:leftChars="0" w:left="567" w:hanging="567"/>
        <w:contextualSpacing/>
        <w:jc w:val="left"/>
        <w:rPr>
          <w:rFonts w:eastAsia="Calibri" w:cs="Arial"/>
          <w:b/>
          <w:kern w:val="0"/>
          <w:lang w:eastAsia="en-US"/>
        </w:rPr>
      </w:pPr>
      <w:r w:rsidRPr="00AA1E26">
        <w:rPr>
          <w:rFonts w:eastAsia="Calibri" w:cs="Arial"/>
          <w:b/>
          <w:kern w:val="0"/>
          <w:lang w:eastAsia="en-US"/>
        </w:rPr>
        <w:t>What role does patent protection play in the business strategies of Chinese companies?</w:t>
      </w:r>
    </w:p>
    <w:p w:rsidR="00F75D11" w:rsidRPr="00AA1E26" w:rsidRDefault="00F75D11" w:rsidP="00F75D11">
      <w:pPr>
        <w:pStyle w:val="ListParagraph"/>
        <w:widowControl/>
        <w:ind w:leftChars="0" w:left="567"/>
        <w:contextualSpacing/>
        <w:jc w:val="left"/>
        <w:rPr>
          <w:rFonts w:eastAsia="Calibri" w:cs="Arial"/>
          <w:b/>
          <w:kern w:val="0"/>
          <w:lang w:eastAsia="en-US"/>
        </w:rPr>
      </w:pPr>
    </w:p>
    <w:p w:rsidR="00AA1E26" w:rsidRPr="00AA1E26" w:rsidRDefault="00AA1E26" w:rsidP="00F75D11">
      <w:pPr>
        <w:widowControl/>
        <w:jc w:val="left"/>
        <w:rPr>
          <w:rFonts w:eastAsia="Calibri" w:cs="Arial"/>
          <w:kern w:val="0"/>
          <w:lang w:eastAsia="en-US"/>
        </w:rPr>
      </w:pPr>
      <w:r w:rsidRPr="00AA1E26">
        <w:rPr>
          <w:rFonts w:eastAsia="Calibri" w:cs="Arial"/>
          <w:kern w:val="0"/>
          <w:lang w:eastAsia="en-US"/>
        </w:rPr>
        <w:t>One key rationale for patent protection is to enable firms to appropriate their investments in research and development (R&amp;D), by preventing the copying of inventions.  Howev</w:t>
      </w:r>
      <w:r w:rsidR="009526BB">
        <w:rPr>
          <w:rFonts w:eastAsia="Calibri" w:cs="Arial"/>
          <w:kern w:val="0"/>
          <w:lang w:eastAsia="en-US"/>
        </w:rPr>
        <w:t>er, many firm surveys from high-</w:t>
      </w:r>
      <w:r w:rsidRPr="00AA1E26">
        <w:rPr>
          <w:rFonts w:eastAsia="Calibri" w:cs="Arial"/>
          <w:kern w:val="0"/>
          <w:lang w:eastAsia="en-US"/>
        </w:rPr>
        <w:t>income countries have revealed that the importance of patent rights as an appropriation mechanism differs significantly across industries.  In addition, evidence from high-income countries suggests that companies’ strategies have much evolved in recent decades, including motivations of licensing, preempting litigation, blocking competitors, negotiating cross-licenses, and others.  Drawing on the rich applicant surveys conducted by SIPO, this component of the study will seek to gain empirical insight into the patenting strategies of Chinese companies and, to the extent possible, compare the evidence for China to that available for other countries.</w:t>
      </w:r>
    </w:p>
    <w:p w:rsidR="00AA1E26" w:rsidRPr="00AA1E26" w:rsidRDefault="00AA1E26" w:rsidP="00F75D11">
      <w:pPr>
        <w:widowControl/>
        <w:contextualSpacing/>
        <w:jc w:val="left"/>
        <w:rPr>
          <w:rFonts w:eastAsia="Calibri" w:cs="Arial"/>
          <w:kern w:val="0"/>
          <w:lang w:eastAsia="en-US"/>
        </w:rPr>
      </w:pPr>
    </w:p>
    <w:p w:rsidR="00AA1E26" w:rsidRPr="00AA1E26" w:rsidRDefault="00AA1E26" w:rsidP="00F75D11">
      <w:pPr>
        <w:pStyle w:val="ListParagraph"/>
        <w:widowControl/>
        <w:numPr>
          <w:ilvl w:val="0"/>
          <w:numId w:val="18"/>
        </w:numPr>
        <w:ind w:leftChars="0" w:left="567" w:hanging="567"/>
        <w:contextualSpacing/>
        <w:jc w:val="left"/>
        <w:rPr>
          <w:rFonts w:eastAsia="Calibri" w:cs="Arial"/>
          <w:b/>
          <w:kern w:val="0"/>
          <w:lang w:eastAsia="en-US"/>
        </w:rPr>
      </w:pPr>
      <w:r w:rsidRPr="00AA1E26">
        <w:rPr>
          <w:rFonts w:eastAsia="Calibri" w:cs="Arial"/>
          <w:b/>
          <w:kern w:val="0"/>
          <w:lang w:eastAsia="en-US"/>
        </w:rPr>
        <w:t>What determines patenting by Chinese companies abroad?</w:t>
      </w:r>
    </w:p>
    <w:p w:rsidR="00F75D11" w:rsidRDefault="00F75D11" w:rsidP="00FF7D62">
      <w:pPr>
        <w:widowControl/>
        <w:rPr>
          <w:rFonts w:eastAsia="Calibri" w:cs="Arial"/>
          <w:kern w:val="0"/>
          <w:lang w:eastAsia="en-US"/>
        </w:rPr>
      </w:pPr>
    </w:p>
    <w:p w:rsidR="00AA1E26" w:rsidRPr="00AA1E26" w:rsidRDefault="00AA1E26" w:rsidP="00F75D11">
      <w:pPr>
        <w:widowControl/>
        <w:jc w:val="left"/>
        <w:rPr>
          <w:rFonts w:eastAsia="Calibri" w:cs="Arial"/>
          <w:kern w:val="0"/>
          <w:lang w:eastAsia="en-US"/>
        </w:rPr>
      </w:pPr>
      <w:r w:rsidRPr="00AA1E26">
        <w:rPr>
          <w:rFonts w:eastAsia="Calibri" w:cs="Arial"/>
          <w:kern w:val="0"/>
          <w:lang w:eastAsia="en-US"/>
        </w:rPr>
        <w:t>Chinese companies have rapidly increased their patent filings abroad.  However, there is little systematic study of Chinese foreign-oriented patent families. Moreover, evidence on what determines Chinese companies’ decisions to seek patent protection in different countries is missing.  Drawing on national IP and other statistical data as well as WIPO’s international patent family database, the objective is to map and explain Chinese patenting behavior abroad.  The analysis will pay particular attention to the role of the Patent Cooperation Treaty System (PCT) in the overseas patenting strategies of Chinese applicants.</w:t>
      </w:r>
      <w:r w:rsidRPr="00AA1E26">
        <w:rPr>
          <w:rStyle w:val="FootnoteReference"/>
          <w:rFonts w:eastAsia="Calibri" w:cs="Arial"/>
          <w:kern w:val="0"/>
          <w:lang w:eastAsia="en-US"/>
        </w:rPr>
        <w:footnoteReference w:id="2"/>
      </w:r>
    </w:p>
    <w:p w:rsidR="00AA1E26" w:rsidRPr="00AA1E26" w:rsidRDefault="00AA1E26" w:rsidP="00F75D11">
      <w:pPr>
        <w:widowControl/>
        <w:jc w:val="left"/>
        <w:rPr>
          <w:rFonts w:eastAsia="Calibri" w:cs="Arial"/>
          <w:kern w:val="0"/>
          <w:lang w:eastAsia="en-US"/>
        </w:rPr>
      </w:pPr>
    </w:p>
    <w:p w:rsidR="00AA1E26" w:rsidRPr="00AA1E26" w:rsidRDefault="00AA1E26" w:rsidP="00F71CE2">
      <w:pPr>
        <w:widowControl/>
        <w:jc w:val="left"/>
        <w:rPr>
          <w:rFonts w:eastAsia="仿宋" w:cs="Arial"/>
          <w:kern w:val="0"/>
        </w:rPr>
      </w:pPr>
      <w:r w:rsidRPr="00AA1E26">
        <w:rPr>
          <w:rFonts w:eastAsia="Calibri" w:cs="Arial"/>
          <w:kern w:val="0"/>
          <w:lang w:eastAsia="en-US"/>
        </w:rPr>
        <w:t>The first two of the above research streams are the focus of the study “</w:t>
      </w:r>
      <w:r w:rsidRPr="00AA1E26">
        <w:rPr>
          <w:rFonts w:eastAsia="Calibri" w:cs="Arial"/>
          <w:i/>
          <w:kern w:val="0"/>
          <w:lang w:eastAsia="en-US"/>
        </w:rPr>
        <w:t>Patents Role in Business Strategi</w:t>
      </w:r>
      <w:r w:rsidRPr="00AA1E26">
        <w:rPr>
          <w:rFonts w:eastAsia="MS Gothic" w:cs="Arial"/>
          <w:i/>
          <w:kern w:val="0"/>
          <w:lang w:eastAsia="en-US"/>
        </w:rPr>
        <w:t xml:space="preserve">es: </w:t>
      </w:r>
      <w:r w:rsidR="00F75D11">
        <w:rPr>
          <w:rFonts w:eastAsia="MS Gothic" w:cs="Arial"/>
          <w:i/>
          <w:kern w:val="0"/>
          <w:lang w:eastAsia="en-US"/>
        </w:rPr>
        <w:t xml:space="preserve"> </w:t>
      </w:r>
      <w:r w:rsidRPr="00AA1E26">
        <w:rPr>
          <w:rFonts w:eastAsia="Calibri" w:cs="Arial"/>
          <w:i/>
          <w:kern w:val="0"/>
          <w:lang w:eastAsia="en-US"/>
        </w:rPr>
        <w:t>Research on Chinese Companies’ Patenting Motives, Patent Implementation and Patent Industrialization</w:t>
      </w:r>
      <w:r w:rsidRPr="00AA1E26">
        <w:rPr>
          <w:rFonts w:eastAsia="Calibri" w:cs="Arial"/>
          <w:kern w:val="0"/>
          <w:lang w:eastAsia="en-US"/>
        </w:rPr>
        <w:t xml:space="preserve">” prepared by the Intellectual Property Development and Research Center, SIPO which has also </w:t>
      </w:r>
      <w:r w:rsidR="005918E6">
        <w:rPr>
          <w:rFonts w:eastAsia="Calibri" w:cs="Arial"/>
          <w:kern w:val="0"/>
          <w:lang w:eastAsia="en-US"/>
        </w:rPr>
        <w:t xml:space="preserve">been </w:t>
      </w:r>
      <w:r w:rsidRPr="00AA1E26">
        <w:rPr>
          <w:rFonts w:eastAsia="Calibri" w:cs="Arial"/>
          <w:kern w:val="0"/>
          <w:lang w:eastAsia="en-US"/>
        </w:rPr>
        <w:t xml:space="preserve">submitted to the </w:t>
      </w:r>
      <w:r w:rsidR="00F71CE2">
        <w:rPr>
          <w:rFonts w:eastAsia="Calibri" w:cs="Arial"/>
          <w:kern w:val="0"/>
          <w:lang w:eastAsia="en-US"/>
        </w:rPr>
        <w:t>Thirteenth</w:t>
      </w:r>
      <w:r w:rsidR="00F71CE2" w:rsidRPr="00AA1E26">
        <w:rPr>
          <w:rFonts w:eastAsia="Calibri" w:cs="Arial"/>
          <w:kern w:val="0"/>
          <w:lang w:eastAsia="en-US"/>
        </w:rPr>
        <w:t xml:space="preserve"> </w:t>
      </w:r>
      <w:r w:rsidRPr="00AA1E26">
        <w:rPr>
          <w:rFonts w:eastAsia="Calibri" w:cs="Arial"/>
          <w:kern w:val="0"/>
          <w:lang w:eastAsia="en-US"/>
        </w:rPr>
        <w:t xml:space="preserve">Session of the CDIP </w:t>
      </w:r>
      <w:r w:rsidRPr="003752D3">
        <w:rPr>
          <w:rFonts w:eastAsia="Calibri" w:cs="Arial"/>
          <w:kern w:val="0"/>
          <w:lang w:eastAsia="en-US"/>
        </w:rPr>
        <w:t>(</w:t>
      </w:r>
      <w:r w:rsidR="003752D3" w:rsidRPr="003752D3">
        <w:rPr>
          <w:rFonts w:cs="Arial"/>
        </w:rPr>
        <w:t>CDIP/13/INF/8</w:t>
      </w:r>
      <w:r w:rsidRPr="003752D3">
        <w:rPr>
          <w:rFonts w:eastAsia="Calibri" w:cs="Arial"/>
          <w:kern w:val="0"/>
          <w:lang w:eastAsia="en-US"/>
        </w:rPr>
        <w:t>).</w:t>
      </w:r>
      <w:r w:rsidRPr="00AA1E26">
        <w:rPr>
          <w:rFonts w:eastAsia="Calibri" w:cs="Arial"/>
          <w:kern w:val="0"/>
          <w:lang w:eastAsia="en-US"/>
        </w:rPr>
        <w:t xml:space="preserve"> </w:t>
      </w:r>
      <w:r w:rsidR="00F75D11">
        <w:rPr>
          <w:rFonts w:eastAsia="Calibri" w:cs="Arial"/>
          <w:kern w:val="0"/>
          <w:lang w:eastAsia="en-US"/>
        </w:rPr>
        <w:t xml:space="preserve"> </w:t>
      </w:r>
      <w:r w:rsidRPr="00AA1E26">
        <w:rPr>
          <w:rFonts w:eastAsia="仿宋" w:cs="Arial"/>
          <w:kern w:val="0"/>
        </w:rPr>
        <w:t xml:space="preserve">Based on the patent surveys in China from 2008 to 2012, this research examines the role patents play in Chinese companies’ business strategies and operations and attempts to identify the factors affecting patent application, implementation and industrialization.  </w:t>
      </w:r>
    </w:p>
    <w:p w:rsidR="00AA1E26" w:rsidRPr="00AA1E26" w:rsidRDefault="00AA1E26" w:rsidP="00F75D11">
      <w:pPr>
        <w:widowControl/>
        <w:jc w:val="left"/>
        <w:rPr>
          <w:rFonts w:eastAsia="仿宋" w:cs="Arial"/>
          <w:kern w:val="0"/>
        </w:rPr>
      </w:pPr>
    </w:p>
    <w:p w:rsidR="00AA1E26" w:rsidRDefault="00AA1E26" w:rsidP="00F75D11">
      <w:pPr>
        <w:widowControl/>
        <w:jc w:val="left"/>
        <w:rPr>
          <w:rFonts w:eastAsia="Calibri" w:cs="Arial"/>
          <w:kern w:val="0"/>
          <w:lang w:eastAsia="en-US"/>
        </w:rPr>
      </w:pPr>
      <w:r w:rsidRPr="00AA1E26">
        <w:rPr>
          <w:rFonts w:eastAsia="Calibri" w:cs="Arial"/>
          <w:kern w:val="0"/>
          <w:lang w:eastAsia="en-US"/>
        </w:rPr>
        <w:t xml:space="preserve">The third research stream is the focus of this underlying study by WIPO’s Economics and Statistics Division. </w:t>
      </w:r>
    </w:p>
    <w:p w:rsidR="00ED4881" w:rsidRDefault="00ED4881" w:rsidP="00F75D11">
      <w:pPr>
        <w:widowControl/>
        <w:jc w:val="left"/>
        <w:rPr>
          <w:rFonts w:eastAsia="Calibri" w:cs="Arial"/>
          <w:kern w:val="0"/>
          <w:lang w:eastAsia="en-US"/>
        </w:rPr>
      </w:pPr>
    </w:p>
    <w:p w:rsidR="00ED4881" w:rsidRPr="00AA1E26" w:rsidRDefault="00ED4881" w:rsidP="00F75D11">
      <w:pPr>
        <w:widowControl/>
        <w:jc w:val="left"/>
        <w:rPr>
          <w:rFonts w:eastAsia="Calibri" w:cs="Arial"/>
          <w:kern w:val="0"/>
          <w:lang w:eastAsia="en-US"/>
        </w:rPr>
      </w:pPr>
    </w:p>
    <w:p w:rsidR="00AA1E26" w:rsidRDefault="00AA1E26" w:rsidP="00F75D11">
      <w:pPr>
        <w:pStyle w:val="Heading2"/>
        <w:jc w:val="left"/>
        <w:rPr>
          <w:rFonts w:cs="Arial"/>
          <w:b/>
          <w:lang w:eastAsia="en-US"/>
        </w:rPr>
      </w:pPr>
      <w:r w:rsidRPr="00AA1E26">
        <w:rPr>
          <w:rFonts w:cs="Arial"/>
          <w:b/>
          <w:lang w:eastAsia="en-US"/>
        </w:rPr>
        <w:t>Objective of this study</w:t>
      </w:r>
    </w:p>
    <w:p w:rsidR="00ED4881" w:rsidRPr="00ED4881" w:rsidRDefault="00ED4881" w:rsidP="00ED4881">
      <w:pPr>
        <w:rPr>
          <w:lang w:eastAsia="en-US"/>
        </w:rPr>
      </w:pPr>
    </w:p>
    <w:p w:rsidR="00AA1E26" w:rsidRPr="00AA1E26" w:rsidRDefault="00AA1E26" w:rsidP="00F75D11">
      <w:pPr>
        <w:widowControl/>
        <w:jc w:val="left"/>
        <w:rPr>
          <w:rFonts w:cs="Arial"/>
        </w:rPr>
      </w:pPr>
      <w:r w:rsidRPr="00AA1E26">
        <w:rPr>
          <w:rFonts w:cs="Arial"/>
        </w:rPr>
        <w:t xml:space="preserve">While significant economic studies have been devoted to the rise of domestic patenting in China, this is the first study of its kinds focusing on Chinese patent filings across foreign IP offices. </w:t>
      </w:r>
    </w:p>
    <w:p w:rsidR="00AA1E26" w:rsidRPr="00AA1E26" w:rsidRDefault="00AA1E26" w:rsidP="00F75D11">
      <w:pPr>
        <w:widowControl/>
        <w:jc w:val="left"/>
        <w:rPr>
          <w:rFonts w:cs="Arial"/>
        </w:rPr>
      </w:pPr>
    </w:p>
    <w:p w:rsidR="00AA1E26" w:rsidRPr="00AA1E26" w:rsidRDefault="00AA1E26" w:rsidP="00F75D11">
      <w:pPr>
        <w:widowControl/>
        <w:jc w:val="left"/>
        <w:rPr>
          <w:rFonts w:cs="Arial"/>
        </w:rPr>
      </w:pPr>
      <w:r w:rsidRPr="00AA1E26">
        <w:rPr>
          <w:rFonts w:eastAsia="Calibri" w:cs="Arial"/>
          <w:kern w:val="0"/>
          <w:lang w:eastAsia="en-US"/>
        </w:rPr>
        <w:t xml:space="preserve">The objective of this study is to describe and analyze Chinese patenting abroad by using WIPO’s </w:t>
      </w:r>
      <w:r w:rsidRPr="00AA1E26">
        <w:rPr>
          <w:rFonts w:cs="Arial"/>
        </w:rPr>
        <w:t xml:space="preserve">foreign-oriented patent family dataset (see Box 1 for an explanation of patent families versus foreign-oriented patent families). </w:t>
      </w:r>
      <w:r w:rsidR="00F75D11">
        <w:rPr>
          <w:rFonts w:cs="Arial"/>
        </w:rPr>
        <w:t xml:space="preserve"> </w:t>
      </w:r>
      <w:r w:rsidRPr="00AA1E26">
        <w:rPr>
          <w:rFonts w:cs="Arial"/>
        </w:rPr>
        <w:t xml:space="preserve">It offers descriptive statistics and econometric evidence on the observed increase in Chinese foreign patenting and its drivers. </w:t>
      </w:r>
    </w:p>
    <w:p w:rsidR="00AA1E26" w:rsidRPr="00AA1E26" w:rsidRDefault="00AA1E26" w:rsidP="00F75D11">
      <w:pPr>
        <w:widowControl/>
        <w:jc w:val="left"/>
        <w:rPr>
          <w:rFonts w:cs="Arial"/>
        </w:rPr>
      </w:pPr>
    </w:p>
    <w:p w:rsidR="00AA1E26" w:rsidRDefault="00AA1E26" w:rsidP="00F75D11">
      <w:pPr>
        <w:widowControl/>
        <w:jc w:val="left"/>
        <w:rPr>
          <w:rFonts w:cs="Arial"/>
        </w:rPr>
      </w:pPr>
      <w:r w:rsidRPr="00AA1E26">
        <w:rPr>
          <w:rFonts w:cs="Arial"/>
        </w:rPr>
        <w:t xml:space="preserve">The study has </w:t>
      </w:r>
      <w:r w:rsidR="005918E6">
        <w:rPr>
          <w:rFonts w:cs="Arial"/>
        </w:rPr>
        <w:t>five</w:t>
      </w:r>
      <w:r w:rsidRPr="00AA1E26">
        <w:rPr>
          <w:rFonts w:cs="Arial"/>
        </w:rPr>
        <w:t xml:space="preserve"> parts uncovering the main trends of Chinese patent filings abroad, studying which foreign countries are mostly targeted, which applicants are most active, in which technology fields, and the role of the PCT in these patent filings abroad. </w:t>
      </w:r>
      <w:r w:rsidR="00F75D11">
        <w:rPr>
          <w:rFonts w:cs="Arial"/>
        </w:rPr>
        <w:t xml:space="preserve"> </w:t>
      </w:r>
      <w:r w:rsidRPr="00AA1E26">
        <w:rPr>
          <w:rFonts w:cs="Arial"/>
        </w:rPr>
        <w:t xml:space="preserve">A glossary </w:t>
      </w:r>
      <w:r w:rsidR="005918E6">
        <w:rPr>
          <w:rFonts w:cs="Arial"/>
        </w:rPr>
        <w:t>in A</w:t>
      </w:r>
      <w:r w:rsidR="0076375B">
        <w:rPr>
          <w:rFonts w:cs="Arial"/>
        </w:rPr>
        <w:t>ppendi</w:t>
      </w:r>
      <w:r w:rsidR="005918E6">
        <w:rPr>
          <w:rFonts w:cs="Arial"/>
        </w:rPr>
        <w:t>x</w:t>
      </w:r>
      <w:r w:rsidR="0076375B">
        <w:rPr>
          <w:rFonts w:cs="Arial"/>
        </w:rPr>
        <w:t> </w:t>
      </w:r>
      <w:r w:rsidR="005918E6">
        <w:rPr>
          <w:rFonts w:cs="Arial"/>
        </w:rPr>
        <w:t>3</w:t>
      </w:r>
      <w:r w:rsidRPr="00AA1E26">
        <w:rPr>
          <w:rFonts w:cs="Arial"/>
        </w:rPr>
        <w:t xml:space="preserve"> describes the main technical terms in use.</w:t>
      </w:r>
    </w:p>
    <w:p w:rsidR="00F75D11" w:rsidRDefault="00F75D11" w:rsidP="00FF7D62">
      <w:pPr>
        <w:widowControl/>
        <w:rPr>
          <w:rFonts w:cs="Arial"/>
        </w:rPr>
      </w:pPr>
    </w:p>
    <w:p w:rsidR="00ED4881" w:rsidRDefault="00ED4881" w:rsidP="00FF7D62">
      <w:pPr>
        <w:widowControl/>
        <w:rPr>
          <w:rFonts w:cs="Arial"/>
        </w:rPr>
      </w:pPr>
    </w:p>
    <w:p w:rsidR="00ED4881" w:rsidRDefault="00ED4881" w:rsidP="00FF7D62">
      <w:pPr>
        <w:widowControl/>
        <w:rPr>
          <w:rFonts w:cs="Arial"/>
        </w:rPr>
      </w:pPr>
    </w:p>
    <w:p w:rsidR="00ED4881" w:rsidRDefault="00ED4881" w:rsidP="00FF7D62">
      <w:pPr>
        <w:widowControl/>
        <w:rPr>
          <w:rFonts w:cs="Arial"/>
        </w:rPr>
      </w:pPr>
    </w:p>
    <w:p w:rsidR="00ED4881" w:rsidRDefault="00ED4881" w:rsidP="00FF7D62">
      <w:pPr>
        <w:widowControl/>
        <w:rPr>
          <w:rFonts w:cs="Arial"/>
        </w:rPr>
      </w:pPr>
    </w:p>
    <w:p w:rsidR="00ED4881" w:rsidRPr="00AA1E26" w:rsidRDefault="00ED4881" w:rsidP="00FF7D62">
      <w:pPr>
        <w:widowControl/>
        <w:rPr>
          <w:rFonts w:cs="Arial"/>
        </w:rPr>
      </w:pPr>
    </w:p>
    <w:p w:rsidR="00AA1E26" w:rsidRPr="00F75D11" w:rsidRDefault="00AA1E26" w:rsidP="00F75D11">
      <w:pPr>
        <w:keepNext/>
        <w:widowControl/>
        <w:contextualSpacing/>
        <w:jc w:val="left"/>
        <w:rPr>
          <w:rFonts w:eastAsiaTheme="minorHAnsi" w:cs="Arial"/>
          <w:b/>
          <w:bCs/>
          <w:color w:val="000000" w:themeColor="text1"/>
          <w:kern w:val="0"/>
          <w:lang w:eastAsia="en-US"/>
        </w:rPr>
      </w:pPr>
      <w:r w:rsidRPr="00F75D11">
        <w:rPr>
          <w:rFonts w:eastAsiaTheme="minorHAnsi" w:cs="Arial"/>
          <w:b/>
          <w:bCs/>
          <w:color w:val="000000" w:themeColor="text1"/>
          <w:kern w:val="0"/>
          <w:lang w:eastAsia="en-US"/>
        </w:rPr>
        <w:t>Box 1:</w:t>
      </w:r>
      <w:r w:rsidR="00F75D11">
        <w:rPr>
          <w:rFonts w:eastAsiaTheme="minorHAnsi" w:cs="Arial"/>
          <w:b/>
          <w:bCs/>
          <w:color w:val="000000" w:themeColor="text1"/>
          <w:kern w:val="0"/>
          <w:lang w:eastAsia="en-US"/>
        </w:rPr>
        <w:t xml:space="preserve"> </w:t>
      </w:r>
      <w:r w:rsidRPr="00F75D11">
        <w:rPr>
          <w:rFonts w:eastAsiaTheme="minorHAnsi" w:cs="Arial"/>
          <w:b/>
          <w:bCs/>
          <w:color w:val="000000" w:themeColor="text1"/>
          <w:kern w:val="0"/>
          <w:lang w:eastAsia="en-US"/>
        </w:rPr>
        <w:t xml:space="preserve"> Patent families explained</w:t>
      </w:r>
    </w:p>
    <w:p w:rsidR="00AA1E26" w:rsidRPr="00AA1E26" w:rsidRDefault="00AA1E26" w:rsidP="00F75D11">
      <w:pPr>
        <w:pBdr>
          <w:top w:val="single" w:sz="4" w:space="1" w:color="auto"/>
          <w:left w:val="single" w:sz="4" w:space="4" w:color="auto"/>
          <w:bottom w:val="single" w:sz="4" w:space="1" w:color="auto"/>
          <w:right w:val="single" w:sz="4" w:space="4" w:color="auto"/>
        </w:pBdr>
        <w:jc w:val="left"/>
        <w:rPr>
          <w:rFonts w:cs="Arial"/>
          <w:sz w:val="20"/>
          <w:szCs w:val="18"/>
        </w:rPr>
      </w:pPr>
      <w:r w:rsidRPr="00AA1E26">
        <w:rPr>
          <w:rFonts w:cs="Arial"/>
          <w:b/>
          <w:bCs/>
          <w:sz w:val="20"/>
          <w:szCs w:val="18"/>
        </w:rPr>
        <w:t xml:space="preserve">Patent family: </w:t>
      </w:r>
      <w:r w:rsidR="00F75D11">
        <w:rPr>
          <w:rFonts w:cs="Arial"/>
          <w:b/>
          <w:bCs/>
          <w:sz w:val="20"/>
          <w:szCs w:val="18"/>
        </w:rPr>
        <w:t xml:space="preserve"> </w:t>
      </w:r>
      <w:r w:rsidRPr="00AA1E26">
        <w:rPr>
          <w:rFonts w:cs="Arial"/>
          <w:sz w:val="20"/>
          <w:szCs w:val="18"/>
        </w:rPr>
        <w:t>A set of interrelated patent applications filed in one or more countries/jurisdictions to protect the same invention.</w:t>
      </w:r>
      <w:r w:rsidRPr="00AA1E26">
        <w:rPr>
          <w:rFonts w:cs="Arial"/>
          <w:sz w:val="24"/>
        </w:rPr>
        <w:t xml:space="preserve"> </w:t>
      </w:r>
      <w:r w:rsidR="00F75D11">
        <w:rPr>
          <w:rFonts w:cs="Arial"/>
          <w:sz w:val="24"/>
        </w:rPr>
        <w:t xml:space="preserve"> </w:t>
      </w:r>
      <w:r w:rsidRPr="00AA1E26">
        <w:rPr>
          <w:rFonts w:cs="Arial"/>
          <w:sz w:val="20"/>
          <w:szCs w:val="18"/>
        </w:rPr>
        <w:t>Applicants often file patent applications in multiple jurisdictions, thus resulting in some inventions being recorded more than once.</w:t>
      </w:r>
      <w:r w:rsidR="00F75D11">
        <w:rPr>
          <w:rFonts w:cs="Arial"/>
          <w:sz w:val="20"/>
          <w:szCs w:val="18"/>
        </w:rPr>
        <w:t xml:space="preserve"> </w:t>
      </w:r>
      <w:r w:rsidRPr="00AA1E26">
        <w:rPr>
          <w:rFonts w:cs="Arial"/>
          <w:sz w:val="20"/>
          <w:szCs w:val="18"/>
        </w:rPr>
        <w:t xml:space="preserve"> In order to take this factor into account, WIPO has developed indicators related to so-called patent families, which are defined as a set of patent applications interlinked by – or by a combination of – priority claim, PCT national phase entry, continuation, continuation-in-part, internal priority, addition or division. In this publication, patent families include both families associated with patent applications for inventions and patent families associated with utility model applications.</w:t>
      </w:r>
    </w:p>
    <w:p w:rsidR="00AA1E26" w:rsidRPr="00AA1E26" w:rsidRDefault="00AA1E26" w:rsidP="00F75D11">
      <w:pPr>
        <w:pBdr>
          <w:top w:val="single" w:sz="4" w:space="1" w:color="auto"/>
          <w:left w:val="single" w:sz="4" w:space="4" w:color="auto"/>
          <w:bottom w:val="single" w:sz="4" w:space="1" w:color="auto"/>
          <w:right w:val="single" w:sz="4" w:space="4" w:color="auto"/>
        </w:pBdr>
        <w:jc w:val="left"/>
        <w:rPr>
          <w:rFonts w:cs="Arial"/>
          <w:b/>
          <w:bCs/>
          <w:sz w:val="20"/>
          <w:szCs w:val="18"/>
        </w:rPr>
      </w:pPr>
    </w:p>
    <w:p w:rsidR="00FC2C3C" w:rsidRPr="00AA1E26" w:rsidRDefault="00AA1E26" w:rsidP="00F75D11">
      <w:pPr>
        <w:pBdr>
          <w:top w:val="single" w:sz="4" w:space="1" w:color="auto"/>
          <w:left w:val="single" w:sz="4" w:space="4" w:color="auto"/>
          <w:bottom w:val="single" w:sz="4" w:space="1" w:color="auto"/>
          <w:right w:val="single" w:sz="4" w:space="4" w:color="auto"/>
        </w:pBdr>
        <w:jc w:val="left"/>
        <w:rPr>
          <w:rFonts w:cs="Arial"/>
          <w:sz w:val="20"/>
          <w:szCs w:val="18"/>
        </w:rPr>
      </w:pPr>
      <w:r w:rsidRPr="00AA1E26">
        <w:rPr>
          <w:rFonts w:cs="Arial"/>
          <w:b/>
          <w:bCs/>
          <w:sz w:val="20"/>
          <w:szCs w:val="18"/>
        </w:rPr>
        <w:t>Foreign-oriented patent families:</w:t>
      </w:r>
      <w:r w:rsidRPr="00AA1E26">
        <w:rPr>
          <w:rFonts w:cs="Arial"/>
          <w:bCs/>
          <w:sz w:val="20"/>
          <w:szCs w:val="18"/>
        </w:rPr>
        <w:t xml:space="preserve"> </w:t>
      </w:r>
      <w:r w:rsidR="00F75D11">
        <w:rPr>
          <w:rFonts w:cs="Arial"/>
          <w:bCs/>
          <w:sz w:val="20"/>
          <w:szCs w:val="18"/>
        </w:rPr>
        <w:t xml:space="preserve"> </w:t>
      </w:r>
      <w:r w:rsidR="00FC2C3C" w:rsidRPr="00AA1E26">
        <w:rPr>
          <w:rFonts w:cs="Arial"/>
          <w:sz w:val="20"/>
          <w:szCs w:val="18"/>
        </w:rPr>
        <w:t>This is a special subset of patent families having at least one filing office that is different from the applicant’s origin.</w:t>
      </w:r>
      <w:r w:rsidR="00F75D11">
        <w:rPr>
          <w:rFonts w:cs="Arial"/>
          <w:sz w:val="20"/>
          <w:szCs w:val="18"/>
        </w:rPr>
        <w:t xml:space="preserve"> </w:t>
      </w:r>
      <w:r w:rsidR="00FC2C3C" w:rsidRPr="00AA1E26">
        <w:rPr>
          <w:rFonts w:cs="Arial"/>
          <w:sz w:val="20"/>
          <w:szCs w:val="18"/>
        </w:rPr>
        <w:t xml:space="preserve"> Some foreign-related patent families include only one filing office, as applicants may choose to file directly with a foreign office.</w:t>
      </w:r>
      <w:r w:rsidR="00F75D11">
        <w:rPr>
          <w:rFonts w:cs="Arial"/>
          <w:sz w:val="20"/>
          <w:szCs w:val="18"/>
        </w:rPr>
        <w:t xml:space="preserve"> </w:t>
      </w:r>
      <w:r w:rsidR="00FC2C3C" w:rsidRPr="00AA1E26">
        <w:rPr>
          <w:rFonts w:cs="Arial"/>
          <w:sz w:val="20"/>
          <w:szCs w:val="18"/>
        </w:rPr>
        <w:t xml:space="preserve"> For example, if a Chinese applicant files a patent application directly with the USPTO (without previously filing with the SIPO), that application, and applications filed subsequently with the USPTO, form a foreign-oriented patent family.</w:t>
      </w:r>
      <w:r w:rsidR="00F75D11">
        <w:rPr>
          <w:rFonts w:cs="Arial"/>
          <w:sz w:val="20"/>
          <w:szCs w:val="18"/>
        </w:rPr>
        <w:t xml:space="preserve"> </w:t>
      </w:r>
      <w:r w:rsidR="00FC2C3C" w:rsidRPr="00AA1E26">
        <w:rPr>
          <w:rFonts w:cs="Arial"/>
          <w:sz w:val="20"/>
          <w:szCs w:val="18"/>
        </w:rPr>
        <w:t xml:space="preserve"> By contrast, domestic patent families are patent families that have only one filing office that is the same as the first-named applicant’s country of origin.</w:t>
      </w:r>
    </w:p>
    <w:p w:rsidR="00AA1E26" w:rsidRPr="00AA1E26" w:rsidRDefault="00AA1E26" w:rsidP="00F75D11">
      <w:pPr>
        <w:pBdr>
          <w:top w:val="single" w:sz="4" w:space="1" w:color="auto"/>
          <w:left w:val="single" w:sz="4" w:space="4" w:color="auto"/>
          <w:bottom w:val="single" w:sz="4" w:space="1" w:color="auto"/>
          <w:right w:val="single" w:sz="4" w:space="4" w:color="auto"/>
        </w:pBdr>
        <w:jc w:val="left"/>
        <w:rPr>
          <w:rFonts w:cs="Arial"/>
          <w:b/>
          <w:bCs/>
          <w:sz w:val="20"/>
          <w:szCs w:val="18"/>
        </w:rPr>
      </w:pPr>
      <w:r w:rsidRPr="00AA1E26">
        <w:rPr>
          <w:rFonts w:cs="Arial"/>
          <w:sz w:val="20"/>
          <w:szCs w:val="18"/>
        </w:rPr>
        <w:t>Source: WIPO (2013).</w:t>
      </w:r>
      <w:r w:rsidR="00F75D11">
        <w:rPr>
          <w:rFonts w:cs="Arial"/>
          <w:sz w:val="20"/>
          <w:szCs w:val="18"/>
        </w:rPr>
        <w:t xml:space="preserve"> </w:t>
      </w:r>
      <w:r w:rsidRPr="00AA1E26">
        <w:rPr>
          <w:rFonts w:cs="Arial"/>
          <w:sz w:val="20"/>
          <w:szCs w:val="18"/>
        </w:rPr>
        <w:t xml:space="preserve"> See also the Glossary</w:t>
      </w:r>
      <w:r w:rsidR="0076375B">
        <w:rPr>
          <w:rFonts w:cs="Arial"/>
          <w:sz w:val="20"/>
          <w:szCs w:val="18"/>
        </w:rPr>
        <w:t xml:space="preserve"> in Appendix</w:t>
      </w:r>
      <w:r w:rsidR="002A73F8">
        <w:rPr>
          <w:rFonts w:cs="Arial"/>
          <w:sz w:val="20"/>
          <w:szCs w:val="18"/>
        </w:rPr>
        <w:t xml:space="preserve"> 3</w:t>
      </w:r>
      <w:r w:rsidRPr="00AA1E26">
        <w:rPr>
          <w:rFonts w:cs="Arial"/>
          <w:sz w:val="20"/>
          <w:szCs w:val="18"/>
        </w:rPr>
        <w:t>.</w:t>
      </w:r>
    </w:p>
    <w:p w:rsidR="00AA1E26" w:rsidRPr="00AA1E26" w:rsidRDefault="00AA1E26" w:rsidP="00AA1E26">
      <w:pPr>
        <w:rPr>
          <w:rFonts w:cs="Arial"/>
        </w:rPr>
      </w:pPr>
    </w:p>
    <w:p w:rsidR="009E4D75" w:rsidRDefault="0090045E" w:rsidP="00DE3ECB">
      <w:pPr>
        <w:jc w:val="left"/>
        <w:rPr>
          <w:rFonts w:cs="Arial"/>
        </w:rPr>
      </w:pPr>
      <w:r>
        <w:rPr>
          <w:rFonts w:eastAsia="Calibri" w:cs="Arial"/>
          <w:kern w:val="0"/>
          <w:lang w:eastAsia="en-US"/>
        </w:rPr>
        <w:t>This study</w:t>
      </w:r>
      <w:r w:rsidR="00C76202">
        <w:rPr>
          <w:rFonts w:eastAsia="Calibri" w:cs="Arial"/>
          <w:kern w:val="0"/>
          <w:lang w:eastAsia="en-US"/>
        </w:rPr>
        <w:t xml:space="preserve"> has been prepared by the WIPO Secretariat </w:t>
      </w:r>
      <w:r w:rsidR="00AA1E26" w:rsidRPr="00AA1E26">
        <w:rPr>
          <w:rFonts w:eastAsia="Calibri" w:cs="Arial"/>
          <w:kern w:val="0"/>
          <w:lang w:eastAsia="en-US"/>
        </w:rPr>
        <w:t>in close coordination with SIPO</w:t>
      </w:r>
      <w:r w:rsidR="00C76202">
        <w:rPr>
          <w:rFonts w:eastAsia="Calibri" w:cs="Arial"/>
          <w:kern w:val="0"/>
          <w:lang w:eastAsia="en-US"/>
        </w:rPr>
        <w:t xml:space="preserve">. </w:t>
      </w:r>
      <w:r w:rsidR="00DE3ECB">
        <w:rPr>
          <w:rFonts w:eastAsia="Calibri" w:cs="Arial"/>
          <w:kern w:val="0"/>
          <w:lang w:eastAsia="en-US"/>
        </w:rPr>
        <w:t xml:space="preserve"> </w:t>
      </w:r>
      <w:r w:rsidR="00C76202" w:rsidRPr="00C76202">
        <w:rPr>
          <w:rFonts w:eastAsia="Calibri" w:cs="Arial"/>
          <w:kern w:val="0"/>
          <w:lang w:eastAsia="en-US"/>
        </w:rPr>
        <w:t xml:space="preserve">The study has </w:t>
      </w:r>
      <w:r w:rsidR="00C76202">
        <w:rPr>
          <w:rFonts w:eastAsia="Calibri" w:cs="Arial"/>
          <w:kern w:val="0"/>
          <w:lang w:eastAsia="en-US"/>
        </w:rPr>
        <w:t xml:space="preserve">been </w:t>
      </w:r>
      <w:r w:rsidR="00AA1E26" w:rsidRPr="00AA1E26">
        <w:rPr>
          <w:rFonts w:eastAsia="Calibri" w:cs="Arial"/>
          <w:kern w:val="0"/>
          <w:lang w:eastAsia="en-US"/>
        </w:rPr>
        <w:t xml:space="preserve">discussed by experts at two workshops. </w:t>
      </w:r>
      <w:r w:rsidR="00DE3ECB">
        <w:rPr>
          <w:rFonts w:eastAsia="Calibri" w:cs="Arial"/>
          <w:kern w:val="0"/>
          <w:lang w:eastAsia="en-US"/>
        </w:rPr>
        <w:t xml:space="preserve"> </w:t>
      </w:r>
      <w:r w:rsidR="00AA1E26" w:rsidRPr="00AA1E26">
        <w:rPr>
          <w:rFonts w:eastAsia="Calibri" w:cs="Arial"/>
          <w:kern w:val="0"/>
          <w:lang w:eastAsia="en-US"/>
        </w:rPr>
        <w:t xml:space="preserve">First, </w:t>
      </w:r>
      <w:r w:rsidR="00AA1E26" w:rsidRPr="00AA1E26">
        <w:rPr>
          <w:rFonts w:cs="Arial"/>
        </w:rPr>
        <w:t xml:space="preserve">the participants in the WIPO </w:t>
      </w:r>
      <w:r>
        <w:rPr>
          <w:rFonts w:cs="Arial"/>
        </w:rPr>
        <w:t>“</w:t>
      </w:r>
      <w:r w:rsidR="00AA1E26" w:rsidRPr="00AA1E26">
        <w:rPr>
          <w:rFonts w:cs="Arial"/>
        </w:rPr>
        <w:t>Experts’ Meeting on Intellectual Property and Socio-Economic Development</w:t>
      </w:r>
      <w:r>
        <w:rPr>
          <w:rFonts w:cs="Arial"/>
        </w:rPr>
        <w:t>”</w:t>
      </w:r>
      <w:r w:rsidR="00AA1E26" w:rsidRPr="00AA1E26">
        <w:rPr>
          <w:rFonts w:cs="Arial"/>
        </w:rPr>
        <w:t xml:space="preserve">, December 3 </w:t>
      </w:r>
      <w:r w:rsidR="007E4145">
        <w:rPr>
          <w:rFonts w:cs="Arial"/>
        </w:rPr>
        <w:br/>
      </w:r>
      <w:r w:rsidR="00AA1E26" w:rsidRPr="00AA1E26">
        <w:rPr>
          <w:rFonts w:cs="Arial"/>
        </w:rPr>
        <w:t xml:space="preserve">and 4, 2013 provided feedback on a previous draft of the study. </w:t>
      </w:r>
    </w:p>
    <w:p w:rsidR="009E4D75" w:rsidRDefault="009E4D75" w:rsidP="00DE3ECB">
      <w:pPr>
        <w:jc w:val="left"/>
        <w:rPr>
          <w:rFonts w:cs="Arial"/>
        </w:rPr>
      </w:pPr>
    </w:p>
    <w:p w:rsidR="00D54D5D" w:rsidRDefault="00AA1E26" w:rsidP="00DE3ECB">
      <w:pPr>
        <w:jc w:val="left"/>
        <w:rPr>
          <w:rFonts w:eastAsia="Calibri" w:cs="Arial"/>
          <w:kern w:val="0"/>
          <w:lang w:eastAsia="en-US"/>
        </w:rPr>
      </w:pPr>
      <w:r w:rsidRPr="00AA1E26">
        <w:rPr>
          <w:rFonts w:cs="Arial"/>
        </w:rPr>
        <w:t xml:space="preserve">Second, </w:t>
      </w:r>
      <w:r w:rsidRPr="00AA1E26">
        <w:rPr>
          <w:rFonts w:eastAsia="Calibri" w:cs="Arial"/>
          <w:kern w:val="0"/>
          <w:lang w:eastAsia="en-US"/>
        </w:rPr>
        <w:t xml:space="preserve">an “Experts’ Meeting on Intellectual Property and Socio-Economic Development” jointly organized by WIPO and SIPO has been organized </w:t>
      </w:r>
      <w:r w:rsidR="009E4D75">
        <w:rPr>
          <w:rFonts w:eastAsia="Calibri" w:cs="Arial"/>
          <w:kern w:val="0"/>
          <w:lang w:eastAsia="en-US"/>
        </w:rPr>
        <w:t xml:space="preserve">in Beijing </w:t>
      </w:r>
      <w:r w:rsidRPr="00AA1E26">
        <w:rPr>
          <w:rFonts w:eastAsia="Calibri" w:cs="Arial"/>
          <w:kern w:val="0"/>
          <w:lang w:eastAsia="en-US"/>
        </w:rPr>
        <w:t xml:space="preserve">on March 25, 2014 to present the findings of this study in China to the relevant stakeholders and to obtain </w:t>
      </w:r>
      <w:r w:rsidR="0090045E">
        <w:rPr>
          <w:rFonts w:eastAsia="Calibri" w:cs="Arial"/>
          <w:kern w:val="0"/>
          <w:lang w:eastAsia="en-US"/>
        </w:rPr>
        <w:t xml:space="preserve">further </w:t>
      </w:r>
      <w:r w:rsidRPr="00AA1E26">
        <w:rPr>
          <w:rFonts w:eastAsia="Calibri" w:cs="Arial"/>
          <w:kern w:val="0"/>
          <w:lang w:eastAsia="en-US"/>
        </w:rPr>
        <w:t>feedback on the study’s preliminary findings</w:t>
      </w:r>
      <w:r w:rsidR="00D54D5D">
        <w:rPr>
          <w:rFonts w:eastAsia="Calibri" w:cs="Arial"/>
          <w:kern w:val="0"/>
          <w:lang w:eastAsia="en-US"/>
        </w:rPr>
        <w:t xml:space="preserve"> (see </w:t>
      </w:r>
      <w:r w:rsidR="0076375B">
        <w:rPr>
          <w:rFonts w:cs="Arial"/>
          <w:sz w:val="20"/>
          <w:szCs w:val="18"/>
        </w:rPr>
        <w:t>Appendix</w:t>
      </w:r>
      <w:r w:rsidR="00D54D5D">
        <w:rPr>
          <w:rFonts w:eastAsia="Calibri" w:cs="Arial"/>
          <w:kern w:val="0"/>
          <w:lang w:eastAsia="en-US"/>
        </w:rPr>
        <w:t xml:space="preserve"> 1 for the workshop agenda)</w:t>
      </w:r>
      <w:r w:rsidRPr="00AA1E26">
        <w:rPr>
          <w:rFonts w:eastAsia="Calibri" w:cs="Arial"/>
          <w:kern w:val="0"/>
          <w:lang w:eastAsia="en-US"/>
        </w:rPr>
        <w:t>.</w:t>
      </w:r>
      <w:r w:rsidRPr="00AA1E26">
        <w:rPr>
          <w:rStyle w:val="FootnoteReference"/>
          <w:rFonts w:eastAsia="Calibri" w:cs="Arial"/>
          <w:kern w:val="0"/>
          <w:lang w:eastAsia="en-US"/>
        </w:rPr>
        <w:footnoteReference w:id="3"/>
      </w:r>
      <w:r w:rsidRPr="00AA1E26">
        <w:rPr>
          <w:rFonts w:eastAsia="Calibri" w:cs="Arial"/>
          <w:kern w:val="0"/>
          <w:lang w:eastAsia="en-US"/>
        </w:rPr>
        <w:t xml:space="preserve">  </w:t>
      </w:r>
    </w:p>
    <w:p w:rsidR="00D54D5D" w:rsidRDefault="00D54D5D" w:rsidP="00DE3ECB">
      <w:pPr>
        <w:jc w:val="left"/>
        <w:rPr>
          <w:rFonts w:eastAsia="Calibri" w:cs="Arial"/>
          <w:kern w:val="0"/>
          <w:lang w:eastAsia="en-US"/>
        </w:rPr>
      </w:pPr>
    </w:p>
    <w:p w:rsidR="00AA1E26" w:rsidRDefault="00AA1E26" w:rsidP="00DE3ECB">
      <w:pPr>
        <w:jc w:val="left"/>
        <w:rPr>
          <w:rFonts w:eastAsia="Calibri" w:cs="Arial"/>
          <w:kern w:val="0"/>
          <w:lang w:eastAsia="en-US"/>
        </w:rPr>
      </w:pPr>
      <w:r w:rsidRPr="00AA1E26">
        <w:rPr>
          <w:rFonts w:eastAsia="Calibri" w:cs="Arial"/>
          <w:kern w:val="0"/>
          <w:lang w:eastAsia="en-US"/>
        </w:rPr>
        <w:t xml:space="preserve">In addition, </w:t>
      </w:r>
      <w:r w:rsidR="009E4D75">
        <w:rPr>
          <w:rFonts w:eastAsia="Calibri" w:cs="Arial"/>
          <w:kern w:val="0"/>
          <w:lang w:eastAsia="en-US"/>
        </w:rPr>
        <w:t xml:space="preserve">in the context of </w:t>
      </w:r>
      <w:r w:rsidR="0090045E">
        <w:rPr>
          <w:rFonts w:eastAsia="Calibri" w:cs="Arial"/>
          <w:kern w:val="0"/>
          <w:lang w:eastAsia="en-US"/>
        </w:rPr>
        <w:t>this</w:t>
      </w:r>
      <w:r w:rsidR="009E4D75">
        <w:rPr>
          <w:rFonts w:eastAsia="Calibri" w:cs="Arial"/>
          <w:kern w:val="0"/>
          <w:lang w:eastAsia="en-US"/>
        </w:rPr>
        <w:t xml:space="preserve"> mission to China, </w:t>
      </w:r>
      <w:r w:rsidRPr="00AA1E26">
        <w:rPr>
          <w:rFonts w:eastAsia="Calibri" w:cs="Arial"/>
          <w:kern w:val="0"/>
          <w:lang w:eastAsia="en-US"/>
        </w:rPr>
        <w:t xml:space="preserve">meetings with Chinese IP-intensive firms in Shenzhen (China) took place to further deepen the analysis proposed in this study.  </w:t>
      </w:r>
      <w:r w:rsidR="00707947" w:rsidRPr="00707947">
        <w:rPr>
          <w:rFonts w:eastAsia="Calibri" w:cs="Arial"/>
          <w:kern w:val="0"/>
          <w:lang w:eastAsia="en-US"/>
        </w:rPr>
        <w:t xml:space="preserve">By the help of a structured interview guide on international IP filing strategies, useful data and information could be garnered to validate and further deepen the analysis proposed in the WIPO study.  </w:t>
      </w:r>
      <w:r w:rsidRPr="00AA1E26">
        <w:rPr>
          <w:rFonts w:eastAsia="Calibri" w:cs="Arial"/>
          <w:kern w:val="0"/>
          <w:lang w:eastAsia="en-US"/>
        </w:rPr>
        <w:t>The results of these company visits and the data they generated will inform a future version of this study.</w:t>
      </w:r>
    </w:p>
    <w:p w:rsidR="00A21FDA" w:rsidRPr="00707947" w:rsidRDefault="00A21FDA" w:rsidP="00DE3ECB">
      <w:pPr>
        <w:jc w:val="left"/>
        <w:rPr>
          <w:rFonts w:cs="Arial"/>
        </w:rPr>
      </w:pPr>
    </w:p>
    <w:p w:rsidR="00AA1E26" w:rsidRDefault="00AA1E26" w:rsidP="00A21FDA">
      <w:pPr>
        <w:pStyle w:val="Heading2"/>
        <w:spacing w:before="0" w:after="0"/>
        <w:jc w:val="left"/>
        <w:rPr>
          <w:rFonts w:cs="Arial"/>
          <w:b/>
          <w:lang w:eastAsia="en-US"/>
        </w:rPr>
      </w:pPr>
      <w:r w:rsidRPr="00AA1E26">
        <w:rPr>
          <w:rFonts w:cs="Arial"/>
          <w:b/>
          <w:lang w:eastAsia="en-US"/>
        </w:rPr>
        <w:t>Methodology</w:t>
      </w:r>
    </w:p>
    <w:p w:rsidR="00A21FDA" w:rsidRPr="00A21FDA" w:rsidRDefault="00A21FDA" w:rsidP="00A21FDA">
      <w:pPr>
        <w:rPr>
          <w:lang w:eastAsia="en-US"/>
        </w:rPr>
      </w:pPr>
    </w:p>
    <w:p w:rsidR="0037252B" w:rsidRDefault="00AA1E26" w:rsidP="00A21FDA">
      <w:pPr>
        <w:jc w:val="left"/>
        <w:rPr>
          <w:rFonts w:cs="Arial"/>
        </w:rPr>
      </w:pPr>
      <w:r w:rsidRPr="00AA1E26">
        <w:rPr>
          <w:rFonts w:cs="Arial"/>
        </w:rPr>
        <w:t xml:space="preserve">The international patenting behavior in China is analyzed by the construction and use of a dataset of foreign-oriented patent families by Chinese residents based on the WIPO </w:t>
      </w:r>
      <w:r w:rsidR="0090045E">
        <w:rPr>
          <w:rFonts w:cs="Arial"/>
        </w:rPr>
        <w:t xml:space="preserve">IP </w:t>
      </w:r>
      <w:r w:rsidRPr="00AA1E26">
        <w:rPr>
          <w:rFonts w:cs="Arial"/>
        </w:rPr>
        <w:t xml:space="preserve">Statistics Database and the PATSTAT database (April 2013 edition). </w:t>
      </w:r>
      <w:r w:rsidR="00A21FDA">
        <w:rPr>
          <w:rFonts w:cs="Arial"/>
        </w:rPr>
        <w:t xml:space="preserve"> </w:t>
      </w:r>
      <w:r w:rsidRPr="00AA1E26">
        <w:rPr>
          <w:rFonts w:cs="Arial"/>
        </w:rPr>
        <w:t>Unpublished pat</w:t>
      </w:r>
      <w:r w:rsidR="0037252B">
        <w:rPr>
          <w:rFonts w:cs="Arial"/>
        </w:rPr>
        <w:t xml:space="preserve">ent applications, </w:t>
      </w:r>
      <w:r w:rsidRPr="0037252B">
        <w:rPr>
          <w:rFonts w:cs="Arial"/>
          <w:i/>
        </w:rPr>
        <w:t>e.g.</w:t>
      </w:r>
      <w:r w:rsidRPr="00AA1E26">
        <w:rPr>
          <w:rFonts w:cs="Arial"/>
        </w:rPr>
        <w:t>, patent applicatio</w:t>
      </w:r>
      <w:r w:rsidR="0037252B">
        <w:rPr>
          <w:rFonts w:cs="Arial"/>
        </w:rPr>
        <w:t>ns withdrawn before publication,</w:t>
      </w:r>
      <w:r w:rsidRPr="00AA1E26">
        <w:rPr>
          <w:rFonts w:cs="Arial"/>
        </w:rPr>
        <w:t xml:space="preserve"> and provisional applications are not included in the patent family count. </w:t>
      </w:r>
      <w:r w:rsidR="00A21FDA">
        <w:rPr>
          <w:rFonts w:cs="Arial"/>
        </w:rPr>
        <w:t xml:space="preserve"> </w:t>
      </w:r>
      <w:r w:rsidRPr="00AA1E26">
        <w:rPr>
          <w:rFonts w:cs="Arial"/>
        </w:rPr>
        <w:t xml:space="preserve">The dataset includes only “foreign-oriented” patent families with at least one patent application outside of SIPO within a family. </w:t>
      </w:r>
    </w:p>
    <w:p w:rsidR="0037252B" w:rsidRDefault="0037252B" w:rsidP="00A21FDA">
      <w:pPr>
        <w:jc w:val="left"/>
        <w:rPr>
          <w:rFonts w:cs="Arial"/>
        </w:rPr>
      </w:pPr>
    </w:p>
    <w:p w:rsidR="00AA1E26" w:rsidRPr="00AA1E26" w:rsidRDefault="00AA1E26" w:rsidP="00E86EA4">
      <w:pPr>
        <w:jc w:val="left"/>
        <w:rPr>
          <w:rFonts w:cs="Arial"/>
        </w:rPr>
      </w:pPr>
      <w:r w:rsidRPr="00AA1E26">
        <w:rPr>
          <w:rFonts w:cs="Arial"/>
        </w:rPr>
        <w:t xml:space="preserve">In addition </w:t>
      </w:r>
      <w:r w:rsidR="0037252B">
        <w:rPr>
          <w:rFonts w:cs="Arial"/>
        </w:rPr>
        <w:t>the database</w:t>
      </w:r>
      <w:r w:rsidRPr="00AA1E26">
        <w:rPr>
          <w:rFonts w:cs="Arial"/>
        </w:rPr>
        <w:t xml:space="preserve"> has the following features: (</w:t>
      </w:r>
      <w:proofErr w:type="spellStart"/>
      <w:r w:rsidR="00E86EA4">
        <w:rPr>
          <w:rFonts w:cs="Arial"/>
        </w:rPr>
        <w:t>i</w:t>
      </w:r>
      <w:proofErr w:type="spellEnd"/>
      <w:r w:rsidRPr="00AA1E26">
        <w:rPr>
          <w:rFonts w:cs="Arial"/>
        </w:rPr>
        <w:t xml:space="preserve">) each “first-filed” patent application forms a patent family; all subsequent </w:t>
      </w:r>
      <w:proofErr w:type="gramStart"/>
      <w:r w:rsidRPr="00AA1E26">
        <w:rPr>
          <w:rFonts w:cs="Arial"/>
        </w:rPr>
        <w:t>patent</w:t>
      </w:r>
      <w:proofErr w:type="gramEnd"/>
      <w:r w:rsidRPr="00AA1E26">
        <w:rPr>
          <w:rFonts w:cs="Arial"/>
        </w:rPr>
        <w:t xml:space="preserve"> fi</w:t>
      </w:r>
      <w:r w:rsidR="0037252B">
        <w:rPr>
          <w:rFonts w:cs="Arial"/>
        </w:rPr>
        <w:t xml:space="preserve">lling are added to that family, and </w:t>
      </w:r>
      <w:r w:rsidRPr="00AA1E26">
        <w:rPr>
          <w:rFonts w:cs="Arial"/>
        </w:rPr>
        <w:t>(</w:t>
      </w:r>
      <w:r w:rsidR="00E86EA4">
        <w:rPr>
          <w:rFonts w:cs="Arial"/>
        </w:rPr>
        <w:t>ii</w:t>
      </w:r>
      <w:r w:rsidRPr="00AA1E26">
        <w:rPr>
          <w:rFonts w:cs="Arial"/>
        </w:rPr>
        <w:t xml:space="preserve">) one patent application may belong to more than one patent family due to the existence of multiple priority claims. </w:t>
      </w:r>
      <w:r w:rsidR="00A21FDA">
        <w:rPr>
          <w:rFonts w:cs="Arial"/>
        </w:rPr>
        <w:t xml:space="preserve"> </w:t>
      </w:r>
      <w:r w:rsidR="0037252B">
        <w:rPr>
          <w:rFonts w:cs="Arial"/>
        </w:rPr>
        <w:t xml:space="preserve">Moreover, </w:t>
      </w:r>
      <w:r w:rsidRPr="00AA1E26">
        <w:rPr>
          <w:rFonts w:cs="Arial"/>
        </w:rPr>
        <w:t>PCT international filings are excluded, as they represent merely an interim step to secure protection abroad.</w:t>
      </w:r>
      <w:r w:rsidR="00A21FDA">
        <w:rPr>
          <w:rFonts w:cs="Arial"/>
        </w:rPr>
        <w:t xml:space="preserve"> </w:t>
      </w:r>
      <w:r w:rsidRPr="00AA1E26">
        <w:rPr>
          <w:rFonts w:cs="Arial"/>
        </w:rPr>
        <w:t xml:space="preserve"> Names of the first applicants are cleaned and harmonized to be able to group patent families under a specific name.</w:t>
      </w:r>
      <w:r w:rsidR="00A21FDA">
        <w:rPr>
          <w:rFonts w:cs="Arial"/>
        </w:rPr>
        <w:t xml:space="preserve"> </w:t>
      </w:r>
      <w:r w:rsidRPr="00AA1E26">
        <w:rPr>
          <w:rFonts w:cs="Arial"/>
        </w:rPr>
        <w:t xml:space="preserve"> Unique patent applicants are identified among companies, universities and research institutes, but not among individuals due to </w:t>
      </w:r>
      <w:r w:rsidR="00785641">
        <w:rPr>
          <w:rFonts w:cs="Arial"/>
        </w:rPr>
        <w:t xml:space="preserve">the </w:t>
      </w:r>
      <w:r w:rsidRPr="00AA1E26">
        <w:rPr>
          <w:rFonts w:cs="Arial"/>
        </w:rPr>
        <w:t>prevalence of identical names among individual applicants.</w:t>
      </w:r>
      <w:r w:rsidR="00A21FDA">
        <w:rPr>
          <w:rFonts w:cs="Arial"/>
        </w:rPr>
        <w:t xml:space="preserve"> </w:t>
      </w:r>
      <w:r w:rsidRPr="00AA1E26">
        <w:rPr>
          <w:rFonts w:cs="Arial"/>
        </w:rPr>
        <w:t xml:space="preserve"> Finally, applications are grouped by WIPO’s </w:t>
      </w:r>
      <w:r w:rsidR="00785641" w:rsidRPr="00785641">
        <w:rPr>
          <w:rFonts w:cs="Arial"/>
        </w:rPr>
        <w:t>International Patent Classification (IPC</w:t>
      </w:r>
      <w:r w:rsidR="00785641">
        <w:rPr>
          <w:rFonts w:cs="Arial"/>
        </w:rPr>
        <w:t>)</w:t>
      </w:r>
      <w:r w:rsidRPr="00AA1E26">
        <w:rPr>
          <w:rFonts w:cs="Arial"/>
        </w:rPr>
        <w:t>-technology concordance</w:t>
      </w:r>
      <w:r w:rsidR="00785641">
        <w:rPr>
          <w:rFonts w:cs="Arial"/>
        </w:rPr>
        <w:t xml:space="preserve"> (see part 4 for more details)</w:t>
      </w:r>
      <w:r w:rsidRPr="00AA1E26">
        <w:rPr>
          <w:rFonts w:cs="Arial"/>
        </w:rPr>
        <w:t xml:space="preserve">. </w:t>
      </w:r>
    </w:p>
    <w:p w:rsidR="00AA1E26" w:rsidRPr="00AA1E26" w:rsidRDefault="00AA1E26" w:rsidP="00A21FDA">
      <w:pPr>
        <w:jc w:val="left"/>
        <w:rPr>
          <w:rFonts w:cs="Arial"/>
        </w:rPr>
      </w:pPr>
    </w:p>
    <w:p w:rsidR="00AA1E26" w:rsidRDefault="00AA1E26" w:rsidP="00E86EA4">
      <w:pPr>
        <w:jc w:val="left"/>
        <w:rPr>
          <w:rFonts w:cs="Arial"/>
        </w:rPr>
      </w:pPr>
      <w:r w:rsidRPr="00AA1E26">
        <w:rPr>
          <w:rFonts w:cs="Arial"/>
        </w:rPr>
        <w:t xml:space="preserve">The final dataset covers the period of 1970-2012. </w:t>
      </w:r>
      <w:r w:rsidR="00A21FDA">
        <w:rPr>
          <w:rFonts w:cs="Arial"/>
        </w:rPr>
        <w:t xml:space="preserve"> </w:t>
      </w:r>
      <w:r w:rsidR="00785641">
        <w:rPr>
          <w:rFonts w:cs="Arial"/>
        </w:rPr>
        <w:t>Yet, g</w:t>
      </w:r>
      <w:r w:rsidRPr="00AA1E26">
        <w:rPr>
          <w:rFonts w:cs="Arial"/>
        </w:rPr>
        <w:t>iven that there is a minimum delay of 18 months between the application and the publication date, and the maximum of 30 months delay before applicants file abroad through the PCT system, 2009 is the latest available year for which complete foreign-ori</w:t>
      </w:r>
      <w:r w:rsidR="00785641">
        <w:rPr>
          <w:rFonts w:cs="Arial"/>
        </w:rPr>
        <w:t xml:space="preserve">ented patent family data exist. </w:t>
      </w:r>
      <w:r w:rsidR="00A21FDA">
        <w:rPr>
          <w:rFonts w:cs="Arial"/>
        </w:rPr>
        <w:t xml:space="preserve"> </w:t>
      </w:r>
      <w:r w:rsidR="00AD30E0">
        <w:rPr>
          <w:rFonts w:cs="Arial"/>
        </w:rPr>
        <w:t xml:space="preserve">To calculate aggregate statistics we opt to include the years of 2010-2012 (approximately 10,000 patent families and about 1/6 of the dataset) </w:t>
      </w:r>
      <w:r w:rsidR="001538EA">
        <w:rPr>
          <w:rFonts w:cs="Arial"/>
        </w:rPr>
        <w:t xml:space="preserve">together </w:t>
      </w:r>
      <w:r w:rsidR="00AD30E0">
        <w:rPr>
          <w:rFonts w:cs="Arial"/>
        </w:rPr>
        <w:t>with the rest of the data on patent families because there is no reason to believe that</w:t>
      </w:r>
      <w:r w:rsidR="001538EA">
        <w:rPr>
          <w:rFonts w:cs="Arial"/>
        </w:rPr>
        <w:t xml:space="preserve"> a</w:t>
      </w:r>
      <w:r w:rsidR="00AD30E0">
        <w:rPr>
          <w:rFonts w:cs="Arial"/>
        </w:rPr>
        <w:t xml:space="preserve"> certain applicant or a group of applicants is </w:t>
      </w:r>
      <w:r w:rsidR="001538EA">
        <w:rPr>
          <w:rFonts w:cs="Arial"/>
        </w:rPr>
        <w:t>more</w:t>
      </w:r>
      <w:r w:rsidR="00AD30E0">
        <w:rPr>
          <w:rFonts w:cs="Arial"/>
        </w:rPr>
        <w:t xml:space="preserve"> incomplete compared to others. </w:t>
      </w:r>
      <w:r w:rsidR="00A21FDA">
        <w:rPr>
          <w:rFonts w:cs="Arial"/>
        </w:rPr>
        <w:t xml:space="preserve"> </w:t>
      </w:r>
      <w:r w:rsidR="00AD30E0">
        <w:rPr>
          <w:rFonts w:cs="Arial"/>
        </w:rPr>
        <w:t xml:space="preserve">However, when we </w:t>
      </w:r>
      <w:r w:rsidR="001538EA">
        <w:rPr>
          <w:rFonts w:cs="Arial"/>
        </w:rPr>
        <w:t>calculate</w:t>
      </w:r>
      <w:r w:rsidR="00AD30E0">
        <w:rPr>
          <w:rFonts w:cs="Arial"/>
        </w:rPr>
        <w:t xml:space="preserve"> annual statistics we stop at the year 2009. </w:t>
      </w:r>
    </w:p>
    <w:p w:rsidR="00785641" w:rsidRPr="00AA1E26" w:rsidRDefault="00785641" w:rsidP="00A21FDA">
      <w:pPr>
        <w:jc w:val="left"/>
        <w:rPr>
          <w:rFonts w:cs="Arial"/>
        </w:rPr>
      </w:pPr>
      <w:r>
        <w:rPr>
          <w:rFonts w:cs="Arial"/>
        </w:rPr>
        <w:t>The following five sections present the results of this study so far.</w:t>
      </w:r>
    </w:p>
    <w:p w:rsidR="00AA1E26" w:rsidRDefault="00AA1E26" w:rsidP="00AA1E26">
      <w:pPr>
        <w:rPr>
          <w:rFonts w:cs="Arial"/>
        </w:rPr>
      </w:pPr>
    </w:p>
    <w:p w:rsidR="007E4145" w:rsidRPr="00AA1E26" w:rsidRDefault="007E4145" w:rsidP="00AA1E26">
      <w:pPr>
        <w:rPr>
          <w:rFonts w:cs="Arial"/>
        </w:rPr>
      </w:pPr>
    </w:p>
    <w:p w:rsidR="00AA1E26" w:rsidRDefault="00AA1E26" w:rsidP="00A21FDA">
      <w:pPr>
        <w:pStyle w:val="Heading1"/>
        <w:widowControl/>
        <w:numPr>
          <w:ilvl w:val="0"/>
          <w:numId w:val="23"/>
        </w:numPr>
        <w:spacing w:before="0" w:after="0"/>
        <w:ind w:left="567" w:hanging="567"/>
        <w:jc w:val="left"/>
        <w:rPr>
          <w:rFonts w:cs="Arial"/>
          <w:szCs w:val="22"/>
        </w:rPr>
      </w:pPr>
      <w:r w:rsidRPr="00AA1E26">
        <w:rPr>
          <w:rFonts w:cs="Arial"/>
          <w:szCs w:val="22"/>
        </w:rPr>
        <w:t>The surge of Chinese foreign-oriented patent families</w:t>
      </w:r>
      <w:r w:rsidR="00785641">
        <w:rPr>
          <w:rFonts w:cs="Arial"/>
          <w:szCs w:val="22"/>
        </w:rPr>
        <w:t xml:space="preserve"> as of 2004</w:t>
      </w:r>
    </w:p>
    <w:p w:rsidR="00A21FDA" w:rsidRPr="00A21FDA" w:rsidRDefault="00A21FDA" w:rsidP="00A21FDA"/>
    <w:p w:rsidR="00AA1E26" w:rsidRPr="00AA1E26" w:rsidRDefault="00AA1E26" w:rsidP="00A21FDA">
      <w:pPr>
        <w:jc w:val="left"/>
      </w:pPr>
      <w:r w:rsidRPr="00AA1E26">
        <w:t>The growth of Chinese patent filings abroad increased significantly after the year 2000 (see Figure</w:t>
      </w:r>
      <w:r w:rsidR="00785641">
        <w:t>s</w:t>
      </w:r>
      <w:r w:rsidRPr="00AA1E26">
        <w:t xml:space="preserve"> 1.1 and 1.2). </w:t>
      </w:r>
      <w:r w:rsidR="00A21FDA">
        <w:t xml:space="preserve"> </w:t>
      </w:r>
      <w:r w:rsidRPr="00AA1E26">
        <w:t xml:space="preserve">At that point the five-year average annual growth rate increased to almost 40% between 2000 and 2005, up from 24% between 1995 and 1999. </w:t>
      </w:r>
      <w:r w:rsidR="00A21FDA">
        <w:t xml:space="preserve"> </w:t>
      </w:r>
      <w:r w:rsidRPr="00AA1E26">
        <w:t xml:space="preserve">Having reached significant levels, the five-year average growth rate of foreign-oriented patent families </w:t>
      </w:r>
      <w:r w:rsidRPr="00AA1E26">
        <w:lastRenderedPageBreak/>
        <w:t xml:space="preserve">decreased to 23% since 2005. </w:t>
      </w:r>
      <w:r w:rsidR="00A21FDA">
        <w:t xml:space="preserve"> </w:t>
      </w:r>
      <w:r w:rsidRPr="00AA1E26">
        <w:t xml:space="preserve">In absolute terms this still translates to an increase of these patent families by approximately 1,000 every year. </w:t>
      </w:r>
    </w:p>
    <w:p w:rsidR="00AA1E26" w:rsidRPr="00A21FDA" w:rsidRDefault="00AA1E26" w:rsidP="00A21FDA">
      <w:pPr>
        <w:keepNext/>
        <w:widowControl/>
        <w:contextualSpacing/>
        <w:jc w:val="left"/>
        <w:rPr>
          <w:rFonts w:eastAsiaTheme="minorHAnsi" w:cs="Arial"/>
          <w:b/>
          <w:bCs/>
          <w:color w:val="000000" w:themeColor="text1"/>
          <w:kern w:val="0"/>
          <w:lang w:eastAsia="en-US"/>
        </w:rPr>
      </w:pPr>
    </w:p>
    <w:p w:rsidR="00AA1E26" w:rsidRPr="00A21FDA" w:rsidRDefault="00AA1E26" w:rsidP="00A21FDA">
      <w:pPr>
        <w:keepNext/>
        <w:widowControl/>
        <w:contextualSpacing/>
        <w:jc w:val="left"/>
        <w:rPr>
          <w:rFonts w:eastAsiaTheme="minorHAnsi" w:cs="Arial"/>
          <w:b/>
          <w:bCs/>
          <w:color w:val="000000" w:themeColor="text1"/>
          <w:kern w:val="0"/>
          <w:lang w:eastAsia="en-US"/>
        </w:rPr>
      </w:pPr>
      <w:proofErr w:type="gramStart"/>
      <w:r w:rsidRPr="00A21FDA">
        <w:rPr>
          <w:rFonts w:eastAsiaTheme="minorHAnsi" w:cs="Arial"/>
          <w:b/>
          <w:bCs/>
          <w:color w:val="000000" w:themeColor="text1"/>
          <w:kern w:val="0"/>
          <w:lang w:eastAsia="en-US"/>
        </w:rPr>
        <w:t>Figure 1.1.</w:t>
      </w:r>
      <w:proofErr w:type="gramEnd"/>
      <w:r w:rsidRPr="00A21FDA">
        <w:rPr>
          <w:rFonts w:eastAsiaTheme="minorHAnsi" w:cs="Arial"/>
          <w:b/>
          <w:bCs/>
          <w:color w:val="000000" w:themeColor="text1"/>
          <w:kern w:val="0"/>
          <w:lang w:eastAsia="en-US"/>
        </w:rPr>
        <w:t xml:space="preserve"> </w:t>
      </w:r>
      <w:r w:rsidR="00A21FDA">
        <w:rPr>
          <w:rFonts w:eastAsiaTheme="minorHAnsi" w:cs="Arial"/>
          <w:b/>
          <w:bCs/>
          <w:color w:val="000000" w:themeColor="text1"/>
          <w:kern w:val="0"/>
          <w:lang w:eastAsia="en-US"/>
        </w:rPr>
        <w:t xml:space="preserve"> </w:t>
      </w:r>
      <w:r w:rsidRPr="00A21FDA">
        <w:rPr>
          <w:rFonts w:eastAsiaTheme="minorHAnsi" w:cs="Arial"/>
          <w:b/>
          <w:bCs/>
          <w:color w:val="000000" w:themeColor="text1"/>
          <w:kern w:val="0"/>
          <w:lang w:eastAsia="en-US"/>
        </w:rPr>
        <w:t>Chinese foreign-orie</w:t>
      </w:r>
      <w:r w:rsidR="0029589D" w:rsidRPr="00A21FDA">
        <w:rPr>
          <w:rFonts w:eastAsiaTheme="minorHAnsi" w:cs="Arial"/>
          <w:b/>
          <w:bCs/>
          <w:color w:val="000000" w:themeColor="text1"/>
          <w:kern w:val="0"/>
          <w:lang w:eastAsia="en-US"/>
        </w:rPr>
        <w:t>nted patent families, 1985-2009</w:t>
      </w:r>
    </w:p>
    <w:p w:rsidR="00C26B02" w:rsidRPr="00AA1E26" w:rsidRDefault="00C26B02" w:rsidP="00AA1E26">
      <w:pPr>
        <w:rPr>
          <w:rFonts w:cs="Arial"/>
        </w:rPr>
      </w:pPr>
      <w:r>
        <w:rPr>
          <w:noProof/>
          <w:lang w:eastAsia="en-US"/>
        </w:rPr>
        <w:drawing>
          <wp:inline distT="0" distB="0" distL="0" distR="0">
            <wp:extent cx="5400040" cy="2700020"/>
            <wp:effectExtent l="0" t="0" r="10160"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1E26" w:rsidRPr="0018724E" w:rsidRDefault="00AA1E26" w:rsidP="000A426E">
      <w:pPr>
        <w:widowControl/>
        <w:contextualSpacing/>
        <w:jc w:val="left"/>
        <w:rPr>
          <w:rFonts w:eastAsiaTheme="minorHAnsi" w:cs="Arial"/>
          <w:bCs/>
          <w:color w:val="000000" w:themeColor="text1"/>
          <w:kern w:val="0"/>
          <w:sz w:val="20"/>
          <w:szCs w:val="18"/>
          <w:lang w:eastAsia="en-US"/>
        </w:rPr>
      </w:pPr>
      <w:r w:rsidRPr="0018724E">
        <w:rPr>
          <w:rFonts w:eastAsiaTheme="minorHAnsi" w:cs="Arial"/>
          <w:bCs/>
          <w:color w:val="000000" w:themeColor="text1"/>
          <w:kern w:val="0"/>
          <w:sz w:val="20"/>
          <w:szCs w:val="18"/>
          <w:lang w:eastAsia="en-US"/>
        </w:rPr>
        <w:t>Source: WIPO IP Statistics Database.</w:t>
      </w:r>
    </w:p>
    <w:p w:rsidR="008E537C" w:rsidRDefault="008E537C" w:rsidP="00AA1E26">
      <w:pPr>
        <w:rPr>
          <w:rFonts w:cs="Arial"/>
          <w:sz w:val="2"/>
        </w:rPr>
      </w:pPr>
    </w:p>
    <w:p w:rsidR="008E537C" w:rsidRDefault="008E537C" w:rsidP="00AA1E26">
      <w:pPr>
        <w:rPr>
          <w:rFonts w:cs="Arial"/>
          <w:sz w:val="2"/>
        </w:rPr>
      </w:pPr>
    </w:p>
    <w:p w:rsidR="008E537C" w:rsidRDefault="008E537C" w:rsidP="00AA1E26">
      <w:pPr>
        <w:rPr>
          <w:rFonts w:cs="Arial"/>
          <w:sz w:val="2"/>
        </w:rPr>
      </w:pPr>
    </w:p>
    <w:p w:rsidR="008E537C" w:rsidRPr="008E537C" w:rsidRDefault="008E537C" w:rsidP="00AA1E26">
      <w:pPr>
        <w:rPr>
          <w:rFonts w:cs="Arial"/>
          <w:sz w:val="2"/>
        </w:rPr>
      </w:pPr>
    </w:p>
    <w:p w:rsidR="00AA1E26" w:rsidRPr="000A426E" w:rsidRDefault="00AA1E26" w:rsidP="00AA1E26">
      <w:pPr>
        <w:rPr>
          <w:rFonts w:eastAsiaTheme="minorHAnsi" w:cs="Arial"/>
          <w:b/>
          <w:bCs/>
          <w:color w:val="000000" w:themeColor="text1"/>
          <w:kern w:val="0"/>
          <w:lang w:eastAsia="en-US"/>
        </w:rPr>
      </w:pPr>
      <w:proofErr w:type="gramStart"/>
      <w:r w:rsidRPr="000A426E">
        <w:rPr>
          <w:rFonts w:eastAsiaTheme="minorHAnsi" w:cs="Arial"/>
          <w:b/>
          <w:bCs/>
          <w:color w:val="000000" w:themeColor="text1"/>
          <w:kern w:val="0"/>
          <w:lang w:eastAsia="en-US"/>
        </w:rPr>
        <w:t>Figure</w:t>
      </w:r>
      <w:r w:rsidRPr="00AA1E26">
        <w:rPr>
          <w:rFonts w:cs="Arial"/>
        </w:rPr>
        <w:t xml:space="preserve"> </w:t>
      </w:r>
      <w:r w:rsidRPr="000A426E">
        <w:rPr>
          <w:rFonts w:eastAsiaTheme="minorHAnsi" w:cs="Arial"/>
          <w:b/>
          <w:bCs/>
          <w:color w:val="000000" w:themeColor="text1"/>
          <w:kern w:val="0"/>
          <w:lang w:eastAsia="en-US"/>
        </w:rPr>
        <w:t>1.2.</w:t>
      </w:r>
      <w:proofErr w:type="gramEnd"/>
      <w:r w:rsidRPr="000A426E">
        <w:rPr>
          <w:rFonts w:eastAsiaTheme="minorHAnsi" w:cs="Arial"/>
          <w:b/>
          <w:bCs/>
          <w:color w:val="000000" w:themeColor="text1"/>
          <w:kern w:val="0"/>
          <w:lang w:eastAsia="en-US"/>
        </w:rPr>
        <w:t xml:space="preserve"> </w:t>
      </w:r>
      <w:r w:rsidR="007E4145">
        <w:rPr>
          <w:rFonts w:eastAsiaTheme="minorHAnsi" w:cs="Arial"/>
          <w:b/>
          <w:bCs/>
          <w:color w:val="000000" w:themeColor="text1"/>
          <w:kern w:val="0"/>
          <w:lang w:eastAsia="en-US"/>
        </w:rPr>
        <w:t xml:space="preserve"> </w:t>
      </w:r>
      <w:r w:rsidRPr="000A426E">
        <w:rPr>
          <w:rFonts w:eastAsiaTheme="minorHAnsi" w:cs="Arial"/>
          <w:b/>
          <w:bCs/>
          <w:color w:val="000000" w:themeColor="text1"/>
          <w:kern w:val="0"/>
          <w:lang w:eastAsia="en-US"/>
        </w:rPr>
        <w:t>Growth rates of Chinese foreign-orie</w:t>
      </w:r>
      <w:r w:rsidR="0029589D" w:rsidRPr="000A426E">
        <w:rPr>
          <w:rFonts w:eastAsiaTheme="minorHAnsi" w:cs="Arial"/>
          <w:b/>
          <w:bCs/>
          <w:color w:val="000000" w:themeColor="text1"/>
          <w:kern w:val="0"/>
          <w:lang w:eastAsia="en-US"/>
        </w:rPr>
        <w:t>nted patent families, 1990-2009</w:t>
      </w:r>
    </w:p>
    <w:p w:rsidR="00AA1E26" w:rsidRPr="00AA1E26" w:rsidRDefault="00AA1E26" w:rsidP="00AA1E26">
      <w:pPr>
        <w:rPr>
          <w:rFonts w:cs="Arial"/>
        </w:rPr>
      </w:pPr>
      <w:r w:rsidRPr="00AA1E26">
        <w:rPr>
          <w:rFonts w:cs="Arial"/>
          <w:noProof/>
          <w:lang w:eastAsia="en-US"/>
        </w:rPr>
        <w:drawing>
          <wp:inline distT="0" distB="0" distL="0" distR="0">
            <wp:extent cx="5400040" cy="2728441"/>
            <wp:effectExtent l="0" t="0" r="10160" b="1524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1E26" w:rsidRPr="0018724E" w:rsidRDefault="00AA1E26" w:rsidP="000A426E">
      <w:pPr>
        <w:widowControl/>
        <w:contextualSpacing/>
        <w:jc w:val="left"/>
        <w:rPr>
          <w:rFonts w:eastAsiaTheme="minorHAnsi" w:cs="Arial"/>
          <w:bCs/>
          <w:color w:val="000000" w:themeColor="text1"/>
          <w:kern w:val="0"/>
          <w:sz w:val="20"/>
          <w:szCs w:val="18"/>
          <w:lang w:eastAsia="en-US"/>
        </w:rPr>
      </w:pPr>
      <w:r w:rsidRPr="0018724E">
        <w:rPr>
          <w:rFonts w:eastAsiaTheme="minorHAnsi" w:cs="Arial"/>
          <w:bCs/>
          <w:color w:val="000000" w:themeColor="text1"/>
          <w:kern w:val="0"/>
          <w:sz w:val="20"/>
          <w:szCs w:val="18"/>
          <w:lang w:eastAsia="en-US"/>
        </w:rPr>
        <w:t>Source:</w:t>
      </w:r>
      <w:r w:rsidR="00F04497" w:rsidRPr="0018724E">
        <w:rPr>
          <w:rFonts w:eastAsiaTheme="minorHAnsi" w:cs="Arial"/>
          <w:bCs/>
          <w:color w:val="000000" w:themeColor="text1"/>
          <w:kern w:val="0"/>
          <w:sz w:val="20"/>
          <w:szCs w:val="18"/>
          <w:lang w:eastAsia="en-US"/>
        </w:rPr>
        <w:t xml:space="preserve"> </w:t>
      </w:r>
      <w:r w:rsidRPr="0018724E">
        <w:rPr>
          <w:rFonts w:eastAsiaTheme="minorHAnsi" w:cs="Arial"/>
          <w:bCs/>
          <w:color w:val="000000" w:themeColor="text1"/>
          <w:kern w:val="0"/>
          <w:sz w:val="20"/>
          <w:szCs w:val="18"/>
          <w:lang w:eastAsia="en-US"/>
        </w:rPr>
        <w:t>WIPO IP Statistics Database.</w:t>
      </w:r>
    </w:p>
    <w:p w:rsidR="003276FB" w:rsidRDefault="003276FB" w:rsidP="00AA1E26">
      <w:pPr>
        <w:rPr>
          <w:rFonts w:cs="Arial"/>
        </w:rPr>
      </w:pPr>
    </w:p>
    <w:p w:rsidR="007E4145" w:rsidRDefault="007E4145" w:rsidP="00AA1E26">
      <w:pPr>
        <w:rPr>
          <w:rFonts w:cs="Arial"/>
        </w:rPr>
      </w:pPr>
    </w:p>
    <w:p w:rsidR="007E4145" w:rsidRPr="00AA1E26" w:rsidRDefault="007E4145" w:rsidP="00AA1E26">
      <w:pPr>
        <w:rPr>
          <w:rFonts w:cs="Arial"/>
        </w:rPr>
      </w:pPr>
    </w:p>
    <w:p w:rsidR="00AA1E26" w:rsidRPr="00AB524E" w:rsidRDefault="00AA1E26" w:rsidP="00F04497">
      <w:pPr>
        <w:jc w:val="left"/>
        <w:rPr>
          <w:rFonts w:cs="Arial"/>
        </w:rPr>
      </w:pPr>
      <w:r w:rsidRPr="00AB524E">
        <w:rPr>
          <w:rFonts w:cs="Arial"/>
        </w:rPr>
        <w:lastRenderedPageBreak/>
        <w:t xml:space="preserve">While in the beginning of the 1990s the total number of </w:t>
      </w:r>
      <w:r w:rsidR="00F8446E">
        <w:rPr>
          <w:rFonts w:cs="Arial"/>
        </w:rPr>
        <w:t xml:space="preserve">Chinese </w:t>
      </w:r>
      <w:r w:rsidRPr="00AB524E">
        <w:rPr>
          <w:rFonts w:cs="Arial"/>
        </w:rPr>
        <w:t xml:space="preserve">foreign-oriented patent families was on par with the number of </w:t>
      </w:r>
      <w:r w:rsidR="00F8446E">
        <w:rPr>
          <w:rFonts w:cs="Arial"/>
        </w:rPr>
        <w:t>those</w:t>
      </w:r>
      <w:r w:rsidRPr="00AB524E">
        <w:rPr>
          <w:rFonts w:cs="Arial"/>
        </w:rPr>
        <w:t xml:space="preserve"> </w:t>
      </w:r>
      <w:r w:rsidR="00F8446E">
        <w:rPr>
          <w:rFonts w:cs="Arial"/>
        </w:rPr>
        <w:t>of residents of</w:t>
      </w:r>
      <w:r w:rsidRPr="00AB524E">
        <w:rPr>
          <w:rFonts w:cs="Arial"/>
        </w:rPr>
        <w:t xml:space="preserve"> other </w:t>
      </w:r>
      <w:r w:rsidR="00D1703F">
        <w:rPr>
          <w:rFonts w:cs="Arial"/>
        </w:rPr>
        <w:t>fast-growing middle-income economies</w:t>
      </w:r>
      <w:r w:rsidRPr="00AB524E">
        <w:rPr>
          <w:rFonts w:cs="Arial"/>
        </w:rPr>
        <w:t xml:space="preserve">, by the end of the 1990s China </w:t>
      </w:r>
      <w:r w:rsidR="00F8446E">
        <w:rPr>
          <w:rFonts w:cs="Arial"/>
        </w:rPr>
        <w:t>decoupled</w:t>
      </w:r>
      <w:r w:rsidRPr="00AB524E">
        <w:rPr>
          <w:rFonts w:cs="Arial"/>
        </w:rPr>
        <w:t xml:space="preserve"> and started to emerge as </w:t>
      </w:r>
      <w:r w:rsidR="004F7F01">
        <w:rPr>
          <w:rFonts w:cs="Arial"/>
        </w:rPr>
        <w:t>major player</w:t>
      </w:r>
      <w:r w:rsidRPr="00AB524E">
        <w:rPr>
          <w:rFonts w:cs="Arial"/>
        </w:rPr>
        <w:t xml:space="preserve"> in terms of international patenting </w:t>
      </w:r>
      <w:r w:rsidR="00F8446E">
        <w:rPr>
          <w:rFonts w:cs="Arial"/>
        </w:rPr>
        <w:t>as compared to</w:t>
      </w:r>
      <w:r w:rsidR="004F7F01">
        <w:rPr>
          <w:rFonts w:cs="Arial"/>
        </w:rPr>
        <w:t>, for instance,</w:t>
      </w:r>
      <w:r w:rsidR="00F8446E">
        <w:rPr>
          <w:rFonts w:cs="Arial"/>
        </w:rPr>
        <w:t xml:space="preserve"> Brazil, Russia, India, South Africa</w:t>
      </w:r>
      <w:r w:rsidR="00F8446E" w:rsidRPr="00AB524E">
        <w:rPr>
          <w:rFonts w:cs="Arial"/>
        </w:rPr>
        <w:t xml:space="preserve"> </w:t>
      </w:r>
      <w:r w:rsidR="00F8446E">
        <w:rPr>
          <w:rFonts w:cs="Arial"/>
        </w:rPr>
        <w:t>and others</w:t>
      </w:r>
      <w:r w:rsidR="004F7F01">
        <w:rPr>
          <w:rFonts w:cs="Arial"/>
        </w:rPr>
        <w:t xml:space="preserve"> </w:t>
      </w:r>
      <w:r w:rsidRPr="00AB524E">
        <w:rPr>
          <w:rFonts w:cs="Arial"/>
        </w:rPr>
        <w:t>(see Figure 1.</w:t>
      </w:r>
      <w:r w:rsidR="00AB524E">
        <w:rPr>
          <w:rFonts w:cs="Arial"/>
        </w:rPr>
        <w:t>3</w:t>
      </w:r>
      <w:r w:rsidRPr="00AB524E">
        <w:rPr>
          <w:rFonts w:cs="Arial"/>
        </w:rPr>
        <w:t xml:space="preserve">). </w:t>
      </w:r>
      <w:r w:rsidRPr="00AB524E">
        <w:rPr>
          <w:rFonts w:cs="Arial"/>
        </w:rPr>
        <w:tab/>
      </w:r>
    </w:p>
    <w:p w:rsidR="00AA1E26" w:rsidRDefault="00AA1E26" w:rsidP="00AA1E26">
      <w:pPr>
        <w:rPr>
          <w:rFonts w:cs="Arial"/>
        </w:rPr>
      </w:pPr>
      <w:r w:rsidRPr="00AA1E26">
        <w:rPr>
          <w:rFonts w:cs="Arial"/>
        </w:rPr>
        <w:tab/>
      </w:r>
    </w:p>
    <w:p w:rsidR="00AA1E26" w:rsidRPr="00F04497" w:rsidRDefault="00AA1E26" w:rsidP="00AA1E26">
      <w:pPr>
        <w:rPr>
          <w:rFonts w:eastAsiaTheme="minorHAnsi" w:cs="Arial"/>
          <w:b/>
          <w:bCs/>
          <w:color w:val="000000" w:themeColor="text1"/>
          <w:kern w:val="0"/>
          <w:lang w:eastAsia="en-US"/>
        </w:rPr>
      </w:pPr>
      <w:proofErr w:type="gramStart"/>
      <w:r w:rsidRPr="00F04497">
        <w:rPr>
          <w:rFonts w:eastAsiaTheme="minorHAnsi" w:cs="Arial"/>
          <w:b/>
          <w:bCs/>
          <w:color w:val="000000" w:themeColor="text1"/>
          <w:kern w:val="0"/>
          <w:lang w:eastAsia="en-US"/>
        </w:rPr>
        <w:t>Figure 1.</w:t>
      </w:r>
      <w:r w:rsidR="00AB524E" w:rsidRPr="00F04497">
        <w:rPr>
          <w:rFonts w:eastAsiaTheme="minorHAnsi" w:cs="Arial"/>
          <w:b/>
          <w:bCs/>
          <w:color w:val="000000" w:themeColor="text1"/>
          <w:kern w:val="0"/>
          <w:lang w:eastAsia="en-US"/>
        </w:rPr>
        <w:t>3</w:t>
      </w:r>
      <w:r w:rsidRPr="00F04497">
        <w:rPr>
          <w:rFonts w:eastAsiaTheme="minorHAnsi" w:cs="Arial"/>
          <w:b/>
          <w:bCs/>
          <w:color w:val="000000" w:themeColor="text1"/>
          <w:kern w:val="0"/>
          <w:lang w:eastAsia="en-US"/>
        </w:rPr>
        <w:t>.</w:t>
      </w:r>
      <w:proofErr w:type="gramEnd"/>
      <w:r w:rsidRPr="00F04497">
        <w:rPr>
          <w:rFonts w:eastAsiaTheme="minorHAnsi" w:cs="Arial"/>
          <w:b/>
          <w:bCs/>
          <w:color w:val="000000" w:themeColor="text1"/>
          <w:kern w:val="0"/>
          <w:lang w:eastAsia="en-US"/>
        </w:rPr>
        <w:t xml:space="preserve"> </w:t>
      </w:r>
      <w:r w:rsidR="007E4145">
        <w:rPr>
          <w:rFonts w:eastAsiaTheme="minorHAnsi" w:cs="Arial"/>
          <w:b/>
          <w:bCs/>
          <w:color w:val="000000" w:themeColor="text1"/>
          <w:kern w:val="0"/>
          <w:lang w:eastAsia="en-US"/>
        </w:rPr>
        <w:t xml:space="preserve"> </w:t>
      </w:r>
      <w:r w:rsidRPr="00F04497">
        <w:rPr>
          <w:rFonts w:eastAsiaTheme="minorHAnsi" w:cs="Arial"/>
          <w:b/>
          <w:bCs/>
          <w:color w:val="000000" w:themeColor="text1"/>
          <w:kern w:val="0"/>
          <w:lang w:eastAsia="en-US"/>
        </w:rPr>
        <w:t>International comparison of foreign-orie</w:t>
      </w:r>
      <w:r w:rsidR="0029589D" w:rsidRPr="00F04497">
        <w:rPr>
          <w:rFonts w:eastAsiaTheme="minorHAnsi" w:cs="Arial"/>
          <w:b/>
          <w:bCs/>
          <w:color w:val="000000" w:themeColor="text1"/>
          <w:kern w:val="0"/>
          <w:lang w:eastAsia="en-US"/>
        </w:rPr>
        <w:t>nted patent families, 1970-2009</w:t>
      </w:r>
    </w:p>
    <w:p w:rsidR="00D37EB3" w:rsidRPr="00AA1E26" w:rsidRDefault="00D37EB3" w:rsidP="00AA1E26">
      <w:pPr>
        <w:rPr>
          <w:rFonts w:cs="Arial"/>
        </w:rPr>
      </w:pPr>
      <w:r>
        <w:rPr>
          <w:noProof/>
          <w:lang w:eastAsia="en-US"/>
        </w:rPr>
        <w:drawing>
          <wp:inline distT="0" distB="0" distL="0" distR="0">
            <wp:extent cx="5400040" cy="2700020"/>
            <wp:effectExtent l="0" t="0" r="10160" b="241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1E26" w:rsidRPr="0018724E" w:rsidRDefault="00AA1E26" w:rsidP="00F04497">
      <w:pPr>
        <w:widowControl/>
        <w:contextualSpacing/>
        <w:jc w:val="left"/>
        <w:rPr>
          <w:rFonts w:eastAsiaTheme="minorHAnsi" w:cs="Arial"/>
          <w:bCs/>
          <w:color w:val="000000" w:themeColor="text1"/>
          <w:kern w:val="0"/>
          <w:sz w:val="20"/>
          <w:szCs w:val="20"/>
          <w:lang w:eastAsia="en-US"/>
        </w:rPr>
      </w:pPr>
      <w:r w:rsidRPr="0018724E">
        <w:rPr>
          <w:rFonts w:eastAsiaTheme="minorHAnsi" w:cs="Arial"/>
          <w:bCs/>
          <w:color w:val="000000" w:themeColor="text1"/>
          <w:kern w:val="0"/>
          <w:sz w:val="20"/>
          <w:szCs w:val="20"/>
          <w:lang w:eastAsia="en-US"/>
        </w:rPr>
        <w:t xml:space="preserve">Source: </w:t>
      </w:r>
      <w:r w:rsidR="007E4145">
        <w:rPr>
          <w:rFonts w:eastAsiaTheme="minorHAnsi" w:cs="Arial"/>
          <w:bCs/>
          <w:color w:val="000000" w:themeColor="text1"/>
          <w:kern w:val="0"/>
          <w:sz w:val="20"/>
          <w:szCs w:val="20"/>
          <w:lang w:eastAsia="en-US"/>
        </w:rPr>
        <w:t xml:space="preserve"> </w:t>
      </w:r>
      <w:r w:rsidRPr="0018724E">
        <w:rPr>
          <w:rFonts w:eastAsiaTheme="minorHAnsi" w:cs="Arial"/>
          <w:bCs/>
          <w:color w:val="000000" w:themeColor="text1"/>
          <w:kern w:val="0"/>
          <w:sz w:val="20"/>
          <w:szCs w:val="20"/>
          <w:lang w:eastAsia="en-US"/>
        </w:rPr>
        <w:t>WIPO IP Statistics Database.</w:t>
      </w:r>
    </w:p>
    <w:p w:rsidR="004304E2" w:rsidRDefault="004304E2" w:rsidP="005D67C0">
      <w:pPr>
        <w:jc w:val="left"/>
        <w:rPr>
          <w:rFonts w:cs="Arial"/>
          <w:b/>
        </w:rPr>
      </w:pPr>
    </w:p>
    <w:p w:rsidR="00AA1E26" w:rsidRPr="00AA1E26" w:rsidRDefault="00EA1CE2" w:rsidP="005D67C0">
      <w:pPr>
        <w:jc w:val="left"/>
        <w:rPr>
          <w:rFonts w:cs="Arial"/>
        </w:rPr>
      </w:pPr>
      <w:r>
        <w:rPr>
          <w:rFonts w:cs="Arial"/>
        </w:rPr>
        <w:t>T</w:t>
      </w:r>
      <w:r w:rsidR="004F7F01">
        <w:rPr>
          <w:rFonts w:cs="Arial"/>
        </w:rPr>
        <w:t>oday more</w:t>
      </w:r>
      <w:r w:rsidR="00AA1E26" w:rsidRPr="004304E2">
        <w:rPr>
          <w:rFonts w:cs="Arial"/>
        </w:rPr>
        <w:t xml:space="preserve"> than 80% of foreign-oriented patent families by Chinese residents are associated with invention patent applications</w:t>
      </w:r>
      <w:r w:rsidR="00836189">
        <w:rPr>
          <w:rFonts w:cs="Arial"/>
        </w:rPr>
        <w:t xml:space="preserve"> (see Figure </w:t>
      </w:r>
      <w:r w:rsidR="0029589D">
        <w:rPr>
          <w:rFonts w:cs="Arial"/>
        </w:rPr>
        <w:t>1.4</w:t>
      </w:r>
      <w:r w:rsidR="00836189">
        <w:rPr>
          <w:rFonts w:cs="Arial"/>
        </w:rPr>
        <w:t>)</w:t>
      </w:r>
      <w:r w:rsidR="00AA1E26" w:rsidRPr="004304E2">
        <w:rPr>
          <w:rFonts w:cs="Arial"/>
        </w:rPr>
        <w:t>.</w:t>
      </w:r>
      <w:r w:rsidR="005D67C0">
        <w:rPr>
          <w:rFonts w:cs="Arial"/>
        </w:rPr>
        <w:t xml:space="preserve"> </w:t>
      </w:r>
      <w:r w:rsidR="00AA1E26" w:rsidRPr="00AA1E26">
        <w:rPr>
          <w:rFonts w:cs="Arial"/>
          <w:b/>
        </w:rPr>
        <w:t xml:space="preserve"> </w:t>
      </w:r>
      <w:r w:rsidR="00487518">
        <w:rPr>
          <w:rFonts w:cs="Arial"/>
        </w:rPr>
        <w:t>T</w:t>
      </w:r>
      <w:r w:rsidR="00AA1E26" w:rsidRPr="00AA1E26">
        <w:rPr>
          <w:rFonts w:cs="Arial"/>
        </w:rPr>
        <w:t xml:space="preserve">he share of families associated with utility model </w:t>
      </w:r>
      <w:r w:rsidR="00487518">
        <w:rPr>
          <w:rFonts w:cs="Arial"/>
        </w:rPr>
        <w:t xml:space="preserve">(UM) </w:t>
      </w:r>
      <w:r w:rsidR="00AA1E26" w:rsidRPr="00AA1E26">
        <w:rPr>
          <w:rFonts w:cs="Arial"/>
        </w:rPr>
        <w:t xml:space="preserve">applications had grown from less than 9% on average in 1970s to more than 23% on average in the 1990s. </w:t>
      </w:r>
      <w:r w:rsidR="005D67C0">
        <w:rPr>
          <w:rFonts w:cs="Arial"/>
        </w:rPr>
        <w:t xml:space="preserve"> </w:t>
      </w:r>
      <w:r w:rsidR="00AA1E26" w:rsidRPr="00AA1E26">
        <w:rPr>
          <w:rFonts w:cs="Arial"/>
        </w:rPr>
        <w:t xml:space="preserve">But from 2003 </w:t>
      </w:r>
      <w:r w:rsidR="00E852D5">
        <w:rPr>
          <w:rFonts w:cs="Arial"/>
        </w:rPr>
        <w:t xml:space="preserve">onwards </w:t>
      </w:r>
      <w:r w:rsidR="00AA1E26" w:rsidRPr="00AA1E26">
        <w:rPr>
          <w:rFonts w:cs="Arial"/>
        </w:rPr>
        <w:t xml:space="preserve">the share of invention patent applications has </w:t>
      </w:r>
      <w:r w:rsidR="00E852D5">
        <w:rPr>
          <w:rFonts w:cs="Arial"/>
        </w:rPr>
        <w:t>grown</w:t>
      </w:r>
      <w:r>
        <w:rPr>
          <w:rFonts w:cs="Arial"/>
        </w:rPr>
        <w:t>,</w:t>
      </w:r>
      <w:r w:rsidR="00AA1E26" w:rsidRPr="00AA1E26">
        <w:rPr>
          <w:rFonts w:cs="Arial"/>
        </w:rPr>
        <w:t xml:space="preserve"> </w:t>
      </w:r>
      <w:r w:rsidR="00E852D5">
        <w:rPr>
          <w:rFonts w:cs="Arial"/>
        </w:rPr>
        <w:t>reaching</w:t>
      </w:r>
      <w:r w:rsidR="00AA1E26" w:rsidRPr="00AA1E26">
        <w:rPr>
          <w:rFonts w:cs="Arial"/>
        </w:rPr>
        <w:t xml:space="preserve"> almost 90% </w:t>
      </w:r>
      <w:r w:rsidR="00487518">
        <w:rPr>
          <w:rFonts w:cs="Arial"/>
        </w:rPr>
        <w:t xml:space="preserve">of total foreign-oriented patent family applications </w:t>
      </w:r>
      <w:r w:rsidR="00AA1E26" w:rsidRPr="00AA1E26">
        <w:rPr>
          <w:rFonts w:cs="Arial"/>
        </w:rPr>
        <w:t xml:space="preserve">in 2009. </w:t>
      </w:r>
      <w:r w:rsidR="005D67C0">
        <w:rPr>
          <w:rFonts w:cs="Arial"/>
        </w:rPr>
        <w:t xml:space="preserve"> </w:t>
      </w:r>
      <w:r w:rsidR="00487518">
        <w:rPr>
          <w:rFonts w:cs="Arial"/>
        </w:rPr>
        <w:t>This compares to</w:t>
      </w:r>
      <w:r>
        <w:rPr>
          <w:rFonts w:cs="Arial"/>
        </w:rPr>
        <w:t xml:space="preserve"> 97% in the US</w:t>
      </w:r>
      <w:r w:rsidR="00AA1E26" w:rsidRPr="00AA1E26">
        <w:rPr>
          <w:rFonts w:cs="Arial"/>
        </w:rPr>
        <w:t xml:space="preserve">, </w:t>
      </w:r>
      <w:r>
        <w:rPr>
          <w:rFonts w:cs="Arial"/>
        </w:rPr>
        <w:t xml:space="preserve">to 98% in the </w:t>
      </w:r>
      <w:r w:rsidR="0083546E">
        <w:rPr>
          <w:rFonts w:cs="Arial"/>
        </w:rPr>
        <w:t>Republic of Korea</w:t>
      </w:r>
      <w:r w:rsidR="00AA1E26" w:rsidRPr="00AA1E26">
        <w:rPr>
          <w:rFonts w:cs="Arial"/>
        </w:rPr>
        <w:t xml:space="preserve">, </w:t>
      </w:r>
      <w:r>
        <w:rPr>
          <w:rFonts w:cs="Arial"/>
        </w:rPr>
        <w:t>to 99% in Japan and to 94% in Germany</w:t>
      </w:r>
      <w:r w:rsidR="00AA1E26" w:rsidRPr="00AA1E26">
        <w:rPr>
          <w:rFonts w:cs="Arial"/>
        </w:rPr>
        <w:t>.</w:t>
      </w:r>
      <w:r w:rsidR="005D67C0">
        <w:rPr>
          <w:rFonts w:cs="Arial"/>
        </w:rPr>
        <w:t xml:space="preserve"> </w:t>
      </w:r>
      <w:r w:rsidR="00AA1E26" w:rsidRPr="00AA1E26">
        <w:rPr>
          <w:rFonts w:cs="Arial"/>
        </w:rPr>
        <w:t xml:space="preserve"> </w:t>
      </w:r>
      <w:r w:rsidR="00E852D5">
        <w:rPr>
          <w:rFonts w:cs="Arial"/>
        </w:rPr>
        <w:t>This also compares to the fact that</w:t>
      </w:r>
      <w:r w:rsidR="00142E19">
        <w:rPr>
          <w:rFonts w:cs="Arial"/>
        </w:rPr>
        <w:t xml:space="preserve"> the share of domestic patent families by Chinese residents </w:t>
      </w:r>
      <w:r w:rsidR="00AA1E26" w:rsidRPr="00AA1E26">
        <w:rPr>
          <w:rFonts w:cs="Arial"/>
        </w:rPr>
        <w:t xml:space="preserve">associated </w:t>
      </w:r>
      <w:r w:rsidR="00142E19">
        <w:rPr>
          <w:rFonts w:cs="Arial"/>
        </w:rPr>
        <w:t xml:space="preserve">with invention patents </w:t>
      </w:r>
      <w:r w:rsidR="00AA1E26" w:rsidRPr="00AA1E26">
        <w:rPr>
          <w:rFonts w:cs="Arial"/>
        </w:rPr>
        <w:t xml:space="preserve">is only 40%, </w:t>
      </w:r>
      <w:r w:rsidR="00836189">
        <w:rPr>
          <w:rFonts w:cs="Arial"/>
        </w:rPr>
        <w:t>w</w:t>
      </w:r>
      <w:r w:rsidR="00E852D5">
        <w:rPr>
          <w:rFonts w:cs="Arial"/>
        </w:rPr>
        <w:t xml:space="preserve">ith the remainder being domestic patent families started </w:t>
      </w:r>
      <w:r>
        <w:rPr>
          <w:rFonts w:cs="Arial"/>
        </w:rPr>
        <w:t>through</w:t>
      </w:r>
      <w:r w:rsidR="00E852D5">
        <w:rPr>
          <w:rFonts w:cs="Arial"/>
        </w:rPr>
        <w:t xml:space="preserve"> a UM application</w:t>
      </w:r>
      <w:r w:rsidR="00836189">
        <w:rPr>
          <w:rFonts w:cs="Arial"/>
        </w:rPr>
        <w:t>.</w:t>
      </w:r>
    </w:p>
    <w:p w:rsidR="00AA1E26" w:rsidRDefault="00AA1E26" w:rsidP="00AA1E26">
      <w:pPr>
        <w:rPr>
          <w:rFonts w:cs="Arial"/>
        </w:rPr>
      </w:pPr>
    </w:p>
    <w:p w:rsidR="007E4145" w:rsidRDefault="007E4145" w:rsidP="00AA1E26">
      <w:pPr>
        <w:rPr>
          <w:rFonts w:cs="Arial"/>
        </w:rPr>
      </w:pPr>
    </w:p>
    <w:p w:rsidR="007E4145" w:rsidRDefault="007E4145" w:rsidP="00AA1E26">
      <w:pPr>
        <w:rPr>
          <w:rFonts w:cs="Arial"/>
        </w:rPr>
      </w:pPr>
    </w:p>
    <w:p w:rsidR="007E4145" w:rsidRDefault="007E4145" w:rsidP="00AA1E26">
      <w:pPr>
        <w:rPr>
          <w:rFonts w:cs="Arial"/>
        </w:rPr>
      </w:pPr>
    </w:p>
    <w:p w:rsidR="007E4145" w:rsidRDefault="007E4145" w:rsidP="00AA1E26">
      <w:pPr>
        <w:rPr>
          <w:rFonts w:cs="Arial"/>
        </w:rPr>
      </w:pPr>
    </w:p>
    <w:p w:rsidR="007E4145" w:rsidRDefault="007E4145" w:rsidP="00AA1E26">
      <w:pPr>
        <w:rPr>
          <w:rFonts w:cs="Arial"/>
        </w:rPr>
      </w:pPr>
    </w:p>
    <w:p w:rsidR="007E4145" w:rsidRDefault="007E4145" w:rsidP="00AA1E26">
      <w:pPr>
        <w:rPr>
          <w:rFonts w:cs="Arial"/>
        </w:rPr>
      </w:pPr>
    </w:p>
    <w:p w:rsidR="007E4145" w:rsidRPr="00AA1E26" w:rsidRDefault="007E4145" w:rsidP="00AA1E26">
      <w:pPr>
        <w:rPr>
          <w:rFonts w:cs="Arial"/>
        </w:rPr>
      </w:pPr>
    </w:p>
    <w:p w:rsidR="00AA1E26" w:rsidRPr="005D67C0" w:rsidRDefault="00AA1E26" w:rsidP="00AA1E26">
      <w:pPr>
        <w:rPr>
          <w:rFonts w:eastAsiaTheme="minorHAnsi" w:cs="Arial"/>
          <w:b/>
          <w:bCs/>
          <w:color w:val="000000" w:themeColor="text1"/>
          <w:kern w:val="0"/>
          <w:lang w:eastAsia="en-US"/>
        </w:rPr>
      </w:pPr>
      <w:proofErr w:type="gramStart"/>
      <w:r w:rsidRPr="005D67C0">
        <w:rPr>
          <w:rFonts w:eastAsiaTheme="minorHAnsi" w:cs="Arial"/>
          <w:b/>
          <w:bCs/>
          <w:color w:val="000000" w:themeColor="text1"/>
          <w:kern w:val="0"/>
          <w:lang w:eastAsia="en-US"/>
        </w:rPr>
        <w:lastRenderedPageBreak/>
        <w:t>Figure 1.</w:t>
      </w:r>
      <w:r w:rsidR="0029589D" w:rsidRPr="005D67C0">
        <w:rPr>
          <w:rFonts w:eastAsiaTheme="minorHAnsi" w:cs="Arial"/>
          <w:b/>
          <w:bCs/>
          <w:color w:val="000000" w:themeColor="text1"/>
          <w:kern w:val="0"/>
          <w:lang w:eastAsia="en-US"/>
        </w:rPr>
        <w:t>4</w:t>
      </w:r>
      <w:r w:rsidRPr="005D67C0">
        <w:rPr>
          <w:rFonts w:eastAsiaTheme="minorHAnsi" w:cs="Arial"/>
          <w:b/>
          <w:bCs/>
          <w:color w:val="000000" w:themeColor="text1"/>
          <w:kern w:val="0"/>
          <w:lang w:eastAsia="en-US"/>
        </w:rPr>
        <w:t>.</w:t>
      </w:r>
      <w:proofErr w:type="gramEnd"/>
      <w:r w:rsidRPr="005D67C0">
        <w:rPr>
          <w:rFonts w:eastAsiaTheme="minorHAnsi" w:cs="Arial"/>
          <w:b/>
          <w:bCs/>
          <w:color w:val="000000" w:themeColor="text1"/>
          <w:kern w:val="0"/>
          <w:lang w:eastAsia="en-US"/>
        </w:rPr>
        <w:t xml:space="preserve"> </w:t>
      </w:r>
      <w:r w:rsidR="007E4145">
        <w:rPr>
          <w:rFonts w:eastAsiaTheme="minorHAnsi" w:cs="Arial"/>
          <w:b/>
          <w:bCs/>
          <w:color w:val="000000" w:themeColor="text1"/>
          <w:kern w:val="0"/>
          <w:lang w:eastAsia="en-US"/>
        </w:rPr>
        <w:t xml:space="preserve"> </w:t>
      </w:r>
      <w:r w:rsidRPr="005D67C0">
        <w:rPr>
          <w:rFonts w:eastAsiaTheme="minorHAnsi" w:cs="Arial"/>
          <w:b/>
          <w:bCs/>
          <w:color w:val="000000" w:themeColor="text1"/>
          <w:kern w:val="0"/>
          <w:lang w:eastAsia="en-US"/>
        </w:rPr>
        <w:t>Utility model and patent for invention</w:t>
      </w:r>
      <w:r w:rsidR="00EA1CE2" w:rsidRPr="005D67C0">
        <w:rPr>
          <w:rFonts w:eastAsiaTheme="minorHAnsi" w:cs="Arial"/>
          <w:b/>
          <w:bCs/>
          <w:color w:val="000000" w:themeColor="text1"/>
          <w:kern w:val="0"/>
          <w:lang w:eastAsia="en-US"/>
        </w:rPr>
        <w:t xml:space="preserve"> originated families, 1970-2009</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1E26" w:rsidRPr="0018724E" w:rsidRDefault="00AA1E26" w:rsidP="005D67C0">
      <w:pPr>
        <w:widowControl/>
        <w:contextualSpacing/>
        <w:jc w:val="left"/>
        <w:rPr>
          <w:rFonts w:eastAsiaTheme="minorHAnsi" w:cs="Arial"/>
          <w:bCs/>
          <w:color w:val="000000" w:themeColor="text1"/>
          <w:kern w:val="0"/>
          <w:sz w:val="20"/>
          <w:szCs w:val="20"/>
          <w:lang w:eastAsia="en-US"/>
        </w:rPr>
      </w:pPr>
      <w:r w:rsidRPr="0018724E">
        <w:rPr>
          <w:rFonts w:eastAsiaTheme="minorHAnsi" w:cs="Arial"/>
          <w:bCs/>
          <w:color w:val="000000" w:themeColor="text1"/>
          <w:kern w:val="0"/>
          <w:sz w:val="20"/>
          <w:szCs w:val="20"/>
          <w:lang w:eastAsia="en-US"/>
        </w:rPr>
        <w:t xml:space="preserve">Source: WIPO </w:t>
      </w:r>
      <w:r w:rsidR="00EA1CE2" w:rsidRPr="0018724E">
        <w:rPr>
          <w:rFonts w:eastAsiaTheme="minorHAnsi" w:cs="Arial"/>
          <w:bCs/>
          <w:color w:val="000000" w:themeColor="text1"/>
          <w:kern w:val="0"/>
          <w:sz w:val="20"/>
          <w:szCs w:val="20"/>
          <w:lang w:eastAsia="en-US"/>
        </w:rPr>
        <w:t>IP Statistics Database</w:t>
      </w:r>
      <w:r w:rsidRPr="0018724E">
        <w:rPr>
          <w:rFonts w:eastAsiaTheme="minorHAnsi" w:cs="Arial"/>
          <w:bCs/>
          <w:color w:val="000000" w:themeColor="text1"/>
          <w:kern w:val="0"/>
          <w:sz w:val="20"/>
          <w:szCs w:val="20"/>
          <w:lang w:eastAsia="en-US"/>
        </w:rPr>
        <w:t xml:space="preserve">. </w:t>
      </w:r>
    </w:p>
    <w:p w:rsidR="00AA1E26" w:rsidRDefault="00AA1E26" w:rsidP="005D67C0">
      <w:pPr>
        <w:jc w:val="left"/>
        <w:rPr>
          <w:rFonts w:cs="Arial"/>
        </w:rPr>
      </w:pPr>
    </w:p>
    <w:p w:rsidR="0039059A" w:rsidRDefault="00413975" w:rsidP="005D67C0">
      <w:pPr>
        <w:jc w:val="left"/>
        <w:rPr>
          <w:rFonts w:cs="Arial"/>
        </w:rPr>
      </w:pPr>
      <w:r>
        <w:rPr>
          <w:rFonts w:cs="Arial"/>
        </w:rPr>
        <w:t>That said</w:t>
      </w:r>
      <w:proofErr w:type="gramStart"/>
      <w:r>
        <w:rPr>
          <w:rFonts w:cs="Arial"/>
        </w:rPr>
        <w:t>,</w:t>
      </w:r>
      <w:proofErr w:type="gramEnd"/>
      <w:r>
        <w:rPr>
          <w:rFonts w:cs="Arial"/>
        </w:rPr>
        <w:t xml:space="preserve"> the share of Chinese patents which get filed abroad </w:t>
      </w:r>
      <w:r w:rsidR="00CB069F">
        <w:rPr>
          <w:rFonts w:cs="Arial"/>
        </w:rPr>
        <w:t>is still</w:t>
      </w:r>
      <w:r>
        <w:rPr>
          <w:rFonts w:cs="Arial"/>
        </w:rPr>
        <w:t xml:space="preserve"> a fraction of total patents filed at home. </w:t>
      </w:r>
      <w:r w:rsidR="004F7F01" w:rsidRPr="00212D29">
        <w:rPr>
          <w:rFonts w:cs="Arial"/>
        </w:rPr>
        <w:t xml:space="preserve">According to the assembled data the total number of Chinese foreign-oriented patent families within the period of 1985-2012 equals 64,969. Within the same period there </w:t>
      </w:r>
      <w:r w:rsidR="004F7F01">
        <w:rPr>
          <w:rFonts w:cs="Arial"/>
        </w:rPr>
        <w:t xml:space="preserve">have been </w:t>
      </w:r>
      <w:r w:rsidR="004F7F01" w:rsidRPr="00212D29">
        <w:rPr>
          <w:rFonts w:cs="Arial"/>
        </w:rPr>
        <w:t>2,604,707 domestic patent families applied by Chinese residents.</w:t>
      </w:r>
      <w:r w:rsidR="00A35C44">
        <w:rPr>
          <w:rFonts w:cs="Arial"/>
        </w:rPr>
        <w:t xml:space="preserve"> </w:t>
      </w:r>
      <w:r w:rsidR="00CB069F">
        <w:rPr>
          <w:rFonts w:cs="Arial"/>
        </w:rPr>
        <w:t>In both cases, this includes UM-based applications.</w:t>
      </w:r>
    </w:p>
    <w:p w:rsidR="0039059A" w:rsidRDefault="0039059A" w:rsidP="005D67C0">
      <w:pPr>
        <w:jc w:val="left"/>
        <w:rPr>
          <w:rFonts w:cs="Arial"/>
        </w:rPr>
      </w:pPr>
    </w:p>
    <w:p w:rsidR="00813017" w:rsidRDefault="0039059A" w:rsidP="005D67C0">
      <w:pPr>
        <w:jc w:val="left"/>
        <w:rPr>
          <w:rFonts w:cs="Arial"/>
        </w:rPr>
      </w:pPr>
      <w:r>
        <w:rPr>
          <w:rFonts w:cs="Arial"/>
        </w:rPr>
        <w:t xml:space="preserve">One can narrow this comparison down further to invention patents to have more comparable figures. </w:t>
      </w:r>
      <w:r w:rsidR="005D67C0">
        <w:rPr>
          <w:rFonts w:cs="Arial"/>
        </w:rPr>
        <w:t xml:space="preserve"> </w:t>
      </w:r>
      <w:r w:rsidR="00813017">
        <w:rPr>
          <w:rFonts w:cs="Arial"/>
        </w:rPr>
        <w:t>As shown in Figure 1.</w:t>
      </w:r>
      <w:r w:rsidR="0029589D">
        <w:rPr>
          <w:rFonts w:cs="Arial"/>
        </w:rPr>
        <w:t>5</w:t>
      </w:r>
      <w:r w:rsidR="00813017">
        <w:rPr>
          <w:rFonts w:cs="Arial"/>
        </w:rPr>
        <w:t xml:space="preserve">, </w:t>
      </w:r>
      <w:r w:rsidR="00062BF5">
        <w:rPr>
          <w:rFonts w:cs="Arial"/>
        </w:rPr>
        <w:t>r</w:t>
      </w:r>
      <w:r w:rsidR="00062BF5" w:rsidRPr="007D4711">
        <w:rPr>
          <w:rFonts w:cs="Arial"/>
        </w:rPr>
        <w:t>oughly speaking, for every 16 domestic families</w:t>
      </w:r>
      <w:r w:rsidR="006B1F41" w:rsidRPr="007D4711">
        <w:rPr>
          <w:rFonts w:cs="Arial"/>
        </w:rPr>
        <w:t xml:space="preserve"> starting with an invention patent</w:t>
      </w:r>
      <w:r w:rsidR="00062BF5" w:rsidRPr="007D4711">
        <w:rPr>
          <w:rFonts w:cs="Arial"/>
        </w:rPr>
        <w:t xml:space="preserve">, there is one foreign-oriented patent family – of which each might contain several patents in multiple jurisdictions. </w:t>
      </w:r>
      <w:r w:rsidR="005D67C0">
        <w:rPr>
          <w:rFonts w:cs="Arial"/>
        </w:rPr>
        <w:t xml:space="preserve"> </w:t>
      </w:r>
      <w:r w:rsidR="00EF6B26">
        <w:rPr>
          <w:rFonts w:cs="Arial"/>
        </w:rPr>
        <w:t>In other word</w:t>
      </w:r>
      <w:r w:rsidR="00E86EA4">
        <w:rPr>
          <w:rFonts w:cs="Arial"/>
        </w:rPr>
        <w:t>s</w:t>
      </w:r>
      <w:r w:rsidR="00EF6B26">
        <w:rPr>
          <w:rFonts w:cs="Arial"/>
        </w:rPr>
        <w:t>, the share of foreign-oriented in all patent families by Chinese residents is between 5 and 6%.</w:t>
      </w:r>
      <w:r w:rsidR="005D67C0">
        <w:rPr>
          <w:rFonts w:cs="Arial"/>
        </w:rPr>
        <w:t xml:space="preserve"> </w:t>
      </w:r>
      <w:r w:rsidR="00EF6B26">
        <w:rPr>
          <w:rFonts w:cs="Arial"/>
        </w:rPr>
        <w:t xml:space="preserve"> </w:t>
      </w:r>
      <w:r w:rsidR="00813017">
        <w:rPr>
          <w:rFonts w:cs="Arial"/>
        </w:rPr>
        <w:t>Relative to the growth of domestic patent families, the growth of foreign-oriented families has been much faster on average, admittedly from a lower level.</w:t>
      </w:r>
    </w:p>
    <w:p w:rsidR="00813017" w:rsidRDefault="00813017" w:rsidP="00813017">
      <w:pPr>
        <w:rPr>
          <w:rFonts w:cs="Arial"/>
        </w:rPr>
      </w:pPr>
    </w:p>
    <w:p w:rsidR="00813017" w:rsidRPr="005D67C0" w:rsidRDefault="00813017" w:rsidP="00AB5DF6">
      <w:pPr>
        <w:keepNext/>
        <w:rPr>
          <w:rFonts w:eastAsiaTheme="minorHAnsi" w:cs="Arial"/>
          <w:b/>
          <w:bCs/>
          <w:color w:val="000000" w:themeColor="text1"/>
          <w:kern w:val="0"/>
          <w:lang w:eastAsia="en-US"/>
        </w:rPr>
      </w:pPr>
      <w:proofErr w:type="gramStart"/>
      <w:r w:rsidRPr="005D67C0">
        <w:rPr>
          <w:rFonts w:eastAsiaTheme="minorHAnsi" w:cs="Arial"/>
          <w:b/>
          <w:bCs/>
          <w:color w:val="000000" w:themeColor="text1"/>
          <w:kern w:val="0"/>
          <w:lang w:eastAsia="en-US"/>
        </w:rPr>
        <w:lastRenderedPageBreak/>
        <w:t>Figure 1.</w:t>
      </w:r>
      <w:r w:rsidR="0029589D" w:rsidRPr="005D67C0">
        <w:rPr>
          <w:rFonts w:eastAsiaTheme="minorHAnsi" w:cs="Arial"/>
          <w:b/>
          <w:bCs/>
          <w:color w:val="000000" w:themeColor="text1"/>
          <w:kern w:val="0"/>
          <w:lang w:eastAsia="en-US"/>
        </w:rPr>
        <w:t>5</w:t>
      </w:r>
      <w:r w:rsidRPr="005D67C0">
        <w:rPr>
          <w:rFonts w:eastAsiaTheme="minorHAnsi" w:cs="Arial"/>
          <w:b/>
          <w:bCs/>
          <w:color w:val="000000" w:themeColor="text1"/>
          <w:kern w:val="0"/>
          <w:lang w:eastAsia="en-US"/>
        </w:rPr>
        <w:t>.</w:t>
      </w:r>
      <w:proofErr w:type="gramEnd"/>
      <w:r w:rsidRPr="005D67C0">
        <w:rPr>
          <w:rFonts w:eastAsiaTheme="minorHAnsi" w:cs="Arial"/>
          <w:b/>
          <w:bCs/>
          <w:color w:val="000000" w:themeColor="text1"/>
          <w:kern w:val="0"/>
          <w:lang w:eastAsia="en-US"/>
        </w:rPr>
        <w:t xml:space="preserve"> </w:t>
      </w:r>
      <w:r w:rsidR="00AB5DF6">
        <w:rPr>
          <w:rFonts w:eastAsiaTheme="minorHAnsi" w:cs="Arial"/>
          <w:b/>
          <w:bCs/>
          <w:color w:val="000000" w:themeColor="text1"/>
          <w:kern w:val="0"/>
          <w:lang w:eastAsia="en-US"/>
        </w:rPr>
        <w:t xml:space="preserve"> </w:t>
      </w:r>
      <w:r w:rsidRPr="005D67C0">
        <w:rPr>
          <w:rFonts w:eastAsiaTheme="minorHAnsi" w:cs="Arial"/>
          <w:b/>
          <w:bCs/>
          <w:color w:val="000000" w:themeColor="text1"/>
          <w:kern w:val="0"/>
          <w:lang w:eastAsia="en-US"/>
        </w:rPr>
        <w:t>Growth rates of Chinese domestic pa</w:t>
      </w:r>
      <w:r w:rsidR="009135AF" w:rsidRPr="005D67C0">
        <w:rPr>
          <w:rFonts w:eastAsiaTheme="minorHAnsi" w:cs="Arial"/>
          <w:b/>
          <w:bCs/>
          <w:color w:val="000000" w:themeColor="text1"/>
          <w:kern w:val="0"/>
          <w:lang w:eastAsia="en-US"/>
        </w:rPr>
        <w:t>tent families, 1994</w:t>
      </w:r>
      <w:r w:rsidR="003131F0" w:rsidRPr="005D67C0">
        <w:rPr>
          <w:rFonts w:eastAsiaTheme="minorHAnsi" w:cs="Arial"/>
          <w:b/>
          <w:bCs/>
          <w:color w:val="000000" w:themeColor="text1"/>
          <w:kern w:val="0"/>
          <w:lang w:eastAsia="en-US"/>
        </w:rPr>
        <w:t>-2008</w:t>
      </w:r>
    </w:p>
    <w:p w:rsidR="005340F0" w:rsidRDefault="00813017" w:rsidP="00AB5DF6">
      <w:pPr>
        <w:keepNext/>
        <w:rPr>
          <w:rFonts w:cs="Arial"/>
        </w:rPr>
      </w:pPr>
      <w:r>
        <w:rPr>
          <w:noProof/>
          <w:lang w:eastAsia="en-US"/>
        </w:rPr>
        <w:drawing>
          <wp:inline distT="0" distB="0" distL="0" distR="0" wp14:anchorId="4B26DDA8" wp14:editId="2D124C0D">
            <wp:extent cx="5520905" cy="2536166"/>
            <wp:effectExtent l="0" t="0" r="3810" b="0"/>
            <wp:docPr id="30" name="Picture 30" descr="cid:image001.png@01CF4F56.B46BA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CF4F56.B46BA9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530031" cy="2540358"/>
                    </a:xfrm>
                    <a:prstGeom prst="rect">
                      <a:avLst/>
                    </a:prstGeom>
                    <a:noFill/>
                    <a:ln>
                      <a:noFill/>
                    </a:ln>
                  </pic:spPr>
                </pic:pic>
              </a:graphicData>
            </a:graphic>
          </wp:inline>
        </w:drawing>
      </w:r>
    </w:p>
    <w:p w:rsidR="009D0302" w:rsidRDefault="00BA01CA" w:rsidP="00AE3684">
      <w:pPr>
        <w:jc w:val="left"/>
        <w:rPr>
          <w:rFonts w:cs="Arial"/>
        </w:rPr>
      </w:pPr>
      <w:r>
        <w:rPr>
          <w:rFonts w:cs="Arial"/>
        </w:rPr>
        <w:t xml:space="preserve">When comparing to high-income countries such as Germany, Japan or the US it becomes apparent that these countries have significantly higher shares of </w:t>
      </w:r>
      <w:r w:rsidR="002A135D">
        <w:rPr>
          <w:rFonts w:cs="Arial"/>
        </w:rPr>
        <w:t>foreign-oriented to total patent families</w:t>
      </w:r>
      <w:r w:rsidR="0029589D">
        <w:rPr>
          <w:rFonts w:cs="Arial"/>
        </w:rPr>
        <w:t xml:space="preserve"> (</w:t>
      </w:r>
      <w:r w:rsidR="003131F0">
        <w:rPr>
          <w:rFonts w:cs="Arial"/>
        </w:rPr>
        <w:t xml:space="preserve">see Figures </w:t>
      </w:r>
      <w:r w:rsidR="0029589D">
        <w:rPr>
          <w:rFonts w:cs="Arial"/>
        </w:rPr>
        <w:t>1.6-1.8)</w:t>
      </w:r>
      <w:r w:rsidR="002A135D">
        <w:rPr>
          <w:rFonts w:cs="Arial"/>
        </w:rPr>
        <w:t xml:space="preserve">. </w:t>
      </w:r>
      <w:r w:rsidR="00AE3684">
        <w:rPr>
          <w:rFonts w:cs="Arial"/>
        </w:rPr>
        <w:t xml:space="preserve"> </w:t>
      </w:r>
      <w:r w:rsidR="002A135D">
        <w:rPr>
          <w:rFonts w:cs="Arial"/>
        </w:rPr>
        <w:t xml:space="preserve">In the case of Germany </w:t>
      </w:r>
      <w:r w:rsidR="00BA626C">
        <w:rPr>
          <w:rFonts w:cs="Arial"/>
        </w:rPr>
        <w:t xml:space="preserve">with around 60%, </w:t>
      </w:r>
      <w:r w:rsidR="00BE206F">
        <w:rPr>
          <w:rFonts w:cs="Arial"/>
        </w:rPr>
        <w:t>and</w:t>
      </w:r>
      <w:r w:rsidR="002A135D">
        <w:rPr>
          <w:rFonts w:cs="Arial"/>
        </w:rPr>
        <w:t xml:space="preserve"> the US </w:t>
      </w:r>
      <w:r w:rsidR="00BA626C">
        <w:rPr>
          <w:rFonts w:cs="Arial"/>
        </w:rPr>
        <w:t xml:space="preserve">with around 50% </w:t>
      </w:r>
      <w:r w:rsidR="00BE206F">
        <w:rPr>
          <w:rFonts w:cs="Arial"/>
        </w:rPr>
        <w:t xml:space="preserve">– but less so Japan </w:t>
      </w:r>
      <w:r w:rsidR="00BA626C">
        <w:rPr>
          <w:rFonts w:cs="Arial"/>
        </w:rPr>
        <w:t xml:space="preserve">with less than 20% </w:t>
      </w:r>
      <w:r w:rsidR="00BE206F">
        <w:rPr>
          <w:rFonts w:cs="Arial"/>
        </w:rPr>
        <w:t xml:space="preserve">- </w:t>
      </w:r>
      <w:r w:rsidR="002A135D">
        <w:rPr>
          <w:rFonts w:cs="Arial"/>
        </w:rPr>
        <w:t xml:space="preserve">the </w:t>
      </w:r>
      <w:r w:rsidR="006460CE">
        <w:rPr>
          <w:rFonts w:cs="Arial"/>
        </w:rPr>
        <w:t>wedge between domestic and foreign-oriented patent families in terms of volume and growth is also significantly smaller</w:t>
      </w:r>
      <w:r w:rsidR="00BA626C">
        <w:rPr>
          <w:rFonts w:cs="Arial"/>
        </w:rPr>
        <w:t xml:space="preserve"> in these high-income economies</w:t>
      </w:r>
      <w:r w:rsidR="006460CE">
        <w:rPr>
          <w:rFonts w:cs="Arial"/>
        </w:rPr>
        <w:t xml:space="preserve">. </w:t>
      </w:r>
    </w:p>
    <w:p w:rsidR="00BE206F" w:rsidRDefault="00BE206F" w:rsidP="004F7F01">
      <w:pPr>
        <w:rPr>
          <w:rFonts w:cs="Arial"/>
        </w:rPr>
      </w:pPr>
    </w:p>
    <w:p w:rsidR="00AD2A79" w:rsidRDefault="0029589D" w:rsidP="004F7F01">
      <w:pPr>
        <w:rPr>
          <w:rFonts w:cs="Arial"/>
        </w:rPr>
      </w:pPr>
      <w:proofErr w:type="gramStart"/>
      <w:r>
        <w:rPr>
          <w:rFonts w:cs="Arial"/>
        </w:rPr>
        <w:t>Figure</w:t>
      </w:r>
      <w:r w:rsidR="003131F0">
        <w:rPr>
          <w:rFonts w:cs="Arial"/>
        </w:rPr>
        <w:t>s</w:t>
      </w:r>
      <w:r>
        <w:rPr>
          <w:rFonts w:cs="Arial"/>
        </w:rPr>
        <w:t xml:space="preserve"> 1.6-</w:t>
      </w:r>
      <w:r w:rsidR="003131F0">
        <w:rPr>
          <w:rFonts w:cs="Arial"/>
        </w:rPr>
        <w:t>1.8.</w:t>
      </w:r>
      <w:proofErr w:type="gramEnd"/>
      <w:r w:rsidR="00AD2A79">
        <w:rPr>
          <w:rFonts w:cs="Arial"/>
        </w:rPr>
        <w:t xml:space="preserve"> Domestic and foreign-oriented patent families compared, selected high-income countries, 1994-2008</w:t>
      </w:r>
      <w:r w:rsidR="006E4E78">
        <w:rPr>
          <w:rFonts w:cs="Arial"/>
        </w:rPr>
        <w:t>, left axis is the number of domestic and foreign-oriented patent families (blue and red line), right axis is the share of foreign-oriented in total families (green bars).</w:t>
      </w:r>
    </w:p>
    <w:p w:rsidR="00AE3684" w:rsidRDefault="00AE3684">
      <w:pPr>
        <w:widowControl/>
        <w:jc w:val="left"/>
        <w:rPr>
          <w:rFonts w:cs="Arial"/>
        </w:rPr>
      </w:pPr>
      <w:r>
        <w:rPr>
          <w:rFonts w:cs="Arial"/>
        </w:rPr>
        <w:br w:type="page"/>
      </w:r>
    </w:p>
    <w:tbl>
      <w:tblPr>
        <w:tblStyle w:val="TableGrid"/>
        <w:tblW w:w="8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12FF3" w:rsidTr="00AE3684">
        <w:tc>
          <w:tcPr>
            <w:tcW w:w="8612" w:type="dxa"/>
          </w:tcPr>
          <w:p w:rsidR="00E12FF3" w:rsidRPr="008E537C" w:rsidRDefault="00E12FF3" w:rsidP="00FC55B4">
            <w:pPr>
              <w:jc w:val="center"/>
              <w:rPr>
                <w:rFonts w:cs="Arial"/>
                <w:b/>
              </w:rPr>
            </w:pPr>
            <w:r w:rsidRPr="008E537C">
              <w:rPr>
                <w:rFonts w:cs="Arial"/>
                <w:b/>
              </w:rPr>
              <w:lastRenderedPageBreak/>
              <w:t>Germany</w:t>
            </w:r>
          </w:p>
          <w:p w:rsidR="00E12FF3" w:rsidRDefault="00AD2A79" w:rsidP="00755A18">
            <w:pPr>
              <w:jc w:val="center"/>
              <w:rPr>
                <w:rFonts w:cs="Arial"/>
              </w:rPr>
            </w:pPr>
            <w:r>
              <w:rPr>
                <w:rFonts w:cs="Arial"/>
                <w:noProof/>
                <w:lang w:eastAsia="en-US"/>
              </w:rPr>
              <w:drawing>
                <wp:inline distT="0" distB="0" distL="0" distR="0" wp14:anchorId="5B7830B8" wp14:editId="2CF1EF6B">
                  <wp:extent cx="5400136" cy="219111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420580" cy="2199405"/>
                          </a:xfrm>
                          <a:prstGeom prst="rect">
                            <a:avLst/>
                          </a:prstGeom>
                          <a:noFill/>
                          <a:ln w="9525">
                            <a:noFill/>
                            <a:miter lim="800000"/>
                            <a:headEnd/>
                            <a:tailEnd/>
                          </a:ln>
                        </pic:spPr>
                      </pic:pic>
                    </a:graphicData>
                  </a:graphic>
                </wp:inline>
              </w:drawing>
            </w:r>
          </w:p>
        </w:tc>
      </w:tr>
      <w:tr w:rsidR="00E12FF3" w:rsidTr="00AE3684">
        <w:tc>
          <w:tcPr>
            <w:tcW w:w="8612" w:type="dxa"/>
          </w:tcPr>
          <w:p w:rsidR="009E78A7" w:rsidRDefault="009E78A7" w:rsidP="00755A18">
            <w:pPr>
              <w:jc w:val="center"/>
              <w:rPr>
                <w:rFonts w:cs="Arial"/>
              </w:rPr>
            </w:pPr>
          </w:p>
          <w:p w:rsidR="00E12FF3" w:rsidRDefault="00BC34B1" w:rsidP="00755A18">
            <w:pPr>
              <w:jc w:val="center"/>
              <w:rPr>
                <w:rFonts w:cs="Arial"/>
              </w:rPr>
            </w:pPr>
            <w:r w:rsidRPr="008E537C">
              <w:rPr>
                <w:rFonts w:cs="Arial"/>
                <w:b/>
              </w:rPr>
              <w:t>United States</w:t>
            </w:r>
            <w:r w:rsidR="00AD2A79" w:rsidRPr="008E537C">
              <w:rPr>
                <w:rFonts w:cs="Arial"/>
                <w:b/>
              </w:rPr>
              <w:t xml:space="preserve"> of America</w:t>
            </w:r>
            <w:r w:rsidR="00AD2A79">
              <w:rPr>
                <w:rFonts w:cs="Arial"/>
              </w:rPr>
              <w:br/>
            </w:r>
            <w:r>
              <w:rPr>
                <w:rFonts w:cs="Arial"/>
                <w:noProof/>
                <w:lang w:eastAsia="en-US"/>
              </w:rPr>
              <w:drawing>
                <wp:inline distT="0" distB="0" distL="0" distR="0" wp14:anchorId="587A96EA" wp14:editId="71FC6DF0">
                  <wp:extent cx="5227606" cy="2363637"/>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231801" cy="2365534"/>
                          </a:xfrm>
                          <a:prstGeom prst="rect">
                            <a:avLst/>
                          </a:prstGeom>
                          <a:noFill/>
                          <a:ln w="9525">
                            <a:noFill/>
                            <a:miter lim="800000"/>
                            <a:headEnd/>
                            <a:tailEnd/>
                          </a:ln>
                        </pic:spPr>
                      </pic:pic>
                    </a:graphicData>
                  </a:graphic>
                </wp:inline>
              </w:drawing>
            </w:r>
          </w:p>
        </w:tc>
      </w:tr>
      <w:tr w:rsidR="00E12FF3" w:rsidTr="00AE3684">
        <w:tc>
          <w:tcPr>
            <w:tcW w:w="8612" w:type="dxa"/>
          </w:tcPr>
          <w:p w:rsidR="009744D6" w:rsidRDefault="009744D6" w:rsidP="00FC55B4">
            <w:pPr>
              <w:jc w:val="center"/>
              <w:rPr>
                <w:rFonts w:cs="Arial"/>
              </w:rPr>
            </w:pPr>
          </w:p>
          <w:p w:rsidR="0042203E" w:rsidRPr="008E537C" w:rsidRDefault="00BC34B1" w:rsidP="00FC55B4">
            <w:pPr>
              <w:jc w:val="center"/>
              <w:rPr>
                <w:rFonts w:cs="Arial"/>
                <w:b/>
              </w:rPr>
            </w:pPr>
            <w:r w:rsidRPr="008E537C">
              <w:rPr>
                <w:rFonts w:cs="Arial"/>
                <w:b/>
              </w:rPr>
              <w:t>Japan</w:t>
            </w:r>
          </w:p>
          <w:p w:rsidR="00E12FF3" w:rsidRDefault="0042203E" w:rsidP="00755A18">
            <w:pPr>
              <w:jc w:val="center"/>
              <w:rPr>
                <w:rFonts w:cs="Arial"/>
              </w:rPr>
            </w:pPr>
            <w:r w:rsidRPr="0042203E">
              <w:rPr>
                <w:rFonts w:cs="Arial"/>
                <w:noProof/>
                <w:lang w:eastAsia="en-US"/>
              </w:rPr>
              <w:drawing>
                <wp:inline distT="0" distB="0" distL="0" distR="0" wp14:anchorId="7C1295B5" wp14:editId="700634D1">
                  <wp:extent cx="5348378" cy="2342949"/>
                  <wp:effectExtent l="0" t="0" r="5080" b="635"/>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359323" cy="2347744"/>
                          </a:xfrm>
                          <a:prstGeom prst="rect">
                            <a:avLst/>
                          </a:prstGeom>
                          <a:noFill/>
                          <a:ln w="9525">
                            <a:noFill/>
                            <a:miter lim="800000"/>
                            <a:headEnd/>
                            <a:tailEnd/>
                          </a:ln>
                        </pic:spPr>
                      </pic:pic>
                    </a:graphicData>
                  </a:graphic>
                </wp:inline>
              </w:drawing>
            </w:r>
          </w:p>
        </w:tc>
      </w:tr>
    </w:tbl>
    <w:p w:rsidR="009D0302" w:rsidRPr="00212D29" w:rsidRDefault="009D0302" w:rsidP="004F7F01">
      <w:pPr>
        <w:rPr>
          <w:rFonts w:cs="Arial"/>
        </w:rPr>
      </w:pPr>
    </w:p>
    <w:p w:rsidR="00AA1E26" w:rsidRPr="00AA1E26" w:rsidRDefault="00AA1E26" w:rsidP="00AE3684">
      <w:pPr>
        <w:jc w:val="left"/>
        <w:rPr>
          <w:rFonts w:cs="Arial"/>
        </w:rPr>
      </w:pPr>
      <w:r w:rsidRPr="00AA1E26">
        <w:rPr>
          <w:rFonts w:cs="Arial"/>
        </w:rPr>
        <w:t xml:space="preserve">The next section describes the </w:t>
      </w:r>
      <w:r w:rsidRPr="001C14B4">
        <w:rPr>
          <w:rFonts w:cs="Arial"/>
        </w:rPr>
        <w:t xml:space="preserve">main </w:t>
      </w:r>
      <w:r w:rsidR="001C14B4" w:rsidRPr="001C14B4">
        <w:rPr>
          <w:rFonts w:cs="Arial"/>
        </w:rPr>
        <w:t>destination</w:t>
      </w:r>
      <w:r w:rsidR="001C14B4">
        <w:rPr>
          <w:rFonts w:cs="Arial"/>
        </w:rPr>
        <w:t>s</w:t>
      </w:r>
      <w:r w:rsidRPr="001C14B4">
        <w:rPr>
          <w:rFonts w:cs="Arial"/>
        </w:rPr>
        <w:t xml:space="preserve"> </w:t>
      </w:r>
      <w:r w:rsidR="00713A27" w:rsidRPr="001C14B4">
        <w:rPr>
          <w:rFonts w:cs="Arial"/>
        </w:rPr>
        <w:t>of</w:t>
      </w:r>
      <w:r w:rsidRPr="001C14B4">
        <w:rPr>
          <w:rFonts w:cs="Arial"/>
        </w:rPr>
        <w:t xml:space="preserve"> </w:t>
      </w:r>
      <w:r w:rsidR="00713A27" w:rsidRPr="001C14B4">
        <w:rPr>
          <w:rFonts w:cs="Arial"/>
        </w:rPr>
        <w:t>Chinese</w:t>
      </w:r>
      <w:r w:rsidR="00713A27">
        <w:rPr>
          <w:rFonts w:cs="Arial"/>
        </w:rPr>
        <w:t xml:space="preserve"> </w:t>
      </w:r>
      <w:r w:rsidRPr="00AA1E26">
        <w:rPr>
          <w:rFonts w:cs="Arial"/>
        </w:rPr>
        <w:t xml:space="preserve">patents </w:t>
      </w:r>
      <w:r w:rsidR="00713A27">
        <w:rPr>
          <w:rFonts w:cs="Arial"/>
        </w:rPr>
        <w:t>abroad</w:t>
      </w:r>
      <w:r w:rsidRPr="00AA1E26">
        <w:rPr>
          <w:rFonts w:cs="Arial"/>
        </w:rPr>
        <w:t xml:space="preserve">. </w:t>
      </w:r>
    </w:p>
    <w:p w:rsidR="00AA1E26" w:rsidRPr="00AA1E26" w:rsidRDefault="00AA1E26" w:rsidP="00AA1E26">
      <w:pPr>
        <w:rPr>
          <w:rFonts w:cs="Arial"/>
        </w:rPr>
      </w:pPr>
    </w:p>
    <w:p w:rsidR="00AA1E26" w:rsidRDefault="00E67A35" w:rsidP="00874BBE">
      <w:pPr>
        <w:pStyle w:val="Heading1"/>
        <w:widowControl/>
        <w:numPr>
          <w:ilvl w:val="0"/>
          <w:numId w:val="23"/>
        </w:numPr>
        <w:spacing w:before="0" w:after="0"/>
        <w:ind w:left="567" w:hanging="567"/>
        <w:jc w:val="left"/>
        <w:rPr>
          <w:rFonts w:cs="Arial"/>
          <w:szCs w:val="22"/>
        </w:rPr>
      </w:pPr>
      <w:r>
        <w:rPr>
          <w:rFonts w:cs="Arial"/>
          <w:szCs w:val="22"/>
        </w:rPr>
        <w:lastRenderedPageBreak/>
        <w:t>Destination</w:t>
      </w:r>
      <w:r w:rsidR="001C14B4">
        <w:rPr>
          <w:rFonts w:cs="Arial"/>
          <w:szCs w:val="22"/>
        </w:rPr>
        <w:t>s</w:t>
      </w:r>
      <w:r>
        <w:rPr>
          <w:rFonts w:cs="Arial"/>
          <w:szCs w:val="22"/>
        </w:rPr>
        <w:t xml:space="preserve"> of forei</w:t>
      </w:r>
      <w:r w:rsidR="002B1B55">
        <w:rPr>
          <w:rFonts w:cs="Arial"/>
          <w:szCs w:val="22"/>
        </w:rPr>
        <w:t>g</w:t>
      </w:r>
      <w:r>
        <w:rPr>
          <w:rFonts w:cs="Arial"/>
          <w:szCs w:val="22"/>
        </w:rPr>
        <w:t>n</w:t>
      </w:r>
      <w:r w:rsidR="002B1B55">
        <w:rPr>
          <w:rFonts w:cs="Arial"/>
          <w:szCs w:val="22"/>
        </w:rPr>
        <w:t xml:space="preserve">-oriented patent families by chinese residents </w:t>
      </w:r>
    </w:p>
    <w:p w:rsidR="0018724E" w:rsidRPr="0018724E" w:rsidRDefault="0018724E" w:rsidP="0018724E"/>
    <w:p w:rsidR="00880F4C" w:rsidRDefault="00880F4C" w:rsidP="0018724E">
      <w:pPr>
        <w:jc w:val="left"/>
        <w:rPr>
          <w:rFonts w:cs="Arial"/>
        </w:rPr>
      </w:pPr>
      <w:r>
        <w:rPr>
          <w:rFonts w:cs="Arial"/>
        </w:rPr>
        <w:t>F</w:t>
      </w:r>
      <w:r w:rsidRPr="002B1B55">
        <w:rPr>
          <w:rFonts w:cs="Arial"/>
        </w:rPr>
        <w:t>oreign-oriented patent families</w:t>
      </w:r>
      <w:r>
        <w:rPr>
          <w:rFonts w:cs="Arial"/>
        </w:rPr>
        <w:t xml:space="preserve"> can target one or several jurisdictions worldwide. </w:t>
      </w:r>
      <w:r w:rsidR="0018724E">
        <w:rPr>
          <w:rFonts w:cs="Arial"/>
        </w:rPr>
        <w:t xml:space="preserve"> </w:t>
      </w:r>
      <w:r w:rsidR="00F93410">
        <w:rPr>
          <w:rFonts w:cs="Arial"/>
        </w:rPr>
        <w:t xml:space="preserve">The amount </w:t>
      </w:r>
      <w:r w:rsidR="007F37DF">
        <w:rPr>
          <w:rFonts w:cs="Arial"/>
        </w:rPr>
        <w:t xml:space="preserve">and location </w:t>
      </w:r>
      <w:r w:rsidR="00F93410">
        <w:rPr>
          <w:rFonts w:cs="Arial"/>
        </w:rPr>
        <w:t xml:space="preserve">of </w:t>
      </w:r>
      <w:r w:rsidR="002A2FEF">
        <w:rPr>
          <w:rFonts w:cs="Arial"/>
        </w:rPr>
        <w:t>foreign jurisdictions in which a firm or an inventor will file for patent protection depends on many factors, most notably</w:t>
      </w:r>
      <w:r w:rsidR="00F93410">
        <w:rPr>
          <w:rFonts w:cs="Arial"/>
        </w:rPr>
        <w:t xml:space="preserve"> on (</w:t>
      </w:r>
      <w:r w:rsidR="007F37DF">
        <w:rPr>
          <w:rFonts w:cs="Arial"/>
        </w:rPr>
        <w:t>i</w:t>
      </w:r>
      <w:r w:rsidR="00F93410">
        <w:rPr>
          <w:rFonts w:cs="Arial"/>
        </w:rPr>
        <w:t xml:space="preserve">) </w:t>
      </w:r>
      <w:r w:rsidR="00CA4E55">
        <w:rPr>
          <w:rFonts w:cs="Arial"/>
        </w:rPr>
        <w:t>where an inventor’</w:t>
      </w:r>
      <w:r w:rsidR="007F37DF">
        <w:rPr>
          <w:rFonts w:cs="Arial"/>
        </w:rPr>
        <w:t xml:space="preserve">s </w:t>
      </w:r>
      <w:r w:rsidR="0025762A">
        <w:rPr>
          <w:rFonts w:cs="Arial"/>
        </w:rPr>
        <w:t xml:space="preserve">main </w:t>
      </w:r>
      <w:r w:rsidR="007F37DF">
        <w:rPr>
          <w:rFonts w:cs="Arial"/>
        </w:rPr>
        <w:t>markets are, (i</w:t>
      </w:r>
      <w:r w:rsidR="00CA4E55">
        <w:rPr>
          <w:rFonts w:cs="Arial"/>
        </w:rPr>
        <w:t>i</w:t>
      </w:r>
      <w:r w:rsidR="007F37DF">
        <w:rPr>
          <w:rFonts w:cs="Arial"/>
        </w:rPr>
        <w:t>)</w:t>
      </w:r>
      <w:r w:rsidR="007F37DF" w:rsidRPr="007F37DF">
        <w:t xml:space="preserve"> </w:t>
      </w:r>
      <w:r w:rsidR="007F37DF" w:rsidRPr="007F37DF">
        <w:rPr>
          <w:rFonts w:cs="Arial"/>
        </w:rPr>
        <w:t>where an inventor’s competitors and potential imitators are,</w:t>
      </w:r>
      <w:r w:rsidR="007F37DF">
        <w:rPr>
          <w:rFonts w:cs="Arial"/>
        </w:rPr>
        <w:t xml:space="preserve"> (iii) where an inventor might decide to assemble his or her products, and other busi</w:t>
      </w:r>
      <w:r w:rsidR="002A2FEF">
        <w:rPr>
          <w:rFonts w:cs="Arial"/>
        </w:rPr>
        <w:t>ness and strategic considerations.</w:t>
      </w:r>
      <w:r w:rsidR="0018724E">
        <w:rPr>
          <w:rFonts w:cs="Arial"/>
        </w:rPr>
        <w:t xml:space="preserve"> </w:t>
      </w:r>
      <w:r w:rsidR="002A2FEF">
        <w:rPr>
          <w:rFonts w:cs="Arial"/>
        </w:rPr>
        <w:t xml:space="preserve"> Cleary, the industry sector or the </w:t>
      </w:r>
      <w:r w:rsidR="00002F40">
        <w:rPr>
          <w:rFonts w:cs="Arial"/>
        </w:rPr>
        <w:t xml:space="preserve">technology field for which </w:t>
      </w:r>
      <w:r w:rsidR="001319D4">
        <w:rPr>
          <w:rFonts w:cs="Arial"/>
        </w:rPr>
        <w:t>the patents are applicable matter</w:t>
      </w:r>
      <w:r w:rsidR="00002F40">
        <w:rPr>
          <w:rFonts w:cs="Arial"/>
        </w:rPr>
        <w:t xml:space="preserve"> </w:t>
      </w:r>
      <w:r w:rsidR="001319D4">
        <w:rPr>
          <w:rFonts w:cs="Arial"/>
        </w:rPr>
        <w:t xml:space="preserve">greatly </w:t>
      </w:r>
      <w:r w:rsidR="00002F40">
        <w:rPr>
          <w:rFonts w:cs="Arial"/>
        </w:rPr>
        <w:t>as well.</w:t>
      </w:r>
    </w:p>
    <w:p w:rsidR="00880F4C" w:rsidRDefault="00880F4C" w:rsidP="0018724E">
      <w:pPr>
        <w:jc w:val="left"/>
        <w:rPr>
          <w:rFonts w:cs="Arial"/>
        </w:rPr>
      </w:pPr>
    </w:p>
    <w:p w:rsidR="00F93410" w:rsidRDefault="00713A27" w:rsidP="0018724E">
      <w:pPr>
        <w:jc w:val="left"/>
        <w:rPr>
          <w:rFonts w:cs="Arial"/>
        </w:rPr>
      </w:pPr>
      <w:r w:rsidRPr="002B1B55">
        <w:t xml:space="preserve">Despite the important rise of foreign-oriented patent families by Chinese residents, </w:t>
      </w:r>
      <w:r w:rsidR="0025762A">
        <w:t xml:space="preserve">still </w:t>
      </w:r>
      <w:r w:rsidR="00880F4C">
        <w:t>the m</w:t>
      </w:r>
      <w:r w:rsidR="00AA1E26" w:rsidRPr="002B1B55">
        <w:t>ajority of foreign-oriented paten</w:t>
      </w:r>
      <w:r w:rsidR="002F2230">
        <w:t xml:space="preserve">t families by Chinese residents, and thus about </w:t>
      </w:r>
      <w:r w:rsidR="00900464" w:rsidRPr="00900464">
        <w:t>70</w:t>
      </w:r>
      <w:r w:rsidR="002F2230" w:rsidRPr="00900464">
        <w:t>%</w:t>
      </w:r>
      <w:r w:rsidR="002F2230">
        <w:t xml:space="preserve">, </w:t>
      </w:r>
      <w:r w:rsidR="0025762A">
        <w:t>target</w:t>
      </w:r>
      <w:r w:rsidR="002F2230">
        <w:t xml:space="preserve"> just one foreign </w:t>
      </w:r>
      <w:r w:rsidR="0025762A">
        <w:t xml:space="preserve">IP </w:t>
      </w:r>
      <w:r w:rsidR="002F2230">
        <w:t xml:space="preserve">office </w:t>
      </w:r>
      <w:r w:rsidR="00AA1E26" w:rsidRPr="00AA1E26">
        <w:t>(see Figure 2.1).</w:t>
      </w:r>
      <w:r w:rsidR="002F2230">
        <w:rPr>
          <w:rStyle w:val="FootnoteReference"/>
          <w:rFonts w:cs="Arial"/>
        </w:rPr>
        <w:footnoteReference w:id="4"/>
      </w:r>
      <w:r w:rsidR="00AA1E26" w:rsidRPr="00AA1E26">
        <w:rPr>
          <w:b/>
        </w:rPr>
        <w:t xml:space="preserve"> </w:t>
      </w:r>
      <w:r w:rsidR="0018724E">
        <w:rPr>
          <w:b/>
        </w:rPr>
        <w:t xml:space="preserve"> </w:t>
      </w:r>
      <w:r w:rsidR="00F93410">
        <w:rPr>
          <w:rFonts w:cs="Arial"/>
        </w:rPr>
        <w:t xml:space="preserve">This is in contrast to </w:t>
      </w:r>
      <w:r w:rsidR="00F93410" w:rsidRPr="00AA1E26">
        <w:rPr>
          <w:rFonts w:cs="Arial"/>
        </w:rPr>
        <w:t xml:space="preserve">Japan and </w:t>
      </w:r>
      <w:r w:rsidR="0025762A">
        <w:rPr>
          <w:rFonts w:cs="Arial"/>
        </w:rPr>
        <w:t xml:space="preserve">the </w:t>
      </w:r>
      <w:r w:rsidR="0083546E">
        <w:rPr>
          <w:rFonts w:cs="Arial"/>
        </w:rPr>
        <w:t>Republic of Korea</w:t>
      </w:r>
      <w:r w:rsidR="00F93410" w:rsidRPr="00AA1E26">
        <w:rPr>
          <w:rFonts w:cs="Arial"/>
        </w:rPr>
        <w:t xml:space="preserve"> where foreign-oriented families with two foreign offices have the largest shares among total foreign-oriented patent families, while the shares of patent families with just one foreign office are small (17%</w:t>
      </w:r>
      <w:r w:rsidR="0025762A">
        <w:rPr>
          <w:rFonts w:cs="Arial"/>
        </w:rPr>
        <w:t xml:space="preserve"> in Japan</w:t>
      </w:r>
      <w:r w:rsidR="00F93410" w:rsidRPr="00AA1E26">
        <w:rPr>
          <w:rFonts w:cs="Arial"/>
        </w:rPr>
        <w:t xml:space="preserve"> and 15% </w:t>
      </w:r>
      <w:r w:rsidR="0025762A">
        <w:rPr>
          <w:rFonts w:cs="Arial"/>
        </w:rPr>
        <w:t>in the Republic of Korea</w:t>
      </w:r>
      <w:r w:rsidR="00F93410" w:rsidRPr="00AA1E26">
        <w:rPr>
          <w:rFonts w:cs="Arial"/>
        </w:rPr>
        <w:t>).</w:t>
      </w:r>
      <w:r w:rsidR="00F93410" w:rsidRPr="00C62D7F">
        <w:rPr>
          <w:rFonts w:cs="Arial"/>
        </w:rPr>
        <w:t xml:space="preserve"> </w:t>
      </w:r>
      <w:r w:rsidR="0018724E">
        <w:rPr>
          <w:rFonts w:cs="Arial"/>
        </w:rPr>
        <w:t xml:space="preserve"> </w:t>
      </w:r>
      <w:r w:rsidR="00F93410" w:rsidRPr="00AA1E26">
        <w:rPr>
          <w:rFonts w:cs="Arial"/>
        </w:rPr>
        <w:t xml:space="preserve">Foreign-oriented patent families </w:t>
      </w:r>
      <w:r w:rsidR="00F93410">
        <w:rPr>
          <w:rFonts w:cs="Arial"/>
        </w:rPr>
        <w:t xml:space="preserve">emanating from the </w:t>
      </w:r>
      <w:r w:rsidR="008A65E8">
        <w:rPr>
          <w:rFonts w:cs="Arial"/>
        </w:rPr>
        <w:t>US</w:t>
      </w:r>
      <w:r w:rsidR="00F93410">
        <w:rPr>
          <w:rFonts w:cs="Arial"/>
        </w:rPr>
        <w:t xml:space="preserve"> or Germany </w:t>
      </w:r>
      <w:r w:rsidR="00F93410" w:rsidRPr="00AA1E26">
        <w:rPr>
          <w:rFonts w:cs="Arial"/>
        </w:rPr>
        <w:t xml:space="preserve">with </w:t>
      </w:r>
      <w:r w:rsidR="00F93410">
        <w:rPr>
          <w:rFonts w:cs="Arial"/>
        </w:rPr>
        <w:t>only one</w:t>
      </w:r>
      <w:r w:rsidR="00F93410" w:rsidRPr="00AA1E26">
        <w:rPr>
          <w:rFonts w:cs="Arial"/>
        </w:rPr>
        <w:t xml:space="preserve"> foreign office </w:t>
      </w:r>
      <w:r w:rsidR="00F93410">
        <w:rPr>
          <w:rFonts w:cs="Arial"/>
        </w:rPr>
        <w:t xml:space="preserve">as target are also of lesser relative importance </w:t>
      </w:r>
      <w:r w:rsidR="0025762A">
        <w:rPr>
          <w:rFonts w:cs="Arial"/>
        </w:rPr>
        <w:t xml:space="preserve">than in China </w:t>
      </w:r>
      <w:r w:rsidR="00F93410">
        <w:rPr>
          <w:rFonts w:cs="Arial"/>
        </w:rPr>
        <w:t xml:space="preserve">with respectively </w:t>
      </w:r>
      <w:r w:rsidR="00F93410" w:rsidRPr="00AA1E26">
        <w:rPr>
          <w:rFonts w:cs="Arial"/>
        </w:rPr>
        <w:t xml:space="preserve">39% and 38% </w:t>
      </w:r>
      <w:r w:rsidR="00F93410">
        <w:rPr>
          <w:rFonts w:cs="Arial"/>
        </w:rPr>
        <w:t>of total foreign-oriented patent families</w:t>
      </w:r>
      <w:r w:rsidR="00F93410" w:rsidRPr="00AA1E26">
        <w:rPr>
          <w:rFonts w:cs="Arial"/>
        </w:rPr>
        <w:t xml:space="preserve">. </w:t>
      </w:r>
    </w:p>
    <w:p w:rsidR="00CA4E55" w:rsidRPr="00AA1E26" w:rsidRDefault="00CA4E55" w:rsidP="0018724E">
      <w:pPr>
        <w:jc w:val="left"/>
        <w:rPr>
          <w:rFonts w:cs="Arial"/>
        </w:rPr>
      </w:pPr>
    </w:p>
    <w:p w:rsidR="002B1B55" w:rsidRPr="006E7350" w:rsidRDefault="006E7350" w:rsidP="0018724E">
      <w:pPr>
        <w:jc w:val="left"/>
        <w:rPr>
          <w:b/>
          <w:i/>
        </w:rPr>
      </w:pPr>
      <w:r w:rsidRPr="006E7350">
        <w:t>That said, over time,</w:t>
      </w:r>
      <w:r w:rsidRPr="006F3909">
        <w:t xml:space="preserve"> the share of </w:t>
      </w:r>
      <w:r w:rsidR="008771EE">
        <w:t xml:space="preserve">Chinese foreign-oriented patent </w:t>
      </w:r>
      <w:r w:rsidRPr="006F3909">
        <w:t xml:space="preserve">families with </w:t>
      </w:r>
      <w:r w:rsidR="00AC566A" w:rsidRPr="006F3909">
        <w:t>more than one</w:t>
      </w:r>
      <w:r w:rsidRPr="006F3909">
        <w:t xml:space="preserve"> foreign office has </w:t>
      </w:r>
      <w:r w:rsidR="00AC566A" w:rsidRPr="006F3909">
        <w:t>increased</w:t>
      </w:r>
      <w:r w:rsidRPr="006F3909">
        <w:t xml:space="preserve"> – from </w:t>
      </w:r>
      <w:r w:rsidR="00AC566A" w:rsidRPr="006F3909">
        <w:t xml:space="preserve">about </w:t>
      </w:r>
      <w:r w:rsidR="00592B51" w:rsidRPr="00592B51">
        <w:t>5</w:t>
      </w:r>
      <w:r w:rsidRPr="006F3909">
        <w:t xml:space="preserve">% in the 1970s to </w:t>
      </w:r>
      <w:r w:rsidR="00592B51" w:rsidRPr="00592B51">
        <w:t>36</w:t>
      </w:r>
      <w:r w:rsidR="00AC566A" w:rsidRPr="00592B51">
        <w:t xml:space="preserve">% </w:t>
      </w:r>
      <w:r w:rsidR="00592B51">
        <w:t>in 2009. While among these</w:t>
      </w:r>
      <w:r w:rsidR="00AC566A" w:rsidRPr="006F3909">
        <w:t xml:space="preserve"> families, the majority is still with two patent offices</w:t>
      </w:r>
      <w:r w:rsidR="006F3909" w:rsidRPr="006F3909">
        <w:t xml:space="preserve"> (</w:t>
      </w:r>
      <w:r w:rsidR="00E135D7">
        <w:t>about</w:t>
      </w:r>
      <w:r w:rsidR="00E135D7" w:rsidRPr="00E135D7">
        <w:t xml:space="preserve"> 55</w:t>
      </w:r>
      <w:r w:rsidR="006F3909" w:rsidRPr="00E135D7">
        <w:t>%</w:t>
      </w:r>
      <w:r w:rsidR="00E135D7" w:rsidRPr="00E135D7">
        <w:t>,</w:t>
      </w:r>
      <w:r w:rsidR="00E135D7">
        <w:t xml:space="preserve"> or</w:t>
      </w:r>
      <w:r w:rsidR="006F3909" w:rsidRPr="006F3909">
        <w:rPr>
          <w:color w:val="FF0000"/>
        </w:rPr>
        <w:t xml:space="preserve"> </w:t>
      </w:r>
      <w:r w:rsidR="00592B51" w:rsidRPr="00E135D7">
        <w:t>1848</w:t>
      </w:r>
      <w:r w:rsidR="00E135D7">
        <w:t xml:space="preserve"> patent families</w:t>
      </w:r>
      <w:r w:rsidR="006F3909" w:rsidRPr="006F3909">
        <w:t>)</w:t>
      </w:r>
      <w:r w:rsidR="00AC566A" w:rsidRPr="006F3909">
        <w:t xml:space="preserve">, and not more, </w:t>
      </w:r>
      <w:r w:rsidR="006F3909" w:rsidRPr="006F3909">
        <w:t>a considera</w:t>
      </w:r>
      <w:r w:rsidR="00E135D7">
        <w:t>ble share also targets three (23</w:t>
      </w:r>
      <w:r w:rsidR="006F3909" w:rsidRPr="006F3909">
        <w:t xml:space="preserve">%, </w:t>
      </w:r>
      <w:r w:rsidR="00E135D7">
        <w:t xml:space="preserve">or </w:t>
      </w:r>
      <w:r w:rsidR="00592B51">
        <w:t>782</w:t>
      </w:r>
      <w:r w:rsidR="00E135D7">
        <w:t xml:space="preserve"> patent families</w:t>
      </w:r>
      <w:r w:rsidR="006F3909" w:rsidRPr="006F3909">
        <w:t>) and four offices (</w:t>
      </w:r>
      <w:r w:rsidR="00E135D7" w:rsidRPr="00E135D7">
        <w:t>13</w:t>
      </w:r>
      <w:r w:rsidR="006F3909" w:rsidRPr="00E135D7">
        <w:t>%,</w:t>
      </w:r>
      <w:r w:rsidR="00E135D7">
        <w:t xml:space="preserve"> or</w:t>
      </w:r>
      <w:r w:rsidR="006F3909" w:rsidRPr="006F3909">
        <w:rPr>
          <w:color w:val="FF0000"/>
        </w:rPr>
        <w:t xml:space="preserve"> </w:t>
      </w:r>
      <w:r w:rsidR="00592B51" w:rsidRPr="00E135D7">
        <w:t>441</w:t>
      </w:r>
      <w:r w:rsidR="00E135D7">
        <w:t xml:space="preserve"> patent families</w:t>
      </w:r>
      <w:r w:rsidR="006F3909" w:rsidRPr="006F3909">
        <w:t>).</w:t>
      </w:r>
    </w:p>
    <w:p w:rsidR="0018724E" w:rsidRDefault="0018724E">
      <w:pPr>
        <w:widowControl/>
        <w:jc w:val="left"/>
        <w:rPr>
          <w:rFonts w:cs="Arial"/>
        </w:rPr>
      </w:pPr>
      <w:r>
        <w:rPr>
          <w:rFonts w:cs="Arial"/>
        </w:rPr>
        <w:br w:type="page"/>
      </w:r>
    </w:p>
    <w:p w:rsidR="00AA1E26" w:rsidRPr="0018724E" w:rsidRDefault="00AA1E26" w:rsidP="0018724E">
      <w:pPr>
        <w:widowControl/>
        <w:jc w:val="left"/>
        <w:rPr>
          <w:rFonts w:eastAsiaTheme="minorHAnsi" w:cs="Arial"/>
          <w:b/>
          <w:kern w:val="0"/>
          <w:lang w:eastAsia="en-US"/>
        </w:rPr>
      </w:pPr>
      <w:proofErr w:type="gramStart"/>
      <w:r w:rsidRPr="0018724E">
        <w:rPr>
          <w:rFonts w:eastAsiaTheme="minorHAnsi" w:cs="Arial"/>
          <w:b/>
          <w:kern w:val="0"/>
          <w:lang w:eastAsia="en-US"/>
        </w:rPr>
        <w:lastRenderedPageBreak/>
        <w:t>Figure 2.1.</w:t>
      </w:r>
      <w:proofErr w:type="gramEnd"/>
      <w:r w:rsidRPr="0018724E">
        <w:rPr>
          <w:rFonts w:eastAsiaTheme="minorHAnsi" w:cs="Arial"/>
          <w:b/>
          <w:kern w:val="0"/>
          <w:lang w:eastAsia="en-US"/>
        </w:rPr>
        <w:t xml:space="preserve"> </w:t>
      </w:r>
      <w:r w:rsidR="00231CF9">
        <w:rPr>
          <w:rFonts w:eastAsiaTheme="minorHAnsi" w:cs="Arial"/>
          <w:b/>
          <w:kern w:val="0"/>
          <w:lang w:eastAsia="en-US"/>
        </w:rPr>
        <w:t xml:space="preserve"> </w:t>
      </w:r>
      <w:r w:rsidRPr="0018724E">
        <w:rPr>
          <w:rFonts w:eastAsiaTheme="minorHAnsi" w:cs="Arial"/>
          <w:b/>
          <w:kern w:val="0"/>
          <w:lang w:eastAsia="en-US"/>
        </w:rPr>
        <w:t>Distribution of patent families by t</w:t>
      </w:r>
      <w:r w:rsidR="00713A27" w:rsidRPr="0018724E">
        <w:rPr>
          <w:rFonts w:eastAsiaTheme="minorHAnsi" w:cs="Arial"/>
          <w:b/>
          <w:kern w:val="0"/>
          <w:lang w:eastAsia="en-US"/>
        </w:rPr>
        <w:t>he number of offices, 1970-2009</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1E26" w:rsidRPr="0018724E" w:rsidRDefault="00AA1E26" w:rsidP="00AA1E26">
      <w:pPr>
        <w:rPr>
          <w:rFonts w:cs="Arial"/>
          <w:sz w:val="20"/>
          <w:szCs w:val="20"/>
        </w:rPr>
      </w:pPr>
      <w:r w:rsidRPr="0018724E">
        <w:rPr>
          <w:rFonts w:cs="Arial"/>
          <w:sz w:val="20"/>
          <w:szCs w:val="20"/>
        </w:rPr>
        <w:t>Source: WIPO IP Statistics Database.</w:t>
      </w:r>
    </w:p>
    <w:p w:rsidR="006E7350" w:rsidRPr="00AA1E26" w:rsidRDefault="006E7350" w:rsidP="00AA1E26">
      <w:pPr>
        <w:rPr>
          <w:rFonts w:cs="Arial"/>
          <w:b/>
        </w:rPr>
      </w:pPr>
    </w:p>
    <w:p w:rsidR="00AA1E26" w:rsidRPr="00AA1E26" w:rsidRDefault="00AA1E26" w:rsidP="0018724E">
      <w:pPr>
        <w:jc w:val="left"/>
        <w:rPr>
          <w:rFonts w:cs="Arial"/>
        </w:rPr>
      </w:pPr>
      <w:r w:rsidRPr="008A65E8">
        <w:rPr>
          <w:rFonts w:cs="Arial"/>
        </w:rPr>
        <w:t>More than 80% of Chinese foreign-oriented patent families in 1970-2012 include at least one patent application with USPTO, EPO, or JPO</w:t>
      </w:r>
      <w:r w:rsidRPr="00AA1E26">
        <w:rPr>
          <w:rFonts w:cs="Arial"/>
        </w:rPr>
        <w:t>.</w:t>
      </w:r>
      <w:r w:rsidR="0018724E">
        <w:rPr>
          <w:rFonts w:cs="Arial"/>
        </w:rPr>
        <w:t xml:space="preserve"> </w:t>
      </w:r>
      <w:r w:rsidRPr="00AA1E26">
        <w:rPr>
          <w:rFonts w:cs="Arial"/>
          <w:b/>
        </w:rPr>
        <w:t xml:space="preserve"> </w:t>
      </w:r>
      <w:r w:rsidRPr="00AA1E26">
        <w:rPr>
          <w:rFonts w:cs="Arial"/>
        </w:rPr>
        <w:t xml:space="preserve">The share of triadic patent families (USPTO, EPO, and JPO) is approximately 7% and the share of families that include applications </w:t>
      </w:r>
      <w:r w:rsidR="00D43F38">
        <w:rPr>
          <w:rFonts w:cs="Arial"/>
        </w:rPr>
        <w:t>at</w:t>
      </w:r>
      <w:r w:rsidRPr="00AA1E26">
        <w:rPr>
          <w:rFonts w:cs="Arial"/>
        </w:rPr>
        <w:t xml:space="preserve"> five patent offices (USPTO, EPO, JPO, KIPO, and SIPO) is </w:t>
      </w:r>
      <w:r w:rsidR="008771EE">
        <w:rPr>
          <w:rFonts w:cs="Arial"/>
        </w:rPr>
        <w:t>around</w:t>
      </w:r>
      <w:r w:rsidRPr="00AA1E26">
        <w:rPr>
          <w:rFonts w:cs="Arial"/>
        </w:rPr>
        <w:t xml:space="preserve"> 3% (see Table 2.1 for details).</w:t>
      </w:r>
      <w:r w:rsidRPr="00AA1E26">
        <w:rPr>
          <w:rFonts w:eastAsia="MS PGothic" w:cs="Arial"/>
          <w:color w:val="000000"/>
          <w:kern w:val="0"/>
        </w:rPr>
        <w:t xml:space="preserve"> </w:t>
      </w:r>
      <w:r w:rsidRPr="00AA1E26">
        <w:rPr>
          <w:rFonts w:cs="Arial"/>
        </w:rPr>
        <w:t xml:space="preserve"> </w:t>
      </w:r>
      <w:r w:rsidR="00AA5E4E">
        <w:rPr>
          <w:rFonts w:cs="Arial"/>
        </w:rPr>
        <w:t xml:space="preserve">Interestingly, </w:t>
      </w:r>
      <w:r w:rsidR="008771EE">
        <w:rPr>
          <w:rFonts w:cs="Arial"/>
        </w:rPr>
        <w:t>more recently and for the time span 200</w:t>
      </w:r>
      <w:r w:rsidR="00A02906">
        <w:rPr>
          <w:rFonts w:cs="Arial"/>
        </w:rPr>
        <w:t>5</w:t>
      </w:r>
      <w:r w:rsidR="008771EE">
        <w:rPr>
          <w:rFonts w:cs="Arial"/>
        </w:rPr>
        <w:t xml:space="preserve"> to 2009, </w:t>
      </w:r>
      <w:r w:rsidR="00DF65EF">
        <w:rPr>
          <w:rFonts w:cs="Arial"/>
        </w:rPr>
        <w:t xml:space="preserve">the above shares have </w:t>
      </w:r>
      <w:r w:rsidR="008771EE">
        <w:rPr>
          <w:rFonts w:cs="Arial"/>
        </w:rPr>
        <w:t xml:space="preserve">rather </w:t>
      </w:r>
      <w:r w:rsidR="00DF65EF">
        <w:rPr>
          <w:rFonts w:cs="Arial"/>
        </w:rPr>
        <w:t>dropped rather than increased</w:t>
      </w:r>
      <w:r w:rsidR="0001369E">
        <w:rPr>
          <w:rFonts w:cs="Arial"/>
        </w:rPr>
        <w:t xml:space="preserve">. </w:t>
      </w:r>
      <w:r w:rsidR="0018724E">
        <w:rPr>
          <w:rFonts w:cs="Arial"/>
        </w:rPr>
        <w:t xml:space="preserve"> </w:t>
      </w:r>
      <w:r w:rsidR="0001369E">
        <w:rPr>
          <w:rFonts w:cs="Arial"/>
        </w:rPr>
        <w:t xml:space="preserve">The share of patents offices with at least one application with USPTO, EPO or JPO has for instance dropped from about 81% to </w:t>
      </w:r>
      <w:r w:rsidR="00BD411F">
        <w:rPr>
          <w:rFonts w:cs="Arial"/>
        </w:rPr>
        <w:t>72% (see Table 2.1)</w:t>
      </w:r>
      <w:r w:rsidR="00DF65EF">
        <w:rPr>
          <w:rFonts w:cs="Arial"/>
        </w:rPr>
        <w:t xml:space="preserve">. </w:t>
      </w:r>
      <w:r w:rsidR="0018724E">
        <w:rPr>
          <w:rFonts w:cs="Arial"/>
        </w:rPr>
        <w:t xml:space="preserve"> </w:t>
      </w:r>
      <w:r w:rsidR="00A02906">
        <w:rPr>
          <w:rFonts w:cs="Arial"/>
        </w:rPr>
        <w:t>The same is true for the other IP office combinations seen in this table.</w:t>
      </w:r>
    </w:p>
    <w:p w:rsidR="00CD42A3" w:rsidRDefault="00CD42A3" w:rsidP="00AA1E26">
      <w:pPr>
        <w:rPr>
          <w:rFonts w:cs="Arial"/>
        </w:rPr>
      </w:pPr>
    </w:p>
    <w:p w:rsidR="00AA1E26" w:rsidRDefault="00AA1E26" w:rsidP="0018724E">
      <w:pPr>
        <w:widowControl/>
        <w:jc w:val="left"/>
        <w:rPr>
          <w:rFonts w:eastAsiaTheme="minorHAnsi" w:cs="Arial"/>
          <w:b/>
          <w:kern w:val="0"/>
          <w:lang w:eastAsia="en-US"/>
        </w:rPr>
      </w:pPr>
      <w:proofErr w:type="gramStart"/>
      <w:r w:rsidRPr="0018724E">
        <w:rPr>
          <w:rFonts w:eastAsiaTheme="minorHAnsi" w:cs="Arial"/>
          <w:b/>
          <w:kern w:val="0"/>
          <w:lang w:eastAsia="en-US"/>
        </w:rPr>
        <w:t>Table 2.1.</w:t>
      </w:r>
      <w:proofErr w:type="gramEnd"/>
      <w:r w:rsidR="0018724E">
        <w:rPr>
          <w:rFonts w:eastAsiaTheme="minorHAnsi" w:cs="Arial"/>
          <w:b/>
          <w:kern w:val="0"/>
          <w:lang w:eastAsia="en-US"/>
        </w:rPr>
        <w:t xml:space="preserve"> </w:t>
      </w:r>
      <w:r w:rsidRPr="0018724E">
        <w:rPr>
          <w:rFonts w:eastAsiaTheme="minorHAnsi" w:cs="Arial"/>
          <w:b/>
          <w:kern w:val="0"/>
          <w:lang w:eastAsia="en-US"/>
        </w:rPr>
        <w:t xml:space="preserve"> </w:t>
      </w:r>
      <w:r w:rsidR="00A02906" w:rsidRPr="0018724E">
        <w:rPr>
          <w:rFonts w:eastAsiaTheme="minorHAnsi" w:cs="Arial"/>
          <w:b/>
          <w:kern w:val="0"/>
          <w:lang w:eastAsia="en-US"/>
        </w:rPr>
        <w:t>Foreign-oriented Chinese patent families with a minimum of foreign IP offices</w:t>
      </w:r>
      <w:r w:rsidRPr="0018724E">
        <w:rPr>
          <w:rFonts w:eastAsiaTheme="minorHAnsi" w:cs="Arial"/>
          <w:b/>
          <w:kern w:val="0"/>
          <w:lang w:eastAsia="en-US"/>
        </w:rPr>
        <w:t xml:space="preserve">, </w:t>
      </w:r>
      <w:r w:rsidR="00AA5E4E" w:rsidRPr="0018724E">
        <w:rPr>
          <w:rFonts w:eastAsiaTheme="minorHAnsi" w:cs="Arial"/>
          <w:b/>
          <w:kern w:val="0"/>
          <w:lang w:eastAsia="en-US"/>
        </w:rPr>
        <w:t>1970 to 20</w:t>
      </w:r>
      <w:r w:rsidR="00F34BA2" w:rsidRPr="0018724E">
        <w:rPr>
          <w:rFonts w:eastAsiaTheme="minorHAnsi" w:cs="Arial"/>
          <w:b/>
          <w:kern w:val="0"/>
          <w:lang w:eastAsia="en-US"/>
        </w:rPr>
        <w:t>12</w:t>
      </w:r>
      <w:r w:rsidR="00AA5E4E" w:rsidRPr="0018724E">
        <w:rPr>
          <w:rFonts w:eastAsiaTheme="minorHAnsi" w:cs="Arial"/>
          <w:b/>
          <w:kern w:val="0"/>
          <w:lang w:eastAsia="en-US"/>
        </w:rPr>
        <w:t xml:space="preserve"> and 2</w:t>
      </w:r>
      <w:r w:rsidR="00523A51" w:rsidRPr="0018724E">
        <w:rPr>
          <w:rFonts w:eastAsiaTheme="minorHAnsi" w:cs="Arial"/>
          <w:b/>
          <w:kern w:val="0"/>
          <w:lang w:eastAsia="en-US"/>
        </w:rPr>
        <w:t>00</w:t>
      </w:r>
      <w:r w:rsidR="00F34BA2" w:rsidRPr="0018724E">
        <w:rPr>
          <w:rFonts w:eastAsiaTheme="minorHAnsi" w:cs="Arial"/>
          <w:b/>
          <w:kern w:val="0"/>
          <w:lang w:eastAsia="en-US"/>
        </w:rPr>
        <w:t>5</w:t>
      </w:r>
      <w:r w:rsidRPr="0018724E">
        <w:rPr>
          <w:rFonts w:eastAsiaTheme="minorHAnsi" w:cs="Arial"/>
          <w:b/>
          <w:kern w:val="0"/>
          <w:lang w:eastAsia="en-US"/>
        </w:rPr>
        <w:t>-2</w:t>
      </w:r>
      <w:r w:rsidR="00523A51" w:rsidRPr="0018724E">
        <w:rPr>
          <w:rFonts w:eastAsiaTheme="minorHAnsi" w:cs="Arial"/>
          <w:b/>
          <w:kern w:val="0"/>
          <w:lang w:eastAsia="en-US"/>
        </w:rPr>
        <w:t>009</w:t>
      </w:r>
    </w:p>
    <w:p w:rsidR="0013194F" w:rsidRPr="0018724E" w:rsidRDefault="0013194F" w:rsidP="0018724E">
      <w:pPr>
        <w:widowControl/>
        <w:jc w:val="left"/>
        <w:rPr>
          <w:rFonts w:eastAsiaTheme="minorHAnsi" w:cs="Arial"/>
          <w:b/>
          <w:kern w:val="0"/>
          <w:lang w:eastAsia="en-US"/>
        </w:rPr>
      </w:pPr>
    </w:p>
    <w:tbl>
      <w:tblPr>
        <w:tblW w:w="5000" w:type="pct"/>
        <w:tblLayout w:type="fixed"/>
        <w:tblCellMar>
          <w:left w:w="99" w:type="dxa"/>
          <w:right w:w="99" w:type="dxa"/>
        </w:tblCellMar>
        <w:tblLook w:val="04A0" w:firstRow="1" w:lastRow="0" w:firstColumn="1" w:lastColumn="0" w:noHBand="0" w:noVBand="1"/>
      </w:tblPr>
      <w:tblGrid>
        <w:gridCol w:w="4310"/>
        <w:gridCol w:w="1089"/>
        <w:gridCol w:w="1532"/>
        <w:gridCol w:w="1114"/>
        <w:gridCol w:w="1507"/>
      </w:tblGrid>
      <w:tr w:rsidR="00231B0F" w:rsidRPr="00AA1E26" w:rsidTr="00231B0F">
        <w:trPr>
          <w:trHeight w:val="525"/>
        </w:trPr>
        <w:tc>
          <w:tcPr>
            <w:tcW w:w="2256"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31B0F" w:rsidRPr="00AA1E26" w:rsidRDefault="00231B0F" w:rsidP="00BE048B">
            <w:pPr>
              <w:widowControl/>
              <w:jc w:val="center"/>
              <w:rPr>
                <w:rFonts w:eastAsia="MS PGothic" w:cs="Arial"/>
                <w:bCs/>
                <w:kern w:val="0"/>
              </w:rPr>
            </w:pPr>
            <w:r w:rsidRPr="00AA1E26">
              <w:rPr>
                <w:rFonts w:eastAsia="MS PGothic" w:cs="Arial"/>
                <w:bCs/>
                <w:kern w:val="0"/>
              </w:rPr>
              <w:t>Patent offices within a family</w:t>
            </w:r>
          </w:p>
        </w:tc>
        <w:tc>
          <w:tcPr>
            <w:tcW w:w="57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31B0F" w:rsidRDefault="00231B0F" w:rsidP="00BE048B">
            <w:pPr>
              <w:widowControl/>
              <w:jc w:val="center"/>
              <w:rPr>
                <w:rFonts w:eastAsia="MS PGothic" w:cs="Arial"/>
                <w:bCs/>
                <w:kern w:val="0"/>
              </w:rPr>
            </w:pPr>
            <w:r w:rsidRPr="00AA1E26">
              <w:rPr>
                <w:rFonts w:eastAsia="MS PGothic" w:cs="Arial"/>
                <w:bCs/>
                <w:kern w:val="0"/>
              </w:rPr>
              <w:t>Number</w:t>
            </w:r>
          </w:p>
          <w:p w:rsidR="00231B0F" w:rsidRPr="00AA1E26" w:rsidRDefault="00231B0F" w:rsidP="00231B0F">
            <w:pPr>
              <w:widowControl/>
              <w:jc w:val="center"/>
              <w:rPr>
                <w:rFonts w:eastAsia="MS PGothic" w:cs="Arial"/>
                <w:bCs/>
                <w:kern w:val="0"/>
              </w:rPr>
            </w:pPr>
            <w:r>
              <w:rPr>
                <w:rFonts w:eastAsia="MS PGothic" w:cs="Arial"/>
                <w:bCs/>
                <w:kern w:val="0"/>
              </w:rPr>
              <w:t>1970-</w:t>
            </w:r>
            <w:r w:rsidRPr="009E2598">
              <w:rPr>
                <w:rFonts w:eastAsia="MS PGothic" w:cs="Arial"/>
                <w:bCs/>
                <w:kern w:val="0"/>
              </w:rPr>
              <w:t>2012</w:t>
            </w:r>
          </w:p>
        </w:tc>
        <w:tc>
          <w:tcPr>
            <w:tcW w:w="802"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231B0F" w:rsidRDefault="00231B0F" w:rsidP="00BE048B">
            <w:pPr>
              <w:widowControl/>
              <w:jc w:val="center"/>
              <w:rPr>
                <w:rFonts w:eastAsia="MS PGothic" w:cs="Arial"/>
                <w:bCs/>
                <w:kern w:val="0"/>
              </w:rPr>
            </w:pPr>
            <w:r w:rsidRPr="00AA1E26">
              <w:rPr>
                <w:rFonts w:eastAsia="MS PGothic" w:cs="Arial"/>
                <w:bCs/>
                <w:kern w:val="0"/>
              </w:rPr>
              <w:t>Percentage share</w:t>
            </w:r>
          </w:p>
          <w:p w:rsidR="00231B0F" w:rsidRPr="00AA1E26" w:rsidRDefault="00231B0F" w:rsidP="00231B0F">
            <w:pPr>
              <w:widowControl/>
              <w:jc w:val="center"/>
              <w:rPr>
                <w:rFonts w:eastAsia="MS PGothic" w:cs="Arial"/>
                <w:bCs/>
                <w:kern w:val="0"/>
              </w:rPr>
            </w:pPr>
            <w:r>
              <w:rPr>
                <w:rFonts w:eastAsia="MS PGothic" w:cs="Arial"/>
                <w:bCs/>
                <w:kern w:val="0"/>
              </w:rPr>
              <w:t>1970-</w:t>
            </w:r>
            <w:r w:rsidRPr="009E2598">
              <w:rPr>
                <w:rFonts w:eastAsia="MS PGothic" w:cs="Arial"/>
                <w:bCs/>
                <w:kern w:val="0"/>
              </w:rPr>
              <w:t>2012</w:t>
            </w:r>
          </w:p>
        </w:tc>
        <w:tc>
          <w:tcPr>
            <w:tcW w:w="583" w:type="pct"/>
            <w:tcBorders>
              <w:top w:val="single" w:sz="4" w:space="0" w:color="auto"/>
              <w:left w:val="single" w:sz="4" w:space="0" w:color="auto"/>
              <w:bottom w:val="single" w:sz="8" w:space="0" w:color="auto"/>
              <w:right w:val="single" w:sz="4" w:space="0" w:color="auto"/>
            </w:tcBorders>
            <w:vAlign w:val="center"/>
          </w:tcPr>
          <w:p w:rsidR="00231B0F" w:rsidRDefault="00231B0F" w:rsidP="00A61A1E">
            <w:pPr>
              <w:widowControl/>
              <w:jc w:val="center"/>
              <w:rPr>
                <w:rFonts w:eastAsia="MS PGothic" w:cs="Arial"/>
                <w:bCs/>
                <w:kern w:val="0"/>
              </w:rPr>
            </w:pPr>
            <w:r w:rsidRPr="00AA1E26">
              <w:rPr>
                <w:rFonts w:eastAsia="MS PGothic" w:cs="Arial"/>
                <w:bCs/>
                <w:kern w:val="0"/>
              </w:rPr>
              <w:t>Number</w:t>
            </w:r>
          </w:p>
          <w:p w:rsidR="00231B0F" w:rsidRPr="00AA1E26" w:rsidRDefault="00231B0F" w:rsidP="00231B0F">
            <w:pPr>
              <w:widowControl/>
              <w:jc w:val="center"/>
              <w:rPr>
                <w:rFonts w:eastAsia="MS PGothic" w:cs="Arial"/>
                <w:bCs/>
                <w:kern w:val="0"/>
              </w:rPr>
            </w:pPr>
            <w:r>
              <w:rPr>
                <w:rFonts w:eastAsia="MS PGothic" w:cs="Arial"/>
                <w:bCs/>
                <w:kern w:val="0"/>
              </w:rPr>
              <w:t>2005-2009</w:t>
            </w:r>
          </w:p>
        </w:tc>
        <w:tc>
          <w:tcPr>
            <w:tcW w:w="789" w:type="pct"/>
            <w:tcBorders>
              <w:top w:val="single" w:sz="4" w:space="0" w:color="auto"/>
              <w:left w:val="single" w:sz="4" w:space="0" w:color="auto"/>
              <w:bottom w:val="single" w:sz="8" w:space="0" w:color="auto"/>
              <w:right w:val="single" w:sz="4" w:space="0" w:color="auto"/>
            </w:tcBorders>
            <w:vAlign w:val="center"/>
          </w:tcPr>
          <w:p w:rsidR="00231B0F" w:rsidRDefault="00231B0F" w:rsidP="00A61A1E">
            <w:pPr>
              <w:widowControl/>
              <w:jc w:val="center"/>
              <w:rPr>
                <w:rFonts w:eastAsia="MS PGothic" w:cs="Arial"/>
                <w:bCs/>
                <w:kern w:val="0"/>
              </w:rPr>
            </w:pPr>
            <w:r w:rsidRPr="00AA1E26">
              <w:rPr>
                <w:rFonts w:eastAsia="MS PGothic" w:cs="Arial"/>
                <w:bCs/>
                <w:kern w:val="0"/>
              </w:rPr>
              <w:t>Percentage share</w:t>
            </w:r>
          </w:p>
          <w:p w:rsidR="00231B0F" w:rsidRPr="00AA1E26" w:rsidRDefault="00231B0F" w:rsidP="00231B0F">
            <w:pPr>
              <w:widowControl/>
              <w:jc w:val="center"/>
              <w:rPr>
                <w:rFonts w:eastAsia="MS PGothic" w:cs="Arial"/>
                <w:bCs/>
                <w:kern w:val="0"/>
              </w:rPr>
            </w:pPr>
            <w:r>
              <w:rPr>
                <w:rFonts w:eastAsia="MS PGothic" w:cs="Arial"/>
                <w:bCs/>
                <w:kern w:val="0"/>
              </w:rPr>
              <w:t>2005-2009</w:t>
            </w:r>
          </w:p>
        </w:tc>
      </w:tr>
      <w:tr w:rsidR="00231B0F" w:rsidRPr="00AA1E26" w:rsidTr="00E00C11">
        <w:trPr>
          <w:trHeight w:val="270"/>
        </w:trPr>
        <w:tc>
          <w:tcPr>
            <w:tcW w:w="2256" w:type="pct"/>
            <w:tcBorders>
              <w:top w:val="nil"/>
              <w:left w:val="single" w:sz="4" w:space="0" w:color="auto"/>
              <w:bottom w:val="nil"/>
              <w:right w:val="single" w:sz="4" w:space="0" w:color="auto"/>
            </w:tcBorders>
            <w:shd w:val="clear" w:color="auto" w:fill="auto"/>
            <w:noWrap/>
            <w:vAlign w:val="center"/>
            <w:hideMark/>
          </w:tcPr>
          <w:p w:rsidR="00231B0F" w:rsidRPr="00AA1E26" w:rsidRDefault="00A02906" w:rsidP="00BE048B">
            <w:pPr>
              <w:widowControl/>
              <w:jc w:val="left"/>
              <w:rPr>
                <w:rFonts w:eastAsia="MS PGothic" w:cs="Arial"/>
                <w:color w:val="000000"/>
                <w:kern w:val="0"/>
              </w:rPr>
            </w:pPr>
            <w:r w:rsidRPr="00A02906">
              <w:rPr>
                <w:rFonts w:eastAsia="MS PGothic" w:cs="Arial"/>
                <w:b/>
                <w:color w:val="000000"/>
                <w:kern w:val="0"/>
              </w:rPr>
              <w:t>T</w:t>
            </w:r>
            <w:r w:rsidR="00231B0F" w:rsidRPr="00A02906">
              <w:rPr>
                <w:rFonts w:eastAsia="MS PGothic" w:cs="Arial"/>
                <w:b/>
                <w:color w:val="000000"/>
                <w:kern w:val="0"/>
              </w:rPr>
              <w:t>riadic</w:t>
            </w:r>
            <w:r w:rsidR="00231B0F" w:rsidRPr="00AA1E26">
              <w:rPr>
                <w:rFonts w:eastAsia="MS PGothic" w:cs="Arial"/>
                <w:color w:val="000000"/>
                <w:kern w:val="0"/>
              </w:rPr>
              <w:t xml:space="preserve"> (USPTO, EPO, and JPO)</w:t>
            </w:r>
          </w:p>
        </w:tc>
        <w:tc>
          <w:tcPr>
            <w:tcW w:w="570" w:type="pct"/>
            <w:tcBorders>
              <w:top w:val="nil"/>
              <w:left w:val="single" w:sz="4" w:space="0" w:color="auto"/>
              <w:bottom w:val="nil"/>
              <w:right w:val="single" w:sz="4" w:space="0" w:color="auto"/>
            </w:tcBorders>
            <w:shd w:val="clear" w:color="auto" w:fill="auto"/>
            <w:noWrap/>
            <w:vAlign w:val="center"/>
            <w:hideMark/>
          </w:tcPr>
          <w:p w:rsidR="00231B0F" w:rsidRPr="00AA1E26" w:rsidRDefault="00231B0F" w:rsidP="00E00C11">
            <w:pPr>
              <w:widowControl/>
              <w:jc w:val="center"/>
              <w:rPr>
                <w:rFonts w:eastAsia="MS PGothic" w:cs="Arial"/>
                <w:color w:val="000000"/>
                <w:kern w:val="0"/>
              </w:rPr>
            </w:pPr>
            <w:r w:rsidRPr="00AA1E26">
              <w:rPr>
                <w:rFonts w:eastAsia="MS PGothic" w:cs="Arial"/>
                <w:color w:val="000000"/>
                <w:kern w:val="0"/>
              </w:rPr>
              <w:t>4</w:t>
            </w:r>
            <w:r w:rsidR="00846BCA">
              <w:rPr>
                <w:rFonts w:eastAsia="MS PGothic" w:cs="Arial"/>
                <w:color w:val="000000"/>
                <w:kern w:val="0"/>
              </w:rPr>
              <w:t>,</w:t>
            </w:r>
            <w:r w:rsidRPr="00AA1E26">
              <w:rPr>
                <w:rFonts w:eastAsia="MS PGothic" w:cs="Arial"/>
                <w:color w:val="000000"/>
                <w:kern w:val="0"/>
              </w:rPr>
              <w:t>561</w:t>
            </w:r>
          </w:p>
        </w:tc>
        <w:tc>
          <w:tcPr>
            <w:tcW w:w="802" w:type="pct"/>
            <w:tcBorders>
              <w:top w:val="nil"/>
              <w:left w:val="single" w:sz="4" w:space="0" w:color="auto"/>
              <w:bottom w:val="nil"/>
              <w:right w:val="single" w:sz="4" w:space="0" w:color="auto"/>
            </w:tcBorders>
            <w:shd w:val="clear" w:color="auto" w:fill="auto"/>
            <w:noWrap/>
            <w:vAlign w:val="center"/>
            <w:hideMark/>
          </w:tcPr>
          <w:p w:rsidR="00231B0F" w:rsidRPr="00AA1E26" w:rsidRDefault="00231B0F" w:rsidP="00E00C11">
            <w:pPr>
              <w:widowControl/>
              <w:jc w:val="center"/>
              <w:rPr>
                <w:rFonts w:eastAsia="MS PGothic" w:cs="Arial"/>
                <w:color w:val="000000"/>
                <w:kern w:val="0"/>
              </w:rPr>
            </w:pPr>
            <w:r w:rsidRPr="00AA1E26">
              <w:rPr>
                <w:rFonts w:eastAsia="MS PGothic" w:cs="Arial"/>
                <w:color w:val="000000"/>
                <w:kern w:val="0"/>
              </w:rPr>
              <w:t>7.0%</w:t>
            </w:r>
          </w:p>
        </w:tc>
        <w:tc>
          <w:tcPr>
            <w:tcW w:w="583" w:type="pct"/>
            <w:tcBorders>
              <w:top w:val="nil"/>
              <w:left w:val="single" w:sz="4" w:space="0" w:color="auto"/>
              <w:bottom w:val="nil"/>
              <w:right w:val="single" w:sz="4" w:space="0" w:color="auto"/>
            </w:tcBorders>
            <w:vAlign w:val="center"/>
          </w:tcPr>
          <w:p w:rsidR="00231B0F" w:rsidRPr="00AA1E26" w:rsidRDefault="00E00C11" w:rsidP="00E00C11">
            <w:pPr>
              <w:widowControl/>
              <w:jc w:val="center"/>
              <w:rPr>
                <w:rFonts w:eastAsia="MS PGothic" w:cs="Arial"/>
                <w:color w:val="000000"/>
                <w:kern w:val="0"/>
              </w:rPr>
            </w:pPr>
            <w:r>
              <w:rPr>
                <w:rFonts w:eastAsia="MS PGothic" w:cs="Arial"/>
                <w:color w:val="000000"/>
                <w:kern w:val="0"/>
              </w:rPr>
              <w:t>1</w:t>
            </w:r>
            <w:r w:rsidR="00846BCA">
              <w:rPr>
                <w:rFonts w:eastAsia="MS PGothic" w:cs="Arial"/>
                <w:color w:val="000000"/>
                <w:kern w:val="0"/>
              </w:rPr>
              <w:t>,</w:t>
            </w:r>
            <w:r>
              <w:rPr>
                <w:rFonts w:eastAsia="MS PGothic" w:cs="Arial"/>
                <w:color w:val="000000"/>
                <w:kern w:val="0"/>
              </w:rPr>
              <w:t>770</w:t>
            </w:r>
          </w:p>
        </w:tc>
        <w:tc>
          <w:tcPr>
            <w:tcW w:w="789" w:type="pct"/>
            <w:tcBorders>
              <w:top w:val="nil"/>
              <w:left w:val="single" w:sz="4" w:space="0" w:color="auto"/>
              <w:bottom w:val="nil"/>
              <w:right w:val="single" w:sz="4" w:space="0" w:color="auto"/>
            </w:tcBorders>
            <w:vAlign w:val="center"/>
          </w:tcPr>
          <w:p w:rsidR="00231B0F" w:rsidRPr="00AA1E26" w:rsidRDefault="00E00C11" w:rsidP="00E00C11">
            <w:pPr>
              <w:widowControl/>
              <w:jc w:val="center"/>
              <w:rPr>
                <w:rFonts w:eastAsia="MS PGothic" w:cs="Arial"/>
                <w:color w:val="000000"/>
                <w:kern w:val="0"/>
              </w:rPr>
            </w:pPr>
            <w:r>
              <w:rPr>
                <w:rFonts w:eastAsia="MS PGothic" w:cs="Arial"/>
                <w:color w:val="000000"/>
                <w:kern w:val="0"/>
              </w:rPr>
              <w:t>4.5%</w:t>
            </w:r>
          </w:p>
        </w:tc>
      </w:tr>
      <w:tr w:rsidR="00231B0F" w:rsidRPr="00AA1E26" w:rsidTr="00E00C11">
        <w:trPr>
          <w:trHeight w:val="270"/>
        </w:trPr>
        <w:tc>
          <w:tcPr>
            <w:tcW w:w="2256" w:type="pct"/>
            <w:tcBorders>
              <w:top w:val="nil"/>
              <w:left w:val="single" w:sz="4" w:space="0" w:color="auto"/>
              <w:bottom w:val="nil"/>
              <w:right w:val="single" w:sz="4" w:space="0" w:color="auto"/>
            </w:tcBorders>
            <w:shd w:val="clear" w:color="auto" w:fill="auto"/>
            <w:noWrap/>
            <w:vAlign w:val="center"/>
            <w:hideMark/>
          </w:tcPr>
          <w:p w:rsidR="00231B0F" w:rsidRPr="00AA1E26" w:rsidRDefault="00231B0F" w:rsidP="00BE048B">
            <w:pPr>
              <w:widowControl/>
              <w:jc w:val="left"/>
              <w:rPr>
                <w:rFonts w:eastAsia="MS PGothic" w:cs="Arial"/>
                <w:color w:val="000000"/>
                <w:kern w:val="0"/>
              </w:rPr>
            </w:pPr>
            <w:r w:rsidRPr="00A02906">
              <w:rPr>
                <w:rFonts w:eastAsia="MS PGothic" w:cs="Arial"/>
                <w:b/>
                <w:color w:val="000000"/>
                <w:kern w:val="0"/>
              </w:rPr>
              <w:t>5-offices</w:t>
            </w:r>
            <w:r w:rsidRPr="00AA1E26">
              <w:rPr>
                <w:rFonts w:eastAsia="MS PGothic" w:cs="Arial"/>
                <w:color w:val="000000"/>
                <w:kern w:val="0"/>
              </w:rPr>
              <w:t xml:space="preserve"> (USPTO, EPO, JPO, KIPO, and SIPO)</w:t>
            </w:r>
          </w:p>
        </w:tc>
        <w:tc>
          <w:tcPr>
            <w:tcW w:w="570" w:type="pct"/>
            <w:tcBorders>
              <w:top w:val="nil"/>
              <w:left w:val="single" w:sz="4" w:space="0" w:color="auto"/>
              <w:bottom w:val="nil"/>
              <w:right w:val="single" w:sz="4" w:space="0" w:color="auto"/>
            </w:tcBorders>
            <w:shd w:val="clear" w:color="auto" w:fill="auto"/>
            <w:noWrap/>
            <w:vAlign w:val="center"/>
            <w:hideMark/>
          </w:tcPr>
          <w:p w:rsidR="00231B0F" w:rsidRPr="00AA1E26" w:rsidRDefault="00231B0F" w:rsidP="00E00C11">
            <w:pPr>
              <w:widowControl/>
              <w:jc w:val="center"/>
              <w:rPr>
                <w:rFonts w:eastAsia="MS PGothic" w:cs="Arial"/>
                <w:color w:val="000000"/>
                <w:kern w:val="0"/>
              </w:rPr>
            </w:pPr>
            <w:r w:rsidRPr="00AA1E26">
              <w:rPr>
                <w:rFonts w:eastAsia="MS PGothic" w:cs="Arial"/>
                <w:color w:val="000000"/>
                <w:kern w:val="0"/>
              </w:rPr>
              <w:t>1</w:t>
            </w:r>
            <w:r w:rsidR="00846BCA">
              <w:rPr>
                <w:rFonts w:eastAsia="MS PGothic" w:cs="Arial"/>
                <w:color w:val="000000"/>
                <w:kern w:val="0"/>
              </w:rPr>
              <w:t>,</w:t>
            </w:r>
            <w:r w:rsidRPr="00AA1E26">
              <w:rPr>
                <w:rFonts w:eastAsia="MS PGothic" w:cs="Arial"/>
                <w:color w:val="000000"/>
                <w:kern w:val="0"/>
              </w:rPr>
              <w:t>952</w:t>
            </w:r>
          </w:p>
        </w:tc>
        <w:tc>
          <w:tcPr>
            <w:tcW w:w="802" w:type="pct"/>
            <w:tcBorders>
              <w:top w:val="nil"/>
              <w:left w:val="single" w:sz="4" w:space="0" w:color="auto"/>
              <w:bottom w:val="nil"/>
              <w:right w:val="single" w:sz="4" w:space="0" w:color="auto"/>
            </w:tcBorders>
            <w:shd w:val="clear" w:color="auto" w:fill="auto"/>
            <w:noWrap/>
            <w:vAlign w:val="center"/>
            <w:hideMark/>
          </w:tcPr>
          <w:p w:rsidR="00231B0F" w:rsidRPr="00AA1E26" w:rsidRDefault="00231B0F" w:rsidP="00E00C11">
            <w:pPr>
              <w:widowControl/>
              <w:jc w:val="center"/>
              <w:rPr>
                <w:rFonts w:eastAsia="MS PGothic" w:cs="Arial"/>
                <w:color w:val="000000"/>
                <w:kern w:val="0"/>
              </w:rPr>
            </w:pPr>
            <w:r w:rsidRPr="00AA1E26">
              <w:rPr>
                <w:rFonts w:eastAsia="MS PGothic" w:cs="Arial"/>
                <w:color w:val="000000"/>
                <w:kern w:val="0"/>
              </w:rPr>
              <w:t>2.99%</w:t>
            </w:r>
          </w:p>
        </w:tc>
        <w:tc>
          <w:tcPr>
            <w:tcW w:w="583" w:type="pct"/>
            <w:tcBorders>
              <w:top w:val="nil"/>
              <w:left w:val="single" w:sz="4" w:space="0" w:color="auto"/>
              <w:bottom w:val="nil"/>
              <w:right w:val="single" w:sz="4" w:space="0" w:color="auto"/>
            </w:tcBorders>
            <w:vAlign w:val="center"/>
          </w:tcPr>
          <w:p w:rsidR="00231B0F" w:rsidRPr="00AA1E26" w:rsidRDefault="00E00C11" w:rsidP="00E00C11">
            <w:pPr>
              <w:widowControl/>
              <w:jc w:val="center"/>
              <w:rPr>
                <w:rFonts w:eastAsia="MS PGothic" w:cs="Arial"/>
                <w:color w:val="000000"/>
                <w:kern w:val="0"/>
              </w:rPr>
            </w:pPr>
            <w:r>
              <w:rPr>
                <w:rFonts w:eastAsia="MS PGothic" w:cs="Arial"/>
                <w:color w:val="000000"/>
                <w:kern w:val="0"/>
              </w:rPr>
              <w:t>584</w:t>
            </w:r>
          </w:p>
        </w:tc>
        <w:tc>
          <w:tcPr>
            <w:tcW w:w="789" w:type="pct"/>
            <w:tcBorders>
              <w:top w:val="nil"/>
              <w:left w:val="single" w:sz="4" w:space="0" w:color="auto"/>
              <w:bottom w:val="nil"/>
              <w:right w:val="single" w:sz="4" w:space="0" w:color="auto"/>
            </w:tcBorders>
            <w:vAlign w:val="center"/>
          </w:tcPr>
          <w:p w:rsidR="00231B0F" w:rsidRPr="00AA1E26" w:rsidRDefault="00E00C11" w:rsidP="00E00C11">
            <w:pPr>
              <w:widowControl/>
              <w:jc w:val="center"/>
              <w:rPr>
                <w:rFonts w:eastAsia="MS PGothic" w:cs="Arial"/>
                <w:color w:val="000000"/>
                <w:kern w:val="0"/>
              </w:rPr>
            </w:pPr>
            <w:r>
              <w:rPr>
                <w:rFonts w:eastAsia="MS PGothic" w:cs="Arial"/>
                <w:color w:val="000000"/>
                <w:kern w:val="0"/>
              </w:rPr>
              <w:t>1.5%</w:t>
            </w:r>
          </w:p>
        </w:tc>
      </w:tr>
      <w:tr w:rsidR="00231B0F" w:rsidRPr="00AA1E26" w:rsidTr="00A02906">
        <w:trPr>
          <w:trHeight w:val="270"/>
        </w:trPr>
        <w:tc>
          <w:tcPr>
            <w:tcW w:w="2256" w:type="pct"/>
            <w:tcBorders>
              <w:top w:val="nil"/>
              <w:left w:val="single" w:sz="4" w:space="0" w:color="auto"/>
              <w:bottom w:val="single" w:sz="4" w:space="0" w:color="auto"/>
              <w:right w:val="single" w:sz="4" w:space="0" w:color="auto"/>
            </w:tcBorders>
            <w:shd w:val="clear" w:color="auto" w:fill="auto"/>
            <w:noWrap/>
            <w:vAlign w:val="center"/>
            <w:hideMark/>
          </w:tcPr>
          <w:p w:rsidR="00231B0F" w:rsidRPr="00A02906" w:rsidRDefault="00A02906" w:rsidP="00BE048B">
            <w:pPr>
              <w:widowControl/>
              <w:jc w:val="left"/>
              <w:rPr>
                <w:rFonts w:eastAsia="MS PGothic" w:cs="Arial"/>
                <w:b/>
                <w:color w:val="000000"/>
                <w:kern w:val="0"/>
              </w:rPr>
            </w:pPr>
            <w:r w:rsidRPr="00A02906">
              <w:rPr>
                <w:rFonts w:eastAsia="MS PGothic" w:cs="Arial"/>
                <w:b/>
                <w:color w:val="000000"/>
                <w:kern w:val="0"/>
              </w:rPr>
              <w:t>A</w:t>
            </w:r>
            <w:r w:rsidR="00231B0F" w:rsidRPr="00A02906">
              <w:rPr>
                <w:rFonts w:eastAsia="MS PGothic" w:cs="Arial"/>
                <w:b/>
                <w:color w:val="000000"/>
                <w:kern w:val="0"/>
              </w:rPr>
              <w:t>t least one application with USPTO, or EPO or JPO</w:t>
            </w:r>
          </w:p>
        </w:tc>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231B0F" w:rsidRPr="00AA1E26" w:rsidRDefault="00231B0F" w:rsidP="00E00C11">
            <w:pPr>
              <w:widowControl/>
              <w:jc w:val="center"/>
              <w:rPr>
                <w:rFonts w:eastAsia="MS PGothic" w:cs="Arial"/>
                <w:color w:val="000000"/>
                <w:kern w:val="0"/>
              </w:rPr>
            </w:pPr>
            <w:r w:rsidRPr="00AA1E26">
              <w:rPr>
                <w:rFonts w:eastAsia="MS PGothic" w:cs="Arial"/>
                <w:color w:val="000000"/>
                <w:kern w:val="0"/>
              </w:rPr>
              <w:t>52</w:t>
            </w:r>
            <w:r w:rsidR="00846BCA">
              <w:rPr>
                <w:rFonts w:eastAsia="MS PGothic" w:cs="Arial"/>
                <w:color w:val="000000"/>
                <w:kern w:val="0"/>
              </w:rPr>
              <w:t>,</w:t>
            </w:r>
            <w:r w:rsidRPr="00AA1E26">
              <w:rPr>
                <w:rFonts w:eastAsia="MS PGothic" w:cs="Arial"/>
                <w:color w:val="000000"/>
                <w:kern w:val="0"/>
              </w:rPr>
              <w:t>828</w:t>
            </w:r>
          </w:p>
        </w:tc>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231B0F" w:rsidRPr="00AA1E26" w:rsidRDefault="00231B0F" w:rsidP="00E00C11">
            <w:pPr>
              <w:widowControl/>
              <w:jc w:val="center"/>
              <w:rPr>
                <w:rFonts w:eastAsia="MS PGothic" w:cs="Arial"/>
                <w:color w:val="000000"/>
                <w:kern w:val="0"/>
              </w:rPr>
            </w:pPr>
            <w:r w:rsidRPr="00AA1E26">
              <w:rPr>
                <w:rFonts w:eastAsia="MS PGothic" w:cs="Arial"/>
                <w:color w:val="000000"/>
                <w:kern w:val="0"/>
              </w:rPr>
              <w:t>80.9%</w:t>
            </w:r>
          </w:p>
        </w:tc>
        <w:tc>
          <w:tcPr>
            <w:tcW w:w="583" w:type="pct"/>
            <w:tcBorders>
              <w:top w:val="nil"/>
              <w:left w:val="single" w:sz="4" w:space="0" w:color="auto"/>
              <w:bottom w:val="single" w:sz="4" w:space="0" w:color="auto"/>
              <w:right w:val="single" w:sz="4" w:space="0" w:color="auto"/>
            </w:tcBorders>
            <w:vAlign w:val="center"/>
          </w:tcPr>
          <w:p w:rsidR="00231B0F" w:rsidRPr="00AA1E26" w:rsidRDefault="00E00C11" w:rsidP="00E00C11">
            <w:pPr>
              <w:widowControl/>
              <w:jc w:val="center"/>
              <w:rPr>
                <w:rFonts w:eastAsia="MS PGothic" w:cs="Arial"/>
                <w:color w:val="000000"/>
                <w:kern w:val="0"/>
              </w:rPr>
            </w:pPr>
            <w:r>
              <w:rPr>
                <w:rFonts w:eastAsia="MS PGothic" w:cs="Arial"/>
                <w:color w:val="000000"/>
                <w:kern w:val="0"/>
              </w:rPr>
              <w:t>28</w:t>
            </w:r>
            <w:r w:rsidR="00846BCA">
              <w:rPr>
                <w:rFonts w:eastAsia="MS PGothic" w:cs="Arial"/>
                <w:color w:val="000000"/>
                <w:kern w:val="0"/>
              </w:rPr>
              <w:t>,</w:t>
            </w:r>
            <w:r>
              <w:rPr>
                <w:rFonts w:eastAsia="MS PGothic" w:cs="Arial"/>
                <w:color w:val="000000"/>
                <w:kern w:val="0"/>
              </w:rPr>
              <w:t>006</w:t>
            </w:r>
          </w:p>
        </w:tc>
        <w:tc>
          <w:tcPr>
            <w:tcW w:w="789" w:type="pct"/>
            <w:tcBorders>
              <w:top w:val="nil"/>
              <w:left w:val="single" w:sz="4" w:space="0" w:color="auto"/>
              <w:bottom w:val="single" w:sz="4" w:space="0" w:color="auto"/>
              <w:right w:val="single" w:sz="4" w:space="0" w:color="auto"/>
            </w:tcBorders>
            <w:vAlign w:val="center"/>
          </w:tcPr>
          <w:p w:rsidR="00231B0F" w:rsidRPr="00AA1E26" w:rsidRDefault="00E00C11" w:rsidP="00E00C11">
            <w:pPr>
              <w:widowControl/>
              <w:jc w:val="center"/>
              <w:rPr>
                <w:rFonts w:eastAsia="MS PGothic" w:cs="Arial"/>
                <w:color w:val="000000"/>
                <w:kern w:val="0"/>
              </w:rPr>
            </w:pPr>
            <w:r>
              <w:rPr>
                <w:rFonts w:eastAsia="MS PGothic" w:cs="Arial"/>
                <w:color w:val="000000"/>
                <w:kern w:val="0"/>
              </w:rPr>
              <w:t>71.6%</w:t>
            </w:r>
          </w:p>
        </w:tc>
      </w:tr>
      <w:tr w:rsidR="00231B0F" w:rsidRPr="00AA1E26" w:rsidTr="00A02906">
        <w:trPr>
          <w:trHeight w:val="300"/>
        </w:trPr>
        <w:tc>
          <w:tcPr>
            <w:tcW w:w="2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B0F" w:rsidRPr="00A02906" w:rsidRDefault="00231B0F" w:rsidP="00BE048B">
            <w:pPr>
              <w:widowControl/>
              <w:jc w:val="left"/>
              <w:rPr>
                <w:rFonts w:eastAsia="MS PGothic" w:cs="Arial"/>
                <w:b/>
                <w:bCs/>
                <w:kern w:val="0"/>
              </w:rPr>
            </w:pPr>
            <w:r w:rsidRPr="00A02906">
              <w:rPr>
                <w:rFonts w:eastAsia="MS PGothic" w:cs="Arial"/>
                <w:b/>
                <w:bCs/>
                <w:kern w:val="0"/>
              </w:rPr>
              <w:t>Total</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B0F" w:rsidRPr="00A02906" w:rsidRDefault="00231B0F" w:rsidP="00E00C11">
            <w:pPr>
              <w:widowControl/>
              <w:jc w:val="center"/>
              <w:rPr>
                <w:rFonts w:eastAsia="MS PGothic" w:cs="Arial"/>
                <w:b/>
                <w:bCs/>
                <w:color w:val="000000"/>
                <w:kern w:val="0"/>
              </w:rPr>
            </w:pPr>
            <w:r w:rsidRPr="00A02906">
              <w:rPr>
                <w:rFonts w:eastAsia="MS PGothic" w:cs="Arial"/>
                <w:b/>
                <w:bCs/>
                <w:color w:val="000000"/>
                <w:kern w:val="0"/>
              </w:rPr>
              <w:t>65</w:t>
            </w:r>
            <w:r w:rsidR="00846BCA">
              <w:rPr>
                <w:rFonts w:eastAsia="MS PGothic" w:cs="Arial"/>
                <w:b/>
                <w:bCs/>
                <w:color w:val="000000"/>
                <w:kern w:val="0"/>
              </w:rPr>
              <w:t>,</w:t>
            </w:r>
            <w:r w:rsidRPr="00A02906">
              <w:rPr>
                <w:rFonts w:eastAsia="MS PGothic" w:cs="Arial"/>
                <w:b/>
                <w:bCs/>
                <w:color w:val="000000"/>
                <w:kern w:val="0"/>
              </w:rPr>
              <w:t>340</w:t>
            </w:r>
          </w:p>
        </w:tc>
        <w:tc>
          <w:tcPr>
            <w:tcW w:w="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B0F" w:rsidRPr="00A02906" w:rsidRDefault="00231B0F" w:rsidP="00E00C11">
            <w:pPr>
              <w:widowControl/>
              <w:jc w:val="center"/>
              <w:rPr>
                <w:rFonts w:eastAsia="MS PGothic" w:cs="Arial"/>
                <w:b/>
                <w:color w:val="000000"/>
                <w:kern w:val="0"/>
              </w:rPr>
            </w:pPr>
            <w:r w:rsidRPr="00A02906">
              <w:rPr>
                <w:rFonts w:eastAsia="MS PGothic" w:cs="Arial"/>
                <w:b/>
                <w:color w:val="000000"/>
                <w:kern w:val="0"/>
              </w:rPr>
              <w:t>100.0%</w:t>
            </w:r>
          </w:p>
        </w:tc>
        <w:tc>
          <w:tcPr>
            <w:tcW w:w="583" w:type="pct"/>
            <w:tcBorders>
              <w:top w:val="single" w:sz="4" w:space="0" w:color="auto"/>
              <w:left w:val="single" w:sz="4" w:space="0" w:color="auto"/>
              <w:bottom w:val="single" w:sz="4" w:space="0" w:color="auto"/>
              <w:right w:val="single" w:sz="4" w:space="0" w:color="auto"/>
            </w:tcBorders>
            <w:vAlign w:val="center"/>
          </w:tcPr>
          <w:p w:rsidR="00231B0F" w:rsidRPr="00A02906" w:rsidRDefault="00D47E9A" w:rsidP="00D47E9A">
            <w:pPr>
              <w:widowControl/>
              <w:jc w:val="center"/>
              <w:rPr>
                <w:rFonts w:eastAsia="MS PGothic" w:cs="Arial"/>
                <w:b/>
                <w:color w:val="000000"/>
                <w:kern w:val="0"/>
              </w:rPr>
            </w:pPr>
            <w:r>
              <w:rPr>
                <w:rFonts w:eastAsia="MS PGothic" w:cs="Arial"/>
                <w:b/>
                <w:color w:val="000000"/>
                <w:kern w:val="0"/>
              </w:rPr>
              <w:t>3</w:t>
            </w:r>
            <w:r w:rsidR="00E00C11" w:rsidRPr="00A02906">
              <w:rPr>
                <w:rFonts w:eastAsia="MS PGothic" w:cs="Arial"/>
                <w:b/>
                <w:color w:val="000000"/>
                <w:kern w:val="0"/>
              </w:rPr>
              <w:t>9</w:t>
            </w:r>
            <w:r w:rsidR="00846BCA">
              <w:rPr>
                <w:rFonts w:eastAsia="MS PGothic" w:cs="Arial"/>
                <w:b/>
                <w:color w:val="000000"/>
                <w:kern w:val="0"/>
              </w:rPr>
              <w:t>,</w:t>
            </w:r>
            <w:r w:rsidR="00E00C11" w:rsidRPr="00A02906">
              <w:rPr>
                <w:rFonts w:eastAsia="MS PGothic" w:cs="Arial"/>
                <w:b/>
                <w:color w:val="000000"/>
                <w:kern w:val="0"/>
              </w:rPr>
              <w:t>09</w:t>
            </w:r>
            <w:r>
              <w:rPr>
                <w:rFonts w:eastAsia="MS PGothic" w:cs="Arial"/>
                <w:b/>
                <w:color w:val="000000"/>
                <w:kern w:val="0"/>
              </w:rPr>
              <w:t>8</w:t>
            </w:r>
          </w:p>
        </w:tc>
        <w:tc>
          <w:tcPr>
            <w:tcW w:w="789" w:type="pct"/>
            <w:tcBorders>
              <w:top w:val="single" w:sz="4" w:space="0" w:color="auto"/>
              <w:left w:val="single" w:sz="4" w:space="0" w:color="auto"/>
              <w:bottom w:val="single" w:sz="4" w:space="0" w:color="auto"/>
              <w:right w:val="single" w:sz="4" w:space="0" w:color="auto"/>
            </w:tcBorders>
            <w:vAlign w:val="center"/>
          </w:tcPr>
          <w:p w:rsidR="00231B0F" w:rsidRPr="00A02906" w:rsidRDefault="00E00C11" w:rsidP="00E00C11">
            <w:pPr>
              <w:widowControl/>
              <w:jc w:val="center"/>
              <w:rPr>
                <w:rFonts w:eastAsia="MS PGothic" w:cs="Arial"/>
                <w:b/>
                <w:color w:val="000000"/>
                <w:kern w:val="0"/>
              </w:rPr>
            </w:pPr>
            <w:r w:rsidRPr="00A02906">
              <w:rPr>
                <w:rFonts w:eastAsia="MS PGothic" w:cs="Arial"/>
                <w:b/>
                <w:color w:val="000000"/>
                <w:kern w:val="0"/>
              </w:rPr>
              <w:t>100.0%</w:t>
            </w:r>
          </w:p>
        </w:tc>
      </w:tr>
    </w:tbl>
    <w:p w:rsidR="00AA1E26" w:rsidRPr="0018724E" w:rsidRDefault="00AA1E26" w:rsidP="00AA1E26">
      <w:pPr>
        <w:rPr>
          <w:rFonts w:cs="Arial"/>
          <w:sz w:val="20"/>
          <w:szCs w:val="20"/>
        </w:rPr>
      </w:pPr>
      <w:r w:rsidRPr="0018724E">
        <w:rPr>
          <w:rFonts w:cs="Arial"/>
          <w:sz w:val="20"/>
          <w:szCs w:val="20"/>
        </w:rPr>
        <w:t xml:space="preserve">Source: </w:t>
      </w:r>
      <w:r w:rsidR="00231CF9">
        <w:rPr>
          <w:rFonts w:cs="Arial"/>
          <w:sz w:val="20"/>
          <w:szCs w:val="20"/>
        </w:rPr>
        <w:t xml:space="preserve"> </w:t>
      </w:r>
      <w:r w:rsidRPr="0018724E">
        <w:rPr>
          <w:rFonts w:cs="Arial"/>
          <w:sz w:val="20"/>
          <w:szCs w:val="20"/>
        </w:rPr>
        <w:t>WIPO IP Statistics Database.</w:t>
      </w:r>
    </w:p>
    <w:p w:rsidR="008B300C" w:rsidRDefault="008B300C" w:rsidP="00AA1E26">
      <w:pPr>
        <w:rPr>
          <w:rFonts w:cs="Arial"/>
        </w:rPr>
      </w:pPr>
    </w:p>
    <w:p w:rsidR="008E537C" w:rsidRDefault="008E537C" w:rsidP="00AA1E26">
      <w:pPr>
        <w:rPr>
          <w:rFonts w:cs="Arial"/>
        </w:rPr>
      </w:pPr>
    </w:p>
    <w:p w:rsidR="00231CF9" w:rsidRDefault="00231CF9" w:rsidP="00AA1E26">
      <w:pPr>
        <w:rPr>
          <w:rFonts w:cs="Arial"/>
        </w:rPr>
      </w:pPr>
    </w:p>
    <w:p w:rsidR="00CF6CA1" w:rsidRDefault="00CF6CA1" w:rsidP="0018724E">
      <w:pPr>
        <w:jc w:val="left"/>
        <w:rPr>
          <w:rFonts w:cs="Arial"/>
        </w:rPr>
      </w:pPr>
      <w:r>
        <w:rPr>
          <w:rFonts w:cs="Arial"/>
        </w:rPr>
        <w:lastRenderedPageBreak/>
        <w:t xml:space="preserve">In terms of absolute numbers, the majority of </w:t>
      </w:r>
      <w:r w:rsidR="00BD411F">
        <w:rPr>
          <w:rFonts w:cs="Arial"/>
        </w:rPr>
        <w:t>patent applications</w:t>
      </w:r>
      <w:r w:rsidR="009A4E9C">
        <w:rPr>
          <w:rFonts w:cs="Arial"/>
        </w:rPr>
        <w:t xml:space="preserve"> from China that form </w:t>
      </w:r>
      <w:r w:rsidR="00541BEC">
        <w:rPr>
          <w:rFonts w:cs="Arial"/>
        </w:rPr>
        <w:t xml:space="preserve">the foreign-oriented </w:t>
      </w:r>
      <w:r w:rsidR="009A4E9C">
        <w:rPr>
          <w:rFonts w:cs="Arial"/>
        </w:rPr>
        <w:t xml:space="preserve">patent families in our dataset </w:t>
      </w:r>
      <w:r>
        <w:rPr>
          <w:rFonts w:cs="Arial"/>
        </w:rPr>
        <w:t xml:space="preserve">target the US with close to 50,000 </w:t>
      </w:r>
      <w:r w:rsidR="00A13951">
        <w:rPr>
          <w:rFonts w:cs="Arial"/>
        </w:rPr>
        <w:t xml:space="preserve">patent applications </w:t>
      </w:r>
      <w:r w:rsidR="00922126">
        <w:rPr>
          <w:rFonts w:cs="Arial"/>
        </w:rPr>
        <w:t xml:space="preserve">based on available data </w:t>
      </w:r>
      <w:r>
        <w:rPr>
          <w:rFonts w:cs="Arial"/>
        </w:rPr>
        <w:t xml:space="preserve">between </w:t>
      </w:r>
      <w:r w:rsidR="00922126">
        <w:rPr>
          <w:rFonts w:cs="Arial"/>
        </w:rPr>
        <w:t xml:space="preserve">1970 and </w:t>
      </w:r>
      <w:r w:rsidR="00922126" w:rsidRPr="00922126">
        <w:rPr>
          <w:rFonts w:cs="Arial"/>
        </w:rPr>
        <w:t>2012</w:t>
      </w:r>
      <w:r w:rsidR="00CC4230">
        <w:rPr>
          <w:rFonts w:cs="Arial"/>
        </w:rPr>
        <w:t>, followed by Europe, Japan, the Republic of Korea, and Canada</w:t>
      </w:r>
      <w:r w:rsidR="005B47B4">
        <w:rPr>
          <w:rFonts w:cs="Arial"/>
        </w:rPr>
        <w:t xml:space="preserve"> (see Figure 2.2)</w:t>
      </w:r>
      <w:r w:rsidR="00CC4230">
        <w:rPr>
          <w:rFonts w:cs="Arial"/>
        </w:rPr>
        <w:t>.</w:t>
      </w:r>
      <w:r w:rsidR="0018724E">
        <w:rPr>
          <w:rFonts w:cs="Arial"/>
        </w:rPr>
        <w:t xml:space="preserve"> </w:t>
      </w:r>
      <w:r w:rsidR="00CC4230">
        <w:rPr>
          <w:rFonts w:cs="Arial"/>
        </w:rPr>
        <w:t xml:space="preserve"> A significant number of </w:t>
      </w:r>
      <w:r w:rsidR="00391B87">
        <w:rPr>
          <w:rFonts w:cs="Arial"/>
        </w:rPr>
        <w:t>patent applications</w:t>
      </w:r>
      <w:r w:rsidR="00CC4230">
        <w:rPr>
          <w:rFonts w:cs="Arial"/>
        </w:rPr>
        <w:t xml:space="preserve"> also target Australia, </w:t>
      </w:r>
      <w:r w:rsidR="004151B1">
        <w:rPr>
          <w:rFonts w:cs="Arial"/>
        </w:rPr>
        <w:t xml:space="preserve">and </w:t>
      </w:r>
      <w:r w:rsidR="00CC4230">
        <w:rPr>
          <w:rFonts w:cs="Arial"/>
        </w:rPr>
        <w:t xml:space="preserve">the Russian Federation. </w:t>
      </w:r>
      <w:r w:rsidR="0018724E">
        <w:rPr>
          <w:rFonts w:cs="Arial"/>
        </w:rPr>
        <w:t xml:space="preserve"> </w:t>
      </w:r>
      <w:r w:rsidR="004151B1">
        <w:rPr>
          <w:rFonts w:cs="Arial"/>
        </w:rPr>
        <w:t>In compariso</w:t>
      </w:r>
      <w:r w:rsidR="000E6AE1">
        <w:rPr>
          <w:rFonts w:cs="Arial"/>
        </w:rPr>
        <w:t xml:space="preserve">n fewer </w:t>
      </w:r>
      <w:r w:rsidR="00391B87">
        <w:rPr>
          <w:rFonts w:cs="Arial"/>
        </w:rPr>
        <w:t>applications</w:t>
      </w:r>
      <w:r w:rsidR="000E6AE1">
        <w:rPr>
          <w:rFonts w:cs="Arial"/>
        </w:rPr>
        <w:t xml:space="preserve"> target Brazil</w:t>
      </w:r>
      <w:r w:rsidR="004151B1">
        <w:rPr>
          <w:rFonts w:cs="Arial"/>
        </w:rPr>
        <w:t xml:space="preserve"> or other Asian economies. </w:t>
      </w:r>
    </w:p>
    <w:p w:rsidR="00DB24DB" w:rsidRDefault="00DB24DB" w:rsidP="00AA1E26">
      <w:pPr>
        <w:rPr>
          <w:rFonts w:cs="Arial"/>
        </w:rPr>
      </w:pPr>
    </w:p>
    <w:p w:rsidR="008B300C" w:rsidRPr="0018724E" w:rsidRDefault="008B300C" w:rsidP="008B300C">
      <w:pPr>
        <w:rPr>
          <w:rFonts w:eastAsiaTheme="minorHAnsi" w:cs="Arial"/>
          <w:b/>
          <w:kern w:val="0"/>
          <w:lang w:eastAsia="en-US"/>
        </w:rPr>
      </w:pPr>
      <w:proofErr w:type="gramStart"/>
      <w:r w:rsidRPr="0018724E">
        <w:rPr>
          <w:rFonts w:eastAsiaTheme="minorHAnsi" w:cs="Arial"/>
          <w:b/>
          <w:kern w:val="0"/>
          <w:lang w:eastAsia="en-US"/>
        </w:rPr>
        <w:t>Figure 2.</w:t>
      </w:r>
      <w:r w:rsidR="00DB24DB" w:rsidRPr="0018724E">
        <w:rPr>
          <w:rFonts w:eastAsiaTheme="minorHAnsi" w:cs="Arial"/>
          <w:b/>
          <w:kern w:val="0"/>
          <w:lang w:eastAsia="en-US"/>
        </w:rPr>
        <w:t>2</w:t>
      </w:r>
      <w:r w:rsidR="00FF0F01" w:rsidRPr="0018724E">
        <w:rPr>
          <w:rFonts w:eastAsiaTheme="minorHAnsi" w:cs="Arial"/>
          <w:b/>
          <w:kern w:val="0"/>
          <w:lang w:eastAsia="en-US"/>
        </w:rPr>
        <w:t>.</w:t>
      </w:r>
      <w:proofErr w:type="gramEnd"/>
      <w:r w:rsidR="0013194F">
        <w:rPr>
          <w:rFonts w:eastAsiaTheme="minorHAnsi" w:cs="Arial"/>
          <w:b/>
          <w:kern w:val="0"/>
          <w:lang w:eastAsia="en-US"/>
        </w:rPr>
        <w:t xml:space="preserve"> </w:t>
      </w:r>
      <w:r w:rsidR="00FF0F01" w:rsidRPr="0018724E">
        <w:rPr>
          <w:rFonts w:eastAsiaTheme="minorHAnsi" w:cs="Arial"/>
          <w:b/>
          <w:kern w:val="0"/>
          <w:lang w:eastAsia="en-US"/>
        </w:rPr>
        <w:t xml:space="preserve"> </w:t>
      </w:r>
      <w:r w:rsidR="00816005" w:rsidRPr="0018724E">
        <w:rPr>
          <w:rFonts w:eastAsiaTheme="minorHAnsi" w:cs="Arial"/>
          <w:b/>
          <w:kern w:val="0"/>
          <w:lang w:eastAsia="en-US"/>
        </w:rPr>
        <w:t>Chinese patent filings abroad</w:t>
      </w:r>
      <w:r w:rsidR="00FF0F01" w:rsidRPr="0018724E">
        <w:rPr>
          <w:rFonts w:eastAsiaTheme="minorHAnsi" w:cs="Arial"/>
          <w:b/>
          <w:kern w:val="0"/>
          <w:lang w:eastAsia="en-US"/>
        </w:rPr>
        <w:t>,</w:t>
      </w:r>
      <w:r w:rsidR="00816005" w:rsidRPr="0018724E">
        <w:rPr>
          <w:rFonts w:eastAsiaTheme="minorHAnsi" w:cs="Arial"/>
          <w:b/>
          <w:kern w:val="0"/>
          <w:lang w:eastAsia="en-US"/>
        </w:rPr>
        <w:t xml:space="preserve"> cumulated to top IP offices,</w:t>
      </w:r>
      <w:r w:rsidR="00922126" w:rsidRPr="0018724E">
        <w:rPr>
          <w:rFonts w:eastAsiaTheme="minorHAnsi" w:cs="Arial"/>
          <w:b/>
          <w:kern w:val="0"/>
          <w:lang w:eastAsia="en-US"/>
        </w:rPr>
        <w:t xml:space="preserve"> 1970</w:t>
      </w:r>
      <w:r w:rsidR="00FF0F01" w:rsidRPr="0018724E">
        <w:rPr>
          <w:rFonts w:eastAsiaTheme="minorHAnsi" w:cs="Arial"/>
          <w:b/>
          <w:kern w:val="0"/>
          <w:lang w:eastAsia="en-US"/>
        </w:rPr>
        <w:t>-</w:t>
      </w:r>
      <w:r w:rsidR="00922126" w:rsidRPr="0018724E">
        <w:rPr>
          <w:rFonts w:eastAsiaTheme="minorHAnsi" w:cs="Arial"/>
          <w:b/>
          <w:kern w:val="0"/>
          <w:lang w:eastAsia="en-US"/>
        </w:rPr>
        <w:t>2012</w:t>
      </w:r>
    </w:p>
    <w:p w:rsidR="008B300C" w:rsidRPr="00AA1E26" w:rsidRDefault="00A250A4" w:rsidP="008B300C">
      <w:pPr>
        <w:rPr>
          <w:rFonts w:cs="Arial"/>
        </w:rPr>
      </w:pPr>
      <w:r w:rsidRPr="00A250A4">
        <w:rPr>
          <w:rFonts w:cs="Arial"/>
          <w:noProof/>
          <w:lang w:eastAsia="en-US"/>
        </w:rPr>
        <w:drawing>
          <wp:inline distT="0" distB="0" distL="0" distR="0">
            <wp:extent cx="5400040" cy="2990215"/>
            <wp:effectExtent l="1905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40" cy="2990215"/>
                    </a:xfrm>
                    <a:prstGeom prst="rect">
                      <a:avLst/>
                    </a:prstGeom>
                  </pic:spPr>
                </pic:pic>
              </a:graphicData>
            </a:graphic>
          </wp:inline>
        </w:drawing>
      </w:r>
    </w:p>
    <w:p w:rsidR="008B300C" w:rsidRPr="0018724E" w:rsidRDefault="008B300C" w:rsidP="008B300C">
      <w:pPr>
        <w:rPr>
          <w:rFonts w:cs="Arial"/>
          <w:sz w:val="20"/>
          <w:szCs w:val="20"/>
        </w:rPr>
      </w:pPr>
      <w:r w:rsidRPr="0018724E">
        <w:rPr>
          <w:rFonts w:cs="Arial"/>
          <w:sz w:val="20"/>
          <w:szCs w:val="20"/>
        </w:rPr>
        <w:t>Source: WIPO IP Statistics Database.</w:t>
      </w:r>
    </w:p>
    <w:p w:rsidR="008B300C" w:rsidRDefault="008B300C" w:rsidP="0018724E">
      <w:pPr>
        <w:jc w:val="left"/>
        <w:rPr>
          <w:rFonts w:cs="Arial"/>
        </w:rPr>
      </w:pPr>
    </w:p>
    <w:p w:rsidR="00AA1E26" w:rsidRPr="00AA1E26" w:rsidRDefault="00AA1E26" w:rsidP="0018724E">
      <w:pPr>
        <w:jc w:val="left"/>
        <w:rPr>
          <w:rFonts w:cs="Arial"/>
        </w:rPr>
      </w:pPr>
      <w:r w:rsidRPr="00AA1E26">
        <w:rPr>
          <w:rFonts w:cs="Arial"/>
        </w:rPr>
        <w:t xml:space="preserve">To determine whether a certain group of patent applicants is responsible for the growth in foreign patenting from China, the next section divides the patent families by the type of applicants (i.e., company, individual, </w:t>
      </w:r>
      <w:r w:rsidR="000E6AE1" w:rsidRPr="00AA1E26">
        <w:rPr>
          <w:rFonts w:cs="Arial"/>
        </w:rPr>
        <w:t>and university</w:t>
      </w:r>
      <w:r w:rsidRPr="00AA1E26">
        <w:rPr>
          <w:rFonts w:cs="Arial"/>
        </w:rPr>
        <w:t xml:space="preserve"> or research institute)</w:t>
      </w:r>
      <w:r w:rsidR="00816005">
        <w:rPr>
          <w:rFonts w:cs="Arial"/>
        </w:rPr>
        <w:t xml:space="preserve"> and by field of technology</w:t>
      </w:r>
      <w:r w:rsidRPr="00AA1E26">
        <w:rPr>
          <w:rFonts w:cs="Arial"/>
        </w:rPr>
        <w:t>.</w:t>
      </w:r>
    </w:p>
    <w:p w:rsidR="00AA1E26" w:rsidRPr="00AA1E26" w:rsidRDefault="00AA1E26" w:rsidP="00AA1E26">
      <w:pPr>
        <w:rPr>
          <w:rFonts w:cs="Arial"/>
        </w:rPr>
      </w:pPr>
    </w:p>
    <w:p w:rsidR="00AA1E26" w:rsidRPr="00AA1E26" w:rsidRDefault="00AA1E26" w:rsidP="00C839BE">
      <w:pPr>
        <w:pStyle w:val="Heading1"/>
        <w:widowControl/>
        <w:numPr>
          <w:ilvl w:val="0"/>
          <w:numId w:val="23"/>
        </w:numPr>
        <w:spacing w:before="0" w:after="0"/>
        <w:ind w:left="567" w:hanging="567"/>
        <w:jc w:val="left"/>
        <w:rPr>
          <w:rFonts w:cs="Arial"/>
          <w:szCs w:val="22"/>
        </w:rPr>
      </w:pPr>
      <w:r w:rsidRPr="00AA1E26">
        <w:rPr>
          <w:rFonts w:cs="Arial"/>
          <w:szCs w:val="22"/>
        </w:rPr>
        <w:t>Applicant types</w:t>
      </w:r>
      <w:r w:rsidR="00783492">
        <w:rPr>
          <w:rFonts w:cs="Arial"/>
          <w:szCs w:val="22"/>
        </w:rPr>
        <w:t>: Actors, Technology fields and sectors</w:t>
      </w:r>
    </w:p>
    <w:p w:rsidR="00C839BE" w:rsidRDefault="00C839BE" w:rsidP="00C839BE">
      <w:pPr>
        <w:jc w:val="left"/>
        <w:rPr>
          <w:rFonts w:cs="Arial"/>
        </w:rPr>
      </w:pPr>
    </w:p>
    <w:p w:rsidR="00AA1E26" w:rsidRPr="00AA1E26" w:rsidRDefault="00AA1E26" w:rsidP="00C839BE">
      <w:pPr>
        <w:jc w:val="left"/>
        <w:rPr>
          <w:rFonts w:cs="Arial"/>
        </w:rPr>
      </w:pPr>
      <w:r w:rsidRPr="00DB24DB">
        <w:rPr>
          <w:rFonts w:cs="Arial"/>
        </w:rPr>
        <w:t>Almost 70% of foreign-oriented patent families by Chinese residents are owned by companies.</w:t>
      </w:r>
      <w:r w:rsidRPr="00AA1E26">
        <w:rPr>
          <w:rFonts w:cs="Arial"/>
          <w:b/>
        </w:rPr>
        <w:t xml:space="preserve"> </w:t>
      </w:r>
      <w:r w:rsidR="00C839BE">
        <w:rPr>
          <w:rFonts w:cs="Arial"/>
          <w:b/>
        </w:rPr>
        <w:t xml:space="preserve"> </w:t>
      </w:r>
      <w:r w:rsidRPr="00AA1E26">
        <w:rPr>
          <w:rFonts w:cs="Arial"/>
        </w:rPr>
        <w:t>As Figure 3.1 shows</w:t>
      </w:r>
      <w:r w:rsidRPr="00AA1E26">
        <w:rPr>
          <w:rFonts w:cs="Arial"/>
          <w:b/>
        </w:rPr>
        <w:t xml:space="preserve"> </w:t>
      </w:r>
      <w:r w:rsidRPr="00AA1E26">
        <w:rPr>
          <w:rFonts w:cs="Arial"/>
        </w:rPr>
        <w:t xml:space="preserve">the share of companies </w:t>
      </w:r>
      <w:r w:rsidR="00D43F38">
        <w:rPr>
          <w:rFonts w:cs="Arial"/>
        </w:rPr>
        <w:t xml:space="preserve">in total foreign-oriented patent families </w:t>
      </w:r>
      <w:r w:rsidRPr="00AA1E26">
        <w:rPr>
          <w:rFonts w:cs="Arial"/>
        </w:rPr>
        <w:t xml:space="preserve">has been rapidly growing </w:t>
      </w:r>
      <w:r w:rsidR="00DB24DB">
        <w:rPr>
          <w:rFonts w:cs="Arial"/>
        </w:rPr>
        <w:t>between 1970 and 2009</w:t>
      </w:r>
      <w:r w:rsidR="00D43F38">
        <w:rPr>
          <w:rFonts w:cs="Arial"/>
        </w:rPr>
        <w:t xml:space="preserve">; indeed </w:t>
      </w:r>
      <w:r w:rsidR="00DB24DB">
        <w:rPr>
          <w:rFonts w:cs="Arial"/>
        </w:rPr>
        <w:t xml:space="preserve">more than doubling every decade. </w:t>
      </w:r>
      <w:r w:rsidR="00C839BE">
        <w:rPr>
          <w:rFonts w:cs="Arial"/>
        </w:rPr>
        <w:t xml:space="preserve"> </w:t>
      </w:r>
      <w:r w:rsidR="00DB24DB">
        <w:rPr>
          <w:rFonts w:cs="Arial"/>
        </w:rPr>
        <w:t>At the same time,</w:t>
      </w:r>
      <w:r w:rsidRPr="00AA1E26">
        <w:rPr>
          <w:rFonts w:cs="Arial"/>
        </w:rPr>
        <w:t xml:space="preserve"> the share of individuals has been declining.</w:t>
      </w:r>
      <w:r w:rsidR="00C839BE">
        <w:rPr>
          <w:rFonts w:cs="Arial"/>
        </w:rPr>
        <w:t xml:space="preserve"> </w:t>
      </w:r>
      <w:r w:rsidRPr="00AA1E26">
        <w:rPr>
          <w:rFonts w:cs="Arial"/>
        </w:rPr>
        <w:t xml:space="preserve"> The share of universities and research institutes in total foreign-oriented patent families is about 6%, which is similar to </w:t>
      </w:r>
      <w:r w:rsidR="0083546E">
        <w:rPr>
          <w:rFonts w:cs="Arial"/>
        </w:rPr>
        <w:t>Republic of Korea</w:t>
      </w:r>
      <w:r w:rsidRPr="00AA1E26">
        <w:rPr>
          <w:rFonts w:cs="Arial"/>
        </w:rPr>
        <w:t xml:space="preserve"> (about 6%), and somewhat bigger if compared to the US (about 2%), Japan (less than 1%), and Germany (about 1%). </w:t>
      </w:r>
    </w:p>
    <w:p w:rsidR="00AA1E26" w:rsidRPr="00C839BE" w:rsidRDefault="00AA1E26" w:rsidP="00AA1E26">
      <w:pPr>
        <w:rPr>
          <w:rFonts w:eastAsiaTheme="minorHAnsi" w:cs="Arial"/>
          <w:b/>
          <w:kern w:val="0"/>
          <w:lang w:eastAsia="en-US"/>
        </w:rPr>
      </w:pPr>
      <w:proofErr w:type="gramStart"/>
      <w:r w:rsidRPr="00C839BE">
        <w:rPr>
          <w:rFonts w:eastAsiaTheme="minorHAnsi" w:cs="Arial"/>
          <w:b/>
          <w:kern w:val="0"/>
          <w:lang w:eastAsia="en-US"/>
        </w:rPr>
        <w:lastRenderedPageBreak/>
        <w:t>Figure 3.1.</w:t>
      </w:r>
      <w:proofErr w:type="gramEnd"/>
      <w:r w:rsidRPr="00C839BE">
        <w:rPr>
          <w:rFonts w:eastAsiaTheme="minorHAnsi" w:cs="Arial"/>
          <w:b/>
          <w:kern w:val="0"/>
          <w:lang w:eastAsia="en-US"/>
        </w:rPr>
        <w:t xml:space="preserve"> </w:t>
      </w:r>
      <w:r w:rsidR="003A5359">
        <w:rPr>
          <w:rFonts w:eastAsiaTheme="minorHAnsi" w:cs="Arial"/>
          <w:b/>
          <w:kern w:val="0"/>
          <w:lang w:eastAsia="en-US"/>
        </w:rPr>
        <w:t xml:space="preserve"> </w:t>
      </w:r>
      <w:r w:rsidRPr="00C839BE">
        <w:rPr>
          <w:rFonts w:eastAsiaTheme="minorHAnsi" w:cs="Arial"/>
          <w:b/>
          <w:kern w:val="0"/>
          <w:lang w:eastAsia="en-US"/>
        </w:rPr>
        <w:t>Distribution of Chinese foreign-oriented patent famili</w:t>
      </w:r>
      <w:r w:rsidR="001A11BE" w:rsidRPr="00C839BE">
        <w:rPr>
          <w:rFonts w:eastAsiaTheme="minorHAnsi" w:cs="Arial"/>
          <w:b/>
          <w:kern w:val="0"/>
          <w:lang w:eastAsia="en-US"/>
        </w:rPr>
        <w:t>es by applicant type, 1970-2009</w:t>
      </w:r>
    </w:p>
    <w:p w:rsidR="00AA1E26" w:rsidRPr="00AA1E26" w:rsidRDefault="00AA1E26" w:rsidP="00AA1E26">
      <w:pPr>
        <w:rPr>
          <w:rFonts w:cs="Arial"/>
        </w:rPr>
      </w:pPr>
      <w:r w:rsidRPr="00AA1E26">
        <w:rPr>
          <w:rFonts w:cs="Arial"/>
          <w:noProof/>
          <w:lang w:eastAsia="en-US"/>
        </w:rPr>
        <w:drawing>
          <wp:inline distT="0" distB="0" distL="0" distR="0">
            <wp:extent cx="5400040" cy="2672185"/>
            <wp:effectExtent l="0" t="0" r="1016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A1E26" w:rsidRPr="00C839BE" w:rsidRDefault="00AA1E26" w:rsidP="00AA1E26">
      <w:pPr>
        <w:rPr>
          <w:rFonts w:cs="Arial"/>
          <w:sz w:val="20"/>
          <w:szCs w:val="20"/>
        </w:rPr>
      </w:pPr>
      <w:r w:rsidRPr="00C839BE">
        <w:rPr>
          <w:rFonts w:cs="Arial"/>
          <w:sz w:val="20"/>
          <w:szCs w:val="20"/>
        </w:rPr>
        <w:t>Source: WIPO IP Statistics Database.</w:t>
      </w:r>
    </w:p>
    <w:p w:rsidR="005529C1" w:rsidRPr="00AA1E26" w:rsidRDefault="005529C1" w:rsidP="00AA1E26">
      <w:pPr>
        <w:rPr>
          <w:rFonts w:cs="Arial"/>
        </w:rPr>
      </w:pPr>
    </w:p>
    <w:p w:rsidR="00624C6C" w:rsidRPr="00AA1E26" w:rsidRDefault="00AA1E26" w:rsidP="00C839BE">
      <w:pPr>
        <w:jc w:val="left"/>
        <w:rPr>
          <w:rFonts w:cs="Arial"/>
        </w:rPr>
      </w:pPr>
      <w:r w:rsidRPr="00AA1E26">
        <w:rPr>
          <w:rFonts w:cs="Arial"/>
        </w:rPr>
        <w:t>In the next section</w:t>
      </w:r>
      <w:r w:rsidR="00F87F5F">
        <w:rPr>
          <w:rFonts w:cs="Arial"/>
        </w:rPr>
        <w:t>s</w:t>
      </w:r>
      <w:r w:rsidRPr="00AA1E26">
        <w:rPr>
          <w:rFonts w:cs="Arial"/>
        </w:rPr>
        <w:t xml:space="preserve"> the foreign-oriented patent families by Chinese residents </w:t>
      </w:r>
      <w:r w:rsidR="005529C1">
        <w:rPr>
          <w:rFonts w:cs="Arial"/>
        </w:rPr>
        <w:t>are analyzed as to their field of technology</w:t>
      </w:r>
      <w:r w:rsidRPr="00AA1E26">
        <w:rPr>
          <w:rFonts w:cs="Arial"/>
        </w:rPr>
        <w:t>.</w:t>
      </w:r>
      <w:r w:rsidR="00046B6E">
        <w:rPr>
          <w:rFonts w:cs="Arial"/>
        </w:rPr>
        <w:t xml:space="preserve"> </w:t>
      </w:r>
      <w:r w:rsidR="00C839BE">
        <w:rPr>
          <w:rFonts w:cs="Arial"/>
        </w:rPr>
        <w:t xml:space="preserve"> </w:t>
      </w:r>
      <w:r w:rsidR="00494822" w:rsidRPr="00494822">
        <w:rPr>
          <w:rFonts w:cs="Arial"/>
        </w:rPr>
        <w:t>The WIPO IPC-technology concordance table can be used to convert IPC symbols into corresponding fields of technology</w:t>
      </w:r>
      <w:r w:rsidR="00600F3B">
        <w:rPr>
          <w:rFonts w:cs="Arial"/>
        </w:rPr>
        <w:t xml:space="preserve"> and sector</w:t>
      </w:r>
      <w:r w:rsidR="00494822" w:rsidRPr="00494822">
        <w:rPr>
          <w:rFonts w:cs="Arial"/>
        </w:rPr>
        <w:t>.</w:t>
      </w:r>
      <w:r w:rsidR="00494822" w:rsidRPr="00004E23">
        <w:rPr>
          <w:rStyle w:val="FootnoteReference"/>
        </w:rPr>
        <w:footnoteReference w:id="5"/>
      </w:r>
      <w:r w:rsidR="00600F3B">
        <w:rPr>
          <w:rFonts w:cs="Arial"/>
        </w:rPr>
        <w:t xml:space="preserve"> </w:t>
      </w:r>
      <w:r w:rsidR="00C839BE">
        <w:rPr>
          <w:rFonts w:cs="Arial"/>
        </w:rPr>
        <w:t xml:space="preserve"> </w:t>
      </w:r>
      <w:r w:rsidR="00A63B2A">
        <w:rPr>
          <w:rFonts w:cs="Arial"/>
        </w:rPr>
        <w:t xml:space="preserve">This concordance table helps </w:t>
      </w:r>
      <w:r w:rsidR="00A63B2A" w:rsidRPr="00AA1E26">
        <w:rPr>
          <w:rFonts w:cs="Arial"/>
        </w:rPr>
        <w:t xml:space="preserve">determine which technology fields </w:t>
      </w:r>
      <w:r w:rsidR="00A63B2A">
        <w:rPr>
          <w:rFonts w:cs="Arial"/>
        </w:rPr>
        <w:t xml:space="preserve">are </w:t>
      </w:r>
      <w:r w:rsidR="00816005">
        <w:rPr>
          <w:rFonts w:cs="Arial"/>
        </w:rPr>
        <w:t xml:space="preserve">the </w:t>
      </w:r>
      <w:r w:rsidR="00A63B2A">
        <w:rPr>
          <w:rFonts w:cs="Arial"/>
        </w:rPr>
        <w:t>most represented in Chinese patent filings abroad.</w:t>
      </w:r>
      <w:r w:rsidR="00A63B2A" w:rsidRPr="00624C6C">
        <w:rPr>
          <w:rFonts w:cs="Arial"/>
        </w:rPr>
        <w:t xml:space="preserve"> </w:t>
      </w:r>
      <w:r w:rsidR="00C839BE">
        <w:rPr>
          <w:rFonts w:cs="Arial"/>
        </w:rPr>
        <w:t xml:space="preserve"> </w:t>
      </w:r>
      <w:r w:rsidR="00B72CED">
        <w:rPr>
          <w:rFonts w:cs="Arial"/>
        </w:rPr>
        <w:t>The</w:t>
      </w:r>
      <w:r w:rsidR="00624C6C" w:rsidRPr="00AA1E26">
        <w:rPr>
          <w:rFonts w:cs="Arial"/>
        </w:rPr>
        <w:t xml:space="preserve"> 35 </w:t>
      </w:r>
      <w:r w:rsidR="00B72CED">
        <w:rPr>
          <w:rFonts w:cs="Arial"/>
        </w:rPr>
        <w:t xml:space="preserve">possible </w:t>
      </w:r>
      <w:r w:rsidR="00624C6C" w:rsidRPr="00AA1E26">
        <w:rPr>
          <w:rFonts w:cs="Arial"/>
        </w:rPr>
        <w:t xml:space="preserve">technology fields </w:t>
      </w:r>
      <w:r w:rsidR="00B72CED" w:rsidRPr="00AA1E26">
        <w:rPr>
          <w:rFonts w:cs="Arial"/>
        </w:rPr>
        <w:t xml:space="preserve">are grouped into the broad five technology classes: </w:t>
      </w:r>
      <w:r w:rsidR="00C839BE">
        <w:rPr>
          <w:rFonts w:cs="Arial"/>
        </w:rPr>
        <w:t xml:space="preserve"> </w:t>
      </w:r>
      <w:r w:rsidR="00B72CED" w:rsidRPr="00AA1E26">
        <w:rPr>
          <w:rFonts w:cs="Arial"/>
          <w:i/>
        </w:rPr>
        <w:t>Electrical engineering</w:t>
      </w:r>
      <w:r w:rsidR="00B72CED" w:rsidRPr="00AA1E26">
        <w:rPr>
          <w:rFonts w:cs="Arial"/>
        </w:rPr>
        <w:t xml:space="preserve">, </w:t>
      </w:r>
      <w:r w:rsidR="00B72CED" w:rsidRPr="00AA1E26">
        <w:rPr>
          <w:rFonts w:cs="Arial"/>
          <w:i/>
        </w:rPr>
        <w:t>Instruments</w:t>
      </w:r>
      <w:r w:rsidR="00B72CED" w:rsidRPr="00AA1E26">
        <w:rPr>
          <w:rFonts w:cs="Arial"/>
        </w:rPr>
        <w:t xml:space="preserve">, </w:t>
      </w:r>
      <w:r w:rsidR="00B72CED" w:rsidRPr="00AA1E26">
        <w:rPr>
          <w:rFonts w:cs="Arial"/>
          <w:i/>
        </w:rPr>
        <w:t>Mechanical Engineering</w:t>
      </w:r>
      <w:r w:rsidR="00B72CED" w:rsidRPr="00AA1E26">
        <w:rPr>
          <w:rFonts w:cs="Arial"/>
        </w:rPr>
        <w:t xml:space="preserve">, </w:t>
      </w:r>
      <w:r w:rsidR="00B72CED" w:rsidRPr="00AA1E26">
        <w:rPr>
          <w:rFonts w:cs="Arial"/>
          <w:i/>
        </w:rPr>
        <w:t>Chemistry</w:t>
      </w:r>
      <w:r w:rsidR="00B72CED" w:rsidRPr="00AA1E26">
        <w:rPr>
          <w:rFonts w:cs="Arial"/>
        </w:rPr>
        <w:t xml:space="preserve">, and </w:t>
      </w:r>
      <w:r w:rsidR="00B72CED" w:rsidRPr="00AA1E26">
        <w:rPr>
          <w:rFonts w:cs="Arial"/>
          <w:i/>
        </w:rPr>
        <w:t>Other fields</w:t>
      </w:r>
      <w:r w:rsidR="00B72CED" w:rsidRPr="00AA1E26">
        <w:rPr>
          <w:rFonts w:cs="Arial"/>
        </w:rPr>
        <w:t xml:space="preserve">. </w:t>
      </w:r>
      <w:r w:rsidR="00C839BE">
        <w:rPr>
          <w:rFonts w:cs="Arial"/>
        </w:rPr>
        <w:t xml:space="preserve"> </w:t>
      </w:r>
      <w:r w:rsidR="00624C6C" w:rsidRPr="00AA1E26">
        <w:rPr>
          <w:rFonts w:cs="Arial"/>
        </w:rPr>
        <w:t>One patent family can belong to more than one technology field.</w:t>
      </w:r>
      <w:r w:rsidR="00624C6C" w:rsidRPr="00AA1E26">
        <w:rPr>
          <w:rStyle w:val="FootnoteReference"/>
          <w:rFonts w:cs="Arial"/>
        </w:rPr>
        <w:footnoteReference w:id="6"/>
      </w:r>
      <w:r w:rsidR="00624C6C" w:rsidRPr="00AA1E26">
        <w:rPr>
          <w:rFonts w:cs="Arial"/>
        </w:rPr>
        <w:t xml:space="preserve"> </w:t>
      </w:r>
      <w:r w:rsidR="00C839BE">
        <w:rPr>
          <w:rFonts w:cs="Arial"/>
        </w:rPr>
        <w:t xml:space="preserve"> </w:t>
      </w:r>
      <w:r w:rsidR="002665D7">
        <w:rPr>
          <w:rFonts w:cs="Arial"/>
        </w:rPr>
        <w:t>Also,</w:t>
      </w:r>
      <w:r w:rsidR="00B62C2E">
        <w:rPr>
          <w:rFonts w:cs="Arial"/>
        </w:rPr>
        <w:t xml:space="preserve"> t</w:t>
      </w:r>
      <w:r w:rsidR="00B62C2E" w:rsidRPr="00176263">
        <w:rPr>
          <w:rFonts w:cs="Arial"/>
        </w:rPr>
        <w:t xml:space="preserve">here are 1,616 patent families in </w:t>
      </w:r>
      <w:r w:rsidR="002665D7">
        <w:rPr>
          <w:rFonts w:cs="Arial"/>
        </w:rPr>
        <w:t>this</w:t>
      </w:r>
      <w:r w:rsidR="00B62C2E" w:rsidRPr="00176263">
        <w:rPr>
          <w:rFonts w:cs="Arial"/>
        </w:rPr>
        <w:t xml:space="preserve"> dataset with missing information on their technology fields.</w:t>
      </w:r>
    </w:p>
    <w:p w:rsidR="008E537C" w:rsidRDefault="008E537C" w:rsidP="00AA1E26">
      <w:pPr>
        <w:rPr>
          <w:rFonts w:cs="Arial"/>
          <w:b/>
        </w:rPr>
      </w:pPr>
    </w:p>
    <w:p w:rsidR="00AA1E26" w:rsidRPr="00AA1E26" w:rsidRDefault="00670596" w:rsidP="00C839BE">
      <w:pPr>
        <w:jc w:val="left"/>
        <w:rPr>
          <w:rFonts w:cs="Arial"/>
          <w:b/>
        </w:rPr>
      </w:pPr>
      <w:r w:rsidRPr="00670596">
        <w:rPr>
          <w:rFonts w:cs="Arial"/>
        </w:rPr>
        <w:t>Based on this methodology it is found that m</w:t>
      </w:r>
      <w:r w:rsidR="00AA1E26" w:rsidRPr="00670596">
        <w:rPr>
          <w:rFonts w:cs="Arial"/>
        </w:rPr>
        <w:t xml:space="preserve">ore than 50% of foreign-oriented patent families by Chinese residents belong </w:t>
      </w:r>
      <w:r w:rsidR="00B62C2E">
        <w:rPr>
          <w:rFonts w:cs="Arial"/>
        </w:rPr>
        <w:t>to the “Electrical Engineering”-</w:t>
      </w:r>
      <w:r w:rsidR="00AA1E26" w:rsidRPr="00670596">
        <w:rPr>
          <w:rFonts w:cs="Arial"/>
        </w:rPr>
        <w:t>class.</w:t>
      </w:r>
      <w:r w:rsidR="00AA1E26" w:rsidRPr="00AA1E26">
        <w:rPr>
          <w:rFonts w:cs="Arial"/>
          <w:b/>
        </w:rPr>
        <w:t xml:space="preserve"> </w:t>
      </w:r>
      <w:r w:rsidR="00AA1E26" w:rsidRPr="00AA1E26">
        <w:rPr>
          <w:rFonts w:cs="Arial"/>
        </w:rPr>
        <w:t xml:space="preserve">Figure </w:t>
      </w:r>
      <w:r w:rsidR="001A11BE">
        <w:rPr>
          <w:rFonts w:cs="Arial"/>
        </w:rPr>
        <w:t>3</w:t>
      </w:r>
      <w:r w:rsidR="00AA1E26" w:rsidRPr="00AA1E26">
        <w:rPr>
          <w:rFonts w:cs="Arial"/>
        </w:rPr>
        <w:t>.</w:t>
      </w:r>
      <w:r w:rsidR="001A11BE">
        <w:rPr>
          <w:rFonts w:cs="Arial"/>
        </w:rPr>
        <w:t>2</w:t>
      </w:r>
      <w:r w:rsidR="00AA1E26" w:rsidRPr="00AA1E26">
        <w:rPr>
          <w:rFonts w:cs="Arial"/>
        </w:rPr>
        <w:t xml:space="preserve"> </w:t>
      </w:r>
      <w:proofErr w:type="gramStart"/>
      <w:r w:rsidR="00AA1E26" w:rsidRPr="00AA1E26">
        <w:rPr>
          <w:rFonts w:cs="Arial"/>
        </w:rPr>
        <w:t>shows</w:t>
      </w:r>
      <w:proofErr w:type="gramEnd"/>
      <w:r w:rsidR="00AA1E26" w:rsidRPr="00AA1E26">
        <w:rPr>
          <w:rFonts w:cs="Arial"/>
        </w:rPr>
        <w:t xml:space="preserve"> th</w:t>
      </w:r>
      <w:r w:rsidR="002665D7">
        <w:rPr>
          <w:rFonts w:cs="Arial"/>
        </w:rPr>
        <w:t>at the “Electrical Engineering”-</w:t>
      </w:r>
      <w:r w:rsidR="00AA1E26" w:rsidRPr="00AA1E26">
        <w:rPr>
          <w:rFonts w:cs="Arial"/>
        </w:rPr>
        <w:t>class had one of the sma</w:t>
      </w:r>
      <w:r w:rsidR="002665D7">
        <w:rPr>
          <w:rFonts w:cs="Arial"/>
        </w:rPr>
        <w:t xml:space="preserve">llest shares in earlier years. </w:t>
      </w:r>
      <w:r w:rsidR="00C839BE">
        <w:rPr>
          <w:rFonts w:cs="Arial"/>
        </w:rPr>
        <w:t xml:space="preserve"> </w:t>
      </w:r>
      <w:r w:rsidR="002665D7">
        <w:rPr>
          <w:rFonts w:cs="Arial"/>
        </w:rPr>
        <w:t xml:space="preserve">Nonetheless, it has since </w:t>
      </w:r>
      <w:r>
        <w:rPr>
          <w:rFonts w:cs="Arial"/>
        </w:rPr>
        <w:t xml:space="preserve">been growing steadily, making up </w:t>
      </w:r>
      <w:r w:rsidR="00A53E85">
        <w:rPr>
          <w:rFonts w:cs="Arial"/>
        </w:rPr>
        <w:t xml:space="preserve">for </w:t>
      </w:r>
      <w:r w:rsidR="00AA1E26" w:rsidRPr="00AA1E26">
        <w:rPr>
          <w:rFonts w:cs="Arial"/>
        </w:rPr>
        <w:t xml:space="preserve">the biggest share of foreign-oriented patent families in 2000-2009. </w:t>
      </w:r>
      <w:r w:rsidR="00C839BE">
        <w:rPr>
          <w:rFonts w:cs="Arial"/>
        </w:rPr>
        <w:t xml:space="preserve"> </w:t>
      </w:r>
      <w:r w:rsidR="00AA1E26" w:rsidRPr="00AA1E26">
        <w:rPr>
          <w:rFonts w:cs="Arial"/>
        </w:rPr>
        <w:t xml:space="preserve">The shares of other technology classes have </w:t>
      </w:r>
      <w:r w:rsidR="00B62C2E">
        <w:rPr>
          <w:rFonts w:cs="Arial"/>
        </w:rPr>
        <w:t xml:space="preserve">rather </w:t>
      </w:r>
      <w:r w:rsidR="00AA1E26" w:rsidRPr="00AA1E26">
        <w:rPr>
          <w:rFonts w:cs="Arial"/>
        </w:rPr>
        <w:t xml:space="preserve">been declining </w:t>
      </w:r>
      <w:r>
        <w:rPr>
          <w:rFonts w:cs="Arial"/>
        </w:rPr>
        <w:t>over the</w:t>
      </w:r>
      <w:r w:rsidR="00AA1E26" w:rsidRPr="00AA1E26">
        <w:rPr>
          <w:rFonts w:cs="Arial"/>
        </w:rPr>
        <w:t xml:space="preserve"> last 10 years. </w:t>
      </w:r>
      <w:r w:rsidR="00C839BE">
        <w:rPr>
          <w:rFonts w:cs="Arial"/>
        </w:rPr>
        <w:t xml:space="preserve"> </w:t>
      </w:r>
      <w:r w:rsidR="00ED5179">
        <w:rPr>
          <w:rFonts w:cs="Arial"/>
        </w:rPr>
        <w:t>This is valid except for the “Instruments”-class.</w:t>
      </w:r>
      <w:r w:rsidR="00C839BE">
        <w:rPr>
          <w:rFonts w:cs="Arial"/>
        </w:rPr>
        <w:t xml:space="preserve"> </w:t>
      </w:r>
      <w:r w:rsidR="00ED5179">
        <w:rPr>
          <w:rFonts w:cs="Arial"/>
        </w:rPr>
        <w:t xml:space="preserve"> And while “Mechanical engineering” and “Chemistry” have declined they still make up for a considerable share, </w:t>
      </w:r>
      <w:r w:rsidR="00862AEE" w:rsidRPr="00862AEE">
        <w:rPr>
          <w:rFonts w:cs="Arial"/>
        </w:rPr>
        <w:t xml:space="preserve">almost 23% </w:t>
      </w:r>
      <w:r w:rsidR="000E6AE1">
        <w:rPr>
          <w:rFonts w:cs="Arial"/>
        </w:rPr>
        <w:t xml:space="preserve">taken together </w:t>
      </w:r>
      <w:r w:rsidR="00ED5179">
        <w:rPr>
          <w:rFonts w:cs="Arial"/>
        </w:rPr>
        <w:t xml:space="preserve">in 2009 to be precise. </w:t>
      </w:r>
    </w:p>
    <w:p w:rsidR="00AA1E26" w:rsidRPr="00AA1E26" w:rsidRDefault="00AA1E26" w:rsidP="00AA1E26">
      <w:pPr>
        <w:rPr>
          <w:rFonts w:cs="Arial"/>
        </w:rPr>
      </w:pPr>
    </w:p>
    <w:p w:rsidR="00AA1E26" w:rsidRPr="00C839BE" w:rsidRDefault="00AA1E26" w:rsidP="00AA1E26">
      <w:pPr>
        <w:rPr>
          <w:rFonts w:eastAsiaTheme="minorHAnsi" w:cs="Arial"/>
          <w:b/>
          <w:kern w:val="0"/>
          <w:lang w:eastAsia="en-US"/>
        </w:rPr>
      </w:pPr>
      <w:proofErr w:type="gramStart"/>
      <w:r w:rsidRPr="00C839BE">
        <w:rPr>
          <w:rFonts w:eastAsiaTheme="minorHAnsi" w:cs="Arial"/>
          <w:b/>
          <w:kern w:val="0"/>
          <w:lang w:eastAsia="en-US"/>
        </w:rPr>
        <w:t xml:space="preserve">Figure </w:t>
      </w:r>
      <w:r w:rsidR="001A11BE" w:rsidRPr="00C839BE">
        <w:rPr>
          <w:rFonts w:eastAsiaTheme="minorHAnsi" w:cs="Arial"/>
          <w:b/>
          <w:kern w:val="0"/>
          <w:lang w:eastAsia="en-US"/>
        </w:rPr>
        <w:t>3.2</w:t>
      </w:r>
      <w:r w:rsidRPr="00C839BE">
        <w:rPr>
          <w:rFonts w:eastAsiaTheme="minorHAnsi" w:cs="Arial"/>
          <w:b/>
          <w:kern w:val="0"/>
          <w:lang w:eastAsia="en-US"/>
        </w:rPr>
        <w:t>.</w:t>
      </w:r>
      <w:proofErr w:type="gramEnd"/>
      <w:r w:rsidR="003A5359">
        <w:rPr>
          <w:rFonts w:eastAsiaTheme="minorHAnsi" w:cs="Arial"/>
          <w:b/>
          <w:kern w:val="0"/>
          <w:lang w:eastAsia="en-US"/>
        </w:rPr>
        <w:t xml:space="preserve"> </w:t>
      </w:r>
      <w:r w:rsidRPr="00C839BE">
        <w:rPr>
          <w:rFonts w:eastAsiaTheme="minorHAnsi" w:cs="Arial"/>
          <w:b/>
          <w:kern w:val="0"/>
          <w:lang w:eastAsia="en-US"/>
        </w:rPr>
        <w:t xml:space="preserve"> Distribution of patent families </w:t>
      </w:r>
      <w:r w:rsidR="001A11BE" w:rsidRPr="00C839BE">
        <w:rPr>
          <w:rFonts w:eastAsiaTheme="minorHAnsi" w:cs="Arial"/>
          <w:b/>
          <w:kern w:val="0"/>
          <w:lang w:eastAsia="en-US"/>
        </w:rPr>
        <w:t>by technology sector, 1970-2009</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1E26" w:rsidRPr="00C839BE" w:rsidRDefault="00AA1E26" w:rsidP="00AA1E26">
      <w:pPr>
        <w:rPr>
          <w:rFonts w:cs="Arial"/>
          <w:sz w:val="20"/>
          <w:szCs w:val="20"/>
        </w:rPr>
      </w:pPr>
      <w:r w:rsidRPr="00C839BE">
        <w:rPr>
          <w:rFonts w:cs="Arial"/>
          <w:sz w:val="20"/>
          <w:szCs w:val="20"/>
        </w:rPr>
        <w:t>Source:</w:t>
      </w:r>
      <w:r w:rsidR="003A5359">
        <w:rPr>
          <w:rFonts w:cs="Arial"/>
          <w:sz w:val="20"/>
          <w:szCs w:val="20"/>
        </w:rPr>
        <w:t xml:space="preserve"> </w:t>
      </w:r>
      <w:r w:rsidRPr="00C839BE">
        <w:rPr>
          <w:rFonts w:cs="Arial"/>
          <w:sz w:val="20"/>
          <w:szCs w:val="20"/>
        </w:rPr>
        <w:t xml:space="preserve"> WIPO IP Statistics Database.</w:t>
      </w:r>
    </w:p>
    <w:p w:rsidR="00322D5E" w:rsidRDefault="00322D5E" w:rsidP="00C839BE">
      <w:pPr>
        <w:jc w:val="left"/>
        <w:rPr>
          <w:rFonts w:cs="Arial"/>
        </w:rPr>
      </w:pPr>
    </w:p>
    <w:p w:rsidR="00AA1E26" w:rsidRPr="00AA1E26" w:rsidRDefault="00670596" w:rsidP="00C839BE">
      <w:pPr>
        <w:jc w:val="left"/>
        <w:rPr>
          <w:rFonts w:cs="Arial"/>
        </w:rPr>
      </w:pPr>
      <w:r w:rsidRPr="00670596">
        <w:rPr>
          <w:rFonts w:cs="Arial"/>
        </w:rPr>
        <w:t xml:space="preserve">Going deeper, it is found that the </w:t>
      </w:r>
      <w:r w:rsidR="00AA1E26" w:rsidRPr="00670596">
        <w:rPr>
          <w:rFonts w:cs="Arial"/>
        </w:rPr>
        <w:t>ICT sector has the largest number of foreign-oriented patent families</w:t>
      </w:r>
      <w:r w:rsidRPr="00670596">
        <w:rPr>
          <w:rFonts w:cs="Arial"/>
        </w:rPr>
        <w:t>, with roughly o</w:t>
      </w:r>
      <w:r w:rsidR="005643E5">
        <w:rPr>
          <w:rFonts w:cs="Arial"/>
        </w:rPr>
        <w:t xml:space="preserve">ne </w:t>
      </w:r>
      <w:r w:rsidR="00817308">
        <w:rPr>
          <w:rFonts w:cs="Arial"/>
        </w:rPr>
        <w:t>fourth</w:t>
      </w:r>
      <w:r w:rsidR="005643E5">
        <w:rPr>
          <w:rFonts w:cs="Arial"/>
        </w:rPr>
        <w:t xml:space="preserve"> of all patent families</w:t>
      </w:r>
      <w:r w:rsidRPr="00670596">
        <w:rPr>
          <w:rFonts w:cs="Arial"/>
        </w:rPr>
        <w:t xml:space="preserve"> </w:t>
      </w:r>
      <w:r w:rsidR="00396347">
        <w:rPr>
          <w:rFonts w:cs="Arial"/>
        </w:rPr>
        <w:t xml:space="preserve">from China </w:t>
      </w:r>
      <w:r w:rsidR="002723F8">
        <w:rPr>
          <w:rFonts w:cs="Arial"/>
        </w:rPr>
        <w:t>(</w:t>
      </w:r>
      <w:r w:rsidR="00C0354C">
        <w:rPr>
          <w:rFonts w:cs="Arial"/>
        </w:rPr>
        <w:t xml:space="preserve">25% within the whole period of 1970-2012, and </w:t>
      </w:r>
      <w:r w:rsidR="005643E5">
        <w:rPr>
          <w:rFonts w:cs="Arial"/>
        </w:rPr>
        <w:t>29% in 2005-2009</w:t>
      </w:r>
      <w:r w:rsidR="00C0354C">
        <w:rPr>
          <w:rFonts w:cs="Arial"/>
        </w:rPr>
        <w:t>)</w:t>
      </w:r>
      <w:r w:rsidR="00AA1E26" w:rsidRPr="002723F8">
        <w:rPr>
          <w:rFonts w:cs="Arial"/>
          <w:color w:val="FF0000"/>
        </w:rPr>
        <w:t>.</w:t>
      </w:r>
      <w:r w:rsidR="00C839BE">
        <w:rPr>
          <w:rFonts w:cs="Arial"/>
          <w:color w:val="FF0000"/>
        </w:rPr>
        <w:t xml:space="preserve"> </w:t>
      </w:r>
      <w:r w:rsidR="00AA1E26" w:rsidRPr="00AA1E26">
        <w:rPr>
          <w:rFonts w:cs="Arial"/>
        </w:rPr>
        <w:t xml:space="preserve"> Figure </w:t>
      </w:r>
      <w:r w:rsidR="001A11BE">
        <w:rPr>
          <w:rFonts w:cs="Arial"/>
        </w:rPr>
        <w:t>3</w:t>
      </w:r>
      <w:r w:rsidR="00AA1E26" w:rsidRPr="00AA1E26">
        <w:rPr>
          <w:rFonts w:cs="Arial"/>
        </w:rPr>
        <w:t>.</w:t>
      </w:r>
      <w:r w:rsidR="001A11BE">
        <w:rPr>
          <w:rFonts w:cs="Arial"/>
        </w:rPr>
        <w:t>3</w:t>
      </w:r>
      <w:r w:rsidR="00AA1E26" w:rsidRPr="00AA1E26">
        <w:rPr>
          <w:rFonts w:cs="Arial"/>
        </w:rPr>
        <w:t xml:space="preserve"> shows the top ten technology fields among foreign-oriented patent families by Chinese residents</w:t>
      </w:r>
      <w:r w:rsidR="00C0354C">
        <w:rPr>
          <w:rFonts w:cs="Arial"/>
        </w:rPr>
        <w:t>.</w:t>
      </w:r>
      <w:r w:rsidR="006F0966">
        <w:rPr>
          <w:rFonts w:cs="Arial"/>
        </w:rPr>
        <w:t xml:space="preserve"> </w:t>
      </w:r>
      <w:r w:rsidR="00C839BE">
        <w:rPr>
          <w:rFonts w:cs="Arial"/>
        </w:rPr>
        <w:t xml:space="preserve"> </w:t>
      </w:r>
      <w:r w:rsidR="00AA1E26" w:rsidRPr="00AA1E26">
        <w:rPr>
          <w:rFonts w:cs="Arial"/>
        </w:rPr>
        <w:t>The top five technology fields belong to the fastest growing “Electrical engineering”</w:t>
      </w:r>
      <w:r w:rsidR="00A53E85">
        <w:rPr>
          <w:rFonts w:cs="Arial"/>
        </w:rPr>
        <w:t>-</w:t>
      </w:r>
      <w:r w:rsidR="00B128F4">
        <w:rPr>
          <w:rFonts w:cs="Arial"/>
        </w:rPr>
        <w:t>c</w:t>
      </w:r>
      <w:r w:rsidR="00AA1E26" w:rsidRPr="00AA1E26">
        <w:rPr>
          <w:rFonts w:cs="Arial"/>
        </w:rPr>
        <w:t xml:space="preserve">lass of patent families with “Electrical machinery, apparatus, energy” having the biggest share in total families (13%), followed by </w:t>
      </w:r>
      <w:r w:rsidR="001A042A">
        <w:rPr>
          <w:rFonts w:cs="Arial"/>
        </w:rPr>
        <w:t>“</w:t>
      </w:r>
      <w:r w:rsidR="00AA1E26" w:rsidRPr="00AA1E26">
        <w:rPr>
          <w:rFonts w:cs="Arial"/>
        </w:rPr>
        <w:t>Digital communication” (1</w:t>
      </w:r>
      <w:r w:rsidR="00C0354C">
        <w:rPr>
          <w:rFonts w:cs="Arial"/>
        </w:rPr>
        <w:t>1</w:t>
      </w:r>
      <w:r w:rsidR="00AA1E26" w:rsidRPr="00AA1E26">
        <w:rPr>
          <w:rFonts w:cs="Arial"/>
        </w:rPr>
        <w:t>%) and “</w:t>
      </w:r>
      <w:r w:rsidR="00C0354C">
        <w:rPr>
          <w:rFonts w:cs="Arial"/>
        </w:rPr>
        <w:t>Computer technology” (11</w:t>
      </w:r>
      <w:r w:rsidR="00AA1E26" w:rsidRPr="00AA1E26">
        <w:rPr>
          <w:rFonts w:cs="Arial"/>
        </w:rPr>
        <w:t xml:space="preserve">%).  </w:t>
      </w:r>
    </w:p>
    <w:p w:rsidR="00C839BE" w:rsidRDefault="00C839BE">
      <w:pPr>
        <w:widowControl/>
        <w:jc w:val="left"/>
        <w:rPr>
          <w:rFonts w:cs="Arial"/>
        </w:rPr>
      </w:pPr>
      <w:r>
        <w:rPr>
          <w:rFonts w:cs="Arial"/>
        </w:rPr>
        <w:br w:type="page"/>
      </w:r>
    </w:p>
    <w:p w:rsidR="00D75CCE" w:rsidRPr="00C839BE" w:rsidRDefault="00D75CCE" w:rsidP="00647662">
      <w:pPr>
        <w:jc w:val="left"/>
        <w:rPr>
          <w:rFonts w:eastAsiaTheme="minorHAnsi" w:cs="Arial"/>
          <w:b/>
          <w:kern w:val="0"/>
          <w:lang w:eastAsia="en-US"/>
        </w:rPr>
      </w:pPr>
      <w:proofErr w:type="gramStart"/>
      <w:r w:rsidRPr="00C839BE">
        <w:rPr>
          <w:rFonts w:eastAsiaTheme="minorHAnsi" w:cs="Arial"/>
          <w:b/>
          <w:kern w:val="0"/>
          <w:lang w:eastAsia="en-US"/>
        </w:rPr>
        <w:lastRenderedPageBreak/>
        <w:t xml:space="preserve">Figure </w:t>
      </w:r>
      <w:r w:rsidR="001A11BE" w:rsidRPr="00C839BE">
        <w:rPr>
          <w:rFonts w:eastAsiaTheme="minorHAnsi" w:cs="Arial"/>
          <w:b/>
          <w:kern w:val="0"/>
          <w:lang w:eastAsia="en-US"/>
        </w:rPr>
        <w:t>3</w:t>
      </w:r>
      <w:r w:rsidRPr="00C839BE">
        <w:rPr>
          <w:rFonts w:eastAsiaTheme="minorHAnsi" w:cs="Arial"/>
          <w:b/>
          <w:kern w:val="0"/>
          <w:lang w:eastAsia="en-US"/>
        </w:rPr>
        <w:t>.</w:t>
      </w:r>
      <w:r w:rsidR="001A11BE" w:rsidRPr="00C839BE">
        <w:rPr>
          <w:rFonts w:eastAsiaTheme="minorHAnsi" w:cs="Arial"/>
          <w:b/>
          <w:kern w:val="0"/>
          <w:lang w:eastAsia="en-US"/>
        </w:rPr>
        <w:t>3</w:t>
      </w:r>
      <w:r w:rsidRPr="00C839BE">
        <w:rPr>
          <w:rFonts w:eastAsiaTheme="minorHAnsi" w:cs="Arial"/>
          <w:b/>
          <w:kern w:val="0"/>
          <w:lang w:eastAsia="en-US"/>
        </w:rPr>
        <w:t>.</w:t>
      </w:r>
      <w:proofErr w:type="gramEnd"/>
      <w:r w:rsidRPr="00C839BE">
        <w:rPr>
          <w:rFonts w:eastAsiaTheme="minorHAnsi" w:cs="Arial"/>
          <w:b/>
          <w:kern w:val="0"/>
          <w:lang w:eastAsia="en-US"/>
        </w:rPr>
        <w:t xml:space="preserve"> </w:t>
      </w:r>
      <w:r w:rsidR="00647662">
        <w:rPr>
          <w:rFonts w:eastAsiaTheme="minorHAnsi" w:cs="Arial"/>
          <w:b/>
          <w:kern w:val="0"/>
          <w:lang w:eastAsia="en-US"/>
        </w:rPr>
        <w:t xml:space="preserve"> </w:t>
      </w:r>
      <w:r w:rsidRPr="00C839BE">
        <w:rPr>
          <w:rFonts w:eastAsiaTheme="minorHAnsi" w:cs="Arial"/>
          <w:b/>
          <w:kern w:val="0"/>
          <w:lang w:eastAsia="en-US"/>
        </w:rPr>
        <w:t>Top ten technology fields among foreign-oriented patent families by Chinese residents, 2005-2009</w:t>
      </w:r>
    </w:p>
    <w:p w:rsidR="00D75CCE" w:rsidRDefault="00D75CCE" w:rsidP="00AA1E26">
      <w:pPr>
        <w:rPr>
          <w:rFonts w:cs="Arial"/>
        </w:rPr>
      </w:pPr>
      <w:r>
        <w:rPr>
          <w:noProof/>
          <w:lang w:eastAsia="en-US"/>
        </w:rPr>
        <w:drawing>
          <wp:inline distT="0" distB="0" distL="0" distR="0">
            <wp:extent cx="5400040" cy="2700020"/>
            <wp:effectExtent l="0" t="0" r="1016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21F2C" w:rsidRPr="00C839BE" w:rsidRDefault="00521F2C" w:rsidP="00521F2C">
      <w:pPr>
        <w:rPr>
          <w:rFonts w:cs="Arial"/>
          <w:sz w:val="20"/>
          <w:szCs w:val="20"/>
        </w:rPr>
      </w:pPr>
      <w:r w:rsidRPr="00C839BE">
        <w:rPr>
          <w:rFonts w:cs="Arial"/>
          <w:sz w:val="20"/>
          <w:szCs w:val="20"/>
        </w:rPr>
        <w:t xml:space="preserve">Source: </w:t>
      </w:r>
      <w:r w:rsidR="00647662">
        <w:rPr>
          <w:rFonts w:cs="Arial"/>
          <w:sz w:val="20"/>
          <w:szCs w:val="20"/>
        </w:rPr>
        <w:t xml:space="preserve"> </w:t>
      </w:r>
      <w:r w:rsidRPr="00C839BE">
        <w:rPr>
          <w:rFonts w:cs="Arial"/>
          <w:sz w:val="20"/>
          <w:szCs w:val="20"/>
        </w:rPr>
        <w:t>WIPO IP Statistics Database.</w:t>
      </w:r>
    </w:p>
    <w:p w:rsidR="00C839BE" w:rsidRDefault="00C839BE" w:rsidP="00AA1E26">
      <w:pPr>
        <w:rPr>
          <w:rFonts w:cs="Arial"/>
        </w:rPr>
      </w:pPr>
    </w:p>
    <w:p w:rsidR="00AA1E26" w:rsidRDefault="00AA1E26" w:rsidP="00C839BE">
      <w:pPr>
        <w:jc w:val="left"/>
        <w:rPr>
          <w:rFonts w:cs="Arial"/>
        </w:rPr>
      </w:pPr>
      <w:r w:rsidRPr="00D72794">
        <w:rPr>
          <w:rFonts w:cs="Arial"/>
        </w:rPr>
        <w:t>The top technology fields among foreign-oriented patent families and domestic patent families overlap only partially.</w:t>
      </w:r>
      <w:r w:rsidRPr="00AA1E26">
        <w:rPr>
          <w:rFonts w:cs="Arial"/>
        </w:rPr>
        <w:t xml:space="preserve"> </w:t>
      </w:r>
      <w:r w:rsidR="00C839BE">
        <w:rPr>
          <w:rFonts w:cs="Arial"/>
        </w:rPr>
        <w:t xml:space="preserve"> </w:t>
      </w:r>
      <w:r w:rsidR="00D72794">
        <w:rPr>
          <w:rFonts w:cs="Arial"/>
        </w:rPr>
        <w:t>Specifically, o</w:t>
      </w:r>
      <w:r w:rsidRPr="00AA1E26">
        <w:rPr>
          <w:rFonts w:cs="Arial"/>
        </w:rPr>
        <w:t xml:space="preserve">nly four out of </w:t>
      </w:r>
      <w:r w:rsidR="00D72794">
        <w:rPr>
          <w:rFonts w:cs="Arial"/>
        </w:rPr>
        <w:t xml:space="preserve">the </w:t>
      </w:r>
      <w:r w:rsidRPr="00AA1E26">
        <w:rPr>
          <w:rFonts w:cs="Arial"/>
        </w:rPr>
        <w:t xml:space="preserve">top ten technology fields are the same among foreign-oriented and domestic patent families groups (i.e., “Electrical machinery, apparatus, energy”, Furniture, games,” </w:t>
      </w:r>
      <w:r w:rsidR="00E14815" w:rsidRPr="00AA1E26">
        <w:rPr>
          <w:rFonts w:cs="Arial"/>
        </w:rPr>
        <w:t xml:space="preserve">“Measurement”, </w:t>
      </w:r>
      <w:r w:rsidRPr="00AA1E26">
        <w:rPr>
          <w:rFonts w:cs="Arial"/>
        </w:rPr>
        <w:t>and “Other consumer goods”) (</w:t>
      </w:r>
      <w:r w:rsidR="00A53E85">
        <w:rPr>
          <w:rFonts w:cs="Arial"/>
        </w:rPr>
        <w:t>compare</w:t>
      </w:r>
      <w:r w:rsidRPr="00AA1E26">
        <w:rPr>
          <w:rFonts w:cs="Arial"/>
        </w:rPr>
        <w:t xml:space="preserve"> Figure</w:t>
      </w:r>
      <w:r w:rsidR="00A53E85">
        <w:rPr>
          <w:rFonts w:cs="Arial"/>
        </w:rPr>
        <w:t>s</w:t>
      </w:r>
      <w:r w:rsidRPr="00AA1E26">
        <w:rPr>
          <w:rFonts w:cs="Arial"/>
        </w:rPr>
        <w:t xml:space="preserve"> </w:t>
      </w:r>
      <w:r w:rsidR="001A11BE">
        <w:rPr>
          <w:rFonts w:cs="Arial"/>
        </w:rPr>
        <w:t>3</w:t>
      </w:r>
      <w:r w:rsidRPr="00AA1E26">
        <w:rPr>
          <w:rFonts w:cs="Arial"/>
        </w:rPr>
        <w:t>.</w:t>
      </w:r>
      <w:r w:rsidR="00EF449D">
        <w:rPr>
          <w:rFonts w:cs="Arial"/>
        </w:rPr>
        <w:t>3</w:t>
      </w:r>
      <w:r w:rsidR="003E4084">
        <w:rPr>
          <w:rFonts w:cs="Arial"/>
        </w:rPr>
        <w:t xml:space="preserve"> and </w:t>
      </w:r>
      <w:r w:rsidR="001A11BE">
        <w:rPr>
          <w:rFonts w:cs="Arial"/>
        </w:rPr>
        <w:t>3</w:t>
      </w:r>
      <w:r w:rsidR="003E4084">
        <w:rPr>
          <w:rFonts w:cs="Arial"/>
        </w:rPr>
        <w:t>.</w:t>
      </w:r>
      <w:r w:rsidR="00EF449D">
        <w:rPr>
          <w:rFonts w:cs="Arial"/>
        </w:rPr>
        <w:t>4</w:t>
      </w:r>
      <w:r w:rsidRPr="00AA1E26">
        <w:rPr>
          <w:rFonts w:cs="Arial"/>
        </w:rPr>
        <w:t xml:space="preserve">). </w:t>
      </w:r>
    </w:p>
    <w:p w:rsidR="00C839BE" w:rsidRDefault="00C839BE">
      <w:pPr>
        <w:widowControl/>
        <w:jc w:val="left"/>
        <w:rPr>
          <w:rFonts w:cs="Arial"/>
        </w:rPr>
      </w:pPr>
      <w:r>
        <w:rPr>
          <w:rFonts w:cs="Arial"/>
        </w:rPr>
        <w:br w:type="page"/>
      </w:r>
    </w:p>
    <w:p w:rsidR="00521F2C" w:rsidRPr="00C839BE" w:rsidRDefault="001A11BE" w:rsidP="00647662">
      <w:pPr>
        <w:jc w:val="left"/>
        <w:rPr>
          <w:rFonts w:eastAsiaTheme="minorHAnsi" w:cs="Arial"/>
          <w:b/>
          <w:kern w:val="0"/>
          <w:lang w:eastAsia="en-US"/>
        </w:rPr>
      </w:pPr>
      <w:proofErr w:type="gramStart"/>
      <w:r w:rsidRPr="00C839BE">
        <w:rPr>
          <w:rFonts w:eastAsiaTheme="minorHAnsi" w:cs="Arial"/>
          <w:b/>
          <w:kern w:val="0"/>
          <w:lang w:eastAsia="en-US"/>
        </w:rPr>
        <w:lastRenderedPageBreak/>
        <w:t xml:space="preserve">Figure </w:t>
      </w:r>
      <w:r w:rsidR="00CE03AF" w:rsidRPr="00C839BE">
        <w:rPr>
          <w:rFonts w:eastAsiaTheme="minorHAnsi" w:cs="Arial"/>
          <w:b/>
          <w:kern w:val="0"/>
          <w:lang w:eastAsia="en-US"/>
        </w:rPr>
        <w:t>3</w:t>
      </w:r>
      <w:r w:rsidR="00521F2C" w:rsidRPr="00C839BE">
        <w:rPr>
          <w:rFonts w:eastAsiaTheme="minorHAnsi" w:cs="Arial"/>
          <w:b/>
          <w:kern w:val="0"/>
          <w:lang w:eastAsia="en-US"/>
        </w:rPr>
        <w:t>.</w:t>
      </w:r>
      <w:r w:rsidRPr="00C839BE">
        <w:rPr>
          <w:rFonts w:eastAsiaTheme="minorHAnsi" w:cs="Arial"/>
          <w:b/>
          <w:kern w:val="0"/>
          <w:lang w:eastAsia="en-US"/>
        </w:rPr>
        <w:t>4.</w:t>
      </w:r>
      <w:proofErr w:type="gramEnd"/>
      <w:r w:rsidR="00521F2C" w:rsidRPr="00C839BE">
        <w:rPr>
          <w:rFonts w:eastAsiaTheme="minorHAnsi" w:cs="Arial"/>
          <w:b/>
          <w:kern w:val="0"/>
          <w:lang w:eastAsia="en-US"/>
        </w:rPr>
        <w:t xml:space="preserve"> </w:t>
      </w:r>
      <w:r w:rsidR="00647662">
        <w:rPr>
          <w:rFonts w:eastAsiaTheme="minorHAnsi" w:cs="Arial"/>
          <w:b/>
          <w:kern w:val="0"/>
          <w:lang w:eastAsia="en-US"/>
        </w:rPr>
        <w:t xml:space="preserve"> </w:t>
      </w:r>
      <w:r w:rsidR="00521F2C" w:rsidRPr="00C839BE">
        <w:rPr>
          <w:rFonts w:eastAsiaTheme="minorHAnsi" w:cs="Arial"/>
          <w:b/>
          <w:kern w:val="0"/>
          <w:lang w:eastAsia="en-US"/>
        </w:rPr>
        <w:t>Top ten technology fields among domestic patent families by Chinese residents, 2005-2009</w:t>
      </w:r>
    </w:p>
    <w:p w:rsidR="00521F2C" w:rsidRDefault="00521F2C" w:rsidP="00AA1E26">
      <w:pPr>
        <w:rPr>
          <w:rFonts w:cs="Arial"/>
        </w:rPr>
      </w:pPr>
      <w:r>
        <w:rPr>
          <w:noProof/>
          <w:lang w:eastAsia="en-US"/>
        </w:rPr>
        <w:drawing>
          <wp:inline distT="0" distB="0" distL="0" distR="0">
            <wp:extent cx="5400040" cy="2700020"/>
            <wp:effectExtent l="0" t="0" r="10160" b="241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753C9" w:rsidRPr="00C839BE" w:rsidRDefault="001753C9" w:rsidP="001753C9">
      <w:pPr>
        <w:rPr>
          <w:rFonts w:cs="Arial"/>
          <w:sz w:val="20"/>
          <w:szCs w:val="20"/>
        </w:rPr>
      </w:pPr>
      <w:r w:rsidRPr="00C839BE">
        <w:rPr>
          <w:rFonts w:cs="Arial"/>
          <w:sz w:val="20"/>
          <w:szCs w:val="20"/>
        </w:rPr>
        <w:t xml:space="preserve">Source: </w:t>
      </w:r>
      <w:r w:rsidR="00647662">
        <w:rPr>
          <w:rFonts w:cs="Arial"/>
          <w:sz w:val="20"/>
          <w:szCs w:val="20"/>
        </w:rPr>
        <w:t xml:space="preserve"> </w:t>
      </w:r>
      <w:r w:rsidRPr="00C839BE">
        <w:rPr>
          <w:rFonts w:cs="Arial"/>
          <w:sz w:val="20"/>
          <w:szCs w:val="20"/>
        </w:rPr>
        <w:t>WIPO IP Statistics Database.</w:t>
      </w:r>
    </w:p>
    <w:p w:rsidR="00C839BE" w:rsidRDefault="00C839BE" w:rsidP="00C839BE">
      <w:pPr>
        <w:jc w:val="left"/>
        <w:rPr>
          <w:rFonts w:cs="Arial"/>
        </w:rPr>
      </w:pPr>
    </w:p>
    <w:p w:rsidR="00AA1E26" w:rsidRPr="00955036" w:rsidRDefault="00955036" w:rsidP="00C839BE">
      <w:pPr>
        <w:jc w:val="left"/>
        <w:rPr>
          <w:rFonts w:cs="Arial"/>
          <w:b/>
        </w:rPr>
      </w:pPr>
      <w:r>
        <w:rPr>
          <w:rFonts w:cs="Arial"/>
        </w:rPr>
        <w:t xml:space="preserve">Comparing to other countries again, </w:t>
      </w:r>
      <w:r w:rsidR="00AA1E26" w:rsidRPr="00955036">
        <w:rPr>
          <w:rFonts w:cs="Arial"/>
        </w:rPr>
        <w:t xml:space="preserve">China has a very similar “portfolio” of foreign-oriented patent families to those of </w:t>
      </w:r>
      <w:r>
        <w:rPr>
          <w:rFonts w:cs="Arial"/>
        </w:rPr>
        <w:t xml:space="preserve">the Republic of </w:t>
      </w:r>
      <w:r w:rsidR="00AA1E26" w:rsidRPr="00955036">
        <w:rPr>
          <w:rFonts w:cs="Arial"/>
        </w:rPr>
        <w:t xml:space="preserve">Korea and Japan, but quite </w:t>
      </w:r>
      <w:r>
        <w:rPr>
          <w:rFonts w:cs="Arial"/>
        </w:rPr>
        <w:t xml:space="preserve">a </w:t>
      </w:r>
      <w:r w:rsidR="00AA1E26" w:rsidRPr="00955036">
        <w:rPr>
          <w:rFonts w:cs="Arial"/>
        </w:rPr>
        <w:t>different from t</w:t>
      </w:r>
      <w:r>
        <w:rPr>
          <w:rFonts w:cs="Arial"/>
        </w:rPr>
        <w:t>hose of Western high-income economies such as the US</w:t>
      </w:r>
      <w:r w:rsidR="00AA1E26" w:rsidRPr="00955036">
        <w:rPr>
          <w:rFonts w:cs="Arial"/>
        </w:rPr>
        <w:t xml:space="preserve"> and Germany</w:t>
      </w:r>
      <w:r>
        <w:rPr>
          <w:rFonts w:cs="Arial"/>
        </w:rPr>
        <w:t xml:space="preserve"> </w:t>
      </w:r>
      <w:r w:rsidR="00AA1E26" w:rsidRPr="00AA1E26">
        <w:rPr>
          <w:rFonts w:cs="Arial"/>
        </w:rPr>
        <w:t>(see Figure</w:t>
      </w:r>
      <w:r w:rsidR="00A53E85">
        <w:rPr>
          <w:rFonts w:cs="Arial"/>
        </w:rPr>
        <w:t>s</w:t>
      </w:r>
      <w:r w:rsidR="00AA1E26" w:rsidRPr="00AA1E26">
        <w:rPr>
          <w:rFonts w:cs="Arial"/>
        </w:rPr>
        <w:t xml:space="preserve"> </w:t>
      </w:r>
      <w:r w:rsidR="00EF449D">
        <w:rPr>
          <w:rFonts w:cs="Arial"/>
        </w:rPr>
        <w:t>3</w:t>
      </w:r>
      <w:r w:rsidR="00AA1E26" w:rsidRPr="00AA1E26">
        <w:rPr>
          <w:rFonts w:cs="Arial"/>
        </w:rPr>
        <w:t>.</w:t>
      </w:r>
      <w:r w:rsidR="00EF449D">
        <w:rPr>
          <w:rFonts w:cs="Arial"/>
        </w:rPr>
        <w:t>5 –3</w:t>
      </w:r>
      <w:r w:rsidR="00AA1E26" w:rsidRPr="00AA1E26">
        <w:rPr>
          <w:rFonts w:cs="Arial"/>
        </w:rPr>
        <w:t>.</w:t>
      </w:r>
      <w:r w:rsidR="00EF449D">
        <w:rPr>
          <w:rFonts w:cs="Arial"/>
        </w:rPr>
        <w:t>8</w:t>
      </w:r>
      <w:r w:rsidR="00AA1E26" w:rsidRPr="00AA1E26">
        <w:rPr>
          <w:rFonts w:cs="Arial"/>
        </w:rPr>
        <w:t>).</w:t>
      </w:r>
      <w:r>
        <w:rPr>
          <w:rFonts w:cs="Arial"/>
          <w:b/>
        </w:rPr>
        <w:t xml:space="preserve"> </w:t>
      </w:r>
    </w:p>
    <w:p w:rsidR="00A17588" w:rsidRPr="00AA1E26" w:rsidRDefault="00A17588" w:rsidP="00C839BE">
      <w:pPr>
        <w:jc w:val="left"/>
        <w:rPr>
          <w:rFonts w:cs="Arial"/>
        </w:rPr>
      </w:pPr>
    </w:p>
    <w:p w:rsidR="00AA1E26" w:rsidRPr="00AA1E26" w:rsidRDefault="00AA1E26" w:rsidP="00C839BE">
      <w:pPr>
        <w:jc w:val="left"/>
        <w:rPr>
          <w:rFonts w:cs="Arial"/>
          <w:i/>
        </w:rPr>
      </w:pPr>
      <w:r w:rsidRPr="00AA1E26">
        <w:rPr>
          <w:rFonts w:cs="Arial"/>
        </w:rPr>
        <w:t>Seven out of top ten technology</w:t>
      </w:r>
      <w:r w:rsidRPr="00AA1E26">
        <w:rPr>
          <w:rFonts w:cs="Arial"/>
          <w:i/>
        </w:rPr>
        <w:t xml:space="preserve"> </w:t>
      </w:r>
      <w:r w:rsidRPr="00AA1E26">
        <w:rPr>
          <w:rFonts w:cs="Arial"/>
        </w:rPr>
        <w:t>fields for Chinese foreign-oriented patent families are also among top ten technology fields for Japanese foreign-oriented patent families</w:t>
      </w:r>
      <w:r w:rsidR="001F6610">
        <w:rPr>
          <w:rFonts w:cs="Arial"/>
        </w:rPr>
        <w:t xml:space="preserve"> (see Figure 3.5).</w:t>
      </w:r>
      <w:r w:rsidR="00C839BE">
        <w:rPr>
          <w:rFonts w:cs="Arial"/>
        </w:rPr>
        <w:t xml:space="preserve"> </w:t>
      </w:r>
      <w:r w:rsidRPr="00AA1E26">
        <w:rPr>
          <w:rFonts w:cs="Arial"/>
        </w:rPr>
        <w:t xml:space="preserve"> </w:t>
      </w:r>
      <w:r w:rsidR="005A35D7">
        <w:rPr>
          <w:rFonts w:cs="Arial"/>
        </w:rPr>
        <w:t xml:space="preserve">The </w:t>
      </w:r>
      <w:r w:rsidRPr="00AA1E26">
        <w:rPr>
          <w:rFonts w:cs="Arial"/>
        </w:rPr>
        <w:t>“Transport”, “Textile and paper machines”, and “Engines, pumps, tur</w:t>
      </w:r>
      <w:r w:rsidR="001D3D1C">
        <w:rPr>
          <w:rFonts w:cs="Arial"/>
        </w:rPr>
        <w:t>bines”-</w:t>
      </w:r>
      <w:r w:rsidRPr="00AA1E26">
        <w:rPr>
          <w:rFonts w:cs="Arial"/>
        </w:rPr>
        <w:t xml:space="preserve">technology fields are among </w:t>
      </w:r>
      <w:r w:rsidR="001D3D1C">
        <w:rPr>
          <w:rFonts w:cs="Arial"/>
        </w:rPr>
        <w:t xml:space="preserve">the </w:t>
      </w:r>
      <w:r w:rsidRPr="00AA1E26">
        <w:rPr>
          <w:rFonts w:cs="Arial"/>
        </w:rPr>
        <w:t xml:space="preserve">top ten for Japan, but not for China. </w:t>
      </w:r>
    </w:p>
    <w:p w:rsidR="00C839BE" w:rsidRDefault="00C839BE">
      <w:pPr>
        <w:widowControl/>
        <w:jc w:val="left"/>
        <w:rPr>
          <w:rFonts w:cs="Arial"/>
        </w:rPr>
      </w:pPr>
      <w:r>
        <w:rPr>
          <w:rFonts w:cs="Arial"/>
        </w:rPr>
        <w:br w:type="page"/>
      </w:r>
    </w:p>
    <w:p w:rsidR="00AA1E26" w:rsidRPr="00C839BE" w:rsidRDefault="00EF449D" w:rsidP="00B63064">
      <w:pPr>
        <w:jc w:val="left"/>
        <w:rPr>
          <w:rFonts w:eastAsiaTheme="minorHAnsi" w:cs="Arial"/>
          <w:b/>
          <w:kern w:val="0"/>
          <w:lang w:eastAsia="en-US"/>
        </w:rPr>
      </w:pPr>
      <w:proofErr w:type="gramStart"/>
      <w:r w:rsidRPr="00C839BE">
        <w:rPr>
          <w:rFonts w:eastAsiaTheme="minorHAnsi" w:cs="Arial"/>
          <w:b/>
          <w:kern w:val="0"/>
          <w:lang w:eastAsia="en-US"/>
        </w:rPr>
        <w:lastRenderedPageBreak/>
        <w:t>Figure 3.5</w:t>
      </w:r>
      <w:r w:rsidR="00AA1E26" w:rsidRPr="00C839BE">
        <w:rPr>
          <w:rFonts w:eastAsiaTheme="minorHAnsi" w:cs="Arial"/>
          <w:b/>
          <w:kern w:val="0"/>
          <w:lang w:eastAsia="en-US"/>
        </w:rPr>
        <w:t>.</w:t>
      </w:r>
      <w:proofErr w:type="gramEnd"/>
      <w:r w:rsidR="00B63064">
        <w:rPr>
          <w:rFonts w:eastAsiaTheme="minorHAnsi" w:cs="Arial"/>
          <w:b/>
          <w:kern w:val="0"/>
          <w:lang w:eastAsia="en-US"/>
        </w:rPr>
        <w:t xml:space="preserve"> </w:t>
      </w:r>
      <w:r w:rsidR="00AA1E26" w:rsidRPr="00C839BE">
        <w:rPr>
          <w:rFonts w:eastAsiaTheme="minorHAnsi" w:cs="Arial"/>
          <w:b/>
          <w:kern w:val="0"/>
          <w:lang w:eastAsia="en-US"/>
        </w:rPr>
        <w:t xml:space="preserve"> Shares of Japanese foreign-oriented patent families by technology field, </w:t>
      </w:r>
      <w:r w:rsidR="00B6328E" w:rsidRPr="00C839BE">
        <w:rPr>
          <w:rFonts w:eastAsiaTheme="minorHAnsi" w:cs="Arial"/>
          <w:b/>
          <w:kern w:val="0"/>
          <w:lang w:eastAsia="en-US"/>
        </w:rPr>
        <w:t>2005</w:t>
      </w:r>
      <w:r w:rsidR="00AA1E26" w:rsidRPr="00C839BE">
        <w:rPr>
          <w:rFonts w:eastAsiaTheme="minorHAnsi" w:cs="Arial"/>
          <w:b/>
          <w:kern w:val="0"/>
          <w:lang w:eastAsia="en-US"/>
        </w:rPr>
        <w:t>-20</w:t>
      </w:r>
      <w:r w:rsidR="00B6328E" w:rsidRPr="00C839BE">
        <w:rPr>
          <w:rFonts w:eastAsiaTheme="minorHAnsi" w:cs="Arial"/>
          <w:b/>
          <w:kern w:val="0"/>
          <w:lang w:eastAsia="en-US"/>
        </w:rPr>
        <w:t>09</w:t>
      </w:r>
    </w:p>
    <w:p w:rsidR="00B6328E" w:rsidRPr="00AA1E26" w:rsidRDefault="00B6328E" w:rsidP="00AA1E26">
      <w:pPr>
        <w:rPr>
          <w:rFonts w:cs="Arial"/>
        </w:rPr>
      </w:pPr>
      <w:r>
        <w:rPr>
          <w:noProof/>
          <w:lang w:eastAsia="en-US"/>
        </w:rPr>
        <w:drawing>
          <wp:inline distT="0" distB="0" distL="0" distR="0">
            <wp:extent cx="5400040" cy="2700020"/>
            <wp:effectExtent l="0" t="0" r="10160" b="2413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A1E26" w:rsidRPr="00C839BE" w:rsidRDefault="00AA1E26" w:rsidP="00AA1E26">
      <w:pPr>
        <w:rPr>
          <w:rFonts w:cs="Arial"/>
          <w:sz w:val="20"/>
          <w:szCs w:val="20"/>
        </w:rPr>
      </w:pPr>
      <w:r w:rsidRPr="00C839BE">
        <w:rPr>
          <w:rFonts w:cs="Arial"/>
          <w:sz w:val="20"/>
          <w:szCs w:val="20"/>
        </w:rPr>
        <w:t>Source:</w:t>
      </w:r>
      <w:r w:rsidR="00B63064">
        <w:rPr>
          <w:rFonts w:cs="Arial"/>
          <w:sz w:val="20"/>
          <w:szCs w:val="20"/>
        </w:rPr>
        <w:t xml:space="preserve"> </w:t>
      </w:r>
      <w:r w:rsidRPr="00C839BE">
        <w:rPr>
          <w:rFonts w:cs="Arial"/>
          <w:sz w:val="20"/>
          <w:szCs w:val="20"/>
        </w:rPr>
        <w:t xml:space="preserve"> WIPO IP Statistics Database.</w:t>
      </w:r>
    </w:p>
    <w:p w:rsidR="005A35D7" w:rsidRDefault="005A35D7" w:rsidP="00C839BE">
      <w:pPr>
        <w:jc w:val="left"/>
        <w:rPr>
          <w:rFonts w:cs="Arial"/>
        </w:rPr>
      </w:pPr>
    </w:p>
    <w:p w:rsidR="00AA1E26" w:rsidRDefault="00AA1E26" w:rsidP="00C839BE">
      <w:pPr>
        <w:jc w:val="left"/>
        <w:rPr>
          <w:rFonts w:cs="Arial"/>
        </w:rPr>
      </w:pPr>
      <w:r w:rsidRPr="00AA1E26">
        <w:rPr>
          <w:rFonts w:cs="Arial"/>
        </w:rPr>
        <w:t>Nine out of top ten technology</w:t>
      </w:r>
      <w:r w:rsidRPr="00AA1E26">
        <w:rPr>
          <w:rFonts w:cs="Arial"/>
          <w:i/>
        </w:rPr>
        <w:t xml:space="preserve"> </w:t>
      </w:r>
      <w:r w:rsidRPr="00AA1E26">
        <w:rPr>
          <w:rFonts w:cs="Arial"/>
        </w:rPr>
        <w:t>fields for Chinese foreign-oriented patent families are also among top ten technology fields for foreign-oriented patent families</w:t>
      </w:r>
      <w:r w:rsidR="005A35D7">
        <w:rPr>
          <w:rFonts w:cs="Arial"/>
        </w:rPr>
        <w:t xml:space="preserve"> </w:t>
      </w:r>
      <w:r w:rsidR="001D3D1C">
        <w:rPr>
          <w:rFonts w:cs="Arial"/>
        </w:rPr>
        <w:t xml:space="preserve">of residents of the Republic of Korea </w:t>
      </w:r>
      <w:r w:rsidR="005A35D7">
        <w:rPr>
          <w:rFonts w:cs="Arial"/>
        </w:rPr>
        <w:t xml:space="preserve">(see Figure </w:t>
      </w:r>
      <w:r w:rsidR="00EF449D">
        <w:rPr>
          <w:rFonts w:cs="Arial"/>
        </w:rPr>
        <w:t>3</w:t>
      </w:r>
      <w:r w:rsidR="005A35D7">
        <w:rPr>
          <w:rFonts w:cs="Arial"/>
        </w:rPr>
        <w:t>.</w:t>
      </w:r>
      <w:r w:rsidR="00EF449D">
        <w:rPr>
          <w:rFonts w:cs="Arial"/>
        </w:rPr>
        <w:t>6</w:t>
      </w:r>
      <w:r w:rsidR="005A35D7">
        <w:rPr>
          <w:rFonts w:cs="Arial"/>
        </w:rPr>
        <w:t>)</w:t>
      </w:r>
      <w:r w:rsidRPr="00AA1E26">
        <w:rPr>
          <w:rFonts w:cs="Arial"/>
        </w:rPr>
        <w:t>.</w:t>
      </w:r>
      <w:r w:rsidRPr="00AA1E26">
        <w:rPr>
          <w:rFonts w:cs="Arial"/>
          <w:b/>
        </w:rPr>
        <w:t xml:space="preserve"> </w:t>
      </w:r>
      <w:r w:rsidR="00C839BE">
        <w:rPr>
          <w:rFonts w:cs="Arial"/>
          <w:b/>
        </w:rPr>
        <w:t xml:space="preserve"> </w:t>
      </w:r>
      <w:r w:rsidR="005A35D7">
        <w:rPr>
          <w:rFonts w:cs="Arial"/>
        </w:rPr>
        <w:t>O</w:t>
      </w:r>
      <w:r w:rsidRPr="00AA1E26">
        <w:rPr>
          <w:rFonts w:cs="Arial"/>
        </w:rPr>
        <w:t xml:space="preserve">nly </w:t>
      </w:r>
      <w:r w:rsidR="005A35D7">
        <w:rPr>
          <w:rFonts w:cs="Arial"/>
        </w:rPr>
        <w:t xml:space="preserve">the </w:t>
      </w:r>
      <w:r w:rsidRPr="00AA1E26">
        <w:rPr>
          <w:rFonts w:cs="Arial"/>
        </w:rPr>
        <w:t>“Thermal processes and apparatus”</w:t>
      </w:r>
      <w:r w:rsidR="001D3D1C">
        <w:rPr>
          <w:rFonts w:cs="Arial"/>
        </w:rPr>
        <w:t>-</w:t>
      </w:r>
      <w:r w:rsidRPr="00AA1E26">
        <w:rPr>
          <w:rFonts w:cs="Arial"/>
        </w:rPr>
        <w:t xml:space="preserve">technology field is among </w:t>
      </w:r>
      <w:r w:rsidR="005A35D7">
        <w:rPr>
          <w:rFonts w:cs="Arial"/>
        </w:rPr>
        <w:t>the top</w:t>
      </w:r>
      <w:r w:rsidRPr="00AA1E26">
        <w:rPr>
          <w:rFonts w:cs="Arial"/>
        </w:rPr>
        <w:t xml:space="preserve"> ten for </w:t>
      </w:r>
      <w:r w:rsidR="0083546E">
        <w:rPr>
          <w:rFonts w:cs="Arial"/>
        </w:rPr>
        <w:t>Republic of Korea</w:t>
      </w:r>
      <w:r w:rsidRPr="00AA1E26">
        <w:rPr>
          <w:rFonts w:cs="Arial"/>
        </w:rPr>
        <w:t xml:space="preserve">, but not for </w:t>
      </w:r>
      <w:r w:rsidR="005A35D7">
        <w:rPr>
          <w:rFonts w:cs="Arial"/>
        </w:rPr>
        <w:t>China</w:t>
      </w:r>
      <w:r w:rsidRPr="00AA1E26">
        <w:rPr>
          <w:rFonts w:cs="Arial"/>
        </w:rPr>
        <w:t xml:space="preserve">. </w:t>
      </w:r>
    </w:p>
    <w:p w:rsidR="008E537C" w:rsidRPr="00AA1E26" w:rsidRDefault="008E537C" w:rsidP="00C839BE">
      <w:pPr>
        <w:jc w:val="left"/>
        <w:rPr>
          <w:rFonts w:cs="Arial"/>
        </w:rPr>
      </w:pPr>
    </w:p>
    <w:p w:rsidR="00C839BE" w:rsidRDefault="00C839BE">
      <w:pPr>
        <w:widowControl/>
        <w:jc w:val="left"/>
        <w:rPr>
          <w:rFonts w:cs="Arial"/>
        </w:rPr>
      </w:pPr>
      <w:r>
        <w:rPr>
          <w:rFonts w:cs="Arial"/>
        </w:rPr>
        <w:br w:type="page"/>
      </w:r>
    </w:p>
    <w:p w:rsidR="00AA1E26" w:rsidRPr="00C839BE" w:rsidRDefault="00AA1E26" w:rsidP="00C839BE">
      <w:pPr>
        <w:jc w:val="left"/>
        <w:rPr>
          <w:rFonts w:eastAsiaTheme="minorHAnsi" w:cs="Arial"/>
          <w:b/>
          <w:kern w:val="0"/>
          <w:lang w:eastAsia="en-US"/>
        </w:rPr>
      </w:pPr>
      <w:proofErr w:type="gramStart"/>
      <w:r w:rsidRPr="00C839BE">
        <w:rPr>
          <w:rFonts w:eastAsiaTheme="minorHAnsi" w:cs="Arial"/>
          <w:b/>
          <w:kern w:val="0"/>
          <w:lang w:eastAsia="en-US"/>
        </w:rPr>
        <w:lastRenderedPageBreak/>
        <w:t xml:space="preserve">Figure </w:t>
      </w:r>
      <w:r w:rsidR="00EF449D" w:rsidRPr="00C839BE">
        <w:rPr>
          <w:rFonts w:eastAsiaTheme="minorHAnsi" w:cs="Arial"/>
          <w:b/>
          <w:kern w:val="0"/>
          <w:lang w:eastAsia="en-US"/>
        </w:rPr>
        <w:t>3</w:t>
      </w:r>
      <w:r w:rsidRPr="00C839BE">
        <w:rPr>
          <w:rFonts w:eastAsiaTheme="minorHAnsi" w:cs="Arial"/>
          <w:b/>
          <w:kern w:val="0"/>
          <w:lang w:eastAsia="en-US"/>
        </w:rPr>
        <w:t>.</w:t>
      </w:r>
      <w:r w:rsidR="00EF449D" w:rsidRPr="00C839BE">
        <w:rPr>
          <w:rFonts w:eastAsiaTheme="minorHAnsi" w:cs="Arial"/>
          <w:b/>
          <w:kern w:val="0"/>
          <w:lang w:eastAsia="en-US"/>
        </w:rPr>
        <w:t>6</w:t>
      </w:r>
      <w:r w:rsidRPr="00C839BE">
        <w:rPr>
          <w:rFonts w:eastAsiaTheme="minorHAnsi" w:cs="Arial"/>
          <w:b/>
          <w:kern w:val="0"/>
          <w:lang w:eastAsia="en-US"/>
        </w:rPr>
        <w:t>.</w:t>
      </w:r>
      <w:proofErr w:type="gramEnd"/>
      <w:r w:rsidRPr="00C839BE">
        <w:rPr>
          <w:rFonts w:eastAsiaTheme="minorHAnsi" w:cs="Arial"/>
          <w:b/>
          <w:kern w:val="0"/>
          <w:lang w:eastAsia="en-US"/>
        </w:rPr>
        <w:t xml:space="preserve"> </w:t>
      </w:r>
      <w:r w:rsidR="00B63064">
        <w:rPr>
          <w:rFonts w:eastAsiaTheme="minorHAnsi" w:cs="Arial"/>
          <w:b/>
          <w:kern w:val="0"/>
          <w:lang w:eastAsia="en-US"/>
        </w:rPr>
        <w:t xml:space="preserve"> </w:t>
      </w:r>
      <w:r w:rsidRPr="00C839BE">
        <w:rPr>
          <w:rFonts w:eastAsiaTheme="minorHAnsi" w:cs="Arial"/>
          <w:b/>
          <w:kern w:val="0"/>
          <w:lang w:eastAsia="en-US"/>
        </w:rPr>
        <w:t xml:space="preserve">Share of Korean foreign-oriented patent families by technology field, </w:t>
      </w:r>
      <w:r w:rsidR="00B63064">
        <w:rPr>
          <w:rFonts w:eastAsiaTheme="minorHAnsi" w:cs="Arial"/>
          <w:b/>
          <w:kern w:val="0"/>
          <w:lang w:eastAsia="en-US"/>
        </w:rPr>
        <w:br/>
      </w:r>
      <w:r w:rsidR="00B6328E" w:rsidRPr="00C839BE">
        <w:rPr>
          <w:rFonts w:eastAsiaTheme="minorHAnsi" w:cs="Arial"/>
          <w:b/>
          <w:kern w:val="0"/>
          <w:lang w:eastAsia="en-US"/>
        </w:rPr>
        <w:t>2005</w:t>
      </w:r>
      <w:r w:rsidRPr="00C839BE">
        <w:rPr>
          <w:rFonts w:eastAsiaTheme="minorHAnsi" w:cs="Arial"/>
          <w:b/>
          <w:kern w:val="0"/>
          <w:lang w:eastAsia="en-US"/>
        </w:rPr>
        <w:t>-20</w:t>
      </w:r>
      <w:r w:rsidR="00B6328E" w:rsidRPr="00C839BE">
        <w:rPr>
          <w:rFonts w:eastAsiaTheme="minorHAnsi" w:cs="Arial"/>
          <w:b/>
          <w:kern w:val="0"/>
          <w:lang w:eastAsia="en-US"/>
        </w:rPr>
        <w:t>09</w:t>
      </w:r>
    </w:p>
    <w:p w:rsidR="00B6328E" w:rsidRPr="00AA1E26" w:rsidRDefault="00B6328E" w:rsidP="00AA1E26">
      <w:pPr>
        <w:rPr>
          <w:rFonts w:cs="Arial"/>
        </w:rPr>
      </w:pPr>
      <w:r>
        <w:rPr>
          <w:noProof/>
          <w:lang w:eastAsia="en-US"/>
        </w:rPr>
        <w:drawing>
          <wp:inline distT="0" distB="0" distL="0" distR="0">
            <wp:extent cx="5400040" cy="2700020"/>
            <wp:effectExtent l="0" t="0" r="10160" b="2413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1E26" w:rsidRPr="00C839BE" w:rsidRDefault="00AA1E26" w:rsidP="00AA1E26">
      <w:pPr>
        <w:rPr>
          <w:rFonts w:cs="Arial"/>
          <w:sz w:val="20"/>
          <w:szCs w:val="20"/>
        </w:rPr>
      </w:pPr>
      <w:r w:rsidRPr="00C839BE">
        <w:rPr>
          <w:rFonts w:cs="Arial"/>
          <w:sz w:val="20"/>
          <w:szCs w:val="20"/>
        </w:rPr>
        <w:t xml:space="preserve">Source: </w:t>
      </w:r>
      <w:r w:rsidR="00B63064">
        <w:rPr>
          <w:rFonts w:cs="Arial"/>
          <w:sz w:val="20"/>
          <w:szCs w:val="20"/>
        </w:rPr>
        <w:t xml:space="preserve"> </w:t>
      </w:r>
      <w:r w:rsidRPr="00C839BE">
        <w:rPr>
          <w:rFonts w:cs="Arial"/>
          <w:sz w:val="20"/>
          <w:szCs w:val="20"/>
        </w:rPr>
        <w:t>WIPO IP Statistics Database.</w:t>
      </w:r>
    </w:p>
    <w:p w:rsidR="00A17588" w:rsidRDefault="00A17588" w:rsidP="00AA1E26">
      <w:pPr>
        <w:rPr>
          <w:rFonts w:cs="Arial"/>
        </w:rPr>
      </w:pPr>
    </w:p>
    <w:p w:rsidR="00AA1E26" w:rsidRDefault="00A17588" w:rsidP="00C839BE">
      <w:pPr>
        <w:jc w:val="left"/>
        <w:rPr>
          <w:rFonts w:cs="Arial"/>
        </w:rPr>
      </w:pPr>
      <w:r w:rsidRPr="00AA1E26">
        <w:rPr>
          <w:rFonts w:cs="Arial"/>
        </w:rPr>
        <w:t xml:space="preserve">Only </w:t>
      </w:r>
      <w:r w:rsidR="0091674A">
        <w:rPr>
          <w:rFonts w:cs="Arial"/>
        </w:rPr>
        <w:t>five</w:t>
      </w:r>
      <w:r w:rsidRPr="00AA1E26">
        <w:rPr>
          <w:rFonts w:cs="Arial"/>
        </w:rPr>
        <w:t xml:space="preserve"> out of top ten technology</w:t>
      </w:r>
      <w:r w:rsidRPr="00AA1E26">
        <w:rPr>
          <w:rFonts w:cs="Arial"/>
          <w:i/>
        </w:rPr>
        <w:t xml:space="preserve"> </w:t>
      </w:r>
      <w:r w:rsidRPr="00AA1E26">
        <w:rPr>
          <w:rFonts w:cs="Arial"/>
        </w:rPr>
        <w:t>fields for Chinese foreign-oriented patent families are also among top t</w:t>
      </w:r>
      <w:r>
        <w:rPr>
          <w:rFonts w:cs="Arial"/>
        </w:rPr>
        <w:t>en techn</w:t>
      </w:r>
      <w:r w:rsidR="001F6610">
        <w:rPr>
          <w:rFonts w:cs="Arial"/>
        </w:rPr>
        <w:t>ology fields for the US, namely</w:t>
      </w:r>
      <w:r w:rsidRPr="00AA1E26">
        <w:rPr>
          <w:rFonts w:cs="Arial"/>
        </w:rPr>
        <w:t xml:space="preserve"> “Computer technology” “Electrical machinery, apparatus, energy”,</w:t>
      </w:r>
      <w:r w:rsidR="00AD4F6F">
        <w:rPr>
          <w:rFonts w:cs="Arial"/>
        </w:rPr>
        <w:t xml:space="preserve"> “Digital communication”,</w:t>
      </w:r>
      <w:r w:rsidRPr="00AA1E26">
        <w:rPr>
          <w:rFonts w:cs="Arial"/>
        </w:rPr>
        <w:t xml:space="preserve"> “Measurement</w:t>
      </w:r>
      <w:r>
        <w:rPr>
          <w:rFonts w:cs="Arial"/>
        </w:rPr>
        <w:t>”, and “</w:t>
      </w:r>
      <w:r w:rsidR="00AD4F6F">
        <w:rPr>
          <w:rFonts w:cs="Arial"/>
        </w:rPr>
        <w:t>Telecommunications</w:t>
      </w:r>
      <w:r>
        <w:rPr>
          <w:rFonts w:cs="Arial"/>
        </w:rPr>
        <w:t>”</w:t>
      </w:r>
      <w:r w:rsidR="001F6610">
        <w:rPr>
          <w:rFonts w:cs="Arial"/>
        </w:rPr>
        <w:t xml:space="preserve"> (see Figure 3.7)</w:t>
      </w:r>
      <w:r w:rsidRPr="00AA1E26">
        <w:rPr>
          <w:rFonts w:cs="Arial"/>
        </w:rPr>
        <w:t>.</w:t>
      </w:r>
      <w:r w:rsidR="00C839BE">
        <w:rPr>
          <w:rFonts w:cs="Arial"/>
        </w:rPr>
        <w:t xml:space="preserve"> </w:t>
      </w:r>
      <w:r w:rsidR="00EC276F">
        <w:rPr>
          <w:rFonts w:cs="Arial"/>
        </w:rPr>
        <w:t xml:space="preserve"> </w:t>
      </w:r>
      <w:r w:rsidR="00AA1E26" w:rsidRPr="00AA1E26">
        <w:rPr>
          <w:rFonts w:cs="Arial"/>
        </w:rPr>
        <w:t>Only t</w:t>
      </w:r>
      <w:r w:rsidR="0091674A">
        <w:rPr>
          <w:rFonts w:cs="Arial"/>
        </w:rPr>
        <w:t>hree</w:t>
      </w:r>
      <w:r w:rsidR="00AA1E26" w:rsidRPr="00AA1E26">
        <w:rPr>
          <w:rFonts w:cs="Arial"/>
        </w:rPr>
        <w:t xml:space="preserve"> technology fields among top ten technology fields are the same for Germany and China (i.e., “Electrical machinery, apparatus, energy”</w:t>
      </w:r>
      <w:r w:rsidR="00AD4F6F">
        <w:rPr>
          <w:rFonts w:cs="Arial"/>
        </w:rPr>
        <w:t xml:space="preserve">, </w:t>
      </w:r>
      <w:r w:rsidR="00AA1E26" w:rsidRPr="00AA1E26">
        <w:rPr>
          <w:rFonts w:cs="Arial"/>
        </w:rPr>
        <w:t>“Measurement”</w:t>
      </w:r>
      <w:r w:rsidR="00AD4F6F">
        <w:rPr>
          <w:rFonts w:cs="Arial"/>
        </w:rPr>
        <w:t xml:space="preserve">, and “Computer technology” </w:t>
      </w:r>
      <w:r w:rsidR="00AA1E26" w:rsidRPr="00AA1E26">
        <w:rPr>
          <w:rFonts w:cs="Arial"/>
        </w:rPr>
        <w:t>fields)</w:t>
      </w:r>
      <w:r w:rsidR="001F6610" w:rsidRPr="001F6610">
        <w:rPr>
          <w:rFonts w:cs="Arial"/>
        </w:rPr>
        <w:t xml:space="preserve"> </w:t>
      </w:r>
      <w:r w:rsidR="001F6610">
        <w:rPr>
          <w:rFonts w:cs="Arial"/>
        </w:rPr>
        <w:t>(see Figure 3.8)</w:t>
      </w:r>
      <w:r w:rsidR="00AA1E26" w:rsidRPr="00AA1E26">
        <w:rPr>
          <w:rFonts w:cs="Arial"/>
        </w:rPr>
        <w:t xml:space="preserve">. </w:t>
      </w:r>
    </w:p>
    <w:p w:rsidR="00C839BE" w:rsidRDefault="00C839BE">
      <w:pPr>
        <w:widowControl/>
        <w:jc w:val="left"/>
        <w:rPr>
          <w:rFonts w:cs="Arial"/>
        </w:rPr>
      </w:pPr>
      <w:r>
        <w:rPr>
          <w:rFonts w:cs="Arial"/>
        </w:rPr>
        <w:br w:type="page"/>
      </w:r>
    </w:p>
    <w:p w:rsidR="00644350" w:rsidRPr="00A15FEE" w:rsidRDefault="00644350" w:rsidP="00A15FEE">
      <w:pPr>
        <w:jc w:val="left"/>
        <w:rPr>
          <w:rFonts w:eastAsiaTheme="minorHAnsi" w:cs="Arial"/>
          <w:b/>
          <w:kern w:val="0"/>
          <w:lang w:eastAsia="en-US"/>
        </w:rPr>
      </w:pPr>
      <w:proofErr w:type="gramStart"/>
      <w:r w:rsidRPr="00A15FEE">
        <w:rPr>
          <w:rFonts w:eastAsiaTheme="minorHAnsi" w:cs="Arial"/>
          <w:b/>
          <w:kern w:val="0"/>
          <w:lang w:eastAsia="en-US"/>
        </w:rPr>
        <w:lastRenderedPageBreak/>
        <w:t xml:space="preserve">Figure </w:t>
      </w:r>
      <w:r w:rsidR="001F6610" w:rsidRPr="00A15FEE">
        <w:rPr>
          <w:rFonts w:eastAsiaTheme="minorHAnsi" w:cs="Arial"/>
          <w:b/>
          <w:kern w:val="0"/>
          <w:lang w:eastAsia="en-US"/>
        </w:rPr>
        <w:t>3</w:t>
      </w:r>
      <w:r w:rsidRPr="00A15FEE">
        <w:rPr>
          <w:rFonts w:eastAsiaTheme="minorHAnsi" w:cs="Arial"/>
          <w:b/>
          <w:kern w:val="0"/>
          <w:lang w:eastAsia="en-US"/>
        </w:rPr>
        <w:t>.</w:t>
      </w:r>
      <w:r w:rsidR="001F6610" w:rsidRPr="00A15FEE">
        <w:rPr>
          <w:rFonts w:eastAsiaTheme="minorHAnsi" w:cs="Arial"/>
          <w:b/>
          <w:kern w:val="0"/>
          <w:lang w:eastAsia="en-US"/>
        </w:rPr>
        <w:t>7</w:t>
      </w:r>
      <w:r w:rsidRPr="00A15FEE">
        <w:rPr>
          <w:rFonts w:eastAsiaTheme="minorHAnsi" w:cs="Arial"/>
          <w:b/>
          <w:kern w:val="0"/>
          <w:lang w:eastAsia="en-US"/>
        </w:rPr>
        <w:t>.</w:t>
      </w:r>
      <w:proofErr w:type="gramEnd"/>
      <w:r w:rsidRPr="00A15FEE">
        <w:rPr>
          <w:rFonts w:eastAsiaTheme="minorHAnsi" w:cs="Arial"/>
          <w:b/>
          <w:kern w:val="0"/>
          <w:lang w:eastAsia="en-US"/>
        </w:rPr>
        <w:t xml:space="preserve"> </w:t>
      </w:r>
      <w:r w:rsidR="004275C3">
        <w:rPr>
          <w:rFonts w:eastAsiaTheme="minorHAnsi" w:cs="Arial"/>
          <w:b/>
          <w:kern w:val="0"/>
          <w:lang w:eastAsia="en-US"/>
        </w:rPr>
        <w:t xml:space="preserve"> </w:t>
      </w:r>
      <w:r w:rsidRPr="00A15FEE">
        <w:rPr>
          <w:rFonts w:eastAsiaTheme="minorHAnsi" w:cs="Arial"/>
          <w:b/>
          <w:kern w:val="0"/>
          <w:lang w:eastAsia="en-US"/>
        </w:rPr>
        <w:t>Top 10 technology fields among foreign-oriented patent fam</w:t>
      </w:r>
      <w:r w:rsidR="001D3D1C" w:rsidRPr="00A15FEE">
        <w:rPr>
          <w:rFonts w:eastAsiaTheme="minorHAnsi" w:cs="Arial"/>
          <w:b/>
          <w:kern w:val="0"/>
          <w:lang w:eastAsia="en-US"/>
        </w:rPr>
        <w:t>ilies by the residents of the US</w:t>
      </w:r>
      <w:r w:rsidRPr="00A15FEE">
        <w:rPr>
          <w:rFonts w:eastAsiaTheme="minorHAnsi" w:cs="Arial"/>
          <w:b/>
          <w:kern w:val="0"/>
          <w:lang w:eastAsia="en-US"/>
        </w:rPr>
        <w:t xml:space="preserve">, </w:t>
      </w:r>
      <w:r w:rsidR="00B6328E" w:rsidRPr="00A15FEE">
        <w:rPr>
          <w:rFonts w:eastAsiaTheme="minorHAnsi" w:cs="Arial"/>
          <w:b/>
          <w:kern w:val="0"/>
          <w:lang w:eastAsia="en-US"/>
        </w:rPr>
        <w:t>2005-2009</w:t>
      </w:r>
    </w:p>
    <w:p w:rsidR="00B6328E" w:rsidRPr="00AA1E26" w:rsidRDefault="00B6328E" w:rsidP="00644350">
      <w:pPr>
        <w:rPr>
          <w:rFonts w:cs="Arial"/>
        </w:rPr>
      </w:pPr>
      <w:r>
        <w:rPr>
          <w:noProof/>
          <w:lang w:eastAsia="en-US"/>
        </w:rPr>
        <w:drawing>
          <wp:inline distT="0" distB="0" distL="0" distR="0">
            <wp:extent cx="5400040" cy="2700020"/>
            <wp:effectExtent l="0" t="0" r="10160" b="2413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44350" w:rsidRPr="00A15FEE" w:rsidRDefault="00644350" w:rsidP="00A15FEE">
      <w:pPr>
        <w:jc w:val="left"/>
        <w:rPr>
          <w:rFonts w:cs="Arial"/>
          <w:sz w:val="20"/>
          <w:szCs w:val="20"/>
        </w:rPr>
      </w:pPr>
      <w:r w:rsidRPr="00A15FEE">
        <w:rPr>
          <w:rFonts w:cs="Arial"/>
          <w:sz w:val="20"/>
          <w:szCs w:val="20"/>
        </w:rPr>
        <w:t>Source:</w:t>
      </w:r>
      <w:r w:rsidR="00A15FEE">
        <w:rPr>
          <w:rFonts w:cs="Arial"/>
          <w:sz w:val="20"/>
          <w:szCs w:val="20"/>
        </w:rPr>
        <w:t xml:space="preserve"> </w:t>
      </w:r>
      <w:r w:rsidRPr="00A15FEE">
        <w:rPr>
          <w:rFonts w:cs="Arial"/>
          <w:sz w:val="20"/>
          <w:szCs w:val="20"/>
        </w:rPr>
        <w:t>WIPO IP Statistics Database.</w:t>
      </w:r>
    </w:p>
    <w:p w:rsidR="00EC276F" w:rsidRPr="00AA1E26" w:rsidRDefault="00EC276F" w:rsidP="00AA1E26">
      <w:pPr>
        <w:rPr>
          <w:rFonts w:cs="Arial"/>
        </w:rPr>
      </w:pPr>
    </w:p>
    <w:p w:rsidR="00AA1E26" w:rsidRPr="00A15FEE" w:rsidRDefault="001F6610" w:rsidP="00A15FEE">
      <w:pPr>
        <w:jc w:val="left"/>
        <w:rPr>
          <w:rFonts w:eastAsiaTheme="minorHAnsi" w:cs="Arial"/>
          <w:b/>
          <w:kern w:val="0"/>
          <w:lang w:eastAsia="en-US"/>
        </w:rPr>
      </w:pPr>
      <w:proofErr w:type="gramStart"/>
      <w:r w:rsidRPr="00A15FEE">
        <w:rPr>
          <w:rFonts w:eastAsiaTheme="minorHAnsi" w:cs="Arial"/>
          <w:b/>
          <w:kern w:val="0"/>
          <w:lang w:eastAsia="en-US"/>
        </w:rPr>
        <w:t>Figure 3.8.</w:t>
      </w:r>
      <w:proofErr w:type="gramEnd"/>
      <w:r w:rsidRPr="00A15FEE">
        <w:rPr>
          <w:rFonts w:eastAsiaTheme="minorHAnsi" w:cs="Arial"/>
          <w:b/>
          <w:kern w:val="0"/>
          <w:lang w:eastAsia="en-US"/>
        </w:rPr>
        <w:t xml:space="preserve"> </w:t>
      </w:r>
      <w:r w:rsidR="004275C3">
        <w:rPr>
          <w:rFonts w:eastAsiaTheme="minorHAnsi" w:cs="Arial"/>
          <w:b/>
          <w:kern w:val="0"/>
          <w:lang w:eastAsia="en-US"/>
        </w:rPr>
        <w:t xml:space="preserve"> </w:t>
      </w:r>
      <w:r w:rsidR="00AA1E26" w:rsidRPr="00A15FEE">
        <w:rPr>
          <w:rFonts w:eastAsiaTheme="minorHAnsi" w:cs="Arial"/>
          <w:b/>
          <w:kern w:val="0"/>
          <w:lang w:eastAsia="en-US"/>
        </w:rPr>
        <w:t xml:space="preserve">Share of German foreign-oriented patent families by technology field, </w:t>
      </w:r>
      <w:r w:rsidR="00B6328E" w:rsidRPr="00A15FEE">
        <w:rPr>
          <w:rFonts w:eastAsiaTheme="minorHAnsi" w:cs="Arial"/>
          <w:b/>
          <w:kern w:val="0"/>
          <w:lang w:eastAsia="en-US"/>
        </w:rPr>
        <w:t>2005</w:t>
      </w:r>
      <w:r w:rsidR="00AA1E26" w:rsidRPr="00A15FEE">
        <w:rPr>
          <w:rFonts w:eastAsiaTheme="minorHAnsi" w:cs="Arial"/>
          <w:b/>
          <w:kern w:val="0"/>
          <w:lang w:eastAsia="en-US"/>
        </w:rPr>
        <w:t>-20</w:t>
      </w:r>
      <w:r w:rsidR="00B6328E" w:rsidRPr="00A15FEE">
        <w:rPr>
          <w:rFonts w:eastAsiaTheme="minorHAnsi" w:cs="Arial"/>
          <w:b/>
          <w:kern w:val="0"/>
          <w:lang w:eastAsia="en-US"/>
        </w:rPr>
        <w:t>09</w:t>
      </w:r>
    </w:p>
    <w:p w:rsidR="00AA1E26" w:rsidRPr="00AA1E26" w:rsidRDefault="00B6328E" w:rsidP="00AA1E26">
      <w:pPr>
        <w:rPr>
          <w:rFonts w:cs="Arial"/>
        </w:rPr>
      </w:pPr>
      <w:r>
        <w:rPr>
          <w:noProof/>
          <w:lang w:eastAsia="en-US"/>
        </w:rPr>
        <w:drawing>
          <wp:inline distT="0" distB="0" distL="0" distR="0">
            <wp:extent cx="5400040" cy="2700020"/>
            <wp:effectExtent l="0" t="0" r="10160" b="241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A1E26" w:rsidRDefault="00AA1E26" w:rsidP="00A15FEE">
      <w:pPr>
        <w:jc w:val="left"/>
        <w:rPr>
          <w:rFonts w:cs="Arial"/>
        </w:rPr>
      </w:pPr>
      <w:r w:rsidRPr="00AA1E26">
        <w:rPr>
          <w:rFonts w:cs="Arial"/>
        </w:rPr>
        <w:t>Source: WIPO IP Statistics Database.</w:t>
      </w:r>
    </w:p>
    <w:p w:rsidR="00EC276F" w:rsidRPr="00AA1E26" w:rsidRDefault="00EC276F" w:rsidP="00A15FEE">
      <w:pPr>
        <w:jc w:val="left"/>
        <w:rPr>
          <w:rFonts w:cs="Arial"/>
        </w:rPr>
      </w:pPr>
    </w:p>
    <w:p w:rsidR="00AA1E26" w:rsidRPr="00AA1E26" w:rsidRDefault="00285832" w:rsidP="00A15FEE">
      <w:pPr>
        <w:jc w:val="left"/>
        <w:rPr>
          <w:rFonts w:cs="Arial"/>
          <w:b/>
        </w:rPr>
      </w:pPr>
      <w:r w:rsidRPr="00094B45">
        <w:rPr>
          <w:rFonts w:cs="Arial"/>
        </w:rPr>
        <w:t xml:space="preserve">In the case of </w:t>
      </w:r>
      <w:r w:rsidR="00FF6B31" w:rsidRPr="00094B45">
        <w:rPr>
          <w:rFonts w:cs="Arial"/>
        </w:rPr>
        <w:t>Chinese</w:t>
      </w:r>
      <w:r w:rsidRPr="00094B45">
        <w:rPr>
          <w:rFonts w:cs="Arial"/>
        </w:rPr>
        <w:t xml:space="preserve"> patents filed abroad, the </w:t>
      </w:r>
      <w:r w:rsidR="00763F35">
        <w:rPr>
          <w:rFonts w:cs="Arial"/>
        </w:rPr>
        <w:t xml:space="preserve">share </w:t>
      </w:r>
      <w:r w:rsidRPr="00094B45">
        <w:rPr>
          <w:rFonts w:cs="Arial"/>
        </w:rPr>
        <w:t>of the top</w:t>
      </w:r>
      <w:r w:rsidR="00AA1E26" w:rsidRPr="00094B45">
        <w:rPr>
          <w:rFonts w:cs="Arial"/>
        </w:rPr>
        <w:t xml:space="preserve"> ten technology fields</w:t>
      </w:r>
      <w:r w:rsidR="00763F35">
        <w:rPr>
          <w:rFonts w:cs="Arial"/>
        </w:rPr>
        <w:t xml:space="preserve"> among total patent families</w:t>
      </w:r>
      <w:r w:rsidR="00AA1E26" w:rsidRPr="00094B45">
        <w:rPr>
          <w:rFonts w:cs="Arial"/>
        </w:rPr>
        <w:t xml:space="preserve"> </w:t>
      </w:r>
      <w:r w:rsidR="00763F35">
        <w:rPr>
          <w:rFonts w:cs="Arial"/>
        </w:rPr>
        <w:t xml:space="preserve">almost </w:t>
      </w:r>
      <w:r w:rsidR="00AA1E26" w:rsidRPr="00763F35">
        <w:rPr>
          <w:rFonts w:cs="Arial"/>
        </w:rPr>
        <w:t>doubled</w:t>
      </w:r>
      <w:r w:rsidR="00AA1E26" w:rsidRPr="00094B45">
        <w:rPr>
          <w:rFonts w:cs="Arial"/>
          <w:color w:val="FF0000"/>
        </w:rPr>
        <w:t xml:space="preserve"> </w:t>
      </w:r>
      <w:r w:rsidR="00AA1E26" w:rsidRPr="00094B45">
        <w:rPr>
          <w:rFonts w:cs="Arial"/>
        </w:rPr>
        <w:t>in the last decade</w:t>
      </w:r>
      <w:r w:rsidR="00FF6B31" w:rsidRPr="00094B45">
        <w:rPr>
          <w:rFonts w:cs="Arial"/>
        </w:rPr>
        <w:t xml:space="preserve"> </w:t>
      </w:r>
      <w:r w:rsidR="00763F35">
        <w:rPr>
          <w:rFonts w:cs="Arial"/>
        </w:rPr>
        <w:t xml:space="preserve">(from 34% in </w:t>
      </w:r>
      <w:r w:rsidR="001D3D1C">
        <w:rPr>
          <w:rFonts w:cs="Arial"/>
        </w:rPr>
        <w:t xml:space="preserve">the </w:t>
      </w:r>
      <w:r w:rsidR="00763F35">
        <w:rPr>
          <w:rFonts w:cs="Arial"/>
        </w:rPr>
        <w:t xml:space="preserve">1990s to 66% </w:t>
      </w:r>
      <w:r w:rsidR="00F117F1">
        <w:rPr>
          <w:rFonts w:cs="Arial"/>
        </w:rPr>
        <w:t>in the decade following</w:t>
      </w:r>
      <w:r w:rsidR="00763F35">
        <w:rPr>
          <w:rFonts w:cs="Arial"/>
        </w:rPr>
        <w:t>)</w:t>
      </w:r>
      <w:r w:rsidR="00DB2ACB">
        <w:rPr>
          <w:rFonts w:cs="Arial"/>
        </w:rPr>
        <w:t xml:space="preserve"> with</w:t>
      </w:r>
      <w:r w:rsidR="00FF6B31" w:rsidRPr="00094B45">
        <w:rPr>
          <w:rFonts w:cs="Arial"/>
        </w:rPr>
        <w:t xml:space="preserve"> </w:t>
      </w:r>
      <w:r w:rsidR="00763F35">
        <w:rPr>
          <w:rFonts w:cs="Arial"/>
        </w:rPr>
        <w:t>“Electrical machinery, apparatus, energy”, “Digital communication”, “Telecommunications”, “Audio-visual technology” and “Computer technology”</w:t>
      </w:r>
      <w:r w:rsidR="00DB2ACB">
        <w:rPr>
          <w:rFonts w:cs="Arial"/>
        </w:rPr>
        <w:t xml:space="preserve"> having the highest annual growth in 2000-2009. </w:t>
      </w:r>
      <w:r w:rsidR="00763F35">
        <w:rPr>
          <w:rFonts w:cs="Arial"/>
        </w:rPr>
        <w:t xml:space="preserve"> </w:t>
      </w:r>
      <w:r w:rsidR="00565DF3" w:rsidRPr="00565DF3">
        <w:rPr>
          <w:rFonts w:cs="Arial"/>
        </w:rPr>
        <w:t xml:space="preserve">In other words, Chinese </w:t>
      </w:r>
      <w:r w:rsidR="00F117F1">
        <w:rPr>
          <w:rFonts w:cs="Arial"/>
        </w:rPr>
        <w:t>foreign-oriented patent families</w:t>
      </w:r>
      <w:r w:rsidR="00565DF3" w:rsidRPr="00565DF3">
        <w:rPr>
          <w:rFonts w:cs="Arial"/>
        </w:rPr>
        <w:t xml:space="preserve"> are ever more concentrated </w:t>
      </w:r>
      <w:r w:rsidR="00F117F1">
        <w:rPr>
          <w:rFonts w:cs="Arial"/>
        </w:rPr>
        <w:t>in</w:t>
      </w:r>
      <w:r w:rsidR="00565DF3" w:rsidRPr="00565DF3">
        <w:rPr>
          <w:rFonts w:cs="Arial"/>
        </w:rPr>
        <w:t xml:space="preserve"> a small number of technologies fields, </w:t>
      </w:r>
      <w:r w:rsidR="00696F0A">
        <w:rPr>
          <w:rFonts w:cs="Arial"/>
        </w:rPr>
        <w:t xml:space="preserve">and this </w:t>
      </w:r>
      <w:r w:rsidR="00565DF3" w:rsidRPr="00565DF3">
        <w:rPr>
          <w:rFonts w:cs="Arial"/>
        </w:rPr>
        <w:t xml:space="preserve">despite the considerably </w:t>
      </w:r>
      <w:r w:rsidR="00565DF3" w:rsidRPr="00565DF3">
        <w:rPr>
          <w:rFonts w:cs="Arial"/>
        </w:rPr>
        <w:lastRenderedPageBreak/>
        <w:t>more important volume of total Chinese patents filed abroad in recent years</w:t>
      </w:r>
      <w:r w:rsidR="00565DF3">
        <w:rPr>
          <w:rFonts w:cs="Arial"/>
          <w:b/>
        </w:rPr>
        <w:t xml:space="preserve"> </w:t>
      </w:r>
      <w:r w:rsidR="00FF6B31" w:rsidRPr="00AA1DFC">
        <w:rPr>
          <w:rFonts w:cs="Arial"/>
        </w:rPr>
        <w:t>(</w:t>
      </w:r>
      <w:r w:rsidR="00FF6B31" w:rsidRPr="00FF6B31">
        <w:rPr>
          <w:rFonts w:cs="Arial"/>
        </w:rPr>
        <w:t>see</w:t>
      </w:r>
      <w:r w:rsidR="00FF6B31">
        <w:rPr>
          <w:rFonts w:cs="Arial"/>
          <w:b/>
        </w:rPr>
        <w:t xml:space="preserve"> </w:t>
      </w:r>
      <w:r w:rsidR="00AA1DFC">
        <w:rPr>
          <w:rFonts w:cs="Arial"/>
        </w:rPr>
        <w:t>Figure 3</w:t>
      </w:r>
      <w:r w:rsidR="00565DF3">
        <w:rPr>
          <w:rFonts w:cs="Arial"/>
        </w:rPr>
        <w:t>.</w:t>
      </w:r>
      <w:r w:rsidR="00AA1DFC">
        <w:rPr>
          <w:rFonts w:cs="Arial"/>
        </w:rPr>
        <w:t>9</w:t>
      </w:r>
      <w:r w:rsidR="00565DF3">
        <w:rPr>
          <w:rFonts w:cs="Arial"/>
        </w:rPr>
        <w:t xml:space="preserve"> and Table </w:t>
      </w:r>
      <w:r w:rsidR="00AA1DFC" w:rsidRPr="00B23842">
        <w:rPr>
          <w:rFonts w:cs="Arial"/>
        </w:rPr>
        <w:t>3</w:t>
      </w:r>
      <w:r w:rsidR="00565DF3" w:rsidRPr="00B23842">
        <w:rPr>
          <w:rFonts w:cs="Arial"/>
        </w:rPr>
        <w:t>.</w:t>
      </w:r>
      <w:r w:rsidR="00B23842" w:rsidRPr="00B23842">
        <w:rPr>
          <w:rFonts w:cs="Arial"/>
        </w:rPr>
        <w:t>1</w:t>
      </w:r>
      <w:r w:rsidR="00AA1E26" w:rsidRPr="00B23842">
        <w:rPr>
          <w:rFonts w:cs="Arial"/>
        </w:rPr>
        <w:t xml:space="preserve"> for </w:t>
      </w:r>
      <w:r w:rsidR="00AA1E26" w:rsidRPr="00AA1E26">
        <w:rPr>
          <w:rFonts w:cs="Arial"/>
        </w:rPr>
        <w:t>the growth rates of technology fields among foreign-oriented patent families</w:t>
      </w:r>
      <w:r w:rsidR="00091521">
        <w:rPr>
          <w:rFonts w:cs="Arial"/>
        </w:rPr>
        <w:t>)</w:t>
      </w:r>
      <w:r w:rsidR="00AA1E26" w:rsidRPr="00AA1E26">
        <w:rPr>
          <w:rFonts w:cs="Arial"/>
        </w:rPr>
        <w:t xml:space="preserve">. </w:t>
      </w:r>
    </w:p>
    <w:p w:rsidR="00AA1E26" w:rsidRPr="00AA1E26" w:rsidRDefault="00AA1E26" w:rsidP="00AA1E26">
      <w:pPr>
        <w:rPr>
          <w:rFonts w:cs="Arial"/>
        </w:rPr>
      </w:pPr>
    </w:p>
    <w:p w:rsidR="00AA1E26" w:rsidRPr="004608DA" w:rsidRDefault="00565DF3" w:rsidP="004608DA">
      <w:pPr>
        <w:jc w:val="left"/>
        <w:rPr>
          <w:rFonts w:eastAsiaTheme="minorHAnsi" w:cs="Arial"/>
          <w:b/>
          <w:kern w:val="0"/>
          <w:lang w:eastAsia="en-US"/>
        </w:rPr>
      </w:pPr>
      <w:proofErr w:type="gramStart"/>
      <w:r w:rsidRPr="004608DA">
        <w:rPr>
          <w:rFonts w:eastAsiaTheme="minorHAnsi" w:cs="Arial"/>
          <w:b/>
          <w:kern w:val="0"/>
          <w:lang w:eastAsia="en-US"/>
        </w:rPr>
        <w:t xml:space="preserve">Figure </w:t>
      </w:r>
      <w:r w:rsidR="00AA1DFC" w:rsidRPr="004608DA">
        <w:rPr>
          <w:rFonts w:eastAsiaTheme="minorHAnsi" w:cs="Arial"/>
          <w:b/>
          <w:kern w:val="0"/>
          <w:lang w:eastAsia="en-US"/>
        </w:rPr>
        <w:t>3.9</w:t>
      </w:r>
      <w:r w:rsidR="00AA1E26" w:rsidRPr="004608DA">
        <w:rPr>
          <w:rFonts w:eastAsiaTheme="minorHAnsi" w:cs="Arial"/>
          <w:b/>
          <w:kern w:val="0"/>
          <w:lang w:eastAsia="en-US"/>
        </w:rPr>
        <w:t>.</w:t>
      </w:r>
      <w:proofErr w:type="gramEnd"/>
      <w:r w:rsidR="00AA1E26" w:rsidRPr="004608DA">
        <w:rPr>
          <w:rFonts w:eastAsiaTheme="minorHAnsi" w:cs="Arial"/>
          <w:b/>
          <w:kern w:val="0"/>
          <w:lang w:eastAsia="en-US"/>
        </w:rPr>
        <w:t xml:space="preserve"> </w:t>
      </w:r>
      <w:r w:rsidR="004275C3">
        <w:rPr>
          <w:rFonts w:eastAsiaTheme="minorHAnsi" w:cs="Arial"/>
          <w:b/>
          <w:kern w:val="0"/>
          <w:lang w:eastAsia="en-US"/>
        </w:rPr>
        <w:t xml:space="preserve"> </w:t>
      </w:r>
      <w:r w:rsidR="00AA1E26" w:rsidRPr="004608DA">
        <w:rPr>
          <w:rFonts w:eastAsiaTheme="minorHAnsi" w:cs="Arial"/>
          <w:b/>
          <w:kern w:val="0"/>
          <w:lang w:eastAsia="en-US"/>
        </w:rPr>
        <w:t xml:space="preserve">Top 10 technology fields among foreign-oriented patent families </w:t>
      </w:r>
      <w:r w:rsidR="00AA1DFC" w:rsidRPr="004608DA">
        <w:rPr>
          <w:rFonts w:eastAsiaTheme="minorHAnsi" w:cs="Arial"/>
          <w:b/>
          <w:kern w:val="0"/>
          <w:lang w:eastAsia="en-US"/>
        </w:rPr>
        <w:t>by Chinese residents, 1970-2009</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A1E26" w:rsidRDefault="00AA1E26" w:rsidP="00AA1E26">
      <w:pPr>
        <w:rPr>
          <w:rFonts w:cs="Arial"/>
        </w:rPr>
      </w:pPr>
      <w:r w:rsidRPr="00AA1E26">
        <w:rPr>
          <w:rFonts w:cs="Arial"/>
        </w:rPr>
        <w:t xml:space="preserve">Source: </w:t>
      </w:r>
      <w:r w:rsidR="004275C3">
        <w:rPr>
          <w:rFonts w:cs="Arial"/>
        </w:rPr>
        <w:t xml:space="preserve"> </w:t>
      </w:r>
      <w:r w:rsidRPr="00AA1E26">
        <w:rPr>
          <w:rFonts w:cs="Arial"/>
        </w:rPr>
        <w:t>WIPO IP Statistics Database.</w:t>
      </w:r>
    </w:p>
    <w:p w:rsidR="00696F0A" w:rsidRPr="00AA1E26" w:rsidRDefault="00696F0A" w:rsidP="004608DA">
      <w:pPr>
        <w:jc w:val="left"/>
        <w:rPr>
          <w:rFonts w:cs="Arial"/>
        </w:rPr>
      </w:pPr>
    </w:p>
    <w:p w:rsidR="008E537C" w:rsidRPr="004608DA" w:rsidRDefault="00696F0A" w:rsidP="004608DA">
      <w:pPr>
        <w:jc w:val="left"/>
        <w:rPr>
          <w:rFonts w:cs="Arial"/>
          <w:color w:val="FF0000"/>
        </w:rPr>
      </w:pPr>
      <w:r w:rsidRPr="00696F0A">
        <w:rPr>
          <w:rFonts w:cs="Arial"/>
        </w:rPr>
        <w:t>In terms of growth, “</w:t>
      </w:r>
      <w:r w:rsidR="00AA1E26" w:rsidRPr="00696F0A">
        <w:rPr>
          <w:rFonts w:cs="Arial"/>
        </w:rPr>
        <w:t xml:space="preserve">Digital communication” is the fastest growing technology field among Chinese foreign-oriented patent families </w:t>
      </w:r>
      <w:r w:rsidRPr="00696F0A">
        <w:rPr>
          <w:rFonts w:cs="Arial"/>
        </w:rPr>
        <w:t>between</w:t>
      </w:r>
      <w:r w:rsidR="00AA1E26" w:rsidRPr="00696F0A">
        <w:rPr>
          <w:rFonts w:cs="Arial"/>
        </w:rPr>
        <w:t xml:space="preserve"> 2000-2009</w:t>
      </w:r>
      <w:r w:rsidRPr="00696F0A">
        <w:rPr>
          <w:rFonts w:cs="Arial"/>
        </w:rPr>
        <w:t>, followed by computer technology, nanotechnology, semiconductors an</w:t>
      </w:r>
      <w:r>
        <w:rPr>
          <w:rFonts w:cs="Arial"/>
        </w:rPr>
        <w:t>d</w:t>
      </w:r>
      <w:r w:rsidRPr="00696F0A">
        <w:rPr>
          <w:rFonts w:cs="Arial"/>
        </w:rPr>
        <w:t xml:space="preserve"> telecommunications (see </w:t>
      </w:r>
      <w:r w:rsidR="00F0552E">
        <w:rPr>
          <w:rFonts w:cs="Arial"/>
        </w:rPr>
        <w:t xml:space="preserve">Figure </w:t>
      </w:r>
      <w:r w:rsidR="00B23842">
        <w:rPr>
          <w:rFonts w:cs="Arial"/>
        </w:rPr>
        <w:t>3</w:t>
      </w:r>
      <w:r w:rsidR="00F0552E">
        <w:rPr>
          <w:rFonts w:cs="Arial"/>
        </w:rPr>
        <w:t>.</w:t>
      </w:r>
      <w:r w:rsidR="00B23842">
        <w:rPr>
          <w:rFonts w:cs="Arial"/>
        </w:rPr>
        <w:t>10</w:t>
      </w:r>
      <w:r w:rsidR="00F0552E" w:rsidRPr="00AA1E26">
        <w:rPr>
          <w:rFonts w:cs="Arial"/>
        </w:rPr>
        <w:t>.</w:t>
      </w:r>
      <w:r w:rsidR="00F0552E">
        <w:rPr>
          <w:rFonts w:cs="Arial"/>
        </w:rPr>
        <w:t xml:space="preserve"> and </w:t>
      </w:r>
      <w:r w:rsidRPr="00696F0A">
        <w:rPr>
          <w:rFonts w:cs="Arial"/>
        </w:rPr>
        <w:t xml:space="preserve">Table </w:t>
      </w:r>
      <w:r w:rsidR="00B23842">
        <w:rPr>
          <w:rFonts w:cs="Arial"/>
        </w:rPr>
        <w:t>3</w:t>
      </w:r>
      <w:r w:rsidRPr="00696F0A">
        <w:rPr>
          <w:rFonts w:cs="Arial"/>
        </w:rPr>
        <w:t>.1)</w:t>
      </w:r>
      <w:r w:rsidR="00AA1E26" w:rsidRPr="00696F0A">
        <w:rPr>
          <w:rFonts w:cs="Arial"/>
        </w:rPr>
        <w:t xml:space="preserve">. </w:t>
      </w:r>
      <w:r w:rsidR="004608DA">
        <w:rPr>
          <w:rFonts w:cs="Arial"/>
        </w:rPr>
        <w:t xml:space="preserve"> </w:t>
      </w:r>
      <w:r w:rsidR="00CC7111">
        <w:rPr>
          <w:rFonts w:cs="Arial"/>
        </w:rPr>
        <w:t>That said</w:t>
      </w:r>
      <w:proofErr w:type="gramStart"/>
      <w:r w:rsidR="00CC7111">
        <w:rPr>
          <w:rFonts w:cs="Arial"/>
        </w:rPr>
        <w:t>,</w:t>
      </w:r>
      <w:proofErr w:type="gramEnd"/>
      <w:r w:rsidR="00CC7111">
        <w:rPr>
          <w:rFonts w:cs="Arial"/>
        </w:rPr>
        <w:t xml:space="preserve"> some of the fastest-growing fields such as nanotechnology</w:t>
      </w:r>
      <w:r w:rsidR="00D1777D">
        <w:rPr>
          <w:rFonts w:cs="Arial"/>
        </w:rPr>
        <w:t xml:space="preserve"> or semiconductors</w:t>
      </w:r>
      <w:r w:rsidR="00CC7111">
        <w:rPr>
          <w:rFonts w:cs="Arial"/>
        </w:rPr>
        <w:t xml:space="preserve"> are growing fast only from very low initial levels</w:t>
      </w:r>
      <w:r w:rsidR="00CC7111" w:rsidRPr="00CC7111">
        <w:rPr>
          <w:rFonts w:cs="Arial"/>
        </w:rPr>
        <w:t>.</w:t>
      </w:r>
    </w:p>
    <w:p w:rsidR="004608DA" w:rsidRDefault="004608DA">
      <w:pPr>
        <w:widowControl/>
        <w:jc w:val="left"/>
        <w:rPr>
          <w:rFonts w:cs="Arial"/>
        </w:rPr>
      </w:pPr>
      <w:r>
        <w:rPr>
          <w:rFonts w:cs="Arial"/>
        </w:rPr>
        <w:br w:type="page"/>
      </w:r>
    </w:p>
    <w:p w:rsidR="00901169" w:rsidRDefault="00901169" w:rsidP="004608DA">
      <w:pPr>
        <w:jc w:val="left"/>
        <w:rPr>
          <w:rFonts w:eastAsiaTheme="minorHAnsi" w:cs="Arial"/>
          <w:b/>
          <w:kern w:val="0"/>
          <w:lang w:eastAsia="en-US"/>
        </w:rPr>
      </w:pPr>
    </w:p>
    <w:p w:rsidR="00D06C32" w:rsidRPr="004608DA" w:rsidRDefault="00D06C32" w:rsidP="004608DA">
      <w:pPr>
        <w:jc w:val="left"/>
        <w:rPr>
          <w:rFonts w:eastAsiaTheme="minorHAnsi" w:cs="Arial"/>
          <w:b/>
          <w:kern w:val="0"/>
          <w:lang w:eastAsia="en-US"/>
        </w:rPr>
      </w:pPr>
      <w:proofErr w:type="gramStart"/>
      <w:r w:rsidRPr="004608DA">
        <w:rPr>
          <w:rFonts w:eastAsiaTheme="minorHAnsi" w:cs="Arial"/>
          <w:b/>
          <w:kern w:val="0"/>
          <w:lang w:eastAsia="en-US"/>
        </w:rPr>
        <w:t xml:space="preserve">Figure </w:t>
      </w:r>
      <w:r w:rsidR="00B23842" w:rsidRPr="004608DA">
        <w:rPr>
          <w:rFonts w:eastAsiaTheme="minorHAnsi" w:cs="Arial"/>
          <w:b/>
          <w:kern w:val="0"/>
          <w:lang w:eastAsia="en-US"/>
        </w:rPr>
        <w:t>3</w:t>
      </w:r>
      <w:r w:rsidRPr="004608DA">
        <w:rPr>
          <w:rFonts w:eastAsiaTheme="minorHAnsi" w:cs="Arial"/>
          <w:b/>
          <w:kern w:val="0"/>
          <w:lang w:eastAsia="en-US"/>
        </w:rPr>
        <w:t>.</w:t>
      </w:r>
      <w:r w:rsidR="00B23842" w:rsidRPr="004608DA">
        <w:rPr>
          <w:rFonts w:eastAsiaTheme="minorHAnsi" w:cs="Arial"/>
          <w:b/>
          <w:kern w:val="0"/>
          <w:lang w:eastAsia="en-US"/>
        </w:rPr>
        <w:t>10</w:t>
      </w:r>
      <w:r w:rsidRPr="004608DA">
        <w:rPr>
          <w:rFonts w:eastAsiaTheme="minorHAnsi" w:cs="Arial"/>
          <w:b/>
          <w:kern w:val="0"/>
          <w:lang w:eastAsia="en-US"/>
        </w:rPr>
        <w:t>.</w:t>
      </w:r>
      <w:proofErr w:type="gramEnd"/>
      <w:r w:rsidRPr="004608DA">
        <w:rPr>
          <w:rFonts w:eastAsiaTheme="minorHAnsi" w:cs="Arial"/>
          <w:b/>
          <w:kern w:val="0"/>
          <w:lang w:eastAsia="en-US"/>
        </w:rPr>
        <w:t xml:space="preserve"> </w:t>
      </w:r>
      <w:r w:rsidR="00901169">
        <w:rPr>
          <w:rFonts w:eastAsiaTheme="minorHAnsi" w:cs="Arial"/>
          <w:b/>
          <w:kern w:val="0"/>
          <w:lang w:eastAsia="en-US"/>
        </w:rPr>
        <w:t xml:space="preserve"> </w:t>
      </w:r>
      <w:r w:rsidR="00122CCA" w:rsidRPr="004608DA">
        <w:rPr>
          <w:rFonts w:eastAsiaTheme="minorHAnsi" w:cs="Arial"/>
          <w:b/>
          <w:kern w:val="0"/>
          <w:lang w:eastAsia="en-US"/>
        </w:rPr>
        <w:t>Annual n</w:t>
      </w:r>
      <w:r w:rsidRPr="004608DA">
        <w:rPr>
          <w:rFonts w:eastAsiaTheme="minorHAnsi" w:cs="Arial"/>
          <w:b/>
          <w:kern w:val="0"/>
          <w:lang w:eastAsia="en-US"/>
        </w:rPr>
        <w:t xml:space="preserve">umber of patent families for the top ten technology fields, </w:t>
      </w:r>
      <w:r w:rsidR="00901169">
        <w:rPr>
          <w:rFonts w:eastAsiaTheme="minorHAnsi" w:cs="Arial"/>
          <w:b/>
          <w:kern w:val="0"/>
          <w:lang w:eastAsia="en-US"/>
        </w:rPr>
        <w:br/>
      </w:r>
      <w:r w:rsidRPr="004608DA">
        <w:rPr>
          <w:rFonts w:eastAsiaTheme="minorHAnsi" w:cs="Arial"/>
          <w:b/>
          <w:kern w:val="0"/>
          <w:lang w:eastAsia="en-US"/>
        </w:rPr>
        <w:t>2000-2009</w:t>
      </w:r>
    </w:p>
    <w:p w:rsidR="00125B78" w:rsidRDefault="00125B78" w:rsidP="00AA1E26">
      <w:pPr>
        <w:rPr>
          <w:rFonts w:cs="Arial"/>
        </w:rPr>
      </w:pPr>
      <w:r>
        <w:rPr>
          <w:noProof/>
          <w:lang w:eastAsia="en-US"/>
        </w:rPr>
        <w:drawing>
          <wp:inline distT="0" distB="0" distL="0" distR="0">
            <wp:extent cx="5400040" cy="2700020"/>
            <wp:effectExtent l="0" t="0" r="10160" b="241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F593C" w:rsidRDefault="001F593C" w:rsidP="004608DA">
      <w:pPr>
        <w:jc w:val="left"/>
        <w:rPr>
          <w:rFonts w:cs="Arial"/>
          <w:sz w:val="20"/>
          <w:szCs w:val="20"/>
        </w:rPr>
      </w:pPr>
      <w:r w:rsidRPr="004608DA">
        <w:rPr>
          <w:rFonts w:cs="Arial"/>
          <w:sz w:val="20"/>
          <w:szCs w:val="20"/>
        </w:rPr>
        <w:t>Source:</w:t>
      </w:r>
      <w:r w:rsidR="00901169">
        <w:rPr>
          <w:rFonts w:cs="Arial"/>
          <w:sz w:val="20"/>
          <w:szCs w:val="20"/>
        </w:rPr>
        <w:t xml:space="preserve"> </w:t>
      </w:r>
      <w:r w:rsidRPr="004608DA">
        <w:rPr>
          <w:rFonts w:cs="Arial"/>
          <w:sz w:val="20"/>
          <w:szCs w:val="20"/>
        </w:rPr>
        <w:t xml:space="preserve"> WIPO IP Statistics Database.</w:t>
      </w:r>
    </w:p>
    <w:p w:rsidR="00901169" w:rsidRDefault="00901169" w:rsidP="004608DA">
      <w:pPr>
        <w:jc w:val="left"/>
        <w:rPr>
          <w:rFonts w:cs="Arial"/>
          <w:sz w:val="20"/>
          <w:szCs w:val="20"/>
        </w:rPr>
      </w:pPr>
    </w:p>
    <w:p w:rsidR="00901169" w:rsidRDefault="00901169" w:rsidP="004608DA">
      <w:pPr>
        <w:jc w:val="left"/>
        <w:rPr>
          <w:rFonts w:cs="Arial"/>
          <w:sz w:val="20"/>
          <w:szCs w:val="20"/>
        </w:rPr>
      </w:pPr>
    </w:p>
    <w:p w:rsidR="00901169" w:rsidRDefault="00901169">
      <w:pPr>
        <w:widowControl/>
        <w:jc w:val="left"/>
        <w:rPr>
          <w:rFonts w:cs="Arial"/>
          <w:sz w:val="20"/>
          <w:szCs w:val="20"/>
        </w:rPr>
      </w:pPr>
      <w:r>
        <w:rPr>
          <w:rFonts w:cs="Arial"/>
          <w:sz w:val="20"/>
          <w:szCs w:val="20"/>
        </w:rPr>
        <w:br w:type="page"/>
      </w:r>
    </w:p>
    <w:p w:rsidR="00AA667A" w:rsidRPr="00AA667A" w:rsidRDefault="00AA667A" w:rsidP="001F593C">
      <w:pPr>
        <w:rPr>
          <w:rFonts w:cs="Arial"/>
          <w:color w:val="FF0000"/>
        </w:rPr>
      </w:pPr>
    </w:p>
    <w:p w:rsidR="00AA1E26" w:rsidRPr="004608DA" w:rsidRDefault="00AA1E26" w:rsidP="004608DA">
      <w:pPr>
        <w:jc w:val="left"/>
        <w:rPr>
          <w:rFonts w:eastAsiaTheme="minorHAnsi" w:cs="Arial"/>
          <w:b/>
          <w:kern w:val="0"/>
          <w:lang w:eastAsia="en-US"/>
        </w:rPr>
      </w:pPr>
      <w:proofErr w:type="gramStart"/>
      <w:r w:rsidRPr="004608DA">
        <w:rPr>
          <w:rFonts w:eastAsiaTheme="minorHAnsi" w:cs="Arial"/>
          <w:b/>
          <w:kern w:val="0"/>
          <w:lang w:eastAsia="en-US"/>
        </w:rPr>
        <w:t xml:space="preserve">Table </w:t>
      </w:r>
      <w:r w:rsidR="00B23842" w:rsidRPr="004608DA">
        <w:rPr>
          <w:rFonts w:eastAsiaTheme="minorHAnsi" w:cs="Arial"/>
          <w:b/>
          <w:kern w:val="0"/>
          <w:lang w:eastAsia="en-US"/>
        </w:rPr>
        <w:t>3</w:t>
      </w:r>
      <w:r w:rsidRPr="004608DA">
        <w:rPr>
          <w:rFonts w:eastAsiaTheme="minorHAnsi" w:cs="Arial"/>
          <w:b/>
          <w:kern w:val="0"/>
          <w:lang w:eastAsia="en-US"/>
        </w:rPr>
        <w:t>.1.</w:t>
      </w:r>
      <w:proofErr w:type="gramEnd"/>
      <w:r w:rsidRPr="004608DA">
        <w:rPr>
          <w:rFonts w:eastAsiaTheme="minorHAnsi" w:cs="Arial"/>
          <w:b/>
          <w:kern w:val="0"/>
          <w:lang w:eastAsia="en-US"/>
        </w:rPr>
        <w:t xml:space="preserve"> Compound annual growth rate </w:t>
      </w:r>
      <w:r w:rsidR="00082530" w:rsidRPr="004608DA">
        <w:rPr>
          <w:rFonts w:eastAsiaTheme="minorHAnsi" w:cs="Arial"/>
          <w:b/>
          <w:kern w:val="0"/>
          <w:lang w:eastAsia="en-US"/>
        </w:rPr>
        <w:t>(CAGR),</w:t>
      </w:r>
      <w:r w:rsidR="00B23842" w:rsidRPr="004608DA">
        <w:rPr>
          <w:rFonts w:eastAsiaTheme="minorHAnsi" w:cs="Arial"/>
          <w:b/>
          <w:kern w:val="0"/>
          <w:lang w:eastAsia="en-US"/>
        </w:rPr>
        <w:t xml:space="preserve"> technology fields</w:t>
      </w:r>
      <w:r w:rsidR="00082530" w:rsidRPr="004608DA">
        <w:rPr>
          <w:rFonts w:eastAsiaTheme="minorHAnsi" w:cs="Arial"/>
          <w:b/>
          <w:kern w:val="0"/>
          <w:lang w:eastAsia="en-US"/>
        </w:rPr>
        <w:t xml:space="preserve"> of foreign-oriented patent families of Chinese residents</w:t>
      </w:r>
      <w:r w:rsidR="00B23842" w:rsidRPr="004608DA">
        <w:rPr>
          <w:rFonts w:eastAsiaTheme="minorHAnsi" w:cs="Arial"/>
          <w:b/>
          <w:kern w:val="0"/>
          <w:lang w:eastAsia="en-US"/>
        </w:rPr>
        <w:t>, 2000-2009</w:t>
      </w:r>
      <w:r w:rsidRPr="004608DA">
        <w:rPr>
          <w:rFonts w:eastAsiaTheme="minorHAnsi" w:cs="Arial"/>
          <w:b/>
          <w:kern w:val="0"/>
          <w:lang w:eastAsia="en-US"/>
        </w:rPr>
        <w:t xml:space="preserve"> </w:t>
      </w:r>
    </w:p>
    <w:tbl>
      <w:tblPr>
        <w:tblW w:w="0" w:type="auto"/>
        <w:tblCellMar>
          <w:left w:w="99" w:type="dxa"/>
          <w:right w:w="99" w:type="dxa"/>
        </w:tblCellMar>
        <w:tblLook w:val="04A0" w:firstRow="1" w:lastRow="0" w:firstColumn="1" w:lastColumn="0" w:noHBand="0" w:noVBand="1"/>
      </w:tblPr>
      <w:tblGrid>
        <w:gridCol w:w="4063"/>
        <w:gridCol w:w="1983"/>
        <w:gridCol w:w="1983"/>
        <w:gridCol w:w="1523"/>
      </w:tblGrid>
      <w:tr w:rsidR="00AA1E26" w:rsidRPr="00AA1E26" w:rsidTr="00BE048B">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technology field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Number of families in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Number of families in 2009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CAGR (2000-2009)</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Digital communication</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1449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55.4%</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Computer technology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39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1204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46.5%</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 xml:space="preserve">Micro-structural and </w:t>
            </w:r>
            <w:proofErr w:type="spellStart"/>
            <w:r w:rsidRPr="00AA1E26">
              <w:rPr>
                <w:rFonts w:eastAsia="MS PGothic" w:cs="Arial"/>
                <w:color w:val="000000"/>
                <w:kern w:val="0"/>
              </w:rPr>
              <w:t>nano</w:t>
            </w:r>
            <w:proofErr w:type="spellEnd"/>
            <w:r w:rsidRPr="00AA1E26">
              <w:rPr>
                <w:rFonts w:eastAsia="MS PGothic" w:cs="Arial"/>
                <w:color w:val="000000"/>
                <w:kern w:val="0"/>
              </w:rPr>
              <w:t>-technology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19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44.0%</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Semiconductors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358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40.3%</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Telecommunications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724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39.2%</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Audio-visual technology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50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887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37.6%</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Electrical machinery, apparatus, energy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70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1186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36.9%</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Optics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23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385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36.8%</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Surface technology, coating</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157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35.8%</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Basic communication processes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8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121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35.2%</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Measurement</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293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35.0%</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Control</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151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34.7%</w:t>
            </w:r>
          </w:p>
        </w:tc>
      </w:tr>
      <w:tr w:rsidR="00AA1E26" w:rsidRPr="00AA1E26" w:rsidTr="00BE048B">
        <w:trPr>
          <w:trHeight w:val="81"/>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Materials, metallurgy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8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94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30.9%</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Textile and paper machines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5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57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30.2%</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Mechanical elements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222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26.4%</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Handling</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168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22.7%</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Chemical engineering</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25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152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22.2%</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Machine tools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36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214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21.7%</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Thermal processes and apparatus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33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189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21.4%</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Engines, pumps, turbines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21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110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20.2%</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Other special machines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31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159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19.9%</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IT methods for management</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35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19.1%</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Analysis of biological materials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4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18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19.0%</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Civil engineering</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36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166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18.6%</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Organic fine chemistry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23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107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18.5%</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Basic materials chemistry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23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90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16.6%</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Transport</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35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135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16.4%</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Furniture, games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74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287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16.3%</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Other consumer goods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52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199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16.2%</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Medical technology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37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134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15.4%</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Food chemistry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6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21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15.0%</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Pharmaceuticals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40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135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14.3%</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Environmental technology</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13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40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13.5%</w:t>
            </w:r>
          </w:p>
        </w:tc>
      </w:tr>
      <w:tr w:rsidR="00AA1E26" w:rsidRPr="00AA1E26" w:rsidTr="00BE048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Macromolecular chemistry, polymers</w:t>
            </w:r>
          </w:p>
        </w:tc>
        <w:tc>
          <w:tcPr>
            <w:tcW w:w="0" w:type="auto"/>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28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58 </w:t>
            </w:r>
          </w:p>
        </w:tc>
        <w:tc>
          <w:tcPr>
            <w:tcW w:w="0" w:type="auto"/>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8.4%</w:t>
            </w:r>
          </w:p>
        </w:tc>
      </w:tr>
      <w:tr w:rsidR="00AA1E26" w:rsidRPr="00AA1E26" w:rsidTr="00BE048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Biotechnology</w:t>
            </w:r>
          </w:p>
        </w:tc>
        <w:tc>
          <w:tcPr>
            <w:tcW w:w="0" w:type="auto"/>
            <w:tcBorders>
              <w:top w:val="nil"/>
              <w:left w:val="nil"/>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34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xml:space="preserve">69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8.2%</w:t>
            </w:r>
          </w:p>
        </w:tc>
      </w:tr>
    </w:tbl>
    <w:p w:rsidR="00AA1E26" w:rsidRPr="004608DA" w:rsidRDefault="00AA1E26" w:rsidP="00AA1E26">
      <w:pPr>
        <w:rPr>
          <w:rFonts w:cs="Arial"/>
          <w:sz w:val="20"/>
          <w:szCs w:val="20"/>
        </w:rPr>
      </w:pPr>
      <w:r w:rsidRPr="004608DA">
        <w:rPr>
          <w:rFonts w:cs="Arial"/>
          <w:sz w:val="20"/>
          <w:szCs w:val="20"/>
        </w:rPr>
        <w:t>Source:</w:t>
      </w:r>
      <w:r w:rsidR="00901169">
        <w:rPr>
          <w:rFonts w:cs="Arial"/>
          <w:sz w:val="20"/>
          <w:szCs w:val="20"/>
        </w:rPr>
        <w:t xml:space="preserve"> </w:t>
      </w:r>
      <w:r w:rsidRPr="004608DA">
        <w:rPr>
          <w:rFonts w:cs="Arial"/>
          <w:sz w:val="20"/>
          <w:szCs w:val="20"/>
        </w:rPr>
        <w:t xml:space="preserve"> WIPO IP Statistics Database.</w:t>
      </w:r>
    </w:p>
    <w:p w:rsidR="00091521" w:rsidRPr="00AA1E26" w:rsidRDefault="00091521" w:rsidP="004608DA">
      <w:pPr>
        <w:jc w:val="left"/>
        <w:rPr>
          <w:rFonts w:cs="Arial"/>
        </w:rPr>
      </w:pPr>
    </w:p>
    <w:p w:rsidR="00CA0AEA" w:rsidRDefault="00D07356" w:rsidP="004608DA">
      <w:pPr>
        <w:jc w:val="left"/>
        <w:rPr>
          <w:rFonts w:cs="Arial"/>
        </w:rPr>
      </w:pPr>
      <w:r w:rsidRPr="00D07356">
        <w:rPr>
          <w:rFonts w:cs="Arial"/>
        </w:rPr>
        <w:t>Patent data can be broadly categorized as complex or discrete technologies.</w:t>
      </w:r>
      <w:r w:rsidR="00CA0AEA">
        <w:rPr>
          <w:rStyle w:val="FootnoteReference"/>
          <w:rFonts w:cs="Arial"/>
        </w:rPr>
        <w:footnoteReference w:id="7"/>
      </w:r>
      <w:r w:rsidRPr="00D07356">
        <w:rPr>
          <w:rFonts w:cs="Arial"/>
        </w:rPr>
        <w:t xml:space="preserve"> </w:t>
      </w:r>
      <w:r w:rsidR="004608DA">
        <w:rPr>
          <w:rFonts w:cs="Arial"/>
        </w:rPr>
        <w:t xml:space="preserve"> </w:t>
      </w:r>
      <w:r w:rsidRPr="00D07356">
        <w:rPr>
          <w:rFonts w:cs="Arial"/>
        </w:rPr>
        <w:t xml:space="preserve">Complex technologies are usually defined as those for which the resulting products or processes consist </w:t>
      </w:r>
      <w:r w:rsidRPr="00D07356">
        <w:rPr>
          <w:rFonts w:cs="Arial"/>
        </w:rPr>
        <w:lastRenderedPageBreak/>
        <w:t xml:space="preserve">of numerous separately patentable elements and for which patent ownership is typically widespread. </w:t>
      </w:r>
      <w:r w:rsidR="004608DA">
        <w:rPr>
          <w:rFonts w:cs="Arial"/>
        </w:rPr>
        <w:t xml:space="preserve"> </w:t>
      </w:r>
      <w:r w:rsidRPr="00D07356">
        <w:rPr>
          <w:rFonts w:cs="Arial"/>
        </w:rPr>
        <w:t xml:space="preserve">Discrete technologies, in turn, describe products or processes that consist of a single or relatively few patentable elements and for which patent ownership is more concentrated. </w:t>
      </w:r>
      <w:r w:rsidR="004608DA">
        <w:rPr>
          <w:rFonts w:cs="Arial"/>
        </w:rPr>
        <w:t xml:space="preserve"> </w:t>
      </w:r>
      <w:r w:rsidRPr="00D07356">
        <w:rPr>
          <w:rFonts w:cs="Arial"/>
        </w:rPr>
        <w:t xml:space="preserve">For example, smartphones fall into the category of complex technologies, whereas pharmaceuticals are considered a discrete technology. </w:t>
      </w:r>
    </w:p>
    <w:p w:rsidR="00901169" w:rsidRDefault="00901169" w:rsidP="004608DA">
      <w:pPr>
        <w:jc w:val="left"/>
        <w:rPr>
          <w:rFonts w:cs="Arial"/>
        </w:rPr>
      </w:pPr>
    </w:p>
    <w:p w:rsidR="001A57F0" w:rsidRDefault="00AA1E26" w:rsidP="004608DA">
      <w:pPr>
        <w:jc w:val="left"/>
        <w:rPr>
          <w:rFonts w:cs="Arial"/>
        </w:rPr>
      </w:pPr>
      <w:r w:rsidRPr="00D07356">
        <w:rPr>
          <w:rFonts w:cs="Arial"/>
        </w:rPr>
        <w:t xml:space="preserve">The share of “complex” technology fields among </w:t>
      </w:r>
      <w:r w:rsidR="00EF427F">
        <w:rPr>
          <w:rFonts w:cs="Arial"/>
        </w:rPr>
        <w:t>all</w:t>
      </w:r>
      <w:r w:rsidRPr="00D07356">
        <w:rPr>
          <w:rFonts w:cs="Arial"/>
        </w:rPr>
        <w:t xml:space="preserve"> foreign-oriented patent families </w:t>
      </w:r>
      <w:r w:rsidR="00EF427F">
        <w:rPr>
          <w:rFonts w:cs="Arial"/>
        </w:rPr>
        <w:t xml:space="preserve">by Chinese residents </w:t>
      </w:r>
      <w:r w:rsidRPr="00D07356">
        <w:rPr>
          <w:rFonts w:cs="Arial"/>
        </w:rPr>
        <w:t xml:space="preserve">has been growing </w:t>
      </w:r>
      <w:r w:rsidR="009D5C13">
        <w:rPr>
          <w:rFonts w:cs="Arial"/>
        </w:rPr>
        <w:t xml:space="preserve">between 1970-2009 </w:t>
      </w:r>
      <w:r w:rsidR="00EF427F">
        <w:rPr>
          <w:rFonts w:cs="Arial"/>
        </w:rPr>
        <w:t>making up</w:t>
      </w:r>
      <w:r w:rsidR="009D5C13">
        <w:rPr>
          <w:rFonts w:cs="Arial"/>
        </w:rPr>
        <w:t xml:space="preserve"> </w:t>
      </w:r>
      <w:r w:rsidR="009D5C13" w:rsidRPr="0020741C">
        <w:rPr>
          <w:rFonts w:cs="Arial"/>
        </w:rPr>
        <w:t>a</w:t>
      </w:r>
      <w:r w:rsidRPr="0020741C">
        <w:rPr>
          <w:rFonts w:cs="Arial"/>
        </w:rPr>
        <w:t xml:space="preserve"> 75%</w:t>
      </w:r>
      <w:r w:rsidR="009D5C13" w:rsidRPr="0020741C">
        <w:rPr>
          <w:rFonts w:cs="Arial"/>
        </w:rPr>
        <w:t>-share of total patents abroad</w:t>
      </w:r>
      <w:r w:rsidRPr="0020741C">
        <w:rPr>
          <w:rFonts w:cs="Arial"/>
        </w:rPr>
        <w:t xml:space="preserve"> </w:t>
      </w:r>
      <w:r w:rsidR="009D5C13" w:rsidRPr="0020741C">
        <w:rPr>
          <w:rFonts w:cs="Arial"/>
        </w:rPr>
        <w:t>on average per annum since 2000</w:t>
      </w:r>
      <w:r w:rsidR="001A57F0" w:rsidRPr="0020741C">
        <w:rPr>
          <w:rFonts w:cs="Arial"/>
        </w:rPr>
        <w:t xml:space="preserve"> (see Figure </w:t>
      </w:r>
      <w:r w:rsidR="0020741C" w:rsidRPr="0020741C">
        <w:rPr>
          <w:rFonts w:cs="Arial"/>
        </w:rPr>
        <w:t>3</w:t>
      </w:r>
      <w:r w:rsidR="001A57F0" w:rsidRPr="0020741C">
        <w:rPr>
          <w:rFonts w:cs="Arial"/>
        </w:rPr>
        <w:t>.</w:t>
      </w:r>
      <w:r w:rsidR="0020741C" w:rsidRPr="0020741C">
        <w:rPr>
          <w:rFonts w:cs="Arial"/>
        </w:rPr>
        <w:t>11</w:t>
      </w:r>
      <w:r w:rsidR="001A57F0">
        <w:rPr>
          <w:rFonts w:cs="Arial"/>
        </w:rPr>
        <w:t>)</w:t>
      </w:r>
      <w:r w:rsidR="009D5C13">
        <w:rPr>
          <w:rFonts w:cs="Arial"/>
        </w:rPr>
        <w:t>.</w:t>
      </w:r>
      <w:r w:rsidR="004608DA">
        <w:rPr>
          <w:rFonts w:cs="Arial"/>
        </w:rPr>
        <w:t xml:space="preserve"> </w:t>
      </w:r>
      <w:r w:rsidR="009D5C13">
        <w:rPr>
          <w:rFonts w:cs="Arial"/>
        </w:rPr>
        <w:t xml:space="preserve"> </w:t>
      </w:r>
      <w:r w:rsidR="001A57F0">
        <w:rPr>
          <w:rFonts w:cs="Arial"/>
        </w:rPr>
        <w:t>To the contrary, the</w:t>
      </w:r>
      <w:r w:rsidRPr="00D07356">
        <w:rPr>
          <w:rFonts w:cs="Arial"/>
        </w:rPr>
        <w:t xml:space="preserve"> share of “discrete” technologies has been shrinking.</w:t>
      </w:r>
      <w:r w:rsidRPr="00AA1E26">
        <w:rPr>
          <w:rFonts w:cs="Arial"/>
          <w:b/>
        </w:rPr>
        <w:t xml:space="preserve"> </w:t>
      </w:r>
      <w:r w:rsidRPr="00AA1E26">
        <w:rPr>
          <w:rFonts w:cs="Arial"/>
        </w:rPr>
        <w:t xml:space="preserve"> </w:t>
      </w:r>
    </w:p>
    <w:p w:rsidR="004608DA" w:rsidRDefault="004608DA">
      <w:pPr>
        <w:widowControl/>
        <w:jc w:val="left"/>
        <w:rPr>
          <w:rFonts w:cs="Arial"/>
        </w:rPr>
      </w:pPr>
      <w:r>
        <w:rPr>
          <w:rFonts w:cs="Arial"/>
        </w:rPr>
        <w:br w:type="page"/>
      </w:r>
    </w:p>
    <w:p w:rsidR="00AA1E26" w:rsidRPr="004608DA" w:rsidRDefault="00AA1E26" w:rsidP="004608DA">
      <w:pPr>
        <w:jc w:val="left"/>
        <w:rPr>
          <w:rFonts w:eastAsiaTheme="minorHAnsi" w:cs="Arial"/>
          <w:b/>
          <w:kern w:val="0"/>
          <w:lang w:eastAsia="en-US"/>
        </w:rPr>
      </w:pPr>
      <w:proofErr w:type="gramStart"/>
      <w:r w:rsidRPr="004608DA">
        <w:rPr>
          <w:rFonts w:eastAsiaTheme="minorHAnsi" w:cs="Arial"/>
          <w:b/>
          <w:kern w:val="0"/>
          <w:lang w:eastAsia="en-US"/>
        </w:rPr>
        <w:lastRenderedPageBreak/>
        <w:t xml:space="preserve">Figure </w:t>
      </w:r>
      <w:r w:rsidR="0020741C" w:rsidRPr="004608DA">
        <w:rPr>
          <w:rFonts w:eastAsiaTheme="minorHAnsi" w:cs="Arial"/>
          <w:b/>
          <w:kern w:val="0"/>
          <w:lang w:eastAsia="en-US"/>
        </w:rPr>
        <w:t>3.11</w:t>
      </w:r>
      <w:r w:rsidRPr="004608DA">
        <w:rPr>
          <w:rFonts w:eastAsiaTheme="minorHAnsi" w:cs="Arial"/>
          <w:b/>
          <w:kern w:val="0"/>
          <w:lang w:eastAsia="en-US"/>
        </w:rPr>
        <w:t>.</w:t>
      </w:r>
      <w:proofErr w:type="gramEnd"/>
      <w:r w:rsidRPr="004608DA">
        <w:rPr>
          <w:rFonts w:eastAsiaTheme="minorHAnsi" w:cs="Arial"/>
          <w:b/>
          <w:kern w:val="0"/>
          <w:lang w:eastAsia="en-US"/>
        </w:rPr>
        <w:t xml:space="preserve"> </w:t>
      </w:r>
      <w:r w:rsidR="00901169">
        <w:rPr>
          <w:rFonts w:eastAsiaTheme="minorHAnsi" w:cs="Arial"/>
          <w:b/>
          <w:kern w:val="0"/>
          <w:lang w:eastAsia="en-US"/>
        </w:rPr>
        <w:t xml:space="preserve"> </w:t>
      </w:r>
      <w:r w:rsidRPr="004608DA">
        <w:rPr>
          <w:rFonts w:eastAsiaTheme="minorHAnsi" w:cs="Arial"/>
          <w:b/>
          <w:kern w:val="0"/>
          <w:lang w:eastAsia="en-US"/>
        </w:rPr>
        <w:t>Distribution discrete versus compl</w:t>
      </w:r>
      <w:r w:rsidR="0020741C" w:rsidRPr="004608DA">
        <w:rPr>
          <w:rFonts w:eastAsiaTheme="minorHAnsi" w:cs="Arial"/>
          <w:b/>
          <w:kern w:val="0"/>
          <w:lang w:eastAsia="en-US"/>
        </w:rPr>
        <w:t>ex technology fields, 1970-2009</w:t>
      </w:r>
    </w:p>
    <w:p w:rsidR="00125B78" w:rsidRPr="00AA1E26" w:rsidRDefault="00125B78" w:rsidP="00AA1E26">
      <w:pPr>
        <w:rPr>
          <w:rFonts w:cs="Arial"/>
        </w:rPr>
      </w:pPr>
      <w:r>
        <w:rPr>
          <w:noProof/>
          <w:lang w:eastAsia="en-US"/>
        </w:rPr>
        <w:drawing>
          <wp:inline distT="0" distB="0" distL="0" distR="0">
            <wp:extent cx="5400040" cy="2700020"/>
            <wp:effectExtent l="0" t="0" r="10160" b="2413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A1E26" w:rsidRPr="004608DA" w:rsidRDefault="00AA1E26" w:rsidP="00AA1E26">
      <w:pPr>
        <w:rPr>
          <w:rFonts w:cs="Arial"/>
          <w:sz w:val="20"/>
          <w:szCs w:val="20"/>
        </w:rPr>
      </w:pPr>
      <w:r w:rsidRPr="004608DA">
        <w:rPr>
          <w:rFonts w:cs="Arial"/>
          <w:sz w:val="20"/>
          <w:szCs w:val="20"/>
        </w:rPr>
        <w:t xml:space="preserve">Source: </w:t>
      </w:r>
      <w:r w:rsidR="00901169">
        <w:rPr>
          <w:rFonts w:cs="Arial"/>
          <w:sz w:val="20"/>
          <w:szCs w:val="20"/>
        </w:rPr>
        <w:t xml:space="preserve"> </w:t>
      </w:r>
      <w:r w:rsidRPr="004608DA">
        <w:rPr>
          <w:rFonts w:cs="Arial"/>
          <w:sz w:val="20"/>
          <w:szCs w:val="20"/>
        </w:rPr>
        <w:t>WIPO IP Statistics Database.</w:t>
      </w:r>
    </w:p>
    <w:p w:rsidR="001A57F0" w:rsidRPr="00DD6335" w:rsidRDefault="001A57F0" w:rsidP="004608DA">
      <w:pPr>
        <w:jc w:val="left"/>
        <w:rPr>
          <w:rFonts w:cs="Arial"/>
        </w:rPr>
      </w:pPr>
    </w:p>
    <w:p w:rsidR="006B3CF7" w:rsidRDefault="00BD311B" w:rsidP="004608DA">
      <w:pPr>
        <w:jc w:val="left"/>
        <w:rPr>
          <w:rFonts w:cs="Arial"/>
        </w:rPr>
      </w:pPr>
      <w:r w:rsidRPr="00DD6335">
        <w:rPr>
          <w:rFonts w:cs="Arial"/>
        </w:rPr>
        <w:t>The t</w:t>
      </w:r>
      <w:r w:rsidR="00AA1E26" w:rsidRPr="00DD6335">
        <w:rPr>
          <w:rFonts w:cs="Arial"/>
        </w:rPr>
        <w:t xml:space="preserve">op </w:t>
      </w:r>
      <w:r w:rsidR="005F6CDB">
        <w:rPr>
          <w:rFonts w:cs="Arial"/>
        </w:rPr>
        <w:t>ten</w:t>
      </w:r>
      <w:r w:rsidR="00AA1E26" w:rsidRPr="00DD6335">
        <w:rPr>
          <w:rFonts w:cs="Arial"/>
        </w:rPr>
        <w:t xml:space="preserve"> technology fields </w:t>
      </w:r>
      <w:r w:rsidRPr="00DD6335">
        <w:rPr>
          <w:rFonts w:cs="Arial"/>
        </w:rPr>
        <w:t xml:space="preserve">of patents filed abroad vary according to the type of Chinese applicants (see </w:t>
      </w:r>
      <w:r w:rsidR="00AA1E26" w:rsidRPr="00DD6335">
        <w:rPr>
          <w:rFonts w:cs="Arial"/>
        </w:rPr>
        <w:t xml:space="preserve">Figures </w:t>
      </w:r>
      <w:r w:rsidR="0020741C">
        <w:rPr>
          <w:rFonts w:cs="Arial"/>
        </w:rPr>
        <w:t>3</w:t>
      </w:r>
      <w:r w:rsidRPr="00DD6335">
        <w:rPr>
          <w:rFonts w:cs="Arial"/>
        </w:rPr>
        <w:t>.</w:t>
      </w:r>
      <w:r w:rsidR="0020741C">
        <w:rPr>
          <w:rFonts w:cs="Arial"/>
        </w:rPr>
        <w:t>12 – 3.15</w:t>
      </w:r>
      <w:r w:rsidRPr="00DD6335">
        <w:rPr>
          <w:rFonts w:cs="Arial"/>
        </w:rPr>
        <w:t>).</w:t>
      </w:r>
      <w:r>
        <w:rPr>
          <w:rFonts w:cs="Arial"/>
        </w:rPr>
        <w:t xml:space="preserve"> </w:t>
      </w:r>
      <w:r w:rsidR="004608DA">
        <w:rPr>
          <w:rFonts w:cs="Arial"/>
        </w:rPr>
        <w:t xml:space="preserve"> </w:t>
      </w:r>
      <w:r w:rsidR="006B3CF7">
        <w:rPr>
          <w:rFonts w:cs="Arial"/>
        </w:rPr>
        <w:t>For c</w:t>
      </w:r>
      <w:r w:rsidR="0097264B">
        <w:rPr>
          <w:rFonts w:cs="Arial"/>
        </w:rPr>
        <w:t>ompanies</w:t>
      </w:r>
      <w:r w:rsidR="00EF427F">
        <w:rPr>
          <w:rFonts w:cs="Arial"/>
        </w:rPr>
        <w:t>,</w:t>
      </w:r>
      <w:r w:rsidR="0097264B">
        <w:rPr>
          <w:rFonts w:cs="Arial"/>
        </w:rPr>
        <w:t xml:space="preserve"> “Digital communication”, “Electrical machinery, apparatus, energy”, and “Computer technology”</w:t>
      </w:r>
      <w:r w:rsidR="006B3CF7">
        <w:rPr>
          <w:rFonts w:cs="Arial"/>
        </w:rPr>
        <w:t xml:space="preserve"> </w:t>
      </w:r>
      <w:r w:rsidR="00EF427F">
        <w:rPr>
          <w:rFonts w:cs="Arial"/>
        </w:rPr>
        <w:t xml:space="preserve">are the most important technology fields in terms of volumes between 2005 and </w:t>
      </w:r>
      <w:r w:rsidR="006B3CF7">
        <w:rPr>
          <w:rFonts w:cs="Arial"/>
        </w:rPr>
        <w:t>2009</w:t>
      </w:r>
      <w:r w:rsidR="00362E77">
        <w:rPr>
          <w:rFonts w:cs="Arial"/>
        </w:rPr>
        <w:t xml:space="preserve"> (see Figure 3.12)</w:t>
      </w:r>
      <w:r w:rsidR="0097264B">
        <w:rPr>
          <w:rFonts w:cs="Arial"/>
        </w:rPr>
        <w:t xml:space="preserve">. </w:t>
      </w:r>
      <w:r w:rsidR="004608DA">
        <w:rPr>
          <w:rFonts w:cs="Arial"/>
        </w:rPr>
        <w:t xml:space="preserve"> </w:t>
      </w:r>
      <w:r w:rsidR="00695263">
        <w:rPr>
          <w:rFonts w:cs="Arial"/>
        </w:rPr>
        <w:t>This is not surprising given that these are</w:t>
      </w:r>
      <w:r w:rsidR="006B3CF7">
        <w:rPr>
          <w:rFonts w:cs="Arial"/>
        </w:rPr>
        <w:t xml:space="preserve"> now</w:t>
      </w:r>
      <w:r w:rsidR="00695263">
        <w:rPr>
          <w:rFonts w:cs="Arial"/>
        </w:rPr>
        <w:t xml:space="preserve"> the fastest-growing technology fields with Chinese companies competing </w:t>
      </w:r>
      <w:r w:rsidR="006B3CF7">
        <w:rPr>
          <w:rFonts w:cs="Arial"/>
        </w:rPr>
        <w:t xml:space="preserve">with foreign companies </w:t>
      </w:r>
      <w:r w:rsidR="00695263">
        <w:rPr>
          <w:rFonts w:cs="Arial"/>
        </w:rPr>
        <w:t>(see Section 4 for the discussion on top patent applicants of Chinese origin).</w:t>
      </w:r>
      <w:r w:rsidR="004608DA">
        <w:rPr>
          <w:rFonts w:cs="Arial"/>
        </w:rPr>
        <w:t xml:space="preserve"> </w:t>
      </w:r>
      <w:r w:rsidR="00695263">
        <w:rPr>
          <w:rFonts w:cs="Arial"/>
        </w:rPr>
        <w:t xml:space="preserve"> </w:t>
      </w:r>
      <w:r w:rsidR="00FC2923">
        <w:rPr>
          <w:rFonts w:cs="Arial"/>
        </w:rPr>
        <w:t xml:space="preserve">In terms of volume, </w:t>
      </w:r>
      <w:r w:rsidR="006F791D">
        <w:rPr>
          <w:rFonts w:cs="Arial"/>
        </w:rPr>
        <w:t xml:space="preserve">and with a 25% cumulative share between 2005 and 2009, </w:t>
      </w:r>
      <w:r w:rsidR="00FC2923">
        <w:rPr>
          <w:rFonts w:cs="Arial"/>
        </w:rPr>
        <w:t>u</w:t>
      </w:r>
      <w:r w:rsidR="00695263">
        <w:rPr>
          <w:rFonts w:cs="Arial"/>
        </w:rPr>
        <w:t>niversities and research institutes</w:t>
      </w:r>
      <w:r w:rsidR="000E728E">
        <w:rPr>
          <w:rFonts w:cs="Arial"/>
        </w:rPr>
        <w:t xml:space="preserve"> </w:t>
      </w:r>
      <w:r w:rsidR="00362E77">
        <w:rPr>
          <w:rFonts w:cs="Arial"/>
        </w:rPr>
        <w:t>in turn have their</w:t>
      </w:r>
      <w:r w:rsidR="000E728E">
        <w:rPr>
          <w:rFonts w:cs="Arial"/>
        </w:rPr>
        <w:t xml:space="preserve"> </w:t>
      </w:r>
      <w:r w:rsidR="00362E77">
        <w:rPr>
          <w:rFonts w:cs="Arial"/>
        </w:rPr>
        <w:t>most important</w:t>
      </w:r>
      <w:r w:rsidR="000E728E">
        <w:rPr>
          <w:rFonts w:cs="Arial"/>
        </w:rPr>
        <w:t xml:space="preserve"> technology fields </w:t>
      </w:r>
      <w:r w:rsidR="006B3CF7">
        <w:rPr>
          <w:rFonts w:cs="Arial"/>
        </w:rPr>
        <w:t>in “Pharmaceuticals”, “Organic fine chemistry”, “Biotechnology”, “Materials, metallurgy” and “Chemical engineering”, all of which belong to the “Chemistry” class</w:t>
      </w:r>
      <w:r w:rsidR="00DA5C80">
        <w:rPr>
          <w:rFonts w:cs="Arial"/>
        </w:rPr>
        <w:t xml:space="preserve"> (see Figure 3.13)</w:t>
      </w:r>
      <w:r w:rsidR="00FC2923">
        <w:rPr>
          <w:rFonts w:cs="Arial"/>
        </w:rPr>
        <w:t>.</w:t>
      </w:r>
      <w:r w:rsidR="004608DA">
        <w:rPr>
          <w:rFonts w:cs="Arial"/>
        </w:rPr>
        <w:t xml:space="preserve"> </w:t>
      </w:r>
      <w:r w:rsidR="00FC2923">
        <w:rPr>
          <w:rFonts w:cs="Arial"/>
        </w:rPr>
        <w:t xml:space="preserve"> </w:t>
      </w:r>
      <w:r w:rsidR="006F791D">
        <w:rPr>
          <w:rFonts w:cs="Arial"/>
        </w:rPr>
        <w:t>Remarkably, n</w:t>
      </w:r>
      <w:r w:rsidR="00FC2923">
        <w:rPr>
          <w:rFonts w:cs="Arial"/>
        </w:rPr>
        <w:t xml:space="preserve">one of these technology fields makes the top ten </w:t>
      </w:r>
      <w:r w:rsidR="006B3CF7">
        <w:rPr>
          <w:rFonts w:cs="Arial"/>
        </w:rPr>
        <w:t>technology fields for companies or individuals.</w:t>
      </w:r>
      <w:r w:rsidR="000E728E">
        <w:rPr>
          <w:rFonts w:cs="Arial"/>
        </w:rPr>
        <w:t xml:space="preserve"> </w:t>
      </w:r>
      <w:r w:rsidR="004608DA">
        <w:rPr>
          <w:rFonts w:cs="Arial"/>
        </w:rPr>
        <w:t xml:space="preserve"> </w:t>
      </w:r>
      <w:r w:rsidR="000E728E">
        <w:rPr>
          <w:rFonts w:cs="Arial"/>
        </w:rPr>
        <w:t>As for individuals, while they accumulated large shares in fastest-growing technology fields</w:t>
      </w:r>
      <w:r w:rsidR="006F791D">
        <w:rPr>
          <w:rFonts w:cs="Arial"/>
        </w:rPr>
        <w:t xml:space="preserve"> as well. </w:t>
      </w:r>
      <w:r w:rsidR="004608DA">
        <w:rPr>
          <w:rFonts w:cs="Arial"/>
        </w:rPr>
        <w:t xml:space="preserve"> </w:t>
      </w:r>
      <w:r w:rsidR="006F791D">
        <w:rPr>
          <w:rFonts w:cs="Arial"/>
        </w:rPr>
        <w:t xml:space="preserve">However, they majority of their foreign-oriented patent families focused on </w:t>
      </w:r>
      <w:r w:rsidR="000E728E">
        <w:rPr>
          <w:rFonts w:cs="Arial"/>
        </w:rPr>
        <w:t>“Other fields”</w:t>
      </w:r>
      <w:r w:rsidR="00FD7223">
        <w:rPr>
          <w:rFonts w:cs="Arial"/>
        </w:rPr>
        <w:t xml:space="preserve"> of technology</w:t>
      </w:r>
      <w:r w:rsidR="006F791D">
        <w:rPr>
          <w:rFonts w:cs="Arial"/>
        </w:rPr>
        <w:t xml:space="preserve">, </w:t>
      </w:r>
      <w:r w:rsidR="000E728E">
        <w:rPr>
          <w:rFonts w:cs="Arial"/>
        </w:rPr>
        <w:t>with “Furniture, games”, “Other consumer goods” and “Civil engineering” all being in the top ten technolog</w:t>
      </w:r>
      <w:r w:rsidR="00FD7223">
        <w:rPr>
          <w:rFonts w:cs="Arial"/>
        </w:rPr>
        <w:t>ies</w:t>
      </w:r>
      <w:r w:rsidR="000E728E">
        <w:rPr>
          <w:rFonts w:cs="Arial"/>
        </w:rPr>
        <w:t xml:space="preserve"> for individual</w:t>
      </w:r>
      <w:r w:rsidR="00FD7223">
        <w:rPr>
          <w:rFonts w:cs="Arial"/>
        </w:rPr>
        <w:t xml:space="preserve"> applicants</w:t>
      </w:r>
      <w:r w:rsidR="00DA5C80">
        <w:rPr>
          <w:rFonts w:cs="Arial"/>
        </w:rPr>
        <w:t xml:space="preserve"> (see Figure 3.14)</w:t>
      </w:r>
      <w:r w:rsidR="000E728E">
        <w:rPr>
          <w:rFonts w:cs="Arial"/>
        </w:rPr>
        <w:t xml:space="preserve">. </w:t>
      </w:r>
    </w:p>
    <w:p w:rsidR="0097264B" w:rsidRDefault="0097264B" w:rsidP="004608DA">
      <w:pPr>
        <w:jc w:val="left"/>
        <w:rPr>
          <w:rFonts w:cs="Arial"/>
        </w:rPr>
      </w:pPr>
    </w:p>
    <w:p w:rsidR="008E537C" w:rsidRDefault="008E537C" w:rsidP="004608DA">
      <w:pPr>
        <w:jc w:val="left"/>
        <w:rPr>
          <w:rFonts w:cs="Arial"/>
        </w:rPr>
      </w:pPr>
    </w:p>
    <w:p w:rsidR="008E537C" w:rsidRDefault="008E537C" w:rsidP="00AA1E26">
      <w:pPr>
        <w:rPr>
          <w:rFonts w:cs="Arial"/>
        </w:rPr>
      </w:pPr>
    </w:p>
    <w:p w:rsidR="00901169" w:rsidRDefault="00901169">
      <w:pPr>
        <w:widowControl/>
        <w:jc w:val="left"/>
        <w:rPr>
          <w:rFonts w:cs="Arial"/>
        </w:rPr>
      </w:pPr>
      <w:r>
        <w:rPr>
          <w:rFonts w:cs="Arial"/>
        </w:rPr>
        <w:br w:type="page"/>
      </w:r>
    </w:p>
    <w:p w:rsidR="008E537C" w:rsidRPr="00AA1E26" w:rsidRDefault="008E537C" w:rsidP="00AA1E26">
      <w:pPr>
        <w:rPr>
          <w:rFonts w:cs="Arial"/>
        </w:rPr>
      </w:pPr>
    </w:p>
    <w:p w:rsidR="00AA1E26" w:rsidRPr="00BC3F96" w:rsidRDefault="00AA1E26" w:rsidP="00BC3F96">
      <w:pPr>
        <w:jc w:val="left"/>
        <w:rPr>
          <w:rFonts w:eastAsiaTheme="minorHAnsi" w:cs="Arial"/>
          <w:b/>
          <w:kern w:val="0"/>
          <w:lang w:eastAsia="en-US"/>
        </w:rPr>
      </w:pPr>
      <w:proofErr w:type="gramStart"/>
      <w:r w:rsidRPr="00BC3F96">
        <w:rPr>
          <w:rFonts w:eastAsiaTheme="minorHAnsi" w:cs="Arial"/>
          <w:b/>
          <w:kern w:val="0"/>
          <w:lang w:eastAsia="en-US"/>
        </w:rPr>
        <w:t xml:space="preserve">Figure </w:t>
      </w:r>
      <w:r w:rsidR="0020741C" w:rsidRPr="00BC3F96">
        <w:rPr>
          <w:rFonts w:eastAsiaTheme="minorHAnsi" w:cs="Arial"/>
          <w:b/>
          <w:kern w:val="0"/>
          <w:lang w:eastAsia="en-US"/>
        </w:rPr>
        <w:t>3.12</w:t>
      </w:r>
      <w:r w:rsidRPr="00BC3F96">
        <w:rPr>
          <w:rFonts w:eastAsiaTheme="minorHAnsi" w:cs="Arial"/>
          <w:b/>
          <w:kern w:val="0"/>
          <w:lang w:eastAsia="en-US"/>
        </w:rPr>
        <w:t>.</w:t>
      </w:r>
      <w:proofErr w:type="gramEnd"/>
      <w:r w:rsidRPr="00BC3F96">
        <w:rPr>
          <w:rFonts w:eastAsiaTheme="minorHAnsi" w:cs="Arial"/>
          <w:b/>
          <w:kern w:val="0"/>
          <w:lang w:eastAsia="en-US"/>
        </w:rPr>
        <w:t xml:space="preserve"> </w:t>
      </w:r>
      <w:r w:rsidR="00901169">
        <w:rPr>
          <w:rFonts w:eastAsiaTheme="minorHAnsi" w:cs="Arial"/>
          <w:b/>
          <w:kern w:val="0"/>
          <w:lang w:eastAsia="en-US"/>
        </w:rPr>
        <w:t xml:space="preserve"> </w:t>
      </w:r>
      <w:r w:rsidRPr="00BC3F96">
        <w:rPr>
          <w:rFonts w:eastAsiaTheme="minorHAnsi" w:cs="Arial"/>
          <w:b/>
          <w:kern w:val="0"/>
          <w:lang w:eastAsia="en-US"/>
        </w:rPr>
        <w:t xml:space="preserve">Top </w:t>
      </w:r>
      <w:r w:rsidR="004E480D" w:rsidRPr="00BC3F96">
        <w:rPr>
          <w:rFonts w:eastAsiaTheme="minorHAnsi" w:cs="Arial"/>
          <w:b/>
          <w:kern w:val="0"/>
          <w:lang w:eastAsia="en-US"/>
        </w:rPr>
        <w:t>ten</w:t>
      </w:r>
      <w:r w:rsidRPr="00BC3F96">
        <w:rPr>
          <w:rFonts w:eastAsiaTheme="minorHAnsi" w:cs="Arial"/>
          <w:b/>
          <w:kern w:val="0"/>
          <w:lang w:eastAsia="en-US"/>
        </w:rPr>
        <w:t xml:space="preserve"> technology fields among foreign-oriented patent families originated by companies, </w:t>
      </w:r>
      <w:r w:rsidR="00166A26" w:rsidRPr="00BC3F96">
        <w:rPr>
          <w:rFonts w:eastAsiaTheme="minorHAnsi" w:cs="Arial"/>
          <w:b/>
          <w:kern w:val="0"/>
          <w:lang w:eastAsia="en-US"/>
        </w:rPr>
        <w:t>2005-2009</w:t>
      </w:r>
    </w:p>
    <w:p w:rsidR="00166A26" w:rsidRPr="00AA1E26" w:rsidRDefault="00166A26" w:rsidP="00AA1E26">
      <w:pPr>
        <w:rPr>
          <w:rFonts w:cs="Arial"/>
        </w:rPr>
      </w:pPr>
      <w:r>
        <w:rPr>
          <w:noProof/>
          <w:lang w:eastAsia="en-US"/>
        </w:rPr>
        <w:drawing>
          <wp:inline distT="0" distB="0" distL="0" distR="0">
            <wp:extent cx="5400040" cy="2700020"/>
            <wp:effectExtent l="0" t="0" r="10160" b="2413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A1E26" w:rsidRPr="00327B98" w:rsidRDefault="00AA1E26" w:rsidP="00AA1E26">
      <w:pPr>
        <w:rPr>
          <w:rFonts w:cs="Arial"/>
          <w:sz w:val="20"/>
          <w:szCs w:val="20"/>
        </w:rPr>
      </w:pPr>
      <w:r w:rsidRPr="00327B98">
        <w:rPr>
          <w:rFonts w:cs="Arial"/>
          <w:sz w:val="20"/>
          <w:szCs w:val="20"/>
        </w:rPr>
        <w:t xml:space="preserve">Source: </w:t>
      </w:r>
      <w:r w:rsidR="00901169">
        <w:rPr>
          <w:rFonts w:cs="Arial"/>
          <w:sz w:val="20"/>
          <w:szCs w:val="20"/>
        </w:rPr>
        <w:t xml:space="preserve"> </w:t>
      </w:r>
      <w:r w:rsidRPr="00327B98">
        <w:rPr>
          <w:rFonts w:cs="Arial"/>
          <w:sz w:val="20"/>
          <w:szCs w:val="20"/>
        </w:rPr>
        <w:t>WIPO IP Statistics Database.</w:t>
      </w:r>
    </w:p>
    <w:p w:rsidR="00DA5C80" w:rsidRDefault="00DA5C80" w:rsidP="00AA1E26">
      <w:pPr>
        <w:rPr>
          <w:rFonts w:cs="Arial"/>
        </w:rPr>
      </w:pPr>
    </w:p>
    <w:p w:rsidR="00DA5C80" w:rsidRPr="00327B98" w:rsidRDefault="00AA1E26" w:rsidP="00327B98">
      <w:pPr>
        <w:jc w:val="left"/>
        <w:rPr>
          <w:rFonts w:eastAsiaTheme="minorHAnsi" w:cs="Arial"/>
          <w:b/>
          <w:kern w:val="0"/>
          <w:lang w:eastAsia="en-US"/>
        </w:rPr>
      </w:pPr>
      <w:proofErr w:type="gramStart"/>
      <w:r w:rsidRPr="00327B98">
        <w:rPr>
          <w:rFonts w:eastAsiaTheme="minorHAnsi" w:cs="Arial"/>
          <w:b/>
          <w:kern w:val="0"/>
          <w:lang w:eastAsia="en-US"/>
        </w:rPr>
        <w:t xml:space="preserve">Figure </w:t>
      </w:r>
      <w:r w:rsidR="0020741C" w:rsidRPr="00327B98">
        <w:rPr>
          <w:rFonts w:eastAsiaTheme="minorHAnsi" w:cs="Arial"/>
          <w:b/>
          <w:kern w:val="0"/>
          <w:lang w:eastAsia="en-US"/>
        </w:rPr>
        <w:t>3.13</w:t>
      </w:r>
      <w:r w:rsidRPr="00327B98">
        <w:rPr>
          <w:rFonts w:eastAsiaTheme="minorHAnsi" w:cs="Arial"/>
          <w:b/>
          <w:kern w:val="0"/>
          <w:lang w:eastAsia="en-US"/>
        </w:rPr>
        <w:t>.</w:t>
      </w:r>
      <w:proofErr w:type="gramEnd"/>
      <w:r w:rsidRPr="00327B98">
        <w:rPr>
          <w:rFonts w:eastAsiaTheme="minorHAnsi" w:cs="Arial"/>
          <w:b/>
          <w:kern w:val="0"/>
          <w:lang w:eastAsia="en-US"/>
        </w:rPr>
        <w:t xml:space="preserve"> </w:t>
      </w:r>
      <w:r w:rsidR="00901169">
        <w:rPr>
          <w:rFonts w:eastAsiaTheme="minorHAnsi" w:cs="Arial"/>
          <w:b/>
          <w:kern w:val="0"/>
          <w:lang w:eastAsia="en-US"/>
        </w:rPr>
        <w:t xml:space="preserve"> </w:t>
      </w:r>
      <w:r w:rsidR="00DA5C80" w:rsidRPr="00327B98">
        <w:rPr>
          <w:rFonts w:eastAsiaTheme="minorHAnsi" w:cs="Arial"/>
          <w:b/>
          <w:kern w:val="0"/>
          <w:lang w:eastAsia="en-US"/>
        </w:rPr>
        <w:t>Top 10 technology fields among foreign-oriented patent families originated by universities and research institutes, 2005-2009</w:t>
      </w:r>
    </w:p>
    <w:p w:rsidR="00DA5C80" w:rsidRPr="00AA1E26" w:rsidRDefault="00DA5C80" w:rsidP="00DA5C80">
      <w:pPr>
        <w:rPr>
          <w:rFonts w:cs="Arial"/>
        </w:rPr>
      </w:pPr>
      <w:r>
        <w:rPr>
          <w:noProof/>
          <w:lang w:eastAsia="en-US"/>
        </w:rPr>
        <w:drawing>
          <wp:inline distT="0" distB="0" distL="0" distR="0">
            <wp:extent cx="5400040" cy="2700020"/>
            <wp:effectExtent l="0" t="0" r="1016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A5C80" w:rsidRPr="00327B98" w:rsidRDefault="00DA5C80" w:rsidP="00DA5C80">
      <w:pPr>
        <w:rPr>
          <w:rFonts w:cs="Arial"/>
          <w:sz w:val="20"/>
          <w:szCs w:val="20"/>
        </w:rPr>
      </w:pPr>
      <w:r w:rsidRPr="00327B98">
        <w:rPr>
          <w:rFonts w:cs="Arial"/>
          <w:sz w:val="20"/>
          <w:szCs w:val="20"/>
        </w:rPr>
        <w:t xml:space="preserve">Source: </w:t>
      </w:r>
      <w:r w:rsidR="00901169">
        <w:rPr>
          <w:rFonts w:cs="Arial"/>
          <w:sz w:val="20"/>
          <w:szCs w:val="20"/>
        </w:rPr>
        <w:t xml:space="preserve"> </w:t>
      </w:r>
      <w:r w:rsidRPr="00327B98">
        <w:rPr>
          <w:rFonts w:cs="Arial"/>
          <w:sz w:val="20"/>
          <w:szCs w:val="20"/>
        </w:rPr>
        <w:t>WIPO IP Statistics Database.</w:t>
      </w:r>
    </w:p>
    <w:p w:rsidR="008E537C" w:rsidRDefault="00327B98" w:rsidP="00327B98">
      <w:pPr>
        <w:widowControl/>
        <w:jc w:val="left"/>
        <w:rPr>
          <w:rFonts w:cs="Arial"/>
        </w:rPr>
      </w:pPr>
      <w:r>
        <w:rPr>
          <w:rFonts w:cs="Arial"/>
        </w:rPr>
        <w:br w:type="page"/>
      </w:r>
    </w:p>
    <w:p w:rsidR="00DA5C80" w:rsidRPr="00327B98" w:rsidRDefault="00DA5C80" w:rsidP="00327B98">
      <w:pPr>
        <w:jc w:val="left"/>
        <w:rPr>
          <w:rFonts w:eastAsiaTheme="minorHAnsi" w:cs="Arial"/>
          <w:b/>
          <w:kern w:val="0"/>
          <w:lang w:eastAsia="en-US"/>
        </w:rPr>
      </w:pPr>
      <w:proofErr w:type="gramStart"/>
      <w:r w:rsidRPr="00327B98">
        <w:rPr>
          <w:rFonts w:eastAsiaTheme="minorHAnsi" w:cs="Arial"/>
          <w:b/>
          <w:kern w:val="0"/>
          <w:lang w:eastAsia="en-US"/>
        </w:rPr>
        <w:lastRenderedPageBreak/>
        <w:t>Figure 3.14.</w:t>
      </w:r>
      <w:proofErr w:type="gramEnd"/>
      <w:r w:rsidRPr="00327B98">
        <w:rPr>
          <w:rFonts w:eastAsiaTheme="minorHAnsi" w:cs="Arial"/>
          <w:b/>
          <w:kern w:val="0"/>
          <w:lang w:eastAsia="en-US"/>
        </w:rPr>
        <w:t xml:space="preserve"> </w:t>
      </w:r>
      <w:r w:rsidR="00901169">
        <w:rPr>
          <w:rFonts w:eastAsiaTheme="minorHAnsi" w:cs="Arial"/>
          <w:b/>
          <w:kern w:val="0"/>
          <w:lang w:eastAsia="en-US"/>
        </w:rPr>
        <w:t xml:space="preserve"> </w:t>
      </w:r>
      <w:r w:rsidR="00AA1E26" w:rsidRPr="00327B98">
        <w:rPr>
          <w:rFonts w:eastAsiaTheme="minorHAnsi" w:cs="Arial"/>
          <w:b/>
          <w:kern w:val="0"/>
          <w:lang w:eastAsia="en-US"/>
        </w:rPr>
        <w:t xml:space="preserve">Top 10 technology fields among foreign-oriented patent families originated by individuals, </w:t>
      </w:r>
      <w:r w:rsidR="00C848A5" w:rsidRPr="00327B98">
        <w:rPr>
          <w:rFonts w:eastAsiaTheme="minorHAnsi" w:cs="Arial"/>
          <w:b/>
          <w:kern w:val="0"/>
          <w:lang w:eastAsia="en-US"/>
        </w:rPr>
        <w:t>2005-2009</w:t>
      </w:r>
    </w:p>
    <w:p w:rsidR="00160A03" w:rsidRPr="00AA1E26" w:rsidRDefault="00160A03" w:rsidP="00AA1E26">
      <w:pPr>
        <w:rPr>
          <w:rFonts w:cs="Arial"/>
        </w:rPr>
      </w:pPr>
      <w:r>
        <w:rPr>
          <w:noProof/>
          <w:lang w:eastAsia="en-US"/>
        </w:rPr>
        <w:drawing>
          <wp:inline distT="0" distB="0" distL="0" distR="0">
            <wp:extent cx="5400040" cy="2700020"/>
            <wp:effectExtent l="0" t="0" r="10160" b="2413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A1E26" w:rsidRPr="00327B98" w:rsidRDefault="00AA1E26" w:rsidP="00AA1E26">
      <w:pPr>
        <w:rPr>
          <w:rFonts w:cs="Arial"/>
          <w:sz w:val="20"/>
          <w:szCs w:val="20"/>
        </w:rPr>
      </w:pPr>
      <w:r w:rsidRPr="00327B98">
        <w:rPr>
          <w:rFonts w:cs="Arial"/>
          <w:sz w:val="20"/>
          <w:szCs w:val="20"/>
        </w:rPr>
        <w:t>Source:</w:t>
      </w:r>
      <w:r w:rsidR="00327B98" w:rsidRPr="00327B98">
        <w:rPr>
          <w:rFonts w:cs="Arial"/>
          <w:sz w:val="20"/>
          <w:szCs w:val="20"/>
        </w:rPr>
        <w:t xml:space="preserve"> </w:t>
      </w:r>
      <w:r w:rsidR="00901169">
        <w:rPr>
          <w:rFonts w:cs="Arial"/>
          <w:sz w:val="20"/>
          <w:szCs w:val="20"/>
        </w:rPr>
        <w:t xml:space="preserve"> </w:t>
      </w:r>
      <w:r w:rsidRPr="00327B98">
        <w:rPr>
          <w:rFonts w:cs="Arial"/>
          <w:sz w:val="20"/>
          <w:szCs w:val="20"/>
        </w:rPr>
        <w:t>WIPO IP Statistics Database.</w:t>
      </w:r>
    </w:p>
    <w:p w:rsidR="00AA1E26" w:rsidRDefault="00AA1E26" w:rsidP="00AA1E26">
      <w:pPr>
        <w:rPr>
          <w:rFonts w:cs="Arial"/>
        </w:rPr>
      </w:pPr>
    </w:p>
    <w:p w:rsidR="00AA1E26" w:rsidRDefault="00AA1E26" w:rsidP="00DE7FFA">
      <w:pPr>
        <w:pStyle w:val="Heading1"/>
        <w:widowControl/>
        <w:numPr>
          <w:ilvl w:val="0"/>
          <w:numId w:val="25"/>
        </w:numPr>
        <w:spacing w:before="0" w:after="0"/>
        <w:ind w:left="567" w:hanging="567"/>
        <w:jc w:val="left"/>
        <w:rPr>
          <w:rFonts w:cs="Arial"/>
          <w:szCs w:val="22"/>
        </w:rPr>
      </w:pPr>
      <w:r w:rsidRPr="00AA1E26">
        <w:rPr>
          <w:rFonts w:cs="Arial"/>
          <w:szCs w:val="22"/>
        </w:rPr>
        <w:t>Top applicants of Chinese origin</w:t>
      </w:r>
    </w:p>
    <w:p w:rsidR="00DE7FFA" w:rsidRPr="00DE7FFA" w:rsidRDefault="00DE7FFA" w:rsidP="00DE7FFA"/>
    <w:p w:rsidR="00040A54" w:rsidRDefault="00C36603" w:rsidP="00DE7FFA">
      <w:pPr>
        <w:jc w:val="left"/>
        <w:rPr>
          <w:rFonts w:cs="Arial"/>
        </w:rPr>
      </w:pPr>
      <w:r>
        <w:t>F</w:t>
      </w:r>
      <w:r w:rsidR="00576AFF">
        <w:t xml:space="preserve">ew Chinese applicants are responsible for a large share of </w:t>
      </w:r>
      <w:r>
        <w:t>all</w:t>
      </w:r>
      <w:r w:rsidR="00576AFF">
        <w:t xml:space="preserve"> </w:t>
      </w:r>
      <w:r>
        <w:t>foreign-oriented Chinese patent families</w:t>
      </w:r>
      <w:r w:rsidR="00576AFF">
        <w:t xml:space="preserve">. </w:t>
      </w:r>
      <w:r w:rsidR="00DE7FFA">
        <w:t xml:space="preserve"> </w:t>
      </w:r>
      <w:r w:rsidR="00576AFF">
        <w:t xml:space="preserve">Specifically, the </w:t>
      </w:r>
      <w:r w:rsidR="00200E93" w:rsidRPr="00C63E62">
        <w:rPr>
          <w:rFonts w:cs="Arial"/>
        </w:rPr>
        <w:t>patents filed abroad of the to</w:t>
      </w:r>
      <w:r w:rsidR="00AA1E26" w:rsidRPr="00C63E62">
        <w:rPr>
          <w:rFonts w:cs="Arial"/>
        </w:rPr>
        <w:t xml:space="preserve">p 10 applicants </w:t>
      </w:r>
      <w:r w:rsidR="00200E93" w:rsidRPr="00C63E62">
        <w:rPr>
          <w:rFonts w:cs="Arial"/>
        </w:rPr>
        <w:t>make up for</w:t>
      </w:r>
      <w:r w:rsidR="00AA1E26" w:rsidRPr="00C63E62">
        <w:rPr>
          <w:rFonts w:cs="Arial"/>
        </w:rPr>
        <w:t xml:space="preserve"> 35% </w:t>
      </w:r>
      <w:r w:rsidR="00200E93" w:rsidRPr="00C63E62">
        <w:rPr>
          <w:rFonts w:cs="Arial"/>
        </w:rPr>
        <w:t>of the</w:t>
      </w:r>
      <w:r w:rsidR="00AA1E26" w:rsidRPr="00C63E62">
        <w:rPr>
          <w:rFonts w:cs="Arial"/>
        </w:rPr>
        <w:t xml:space="preserve"> total volume of foreign-oriented pate</w:t>
      </w:r>
      <w:r>
        <w:rPr>
          <w:rFonts w:cs="Arial"/>
        </w:rPr>
        <w:t>nt families by Chinese residents between 1970 and 2012</w:t>
      </w:r>
      <w:r w:rsidR="00214BAB">
        <w:rPr>
          <w:rFonts w:cs="Arial"/>
        </w:rPr>
        <w:t xml:space="preserve"> </w:t>
      </w:r>
      <w:r w:rsidR="00200E93">
        <w:rPr>
          <w:rFonts w:cs="Arial"/>
        </w:rPr>
        <w:t xml:space="preserve">(see Table </w:t>
      </w:r>
      <w:r w:rsidR="006B185A">
        <w:rPr>
          <w:rFonts w:cs="Arial"/>
        </w:rPr>
        <w:t>4</w:t>
      </w:r>
      <w:r w:rsidR="00200E93">
        <w:rPr>
          <w:rFonts w:cs="Arial"/>
        </w:rPr>
        <w:t xml:space="preserve">.1). </w:t>
      </w:r>
      <w:r w:rsidR="00DE7FFA">
        <w:rPr>
          <w:rFonts w:cs="Arial"/>
        </w:rPr>
        <w:t xml:space="preserve"> </w:t>
      </w:r>
      <w:r w:rsidR="00200E93">
        <w:rPr>
          <w:rFonts w:cs="Arial"/>
        </w:rPr>
        <w:t xml:space="preserve">If one adds the next 40 top applicants, this percentage increases to close to </w:t>
      </w:r>
      <w:r w:rsidR="00214BAB">
        <w:rPr>
          <w:rFonts w:cs="Arial"/>
        </w:rPr>
        <w:t>45</w:t>
      </w:r>
      <w:r w:rsidR="00200E93">
        <w:rPr>
          <w:rFonts w:cs="Arial"/>
        </w:rPr>
        <w:t xml:space="preserve">% only, showing the relative importance of these top 10 applicants. </w:t>
      </w:r>
      <w:r w:rsidR="00DE7FFA">
        <w:rPr>
          <w:rFonts w:cs="Arial"/>
        </w:rPr>
        <w:t xml:space="preserve"> </w:t>
      </w:r>
      <w:r w:rsidR="00214BAB">
        <w:rPr>
          <w:rFonts w:cs="Arial"/>
        </w:rPr>
        <w:t>If one adds another 50 top applicants, reaching the top 100, this figure only increases to 49%.</w:t>
      </w:r>
      <w:r w:rsidR="00D530DC">
        <w:rPr>
          <w:rFonts w:cs="Arial"/>
        </w:rPr>
        <w:t xml:space="preserve"> </w:t>
      </w:r>
      <w:r w:rsidR="00DE7FFA">
        <w:rPr>
          <w:rFonts w:cs="Arial"/>
        </w:rPr>
        <w:t xml:space="preserve"> </w:t>
      </w:r>
      <w:r w:rsidR="00D530DC">
        <w:rPr>
          <w:rFonts w:cs="Arial"/>
        </w:rPr>
        <w:t>Moreover, the more recent the years under consideration the more concentrated foreign-</w:t>
      </w:r>
      <w:proofErr w:type="spellStart"/>
      <w:r w:rsidR="00D530DC">
        <w:rPr>
          <w:rFonts w:cs="Arial"/>
        </w:rPr>
        <w:t>patent</w:t>
      </w:r>
      <w:proofErr w:type="spellEnd"/>
      <w:r w:rsidR="00D530DC">
        <w:rPr>
          <w:rFonts w:cs="Arial"/>
        </w:rPr>
        <w:t xml:space="preserve"> families are with a few top applicants</w:t>
      </w:r>
      <w:r w:rsidR="001E60D5">
        <w:rPr>
          <w:rFonts w:cs="Arial"/>
        </w:rPr>
        <w:t>.</w:t>
      </w:r>
    </w:p>
    <w:p w:rsidR="00DE7FFA" w:rsidRDefault="00DE7FFA">
      <w:pPr>
        <w:widowControl/>
        <w:jc w:val="left"/>
        <w:rPr>
          <w:rFonts w:cs="Arial"/>
        </w:rPr>
      </w:pPr>
      <w:r>
        <w:rPr>
          <w:rFonts w:cs="Arial"/>
        </w:rPr>
        <w:br w:type="page"/>
      </w:r>
    </w:p>
    <w:p w:rsidR="005E664C" w:rsidRPr="005E664C" w:rsidRDefault="005E664C" w:rsidP="005E664C">
      <w:pPr>
        <w:rPr>
          <w:rFonts w:cs="Arial"/>
        </w:rPr>
      </w:pPr>
    </w:p>
    <w:p w:rsidR="00AA1E26" w:rsidRPr="00DE7FFA" w:rsidRDefault="006B185A" w:rsidP="00DE7FFA">
      <w:pPr>
        <w:jc w:val="left"/>
        <w:rPr>
          <w:rFonts w:eastAsiaTheme="minorHAnsi" w:cs="Arial"/>
          <w:b/>
          <w:kern w:val="0"/>
          <w:lang w:eastAsia="en-US"/>
        </w:rPr>
      </w:pPr>
      <w:proofErr w:type="gramStart"/>
      <w:r w:rsidRPr="00DE7FFA">
        <w:rPr>
          <w:rFonts w:eastAsiaTheme="minorHAnsi" w:cs="Arial"/>
          <w:b/>
          <w:kern w:val="0"/>
          <w:lang w:eastAsia="en-US"/>
        </w:rPr>
        <w:t>Table 4</w:t>
      </w:r>
      <w:r w:rsidR="00AA1E26" w:rsidRPr="00DE7FFA">
        <w:rPr>
          <w:rFonts w:eastAsiaTheme="minorHAnsi" w:cs="Arial"/>
          <w:b/>
          <w:kern w:val="0"/>
          <w:lang w:eastAsia="en-US"/>
        </w:rPr>
        <w:t>.1.</w:t>
      </w:r>
      <w:proofErr w:type="gramEnd"/>
      <w:r w:rsidR="00AA1E26" w:rsidRPr="00DE7FFA">
        <w:rPr>
          <w:rFonts w:eastAsiaTheme="minorHAnsi" w:cs="Arial"/>
          <w:b/>
          <w:kern w:val="0"/>
          <w:lang w:eastAsia="en-US"/>
        </w:rPr>
        <w:t xml:space="preserve"> </w:t>
      </w:r>
      <w:r w:rsidR="00901169">
        <w:rPr>
          <w:rFonts w:eastAsiaTheme="minorHAnsi" w:cs="Arial"/>
          <w:b/>
          <w:kern w:val="0"/>
          <w:lang w:eastAsia="en-US"/>
        </w:rPr>
        <w:t xml:space="preserve"> </w:t>
      </w:r>
      <w:r w:rsidR="00AA1E26" w:rsidRPr="00DE7FFA">
        <w:rPr>
          <w:rFonts w:eastAsiaTheme="minorHAnsi" w:cs="Arial"/>
          <w:b/>
          <w:kern w:val="0"/>
          <w:lang w:eastAsia="en-US"/>
        </w:rPr>
        <w:t>Concentration ratios for top applicants</w:t>
      </w:r>
      <w:r w:rsidR="00214BAB" w:rsidRPr="00DE7FFA">
        <w:rPr>
          <w:rFonts w:eastAsiaTheme="minorHAnsi" w:cs="Arial"/>
          <w:b/>
          <w:kern w:val="0"/>
          <w:lang w:eastAsia="en-US"/>
        </w:rPr>
        <w:t xml:space="preserve"> of foreign-oriented patent families by Chinese residents</w:t>
      </w:r>
      <w:r w:rsidR="00AA1E26" w:rsidRPr="00DE7FFA">
        <w:rPr>
          <w:rFonts w:eastAsiaTheme="minorHAnsi" w:cs="Arial"/>
          <w:b/>
          <w:kern w:val="0"/>
          <w:lang w:eastAsia="en-US"/>
        </w:rPr>
        <w:t>, 1970-20</w:t>
      </w:r>
      <w:r w:rsidR="009E2598" w:rsidRPr="00DE7FFA">
        <w:rPr>
          <w:rFonts w:eastAsiaTheme="minorHAnsi" w:cs="Arial"/>
          <w:b/>
          <w:kern w:val="0"/>
          <w:lang w:eastAsia="en-US"/>
        </w:rPr>
        <w:t>12</w:t>
      </w:r>
      <w:r w:rsidR="00D1218B" w:rsidRPr="00DE7FFA">
        <w:rPr>
          <w:rFonts w:eastAsiaTheme="minorHAnsi" w:cs="Arial"/>
          <w:b/>
          <w:kern w:val="0"/>
          <w:lang w:eastAsia="en-US"/>
        </w:rPr>
        <w:t xml:space="preserve"> and 2005-2009</w:t>
      </w:r>
    </w:p>
    <w:tbl>
      <w:tblPr>
        <w:tblW w:w="0" w:type="auto"/>
        <w:tblCellMar>
          <w:left w:w="99" w:type="dxa"/>
          <w:right w:w="99" w:type="dxa"/>
        </w:tblCellMar>
        <w:tblLook w:val="04A0" w:firstRow="1" w:lastRow="0" w:firstColumn="1" w:lastColumn="0" w:noHBand="0" w:noVBand="1"/>
      </w:tblPr>
      <w:tblGrid>
        <w:gridCol w:w="2474"/>
        <w:gridCol w:w="1673"/>
        <w:gridCol w:w="1866"/>
        <w:gridCol w:w="1673"/>
        <w:gridCol w:w="1866"/>
      </w:tblGrid>
      <w:tr w:rsidR="00D566FC" w:rsidRPr="00AA1E26" w:rsidTr="00D566FC">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6FC" w:rsidRPr="00AA1E26" w:rsidRDefault="00D566FC" w:rsidP="00BE048B">
            <w:pPr>
              <w:widowControl/>
              <w:jc w:val="center"/>
              <w:rPr>
                <w:rFonts w:eastAsia="MS PGothic" w:cs="Arial"/>
                <w:bCs/>
                <w:color w:val="000000"/>
                <w:kern w:val="0"/>
              </w:rPr>
            </w:pPr>
            <w:r w:rsidRPr="00AA1E26">
              <w:rPr>
                <w:rFonts w:eastAsia="MS PGothic" w:cs="Arial"/>
                <w:bCs/>
                <w:color w:val="000000"/>
                <w:kern w:val="0"/>
              </w:rPr>
              <w:t>Top applicants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66FC" w:rsidRPr="00AA1E26" w:rsidRDefault="00D566FC" w:rsidP="00BE048B">
            <w:pPr>
              <w:widowControl/>
              <w:jc w:val="center"/>
              <w:rPr>
                <w:rFonts w:eastAsia="MS PGothic" w:cs="Arial"/>
                <w:bCs/>
                <w:kern w:val="0"/>
              </w:rPr>
            </w:pPr>
            <w:r w:rsidRPr="00AA1E26">
              <w:rPr>
                <w:rFonts w:eastAsia="MS PGothic" w:cs="Arial"/>
                <w:bCs/>
                <w:kern w:val="0"/>
              </w:rPr>
              <w:t>Number of families</w:t>
            </w:r>
            <w:r>
              <w:rPr>
                <w:rFonts w:eastAsia="MS PGothic" w:cs="Arial"/>
                <w:bCs/>
                <w:kern w:val="0"/>
              </w:rPr>
              <w:t xml:space="preserve">, </w:t>
            </w:r>
            <w:r w:rsidRPr="00AA1E26">
              <w:rPr>
                <w:rFonts w:cs="Arial"/>
              </w:rPr>
              <w:t>1970</w:t>
            </w:r>
            <w:r w:rsidRPr="00962CF3">
              <w:rPr>
                <w:rFonts w:cs="Arial"/>
              </w:rPr>
              <w:t>-2012</w:t>
            </w:r>
          </w:p>
        </w:tc>
        <w:tc>
          <w:tcPr>
            <w:tcW w:w="0" w:type="auto"/>
            <w:tcBorders>
              <w:top w:val="single" w:sz="4" w:space="0" w:color="auto"/>
              <w:left w:val="single" w:sz="4" w:space="0" w:color="auto"/>
              <w:bottom w:val="single" w:sz="4" w:space="0" w:color="auto"/>
              <w:right w:val="single" w:sz="4" w:space="0" w:color="auto"/>
            </w:tcBorders>
            <w:vAlign w:val="center"/>
          </w:tcPr>
          <w:p w:rsidR="00D566FC" w:rsidRPr="00AA1E26" w:rsidRDefault="00D566FC" w:rsidP="00BE048B">
            <w:pPr>
              <w:widowControl/>
              <w:jc w:val="center"/>
              <w:rPr>
                <w:rFonts w:eastAsia="MS PGothic" w:cs="Arial"/>
                <w:bCs/>
                <w:kern w:val="0"/>
              </w:rPr>
            </w:pPr>
            <w:r w:rsidRPr="00AA1E26">
              <w:rPr>
                <w:rFonts w:eastAsia="MS PGothic" w:cs="Arial"/>
                <w:bCs/>
                <w:kern w:val="0"/>
              </w:rPr>
              <w:t>Percentage share</w:t>
            </w:r>
            <w:r>
              <w:rPr>
                <w:rFonts w:eastAsia="MS PGothic" w:cs="Arial"/>
                <w:bCs/>
                <w:kern w:val="0"/>
              </w:rPr>
              <w:t xml:space="preserve">, </w:t>
            </w:r>
            <w:r w:rsidRPr="00AA1E26">
              <w:rPr>
                <w:rFonts w:cs="Arial"/>
              </w:rPr>
              <w:t>1970</w:t>
            </w:r>
            <w:r w:rsidRPr="00962CF3">
              <w:rPr>
                <w:rFonts w:cs="Arial"/>
              </w:rPr>
              <w:t>-2012</w:t>
            </w:r>
          </w:p>
        </w:tc>
        <w:tc>
          <w:tcPr>
            <w:tcW w:w="0" w:type="auto"/>
            <w:tcBorders>
              <w:top w:val="single" w:sz="4" w:space="0" w:color="auto"/>
              <w:left w:val="single" w:sz="4" w:space="0" w:color="auto"/>
              <w:bottom w:val="single" w:sz="4" w:space="0" w:color="auto"/>
              <w:right w:val="single" w:sz="4" w:space="0" w:color="auto"/>
            </w:tcBorders>
          </w:tcPr>
          <w:p w:rsidR="00D566FC" w:rsidRPr="00AA1E26" w:rsidRDefault="00D566FC" w:rsidP="00BE048B">
            <w:pPr>
              <w:widowControl/>
              <w:jc w:val="center"/>
              <w:rPr>
                <w:rFonts w:eastAsia="MS PGothic" w:cs="Arial"/>
                <w:bCs/>
                <w:kern w:val="0"/>
              </w:rPr>
            </w:pPr>
            <w:r w:rsidRPr="00AA1E26">
              <w:rPr>
                <w:rFonts w:eastAsia="MS PGothic" w:cs="Arial"/>
                <w:bCs/>
                <w:kern w:val="0"/>
              </w:rPr>
              <w:t>Number of families</w:t>
            </w:r>
            <w:r>
              <w:rPr>
                <w:rFonts w:eastAsia="MS PGothic" w:cs="Arial"/>
                <w:bCs/>
                <w:kern w:val="0"/>
              </w:rPr>
              <w:t>, 2005-2009</w:t>
            </w:r>
          </w:p>
        </w:tc>
        <w:tc>
          <w:tcPr>
            <w:tcW w:w="0" w:type="auto"/>
            <w:tcBorders>
              <w:top w:val="single" w:sz="4" w:space="0" w:color="auto"/>
              <w:left w:val="single" w:sz="4" w:space="0" w:color="auto"/>
              <w:bottom w:val="single" w:sz="4" w:space="0" w:color="auto"/>
              <w:right w:val="single" w:sz="4" w:space="0" w:color="auto"/>
            </w:tcBorders>
          </w:tcPr>
          <w:p w:rsidR="00D566FC" w:rsidRPr="00AA1E26" w:rsidRDefault="00D566FC" w:rsidP="00BE048B">
            <w:pPr>
              <w:widowControl/>
              <w:jc w:val="center"/>
              <w:rPr>
                <w:rFonts w:eastAsia="MS PGothic" w:cs="Arial"/>
                <w:bCs/>
                <w:kern w:val="0"/>
              </w:rPr>
            </w:pPr>
            <w:r w:rsidRPr="00AA1E26">
              <w:rPr>
                <w:rFonts w:eastAsia="MS PGothic" w:cs="Arial"/>
                <w:bCs/>
                <w:kern w:val="0"/>
              </w:rPr>
              <w:t>Percentage share</w:t>
            </w:r>
            <w:r>
              <w:rPr>
                <w:rFonts w:eastAsia="MS PGothic" w:cs="Arial"/>
                <w:bCs/>
                <w:kern w:val="0"/>
              </w:rPr>
              <w:t>, 2005-2009</w:t>
            </w:r>
          </w:p>
        </w:tc>
      </w:tr>
      <w:tr w:rsidR="00D566FC" w:rsidRPr="00AA1E26" w:rsidTr="00153482">
        <w:trPr>
          <w:trHeight w:val="270"/>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566FC" w:rsidRPr="00AA1E26" w:rsidRDefault="00D566FC" w:rsidP="00BE048B">
            <w:pPr>
              <w:widowControl/>
              <w:jc w:val="left"/>
              <w:rPr>
                <w:rFonts w:eastAsia="MS PGothic" w:cs="Arial"/>
                <w:kern w:val="0"/>
              </w:rPr>
            </w:pPr>
            <w:r w:rsidRPr="00AA1E26">
              <w:rPr>
                <w:rFonts w:eastAsia="MS PGothic" w:cs="Arial"/>
                <w:kern w:val="0"/>
              </w:rPr>
              <w:t>top 10 applicants</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D566FC" w:rsidRPr="00AA1E26" w:rsidRDefault="00D566FC" w:rsidP="00BE048B">
            <w:pPr>
              <w:widowControl/>
              <w:jc w:val="center"/>
              <w:rPr>
                <w:rFonts w:eastAsia="MS PGothic" w:cs="Arial"/>
                <w:kern w:val="0"/>
              </w:rPr>
            </w:pPr>
            <w:r w:rsidRPr="00AA1E26">
              <w:rPr>
                <w:rFonts w:eastAsia="MS PGothic" w:cs="Arial"/>
                <w:kern w:val="0"/>
              </w:rPr>
              <w:t>22</w:t>
            </w:r>
            <w:r>
              <w:rPr>
                <w:rFonts w:eastAsia="MS PGothic" w:cs="Arial"/>
                <w:kern w:val="0"/>
              </w:rPr>
              <w:t>,</w:t>
            </w:r>
            <w:r w:rsidRPr="00AA1E26">
              <w:rPr>
                <w:rFonts w:eastAsia="MS PGothic" w:cs="Arial"/>
                <w:kern w:val="0"/>
              </w:rPr>
              <w:t>925</w:t>
            </w:r>
          </w:p>
        </w:tc>
        <w:tc>
          <w:tcPr>
            <w:tcW w:w="0" w:type="auto"/>
            <w:tcBorders>
              <w:top w:val="single" w:sz="4" w:space="0" w:color="auto"/>
              <w:left w:val="single" w:sz="4" w:space="0" w:color="auto"/>
              <w:bottom w:val="nil"/>
              <w:right w:val="single" w:sz="4" w:space="0" w:color="auto"/>
            </w:tcBorders>
            <w:vAlign w:val="center"/>
          </w:tcPr>
          <w:p w:rsidR="00D566FC" w:rsidRPr="00AA1E26" w:rsidRDefault="00D566FC" w:rsidP="00BE048B">
            <w:pPr>
              <w:widowControl/>
              <w:jc w:val="center"/>
              <w:rPr>
                <w:rFonts w:eastAsia="MS PGothic" w:cs="Arial"/>
                <w:color w:val="000000"/>
                <w:kern w:val="0"/>
              </w:rPr>
            </w:pPr>
            <w:r w:rsidRPr="00AA1E26">
              <w:rPr>
                <w:rFonts w:eastAsia="MS PGothic" w:cs="Arial"/>
                <w:color w:val="000000"/>
                <w:kern w:val="0"/>
              </w:rPr>
              <w:t>35.1%</w:t>
            </w:r>
          </w:p>
        </w:tc>
        <w:tc>
          <w:tcPr>
            <w:tcW w:w="0" w:type="auto"/>
            <w:tcBorders>
              <w:top w:val="single" w:sz="4" w:space="0" w:color="auto"/>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16</w:t>
            </w:r>
            <w:r>
              <w:rPr>
                <w:color w:val="000000"/>
              </w:rPr>
              <w:t>,</w:t>
            </w:r>
            <w:r>
              <w:rPr>
                <w:rFonts w:hint="eastAsia"/>
                <w:color w:val="000000"/>
              </w:rPr>
              <w:t>925</w:t>
            </w:r>
          </w:p>
        </w:tc>
        <w:tc>
          <w:tcPr>
            <w:tcW w:w="0" w:type="auto"/>
            <w:tcBorders>
              <w:top w:val="single" w:sz="4" w:space="0" w:color="auto"/>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43.3%</w:t>
            </w:r>
          </w:p>
        </w:tc>
      </w:tr>
      <w:tr w:rsidR="00D566FC" w:rsidRPr="00AA1E26" w:rsidTr="00153482">
        <w:trPr>
          <w:trHeight w:val="270"/>
        </w:trPr>
        <w:tc>
          <w:tcPr>
            <w:tcW w:w="0" w:type="auto"/>
            <w:tcBorders>
              <w:top w:val="nil"/>
              <w:left w:val="single" w:sz="4" w:space="0" w:color="auto"/>
              <w:bottom w:val="nil"/>
              <w:right w:val="single" w:sz="4" w:space="0" w:color="auto"/>
            </w:tcBorders>
            <w:shd w:val="clear" w:color="auto" w:fill="auto"/>
            <w:noWrap/>
            <w:vAlign w:val="bottom"/>
            <w:hideMark/>
          </w:tcPr>
          <w:p w:rsidR="00D566FC" w:rsidRPr="00AA1E26" w:rsidRDefault="00D566FC" w:rsidP="00BE048B">
            <w:pPr>
              <w:widowControl/>
              <w:jc w:val="left"/>
              <w:rPr>
                <w:rFonts w:eastAsia="MS PGothic" w:cs="Arial"/>
                <w:kern w:val="0"/>
              </w:rPr>
            </w:pPr>
            <w:r w:rsidRPr="00AA1E26">
              <w:rPr>
                <w:rFonts w:eastAsia="MS PGothic" w:cs="Arial"/>
                <w:kern w:val="0"/>
              </w:rPr>
              <w:t>top 20 applicants</w:t>
            </w:r>
          </w:p>
        </w:tc>
        <w:tc>
          <w:tcPr>
            <w:tcW w:w="0" w:type="auto"/>
            <w:tcBorders>
              <w:top w:val="nil"/>
              <w:left w:val="single" w:sz="4" w:space="0" w:color="auto"/>
              <w:bottom w:val="nil"/>
              <w:right w:val="single" w:sz="8" w:space="0" w:color="auto"/>
            </w:tcBorders>
            <w:shd w:val="clear" w:color="auto" w:fill="auto"/>
            <w:noWrap/>
            <w:vAlign w:val="bottom"/>
            <w:hideMark/>
          </w:tcPr>
          <w:p w:rsidR="00D566FC" w:rsidRPr="00AA1E26" w:rsidRDefault="00D566FC" w:rsidP="00BE048B">
            <w:pPr>
              <w:widowControl/>
              <w:jc w:val="center"/>
              <w:rPr>
                <w:rFonts w:eastAsia="MS PGothic" w:cs="Arial"/>
                <w:kern w:val="0"/>
              </w:rPr>
            </w:pPr>
            <w:r w:rsidRPr="00AA1E26">
              <w:rPr>
                <w:rFonts w:eastAsia="MS PGothic" w:cs="Arial"/>
                <w:kern w:val="0"/>
              </w:rPr>
              <w:t>25</w:t>
            </w:r>
            <w:r>
              <w:rPr>
                <w:rFonts w:eastAsia="MS PGothic" w:cs="Arial"/>
                <w:kern w:val="0"/>
              </w:rPr>
              <w:t>,</w:t>
            </w:r>
            <w:r w:rsidRPr="00AA1E26">
              <w:rPr>
                <w:rFonts w:eastAsia="MS PGothic" w:cs="Arial"/>
                <w:kern w:val="0"/>
              </w:rPr>
              <w:t>468</w:t>
            </w:r>
          </w:p>
        </w:tc>
        <w:tc>
          <w:tcPr>
            <w:tcW w:w="0" w:type="auto"/>
            <w:tcBorders>
              <w:top w:val="nil"/>
              <w:left w:val="single" w:sz="4" w:space="0" w:color="auto"/>
              <w:bottom w:val="nil"/>
              <w:right w:val="single" w:sz="4" w:space="0" w:color="auto"/>
            </w:tcBorders>
            <w:vAlign w:val="center"/>
          </w:tcPr>
          <w:p w:rsidR="00D566FC" w:rsidRPr="00AA1E26" w:rsidRDefault="00D566FC" w:rsidP="00BE048B">
            <w:pPr>
              <w:widowControl/>
              <w:jc w:val="center"/>
              <w:rPr>
                <w:rFonts w:eastAsia="MS PGothic" w:cs="Arial"/>
                <w:color w:val="000000"/>
                <w:kern w:val="0"/>
              </w:rPr>
            </w:pPr>
            <w:r w:rsidRPr="00AA1E26">
              <w:rPr>
                <w:rFonts w:eastAsia="MS PGothic" w:cs="Arial"/>
                <w:color w:val="000000"/>
                <w:kern w:val="0"/>
              </w:rPr>
              <w:t>39.0%</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18</w:t>
            </w:r>
            <w:r>
              <w:rPr>
                <w:color w:val="000000"/>
              </w:rPr>
              <w:t>,</w:t>
            </w:r>
            <w:r>
              <w:rPr>
                <w:rFonts w:hint="eastAsia"/>
                <w:color w:val="000000"/>
              </w:rPr>
              <w:t>620</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47.6%</w:t>
            </w:r>
          </w:p>
        </w:tc>
      </w:tr>
      <w:tr w:rsidR="00D566FC" w:rsidRPr="00AA1E26" w:rsidTr="00153482">
        <w:trPr>
          <w:trHeight w:val="270"/>
        </w:trPr>
        <w:tc>
          <w:tcPr>
            <w:tcW w:w="0" w:type="auto"/>
            <w:tcBorders>
              <w:top w:val="nil"/>
              <w:left w:val="single" w:sz="4" w:space="0" w:color="auto"/>
              <w:bottom w:val="nil"/>
              <w:right w:val="single" w:sz="4" w:space="0" w:color="auto"/>
            </w:tcBorders>
            <w:shd w:val="clear" w:color="auto" w:fill="auto"/>
            <w:noWrap/>
            <w:vAlign w:val="bottom"/>
            <w:hideMark/>
          </w:tcPr>
          <w:p w:rsidR="00D566FC" w:rsidRPr="00AA1E26" w:rsidRDefault="00D566FC" w:rsidP="00BE048B">
            <w:pPr>
              <w:widowControl/>
              <w:jc w:val="left"/>
              <w:rPr>
                <w:rFonts w:eastAsia="MS PGothic" w:cs="Arial"/>
                <w:kern w:val="0"/>
              </w:rPr>
            </w:pPr>
            <w:r w:rsidRPr="00AA1E26">
              <w:rPr>
                <w:rFonts w:eastAsia="MS PGothic" w:cs="Arial"/>
                <w:kern w:val="0"/>
              </w:rPr>
              <w:t>top 50 applicants</w:t>
            </w:r>
          </w:p>
        </w:tc>
        <w:tc>
          <w:tcPr>
            <w:tcW w:w="0" w:type="auto"/>
            <w:tcBorders>
              <w:top w:val="nil"/>
              <w:left w:val="single" w:sz="4" w:space="0" w:color="auto"/>
              <w:bottom w:val="nil"/>
              <w:right w:val="single" w:sz="8" w:space="0" w:color="auto"/>
            </w:tcBorders>
            <w:shd w:val="clear" w:color="auto" w:fill="auto"/>
            <w:noWrap/>
            <w:vAlign w:val="bottom"/>
            <w:hideMark/>
          </w:tcPr>
          <w:p w:rsidR="00D566FC" w:rsidRPr="00AA1E26" w:rsidRDefault="00D566FC" w:rsidP="00BE048B">
            <w:pPr>
              <w:widowControl/>
              <w:jc w:val="center"/>
              <w:rPr>
                <w:rFonts w:eastAsia="MS PGothic" w:cs="Arial"/>
                <w:kern w:val="0"/>
              </w:rPr>
            </w:pPr>
            <w:r w:rsidRPr="00AA1E26">
              <w:rPr>
                <w:rFonts w:eastAsia="MS PGothic" w:cs="Arial"/>
                <w:kern w:val="0"/>
              </w:rPr>
              <w:t>29</w:t>
            </w:r>
            <w:r>
              <w:rPr>
                <w:rFonts w:eastAsia="MS PGothic" w:cs="Arial"/>
                <w:kern w:val="0"/>
              </w:rPr>
              <w:t>,</w:t>
            </w:r>
            <w:r w:rsidRPr="00AA1E26">
              <w:rPr>
                <w:rFonts w:eastAsia="MS PGothic" w:cs="Arial"/>
                <w:kern w:val="0"/>
              </w:rPr>
              <w:t>098</w:t>
            </w:r>
          </w:p>
        </w:tc>
        <w:tc>
          <w:tcPr>
            <w:tcW w:w="0" w:type="auto"/>
            <w:tcBorders>
              <w:top w:val="nil"/>
              <w:left w:val="single" w:sz="4" w:space="0" w:color="auto"/>
              <w:bottom w:val="nil"/>
              <w:right w:val="single" w:sz="4" w:space="0" w:color="auto"/>
            </w:tcBorders>
            <w:vAlign w:val="center"/>
          </w:tcPr>
          <w:p w:rsidR="00D566FC" w:rsidRPr="00AA1E26" w:rsidRDefault="00D566FC" w:rsidP="00BE048B">
            <w:pPr>
              <w:widowControl/>
              <w:jc w:val="center"/>
              <w:rPr>
                <w:rFonts w:eastAsia="MS PGothic" w:cs="Arial"/>
                <w:color w:val="000000"/>
                <w:kern w:val="0"/>
              </w:rPr>
            </w:pPr>
            <w:r w:rsidRPr="00AA1E26">
              <w:rPr>
                <w:rFonts w:eastAsia="MS PGothic" w:cs="Arial"/>
                <w:color w:val="000000"/>
                <w:kern w:val="0"/>
              </w:rPr>
              <w:t>44.5%</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20</w:t>
            </w:r>
            <w:r>
              <w:rPr>
                <w:color w:val="000000"/>
              </w:rPr>
              <w:t>,</w:t>
            </w:r>
            <w:r>
              <w:rPr>
                <w:rFonts w:hint="eastAsia"/>
                <w:color w:val="000000"/>
              </w:rPr>
              <w:t>994</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53.7%</w:t>
            </w:r>
          </w:p>
        </w:tc>
      </w:tr>
      <w:tr w:rsidR="00D566FC" w:rsidRPr="00AA1E26" w:rsidTr="00153482">
        <w:trPr>
          <w:trHeight w:val="285"/>
        </w:trPr>
        <w:tc>
          <w:tcPr>
            <w:tcW w:w="0" w:type="auto"/>
            <w:tcBorders>
              <w:top w:val="nil"/>
              <w:left w:val="single" w:sz="4" w:space="0" w:color="auto"/>
              <w:bottom w:val="nil"/>
              <w:right w:val="single" w:sz="4" w:space="0" w:color="auto"/>
            </w:tcBorders>
            <w:shd w:val="clear" w:color="auto" w:fill="auto"/>
            <w:noWrap/>
            <w:vAlign w:val="bottom"/>
            <w:hideMark/>
          </w:tcPr>
          <w:p w:rsidR="00D566FC" w:rsidRPr="00AA1E26" w:rsidRDefault="00D566FC" w:rsidP="00BE048B">
            <w:pPr>
              <w:widowControl/>
              <w:jc w:val="left"/>
              <w:rPr>
                <w:rFonts w:eastAsia="MS PGothic" w:cs="Arial"/>
                <w:kern w:val="0"/>
              </w:rPr>
            </w:pPr>
            <w:r w:rsidRPr="00AA1E26">
              <w:rPr>
                <w:rFonts w:eastAsia="MS PGothic" w:cs="Arial"/>
                <w:kern w:val="0"/>
              </w:rPr>
              <w:t>top 100 applicants</w:t>
            </w:r>
          </w:p>
        </w:tc>
        <w:tc>
          <w:tcPr>
            <w:tcW w:w="0" w:type="auto"/>
            <w:tcBorders>
              <w:top w:val="nil"/>
              <w:left w:val="single" w:sz="4" w:space="0" w:color="auto"/>
              <w:bottom w:val="nil"/>
              <w:right w:val="single" w:sz="8" w:space="0" w:color="auto"/>
            </w:tcBorders>
            <w:shd w:val="clear" w:color="auto" w:fill="auto"/>
            <w:noWrap/>
            <w:vAlign w:val="bottom"/>
            <w:hideMark/>
          </w:tcPr>
          <w:p w:rsidR="00D566FC" w:rsidRPr="00AA1E26" w:rsidRDefault="00D566FC" w:rsidP="00BE048B">
            <w:pPr>
              <w:widowControl/>
              <w:jc w:val="center"/>
              <w:rPr>
                <w:rFonts w:eastAsia="MS PGothic" w:cs="Arial"/>
                <w:kern w:val="0"/>
              </w:rPr>
            </w:pPr>
            <w:r w:rsidRPr="00AA1E26">
              <w:rPr>
                <w:rFonts w:eastAsia="MS PGothic" w:cs="Arial"/>
                <w:kern w:val="0"/>
              </w:rPr>
              <w:t>31</w:t>
            </w:r>
            <w:r>
              <w:rPr>
                <w:rFonts w:eastAsia="MS PGothic" w:cs="Arial"/>
                <w:kern w:val="0"/>
              </w:rPr>
              <w:t>,</w:t>
            </w:r>
            <w:r w:rsidRPr="00AA1E26">
              <w:rPr>
                <w:rFonts w:eastAsia="MS PGothic" w:cs="Arial"/>
                <w:kern w:val="0"/>
              </w:rPr>
              <w:t>688</w:t>
            </w:r>
          </w:p>
        </w:tc>
        <w:tc>
          <w:tcPr>
            <w:tcW w:w="0" w:type="auto"/>
            <w:tcBorders>
              <w:top w:val="nil"/>
              <w:left w:val="single" w:sz="4" w:space="0" w:color="auto"/>
              <w:bottom w:val="nil"/>
              <w:right w:val="single" w:sz="4" w:space="0" w:color="auto"/>
            </w:tcBorders>
            <w:vAlign w:val="center"/>
          </w:tcPr>
          <w:p w:rsidR="00D566FC" w:rsidRPr="00AA1E26" w:rsidRDefault="00D566FC" w:rsidP="00BE048B">
            <w:pPr>
              <w:widowControl/>
              <w:jc w:val="center"/>
              <w:rPr>
                <w:rFonts w:eastAsia="MS PGothic" w:cs="Arial"/>
                <w:color w:val="000000"/>
                <w:kern w:val="0"/>
              </w:rPr>
            </w:pPr>
            <w:r w:rsidRPr="00AA1E26">
              <w:rPr>
                <w:rFonts w:eastAsia="MS PGothic" w:cs="Arial"/>
                <w:color w:val="000000"/>
                <w:kern w:val="0"/>
              </w:rPr>
              <w:t>48.5%</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22</w:t>
            </w:r>
            <w:r>
              <w:rPr>
                <w:color w:val="000000"/>
              </w:rPr>
              <w:t>,</w:t>
            </w:r>
            <w:r>
              <w:rPr>
                <w:rFonts w:hint="eastAsia"/>
                <w:color w:val="000000"/>
              </w:rPr>
              <w:t>597</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57.8%</w:t>
            </w:r>
          </w:p>
        </w:tc>
      </w:tr>
      <w:tr w:rsidR="00D566FC" w:rsidRPr="00AA1E26" w:rsidTr="00153482">
        <w:trPr>
          <w:trHeight w:val="270"/>
        </w:trPr>
        <w:tc>
          <w:tcPr>
            <w:tcW w:w="0" w:type="auto"/>
            <w:tcBorders>
              <w:top w:val="nil"/>
              <w:left w:val="single" w:sz="4" w:space="0" w:color="auto"/>
              <w:bottom w:val="nil"/>
              <w:right w:val="single" w:sz="4" w:space="0" w:color="auto"/>
            </w:tcBorders>
            <w:shd w:val="clear" w:color="auto" w:fill="auto"/>
            <w:noWrap/>
            <w:vAlign w:val="bottom"/>
            <w:hideMark/>
          </w:tcPr>
          <w:p w:rsidR="00D566FC" w:rsidRPr="00AA1E26" w:rsidRDefault="00D566FC" w:rsidP="00BE048B">
            <w:pPr>
              <w:widowControl/>
              <w:jc w:val="left"/>
              <w:rPr>
                <w:rFonts w:eastAsia="MS PGothic" w:cs="Arial"/>
                <w:kern w:val="0"/>
              </w:rPr>
            </w:pPr>
            <w:r w:rsidRPr="00AA1E26">
              <w:rPr>
                <w:rFonts w:eastAsia="MS PGothic" w:cs="Arial"/>
                <w:kern w:val="0"/>
              </w:rPr>
              <w:t>top 500 applicants</w:t>
            </w:r>
          </w:p>
        </w:tc>
        <w:tc>
          <w:tcPr>
            <w:tcW w:w="0" w:type="auto"/>
            <w:tcBorders>
              <w:top w:val="nil"/>
              <w:left w:val="single" w:sz="4" w:space="0" w:color="auto"/>
              <w:bottom w:val="nil"/>
              <w:right w:val="single" w:sz="8" w:space="0" w:color="auto"/>
            </w:tcBorders>
            <w:shd w:val="clear" w:color="auto" w:fill="auto"/>
            <w:noWrap/>
            <w:vAlign w:val="bottom"/>
            <w:hideMark/>
          </w:tcPr>
          <w:p w:rsidR="00D566FC" w:rsidRPr="00AA1E26" w:rsidRDefault="00D566FC" w:rsidP="00BE048B">
            <w:pPr>
              <w:widowControl/>
              <w:jc w:val="center"/>
              <w:rPr>
                <w:rFonts w:eastAsia="MS PGothic" w:cs="Arial"/>
                <w:kern w:val="0"/>
              </w:rPr>
            </w:pPr>
            <w:r w:rsidRPr="00AA1E26">
              <w:rPr>
                <w:rFonts w:eastAsia="MS PGothic" w:cs="Arial"/>
                <w:kern w:val="0"/>
              </w:rPr>
              <w:t>37</w:t>
            </w:r>
            <w:r>
              <w:rPr>
                <w:rFonts w:eastAsia="MS PGothic" w:cs="Arial"/>
                <w:kern w:val="0"/>
              </w:rPr>
              <w:t>,</w:t>
            </w:r>
            <w:r w:rsidRPr="00AA1E26">
              <w:rPr>
                <w:rFonts w:eastAsia="MS PGothic" w:cs="Arial"/>
                <w:kern w:val="0"/>
              </w:rPr>
              <w:t>758</w:t>
            </w:r>
          </w:p>
        </w:tc>
        <w:tc>
          <w:tcPr>
            <w:tcW w:w="0" w:type="auto"/>
            <w:tcBorders>
              <w:top w:val="nil"/>
              <w:left w:val="single" w:sz="4" w:space="0" w:color="auto"/>
              <w:bottom w:val="nil"/>
              <w:right w:val="single" w:sz="4" w:space="0" w:color="auto"/>
            </w:tcBorders>
            <w:vAlign w:val="center"/>
          </w:tcPr>
          <w:p w:rsidR="00D566FC" w:rsidRPr="00AA1E26" w:rsidRDefault="00D566FC" w:rsidP="00BE048B">
            <w:pPr>
              <w:widowControl/>
              <w:jc w:val="center"/>
              <w:rPr>
                <w:rFonts w:eastAsia="MS PGothic" w:cs="Arial"/>
                <w:color w:val="000000"/>
                <w:kern w:val="0"/>
              </w:rPr>
            </w:pPr>
            <w:r w:rsidRPr="00AA1E26">
              <w:rPr>
                <w:rFonts w:eastAsia="MS PGothic" w:cs="Arial"/>
                <w:color w:val="000000"/>
                <w:kern w:val="0"/>
              </w:rPr>
              <w:t>57.8%</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26</w:t>
            </w:r>
            <w:r>
              <w:rPr>
                <w:color w:val="000000"/>
              </w:rPr>
              <w:t>,</w:t>
            </w:r>
            <w:r>
              <w:rPr>
                <w:rFonts w:hint="eastAsia"/>
                <w:color w:val="000000"/>
              </w:rPr>
              <w:t>440</w:t>
            </w:r>
          </w:p>
        </w:tc>
        <w:tc>
          <w:tcPr>
            <w:tcW w:w="0" w:type="auto"/>
            <w:tcBorders>
              <w:top w:val="nil"/>
              <w:left w:val="single" w:sz="4" w:space="0" w:color="auto"/>
              <w:bottom w:val="nil"/>
              <w:right w:val="single" w:sz="4" w:space="0" w:color="auto"/>
            </w:tcBorders>
            <w:vAlign w:val="center"/>
          </w:tcPr>
          <w:p w:rsidR="00D566FC" w:rsidRDefault="00D566FC">
            <w:pPr>
              <w:jc w:val="center"/>
              <w:rPr>
                <w:rFonts w:ascii="MS PGothic" w:eastAsia="MS PGothic" w:hAnsi="MS PGothic" w:cs="MS PGothic"/>
                <w:color w:val="000000"/>
              </w:rPr>
            </w:pPr>
            <w:r>
              <w:rPr>
                <w:rFonts w:hint="eastAsia"/>
                <w:color w:val="000000"/>
              </w:rPr>
              <w:t>67.6%</w:t>
            </w:r>
          </w:p>
        </w:tc>
      </w:tr>
      <w:tr w:rsidR="00D566FC" w:rsidRPr="00AA1E26" w:rsidTr="00D566F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66FC" w:rsidRPr="00AA1E26" w:rsidRDefault="00D566FC" w:rsidP="00BE048B">
            <w:pPr>
              <w:widowControl/>
              <w:jc w:val="left"/>
              <w:rPr>
                <w:rFonts w:eastAsia="MS PGothic" w:cs="Arial"/>
                <w:bCs/>
                <w:kern w:val="0"/>
              </w:rPr>
            </w:pPr>
            <w:r w:rsidRPr="00AA1E26">
              <w:rPr>
                <w:rFonts w:eastAsia="MS PGothic" w:cs="Arial"/>
                <w:bCs/>
                <w:kern w:val="0"/>
              </w:rPr>
              <w:t>total number of families</w:t>
            </w:r>
          </w:p>
        </w:tc>
        <w:tc>
          <w:tcPr>
            <w:tcW w:w="0" w:type="auto"/>
            <w:tcBorders>
              <w:top w:val="nil"/>
              <w:left w:val="single" w:sz="4" w:space="0" w:color="auto"/>
              <w:bottom w:val="single" w:sz="8" w:space="0" w:color="auto"/>
              <w:right w:val="single" w:sz="8" w:space="0" w:color="auto"/>
            </w:tcBorders>
            <w:shd w:val="clear" w:color="auto" w:fill="auto"/>
            <w:noWrap/>
            <w:vAlign w:val="bottom"/>
            <w:hideMark/>
          </w:tcPr>
          <w:p w:rsidR="00D566FC" w:rsidRPr="00AA1E26" w:rsidRDefault="00D566FC" w:rsidP="00BE048B">
            <w:pPr>
              <w:widowControl/>
              <w:jc w:val="center"/>
              <w:rPr>
                <w:rFonts w:eastAsia="MS PGothic" w:cs="Arial"/>
                <w:bCs/>
                <w:kern w:val="0"/>
              </w:rPr>
            </w:pPr>
            <w:r w:rsidRPr="00AA1E26">
              <w:rPr>
                <w:rFonts w:eastAsia="MS PGothic" w:cs="Arial"/>
                <w:bCs/>
                <w:kern w:val="0"/>
              </w:rPr>
              <w:t>65</w:t>
            </w:r>
            <w:r>
              <w:rPr>
                <w:rFonts w:eastAsia="MS PGothic" w:cs="Arial"/>
                <w:bCs/>
                <w:kern w:val="0"/>
              </w:rPr>
              <w:t>,</w:t>
            </w:r>
            <w:r w:rsidRPr="00AA1E26">
              <w:rPr>
                <w:rFonts w:eastAsia="MS PGothic" w:cs="Arial"/>
                <w:bCs/>
                <w:kern w:val="0"/>
              </w:rPr>
              <w:t>340</w:t>
            </w:r>
          </w:p>
        </w:tc>
        <w:tc>
          <w:tcPr>
            <w:tcW w:w="0" w:type="auto"/>
            <w:tcBorders>
              <w:top w:val="nil"/>
              <w:left w:val="single" w:sz="4" w:space="0" w:color="auto"/>
              <w:bottom w:val="single" w:sz="8" w:space="0" w:color="auto"/>
              <w:right w:val="single" w:sz="4" w:space="0" w:color="auto"/>
            </w:tcBorders>
            <w:vAlign w:val="center"/>
          </w:tcPr>
          <w:p w:rsidR="00D566FC" w:rsidRPr="00AA1E26" w:rsidRDefault="00D566FC" w:rsidP="00BE048B">
            <w:pPr>
              <w:widowControl/>
              <w:jc w:val="center"/>
              <w:rPr>
                <w:rFonts w:eastAsia="MS PGothic" w:cs="Arial"/>
                <w:color w:val="000000"/>
                <w:kern w:val="0"/>
              </w:rPr>
            </w:pPr>
            <w:r w:rsidRPr="00AA1E26">
              <w:rPr>
                <w:rFonts w:eastAsia="MS PGothic" w:cs="Arial"/>
                <w:color w:val="000000"/>
                <w:kern w:val="0"/>
              </w:rPr>
              <w:t>100.0%</w:t>
            </w:r>
            <w:r w:rsidRPr="00AA1E26">
              <w:rPr>
                <w:rFonts w:eastAsia="MS PGothic" w:cs="Arial"/>
                <w:color w:val="000000"/>
                <w:kern w:val="0"/>
              </w:rPr>
              <w:t xml:space="preserve">　</w:t>
            </w:r>
          </w:p>
        </w:tc>
        <w:tc>
          <w:tcPr>
            <w:tcW w:w="0" w:type="auto"/>
            <w:tcBorders>
              <w:top w:val="nil"/>
              <w:left w:val="single" w:sz="4" w:space="0" w:color="auto"/>
              <w:bottom w:val="single" w:sz="8" w:space="0" w:color="auto"/>
              <w:right w:val="single" w:sz="4" w:space="0" w:color="auto"/>
            </w:tcBorders>
          </w:tcPr>
          <w:p w:rsidR="00D566FC" w:rsidRPr="00D566FC" w:rsidRDefault="00D566FC" w:rsidP="00D566FC">
            <w:pPr>
              <w:widowControl/>
              <w:jc w:val="center"/>
              <w:rPr>
                <w:rFonts w:ascii="MS PGothic" w:eastAsia="MS PGothic" w:hAnsi="MS PGothic" w:cs="MS PGothic"/>
                <w:b/>
                <w:bCs/>
                <w:color w:val="000000"/>
              </w:rPr>
            </w:pPr>
            <w:r w:rsidRPr="00D566FC">
              <w:rPr>
                <w:rFonts w:eastAsia="MS PGothic" w:cs="Arial" w:hint="eastAsia"/>
                <w:bCs/>
                <w:kern w:val="0"/>
              </w:rPr>
              <w:t>39</w:t>
            </w:r>
            <w:r>
              <w:rPr>
                <w:rFonts w:eastAsia="MS PGothic" w:cs="Arial"/>
                <w:bCs/>
                <w:kern w:val="0"/>
              </w:rPr>
              <w:t>,</w:t>
            </w:r>
            <w:r w:rsidRPr="00D566FC">
              <w:rPr>
                <w:rFonts w:eastAsia="MS PGothic" w:cs="Arial" w:hint="eastAsia"/>
                <w:bCs/>
                <w:kern w:val="0"/>
              </w:rPr>
              <w:t>098</w:t>
            </w:r>
          </w:p>
        </w:tc>
        <w:tc>
          <w:tcPr>
            <w:tcW w:w="0" w:type="auto"/>
            <w:tcBorders>
              <w:top w:val="nil"/>
              <w:left w:val="single" w:sz="4" w:space="0" w:color="auto"/>
              <w:bottom w:val="single" w:sz="8" w:space="0" w:color="auto"/>
              <w:right w:val="single" w:sz="4" w:space="0" w:color="auto"/>
            </w:tcBorders>
          </w:tcPr>
          <w:p w:rsidR="00D566FC" w:rsidRPr="00AA1E26" w:rsidRDefault="00D566FC" w:rsidP="00BE048B">
            <w:pPr>
              <w:widowControl/>
              <w:jc w:val="center"/>
              <w:rPr>
                <w:rFonts w:eastAsia="MS PGothic" w:cs="Arial"/>
                <w:color w:val="000000"/>
                <w:kern w:val="0"/>
              </w:rPr>
            </w:pPr>
            <w:r w:rsidRPr="00AA1E26">
              <w:rPr>
                <w:rFonts w:eastAsia="MS PGothic" w:cs="Arial"/>
                <w:color w:val="000000"/>
                <w:kern w:val="0"/>
              </w:rPr>
              <w:t>100.0%</w:t>
            </w:r>
          </w:p>
        </w:tc>
      </w:tr>
    </w:tbl>
    <w:p w:rsidR="00AA1E26" w:rsidRPr="00DE7FFA" w:rsidRDefault="00AA1E26" w:rsidP="00DE7FFA">
      <w:pPr>
        <w:jc w:val="left"/>
        <w:rPr>
          <w:rFonts w:cs="Arial"/>
          <w:sz w:val="20"/>
          <w:szCs w:val="20"/>
        </w:rPr>
      </w:pPr>
      <w:r w:rsidRPr="00DE7FFA">
        <w:rPr>
          <w:rFonts w:cs="Arial"/>
          <w:sz w:val="20"/>
          <w:szCs w:val="20"/>
        </w:rPr>
        <w:t xml:space="preserve">Source: </w:t>
      </w:r>
      <w:r w:rsidR="00901169">
        <w:rPr>
          <w:rFonts w:cs="Arial"/>
          <w:sz w:val="20"/>
          <w:szCs w:val="20"/>
        </w:rPr>
        <w:t xml:space="preserve"> </w:t>
      </w:r>
      <w:r w:rsidRPr="00DE7FFA">
        <w:rPr>
          <w:rFonts w:cs="Arial"/>
          <w:sz w:val="20"/>
          <w:szCs w:val="20"/>
        </w:rPr>
        <w:t>WIPO IP Statistics Database.</w:t>
      </w:r>
    </w:p>
    <w:p w:rsidR="00200E93" w:rsidRDefault="00200E93" w:rsidP="002E1D57">
      <w:pPr>
        <w:jc w:val="left"/>
        <w:rPr>
          <w:rFonts w:cs="Arial"/>
        </w:rPr>
      </w:pPr>
    </w:p>
    <w:p w:rsidR="00040A54" w:rsidRDefault="00314F13" w:rsidP="002E1D57">
      <w:pPr>
        <w:jc w:val="left"/>
        <w:rPr>
          <w:rFonts w:cs="Arial"/>
        </w:rPr>
      </w:pPr>
      <w:r>
        <w:rPr>
          <w:rFonts w:cs="Arial"/>
        </w:rPr>
        <w:t>Table 4</w:t>
      </w:r>
      <w:r w:rsidR="00200E93" w:rsidRPr="00AA1E26">
        <w:rPr>
          <w:rFonts w:cs="Arial"/>
        </w:rPr>
        <w:t>.2 shows the top 10 applicants by the total number of foreign-oriented patent families.</w:t>
      </w:r>
      <w:r w:rsidR="00DE7FFA">
        <w:rPr>
          <w:rFonts w:cs="Arial"/>
        </w:rPr>
        <w:t xml:space="preserve"> </w:t>
      </w:r>
      <w:r w:rsidR="00200E93" w:rsidRPr="00AA1E26">
        <w:rPr>
          <w:rFonts w:cs="Arial"/>
        </w:rPr>
        <w:t xml:space="preserve"> </w:t>
      </w:r>
      <w:r w:rsidRPr="002F4149">
        <w:rPr>
          <w:rFonts w:cs="Arial"/>
        </w:rPr>
        <w:t xml:space="preserve">It can be noted that this top 10 list exclusively contains companies, except one university namely Tsinghua University, one of the top research universities of </w:t>
      </w:r>
      <w:r>
        <w:rPr>
          <w:rFonts w:cs="Arial"/>
        </w:rPr>
        <w:t>China located in Beijing</w:t>
      </w:r>
      <w:r w:rsidRPr="002F4149">
        <w:rPr>
          <w:rFonts w:cs="Arial"/>
        </w:rPr>
        <w:t>.</w:t>
      </w:r>
      <w:r w:rsidR="00DE7FFA">
        <w:rPr>
          <w:rFonts w:cs="Arial"/>
        </w:rPr>
        <w:t xml:space="preserve"> </w:t>
      </w:r>
      <w:r>
        <w:rPr>
          <w:rFonts w:cs="Arial"/>
        </w:rPr>
        <w:t xml:space="preserve"> </w:t>
      </w:r>
      <w:r w:rsidR="00040A54">
        <w:rPr>
          <w:rFonts w:cs="Arial"/>
        </w:rPr>
        <w:t xml:space="preserve">Aside from ICT and electronics companies, the top 10 list includes </w:t>
      </w:r>
      <w:r w:rsidR="00040A54" w:rsidRPr="00040A54">
        <w:rPr>
          <w:rFonts w:cs="Arial"/>
        </w:rPr>
        <w:t xml:space="preserve">BYD Co Ltd </w:t>
      </w:r>
      <w:r w:rsidR="00040A54">
        <w:rPr>
          <w:rFonts w:cs="Arial"/>
        </w:rPr>
        <w:t>which is</w:t>
      </w:r>
      <w:r w:rsidR="00040A54" w:rsidRPr="00040A54">
        <w:rPr>
          <w:rFonts w:cs="Arial"/>
        </w:rPr>
        <w:t xml:space="preserve"> a Chinese manufacturer of automobil</w:t>
      </w:r>
      <w:r w:rsidR="00040A54">
        <w:rPr>
          <w:rFonts w:cs="Arial"/>
        </w:rPr>
        <w:t>es and rechargeable batteries</w:t>
      </w:r>
      <w:r w:rsidR="00040A54" w:rsidRPr="00040A54">
        <w:rPr>
          <w:rFonts w:cs="Arial"/>
        </w:rPr>
        <w:t xml:space="preserve"> based in </w:t>
      </w:r>
      <w:r>
        <w:rPr>
          <w:rFonts w:cs="Arial"/>
        </w:rPr>
        <w:t>Shenzhen</w:t>
      </w:r>
      <w:r w:rsidR="00040A54">
        <w:rPr>
          <w:rFonts w:cs="Arial"/>
        </w:rPr>
        <w:t xml:space="preserve"> and </w:t>
      </w:r>
      <w:r w:rsidR="00040A54" w:rsidRPr="00040A54">
        <w:rPr>
          <w:rFonts w:cs="Arial"/>
        </w:rPr>
        <w:t>China P</w:t>
      </w:r>
      <w:r w:rsidR="002F4149">
        <w:rPr>
          <w:rFonts w:cs="Arial"/>
        </w:rPr>
        <w:t>etroleum &amp; Chemical Corporation</w:t>
      </w:r>
      <w:r w:rsidR="00040A54" w:rsidRPr="00040A54">
        <w:rPr>
          <w:rFonts w:cs="Arial"/>
        </w:rPr>
        <w:t>, or Sinopec Limited, a Chinese oil a</w:t>
      </w:r>
      <w:r>
        <w:rPr>
          <w:rFonts w:cs="Arial"/>
        </w:rPr>
        <w:t>nd gas company based in Beijing</w:t>
      </w:r>
      <w:r w:rsidR="00040A54">
        <w:rPr>
          <w:rFonts w:cs="Arial"/>
        </w:rPr>
        <w:t>.</w:t>
      </w:r>
    </w:p>
    <w:p w:rsidR="00314F13" w:rsidRPr="00DE7FFA" w:rsidRDefault="00314F13" w:rsidP="00DE7FFA">
      <w:pPr>
        <w:jc w:val="left"/>
        <w:rPr>
          <w:rFonts w:eastAsiaTheme="minorHAnsi" w:cs="Arial"/>
          <w:b/>
          <w:kern w:val="0"/>
          <w:lang w:eastAsia="en-US"/>
        </w:rPr>
      </w:pPr>
    </w:p>
    <w:p w:rsidR="00314F13" w:rsidRPr="00DE7FFA" w:rsidRDefault="00314F13" w:rsidP="00DE7FFA">
      <w:pPr>
        <w:jc w:val="left"/>
        <w:rPr>
          <w:rFonts w:eastAsiaTheme="minorHAnsi" w:cs="Arial"/>
          <w:b/>
          <w:kern w:val="0"/>
          <w:lang w:eastAsia="en-US"/>
        </w:rPr>
      </w:pPr>
      <w:proofErr w:type="gramStart"/>
      <w:r w:rsidRPr="00DE7FFA">
        <w:rPr>
          <w:rFonts w:eastAsiaTheme="minorHAnsi" w:cs="Arial"/>
          <w:b/>
          <w:kern w:val="0"/>
          <w:lang w:eastAsia="en-US"/>
        </w:rPr>
        <w:t>Table 4.2.</w:t>
      </w:r>
      <w:proofErr w:type="gramEnd"/>
      <w:r w:rsidRPr="00DE7FFA">
        <w:rPr>
          <w:rFonts w:eastAsiaTheme="minorHAnsi" w:cs="Arial"/>
          <w:b/>
          <w:kern w:val="0"/>
          <w:lang w:eastAsia="en-US"/>
        </w:rPr>
        <w:t xml:space="preserve"> </w:t>
      </w:r>
      <w:r w:rsidR="00901169">
        <w:rPr>
          <w:rFonts w:eastAsiaTheme="minorHAnsi" w:cs="Arial"/>
          <w:b/>
          <w:kern w:val="0"/>
          <w:lang w:eastAsia="en-US"/>
        </w:rPr>
        <w:t xml:space="preserve"> </w:t>
      </w:r>
      <w:r w:rsidRPr="00DE7FFA">
        <w:rPr>
          <w:rFonts w:eastAsiaTheme="minorHAnsi" w:cs="Arial"/>
          <w:b/>
          <w:kern w:val="0"/>
          <w:lang w:eastAsia="en-US"/>
        </w:rPr>
        <w:t>Top 10 patent applicants by the total number of foreign-oriented patent families, 1970-2012</w:t>
      </w:r>
    </w:p>
    <w:tbl>
      <w:tblPr>
        <w:tblW w:w="5000" w:type="pct"/>
        <w:tblLayout w:type="fixed"/>
        <w:tblCellMar>
          <w:left w:w="99" w:type="dxa"/>
          <w:right w:w="99" w:type="dxa"/>
        </w:tblCellMar>
        <w:tblLook w:val="04A0" w:firstRow="1" w:lastRow="0" w:firstColumn="1" w:lastColumn="0" w:noHBand="0" w:noVBand="1"/>
      </w:tblPr>
      <w:tblGrid>
        <w:gridCol w:w="732"/>
        <w:gridCol w:w="6535"/>
        <w:gridCol w:w="1244"/>
        <w:gridCol w:w="1041"/>
      </w:tblGrid>
      <w:tr w:rsidR="00314F13" w:rsidRPr="00D8468D" w:rsidTr="00C26B02">
        <w:trPr>
          <w:trHeight w:val="825"/>
        </w:trPr>
        <w:tc>
          <w:tcPr>
            <w:tcW w:w="38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Rank</w:t>
            </w:r>
          </w:p>
        </w:tc>
        <w:tc>
          <w:tcPr>
            <w:tcW w:w="3421"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Applicant</w:t>
            </w:r>
          </w:p>
        </w:tc>
        <w:tc>
          <w:tcPr>
            <w:tcW w:w="651"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Category</w:t>
            </w:r>
          </w:p>
        </w:tc>
        <w:tc>
          <w:tcPr>
            <w:tcW w:w="545"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Number of families</w:t>
            </w:r>
          </w:p>
        </w:tc>
      </w:tr>
      <w:tr w:rsidR="00314F13" w:rsidRPr="00D8468D" w:rsidTr="00C26B02">
        <w:trPr>
          <w:trHeight w:val="270"/>
        </w:trPr>
        <w:tc>
          <w:tcPr>
            <w:tcW w:w="383" w:type="pct"/>
            <w:tcBorders>
              <w:top w:val="single" w:sz="8" w:space="0" w:color="auto"/>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1</w:t>
            </w:r>
          </w:p>
        </w:tc>
        <w:tc>
          <w:tcPr>
            <w:tcW w:w="3421" w:type="pct"/>
            <w:tcBorders>
              <w:top w:val="single" w:sz="8" w:space="0" w:color="auto"/>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HONGFUJIN PRECISION INDUSTRY (SHENZHEN) CO., LTD.</w:t>
            </w:r>
          </w:p>
        </w:tc>
        <w:tc>
          <w:tcPr>
            <w:tcW w:w="651" w:type="pct"/>
            <w:tcBorders>
              <w:top w:val="single" w:sz="8" w:space="0" w:color="auto"/>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single" w:sz="8" w:space="0" w:color="auto"/>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9</w:t>
            </w:r>
            <w:r w:rsidR="00322D5E">
              <w:rPr>
                <w:rFonts w:eastAsia="MS PGothic" w:cs="Arial"/>
                <w:color w:val="000000"/>
                <w:kern w:val="0"/>
                <w:sz w:val="20"/>
              </w:rPr>
              <w:t>,</w:t>
            </w:r>
            <w:r w:rsidRPr="00D8468D">
              <w:rPr>
                <w:rFonts w:eastAsia="MS PGothic" w:cs="Arial"/>
                <w:color w:val="000000"/>
                <w:kern w:val="0"/>
                <w:sz w:val="20"/>
              </w:rPr>
              <w:t>076</w:t>
            </w:r>
          </w:p>
        </w:tc>
      </w:tr>
      <w:tr w:rsidR="00314F13" w:rsidRPr="00D8468D" w:rsidTr="00C26B02">
        <w:trPr>
          <w:trHeight w:val="270"/>
        </w:trPr>
        <w:tc>
          <w:tcPr>
            <w:tcW w:w="383"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2</w:t>
            </w:r>
          </w:p>
        </w:tc>
        <w:tc>
          <w:tcPr>
            <w:tcW w:w="342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HUAWEI TECHNOLOGIES CO., LTD.</w:t>
            </w:r>
          </w:p>
        </w:tc>
        <w:tc>
          <w:tcPr>
            <w:tcW w:w="65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4</w:t>
            </w:r>
            <w:r w:rsidR="00322D5E">
              <w:rPr>
                <w:rFonts w:eastAsia="MS PGothic" w:cs="Arial"/>
                <w:color w:val="000000"/>
                <w:kern w:val="0"/>
                <w:sz w:val="20"/>
              </w:rPr>
              <w:t>,</w:t>
            </w:r>
            <w:r w:rsidRPr="00D8468D">
              <w:rPr>
                <w:rFonts w:eastAsia="MS PGothic" w:cs="Arial"/>
                <w:color w:val="000000"/>
                <w:kern w:val="0"/>
                <w:sz w:val="20"/>
              </w:rPr>
              <w:t>729</w:t>
            </w:r>
          </w:p>
        </w:tc>
      </w:tr>
      <w:tr w:rsidR="00314F13" w:rsidRPr="00D8468D" w:rsidTr="00C26B02">
        <w:trPr>
          <w:trHeight w:val="270"/>
        </w:trPr>
        <w:tc>
          <w:tcPr>
            <w:tcW w:w="383" w:type="pct"/>
            <w:tcBorders>
              <w:top w:val="nil"/>
              <w:left w:val="single" w:sz="4"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3</w:t>
            </w:r>
          </w:p>
        </w:tc>
        <w:tc>
          <w:tcPr>
            <w:tcW w:w="3421" w:type="pct"/>
            <w:tcBorders>
              <w:top w:val="nil"/>
              <w:left w:val="single" w:sz="4" w:space="0" w:color="auto"/>
              <w:right w:val="single" w:sz="4" w:space="0" w:color="auto"/>
            </w:tcBorders>
            <w:shd w:val="clear" w:color="auto" w:fill="auto"/>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ZTE CORPORATION</w:t>
            </w:r>
          </w:p>
        </w:tc>
        <w:tc>
          <w:tcPr>
            <w:tcW w:w="651" w:type="pct"/>
            <w:tcBorders>
              <w:top w:val="nil"/>
              <w:left w:val="single" w:sz="4"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2</w:t>
            </w:r>
            <w:r w:rsidR="00322D5E">
              <w:rPr>
                <w:rFonts w:eastAsia="MS PGothic" w:cs="Arial"/>
                <w:color w:val="000000"/>
                <w:kern w:val="0"/>
                <w:sz w:val="20"/>
              </w:rPr>
              <w:t>,</w:t>
            </w:r>
            <w:r w:rsidRPr="00D8468D">
              <w:rPr>
                <w:rFonts w:eastAsia="MS PGothic" w:cs="Arial"/>
                <w:color w:val="000000"/>
                <w:kern w:val="0"/>
                <w:sz w:val="20"/>
              </w:rPr>
              <w:t>480</w:t>
            </w:r>
          </w:p>
        </w:tc>
      </w:tr>
      <w:tr w:rsidR="00314F13" w:rsidRPr="00D8468D" w:rsidTr="00C26B02">
        <w:trPr>
          <w:trHeight w:val="270"/>
        </w:trPr>
        <w:tc>
          <w:tcPr>
            <w:tcW w:w="383"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4</w:t>
            </w:r>
          </w:p>
        </w:tc>
        <w:tc>
          <w:tcPr>
            <w:tcW w:w="3421"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SHENZHEN FUTAIHONG PRECISION INDUSTRY CO., LTD.</w:t>
            </w:r>
          </w:p>
        </w:tc>
        <w:tc>
          <w:tcPr>
            <w:tcW w:w="651"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1</w:t>
            </w:r>
            <w:r w:rsidR="00322D5E">
              <w:rPr>
                <w:rFonts w:eastAsia="MS PGothic" w:cs="Arial"/>
                <w:color w:val="000000"/>
                <w:kern w:val="0"/>
                <w:sz w:val="20"/>
              </w:rPr>
              <w:t>,</w:t>
            </w:r>
            <w:r w:rsidRPr="00D8468D">
              <w:rPr>
                <w:rFonts w:eastAsia="MS PGothic" w:cs="Arial"/>
                <w:color w:val="000000"/>
                <w:kern w:val="0"/>
                <w:sz w:val="20"/>
              </w:rPr>
              <w:t>574</w:t>
            </w:r>
          </w:p>
        </w:tc>
      </w:tr>
      <w:tr w:rsidR="00314F13" w:rsidRPr="00D8468D" w:rsidTr="00C26B02">
        <w:trPr>
          <w:trHeight w:val="270"/>
        </w:trPr>
        <w:tc>
          <w:tcPr>
            <w:tcW w:w="383"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5</w:t>
            </w:r>
          </w:p>
        </w:tc>
        <w:tc>
          <w:tcPr>
            <w:tcW w:w="3421"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FOXCONN (KUNSHAN) COMPUTER INTERFACES CO., LTD.</w:t>
            </w:r>
          </w:p>
        </w:tc>
        <w:tc>
          <w:tcPr>
            <w:tcW w:w="651"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bottom w:val="nil"/>
              <w:right w:val="single" w:sz="4" w:space="0" w:color="auto"/>
            </w:tcBorders>
            <w:shd w:val="clear" w:color="auto" w:fill="D9D9D9"/>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1</w:t>
            </w:r>
            <w:r w:rsidR="00322D5E">
              <w:rPr>
                <w:rFonts w:eastAsia="MS PGothic" w:cs="Arial"/>
                <w:color w:val="000000"/>
                <w:kern w:val="0"/>
                <w:sz w:val="20"/>
              </w:rPr>
              <w:t>,</w:t>
            </w:r>
            <w:r w:rsidRPr="00D8468D">
              <w:rPr>
                <w:rFonts w:eastAsia="MS PGothic" w:cs="Arial"/>
                <w:color w:val="000000"/>
                <w:kern w:val="0"/>
                <w:sz w:val="20"/>
              </w:rPr>
              <w:t>529</w:t>
            </w:r>
          </w:p>
        </w:tc>
      </w:tr>
      <w:tr w:rsidR="00314F13" w:rsidRPr="00D8468D" w:rsidTr="00C26B02">
        <w:trPr>
          <w:trHeight w:val="270"/>
        </w:trPr>
        <w:tc>
          <w:tcPr>
            <w:tcW w:w="383"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6</w:t>
            </w:r>
          </w:p>
        </w:tc>
        <w:tc>
          <w:tcPr>
            <w:tcW w:w="342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 xml:space="preserve">FUZHUN PRECISION INDUSTRY (SHENZHEN) CO., LTD. </w:t>
            </w:r>
          </w:p>
        </w:tc>
        <w:tc>
          <w:tcPr>
            <w:tcW w:w="65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1</w:t>
            </w:r>
            <w:r w:rsidR="00322D5E">
              <w:rPr>
                <w:rFonts w:eastAsia="MS PGothic" w:cs="Arial"/>
                <w:color w:val="000000"/>
                <w:kern w:val="0"/>
                <w:sz w:val="20"/>
              </w:rPr>
              <w:t>,</w:t>
            </w:r>
            <w:r w:rsidRPr="00D8468D">
              <w:rPr>
                <w:rFonts w:eastAsia="MS PGothic" w:cs="Arial"/>
                <w:color w:val="000000"/>
                <w:kern w:val="0"/>
                <w:sz w:val="20"/>
              </w:rPr>
              <w:t>296</w:t>
            </w:r>
          </w:p>
        </w:tc>
      </w:tr>
      <w:tr w:rsidR="00314F13" w:rsidRPr="00D8468D" w:rsidTr="00C26B02">
        <w:trPr>
          <w:trHeight w:val="270"/>
        </w:trPr>
        <w:tc>
          <w:tcPr>
            <w:tcW w:w="383"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7</w:t>
            </w:r>
          </w:p>
        </w:tc>
        <w:tc>
          <w:tcPr>
            <w:tcW w:w="342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TSINGHUA UNIVERSITY</w:t>
            </w:r>
          </w:p>
        </w:tc>
        <w:tc>
          <w:tcPr>
            <w:tcW w:w="65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University</w:t>
            </w:r>
          </w:p>
        </w:tc>
        <w:tc>
          <w:tcPr>
            <w:tcW w:w="545"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955</w:t>
            </w:r>
          </w:p>
        </w:tc>
      </w:tr>
      <w:tr w:rsidR="00314F13" w:rsidRPr="00D8468D" w:rsidTr="00C26B02">
        <w:trPr>
          <w:trHeight w:val="270"/>
        </w:trPr>
        <w:tc>
          <w:tcPr>
            <w:tcW w:w="383"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8</w:t>
            </w:r>
          </w:p>
        </w:tc>
        <w:tc>
          <w:tcPr>
            <w:tcW w:w="342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CHINA PETROLEUM &amp; CHEMICAL CORPORATION</w:t>
            </w:r>
          </w:p>
        </w:tc>
        <w:tc>
          <w:tcPr>
            <w:tcW w:w="65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543</w:t>
            </w:r>
          </w:p>
        </w:tc>
      </w:tr>
      <w:tr w:rsidR="00314F13" w:rsidRPr="00D8468D" w:rsidTr="00C26B02">
        <w:trPr>
          <w:trHeight w:val="270"/>
        </w:trPr>
        <w:tc>
          <w:tcPr>
            <w:tcW w:w="383"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9</w:t>
            </w:r>
          </w:p>
        </w:tc>
        <w:tc>
          <w:tcPr>
            <w:tcW w:w="342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BYD CO., LTD.</w:t>
            </w:r>
          </w:p>
        </w:tc>
        <w:tc>
          <w:tcPr>
            <w:tcW w:w="651"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bottom w:val="nil"/>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387</w:t>
            </w:r>
          </w:p>
        </w:tc>
      </w:tr>
      <w:tr w:rsidR="00314F13" w:rsidRPr="00D8468D" w:rsidTr="00C26B02">
        <w:trPr>
          <w:trHeight w:val="27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10</w:t>
            </w:r>
          </w:p>
        </w:tc>
        <w:tc>
          <w:tcPr>
            <w:tcW w:w="3421" w:type="pct"/>
            <w:tcBorders>
              <w:top w:val="nil"/>
              <w:left w:val="single" w:sz="4" w:space="0" w:color="auto"/>
              <w:bottom w:val="single" w:sz="4" w:space="0" w:color="auto"/>
              <w:right w:val="single" w:sz="4" w:space="0" w:color="auto"/>
            </w:tcBorders>
            <w:shd w:val="clear" w:color="auto" w:fill="auto"/>
            <w:noWrap/>
            <w:vAlign w:val="center"/>
            <w:hideMark/>
          </w:tcPr>
          <w:p w:rsidR="00314F13" w:rsidRPr="00D8468D" w:rsidRDefault="00314F13" w:rsidP="00C26B02">
            <w:pPr>
              <w:widowControl/>
              <w:jc w:val="left"/>
              <w:rPr>
                <w:rFonts w:eastAsia="MS PGothic" w:cs="Arial"/>
                <w:color w:val="000000"/>
                <w:kern w:val="0"/>
                <w:sz w:val="20"/>
              </w:rPr>
            </w:pPr>
            <w:r w:rsidRPr="00D8468D">
              <w:rPr>
                <w:rFonts w:eastAsia="MS PGothic" w:cs="Arial"/>
                <w:color w:val="000000"/>
                <w:kern w:val="0"/>
                <w:sz w:val="20"/>
              </w:rPr>
              <w:t>SILITEK ELECTRONIC (GUANGZHOU) CO., LTD.</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Company</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14F13" w:rsidRPr="00D8468D" w:rsidRDefault="00314F13" w:rsidP="00C26B02">
            <w:pPr>
              <w:widowControl/>
              <w:jc w:val="center"/>
              <w:rPr>
                <w:rFonts w:eastAsia="MS PGothic" w:cs="Arial"/>
                <w:color w:val="000000"/>
                <w:kern w:val="0"/>
                <w:sz w:val="20"/>
              </w:rPr>
            </w:pPr>
            <w:r w:rsidRPr="00D8468D">
              <w:rPr>
                <w:rFonts w:eastAsia="MS PGothic" w:cs="Arial"/>
                <w:color w:val="000000"/>
                <w:kern w:val="0"/>
                <w:sz w:val="20"/>
              </w:rPr>
              <w:t>356</w:t>
            </w:r>
          </w:p>
        </w:tc>
      </w:tr>
    </w:tbl>
    <w:p w:rsidR="00314F13" w:rsidRPr="00DE7FFA" w:rsidRDefault="00314F13" w:rsidP="00DE7FFA">
      <w:pPr>
        <w:jc w:val="left"/>
        <w:rPr>
          <w:rFonts w:cs="Arial"/>
          <w:sz w:val="20"/>
          <w:szCs w:val="20"/>
        </w:rPr>
      </w:pPr>
      <w:r w:rsidRPr="00DE7FFA">
        <w:rPr>
          <w:rFonts w:cs="Arial"/>
          <w:sz w:val="20"/>
          <w:szCs w:val="20"/>
        </w:rPr>
        <w:t xml:space="preserve">Source: </w:t>
      </w:r>
      <w:r w:rsidR="00901169">
        <w:rPr>
          <w:rFonts w:cs="Arial"/>
          <w:sz w:val="20"/>
          <w:szCs w:val="20"/>
        </w:rPr>
        <w:t xml:space="preserve"> </w:t>
      </w:r>
      <w:r w:rsidRPr="00DE7FFA">
        <w:rPr>
          <w:rFonts w:cs="Arial"/>
          <w:sz w:val="20"/>
          <w:szCs w:val="20"/>
        </w:rPr>
        <w:t>WIPO IP Statistics Database.</w:t>
      </w:r>
    </w:p>
    <w:p w:rsidR="005248E4" w:rsidRDefault="005248E4">
      <w:pPr>
        <w:widowControl/>
        <w:jc w:val="left"/>
        <w:rPr>
          <w:rFonts w:cs="Arial"/>
        </w:rPr>
      </w:pPr>
      <w:r>
        <w:rPr>
          <w:rFonts w:cs="Arial"/>
        </w:rPr>
        <w:br w:type="page"/>
      </w:r>
    </w:p>
    <w:p w:rsidR="00CC460D" w:rsidRPr="00AA1E26" w:rsidRDefault="00200E93" w:rsidP="002E1D57">
      <w:pPr>
        <w:jc w:val="left"/>
        <w:rPr>
          <w:rFonts w:cs="Arial"/>
          <w:b/>
        </w:rPr>
      </w:pPr>
      <w:r w:rsidRPr="00AA1E26">
        <w:rPr>
          <w:rFonts w:cs="Arial"/>
        </w:rPr>
        <w:lastRenderedPageBreak/>
        <w:t>Among the first five top applicants, “</w:t>
      </w:r>
      <w:proofErr w:type="spellStart"/>
      <w:r w:rsidRPr="00AA1E26">
        <w:rPr>
          <w:rFonts w:cs="Arial"/>
        </w:rPr>
        <w:t>Hongfujin</w:t>
      </w:r>
      <w:proofErr w:type="spellEnd"/>
      <w:r w:rsidRPr="00AA1E26">
        <w:rPr>
          <w:rFonts w:cs="Arial"/>
        </w:rPr>
        <w:t xml:space="preserve"> Precision Industry (Shenzhen) Co., Ltd”</w:t>
      </w:r>
      <w:r w:rsidRPr="00AA1E26">
        <w:rPr>
          <w:rStyle w:val="FootnoteReference"/>
          <w:rFonts w:cs="Arial"/>
        </w:rPr>
        <w:footnoteReference w:id="8"/>
      </w:r>
      <w:r w:rsidRPr="00AA1E26">
        <w:rPr>
          <w:rFonts w:cs="Arial"/>
        </w:rPr>
        <w:t xml:space="preserve">, “Shenzhen </w:t>
      </w:r>
      <w:proofErr w:type="spellStart"/>
      <w:r w:rsidRPr="00AA1E26">
        <w:rPr>
          <w:rFonts w:cs="Arial"/>
        </w:rPr>
        <w:t>Futaihong</w:t>
      </w:r>
      <w:proofErr w:type="spellEnd"/>
      <w:r w:rsidRPr="00AA1E26">
        <w:rPr>
          <w:rFonts w:cs="Arial"/>
        </w:rPr>
        <w:t xml:space="preserve"> Precision Industrial Co., Ltd”</w:t>
      </w:r>
      <w:r w:rsidRPr="00AA1E26">
        <w:rPr>
          <w:rStyle w:val="FootnoteReference"/>
          <w:rFonts w:cs="Arial"/>
        </w:rPr>
        <w:footnoteReference w:id="9"/>
      </w:r>
      <w:r w:rsidRPr="00AA1E26">
        <w:rPr>
          <w:rFonts w:cs="Arial"/>
        </w:rPr>
        <w:t xml:space="preserve"> and </w:t>
      </w:r>
      <w:proofErr w:type="spellStart"/>
      <w:r w:rsidRPr="00AA1E26">
        <w:rPr>
          <w:rFonts w:cs="Arial"/>
        </w:rPr>
        <w:t>Foxconn</w:t>
      </w:r>
      <w:proofErr w:type="spellEnd"/>
      <w:r w:rsidRPr="00AA1E26">
        <w:rPr>
          <w:rFonts w:cs="Arial"/>
        </w:rPr>
        <w:t xml:space="preserve"> (</w:t>
      </w:r>
      <w:proofErr w:type="spellStart"/>
      <w:r w:rsidRPr="00AA1E26">
        <w:rPr>
          <w:rFonts w:cs="Arial"/>
        </w:rPr>
        <w:t>Kunshan</w:t>
      </w:r>
      <w:proofErr w:type="spellEnd"/>
      <w:r w:rsidRPr="00AA1E26">
        <w:rPr>
          <w:rFonts w:cs="Arial"/>
        </w:rPr>
        <w:t>) Computer Interfaces Co., Ltd” are the entities of “</w:t>
      </w:r>
      <w:proofErr w:type="spellStart"/>
      <w:r w:rsidRPr="00AA1E26">
        <w:rPr>
          <w:rFonts w:cs="Arial"/>
        </w:rPr>
        <w:t>Foxconn</w:t>
      </w:r>
      <w:proofErr w:type="spellEnd"/>
      <w:r w:rsidRPr="00AA1E26">
        <w:rPr>
          <w:rFonts w:cs="Arial"/>
        </w:rPr>
        <w:t xml:space="preserve"> International Holdings Limited”</w:t>
      </w:r>
      <w:r w:rsidR="009B6588">
        <w:rPr>
          <w:rFonts w:cs="Arial"/>
        </w:rPr>
        <w:t>.</w:t>
      </w:r>
      <w:r w:rsidR="00CC460D">
        <w:rPr>
          <w:rStyle w:val="FootnoteReference"/>
          <w:rFonts w:cs="Arial"/>
        </w:rPr>
        <w:footnoteReference w:id="10"/>
      </w:r>
      <w:r w:rsidR="009B6588">
        <w:rPr>
          <w:rFonts w:cs="Arial"/>
        </w:rPr>
        <w:t xml:space="preserve"> </w:t>
      </w:r>
      <w:proofErr w:type="spellStart"/>
      <w:r w:rsidR="00CC460D" w:rsidRPr="00C61C78">
        <w:rPr>
          <w:rFonts w:cs="Arial"/>
        </w:rPr>
        <w:t>Foxconn</w:t>
      </w:r>
      <w:proofErr w:type="spellEnd"/>
      <w:r w:rsidR="00CC460D" w:rsidRPr="00C61C78">
        <w:rPr>
          <w:rFonts w:cs="Arial"/>
        </w:rPr>
        <w:t xml:space="preserve"> </w:t>
      </w:r>
      <w:r w:rsidR="0061159F">
        <w:rPr>
          <w:rFonts w:cs="Arial"/>
        </w:rPr>
        <w:t>is one of the world’s</w:t>
      </w:r>
      <w:r w:rsidR="00203645" w:rsidRPr="00203645">
        <w:rPr>
          <w:rFonts w:cs="Arial"/>
        </w:rPr>
        <w:t xml:space="preserve"> largest electronics </w:t>
      </w:r>
      <w:r w:rsidR="00D03131">
        <w:rPr>
          <w:rFonts w:cs="Arial"/>
        </w:rPr>
        <w:t>contract</w:t>
      </w:r>
      <w:r w:rsidR="00203645" w:rsidRPr="00203645">
        <w:rPr>
          <w:rFonts w:cs="Arial"/>
        </w:rPr>
        <w:t xml:space="preserve"> manufacturer</w:t>
      </w:r>
      <w:r w:rsidR="006F4928">
        <w:rPr>
          <w:rFonts w:cs="Arial"/>
        </w:rPr>
        <w:t>s</w:t>
      </w:r>
      <w:r w:rsidR="0061159F">
        <w:rPr>
          <w:rFonts w:cs="Arial"/>
        </w:rPr>
        <w:t>.</w:t>
      </w:r>
      <w:r w:rsidR="002E1D57">
        <w:rPr>
          <w:rFonts w:cs="Arial"/>
        </w:rPr>
        <w:t xml:space="preserve"> </w:t>
      </w:r>
      <w:r w:rsidR="0061159F">
        <w:rPr>
          <w:rFonts w:cs="Arial"/>
        </w:rPr>
        <w:t xml:space="preserve"> </w:t>
      </w:r>
      <w:r w:rsidR="009B6588">
        <w:rPr>
          <w:rFonts w:cs="Arial"/>
        </w:rPr>
        <w:t>Only within 2005-2009 t</w:t>
      </w:r>
      <w:r w:rsidR="0061159F">
        <w:rPr>
          <w:rFonts w:cs="Arial"/>
        </w:rPr>
        <w:t xml:space="preserve">his holding company </w:t>
      </w:r>
      <w:r w:rsidR="009B6588">
        <w:rPr>
          <w:rFonts w:cs="Arial"/>
        </w:rPr>
        <w:t xml:space="preserve">accumulated 6,611 patent families </w:t>
      </w:r>
      <w:r w:rsidR="00CC460D" w:rsidRPr="00C61C78">
        <w:rPr>
          <w:rFonts w:cs="Arial"/>
        </w:rPr>
        <w:t>in a wide spectrum of tec</w:t>
      </w:r>
      <w:r w:rsidR="002667A6">
        <w:rPr>
          <w:rFonts w:cs="Arial"/>
        </w:rPr>
        <w:t>hnology fields, with more than 50</w:t>
      </w:r>
      <w:r w:rsidR="00CC460D" w:rsidRPr="00C61C78">
        <w:rPr>
          <w:rFonts w:cs="Arial"/>
        </w:rPr>
        <w:t>% of its patents</w:t>
      </w:r>
      <w:r w:rsidR="002667A6">
        <w:rPr>
          <w:rFonts w:cs="Arial"/>
        </w:rPr>
        <w:t xml:space="preserve"> </w:t>
      </w:r>
      <w:r w:rsidR="00CC460D" w:rsidRPr="00C61C78">
        <w:rPr>
          <w:rFonts w:cs="Arial"/>
        </w:rPr>
        <w:t xml:space="preserve">in </w:t>
      </w:r>
      <w:r w:rsidR="000E071A">
        <w:rPr>
          <w:rFonts w:cs="Arial"/>
        </w:rPr>
        <w:t>“</w:t>
      </w:r>
      <w:r w:rsidR="00CC460D" w:rsidRPr="00C61C78">
        <w:rPr>
          <w:rFonts w:cs="Arial"/>
        </w:rPr>
        <w:t xml:space="preserve">Electrical machinery, </w:t>
      </w:r>
      <w:r w:rsidR="000E071A">
        <w:rPr>
          <w:rFonts w:cs="Arial"/>
        </w:rPr>
        <w:t>A</w:t>
      </w:r>
      <w:r w:rsidR="00CC460D" w:rsidRPr="00C61C78">
        <w:rPr>
          <w:rFonts w:cs="Arial"/>
        </w:rPr>
        <w:t xml:space="preserve">pparatus, </w:t>
      </w:r>
      <w:r w:rsidR="000E071A">
        <w:rPr>
          <w:rFonts w:cs="Arial"/>
        </w:rPr>
        <w:t>E</w:t>
      </w:r>
      <w:r w:rsidR="00CC460D" w:rsidRPr="00C61C78">
        <w:rPr>
          <w:rFonts w:cs="Arial"/>
        </w:rPr>
        <w:t>nergy</w:t>
      </w:r>
      <w:r w:rsidR="000E071A">
        <w:rPr>
          <w:rFonts w:cs="Arial"/>
        </w:rPr>
        <w:t>”</w:t>
      </w:r>
      <w:r w:rsidR="00CC460D" w:rsidRPr="00C61C78">
        <w:rPr>
          <w:rFonts w:cs="Arial"/>
        </w:rPr>
        <w:t xml:space="preserve">, </w:t>
      </w:r>
      <w:r w:rsidR="000E071A">
        <w:rPr>
          <w:rFonts w:cs="Arial"/>
        </w:rPr>
        <w:t>“</w:t>
      </w:r>
      <w:r w:rsidR="00CC460D" w:rsidRPr="00C61C78">
        <w:rPr>
          <w:rFonts w:cs="Arial"/>
        </w:rPr>
        <w:t>Computer technology</w:t>
      </w:r>
      <w:r w:rsidR="000E071A">
        <w:rPr>
          <w:rFonts w:cs="Arial"/>
        </w:rPr>
        <w:t>”</w:t>
      </w:r>
      <w:r w:rsidR="00CC460D" w:rsidRPr="00C61C78">
        <w:rPr>
          <w:rFonts w:cs="Arial"/>
        </w:rPr>
        <w:t xml:space="preserve"> and </w:t>
      </w:r>
      <w:r w:rsidR="000E071A">
        <w:rPr>
          <w:rFonts w:cs="Arial"/>
        </w:rPr>
        <w:t>“</w:t>
      </w:r>
      <w:r w:rsidR="00CC460D" w:rsidRPr="00C61C78">
        <w:rPr>
          <w:rFonts w:cs="Arial"/>
        </w:rPr>
        <w:t>Audio-video technology</w:t>
      </w:r>
      <w:r w:rsidR="000E071A">
        <w:rPr>
          <w:rFonts w:cs="Arial"/>
        </w:rPr>
        <w:t>”</w:t>
      </w:r>
      <w:r w:rsidR="00CC460D" w:rsidRPr="00C61C78">
        <w:rPr>
          <w:rFonts w:cs="Arial"/>
        </w:rPr>
        <w:t>.</w:t>
      </w:r>
      <w:r w:rsidR="002E1D57">
        <w:rPr>
          <w:rFonts w:cs="Arial"/>
        </w:rPr>
        <w:t xml:space="preserve"> </w:t>
      </w:r>
      <w:r w:rsidR="00CC460D" w:rsidRPr="00AA1E26">
        <w:rPr>
          <w:rFonts w:cs="Arial"/>
          <w:b/>
        </w:rPr>
        <w:t xml:space="preserve"> </w:t>
      </w:r>
      <w:r w:rsidR="000E071A">
        <w:rPr>
          <w:rFonts w:cs="Arial"/>
        </w:rPr>
        <w:t>Figure 4</w:t>
      </w:r>
      <w:r w:rsidR="00C61C78">
        <w:rPr>
          <w:rFonts w:cs="Arial"/>
        </w:rPr>
        <w:t>.</w:t>
      </w:r>
      <w:r w:rsidR="000E071A">
        <w:rPr>
          <w:rFonts w:cs="Arial"/>
        </w:rPr>
        <w:t>1</w:t>
      </w:r>
      <w:r w:rsidR="00CC460D" w:rsidRPr="00AA1E26">
        <w:rPr>
          <w:rFonts w:cs="Arial"/>
        </w:rPr>
        <w:t xml:space="preserve"> shows the top 10 technology fields for the largest holder of foreign-oriented </w:t>
      </w:r>
      <w:r w:rsidR="004C2A54">
        <w:rPr>
          <w:rFonts w:cs="Arial"/>
        </w:rPr>
        <w:t xml:space="preserve">patent families, </w:t>
      </w:r>
      <w:r w:rsidR="001348B7">
        <w:rPr>
          <w:rFonts w:cs="Arial"/>
        </w:rPr>
        <w:t xml:space="preserve">the </w:t>
      </w:r>
      <w:proofErr w:type="spellStart"/>
      <w:r w:rsidR="004C2A54">
        <w:rPr>
          <w:rFonts w:cs="Arial"/>
        </w:rPr>
        <w:t>Foxconn</w:t>
      </w:r>
      <w:proofErr w:type="spellEnd"/>
      <w:r w:rsidR="004C2A54">
        <w:rPr>
          <w:rFonts w:cs="Arial"/>
        </w:rPr>
        <w:t xml:space="preserve"> group; </w:t>
      </w:r>
      <w:r w:rsidR="00CC460D" w:rsidRPr="00AA1E26">
        <w:rPr>
          <w:rFonts w:cs="Arial"/>
        </w:rPr>
        <w:t>“</w:t>
      </w:r>
      <w:proofErr w:type="spellStart"/>
      <w:r w:rsidR="00CC460D" w:rsidRPr="00AA1E26">
        <w:rPr>
          <w:rFonts w:cs="Arial"/>
        </w:rPr>
        <w:t>Hongfujin</w:t>
      </w:r>
      <w:proofErr w:type="spellEnd"/>
      <w:r w:rsidR="00CC460D" w:rsidRPr="00AA1E26">
        <w:rPr>
          <w:rFonts w:cs="Arial"/>
        </w:rPr>
        <w:t xml:space="preserve"> Precision Industry (Shenzhen) Co., Ltd”, “Shenzhen </w:t>
      </w:r>
      <w:proofErr w:type="spellStart"/>
      <w:r w:rsidR="00CC460D" w:rsidRPr="00AA1E26">
        <w:rPr>
          <w:rFonts w:cs="Arial"/>
        </w:rPr>
        <w:t>Futaihong</w:t>
      </w:r>
      <w:proofErr w:type="spellEnd"/>
      <w:r w:rsidR="00CC460D" w:rsidRPr="00AA1E26">
        <w:rPr>
          <w:rFonts w:cs="Arial"/>
        </w:rPr>
        <w:t xml:space="preserve"> Precision Industrial Co., Ltd” and </w:t>
      </w:r>
      <w:proofErr w:type="spellStart"/>
      <w:r w:rsidR="00CC460D" w:rsidRPr="00AA1E26">
        <w:rPr>
          <w:rFonts w:cs="Arial"/>
        </w:rPr>
        <w:t>Foxconn</w:t>
      </w:r>
      <w:proofErr w:type="spellEnd"/>
      <w:r w:rsidR="00CC460D" w:rsidRPr="00AA1E26">
        <w:rPr>
          <w:rFonts w:cs="Arial"/>
        </w:rPr>
        <w:t xml:space="preserve"> (</w:t>
      </w:r>
      <w:proofErr w:type="spellStart"/>
      <w:r w:rsidR="00CC460D" w:rsidRPr="00AA1E26">
        <w:rPr>
          <w:rFonts w:cs="Arial"/>
        </w:rPr>
        <w:t>Kunshan</w:t>
      </w:r>
      <w:proofErr w:type="spellEnd"/>
      <w:r w:rsidR="00CC460D" w:rsidRPr="00AA1E26">
        <w:rPr>
          <w:rFonts w:cs="Arial"/>
        </w:rPr>
        <w:t xml:space="preserve">) Computer Interfaces Co. are grouped </w:t>
      </w:r>
      <w:r w:rsidR="004C2A54">
        <w:rPr>
          <w:rFonts w:cs="Arial"/>
        </w:rPr>
        <w:t>in this</w:t>
      </w:r>
      <w:r w:rsidR="00CC460D" w:rsidRPr="00AA1E26">
        <w:rPr>
          <w:rFonts w:cs="Arial"/>
        </w:rPr>
        <w:t xml:space="preserve"> </w:t>
      </w:r>
      <w:r w:rsidR="004C2A54">
        <w:rPr>
          <w:rFonts w:cs="Arial"/>
        </w:rPr>
        <w:t>graph</w:t>
      </w:r>
      <w:r w:rsidR="00CC460D" w:rsidRPr="00AA1E26">
        <w:rPr>
          <w:rFonts w:cs="Arial"/>
        </w:rPr>
        <w:t>.</w:t>
      </w:r>
      <w:r w:rsidR="004C2A54">
        <w:rPr>
          <w:rStyle w:val="FootnoteReference"/>
          <w:rFonts w:cs="Arial"/>
        </w:rPr>
        <w:footnoteReference w:id="11"/>
      </w:r>
      <w:r w:rsidR="00CC460D" w:rsidRPr="00AA1E26">
        <w:rPr>
          <w:rFonts w:cs="Arial"/>
        </w:rPr>
        <w:t xml:space="preserve">  </w:t>
      </w:r>
    </w:p>
    <w:p w:rsidR="00CC460D" w:rsidRPr="008749F6" w:rsidRDefault="00CC460D" w:rsidP="008749F6">
      <w:pPr>
        <w:jc w:val="left"/>
        <w:rPr>
          <w:rFonts w:eastAsiaTheme="minorHAnsi" w:cs="Arial"/>
          <w:b/>
          <w:kern w:val="0"/>
          <w:lang w:eastAsia="en-US"/>
        </w:rPr>
      </w:pPr>
    </w:p>
    <w:p w:rsidR="00AA1E26" w:rsidRPr="008749F6" w:rsidRDefault="00AA1E26" w:rsidP="008749F6">
      <w:pPr>
        <w:jc w:val="left"/>
        <w:rPr>
          <w:rFonts w:eastAsiaTheme="minorHAnsi" w:cs="Arial"/>
          <w:b/>
          <w:kern w:val="0"/>
          <w:lang w:eastAsia="en-US"/>
        </w:rPr>
      </w:pPr>
      <w:proofErr w:type="gramStart"/>
      <w:r w:rsidRPr="008749F6">
        <w:rPr>
          <w:rFonts w:eastAsiaTheme="minorHAnsi" w:cs="Arial"/>
          <w:b/>
          <w:kern w:val="0"/>
          <w:lang w:eastAsia="en-US"/>
        </w:rPr>
        <w:t xml:space="preserve">Figure </w:t>
      </w:r>
      <w:r w:rsidR="006B185A" w:rsidRPr="008749F6">
        <w:rPr>
          <w:rFonts w:eastAsiaTheme="minorHAnsi" w:cs="Arial"/>
          <w:b/>
          <w:kern w:val="0"/>
          <w:lang w:eastAsia="en-US"/>
        </w:rPr>
        <w:t>4</w:t>
      </w:r>
      <w:r w:rsidRPr="008749F6">
        <w:rPr>
          <w:rFonts w:eastAsiaTheme="minorHAnsi" w:cs="Arial"/>
          <w:b/>
          <w:kern w:val="0"/>
          <w:lang w:eastAsia="en-US"/>
        </w:rPr>
        <w:t>.</w:t>
      </w:r>
      <w:r w:rsidR="006B185A" w:rsidRPr="008749F6">
        <w:rPr>
          <w:rFonts w:eastAsiaTheme="minorHAnsi" w:cs="Arial"/>
          <w:b/>
          <w:kern w:val="0"/>
          <w:lang w:eastAsia="en-US"/>
        </w:rPr>
        <w:t>1</w:t>
      </w:r>
      <w:r w:rsidRPr="008749F6">
        <w:rPr>
          <w:rFonts w:eastAsiaTheme="minorHAnsi" w:cs="Arial"/>
          <w:b/>
          <w:kern w:val="0"/>
          <w:lang w:eastAsia="en-US"/>
        </w:rPr>
        <w:t>.</w:t>
      </w:r>
      <w:proofErr w:type="gramEnd"/>
      <w:r w:rsidRPr="008749F6">
        <w:rPr>
          <w:rFonts w:eastAsiaTheme="minorHAnsi" w:cs="Arial"/>
          <w:b/>
          <w:kern w:val="0"/>
          <w:lang w:eastAsia="en-US"/>
        </w:rPr>
        <w:t xml:space="preserve"> </w:t>
      </w:r>
      <w:r w:rsidR="00901169">
        <w:rPr>
          <w:rFonts w:eastAsiaTheme="minorHAnsi" w:cs="Arial"/>
          <w:b/>
          <w:kern w:val="0"/>
          <w:lang w:eastAsia="en-US"/>
        </w:rPr>
        <w:t xml:space="preserve"> </w:t>
      </w:r>
      <w:r w:rsidRPr="008749F6">
        <w:rPr>
          <w:rFonts w:eastAsiaTheme="minorHAnsi" w:cs="Arial"/>
          <w:b/>
          <w:kern w:val="0"/>
          <w:lang w:eastAsia="en-US"/>
        </w:rPr>
        <w:t>Top 10 technolog</w:t>
      </w:r>
      <w:r w:rsidR="006E0653" w:rsidRPr="008749F6">
        <w:rPr>
          <w:rFonts w:eastAsiaTheme="minorHAnsi" w:cs="Arial"/>
          <w:b/>
          <w:kern w:val="0"/>
          <w:lang w:eastAsia="en-US"/>
        </w:rPr>
        <w:t xml:space="preserve">y fields for the </w:t>
      </w:r>
      <w:proofErr w:type="spellStart"/>
      <w:r w:rsidR="006E0653" w:rsidRPr="008749F6">
        <w:rPr>
          <w:rFonts w:eastAsiaTheme="minorHAnsi" w:cs="Arial"/>
          <w:b/>
          <w:kern w:val="0"/>
          <w:lang w:eastAsia="en-US"/>
        </w:rPr>
        <w:t>Foxconn</w:t>
      </w:r>
      <w:proofErr w:type="spellEnd"/>
      <w:r w:rsidR="006E0653" w:rsidRPr="008749F6">
        <w:rPr>
          <w:rFonts w:eastAsiaTheme="minorHAnsi" w:cs="Arial"/>
          <w:b/>
          <w:kern w:val="0"/>
          <w:lang w:eastAsia="en-US"/>
        </w:rPr>
        <w:t xml:space="preserve"> group, </w:t>
      </w:r>
      <w:r w:rsidR="006B185A" w:rsidRPr="008749F6">
        <w:rPr>
          <w:rFonts w:eastAsiaTheme="minorHAnsi" w:cs="Arial"/>
          <w:b/>
          <w:kern w:val="0"/>
          <w:lang w:eastAsia="en-US"/>
        </w:rPr>
        <w:t>2005-2009</w:t>
      </w:r>
    </w:p>
    <w:p w:rsidR="007B6B08" w:rsidRPr="00AA1E26" w:rsidRDefault="007B6B08" w:rsidP="00AA1E26">
      <w:pPr>
        <w:rPr>
          <w:rFonts w:cs="Arial"/>
        </w:rPr>
      </w:pPr>
      <w:r>
        <w:rPr>
          <w:noProof/>
          <w:lang w:eastAsia="en-US"/>
        </w:rPr>
        <w:drawing>
          <wp:inline distT="0" distB="0" distL="0" distR="0">
            <wp:extent cx="5400040" cy="2700020"/>
            <wp:effectExtent l="0" t="0" r="10160"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A1E26" w:rsidRPr="008749F6" w:rsidRDefault="00AA1E26" w:rsidP="008749F6">
      <w:pPr>
        <w:jc w:val="left"/>
        <w:rPr>
          <w:rFonts w:cs="Arial"/>
          <w:sz w:val="20"/>
          <w:szCs w:val="20"/>
        </w:rPr>
      </w:pPr>
      <w:r w:rsidRPr="008749F6">
        <w:rPr>
          <w:rFonts w:cs="Arial"/>
          <w:sz w:val="20"/>
          <w:szCs w:val="20"/>
        </w:rPr>
        <w:t xml:space="preserve">Source: </w:t>
      </w:r>
      <w:r w:rsidR="00901169">
        <w:rPr>
          <w:rFonts w:cs="Arial"/>
          <w:sz w:val="20"/>
          <w:szCs w:val="20"/>
        </w:rPr>
        <w:t xml:space="preserve"> </w:t>
      </w:r>
      <w:r w:rsidRPr="008749F6">
        <w:rPr>
          <w:rFonts w:cs="Arial"/>
          <w:sz w:val="20"/>
          <w:szCs w:val="20"/>
        </w:rPr>
        <w:t>WIPO IP Statistics Database.</w:t>
      </w:r>
    </w:p>
    <w:p w:rsidR="00AA1E26" w:rsidRPr="00AA1E26" w:rsidRDefault="00AA1E26" w:rsidP="00967296">
      <w:pPr>
        <w:jc w:val="left"/>
        <w:rPr>
          <w:rFonts w:eastAsia="Times New Roman" w:cs="Arial"/>
          <w:b/>
          <w:color w:val="000000"/>
          <w:kern w:val="0"/>
          <w:lang w:val="en-GB" w:eastAsia="en-US"/>
        </w:rPr>
      </w:pPr>
      <w:r w:rsidRPr="009E026E">
        <w:rPr>
          <w:rFonts w:cs="Arial"/>
        </w:rPr>
        <w:t xml:space="preserve">Huawei Technologies Co., Ltd. </w:t>
      </w:r>
      <w:r w:rsidR="009E026E" w:rsidRPr="009E026E">
        <w:rPr>
          <w:rFonts w:cs="Arial"/>
        </w:rPr>
        <w:t>and</w:t>
      </w:r>
      <w:r w:rsidRPr="009E026E">
        <w:rPr>
          <w:rFonts w:cs="Arial"/>
        </w:rPr>
        <w:t xml:space="preserve"> </w:t>
      </w:r>
      <w:r w:rsidRPr="009E026E">
        <w:rPr>
          <w:rFonts w:eastAsia="Times New Roman" w:cs="Arial"/>
          <w:color w:val="000000"/>
          <w:kern w:val="0"/>
          <w:lang w:val="en-GB" w:eastAsia="en-US"/>
        </w:rPr>
        <w:t>ZTE Corporation</w:t>
      </w:r>
      <w:r w:rsidR="009E026E" w:rsidRPr="009E026E">
        <w:rPr>
          <w:rFonts w:eastAsia="Times New Roman" w:cs="Arial"/>
          <w:color w:val="000000"/>
          <w:kern w:val="0"/>
          <w:lang w:val="en-GB" w:eastAsia="en-US"/>
        </w:rPr>
        <w:t xml:space="preserve">, both leading Chinese telecommunication equipment providers and major users of the </w:t>
      </w:r>
      <w:r w:rsidR="009E026E">
        <w:rPr>
          <w:rFonts w:eastAsia="Times New Roman" w:cs="Arial"/>
          <w:color w:val="000000"/>
          <w:kern w:val="0"/>
          <w:lang w:val="en-GB" w:eastAsia="en-US"/>
        </w:rPr>
        <w:t>patent system</w:t>
      </w:r>
      <w:r w:rsidR="009E026E" w:rsidRPr="009E026E">
        <w:rPr>
          <w:rFonts w:eastAsia="Times New Roman" w:cs="Arial"/>
          <w:color w:val="000000"/>
          <w:kern w:val="0"/>
          <w:lang w:val="en-GB" w:eastAsia="en-US"/>
        </w:rPr>
        <w:t>,</w:t>
      </w:r>
      <w:r w:rsidRPr="009E026E">
        <w:rPr>
          <w:rFonts w:eastAsia="Times New Roman" w:cs="Arial"/>
          <w:color w:val="000000"/>
          <w:kern w:val="0"/>
          <w:lang w:val="en-GB" w:eastAsia="en-US"/>
        </w:rPr>
        <w:t xml:space="preserve"> have </w:t>
      </w:r>
      <w:r w:rsidR="007B6B08">
        <w:rPr>
          <w:rFonts w:eastAsia="Times New Roman" w:cs="Arial"/>
          <w:color w:val="000000"/>
          <w:kern w:val="0"/>
          <w:lang w:val="en-GB" w:eastAsia="en-US"/>
        </w:rPr>
        <w:t>similar</w:t>
      </w:r>
      <w:r w:rsidR="00C97B58">
        <w:rPr>
          <w:rFonts w:eastAsia="Times New Roman" w:cs="Arial"/>
          <w:color w:val="000000"/>
          <w:kern w:val="0"/>
          <w:lang w:val="en-GB" w:eastAsia="en-US"/>
        </w:rPr>
        <w:t xml:space="preserve"> international patenting </w:t>
      </w:r>
      <w:r w:rsidRPr="009E026E">
        <w:rPr>
          <w:rFonts w:eastAsia="Times New Roman" w:cs="Arial"/>
          <w:color w:val="000000"/>
          <w:kern w:val="0"/>
          <w:lang w:val="en-GB" w:eastAsia="en-US"/>
        </w:rPr>
        <w:t>strategies</w:t>
      </w:r>
      <w:r w:rsidR="002B1A25">
        <w:rPr>
          <w:rFonts w:eastAsia="Times New Roman" w:cs="Arial"/>
          <w:color w:val="000000"/>
          <w:kern w:val="0"/>
          <w:lang w:val="en-GB" w:eastAsia="en-US"/>
        </w:rPr>
        <w:t xml:space="preserve"> (see Figure 4</w:t>
      </w:r>
      <w:r w:rsidR="006B185A">
        <w:rPr>
          <w:rFonts w:eastAsia="Times New Roman" w:cs="Arial"/>
          <w:color w:val="000000"/>
          <w:kern w:val="0"/>
          <w:lang w:val="en-GB" w:eastAsia="en-US"/>
        </w:rPr>
        <w:t>.2</w:t>
      </w:r>
      <w:r w:rsidR="002B1A25">
        <w:rPr>
          <w:rFonts w:eastAsia="Times New Roman" w:cs="Arial"/>
          <w:color w:val="000000"/>
          <w:kern w:val="0"/>
          <w:lang w:val="en-GB" w:eastAsia="en-US"/>
        </w:rPr>
        <w:t>)</w:t>
      </w:r>
      <w:r w:rsidR="002B1A25" w:rsidRPr="00AA1E26">
        <w:rPr>
          <w:rFonts w:eastAsia="Times New Roman" w:cs="Arial"/>
          <w:color w:val="000000"/>
          <w:kern w:val="0"/>
          <w:lang w:val="en-GB" w:eastAsia="en-US"/>
        </w:rPr>
        <w:t>.</w:t>
      </w:r>
      <w:r w:rsidR="00967296">
        <w:rPr>
          <w:rFonts w:eastAsia="Times New Roman" w:cs="Arial"/>
          <w:color w:val="000000"/>
          <w:kern w:val="0"/>
          <w:lang w:val="en-GB" w:eastAsia="en-US"/>
        </w:rPr>
        <w:t xml:space="preserve"> </w:t>
      </w:r>
      <w:r w:rsidR="002B1A25">
        <w:rPr>
          <w:rFonts w:eastAsia="Times New Roman" w:cs="Arial"/>
          <w:color w:val="000000"/>
          <w:kern w:val="0"/>
          <w:lang w:val="en-GB" w:eastAsia="en-US"/>
        </w:rPr>
        <w:t xml:space="preserve"> </w:t>
      </w:r>
      <w:r w:rsidR="0080403E">
        <w:rPr>
          <w:rFonts w:eastAsia="Times New Roman" w:cs="Arial"/>
          <w:color w:val="000000"/>
          <w:kern w:val="0"/>
          <w:lang w:val="en-GB" w:eastAsia="en-US"/>
        </w:rPr>
        <w:t>Nevertheless,</w:t>
      </w:r>
      <w:r w:rsidR="002B1A25">
        <w:rPr>
          <w:rFonts w:eastAsia="Times New Roman" w:cs="Arial"/>
          <w:color w:val="000000"/>
          <w:kern w:val="0"/>
          <w:lang w:val="en-GB" w:eastAsia="en-US"/>
        </w:rPr>
        <w:t xml:space="preserve"> </w:t>
      </w:r>
      <w:r w:rsidR="005177A6">
        <w:rPr>
          <w:rFonts w:eastAsia="Times New Roman" w:cs="Arial"/>
          <w:color w:val="000000"/>
          <w:kern w:val="0"/>
          <w:lang w:val="en-GB" w:eastAsia="en-US"/>
        </w:rPr>
        <w:t>the number of accumulated patent families differs substantially between the two companies</w:t>
      </w:r>
      <w:r w:rsidR="002B1A25">
        <w:rPr>
          <w:rFonts w:eastAsia="Times New Roman" w:cs="Arial"/>
          <w:color w:val="000000"/>
          <w:kern w:val="0"/>
          <w:lang w:val="en-GB" w:eastAsia="en-US"/>
        </w:rPr>
        <w:t xml:space="preserve">, with as many as </w:t>
      </w:r>
      <w:r w:rsidR="00F9522B">
        <w:rPr>
          <w:rFonts w:eastAsia="Times New Roman" w:cs="Arial"/>
          <w:color w:val="000000"/>
          <w:kern w:val="0"/>
          <w:lang w:val="en-GB" w:eastAsia="en-US"/>
        </w:rPr>
        <w:t>3,526</w:t>
      </w:r>
      <w:r w:rsidR="002B1A25">
        <w:rPr>
          <w:rFonts w:eastAsia="Times New Roman" w:cs="Arial"/>
          <w:color w:val="000000"/>
          <w:kern w:val="0"/>
          <w:lang w:val="en-GB" w:eastAsia="en-US"/>
        </w:rPr>
        <w:t xml:space="preserve"> patent families for </w:t>
      </w:r>
      <w:r w:rsidR="002B1A25" w:rsidRPr="009E026E">
        <w:rPr>
          <w:rFonts w:cs="Arial"/>
        </w:rPr>
        <w:t xml:space="preserve">Huawei </w:t>
      </w:r>
      <w:r w:rsidR="002B1A25" w:rsidRPr="009E026E">
        <w:rPr>
          <w:rFonts w:cs="Arial"/>
        </w:rPr>
        <w:lastRenderedPageBreak/>
        <w:t>Technologies Co., Ltd.</w:t>
      </w:r>
      <w:r w:rsidR="002B1A25">
        <w:rPr>
          <w:rFonts w:cs="Arial"/>
        </w:rPr>
        <w:t xml:space="preserve"> in 2005-09 and </w:t>
      </w:r>
      <w:r w:rsidR="00F9522B">
        <w:rPr>
          <w:rFonts w:eastAsia="Times New Roman" w:cs="Arial"/>
          <w:color w:val="000000"/>
          <w:kern w:val="0"/>
          <w:lang w:val="en-GB" w:eastAsia="en-US"/>
        </w:rPr>
        <w:t>1,687</w:t>
      </w:r>
      <w:r w:rsidR="002B1A25">
        <w:rPr>
          <w:rFonts w:eastAsia="Times New Roman" w:cs="Arial"/>
          <w:color w:val="000000"/>
          <w:kern w:val="0"/>
          <w:lang w:val="en-GB" w:eastAsia="en-US"/>
        </w:rPr>
        <w:t xml:space="preserve"> patent families for </w:t>
      </w:r>
      <w:r w:rsidR="002B1A25" w:rsidRPr="009E026E">
        <w:rPr>
          <w:rFonts w:eastAsia="Times New Roman" w:cs="Arial"/>
          <w:color w:val="000000"/>
          <w:kern w:val="0"/>
          <w:lang w:val="en-GB" w:eastAsia="en-US"/>
        </w:rPr>
        <w:t>ZTE Corporation</w:t>
      </w:r>
      <w:r w:rsidR="002B1A25">
        <w:rPr>
          <w:rFonts w:eastAsia="Times New Roman" w:cs="Arial"/>
          <w:color w:val="000000"/>
          <w:kern w:val="0"/>
          <w:lang w:val="en-GB" w:eastAsia="en-US"/>
        </w:rPr>
        <w:t xml:space="preserve"> within the same period.</w:t>
      </w:r>
      <w:r w:rsidRPr="00AA1E26">
        <w:rPr>
          <w:rFonts w:eastAsia="Times New Roman" w:cs="Arial"/>
          <w:color w:val="000000"/>
          <w:kern w:val="0"/>
          <w:lang w:val="en-GB" w:eastAsia="en-US"/>
        </w:rPr>
        <w:t xml:space="preserve"> </w:t>
      </w:r>
      <w:r w:rsidR="00967296">
        <w:rPr>
          <w:rFonts w:eastAsia="Times New Roman" w:cs="Arial"/>
          <w:color w:val="000000"/>
          <w:kern w:val="0"/>
          <w:lang w:val="en-GB" w:eastAsia="en-US"/>
        </w:rPr>
        <w:t xml:space="preserve"> </w:t>
      </w:r>
      <w:r w:rsidR="007D3EB5">
        <w:t>The number of foreign-</w:t>
      </w:r>
      <w:proofErr w:type="spellStart"/>
      <w:r w:rsidR="007D3EB5">
        <w:t>patent</w:t>
      </w:r>
      <w:proofErr w:type="spellEnd"/>
      <w:r w:rsidR="007D3EB5">
        <w:t xml:space="preserve"> families with at least one PCT filing is 4</w:t>
      </w:r>
      <w:r w:rsidR="00322D5E">
        <w:t>,</w:t>
      </w:r>
      <w:r w:rsidR="007D3EB5">
        <w:t>373 for Huawei and 2</w:t>
      </w:r>
      <w:r w:rsidR="00322D5E">
        <w:t>,</w:t>
      </w:r>
      <w:r w:rsidR="007D3EB5">
        <w:t>422 for ZTE within the whole period 1970-2012.</w:t>
      </w:r>
      <w:r w:rsidR="00967296">
        <w:t xml:space="preserve"> </w:t>
      </w:r>
      <w:r w:rsidR="007D3EB5">
        <w:t xml:space="preserve"> </w:t>
      </w:r>
      <w:r w:rsidR="00E5282B">
        <w:t xml:space="preserve">It is </w:t>
      </w:r>
      <w:r w:rsidR="007D3EB5">
        <w:t>3</w:t>
      </w:r>
      <w:r w:rsidR="00322D5E">
        <w:t>,</w:t>
      </w:r>
      <w:r w:rsidR="007D3EB5">
        <w:t>285</w:t>
      </w:r>
      <w:r w:rsidR="00E5282B">
        <w:t xml:space="preserve"> for Huawei</w:t>
      </w:r>
      <w:r w:rsidR="007D3EB5">
        <w:t xml:space="preserve"> and 1</w:t>
      </w:r>
      <w:r w:rsidR="00322D5E">
        <w:t>,</w:t>
      </w:r>
      <w:r w:rsidR="007D3EB5">
        <w:t xml:space="preserve">658 </w:t>
      </w:r>
      <w:r w:rsidR="00E5282B">
        <w:t xml:space="preserve">for ZTE </w:t>
      </w:r>
      <w:proofErr w:type="gramStart"/>
      <w:r w:rsidR="00E5282B">
        <w:t>between</w:t>
      </w:r>
      <w:r w:rsidR="007D3EB5">
        <w:t xml:space="preserve"> 2005-2009</w:t>
      </w:r>
      <w:proofErr w:type="gramEnd"/>
      <w:r w:rsidR="00E5282B">
        <w:t>.</w:t>
      </w:r>
      <w:r w:rsidR="00D948D5" w:rsidRPr="00D948D5">
        <w:t xml:space="preserve"> As noted before however, this difference in overall total stocks of PCT filings is decreasing, with ZTE filings more PCT patents than Huawei in recent years.  In 2012, ZTE was the top PCT applicant with 3,906 published applications, the highest ever yearly number of PCT applications for one single firm.</w:t>
      </w:r>
    </w:p>
    <w:p w:rsidR="00AA1E26" w:rsidRPr="002667A6" w:rsidRDefault="00AA1E26" w:rsidP="00AA1E26">
      <w:pPr>
        <w:rPr>
          <w:rFonts w:cs="Arial"/>
          <w:lang w:val="en-GB"/>
        </w:rPr>
      </w:pPr>
    </w:p>
    <w:p w:rsidR="00AA1E26" w:rsidRPr="00967296" w:rsidRDefault="00AA1E26" w:rsidP="00967296">
      <w:pPr>
        <w:jc w:val="left"/>
        <w:rPr>
          <w:rFonts w:eastAsiaTheme="minorHAnsi" w:cs="Arial"/>
          <w:b/>
          <w:kern w:val="0"/>
          <w:lang w:eastAsia="en-US"/>
        </w:rPr>
      </w:pPr>
      <w:proofErr w:type="gramStart"/>
      <w:r w:rsidRPr="00967296">
        <w:rPr>
          <w:rFonts w:eastAsiaTheme="minorHAnsi" w:cs="Arial"/>
          <w:b/>
          <w:kern w:val="0"/>
          <w:lang w:eastAsia="en-US"/>
        </w:rPr>
        <w:t xml:space="preserve">Figure </w:t>
      </w:r>
      <w:r w:rsidR="006B185A" w:rsidRPr="00967296">
        <w:rPr>
          <w:rFonts w:eastAsiaTheme="minorHAnsi" w:cs="Arial"/>
          <w:b/>
          <w:kern w:val="0"/>
          <w:lang w:eastAsia="en-US"/>
        </w:rPr>
        <w:t>4</w:t>
      </w:r>
      <w:r w:rsidRPr="00967296">
        <w:rPr>
          <w:rFonts w:eastAsiaTheme="minorHAnsi" w:cs="Arial"/>
          <w:b/>
          <w:kern w:val="0"/>
          <w:lang w:eastAsia="en-US"/>
        </w:rPr>
        <w:t>.</w:t>
      </w:r>
      <w:r w:rsidR="006B185A" w:rsidRPr="00967296">
        <w:rPr>
          <w:rFonts w:eastAsiaTheme="minorHAnsi" w:cs="Arial"/>
          <w:b/>
          <w:kern w:val="0"/>
          <w:lang w:eastAsia="en-US"/>
        </w:rPr>
        <w:t>2</w:t>
      </w:r>
      <w:r w:rsidRPr="00967296">
        <w:rPr>
          <w:rFonts w:eastAsiaTheme="minorHAnsi" w:cs="Arial"/>
          <w:b/>
          <w:kern w:val="0"/>
          <w:lang w:eastAsia="en-US"/>
        </w:rPr>
        <w:t>.</w:t>
      </w:r>
      <w:proofErr w:type="gramEnd"/>
      <w:r w:rsidRPr="00967296">
        <w:rPr>
          <w:rFonts w:eastAsiaTheme="minorHAnsi" w:cs="Arial"/>
          <w:b/>
          <w:kern w:val="0"/>
          <w:lang w:eastAsia="en-US"/>
        </w:rPr>
        <w:t xml:space="preserve"> </w:t>
      </w:r>
      <w:r w:rsidR="00901169">
        <w:rPr>
          <w:rFonts w:eastAsiaTheme="minorHAnsi" w:cs="Arial"/>
          <w:b/>
          <w:kern w:val="0"/>
          <w:lang w:eastAsia="en-US"/>
        </w:rPr>
        <w:t xml:space="preserve"> </w:t>
      </w:r>
      <w:r w:rsidRPr="00967296">
        <w:rPr>
          <w:rFonts w:eastAsiaTheme="minorHAnsi" w:cs="Arial"/>
          <w:b/>
          <w:kern w:val="0"/>
          <w:lang w:eastAsia="en-US"/>
        </w:rPr>
        <w:t>Top 10 technology fields for Huawei Technologies Co.</w:t>
      </w:r>
      <w:r w:rsidR="006E0653" w:rsidRPr="00967296">
        <w:rPr>
          <w:rFonts w:eastAsiaTheme="minorHAnsi" w:cs="Arial"/>
          <w:b/>
          <w:kern w:val="0"/>
          <w:lang w:eastAsia="en-US"/>
        </w:rPr>
        <w:t xml:space="preserve"> and ZTE Corporation, Ltd., </w:t>
      </w:r>
      <w:r w:rsidR="007B6B08" w:rsidRPr="00967296">
        <w:rPr>
          <w:rFonts w:eastAsiaTheme="minorHAnsi" w:cs="Arial"/>
          <w:b/>
          <w:kern w:val="0"/>
          <w:lang w:eastAsia="en-US"/>
        </w:rPr>
        <w:t>2005-2009</w:t>
      </w:r>
    </w:p>
    <w:p w:rsidR="00967296" w:rsidRDefault="00967296" w:rsidP="00AA1E26">
      <w:pPr>
        <w:rPr>
          <w:rFonts w:cs="Arial"/>
        </w:rPr>
      </w:pPr>
    </w:p>
    <w:p w:rsidR="007B6B08" w:rsidRPr="006B185A" w:rsidRDefault="007B6B08" w:rsidP="00AA1E26">
      <w:pPr>
        <w:rPr>
          <w:rFonts w:cs="Arial"/>
        </w:rPr>
        <w:sectPr w:rsidR="007B6B08" w:rsidRPr="006B185A" w:rsidSect="00A02D54">
          <w:headerReference w:type="default" r:id="rId37"/>
          <w:footerReference w:type="default" r:id="rId38"/>
          <w:headerReference w:type="first" r:id="rId39"/>
          <w:footerReference w:type="first" r:id="rId40"/>
          <w:pgSz w:w="11906" w:h="16838" w:code="9"/>
          <w:pgMar w:top="567" w:right="1134" w:bottom="1418" w:left="1418" w:header="510" w:footer="1021" w:gutter="0"/>
          <w:pgNumType w:start="1"/>
          <w:cols w:space="425"/>
          <w:titlePg/>
          <w:docGrid w:type="lines" w:linePitch="360"/>
        </w:sectPr>
      </w:pPr>
    </w:p>
    <w:p w:rsidR="007B6B08" w:rsidRPr="0080403E" w:rsidRDefault="00334E90" w:rsidP="0080403E">
      <w:pPr>
        <w:jc w:val="center"/>
        <w:rPr>
          <w:rFonts w:cs="Arial"/>
          <w:b/>
        </w:rPr>
      </w:pPr>
      <w:r w:rsidRPr="0080403E">
        <w:rPr>
          <w:rFonts w:cs="Arial"/>
          <w:b/>
        </w:rPr>
        <w:lastRenderedPageBreak/>
        <w:t>Huawei</w:t>
      </w:r>
      <w:r w:rsidRPr="0080403E">
        <w:rPr>
          <w:rFonts w:cs="Arial"/>
          <w:b/>
        </w:rPr>
        <w:tab/>
      </w:r>
      <w:r w:rsidRPr="0080403E">
        <w:rPr>
          <w:rFonts w:cs="Arial"/>
          <w:b/>
        </w:rPr>
        <w:tab/>
      </w:r>
      <w:r w:rsidRPr="0080403E">
        <w:rPr>
          <w:rFonts w:cs="Arial"/>
          <w:b/>
        </w:rPr>
        <w:tab/>
      </w:r>
      <w:r w:rsidRPr="0080403E">
        <w:rPr>
          <w:rFonts w:cs="Arial"/>
          <w:b/>
        </w:rPr>
        <w:tab/>
      </w:r>
      <w:r w:rsidRPr="0080403E">
        <w:rPr>
          <w:rFonts w:cs="Arial"/>
          <w:b/>
        </w:rPr>
        <w:tab/>
      </w:r>
      <w:r w:rsidRPr="0080403E">
        <w:rPr>
          <w:rFonts w:cs="Arial"/>
          <w:b/>
        </w:rPr>
        <w:tab/>
      </w:r>
      <w:r w:rsidRPr="0080403E">
        <w:rPr>
          <w:rFonts w:cs="Arial"/>
          <w:b/>
        </w:rPr>
        <w:tab/>
      </w:r>
      <w:r w:rsidRPr="0080403E">
        <w:rPr>
          <w:rFonts w:cs="Arial"/>
          <w:b/>
        </w:rPr>
        <w:tab/>
        <w:t>ZTE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0"/>
        <w:gridCol w:w="4360"/>
      </w:tblGrid>
      <w:tr w:rsidR="005F297F" w:rsidTr="00720773">
        <w:trPr>
          <w:trHeight w:val="2873"/>
        </w:trPr>
        <w:tc>
          <w:tcPr>
            <w:tcW w:w="2500" w:type="pct"/>
          </w:tcPr>
          <w:p w:rsidR="006904D6" w:rsidRDefault="007B6B08" w:rsidP="00AA1E26">
            <w:pPr>
              <w:rPr>
                <w:rFonts w:cs="Arial"/>
              </w:rPr>
            </w:pPr>
            <w:r>
              <w:rPr>
                <w:noProof/>
                <w:lang w:eastAsia="en-US"/>
              </w:rPr>
              <w:drawing>
                <wp:inline distT="0" distB="0" distL="0" distR="0">
                  <wp:extent cx="27432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2500" w:type="pct"/>
          </w:tcPr>
          <w:p w:rsidR="006E0653" w:rsidRDefault="007B6B08" w:rsidP="00AA1E26">
            <w:pPr>
              <w:rPr>
                <w:rFonts w:cs="Arial"/>
              </w:rPr>
            </w:pPr>
            <w:r>
              <w:rPr>
                <w:noProof/>
                <w:lang w:eastAsia="en-US"/>
              </w:rPr>
              <w:drawing>
                <wp:inline distT="0" distB="0" distL="0" distR="0">
                  <wp:extent cx="2682815" cy="2743200"/>
                  <wp:effectExtent l="0" t="0" r="2286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rsidR="00AA1E26" w:rsidRPr="00967296" w:rsidRDefault="00AA1E26" w:rsidP="00967296">
      <w:pPr>
        <w:jc w:val="left"/>
        <w:rPr>
          <w:rFonts w:cs="Arial"/>
          <w:sz w:val="20"/>
          <w:szCs w:val="20"/>
        </w:rPr>
      </w:pPr>
      <w:r w:rsidRPr="00967296">
        <w:rPr>
          <w:rFonts w:cs="Arial"/>
          <w:sz w:val="20"/>
          <w:szCs w:val="20"/>
        </w:rPr>
        <w:t xml:space="preserve">Source: </w:t>
      </w:r>
      <w:r w:rsidR="00901169">
        <w:rPr>
          <w:rFonts w:cs="Arial"/>
          <w:sz w:val="20"/>
          <w:szCs w:val="20"/>
        </w:rPr>
        <w:t xml:space="preserve"> </w:t>
      </w:r>
      <w:r w:rsidRPr="00967296">
        <w:rPr>
          <w:rFonts w:cs="Arial"/>
          <w:sz w:val="20"/>
          <w:szCs w:val="20"/>
        </w:rPr>
        <w:t>WIPO IP Statistics Database.</w:t>
      </w:r>
    </w:p>
    <w:p w:rsidR="00AA1E26" w:rsidRPr="00AA1E26" w:rsidRDefault="00AA1E26" w:rsidP="00967296">
      <w:pPr>
        <w:jc w:val="left"/>
        <w:rPr>
          <w:rFonts w:eastAsia="Times New Roman" w:cs="Arial"/>
          <w:color w:val="000000"/>
          <w:kern w:val="0"/>
          <w:lang w:val="en-GB" w:eastAsia="en-US"/>
        </w:rPr>
      </w:pPr>
    </w:p>
    <w:p w:rsidR="00AA1E26" w:rsidRPr="00AA1E26" w:rsidRDefault="00F16E68" w:rsidP="00967296">
      <w:pPr>
        <w:jc w:val="left"/>
        <w:rPr>
          <w:rFonts w:cs="Arial"/>
        </w:rPr>
      </w:pPr>
      <w:r w:rsidRPr="001D2543">
        <w:rPr>
          <w:rFonts w:cs="Arial"/>
          <w:lang w:val="en-GB"/>
        </w:rPr>
        <w:t xml:space="preserve">When plotting </w:t>
      </w:r>
      <w:r w:rsidR="00AA1E26" w:rsidRPr="001D2543">
        <w:rPr>
          <w:rFonts w:cs="Arial"/>
        </w:rPr>
        <w:t xml:space="preserve">foreign-oriented patent families </w:t>
      </w:r>
      <w:r w:rsidRPr="001D2543">
        <w:rPr>
          <w:rFonts w:cs="Arial"/>
        </w:rPr>
        <w:t xml:space="preserve">of the top filers over time, one sees that the five most active filers </w:t>
      </w:r>
      <w:r w:rsidR="001D2543" w:rsidRPr="001D2543">
        <w:rPr>
          <w:rFonts w:cs="Arial"/>
        </w:rPr>
        <w:t>increased their</w:t>
      </w:r>
      <w:r w:rsidR="00AA1E26" w:rsidRPr="001D2543">
        <w:rPr>
          <w:rFonts w:cs="Arial"/>
        </w:rPr>
        <w:t xml:space="preserve"> </w:t>
      </w:r>
      <w:r w:rsidRPr="001D2543">
        <w:rPr>
          <w:rFonts w:cs="Arial"/>
        </w:rPr>
        <w:t>filing abroad</w:t>
      </w:r>
      <w:r w:rsidR="00AA1E26" w:rsidRPr="001D2543">
        <w:rPr>
          <w:rFonts w:cs="Arial"/>
        </w:rPr>
        <w:t xml:space="preserve"> </w:t>
      </w:r>
      <w:r w:rsidR="00932853" w:rsidRPr="001D2543">
        <w:rPr>
          <w:rFonts w:cs="Arial"/>
        </w:rPr>
        <w:t>considerably</w:t>
      </w:r>
      <w:r w:rsidR="001D2543" w:rsidRPr="001D2543">
        <w:rPr>
          <w:rFonts w:cs="Arial"/>
        </w:rPr>
        <w:t xml:space="preserve"> </w:t>
      </w:r>
      <w:r w:rsidR="00AA1E26" w:rsidRPr="001D2543">
        <w:rPr>
          <w:rFonts w:cs="Arial"/>
        </w:rPr>
        <w:t>only after 2004</w:t>
      </w:r>
      <w:r w:rsidR="001D2543" w:rsidRPr="001D2543">
        <w:rPr>
          <w:rFonts w:cs="Arial"/>
        </w:rPr>
        <w:t xml:space="preserve"> (see</w:t>
      </w:r>
      <w:r w:rsidR="001D2543">
        <w:rPr>
          <w:rFonts w:cs="Arial"/>
        </w:rPr>
        <w:t xml:space="preserve"> Figure </w:t>
      </w:r>
      <w:r w:rsidR="00334E90">
        <w:rPr>
          <w:rFonts w:cs="Arial"/>
        </w:rPr>
        <w:t>4</w:t>
      </w:r>
      <w:r w:rsidR="001D2543">
        <w:rPr>
          <w:rFonts w:cs="Arial"/>
        </w:rPr>
        <w:t>.</w:t>
      </w:r>
      <w:r w:rsidR="00334E90">
        <w:rPr>
          <w:rFonts w:cs="Arial"/>
        </w:rPr>
        <w:t>3</w:t>
      </w:r>
      <w:r w:rsidR="001D2543">
        <w:rPr>
          <w:rFonts w:cs="Arial"/>
        </w:rPr>
        <w:t>)</w:t>
      </w:r>
      <w:r w:rsidR="00AA1E26" w:rsidRPr="00AA1E26">
        <w:rPr>
          <w:rFonts w:cs="Arial"/>
        </w:rPr>
        <w:t>.</w:t>
      </w:r>
    </w:p>
    <w:p w:rsidR="00AA1E26" w:rsidRPr="002602F5" w:rsidRDefault="00967296" w:rsidP="002602F5">
      <w:pPr>
        <w:widowControl/>
        <w:jc w:val="left"/>
        <w:rPr>
          <w:rFonts w:cs="Arial"/>
        </w:rPr>
      </w:pPr>
      <w:r>
        <w:rPr>
          <w:rFonts w:cs="Arial"/>
        </w:rPr>
        <w:br w:type="page"/>
      </w:r>
    </w:p>
    <w:p w:rsidR="00AA1E26" w:rsidRPr="002602F5" w:rsidRDefault="00AA1E26" w:rsidP="002602F5">
      <w:pPr>
        <w:jc w:val="left"/>
        <w:rPr>
          <w:rFonts w:eastAsiaTheme="minorHAnsi" w:cs="Arial"/>
          <w:b/>
          <w:kern w:val="0"/>
          <w:lang w:eastAsia="en-US"/>
        </w:rPr>
      </w:pPr>
      <w:proofErr w:type="gramStart"/>
      <w:r w:rsidRPr="002602F5">
        <w:rPr>
          <w:rFonts w:eastAsiaTheme="minorHAnsi" w:cs="Arial"/>
          <w:b/>
          <w:kern w:val="0"/>
          <w:lang w:eastAsia="en-US"/>
        </w:rPr>
        <w:lastRenderedPageBreak/>
        <w:t xml:space="preserve">Figure </w:t>
      </w:r>
      <w:r w:rsidR="00334E90" w:rsidRPr="002602F5">
        <w:rPr>
          <w:rFonts w:eastAsiaTheme="minorHAnsi" w:cs="Arial"/>
          <w:b/>
          <w:kern w:val="0"/>
          <w:lang w:eastAsia="en-US"/>
        </w:rPr>
        <w:t>4</w:t>
      </w:r>
      <w:r w:rsidRPr="002602F5">
        <w:rPr>
          <w:rFonts w:eastAsiaTheme="minorHAnsi" w:cs="Arial"/>
          <w:b/>
          <w:kern w:val="0"/>
          <w:lang w:eastAsia="en-US"/>
        </w:rPr>
        <w:t>.</w:t>
      </w:r>
      <w:r w:rsidR="00334E90" w:rsidRPr="002602F5">
        <w:rPr>
          <w:rFonts w:eastAsiaTheme="minorHAnsi" w:cs="Arial"/>
          <w:b/>
          <w:kern w:val="0"/>
          <w:lang w:eastAsia="en-US"/>
        </w:rPr>
        <w:t>3</w:t>
      </w:r>
      <w:r w:rsidRPr="002602F5">
        <w:rPr>
          <w:rFonts w:eastAsiaTheme="minorHAnsi" w:cs="Arial"/>
          <w:b/>
          <w:kern w:val="0"/>
          <w:lang w:eastAsia="en-US"/>
        </w:rPr>
        <w:t>.</w:t>
      </w:r>
      <w:proofErr w:type="gramEnd"/>
      <w:r w:rsidRPr="002602F5">
        <w:rPr>
          <w:rFonts w:eastAsiaTheme="minorHAnsi" w:cs="Arial"/>
          <w:b/>
          <w:kern w:val="0"/>
          <w:lang w:eastAsia="en-US"/>
        </w:rPr>
        <w:t xml:space="preserve"> Top 5 foreign-oriented family </w:t>
      </w:r>
      <w:r w:rsidR="001D2543" w:rsidRPr="002602F5">
        <w:rPr>
          <w:rFonts w:eastAsiaTheme="minorHAnsi" w:cs="Arial"/>
          <w:b/>
          <w:kern w:val="0"/>
          <w:lang w:eastAsia="en-US"/>
        </w:rPr>
        <w:t>holders among Chinese residents, 2000-2009</w:t>
      </w:r>
      <w:r w:rsidRPr="002602F5">
        <w:rPr>
          <w:rFonts w:eastAsiaTheme="minorHAnsi" w:cs="Arial"/>
          <w:b/>
          <w:kern w:val="0"/>
          <w:lang w:eastAsia="en-US"/>
        </w:rPr>
        <w:t xml:space="preserve"> </w:t>
      </w:r>
    </w:p>
    <w:p w:rsidR="00D30C52" w:rsidRPr="00AA1E26" w:rsidRDefault="00D30C52" w:rsidP="00AA1E26">
      <w:pPr>
        <w:rPr>
          <w:rFonts w:cs="Arial"/>
        </w:rPr>
      </w:pPr>
      <w:r>
        <w:rPr>
          <w:noProof/>
          <w:lang w:eastAsia="en-US"/>
        </w:rPr>
        <w:drawing>
          <wp:inline distT="0" distB="0" distL="0" distR="0">
            <wp:extent cx="5400040" cy="2704716"/>
            <wp:effectExtent l="0" t="0" r="10160" b="1968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A1E26" w:rsidRPr="002602F5" w:rsidRDefault="00AA1E26" w:rsidP="002602F5">
      <w:pPr>
        <w:jc w:val="left"/>
        <w:rPr>
          <w:rFonts w:cs="Arial"/>
          <w:sz w:val="20"/>
          <w:szCs w:val="20"/>
        </w:rPr>
      </w:pPr>
      <w:r w:rsidRPr="002602F5">
        <w:rPr>
          <w:rFonts w:cs="Arial"/>
          <w:sz w:val="20"/>
          <w:szCs w:val="20"/>
        </w:rPr>
        <w:t>Source: WIPO IP Statistics Database.</w:t>
      </w:r>
    </w:p>
    <w:p w:rsidR="001D2543" w:rsidRDefault="001D2543" w:rsidP="002602F5">
      <w:pPr>
        <w:jc w:val="left"/>
        <w:rPr>
          <w:rFonts w:cs="Arial"/>
        </w:rPr>
      </w:pPr>
    </w:p>
    <w:p w:rsidR="00932853" w:rsidRDefault="00932853" w:rsidP="002602F5">
      <w:pPr>
        <w:jc w:val="left"/>
        <w:rPr>
          <w:rFonts w:cs="Arial"/>
        </w:rPr>
      </w:pPr>
      <w:r>
        <w:rPr>
          <w:rFonts w:cs="Arial"/>
        </w:rPr>
        <w:t>One can also show that the largest</w:t>
      </w:r>
      <w:r w:rsidR="00AA1E26" w:rsidRPr="001D2543">
        <w:rPr>
          <w:rFonts w:cs="Arial"/>
        </w:rPr>
        <w:t xml:space="preserve"> foreign-oriented patent family holders have almost e</w:t>
      </w:r>
      <w:r>
        <w:rPr>
          <w:rFonts w:cs="Arial"/>
        </w:rPr>
        <w:t>xclusively patent for invention-</w:t>
      </w:r>
      <w:r w:rsidR="00AA1E26" w:rsidRPr="001D2543">
        <w:rPr>
          <w:rFonts w:cs="Arial"/>
        </w:rPr>
        <w:t>originated families</w:t>
      </w:r>
      <w:r w:rsidR="00334E90">
        <w:rPr>
          <w:rFonts w:cs="Arial"/>
        </w:rPr>
        <w:t xml:space="preserve"> (Figure 4.4)</w:t>
      </w:r>
      <w:r w:rsidR="00872EC7">
        <w:rPr>
          <w:rFonts w:cs="Arial"/>
        </w:rPr>
        <w:t>, rather than those families originated by UM.</w:t>
      </w:r>
      <w:r w:rsidR="002602F5">
        <w:rPr>
          <w:rFonts w:cs="Arial"/>
        </w:rPr>
        <w:t xml:space="preserve"> </w:t>
      </w:r>
      <w:r w:rsidR="00334E90">
        <w:rPr>
          <w:rFonts w:cs="Arial"/>
        </w:rPr>
        <w:t xml:space="preserve"> Interestingly the </w:t>
      </w:r>
      <w:r w:rsidR="00232470">
        <w:rPr>
          <w:rFonts w:cs="Arial"/>
        </w:rPr>
        <w:t>pe</w:t>
      </w:r>
      <w:r w:rsidR="009C1B5F">
        <w:rPr>
          <w:rFonts w:cs="Arial"/>
        </w:rPr>
        <w:t>rcentage is much smaller for one</w:t>
      </w:r>
      <w:r w:rsidR="00232470">
        <w:rPr>
          <w:rFonts w:cs="Arial"/>
        </w:rPr>
        <w:t xml:space="preserve"> </w:t>
      </w:r>
      <w:proofErr w:type="spellStart"/>
      <w:r w:rsidR="00232470">
        <w:rPr>
          <w:rFonts w:cs="Arial"/>
        </w:rPr>
        <w:t>Foxconn</w:t>
      </w:r>
      <w:proofErr w:type="spellEnd"/>
      <w:r w:rsidR="00232470">
        <w:rPr>
          <w:rFonts w:cs="Arial"/>
        </w:rPr>
        <w:t xml:space="preserve"> </w:t>
      </w:r>
      <w:r w:rsidR="009C1B5F">
        <w:rPr>
          <w:rFonts w:cs="Arial"/>
        </w:rPr>
        <w:t>subsi</w:t>
      </w:r>
      <w:r w:rsidR="00322D5E">
        <w:rPr>
          <w:rFonts w:cs="Arial"/>
        </w:rPr>
        <w:t>d</w:t>
      </w:r>
      <w:r w:rsidR="009C1B5F">
        <w:rPr>
          <w:rFonts w:cs="Arial"/>
        </w:rPr>
        <w:t>i</w:t>
      </w:r>
      <w:r w:rsidR="00322D5E">
        <w:rPr>
          <w:rFonts w:cs="Arial"/>
        </w:rPr>
        <w:t>ar</w:t>
      </w:r>
      <w:r w:rsidR="009C1B5F">
        <w:rPr>
          <w:rFonts w:cs="Arial"/>
        </w:rPr>
        <w:t>y listed here (</w:t>
      </w:r>
      <w:proofErr w:type="spellStart"/>
      <w:r w:rsidR="009C1B5F">
        <w:rPr>
          <w:rFonts w:cs="Arial"/>
        </w:rPr>
        <w:t>Foxconn</w:t>
      </w:r>
      <w:proofErr w:type="spellEnd"/>
      <w:r w:rsidR="009C1B5F">
        <w:rPr>
          <w:rFonts w:cs="Arial"/>
        </w:rPr>
        <w:t xml:space="preserve"> </w:t>
      </w:r>
      <w:proofErr w:type="spellStart"/>
      <w:r w:rsidR="009C1B5F">
        <w:rPr>
          <w:rFonts w:cs="Arial"/>
        </w:rPr>
        <w:t>Kunshan</w:t>
      </w:r>
      <w:proofErr w:type="spellEnd"/>
      <w:r w:rsidR="009C1B5F">
        <w:rPr>
          <w:rFonts w:cs="Arial"/>
        </w:rPr>
        <w:t xml:space="preserve">) </w:t>
      </w:r>
      <w:r w:rsidR="00232470">
        <w:rPr>
          <w:rFonts w:cs="Arial"/>
        </w:rPr>
        <w:t xml:space="preserve">which uses the </w:t>
      </w:r>
      <w:r w:rsidR="005D1788">
        <w:rPr>
          <w:rFonts w:cs="Arial"/>
        </w:rPr>
        <w:t>UM</w:t>
      </w:r>
      <w:r w:rsidR="00232470">
        <w:rPr>
          <w:rFonts w:cs="Arial"/>
        </w:rPr>
        <w:t xml:space="preserve"> system more. </w:t>
      </w:r>
      <w:r w:rsidR="002602F5">
        <w:rPr>
          <w:rFonts w:cs="Arial"/>
        </w:rPr>
        <w:t xml:space="preserve"> </w:t>
      </w:r>
      <w:r w:rsidR="00AC7E63">
        <w:rPr>
          <w:rFonts w:cs="Arial"/>
        </w:rPr>
        <w:t>BYD, the</w:t>
      </w:r>
      <w:r w:rsidR="00232470">
        <w:rPr>
          <w:rFonts w:cs="Arial"/>
        </w:rPr>
        <w:t xml:space="preserve"> only automotive manufacturer in the top 10 list </w:t>
      </w:r>
      <w:r w:rsidR="00AC7E63">
        <w:rPr>
          <w:rFonts w:cs="Arial"/>
        </w:rPr>
        <w:t>also seems to rely more on the UM system as entry point for foreign-oriented patent families</w:t>
      </w:r>
      <w:r w:rsidR="00232470">
        <w:rPr>
          <w:rFonts w:cs="Arial"/>
        </w:rPr>
        <w:t>.</w:t>
      </w:r>
    </w:p>
    <w:p w:rsidR="002602F5" w:rsidRDefault="002602F5">
      <w:pPr>
        <w:widowControl/>
        <w:jc w:val="left"/>
        <w:rPr>
          <w:rFonts w:cs="Arial"/>
        </w:rPr>
      </w:pPr>
      <w:r>
        <w:rPr>
          <w:rFonts w:cs="Arial"/>
        </w:rPr>
        <w:br w:type="page"/>
      </w:r>
    </w:p>
    <w:p w:rsidR="00D46828" w:rsidRPr="001D2543" w:rsidRDefault="00D46828" w:rsidP="002602F5">
      <w:pPr>
        <w:jc w:val="left"/>
        <w:rPr>
          <w:rFonts w:cs="Arial"/>
        </w:rPr>
      </w:pPr>
    </w:p>
    <w:p w:rsidR="00AA1E26" w:rsidRPr="00AA402A" w:rsidRDefault="00AA1E26" w:rsidP="00AA402A">
      <w:pPr>
        <w:jc w:val="left"/>
        <w:rPr>
          <w:rFonts w:eastAsiaTheme="minorHAnsi" w:cs="Arial"/>
          <w:b/>
          <w:kern w:val="0"/>
          <w:lang w:eastAsia="en-US"/>
        </w:rPr>
      </w:pPr>
      <w:proofErr w:type="gramStart"/>
      <w:r w:rsidRPr="00AA402A">
        <w:rPr>
          <w:rFonts w:eastAsiaTheme="minorHAnsi" w:cs="Arial"/>
          <w:b/>
          <w:kern w:val="0"/>
          <w:lang w:eastAsia="en-US"/>
        </w:rPr>
        <w:t xml:space="preserve">Figure </w:t>
      </w:r>
      <w:r w:rsidR="00334E90" w:rsidRPr="00AA402A">
        <w:rPr>
          <w:rFonts w:eastAsiaTheme="minorHAnsi" w:cs="Arial"/>
          <w:b/>
          <w:kern w:val="0"/>
          <w:lang w:eastAsia="en-US"/>
        </w:rPr>
        <w:t>4</w:t>
      </w:r>
      <w:r w:rsidRPr="00AA402A">
        <w:rPr>
          <w:rFonts w:eastAsiaTheme="minorHAnsi" w:cs="Arial"/>
          <w:b/>
          <w:kern w:val="0"/>
          <w:lang w:eastAsia="en-US"/>
        </w:rPr>
        <w:t>.</w:t>
      </w:r>
      <w:r w:rsidR="00334E90" w:rsidRPr="00AA402A">
        <w:rPr>
          <w:rFonts w:eastAsiaTheme="minorHAnsi" w:cs="Arial"/>
          <w:b/>
          <w:kern w:val="0"/>
          <w:lang w:eastAsia="en-US"/>
        </w:rPr>
        <w:t>4</w:t>
      </w:r>
      <w:r w:rsidRPr="00AA402A">
        <w:rPr>
          <w:rFonts w:eastAsiaTheme="minorHAnsi" w:cs="Arial"/>
          <w:b/>
          <w:kern w:val="0"/>
          <w:lang w:eastAsia="en-US"/>
        </w:rPr>
        <w:t>.</w:t>
      </w:r>
      <w:proofErr w:type="gramEnd"/>
      <w:r w:rsidRPr="00AA402A">
        <w:rPr>
          <w:rFonts w:eastAsiaTheme="minorHAnsi" w:cs="Arial"/>
          <w:b/>
          <w:kern w:val="0"/>
          <w:lang w:eastAsia="en-US"/>
        </w:rPr>
        <w:t xml:space="preserve"> </w:t>
      </w:r>
      <w:r w:rsidR="0065059A">
        <w:rPr>
          <w:rFonts w:eastAsiaTheme="minorHAnsi" w:cs="Arial"/>
          <w:b/>
          <w:kern w:val="0"/>
          <w:lang w:eastAsia="en-US"/>
        </w:rPr>
        <w:t xml:space="preserve"> </w:t>
      </w:r>
      <w:r w:rsidRPr="00AA402A">
        <w:rPr>
          <w:rFonts w:eastAsiaTheme="minorHAnsi" w:cs="Arial"/>
          <w:b/>
          <w:kern w:val="0"/>
          <w:lang w:eastAsia="en-US"/>
        </w:rPr>
        <w:t>Share of patent for invention f</w:t>
      </w:r>
      <w:r w:rsidR="001D2543" w:rsidRPr="00AA402A">
        <w:rPr>
          <w:rFonts w:eastAsiaTheme="minorHAnsi" w:cs="Arial"/>
          <w:b/>
          <w:kern w:val="0"/>
          <w:lang w:eastAsia="en-US"/>
        </w:rPr>
        <w:t xml:space="preserve">amilies among top 10 applicants, </w:t>
      </w:r>
      <w:r w:rsidR="0065059A">
        <w:rPr>
          <w:rFonts w:eastAsiaTheme="minorHAnsi" w:cs="Arial"/>
          <w:b/>
          <w:kern w:val="0"/>
          <w:lang w:eastAsia="en-US"/>
        </w:rPr>
        <w:br/>
      </w:r>
      <w:r w:rsidR="00BB7015" w:rsidRPr="00AA402A">
        <w:rPr>
          <w:rFonts w:eastAsiaTheme="minorHAnsi" w:cs="Arial"/>
          <w:b/>
          <w:kern w:val="0"/>
          <w:lang w:eastAsia="en-US"/>
        </w:rPr>
        <w:t>1970-</w:t>
      </w:r>
      <w:r w:rsidR="00D5551F" w:rsidRPr="00AA402A">
        <w:rPr>
          <w:rFonts w:eastAsiaTheme="minorHAnsi" w:cs="Arial"/>
          <w:b/>
          <w:kern w:val="0"/>
          <w:lang w:eastAsia="en-US"/>
        </w:rPr>
        <w:t>2012</w:t>
      </w:r>
      <w:r w:rsidRPr="00AA402A">
        <w:rPr>
          <w:rFonts w:eastAsiaTheme="minorHAnsi" w:cs="Arial"/>
          <w:b/>
          <w:kern w:val="0"/>
          <w:lang w:eastAsia="en-US"/>
        </w:rPr>
        <w:t xml:space="preserve"> </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A1E26" w:rsidRPr="00154D28" w:rsidRDefault="00AA1E26" w:rsidP="00154D28">
      <w:pPr>
        <w:jc w:val="left"/>
        <w:rPr>
          <w:rFonts w:cs="Arial"/>
          <w:sz w:val="20"/>
          <w:szCs w:val="20"/>
        </w:rPr>
      </w:pPr>
      <w:r w:rsidRPr="00154D28">
        <w:rPr>
          <w:rFonts w:cs="Arial"/>
          <w:sz w:val="20"/>
          <w:szCs w:val="20"/>
        </w:rPr>
        <w:t>Source:</w:t>
      </w:r>
      <w:r w:rsidR="0065059A">
        <w:rPr>
          <w:rFonts w:cs="Arial"/>
          <w:sz w:val="20"/>
          <w:szCs w:val="20"/>
        </w:rPr>
        <w:t xml:space="preserve"> </w:t>
      </w:r>
      <w:r w:rsidRPr="00154D28">
        <w:rPr>
          <w:rFonts w:cs="Arial"/>
          <w:sz w:val="20"/>
          <w:szCs w:val="20"/>
        </w:rPr>
        <w:t xml:space="preserve"> WIPO IP Statistics Database.</w:t>
      </w:r>
    </w:p>
    <w:p w:rsidR="001463AD" w:rsidRDefault="001463AD" w:rsidP="00154D28">
      <w:pPr>
        <w:jc w:val="left"/>
        <w:rPr>
          <w:rFonts w:cs="Arial"/>
        </w:rPr>
      </w:pPr>
    </w:p>
    <w:p w:rsidR="008E537C" w:rsidRPr="00154D28" w:rsidRDefault="00932853" w:rsidP="00154D28">
      <w:pPr>
        <w:jc w:val="left"/>
        <w:rPr>
          <w:rFonts w:cs="Arial"/>
          <w:b/>
        </w:rPr>
      </w:pPr>
      <w:r w:rsidRPr="00932853">
        <w:rPr>
          <w:rFonts w:cs="Arial"/>
        </w:rPr>
        <w:t>Interestingly even these t</w:t>
      </w:r>
      <w:r w:rsidR="00AC7E63">
        <w:rPr>
          <w:rFonts w:cs="Arial"/>
        </w:rPr>
        <w:t xml:space="preserve">op 10 applicants protect the majority of their patentable </w:t>
      </w:r>
      <w:r w:rsidRPr="00932853">
        <w:rPr>
          <w:rFonts w:cs="Arial"/>
        </w:rPr>
        <w:t>inventions</w:t>
      </w:r>
      <w:r w:rsidR="00AA1E26" w:rsidRPr="00932853">
        <w:rPr>
          <w:rFonts w:cs="Arial"/>
        </w:rPr>
        <w:t xml:space="preserve"> </w:t>
      </w:r>
      <w:r w:rsidRPr="00932853">
        <w:rPr>
          <w:rFonts w:cs="Arial"/>
        </w:rPr>
        <w:t>only in</w:t>
      </w:r>
      <w:r w:rsidR="00AA1E26" w:rsidRPr="00932853">
        <w:rPr>
          <w:rFonts w:cs="Arial"/>
        </w:rPr>
        <w:t xml:space="preserve"> one or two </w:t>
      </w:r>
      <w:proofErr w:type="gramStart"/>
      <w:r w:rsidR="00AA1E26" w:rsidRPr="00932853">
        <w:rPr>
          <w:rFonts w:cs="Arial"/>
        </w:rPr>
        <w:t>jurisdictions,</w:t>
      </w:r>
      <w:proofErr w:type="gramEnd"/>
      <w:r w:rsidR="00AA1E26" w:rsidRPr="00932853">
        <w:rPr>
          <w:rFonts w:cs="Arial"/>
        </w:rPr>
        <w:t xml:space="preserve"> with USPTO receiving the majority of applications (see Figure </w:t>
      </w:r>
      <w:r w:rsidR="00232470">
        <w:rPr>
          <w:rFonts w:cs="Arial"/>
        </w:rPr>
        <w:t>4.5</w:t>
      </w:r>
      <w:r w:rsidR="00AA1E26" w:rsidRPr="00932853">
        <w:rPr>
          <w:rFonts w:cs="Arial"/>
        </w:rPr>
        <w:t xml:space="preserve"> and Figure </w:t>
      </w:r>
      <w:r w:rsidR="00D5551F">
        <w:rPr>
          <w:rFonts w:cs="Arial"/>
        </w:rPr>
        <w:t>4</w:t>
      </w:r>
      <w:r w:rsidR="00AA1E26" w:rsidRPr="00932853">
        <w:rPr>
          <w:rFonts w:cs="Arial"/>
        </w:rPr>
        <w:t>.</w:t>
      </w:r>
      <w:r w:rsidR="00D5551F">
        <w:rPr>
          <w:rFonts w:cs="Arial"/>
        </w:rPr>
        <w:t>6</w:t>
      </w:r>
      <w:r w:rsidR="00AA1E26" w:rsidRPr="00932853">
        <w:rPr>
          <w:rFonts w:cs="Arial"/>
        </w:rPr>
        <w:t>).</w:t>
      </w:r>
      <w:r w:rsidRPr="00932853">
        <w:rPr>
          <w:rFonts w:cs="Arial"/>
        </w:rPr>
        <w:t xml:space="preserve"> </w:t>
      </w:r>
      <w:r w:rsidR="00154D28">
        <w:rPr>
          <w:rFonts w:cs="Arial"/>
        </w:rPr>
        <w:t xml:space="preserve"> </w:t>
      </w:r>
      <w:r w:rsidRPr="00932853">
        <w:rPr>
          <w:rFonts w:cs="Arial"/>
        </w:rPr>
        <w:t>This compares to the more aggregate trend in Figure 2.</w:t>
      </w:r>
      <w:r w:rsidR="00D5551F">
        <w:rPr>
          <w:rFonts w:cs="Arial"/>
        </w:rPr>
        <w:t>1</w:t>
      </w:r>
      <w:r>
        <w:rPr>
          <w:rFonts w:cs="Arial"/>
          <w:b/>
        </w:rPr>
        <w:t>.</w:t>
      </w:r>
      <w:r w:rsidR="00290DDB">
        <w:rPr>
          <w:rFonts w:cs="Arial"/>
          <w:b/>
        </w:rPr>
        <w:t xml:space="preserve"> </w:t>
      </w:r>
      <w:r w:rsidR="00154D28">
        <w:rPr>
          <w:rFonts w:cs="Arial"/>
          <w:b/>
        </w:rPr>
        <w:t xml:space="preserve"> </w:t>
      </w:r>
      <w:r w:rsidR="00290DDB" w:rsidRPr="00290DDB">
        <w:rPr>
          <w:rFonts w:cs="Arial"/>
        </w:rPr>
        <w:t>That said</w:t>
      </w:r>
      <w:proofErr w:type="gramStart"/>
      <w:r w:rsidR="00290DDB" w:rsidRPr="00290DDB">
        <w:rPr>
          <w:rFonts w:cs="Arial"/>
        </w:rPr>
        <w:t>,</w:t>
      </w:r>
      <w:proofErr w:type="gramEnd"/>
      <w:r w:rsidR="00290DDB" w:rsidRPr="00290DDB">
        <w:rPr>
          <w:rFonts w:cs="Arial"/>
        </w:rPr>
        <w:t xml:space="preserve"> </w:t>
      </w:r>
      <w:r w:rsidR="00290DDB">
        <w:rPr>
          <w:rFonts w:cs="Arial"/>
        </w:rPr>
        <w:t>this initial analysis seems to show that the chemical and automotive co</w:t>
      </w:r>
      <w:r w:rsidR="00AC7E63">
        <w:rPr>
          <w:rFonts w:cs="Arial"/>
        </w:rPr>
        <w:t>mpanies in the top list, namely BYD</w:t>
      </w:r>
      <w:r w:rsidR="00290DDB">
        <w:rPr>
          <w:rFonts w:cs="Arial"/>
        </w:rPr>
        <w:t xml:space="preserve"> and China Petroleum </w:t>
      </w:r>
      <w:r w:rsidR="001479D1">
        <w:rPr>
          <w:rFonts w:cs="Arial"/>
        </w:rPr>
        <w:t>target more IP</w:t>
      </w:r>
      <w:r w:rsidR="0065059A">
        <w:rPr>
          <w:rFonts w:cs="Arial"/>
        </w:rPr>
        <w:t> </w:t>
      </w:r>
      <w:r w:rsidR="001479D1">
        <w:rPr>
          <w:rFonts w:cs="Arial"/>
        </w:rPr>
        <w:t>offices</w:t>
      </w:r>
      <w:r w:rsidR="00290DDB">
        <w:rPr>
          <w:rFonts w:cs="Arial"/>
        </w:rPr>
        <w:t xml:space="preserve"> on average and </w:t>
      </w:r>
      <w:r w:rsidR="001479D1">
        <w:rPr>
          <w:rFonts w:cs="Arial"/>
        </w:rPr>
        <w:t>that they aim for a</w:t>
      </w:r>
      <w:r w:rsidR="00290DDB">
        <w:rPr>
          <w:rFonts w:cs="Arial"/>
        </w:rPr>
        <w:t xml:space="preserve"> broader geographical </w:t>
      </w:r>
      <w:r w:rsidR="001479D1">
        <w:rPr>
          <w:rFonts w:cs="Arial"/>
        </w:rPr>
        <w:t xml:space="preserve">patent </w:t>
      </w:r>
      <w:r w:rsidR="00290DDB">
        <w:rPr>
          <w:rFonts w:cs="Arial"/>
        </w:rPr>
        <w:t xml:space="preserve">coverage than the companies in the electronics and </w:t>
      </w:r>
      <w:r w:rsidR="001479D1">
        <w:rPr>
          <w:rFonts w:cs="Arial"/>
        </w:rPr>
        <w:t xml:space="preserve">the </w:t>
      </w:r>
      <w:r w:rsidR="00154D28">
        <w:rPr>
          <w:rFonts w:cs="Arial"/>
        </w:rPr>
        <w:t>ICT sector.</w:t>
      </w:r>
    </w:p>
    <w:p w:rsidR="008E537C" w:rsidRDefault="00154D28" w:rsidP="001C71B8">
      <w:pPr>
        <w:widowControl/>
        <w:jc w:val="left"/>
        <w:rPr>
          <w:rFonts w:cs="Arial"/>
        </w:rPr>
      </w:pPr>
      <w:r>
        <w:rPr>
          <w:rFonts w:cs="Arial"/>
        </w:rPr>
        <w:br w:type="page"/>
      </w:r>
    </w:p>
    <w:p w:rsidR="008E537C" w:rsidRPr="001C71B8" w:rsidRDefault="008E537C" w:rsidP="001C71B8">
      <w:pPr>
        <w:jc w:val="left"/>
        <w:rPr>
          <w:rFonts w:eastAsiaTheme="minorHAnsi" w:cs="Arial"/>
          <w:b/>
          <w:kern w:val="0"/>
          <w:lang w:eastAsia="en-US"/>
        </w:rPr>
      </w:pPr>
    </w:p>
    <w:p w:rsidR="00AA1E26" w:rsidRPr="001C71B8" w:rsidRDefault="00AA1E26" w:rsidP="001C71B8">
      <w:pPr>
        <w:jc w:val="left"/>
        <w:rPr>
          <w:rFonts w:eastAsiaTheme="minorHAnsi" w:cs="Arial"/>
          <w:b/>
          <w:kern w:val="0"/>
          <w:lang w:eastAsia="en-US"/>
        </w:rPr>
      </w:pPr>
      <w:proofErr w:type="gramStart"/>
      <w:r w:rsidRPr="001C71B8">
        <w:rPr>
          <w:rFonts w:eastAsiaTheme="minorHAnsi" w:cs="Arial"/>
          <w:b/>
          <w:kern w:val="0"/>
          <w:lang w:eastAsia="en-US"/>
        </w:rPr>
        <w:t xml:space="preserve">Figure </w:t>
      </w:r>
      <w:r w:rsidR="00232470" w:rsidRPr="001C71B8">
        <w:rPr>
          <w:rFonts w:eastAsiaTheme="minorHAnsi" w:cs="Arial"/>
          <w:b/>
          <w:kern w:val="0"/>
          <w:lang w:eastAsia="en-US"/>
        </w:rPr>
        <w:t>4</w:t>
      </w:r>
      <w:r w:rsidRPr="001C71B8">
        <w:rPr>
          <w:rFonts w:eastAsiaTheme="minorHAnsi" w:cs="Arial"/>
          <w:b/>
          <w:kern w:val="0"/>
          <w:lang w:eastAsia="en-US"/>
        </w:rPr>
        <w:t>.</w:t>
      </w:r>
      <w:r w:rsidR="00232470" w:rsidRPr="001C71B8">
        <w:rPr>
          <w:rFonts w:eastAsiaTheme="minorHAnsi" w:cs="Arial"/>
          <w:b/>
          <w:kern w:val="0"/>
          <w:lang w:eastAsia="en-US"/>
        </w:rPr>
        <w:t>5</w:t>
      </w:r>
      <w:r w:rsidRPr="001C71B8">
        <w:rPr>
          <w:rFonts w:eastAsiaTheme="minorHAnsi" w:cs="Arial"/>
          <w:b/>
          <w:kern w:val="0"/>
          <w:lang w:eastAsia="en-US"/>
        </w:rPr>
        <w:t>.</w:t>
      </w:r>
      <w:proofErr w:type="gramEnd"/>
      <w:r w:rsidRPr="001C71B8">
        <w:rPr>
          <w:rFonts w:eastAsiaTheme="minorHAnsi" w:cs="Arial"/>
          <w:b/>
          <w:kern w:val="0"/>
          <w:lang w:eastAsia="en-US"/>
        </w:rPr>
        <w:t xml:space="preserve"> </w:t>
      </w:r>
      <w:r w:rsidR="00D119C1">
        <w:rPr>
          <w:rFonts w:eastAsiaTheme="minorHAnsi" w:cs="Arial"/>
          <w:b/>
          <w:kern w:val="0"/>
          <w:lang w:eastAsia="en-US"/>
        </w:rPr>
        <w:t xml:space="preserve"> </w:t>
      </w:r>
      <w:r w:rsidRPr="001C71B8">
        <w:rPr>
          <w:rFonts w:eastAsiaTheme="minorHAnsi" w:cs="Arial"/>
          <w:b/>
          <w:kern w:val="0"/>
          <w:lang w:eastAsia="en-US"/>
        </w:rPr>
        <w:t>Average number of foreign offices per family for top 10 applicants</w:t>
      </w:r>
      <w:r w:rsidR="002B4095" w:rsidRPr="001C71B8">
        <w:rPr>
          <w:rFonts w:eastAsiaTheme="minorHAnsi" w:cs="Arial"/>
          <w:b/>
          <w:kern w:val="0"/>
          <w:lang w:eastAsia="en-US"/>
        </w:rPr>
        <w:t>, 1970-</w:t>
      </w:r>
      <w:r w:rsidR="00D5551F" w:rsidRPr="001C71B8">
        <w:rPr>
          <w:rFonts w:eastAsiaTheme="minorHAnsi" w:cs="Arial"/>
          <w:b/>
          <w:kern w:val="0"/>
          <w:lang w:eastAsia="en-US"/>
        </w:rPr>
        <w:t>2012</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A1E26" w:rsidRPr="001C71B8" w:rsidRDefault="00AA1E26" w:rsidP="001C71B8">
      <w:pPr>
        <w:jc w:val="left"/>
        <w:rPr>
          <w:rFonts w:cs="Arial"/>
          <w:sz w:val="20"/>
          <w:szCs w:val="20"/>
        </w:rPr>
      </w:pPr>
      <w:r w:rsidRPr="001C71B8">
        <w:rPr>
          <w:rFonts w:cs="Arial"/>
          <w:sz w:val="20"/>
          <w:szCs w:val="20"/>
        </w:rPr>
        <w:t>Source: WIPO IP Statistics Database.</w:t>
      </w:r>
    </w:p>
    <w:p w:rsidR="00AA1E26" w:rsidRDefault="00AA1E26" w:rsidP="00AA1E26">
      <w:pPr>
        <w:rPr>
          <w:rFonts w:cs="Arial"/>
        </w:rPr>
      </w:pPr>
    </w:p>
    <w:p w:rsidR="00D119C1" w:rsidRPr="00AA1E26" w:rsidRDefault="00D119C1" w:rsidP="00AA1E26">
      <w:pPr>
        <w:rPr>
          <w:rFonts w:cs="Arial"/>
        </w:rPr>
      </w:pPr>
    </w:p>
    <w:p w:rsidR="00AA1E26" w:rsidRPr="00AA1E26" w:rsidRDefault="00AA1E26" w:rsidP="001C71B8">
      <w:pPr>
        <w:jc w:val="left"/>
        <w:rPr>
          <w:rFonts w:cs="Arial"/>
        </w:rPr>
      </w:pPr>
      <w:proofErr w:type="gramStart"/>
      <w:r w:rsidRPr="001C71B8">
        <w:rPr>
          <w:rFonts w:eastAsiaTheme="minorHAnsi" w:cs="Arial"/>
          <w:b/>
          <w:kern w:val="0"/>
          <w:lang w:eastAsia="en-US"/>
        </w:rPr>
        <w:t xml:space="preserve">Figure </w:t>
      </w:r>
      <w:r w:rsidR="00232470" w:rsidRPr="001C71B8">
        <w:rPr>
          <w:rFonts w:eastAsiaTheme="minorHAnsi" w:cs="Arial"/>
          <w:b/>
          <w:kern w:val="0"/>
          <w:lang w:eastAsia="en-US"/>
        </w:rPr>
        <w:t>4.6</w:t>
      </w:r>
      <w:r w:rsidRPr="001C71B8">
        <w:rPr>
          <w:rFonts w:eastAsiaTheme="minorHAnsi" w:cs="Arial"/>
          <w:b/>
          <w:kern w:val="0"/>
          <w:lang w:eastAsia="en-US"/>
        </w:rPr>
        <w:t>.</w:t>
      </w:r>
      <w:proofErr w:type="gramEnd"/>
      <w:r w:rsidRPr="001C71B8">
        <w:rPr>
          <w:rFonts w:eastAsiaTheme="minorHAnsi" w:cs="Arial"/>
          <w:b/>
          <w:kern w:val="0"/>
          <w:lang w:eastAsia="en-US"/>
        </w:rPr>
        <w:t xml:space="preserve"> </w:t>
      </w:r>
      <w:r w:rsidR="00D119C1">
        <w:rPr>
          <w:rFonts w:eastAsiaTheme="minorHAnsi" w:cs="Arial"/>
          <w:b/>
          <w:kern w:val="0"/>
          <w:lang w:eastAsia="en-US"/>
        </w:rPr>
        <w:t xml:space="preserve"> </w:t>
      </w:r>
      <w:r w:rsidRPr="001C71B8">
        <w:rPr>
          <w:rFonts w:eastAsiaTheme="minorHAnsi" w:cs="Arial"/>
          <w:b/>
          <w:kern w:val="0"/>
          <w:lang w:eastAsia="en-US"/>
        </w:rPr>
        <w:t>Share of total patent applications abroad among top patent applicants</w:t>
      </w:r>
      <w:r w:rsidR="00E90E2D" w:rsidRPr="001C71B8">
        <w:rPr>
          <w:rFonts w:eastAsiaTheme="minorHAnsi" w:cs="Arial"/>
          <w:b/>
          <w:kern w:val="0"/>
          <w:lang w:eastAsia="en-US"/>
        </w:rPr>
        <w:t>, 1970-</w:t>
      </w:r>
      <w:r w:rsidR="002B4095" w:rsidRPr="001C71B8">
        <w:rPr>
          <w:rFonts w:eastAsiaTheme="minorHAnsi" w:cs="Arial"/>
          <w:b/>
          <w:kern w:val="0"/>
          <w:lang w:eastAsia="en-US"/>
        </w:rPr>
        <w:t>20</w:t>
      </w:r>
      <w:r w:rsidR="00117379" w:rsidRPr="001C71B8">
        <w:rPr>
          <w:rFonts w:eastAsiaTheme="minorHAnsi" w:cs="Arial"/>
          <w:b/>
          <w:kern w:val="0"/>
          <w:lang w:eastAsia="en-US"/>
        </w:rPr>
        <w:t>12</w:t>
      </w:r>
      <w:r w:rsidRPr="00AA1E26">
        <w:rPr>
          <w:rFonts w:cs="Arial"/>
          <w:noProof/>
          <w:lang w:eastAsia="en-US"/>
        </w:rPr>
        <w:drawing>
          <wp:inline distT="0" distB="0" distL="0" distR="0">
            <wp:extent cx="5400040" cy="2700020"/>
            <wp:effectExtent l="19050" t="0" r="10160"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479D1" w:rsidRPr="001C71B8" w:rsidRDefault="00AA1E26" w:rsidP="001C71B8">
      <w:pPr>
        <w:jc w:val="left"/>
        <w:rPr>
          <w:sz w:val="20"/>
          <w:szCs w:val="20"/>
        </w:rPr>
      </w:pPr>
      <w:r w:rsidRPr="001C71B8">
        <w:rPr>
          <w:rFonts w:cs="Arial"/>
          <w:sz w:val="20"/>
          <w:szCs w:val="20"/>
        </w:rPr>
        <w:t>Source:</w:t>
      </w:r>
      <w:r w:rsidR="00D119C1">
        <w:rPr>
          <w:rFonts w:cs="Arial"/>
          <w:sz w:val="20"/>
          <w:szCs w:val="20"/>
        </w:rPr>
        <w:t xml:space="preserve"> </w:t>
      </w:r>
      <w:r w:rsidRPr="001C71B8">
        <w:rPr>
          <w:rFonts w:cs="Arial"/>
          <w:sz w:val="20"/>
          <w:szCs w:val="20"/>
        </w:rPr>
        <w:t xml:space="preserve"> WIPO IP Statistics Database.</w:t>
      </w:r>
      <w:r w:rsidR="00073631" w:rsidRPr="001C71B8">
        <w:rPr>
          <w:sz w:val="20"/>
          <w:szCs w:val="20"/>
        </w:rPr>
        <w:t xml:space="preserve"> </w:t>
      </w:r>
    </w:p>
    <w:p w:rsidR="00AA1E26" w:rsidRPr="001C71B8" w:rsidRDefault="001479D1" w:rsidP="001C71B8">
      <w:pPr>
        <w:jc w:val="left"/>
        <w:rPr>
          <w:rFonts w:cs="Arial"/>
          <w:sz w:val="20"/>
          <w:szCs w:val="20"/>
        </w:rPr>
      </w:pPr>
      <w:r w:rsidRPr="001C71B8">
        <w:rPr>
          <w:sz w:val="20"/>
          <w:szCs w:val="20"/>
        </w:rPr>
        <w:t xml:space="preserve">Note: </w:t>
      </w:r>
      <w:r w:rsidR="00D119C1">
        <w:rPr>
          <w:sz w:val="20"/>
          <w:szCs w:val="20"/>
        </w:rPr>
        <w:t xml:space="preserve"> </w:t>
      </w:r>
      <w:r w:rsidRPr="001C71B8">
        <w:rPr>
          <w:sz w:val="20"/>
          <w:szCs w:val="20"/>
        </w:rPr>
        <w:t xml:space="preserve">The graph only displays the top IP offices, i.e. those that have more than a 9% share. </w:t>
      </w:r>
    </w:p>
    <w:p w:rsidR="001463AD" w:rsidRDefault="00AA1E26" w:rsidP="001C71B8">
      <w:pPr>
        <w:jc w:val="left"/>
        <w:rPr>
          <w:rFonts w:cs="Arial"/>
          <w:sz w:val="20"/>
          <w:szCs w:val="20"/>
        </w:rPr>
      </w:pPr>
      <w:r w:rsidRPr="001C71B8">
        <w:rPr>
          <w:rFonts w:cs="Arial"/>
          <w:sz w:val="20"/>
          <w:szCs w:val="20"/>
        </w:rPr>
        <w:tab/>
      </w:r>
    </w:p>
    <w:p w:rsidR="00D119C1" w:rsidRPr="001C71B8" w:rsidRDefault="00D119C1" w:rsidP="001C71B8">
      <w:pPr>
        <w:jc w:val="left"/>
        <w:rPr>
          <w:rFonts w:cs="Arial"/>
          <w:sz w:val="20"/>
          <w:szCs w:val="20"/>
        </w:rPr>
      </w:pPr>
    </w:p>
    <w:p w:rsidR="00AA1E26" w:rsidRDefault="00176871" w:rsidP="001C71B8">
      <w:pPr>
        <w:pStyle w:val="Heading1"/>
        <w:numPr>
          <w:ilvl w:val="0"/>
          <w:numId w:val="25"/>
        </w:numPr>
        <w:spacing w:before="0" w:after="0"/>
        <w:ind w:left="567" w:hanging="567"/>
        <w:jc w:val="left"/>
        <w:rPr>
          <w:rFonts w:cs="Arial"/>
          <w:szCs w:val="22"/>
        </w:rPr>
      </w:pPr>
      <w:r>
        <w:rPr>
          <w:rFonts w:cs="Arial"/>
          <w:szCs w:val="22"/>
        </w:rPr>
        <w:lastRenderedPageBreak/>
        <w:t xml:space="preserve">Chinese use </w:t>
      </w:r>
      <w:r w:rsidR="00AA1E26" w:rsidRPr="00AA1E26">
        <w:rPr>
          <w:rFonts w:cs="Arial"/>
          <w:szCs w:val="22"/>
        </w:rPr>
        <w:t xml:space="preserve">of </w:t>
      </w:r>
      <w:r>
        <w:rPr>
          <w:rFonts w:cs="Arial"/>
          <w:szCs w:val="22"/>
        </w:rPr>
        <w:t>the Patent Co-operation Treaty for filing abroad</w:t>
      </w:r>
    </w:p>
    <w:p w:rsidR="001C71B8" w:rsidRDefault="001C71B8" w:rsidP="001C71B8">
      <w:pPr>
        <w:jc w:val="left"/>
        <w:rPr>
          <w:rFonts w:cs="Arial"/>
        </w:rPr>
      </w:pPr>
    </w:p>
    <w:p w:rsidR="003F122B" w:rsidRDefault="00AA1E26" w:rsidP="001C71B8">
      <w:pPr>
        <w:jc w:val="left"/>
        <w:rPr>
          <w:rFonts w:cs="Arial"/>
        </w:rPr>
      </w:pPr>
      <w:r w:rsidRPr="002E6BA5">
        <w:rPr>
          <w:rFonts w:cs="Arial"/>
        </w:rPr>
        <w:t>One third of foreign-oriented patent families by Chinese residents have at least one application</w:t>
      </w:r>
      <w:r w:rsidR="009B4A32">
        <w:rPr>
          <w:rFonts w:cs="Arial"/>
        </w:rPr>
        <w:t xml:space="preserve"> via the PCT</w:t>
      </w:r>
      <w:r w:rsidRPr="002E6BA5">
        <w:rPr>
          <w:rFonts w:cs="Arial"/>
        </w:rPr>
        <w:t>.</w:t>
      </w:r>
      <w:r w:rsidRPr="00AA1E26">
        <w:rPr>
          <w:rFonts w:cs="Arial"/>
        </w:rPr>
        <w:t xml:space="preserve"> </w:t>
      </w:r>
      <w:r w:rsidR="001C71B8">
        <w:rPr>
          <w:rFonts w:cs="Arial"/>
        </w:rPr>
        <w:t xml:space="preserve"> </w:t>
      </w:r>
      <w:r w:rsidRPr="00AA1E26">
        <w:rPr>
          <w:rFonts w:cs="Arial"/>
        </w:rPr>
        <w:t xml:space="preserve">Figure </w:t>
      </w:r>
      <w:r w:rsidR="00D5551F">
        <w:rPr>
          <w:rFonts w:cs="Arial"/>
        </w:rPr>
        <w:t>5</w:t>
      </w:r>
      <w:r w:rsidRPr="00AA1E26">
        <w:rPr>
          <w:rFonts w:cs="Arial"/>
        </w:rPr>
        <w:t xml:space="preserve">.1 shows that the share of families with at least one PCT application has grown from an average 20% per annum in the 1990s to an average </w:t>
      </w:r>
      <w:r w:rsidR="0083546E">
        <w:rPr>
          <w:rFonts w:cs="Arial"/>
        </w:rPr>
        <w:t xml:space="preserve">of 33% </w:t>
      </w:r>
      <w:r w:rsidR="009B4A32">
        <w:rPr>
          <w:rFonts w:cs="Arial"/>
        </w:rPr>
        <w:t>between</w:t>
      </w:r>
      <w:r w:rsidR="0083546E">
        <w:rPr>
          <w:rFonts w:cs="Arial"/>
        </w:rPr>
        <w:t xml:space="preserve"> 2000</w:t>
      </w:r>
      <w:r w:rsidR="009B4A32">
        <w:rPr>
          <w:rFonts w:cs="Arial"/>
        </w:rPr>
        <w:t xml:space="preserve"> and 20</w:t>
      </w:r>
      <w:r w:rsidR="0083546E">
        <w:rPr>
          <w:rFonts w:cs="Arial"/>
        </w:rPr>
        <w:t xml:space="preserve">09. </w:t>
      </w:r>
      <w:r w:rsidR="001C71B8">
        <w:rPr>
          <w:rFonts w:cs="Arial"/>
        </w:rPr>
        <w:t xml:space="preserve"> </w:t>
      </w:r>
      <w:r w:rsidR="0083546E">
        <w:rPr>
          <w:rFonts w:cs="Arial"/>
        </w:rPr>
        <w:t>Nonetheless, t</w:t>
      </w:r>
      <w:r w:rsidRPr="00AA1E26">
        <w:rPr>
          <w:rFonts w:cs="Arial"/>
        </w:rPr>
        <w:t xml:space="preserve">he share of patent families with at least one PCT application among Chinese foreign-oriented patent families </w:t>
      </w:r>
      <w:r w:rsidR="009B4A32" w:rsidRPr="009B4A32">
        <w:rPr>
          <w:rFonts w:cs="Arial"/>
        </w:rPr>
        <w:t>between 2000 and 2009</w:t>
      </w:r>
      <w:r w:rsidRPr="00AA1E26">
        <w:rPr>
          <w:rFonts w:cs="Arial"/>
        </w:rPr>
        <w:t xml:space="preserve"> is </w:t>
      </w:r>
      <w:r w:rsidR="002E6BA5">
        <w:rPr>
          <w:rFonts w:cs="Arial"/>
        </w:rPr>
        <w:t xml:space="preserve">somewhat </w:t>
      </w:r>
      <w:r w:rsidRPr="00AA1E26">
        <w:rPr>
          <w:rFonts w:cs="Arial"/>
        </w:rPr>
        <w:t xml:space="preserve">smaller </w:t>
      </w:r>
      <w:r w:rsidR="002E6BA5">
        <w:rPr>
          <w:rFonts w:cs="Arial"/>
        </w:rPr>
        <w:t>than is the case for</w:t>
      </w:r>
      <w:r w:rsidR="00317AD0">
        <w:rPr>
          <w:rFonts w:cs="Arial"/>
        </w:rPr>
        <w:t xml:space="preserve"> the US (45%</w:t>
      </w:r>
      <w:r w:rsidRPr="00AA1E26">
        <w:rPr>
          <w:rFonts w:cs="Arial"/>
        </w:rPr>
        <w:t>) or Germany (40% on</w:t>
      </w:r>
      <w:r w:rsidR="00317AD0">
        <w:rPr>
          <w:rFonts w:cs="Arial"/>
        </w:rPr>
        <w:t>).</w:t>
      </w:r>
      <w:r w:rsidR="001C71B8">
        <w:rPr>
          <w:rFonts w:cs="Arial"/>
        </w:rPr>
        <w:t xml:space="preserve"> </w:t>
      </w:r>
      <w:r w:rsidR="00317AD0">
        <w:rPr>
          <w:rFonts w:cs="Arial"/>
        </w:rPr>
        <w:t xml:space="preserve"> Yet, </w:t>
      </w:r>
      <w:r w:rsidRPr="00AA1E26">
        <w:rPr>
          <w:rFonts w:cs="Arial"/>
        </w:rPr>
        <w:t xml:space="preserve">it is larger </w:t>
      </w:r>
      <w:r w:rsidR="00317AD0">
        <w:rPr>
          <w:rFonts w:cs="Arial"/>
        </w:rPr>
        <w:t xml:space="preserve">when </w:t>
      </w:r>
      <w:r w:rsidRPr="00AA1E26">
        <w:rPr>
          <w:rFonts w:cs="Arial"/>
        </w:rPr>
        <w:t xml:space="preserve">compared to </w:t>
      </w:r>
      <w:r w:rsidR="00317AD0">
        <w:rPr>
          <w:rFonts w:cs="Arial"/>
        </w:rPr>
        <w:t>both, the</w:t>
      </w:r>
      <w:r w:rsidR="0083546E">
        <w:rPr>
          <w:rFonts w:cs="Arial"/>
        </w:rPr>
        <w:t xml:space="preserve"> Republic of Korea</w:t>
      </w:r>
      <w:r w:rsidRPr="00AA1E26">
        <w:rPr>
          <w:rFonts w:cs="Arial"/>
        </w:rPr>
        <w:t xml:space="preserve"> and Japan (20%). </w:t>
      </w:r>
    </w:p>
    <w:p w:rsidR="003D3720" w:rsidRDefault="003D3720" w:rsidP="001C71B8">
      <w:pPr>
        <w:jc w:val="left"/>
        <w:rPr>
          <w:rFonts w:cs="Arial"/>
        </w:rPr>
      </w:pPr>
    </w:p>
    <w:p w:rsidR="00AA1E26" w:rsidRDefault="00317AD0" w:rsidP="001C71B8">
      <w:pPr>
        <w:jc w:val="left"/>
      </w:pPr>
      <w:r>
        <w:rPr>
          <w:rFonts w:cs="Arial"/>
        </w:rPr>
        <w:t>Besides,</w:t>
      </w:r>
      <w:r w:rsidR="002E6BA5">
        <w:rPr>
          <w:rFonts w:cs="Arial"/>
        </w:rPr>
        <w:t xml:space="preserve"> </w:t>
      </w:r>
      <w:r>
        <w:rPr>
          <w:rFonts w:cs="Arial"/>
        </w:rPr>
        <w:t xml:space="preserve">the </w:t>
      </w:r>
      <w:r w:rsidR="002E6BA5">
        <w:rPr>
          <w:rFonts w:cs="Arial"/>
        </w:rPr>
        <w:t xml:space="preserve">Chinese use of the PCT system </w:t>
      </w:r>
      <w:r w:rsidR="003F122B">
        <w:rPr>
          <w:rFonts w:cs="Arial"/>
        </w:rPr>
        <w:t xml:space="preserve">for filing abroad </w:t>
      </w:r>
      <w:r w:rsidR="002E6BA5">
        <w:rPr>
          <w:rFonts w:cs="Arial"/>
        </w:rPr>
        <w:t>has intensified strongly since 2009, a trend not capture</w:t>
      </w:r>
      <w:r w:rsidR="005A7F2B">
        <w:rPr>
          <w:rFonts w:cs="Arial"/>
        </w:rPr>
        <w:t>d</w:t>
      </w:r>
      <w:r w:rsidR="002E6BA5">
        <w:rPr>
          <w:rFonts w:cs="Arial"/>
        </w:rPr>
        <w:t xml:space="preserve"> in </w:t>
      </w:r>
      <w:r w:rsidR="00B22D38">
        <w:rPr>
          <w:rFonts w:cs="Arial"/>
        </w:rPr>
        <w:t>the above</w:t>
      </w:r>
      <w:r w:rsidR="002E6BA5">
        <w:rPr>
          <w:rFonts w:cs="Arial"/>
        </w:rPr>
        <w:t xml:space="preserve"> data. </w:t>
      </w:r>
      <w:r w:rsidR="00B22D38" w:rsidRPr="003F122B">
        <w:t>In 2013, China surpassed Germany to become the third largest user of the PCT system, with Japan as the second-highest user.</w:t>
      </w:r>
      <w:r w:rsidR="00273709">
        <w:rPr>
          <w:rStyle w:val="FootnoteReference"/>
        </w:rPr>
        <w:footnoteReference w:id="12"/>
      </w:r>
      <w:r w:rsidR="00B22D38">
        <w:t xml:space="preserve"> </w:t>
      </w:r>
      <w:r w:rsidR="005A7F2B" w:rsidRPr="005A7F2B">
        <w:t>Indeed, ZTE Corporation with 2,309 PCT applications was the second most important and Huawei Technologies, Co. with 2,094 PCT applications the third most important PCT filer in 2013.</w:t>
      </w:r>
    </w:p>
    <w:p w:rsidR="00CE3639" w:rsidRPr="00AA1E26" w:rsidRDefault="00CE3639" w:rsidP="00AA1E26">
      <w:pPr>
        <w:rPr>
          <w:rFonts w:cs="Arial"/>
        </w:rPr>
      </w:pPr>
    </w:p>
    <w:p w:rsidR="00AA1E26" w:rsidRPr="001C71B8" w:rsidRDefault="00AA1E26" w:rsidP="001C71B8">
      <w:pPr>
        <w:widowControl/>
        <w:jc w:val="left"/>
        <w:rPr>
          <w:rFonts w:eastAsiaTheme="minorHAnsi" w:cs="Arial"/>
          <w:b/>
          <w:kern w:val="0"/>
          <w:lang w:eastAsia="en-US"/>
        </w:rPr>
      </w:pPr>
      <w:proofErr w:type="gramStart"/>
      <w:r w:rsidRPr="001C71B8">
        <w:rPr>
          <w:rFonts w:eastAsiaTheme="minorHAnsi" w:cs="Arial"/>
          <w:b/>
          <w:kern w:val="0"/>
          <w:lang w:eastAsia="en-US"/>
        </w:rPr>
        <w:t xml:space="preserve">Figure </w:t>
      </w:r>
      <w:r w:rsidR="00D5551F" w:rsidRPr="001C71B8">
        <w:rPr>
          <w:rFonts w:eastAsiaTheme="minorHAnsi" w:cs="Arial"/>
          <w:b/>
          <w:kern w:val="0"/>
          <w:lang w:eastAsia="en-US"/>
        </w:rPr>
        <w:t>5</w:t>
      </w:r>
      <w:r w:rsidRPr="001C71B8">
        <w:rPr>
          <w:rFonts w:eastAsiaTheme="minorHAnsi" w:cs="Arial"/>
          <w:b/>
          <w:kern w:val="0"/>
          <w:lang w:eastAsia="en-US"/>
        </w:rPr>
        <w:t>.1.</w:t>
      </w:r>
      <w:proofErr w:type="gramEnd"/>
      <w:r w:rsidRPr="001C71B8">
        <w:rPr>
          <w:rFonts w:eastAsiaTheme="minorHAnsi" w:cs="Arial"/>
          <w:b/>
          <w:kern w:val="0"/>
          <w:lang w:eastAsia="en-US"/>
        </w:rPr>
        <w:t xml:space="preserve"> </w:t>
      </w:r>
      <w:r w:rsidR="0005212D">
        <w:rPr>
          <w:rFonts w:eastAsiaTheme="minorHAnsi" w:cs="Arial"/>
          <w:b/>
          <w:kern w:val="0"/>
          <w:lang w:eastAsia="en-US"/>
        </w:rPr>
        <w:t xml:space="preserve"> </w:t>
      </w:r>
      <w:r w:rsidRPr="001C71B8">
        <w:rPr>
          <w:rFonts w:eastAsiaTheme="minorHAnsi" w:cs="Arial"/>
          <w:b/>
          <w:kern w:val="0"/>
          <w:lang w:eastAsia="en-US"/>
        </w:rPr>
        <w:t>PCT usage among Chinese foreign-orie</w:t>
      </w:r>
      <w:r w:rsidR="002B4095" w:rsidRPr="001C71B8">
        <w:rPr>
          <w:rFonts w:eastAsiaTheme="minorHAnsi" w:cs="Arial"/>
          <w:b/>
          <w:kern w:val="0"/>
          <w:lang w:eastAsia="en-US"/>
        </w:rPr>
        <w:t xml:space="preserve">nted patent families, </w:t>
      </w:r>
      <w:r w:rsidR="00653FDA">
        <w:rPr>
          <w:rFonts w:eastAsiaTheme="minorHAnsi" w:cs="Arial"/>
          <w:b/>
          <w:kern w:val="0"/>
          <w:lang w:eastAsia="en-US"/>
        </w:rPr>
        <w:br/>
      </w:r>
      <w:r w:rsidR="002B4095" w:rsidRPr="001C71B8">
        <w:rPr>
          <w:rFonts w:eastAsiaTheme="minorHAnsi" w:cs="Arial"/>
          <w:b/>
          <w:kern w:val="0"/>
          <w:lang w:eastAsia="en-US"/>
        </w:rPr>
        <w:t>1970-2009</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A1E26" w:rsidRPr="00435EEC" w:rsidRDefault="00AA1E26" w:rsidP="00435EEC">
      <w:pPr>
        <w:jc w:val="left"/>
        <w:rPr>
          <w:rFonts w:cs="Arial"/>
          <w:sz w:val="20"/>
          <w:szCs w:val="20"/>
        </w:rPr>
      </w:pPr>
      <w:r w:rsidRPr="00435EEC">
        <w:rPr>
          <w:rFonts w:cs="Arial"/>
          <w:sz w:val="20"/>
          <w:szCs w:val="20"/>
        </w:rPr>
        <w:t xml:space="preserve">Source: </w:t>
      </w:r>
      <w:r w:rsidR="0005212D">
        <w:rPr>
          <w:rFonts w:cs="Arial"/>
          <w:sz w:val="20"/>
          <w:szCs w:val="20"/>
        </w:rPr>
        <w:t xml:space="preserve"> </w:t>
      </w:r>
      <w:r w:rsidRPr="00435EEC">
        <w:rPr>
          <w:rFonts w:cs="Arial"/>
          <w:sz w:val="20"/>
          <w:szCs w:val="20"/>
        </w:rPr>
        <w:t>WIPO IP Statistics Database.</w:t>
      </w:r>
    </w:p>
    <w:p w:rsidR="003D3720" w:rsidRPr="00AA1E26" w:rsidRDefault="003D3720" w:rsidP="00435EEC">
      <w:pPr>
        <w:jc w:val="left"/>
        <w:rPr>
          <w:rFonts w:cs="Arial"/>
        </w:rPr>
      </w:pPr>
    </w:p>
    <w:p w:rsidR="00B07872" w:rsidRPr="00FC1318" w:rsidRDefault="003D3720" w:rsidP="00435EEC">
      <w:pPr>
        <w:jc w:val="left"/>
        <w:rPr>
          <w:rFonts w:cs="Arial"/>
        </w:rPr>
      </w:pPr>
      <w:r w:rsidRPr="00FC1318">
        <w:rPr>
          <w:rFonts w:cs="Arial"/>
        </w:rPr>
        <w:t>Interestingly, Chinese u</w:t>
      </w:r>
      <w:r w:rsidR="00AA1E26" w:rsidRPr="00FC1318">
        <w:rPr>
          <w:rFonts w:cs="Arial"/>
        </w:rPr>
        <w:t>niversity and research institutes have the highest share of foreign-oriented patent families applied through the PCT route</w:t>
      </w:r>
      <w:r w:rsidR="00EA789A" w:rsidRPr="00FC1318">
        <w:rPr>
          <w:rFonts w:cs="Arial"/>
        </w:rPr>
        <w:t xml:space="preserve">. </w:t>
      </w:r>
      <w:r w:rsidR="00435EEC">
        <w:rPr>
          <w:rFonts w:cs="Arial"/>
        </w:rPr>
        <w:t xml:space="preserve"> </w:t>
      </w:r>
      <w:r w:rsidR="00EA789A" w:rsidRPr="00FC1318">
        <w:rPr>
          <w:rFonts w:cs="Arial"/>
        </w:rPr>
        <w:t xml:space="preserve">This must be interpreted by keeping in mind their </w:t>
      </w:r>
      <w:r w:rsidR="00EB5052" w:rsidRPr="00FC1318">
        <w:rPr>
          <w:rFonts w:cs="Arial"/>
        </w:rPr>
        <w:t>relatively small number of accumulated patent families in total</w:t>
      </w:r>
      <w:r w:rsidR="002B598A" w:rsidRPr="00FC1318">
        <w:rPr>
          <w:rFonts w:cs="Arial"/>
        </w:rPr>
        <w:t xml:space="preserve"> volume</w:t>
      </w:r>
      <w:r w:rsidR="00A24B3C" w:rsidRPr="00FC1318">
        <w:rPr>
          <w:rFonts w:cs="Arial"/>
        </w:rPr>
        <w:t xml:space="preserve">. </w:t>
      </w:r>
      <w:r w:rsidR="00435EEC">
        <w:rPr>
          <w:rFonts w:cs="Arial"/>
        </w:rPr>
        <w:t xml:space="preserve"> </w:t>
      </w:r>
      <w:r w:rsidR="00A24B3C" w:rsidRPr="00FC1318">
        <w:rPr>
          <w:rFonts w:cs="Arial"/>
        </w:rPr>
        <w:t>I</w:t>
      </w:r>
      <w:r w:rsidR="00AA1E26" w:rsidRPr="00FC1318">
        <w:rPr>
          <w:rFonts w:cs="Arial"/>
        </w:rPr>
        <w:t xml:space="preserve">ndividuals have the lowest share of families </w:t>
      </w:r>
      <w:r w:rsidR="00976121" w:rsidRPr="00FC1318">
        <w:rPr>
          <w:rFonts w:cs="Arial"/>
        </w:rPr>
        <w:t>originated via PCT applications.</w:t>
      </w:r>
      <w:r w:rsidR="00435EEC">
        <w:rPr>
          <w:rFonts w:cs="Arial"/>
        </w:rPr>
        <w:t xml:space="preserve"> </w:t>
      </w:r>
      <w:r w:rsidR="00976121" w:rsidRPr="00FC1318">
        <w:rPr>
          <w:rFonts w:cs="Arial"/>
        </w:rPr>
        <w:t xml:space="preserve"> In turn, companies seem to have idiosyncratic strategies of PCT route usage, with some companies employing the PCT route for all filings abroad, others never using it, and yet others using the PCT selectively</w:t>
      </w:r>
      <w:r w:rsidR="00AA1E26" w:rsidRPr="00FC1318">
        <w:rPr>
          <w:rFonts w:cs="Arial"/>
        </w:rPr>
        <w:t xml:space="preserve"> (see Table </w:t>
      </w:r>
      <w:r w:rsidR="00D5551F" w:rsidRPr="00FC1318">
        <w:rPr>
          <w:rFonts w:cs="Arial"/>
        </w:rPr>
        <w:t>5</w:t>
      </w:r>
      <w:r w:rsidR="00AA1E26" w:rsidRPr="00FC1318">
        <w:rPr>
          <w:rFonts w:cs="Arial"/>
        </w:rPr>
        <w:t xml:space="preserve">.1 and Figure </w:t>
      </w:r>
      <w:r w:rsidR="005464B8" w:rsidRPr="00FC1318">
        <w:rPr>
          <w:rFonts w:cs="Arial"/>
        </w:rPr>
        <w:t>5.2</w:t>
      </w:r>
      <w:r w:rsidR="00AA1E26" w:rsidRPr="00FC1318">
        <w:rPr>
          <w:rFonts w:cs="Arial"/>
        </w:rPr>
        <w:t xml:space="preserve">). </w:t>
      </w:r>
    </w:p>
    <w:p w:rsidR="00EB5052" w:rsidRPr="00AA1E26" w:rsidRDefault="00EB5052" w:rsidP="00435EEC">
      <w:pPr>
        <w:jc w:val="left"/>
        <w:rPr>
          <w:rFonts w:cs="Arial"/>
        </w:rPr>
      </w:pPr>
    </w:p>
    <w:p w:rsidR="00AA1E26" w:rsidRPr="00435EEC" w:rsidRDefault="00AA1E26" w:rsidP="00435EEC">
      <w:pPr>
        <w:widowControl/>
        <w:jc w:val="left"/>
        <w:rPr>
          <w:rFonts w:eastAsiaTheme="minorHAnsi" w:cs="Arial"/>
          <w:b/>
          <w:kern w:val="0"/>
          <w:lang w:eastAsia="en-US"/>
        </w:rPr>
      </w:pPr>
      <w:proofErr w:type="gramStart"/>
      <w:r w:rsidRPr="00435EEC">
        <w:rPr>
          <w:rFonts w:eastAsiaTheme="minorHAnsi" w:cs="Arial"/>
          <w:b/>
          <w:kern w:val="0"/>
          <w:lang w:eastAsia="en-US"/>
        </w:rPr>
        <w:t xml:space="preserve">Table </w:t>
      </w:r>
      <w:r w:rsidR="00D5551F" w:rsidRPr="00435EEC">
        <w:rPr>
          <w:rFonts w:eastAsiaTheme="minorHAnsi" w:cs="Arial"/>
          <w:b/>
          <w:kern w:val="0"/>
          <w:lang w:eastAsia="en-US"/>
        </w:rPr>
        <w:t>5</w:t>
      </w:r>
      <w:r w:rsidRPr="00435EEC">
        <w:rPr>
          <w:rFonts w:eastAsiaTheme="minorHAnsi" w:cs="Arial"/>
          <w:b/>
          <w:kern w:val="0"/>
          <w:lang w:eastAsia="en-US"/>
        </w:rPr>
        <w:t>.1.</w:t>
      </w:r>
      <w:proofErr w:type="gramEnd"/>
      <w:r w:rsidRPr="00435EEC">
        <w:rPr>
          <w:rFonts w:eastAsiaTheme="minorHAnsi" w:cs="Arial"/>
          <w:b/>
          <w:kern w:val="0"/>
          <w:lang w:eastAsia="en-US"/>
        </w:rPr>
        <w:t xml:space="preserve"> </w:t>
      </w:r>
      <w:r w:rsidR="0005212D">
        <w:rPr>
          <w:rFonts w:eastAsiaTheme="minorHAnsi" w:cs="Arial"/>
          <w:b/>
          <w:kern w:val="0"/>
          <w:lang w:eastAsia="en-US"/>
        </w:rPr>
        <w:t xml:space="preserve"> </w:t>
      </w:r>
      <w:r w:rsidRPr="00435EEC">
        <w:rPr>
          <w:rFonts w:eastAsiaTheme="minorHAnsi" w:cs="Arial"/>
          <w:b/>
          <w:kern w:val="0"/>
          <w:lang w:eastAsia="en-US"/>
        </w:rPr>
        <w:t>The share of foreign-oriented families via the PCT route</w:t>
      </w:r>
      <w:r w:rsidR="002B4095" w:rsidRPr="00435EEC">
        <w:rPr>
          <w:rFonts w:eastAsiaTheme="minorHAnsi" w:cs="Arial"/>
          <w:b/>
          <w:kern w:val="0"/>
          <w:lang w:eastAsia="en-US"/>
        </w:rPr>
        <w:t xml:space="preserve"> for applicant types, 1970-</w:t>
      </w:r>
      <w:r w:rsidR="005464B8" w:rsidRPr="00435EEC">
        <w:rPr>
          <w:rFonts w:eastAsiaTheme="minorHAnsi" w:cs="Arial"/>
          <w:b/>
          <w:kern w:val="0"/>
          <w:lang w:eastAsia="en-US"/>
        </w:rPr>
        <w:t>2012</w:t>
      </w:r>
    </w:p>
    <w:tbl>
      <w:tblPr>
        <w:tblW w:w="5000" w:type="pct"/>
        <w:tblCellMar>
          <w:left w:w="99" w:type="dxa"/>
          <w:right w:w="99" w:type="dxa"/>
        </w:tblCellMar>
        <w:tblLook w:val="04A0" w:firstRow="1" w:lastRow="0" w:firstColumn="1" w:lastColumn="0" w:noHBand="0" w:noVBand="1"/>
      </w:tblPr>
      <w:tblGrid>
        <w:gridCol w:w="2365"/>
        <w:gridCol w:w="1267"/>
        <w:gridCol w:w="1267"/>
        <w:gridCol w:w="1267"/>
        <w:gridCol w:w="1267"/>
        <w:gridCol w:w="1269"/>
      </w:tblGrid>
      <w:tr w:rsidR="00AA1E26" w:rsidRPr="00AA1E26" w:rsidTr="00BE048B">
        <w:trPr>
          <w:trHeight w:val="810"/>
        </w:trPr>
        <w:tc>
          <w:tcPr>
            <w:tcW w:w="1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Type of applicant</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share of PCT families</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 share of non-PCT families</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Number of PCT families</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Number of non-PCT families</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Number of families</w:t>
            </w:r>
          </w:p>
        </w:tc>
      </w:tr>
      <w:tr w:rsidR="00AA1E26" w:rsidRPr="00AA1E26" w:rsidTr="00BE048B">
        <w:trPr>
          <w:trHeight w:val="270"/>
        </w:trPr>
        <w:tc>
          <w:tcPr>
            <w:tcW w:w="1359" w:type="pct"/>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Company</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32.3%</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67.7%</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14</w:t>
            </w:r>
            <w:r w:rsidR="00FA1288">
              <w:rPr>
                <w:rFonts w:eastAsia="MS PGothic" w:cs="Arial"/>
                <w:color w:val="000000"/>
                <w:kern w:val="0"/>
              </w:rPr>
              <w:t>,</w:t>
            </w:r>
            <w:r w:rsidRPr="00AA1E26">
              <w:rPr>
                <w:rFonts w:eastAsia="MS PGothic" w:cs="Arial"/>
                <w:color w:val="000000"/>
                <w:kern w:val="0"/>
              </w:rPr>
              <w:t>554</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30</w:t>
            </w:r>
            <w:r w:rsidR="00FA1288">
              <w:rPr>
                <w:rFonts w:eastAsia="MS PGothic" w:cs="Arial"/>
                <w:color w:val="000000"/>
                <w:kern w:val="0"/>
              </w:rPr>
              <w:t>,</w:t>
            </w:r>
            <w:r w:rsidRPr="00AA1E26">
              <w:rPr>
                <w:rFonts w:eastAsia="MS PGothic" w:cs="Arial"/>
                <w:color w:val="000000"/>
                <w:kern w:val="0"/>
              </w:rPr>
              <w:t>493</w:t>
            </w:r>
          </w:p>
        </w:tc>
        <w:tc>
          <w:tcPr>
            <w:tcW w:w="729"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45</w:t>
            </w:r>
            <w:r w:rsidR="00FA1288">
              <w:rPr>
                <w:rFonts w:eastAsia="MS PGothic" w:cs="Arial"/>
                <w:color w:val="000000"/>
                <w:kern w:val="0"/>
              </w:rPr>
              <w:t>,</w:t>
            </w:r>
            <w:r w:rsidRPr="00AA1E26">
              <w:rPr>
                <w:rFonts w:eastAsia="MS PGothic" w:cs="Arial"/>
                <w:color w:val="000000"/>
                <w:kern w:val="0"/>
              </w:rPr>
              <w:t>047</w:t>
            </w:r>
          </w:p>
        </w:tc>
      </w:tr>
      <w:tr w:rsidR="00AA1E26" w:rsidRPr="00AA1E26" w:rsidTr="00BE048B">
        <w:trPr>
          <w:trHeight w:val="270"/>
        </w:trPr>
        <w:tc>
          <w:tcPr>
            <w:tcW w:w="1359" w:type="pct"/>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Individual</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27.4%</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72.6%</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w:t>
            </w:r>
            <w:r w:rsidR="00FA1288">
              <w:rPr>
                <w:rFonts w:eastAsia="MS PGothic" w:cs="Arial"/>
                <w:color w:val="000000"/>
                <w:kern w:val="0"/>
              </w:rPr>
              <w:t>,</w:t>
            </w:r>
            <w:r w:rsidRPr="00AA1E26">
              <w:rPr>
                <w:rFonts w:eastAsia="MS PGothic" w:cs="Arial"/>
                <w:color w:val="000000"/>
                <w:kern w:val="0"/>
              </w:rPr>
              <w:t>411</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11</w:t>
            </w:r>
            <w:r w:rsidR="00FA1288">
              <w:rPr>
                <w:rFonts w:eastAsia="MS PGothic" w:cs="Arial"/>
                <w:color w:val="000000"/>
                <w:kern w:val="0"/>
              </w:rPr>
              <w:t>,</w:t>
            </w:r>
            <w:r w:rsidRPr="00AA1E26">
              <w:rPr>
                <w:rFonts w:eastAsia="MS PGothic" w:cs="Arial"/>
                <w:color w:val="000000"/>
                <w:kern w:val="0"/>
              </w:rPr>
              <w:t>693</w:t>
            </w:r>
          </w:p>
        </w:tc>
        <w:tc>
          <w:tcPr>
            <w:tcW w:w="729"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16</w:t>
            </w:r>
            <w:r w:rsidR="00FA1288">
              <w:rPr>
                <w:rFonts w:eastAsia="MS PGothic" w:cs="Arial"/>
                <w:color w:val="000000"/>
                <w:kern w:val="0"/>
              </w:rPr>
              <w:t>,</w:t>
            </w:r>
            <w:r w:rsidRPr="00AA1E26">
              <w:rPr>
                <w:rFonts w:eastAsia="MS PGothic" w:cs="Arial"/>
                <w:color w:val="000000"/>
                <w:kern w:val="0"/>
              </w:rPr>
              <w:t>104</w:t>
            </w:r>
          </w:p>
        </w:tc>
      </w:tr>
      <w:tr w:rsidR="00AA1E26" w:rsidRPr="00AA1E26" w:rsidTr="00BE048B">
        <w:trPr>
          <w:trHeight w:val="270"/>
        </w:trPr>
        <w:tc>
          <w:tcPr>
            <w:tcW w:w="1359" w:type="pct"/>
            <w:tcBorders>
              <w:top w:val="nil"/>
              <w:left w:val="single" w:sz="4" w:space="0" w:color="auto"/>
              <w:bottom w:val="nil"/>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University</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42.3%</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57.7%</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w:t>
            </w:r>
            <w:r w:rsidR="00FA1288">
              <w:rPr>
                <w:rFonts w:eastAsia="MS PGothic" w:cs="Arial"/>
                <w:color w:val="000000"/>
                <w:kern w:val="0"/>
              </w:rPr>
              <w:t>,</w:t>
            </w:r>
            <w:r w:rsidRPr="00AA1E26">
              <w:rPr>
                <w:rFonts w:eastAsia="MS PGothic" w:cs="Arial"/>
                <w:color w:val="000000"/>
                <w:kern w:val="0"/>
              </w:rPr>
              <w:t>236</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w:t>
            </w:r>
            <w:r w:rsidR="00FA1288">
              <w:rPr>
                <w:rFonts w:eastAsia="MS PGothic" w:cs="Arial"/>
                <w:color w:val="000000"/>
                <w:kern w:val="0"/>
              </w:rPr>
              <w:t>,</w:t>
            </w:r>
            <w:r w:rsidRPr="00AA1E26">
              <w:rPr>
                <w:rFonts w:eastAsia="MS PGothic" w:cs="Arial"/>
                <w:color w:val="000000"/>
                <w:kern w:val="0"/>
              </w:rPr>
              <w:t>685</w:t>
            </w:r>
          </w:p>
        </w:tc>
        <w:tc>
          <w:tcPr>
            <w:tcW w:w="729"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w:t>
            </w:r>
            <w:r w:rsidR="00FA1288">
              <w:rPr>
                <w:rFonts w:eastAsia="MS PGothic" w:cs="Arial"/>
                <w:color w:val="000000"/>
                <w:kern w:val="0"/>
              </w:rPr>
              <w:t>,</w:t>
            </w:r>
            <w:r w:rsidRPr="00AA1E26">
              <w:rPr>
                <w:rFonts w:eastAsia="MS PGothic" w:cs="Arial"/>
                <w:color w:val="000000"/>
                <w:kern w:val="0"/>
              </w:rPr>
              <w:t>921</w:t>
            </w:r>
          </w:p>
        </w:tc>
      </w:tr>
      <w:tr w:rsidR="00AA1E26" w:rsidRPr="00AA1E26" w:rsidTr="00BE048B">
        <w:trPr>
          <w:trHeight w:val="270"/>
        </w:trPr>
        <w:tc>
          <w:tcPr>
            <w:tcW w:w="1359" w:type="pct"/>
            <w:tcBorders>
              <w:top w:val="nil"/>
              <w:left w:val="single" w:sz="4" w:space="0" w:color="auto"/>
              <w:bottom w:val="nil"/>
              <w:right w:val="single" w:sz="4" w:space="0" w:color="auto"/>
            </w:tcBorders>
            <w:shd w:val="clear" w:color="auto" w:fill="auto"/>
            <w:noWrap/>
            <w:vAlign w:val="center"/>
            <w:hideMark/>
          </w:tcPr>
          <w:p w:rsidR="00AA1E26" w:rsidRPr="00AA1E26" w:rsidRDefault="00B07872" w:rsidP="00BE048B">
            <w:pPr>
              <w:widowControl/>
              <w:jc w:val="left"/>
              <w:rPr>
                <w:rFonts w:eastAsia="MS PGothic" w:cs="Arial"/>
                <w:color w:val="000000"/>
                <w:kern w:val="0"/>
              </w:rPr>
            </w:pPr>
            <w:r>
              <w:rPr>
                <w:rFonts w:eastAsia="MS PGothic" w:cs="Arial"/>
                <w:color w:val="000000"/>
                <w:kern w:val="0"/>
              </w:rPr>
              <w:t>Research i</w:t>
            </w:r>
            <w:r w:rsidR="00AA1E26" w:rsidRPr="00AA1E26">
              <w:rPr>
                <w:rFonts w:eastAsia="MS PGothic" w:cs="Arial"/>
                <w:color w:val="000000"/>
                <w:kern w:val="0"/>
              </w:rPr>
              <w:t>nstitute</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65.1%</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34.9%</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826</w:t>
            </w:r>
          </w:p>
        </w:tc>
        <w:tc>
          <w:tcPr>
            <w:tcW w:w="728"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442</w:t>
            </w:r>
          </w:p>
        </w:tc>
        <w:tc>
          <w:tcPr>
            <w:tcW w:w="729" w:type="pct"/>
            <w:tcBorders>
              <w:top w:val="nil"/>
              <w:left w:val="nil"/>
              <w:bottom w:val="nil"/>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1</w:t>
            </w:r>
            <w:r w:rsidR="00FA1288">
              <w:rPr>
                <w:rFonts w:eastAsia="MS PGothic" w:cs="Arial"/>
                <w:color w:val="000000"/>
                <w:kern w:val="0"/>
              </w:rPr>
              <w:t>,</w:t>
            </w:r>
            <w:r w:rsidRPr="00AA1E26">
              <w:rPr>
                <w:rFonts w:eastAsia="MS PGothic" w:cs="Arial"/>
                <w:color w:val="000000"/>
                <w:kern w:val="0"/>
              </w:rPr>
              <w:t>268</w:t>
            </w:r>
          </w:p>
        </w:tc>
      </w:tr>
      <w:tr w:rsidR="00AA1E26" w:rsidRPr="00AA1E26" w:rsidTr="00BE048B">
        <w:trPr>
          <w:trHeight w:val="270"/>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AA1E26" w:rsidRPr="00AA1E26" w:rsidRDefault="00AA1E26" w:rsidP="00BE048B">
            <w:pPr>
              <w:widowControl/>
              <w:jc w:val="left"/>
              <w:rPr>
                <w:rFonts w:eastAsia="MS PGothic" w:cs="Arial"/>
                <w:color w:val="000000"/>
                <w:kern w:val="0"/>
              </w:rPr>
            </w:pPr>
            <w:r w:rsidRPr="00AA1E26">
              <w:rPr>
                <w:rFonts w:eastAsia="MS PGothic" w:cs="Arial"/>
                <w:color w:val="000000"/>
                <w:kern w:val="0"/>
              </w:rPr>
              <w:t>total</w:t>
            </w:r>
          </w:p>
        </w:tc>
        <w:tc>
          <w:tcPr>
            <w:tcW w:w="728" w:type="pct"/>
            <w:tcBorders>
              <w:top w:val="nil"/>
              <w:left w:val="nil"/>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32.2%</w:t>
            </w:r>
          </w:p>
        </w:tc>
        <w:tc>
          <w:tcPr>
            <w:tcW w:w="728" w:type="pct"/>
            <w:tcBorders>
              <w:top w:val="nil"/>
              <w:left w:val="nil"/>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67.8%</w:t>
            </w:r>
          </w:p>
        </w:tc>
        <w:tc>
          <w:tcPr>
            <w:tcW w:w="728" w:type="pct"/>
            <w:tcBorders>
              <w:top w:val="nil"/>
              <w:left w:val="nil"/>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21</w:t>
            </w:r>
            <w:r w:rsidR="00FA1288">
              <w:rPr>
                <w:rFonts w:eastAsia="MS PGothic" w:cs="Arial"/>
                <w:color w:val="000000"/>
                <w:kern w:val="0"/>
              </w:rPr>
              <w:t>,</w:t>
            </w:r>
            <w:r w:rsidRPr="00AA1E26">
              <w:rPr>
                <w:rFonts w:eastAsia="MS PGothic" w:cs="Arial"/>
                <w:color w:val="000000"/>
                <w:kern w:val="0"/>
              </w:rPr>
              <w:t>027</w:t>
            </w:r>
          </w:p>
        </w:tc>
        <w:tc>
          <w:tcPr>
            <w:tcW w:w="728" w:type="pct"/>
            <w:tcBorders>
              <w:top w:val="nil"/>
              <w:left w:val="nil"/>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44</w:t>
            </w:r>
            <w:r w:rsidR="00FA1288">
              <w:rPr>
                <w:rFonts w:eastAsia="MS PGothic" w:cs="Arial"/>
                <w:color w:val="000000"/>
                <w:kern w:val="0"/>
              </w:rPr>
              <w:t>,</w:t>
            </w:r>
            <w:r w:rsidRPr="00AA1E26">
              <w:rPr>
                <w:rFonts w:eastAsia="MS PGothic" w:cs="Arial"/>
                <w:color w:val="000000"/>
                <w:kern w:val="0"/>
              </w:rPr>
              <w:t>313</w:t>
            </w:r>
          </w:p>
        </w:tc>
        <w:tc>
          <w:tcPr>
            <w:tcW w:w="729" w:type="pct"/>
            <w:tcBorders>
              <w:top w:val="nil"/>
              <w:left w:val="nil"/>
              <w:bottom w:val="single" w:sz="4" w:space="0" w:color="auto"/>
              <w:right w:val="single" w:sz="4" w:space="0" w:color="auto"/>
            </w:tcBorders>
            <w:shd w:val="clear" w:color="auto" w:fill="auto"/>
            <w:noWrap/>
            <w:vAlign w:val="center"/>
            <w:hideMark/>
          </w:tcPr>
          <w:p w:rsidR="00AA1E26" w:rsidRPr="00AA1E26" w:rsidRDefault="00AA1E26" w:rsidP="00BE048B">
            <w:pPr>
              <w:widowControl/>
              <w:jc w:val="center"/>
              <w:rPr>
                <w:rFonts w:eastAsia="MS PGothic" w:cs="Arial"/>
                <w:color w:val="000000"/>
                <w:kern w:val="0"/>
              </w:rPr>
            </w:pPr>
            <w:r w:rsidRPr="00AA1E26">
              <w:rPr>
                <w:rFonts w:eastAsia="MS PGothic" w:cs="Arial"/>
                <w:color w:val="000000"/>
                <w:kern w:val="0"/>
              </w:rPr>
              <w:t>65</w:t>
            </w:r>
            <w:r w:rsidR="00FA1288">
              <w:rPr>
                <w:rFonts w:eastAsia="MS PGothic" w:cs="Arial"/>
                <w:color w:val="000000"/>
                <w:kern w:val="0"/>
              </w:rPr>
              <w:t>,</w:t>
            </w:r>
            <w:r w:rsidRPr="00AA1E26">
              <w:rPr>
                <w:rFonts w:eastAsia="MS PGothic" w:cs="Arial"/>
                <w:color w:val="000000"/>
                <w:kern w:val="0"/>
              </w:rPr>
              <w:t>340</w:t>
            </w:r>
          </w:p>
        </w:tc>
      </w:tr>
    </w:tbl>
    <w:p w:rsidR="00AA1E26" w:rsidRPr="00435EEC" w:rsidRDefault="00AA1E26" w:rsidP="00435EEC">
      <w:pPr>
        <w:jc w:val="left"/>
        <w:rPr>
          <w:rFonts w:cs="Arial"/>
          <w:sz w:val="20"/>
          <w:szCs w:val="20"/>
        </w:rPr>
      </w:pPr>
      <w:r w:rsidRPr="00435EEC">
        <w:rPr>
          <w:rFonts w:cs="Arial"/>
          <w:sz w:val="20"/>
          <w:szCs w:val="20"/>
        </w:rPr>
        <w:t xml:space="preserve">Source: </w:t>
      </w:r>
      <w:r w:rsidR="0005212D">
        <w:rPr>
          <w:rFonts w:cs="Arial"/>
          <w:sz w:val="20"/>
          <w:szCs w:val="20"/>
        </w:rPr>
        <w:t xml:space="preserve"> </w:t>
      </w:r>
      <w:r w:rsidRPr="00435EEC">
        <w:rPr>
          <w:rFonts w:cs="Arial"/>
          <w:sz w:val="20"/>
          <w:szCs w:val="20"/>
        </w:rPr>
        <w:t>WIPO IP Statistics Database.</w:t>
      </w:r>
    </w:p>
    <w:p w:rsidR="003D3720" w:rsidRDefault="003D3720" w:rsidP="00AA1E26">
      <w:pPr>
        <w:rPr>
          <w:rFonts w:cs="Arial"/>
        </w:rPr>
      </w:pPr>
    </w:p>
    <w:p w:rsidR="00AA1E26" w:rsidRPr="00435EEC" w:rsidRDefault="005464B8" w:rsidP="0005212D">
      <w:pPr>
        <w:jc w:val="left"/>
        <w:rPr>
          <w:rFonts w:eastAsiaTheme="minorHAnsi" w:cs="Arial"/>
          <w:b/>
          <w:kern w:val="0"/>
          <w:lang w:eastAsia="en-US"/>
        </w:rPr>
      </w:pPr>
      <w:proofErr w:type="gramStart"/>
      <w:r w:rsidRPr="00435EEC">
        <w:rPr>
          <w:rFonts w:eastAsiaTheme="minorHAnsi" w:cs="Arial"/>
          <w:b/>
          <w:kern w:val="0"/>
          <w:lang w:eastAsia="en-US"/>
        </w:rPr>
        <w:t>Figure 5</w:t>
      </w:r>
      <w:r w:rsidR="00AA1E26" w:rsidRPr="00435EEC">
        <w:rPr>
          <w:rFonts w:eastAsiaTheme="minorHAnsi" w:cs="Arial"/>
          <w:b/>
          <w:kern w:val="0"/>
          <w:lang w:eastAsia="en-US"/>
        </w:rPr>
        <w:t>.2.</w:t>
      </w:r>
      <w:proofErr w:type="gramEnd"/>
      <w:r w:rsidR="0005212D">
        <w:rPr>
          <w:rFonts w:eastAsiaTheme="minorHAnsi" w:cs="Arial"/>
          <w:b/>
          <w:kern w:val="0"/>
          <w:lang w:eastAsia="en-US"/>
        </w:rPr>
        <w:t xml:space="preserve"> </w:t>
      </w:r>
      <w:r w:rsidR="00AA1E26" w:rsidRPr="00435EEC">
        <w:rPr>
          <w:rFonts w:eastAsiaTheme="minorHAnsi" w:cs="Arial"/>
          <w:b/>
          <w:kern w:val="0"/>
          <w:lang w:eastAsia="en-US"/>
        </w:rPr>
        <w:t xml:space="preserve"> Share of families applied through the PC</w:t>
      </w:r>
      <w:r w:rsidR="00CA566A" w:rsidRPr="00435EEC">
        <w:rPr>
          <w:rFonts w:eastAsiaTheme="minorHAnsi" w:cs="Arial"/>
          <w:b/>
          <w:kern w:val="0"/>
          <w:lang w:eastAsia="en-US"/>
        </w:rPr>
        <w:t>T route amo</w:t>
      </w:r>
      <w:r w:rsidRPr="00435EEC">
        <w:rPr>
          <w:rFonts w:eastAsiaTheme="minorHAnsi" w:cs="Arial"/>
          <w:b/>
          <w:kern w:val="0"/>
          <w:lang w:eastAsia="en-US"/>
        </w:rPr>
        <w:t>ng top 10 applicants, 1970-2012</w:t>
      </w:r>
    </w:p>
    <w:p w:rsidR="00AA1E26" w:rsidRPr="00AA1E26" w:rsidRDefault="00AA1E26" w:rsidP="00AA1E26">
      <w:pPr>
        <w:rPr>
          <w:rFonts w:cs="Arial"/>
        </w:rPr>
      </w:pPr>
      <w:r w:rsidRPr="00AA1E26">
        <w:rPr>
          <w:rFonts w:cs="Arial"/>
          <w:noProof/>
          <w:lang w:eastAsia="en-US"/>
        </w:rPr>
        <w:drawing>
          <wp:inline distT="0" distB="0" distL="0" distR="0">
            <wp:extent cx="5400040" cy="2700020"/>
            <wp:effectExtent l="0" t="0" r="10160" b="241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A1E26" w:rsidRPr="00435EEC" w:rsidRDefault="00AA1E26" w:rsidP="00435EEC">
      <w:pPr>
        <w:jc w:val="left"/>
        <w:rPr>
          <w:rFonts w:cs="Arial"/>
          <w:sz w:val="20"/>
          <w:szCs w:val="20"/>
        </w:rPr>
      </w:pPr>
      <w:r w:rsidRPr="00435EEC">
        <w:rPr>
          <w:rFonts w:cs="Arial"/>
          <w:sz w:val="20"/>
          <w:szCs w:val="20"/>
        </w:rPr>
        <w:t xml:space="preserve">Source: </w:t>
      </w:r>
      <w:r w:rsidR="008432AF">
        <w:rPr>
          <w:rFonts w:cs="Arial"/>
          <w:sz w:val="20"/>
          <w:szCs w:val="20"/>
        </w:rPr>
        <w:t xml:space="preserve"> </w:t>
      </w:r>
      <w:r w:rsidRPr="00435EEC">
        <w:rPr>
          <w:rFonts w:cs="Arial"/>
          <w:sz w:val="20"/>
          <w:szCs w:val="20"/>
        </w:rPr>
        <w:t>WIPO IP Statistics Database.</w:t>
      </w:r>
    </w:p>
    <w:p w:rsidR="006B6A96" w:rsidRDefault="006B6A96" w:rsidP="00AA1E26">
      <w:pPr>
        <w:rPr>
          <w:rFonts w:cs="Arial"/>
        </w:rPr>
      </w:pPr>
    </w:p>
    <w:p w:rsidR="008E537C" w:rsidRPr="00AA1E26" w:rsidRDefault="008E537C" w:rsidP="00E81B20">
      <w:pPr>
        <w:jc w:val="left"/>
        <w:rPr>
          <w:rFonts w:cs="Arial"/>
        </w:rPr>
      </w:pPr>
    </w:p>
    <w:p w:rsidR="00AA1E26" w:rsidRDefault="00AA1E26" w:rsidP="00E81B20">
      <w:pPr>
        <w:jc w:val="left"/>
        <w:rPr>
          <w:rFonts w:cs="Arial"/>
        </w:rPr>
      </w:pPr>
      <w:r w:rsidRPr="00AA1E26">
        <w:rPr>
          <w:rFonts w:cs="Arial"/>
        </w:rPr>
        <w:t>To understand</w:t>
      </w:r>
      <w:r w:rsidR="00825076">
        <w:rPr>
          <w:rFonts w:cs="Arial"/>
        </w:rPr>
        <w:t xml:space="preserve"> the </w:t>
      </w:r>
      <w:r w:rsidRPr="00AA1E26">
        <w:rPr>
          <w:rFonts w:cs="Arial"/>
        </w:rPr>
        <w:t xml:space="preserve">idiosyncrasies in the use of the PCT route among applicants regression </w:t>
      </w:r>
      <w:r w:rsidR="00825076">
        <w:rPr>
          <w:rFonts w:cs="Arial"/>
        </w:rPr>
        <w:t>techniques</w:t>
      </w:r>
      <w:r w:rsidRPr="00AA1E26">
        <w:rPr>
          <w:rFonts w:cs="Arial"/>
        </w:rPr>
        <w:t xml:space="preserve"> </w:t>
      </w:r>
      <w:r w:rsidR="00825076">
        <w:rPr>
          <w:rFonts w:cs="Arial"/>
        </w:rPr>
        <w:t>are</w:t>
      </w:r>
      <w:r w:rsidR="006B6A96">
        <w:rPr>
          <w:rFonts w:cs="Arial"/>
        </w:rPr>
        <w:t xml:space="preserve"> used</w:t>
      </w:r>
      <w:r w:rsidR="00825076">
        <w:rPr>
          <w:rFonts w:cs="Arial"/>
        </w:rPr>
        <w:t xml:space="preserve"> in what follows (see </w:t>
      </w:r>
      <w:r w:rsidR="0076375B" w:rsidRPr="00653FDA">
        <w:rPr>
          <w:rFonts w:cs="Arial"/>
        </w:rPr>
        <w:t>Appendix</w:t>
      </w:r>
      <w:r w:rsidR="00825076">
        <w:rPr>
          <w:rFonts w:cs="Arial"/>
        </w:rPr>
        <w:t xml:space="preserve"> 2 for more details). </w:t>
      </w:r>
      <w:r w:rsidR="00E81B20">
        <w:rPr>
          <w:rFonts w:cs="Arial"/>
        </w:rPr>
        <w:t xml:space="preserve"> </w:t>
      </w:r>
      <w:r w:rsidR="00825076">
        <w:rPr>
          <w:rFonts w:cs="Arial"/>
        </w:rPr>
        <w:t>A</w:t>
      </w:r>
      <w:r w:rsidRPr="00AA1E26">
        <w:rPr>
          <w:rFonts w:cs="Arial"/>
        </w:rPr>
        <w:t xml:space="preserve"> baseline regression model</w:t>
      </w:r>
      <w:r w:rsidR="00825076">
        <w:rPr>
          <w:rFonts w:cs="Arial"/>
        </w:rPr>
        <w:t xml:space="preserve"> is constructed</w:t>
      </w:r>
      <w:r w:rsidR="000E559A">
        <w:rPr>
          <w:rFonts w:cs="Arial"/>
        </w:rPr>
        <w:t xml:space="preserve"> which controls</w:t>
      </w:r>
      <w:r w:rsidR="00825076">
        <w:rPr>
          <w:rFonts w:cs="Arial"/>
        </w:rPr>
        <w:t xml:space="preserve"> for the type of a family, </w:t>
      </w:r>
      <w:r w:rsidRPr="00AA1E26">
        <w:rPr>
          <w:rFonts w:cs="Arial"/>
        </w:rPr>
        <w:t>i.e., whether a family is originated via patent for invention o</w:t>
      </w:r>
      <w:r w:rsidR="00825076">
        <w:rPr>
          <w:rFonts w:cs="Arial"/>
        </w:rPr>
        <w:t xml:space="preserve">r via utility model application, the type of an applicant, </w:t>
      </w:r>
      <w:r w:rsidRPr="00AA1E26">
        <w:rPr>
          <w:rFonts w:cs="Arial"/>
        </w:rPr>
        <w:t xml:space="preserve">i.e., whether it is a company, individual, university or research </w:t>
      </w:r>
      <w:r w:rsidR="00825076">
        <w:rPr>
          <w:rFonts w:cs="Arial"/>
        </w:rPr>
        <w:t>institute</w:t>
      </w:r>
      <w:r w:rsidRPr="00AA1E26">
        <w:rPr>
          <w:rFonts w:cs="Arial"/>
        </w:rPr>
        <w:t>, the size of a family and whether a family has an application with SIPO among other applications within a family.</w:t>
      </w:r>
      <w:r w:rsidR="00E81B20">
        <w:rPr>
          <w:rFonts w:cs="Arial"/>
        </w:rPr>
        <w:t xml:space="preserve"> </w:t>
      </w:r>
      <w:r w:rsidRPr="00AA1E26">
        <w:rPr>
          <w:rFonts w:cs="Arial"/>
        </w:rPr>
        <w:t xml:space="preserve"> The estimation results of the baseline specification</w:t>
      </w:r>
      <w:r w:rsidR="003241F6">
        <w:rPr>
          <w:rFonts w:cs="Arial"/>
        </w:rPr>
        <w:t xml:space="preserve"> model</w:t>
      </w:r>
      <w:r w:rsidRPr="00AA1E26">
        <w:rPr>
          <w:rFonts w:cs="Arial"/>
        </w:rPr>
        <w:t xml:space="preserve"> with the year fixed effects included are presented in column (1) of </w:t>
      </w:r>
      <w:r w:rsidR="00653FDA" w:rsidRPr="00653FDA">
        <w:rPr>
          <w:rFonts w:cs="Arial"/>
        </w:rPr>
        <w:t>Appendix</w:t>
      </w:r>
      <w:r w:rsidR="00653FDA">
        <w:rPr>
          <w:rFonts w:cs="Arial"/>
        </w:rPr>
        <w:t> </w:t>
      </w:r>
      <w:r w:rsidR="000E559A">
        <w:rPr>
          <w:rFonts w:cs="Arial"/>
        </w:rPr>
        <w:t>Table</w:t>
      </w:r>
      <w:r w:rsidR="00653FDA">
        <w:rPr>
          <w:rFonts w:cs="Arial"/>
        </w:rPr>
        <w:t> </w:t>
      </w:r>
      <w:r w:rsidR="000E559A">
        <w:rPr>
          <w:rFonts w:cs="Arial"/>
        </w:rPr>
        <w:t>1 in</w:t>
      </w:r>
      <w:r w:rsidRPr="00AA1E26">
        <w:rPr>
          <w:rFonts w:cs="Arial"/>
        </w:rPr>
        <w:t xml:space="preserve"> </w:t>
      </w:r>
      <w:r w:rsidR="00653FDA" w:rsidRPr="00653FDA">
        <w:rPr>
          <w:rFonts w:cs="Arial"/>
        </w:rPr>
        <w:t>Appendix</w:t>
      </w:r>
      <w:r w:rsidR="000E559A">
        <w:rPr>
          <w:rFonts w:cs="Arial"/>
        </w:rPr>
        <w:t xml:space="preserve"> </w:t>
      </w:r>
      <w:r w:rsidR="00D54D5D">
        <w:rPr>
          <w:rFonts w:cs="Arial"/>
        </w:rPr>
        <w:t>2</w:t>
      </w:r>
      <w:r w:rsidR="00814B2D">
        <w:rPr>
          <w:rFonts w:cs="Arial"/>
        </w:rPr>
        <w:t xml:space="preserve">. </w:t>
      </w:r>
      <w:r w:rsidR="00E81B20">
        <w:rPr>
          <w:rFonts w:cs="Arial"/>
        </w:rPr>
        <w:t xml:space="preserve"> </w:t>
      </w:r>
      <w:r w:rsidR="00814B2D">
        <w:rPr>
          <w:rFonts w:cs="Arial"/>
        </w:rPr>
        <w:t xml:space="preserve">This </w:t>
      </w:r>
      <w:r w:rsidR="00653FDA" w:rsidRPr="00653FDA">
        <w:rPr>
          <w:rFonts w:cs="Arial"/>
        </w:rPr>
        <w:t>Appendix</w:t>
      </w:r>
      <w:r w:rsidR="00814B2D">
        <w:rPr>
          <w:rFonts w:cs="Arial"/>
        </w:rPr>
        <w:t xml:space="preserve"> also provides further details on the regression techniques employed</w:t>
      </w:r>
      <w:r w:rsidRPr="00AA1E26">
        <w:rPr>
          <w:rFonts w:cs="Arial"/>
        </w:rPr>
        <w:t>. All the explanatory variables are statistically significant signifying the strength of the baseline model.</w:t>
      </w:r>
      <w:r w:rsidR="00E81B20">
        <w:rPr>
          <w:rFonts w:cs="Arial"/>
        </w:rPr>
        <w:t xml:space="preserve"> </w:t>
      </w:r>
      <w:r w:rsidRPr="00AA1E26">
        <w:rPr>
          <w:rFonts w:cs="Arial"/>
        </w:rPr>
        <w:t xml:space="preserve"> </w:t>
      </w:r>
      <w:r w:rsidR="00814B2D">
        <w:rPr>
          <w:rFonts w:cs="Arial"/>
        </w:rPr>
        <w:t>The mains findings of these calculations are:</w:t>
      </w:r>
    </w:p>
    <w:p w:rsidR="00814B2D" w:rsidRPr="00754DC4" w:rsidRDefault="00814B2D" w:rsidP="00F01F5F">
      <w:pPr>
        <w:rPr>
          <w:rFonts w:cs="Arial"/>
        </w:rPr>
      </w:pPr>
    </w:p>
    <w:p w:rsidR="00814B2D" w:rsidRPr="00754DC4" w:rsidRDefault="000A326E" w:rsidP="00E81B20">
      <w:pPr>
        <w:pStyle w:val="ListParagraph"/>
        <w:numPr>
          <w:ilvl w:val="0"/>
          <w:numId w:val="16"/>
        </w:numPr>
        <w:ind w:leftChars="0" w:left="567" w:hanging="567"/>
        <w:jc w:val="left"/>
        <w:rPr>
          <w:rFonts w:cs="Arial"/>
        </w:rPr>
      </w:pPr>
      <w:r>
        <w:rPr>
          <w:rFonts w:cs="Arial"/>
        </w:rPr>
        <w:t>Research i</w:t>
      </w:r>
      <w:r w:rsidR="00814B2D" w:rsidRPr="00754DC4">
        <w:rPr>
          <w:rFonts w:cs="Arial"/>
        </w:rPr>
        <w:t>nstitutes are more likely to apply t</w:t>
      </w:r>
      <w:r w:rsidR="00872EC7">
        <w:rPr>
          <w:rFonts w:cs="Arial"/>
        </w:rPr>
        <w:t>h</w:t>
      </w:r>
      <w:r w:rsidR="00814B2D" w:rsidRPr="00754DC4">
        <w:rPr>
          <w:rFonts w:cs="Arial"/>
        </w:rPr>
        <w:t>rough t</w:t>
      </w:r>
      <w:r w:rsidR="002D4E49">
        <w:rPr>
          <w:rFonts w:cs="Arial"/>
        </w:rPr>
        <w:t>he PCT route compared to companies, universities and i</w:t>
      </w:r>
      <w:r w:rsidR="00814B2D" w:rsidRPr="00754DC4">
        <w:rPr>
          <w:rFonts w:cs="Arial"/>
        </w:rPr>
        <w:t>ndividuals.</w:t>
      </w:r>
      <w:r w:rsidR="00872EC7">
        <w:rPr>
          <w:rStyle w:val="FootnoteReference"/>
          <w:rFonts w:cs="Arial"/>
        </w:rPr>
        <w:footnoteReference w:id="13"/>
      </w:r>
      <w:r w:rsidR="00814B2D" w:rsidRPr="00754DC4">
        <w:rPr>
          <w:rFonts w:cs="Arial"/>
        </w:rPr>
        <w:t xml:space="preserve"> </w:t>
      </w:r>
    </w:p>
    <w:p w:rsidR="00814B2D" w:rsidRPr="00754DC4" w:rsidRDefault="00814B2D" w:rsidP="00E81B20">
      <w:pPr>
        <w:ind w:left="567" w:hanging="567"/>
        <w:jc w:val="left"/>
        <w:rPr>
          <w:rFonts w:cs="Arial"/>
        </w:rPr>
      </w:pPr>
    </w:p>
    <w:p w:rsidR="00CC1087" w:rsidRDefault="00CC1087" w:rsidP="00E81B20">
      <w:pPr>
        <w:pStyle w:val="ListParagraph"/>
        <w:numPr>
          <w:ilvl w:val="0"/>
          <w:numId w:val="16"/>
        </w:numPr>
        <w:ind w:leftChars="0" w:left="567" w:hanging="567"/>
        <w:jc w:val="left"/>
        <w:rPr>
          <w:rFonts w:cs="Arial"/>
        </w:rPr>
      </w:pPr>
      <w:r w:rsidRPr="00754DC4">
        <w:rPr>
          <w:rFonts w:cs="Arial"/>
        </w:rPr>
        <w:t>Families originated through patent for invention applications are more likely to be applied through the PCT route.</w:t>
      </w:r>
    </w:p>
    <w:p w:rsidR="0087396A" w:rsidRPr="0087396A" w:rsidRDefault="0087396A" w:rsidP="00E81B20">
      <w:pPr>
        <w:ind w:left="567" w:hanging="567"/>
        <w:jc w:val="left"/>
        <w:rPr>
          <w:rFonts w:cs="Arial"/>
        </w:rPr>
      </w:pPr>
    </w:p>
    <w:p w:rsidR="00814B2D" w:rsidRPr="00754DC4" w:rsidRDefault="00814B2D" w:rsidP="00E81B20">
      <w:pPr>
        <w:pStyle w:val="ListParagraph"/>
        <w:numPr>
          <w:ilvl w:val="0"/>
          <w:numId w:val="16"/>
        </w:numPr>
        <w:ind w:leftChars="0" w:left="567" w:hanging="567"/>
        <w:jc w:val="left"/>
        <w:rPr>
          <w:rFonts w:cs="Arial"/>
        </w:rPr>
      </w:pPr>
      <w:r w:rsidRPr="00754DC4">
        <w:rPr>
          <w:rFonts w:cs="Arial"/>
        </w:rPr>
        <w:t>The bigger the size of a family, the more likely it is to be applied t</w:t>
      </w:r>
      <w:r w:rsidR="00872EC7">
        <w:rPr>
          <w:rFonts w:cs="Arial"/>
        </w:rPr>
        <w:t>h</w:t>
      </w:r>
      <w:r w:rsidRPr="00754DC4">
        <w:rPr>
          <w:rFonts w:cs="Arial"/>
        </w:rPr>
        <w:t>rough the PCT route.</w:t>
      </w:r>
    </w:p>
    <w:p w:rsidR="00814B2D" w:rsidRPr="00754DC4" w:rsidRDefault="00814B2D" w:rsidP="00E81B20">
      <w:pPr>
        <w:pStyle w:val="ListParagraph"/>
        <w:ind w:left="1447" w:hanging="567"/>
        <w:jc w:val="left"/>
        <w:rPr>
          <w:rFonts w:cs="Arial"/>
        </w:rPr>
      </w:pPr>
    </w:p>
    <w:p w:rsidR="00814B2D" w:rsidRPr="00754DC4" w:rsidRDefault="00814B2D" w:rsidP="00E81B20">
      <w:pPr>
        <w:pStyle w:val="ListParagraph"/>
        <w:numPr>
          <w:ilvl w:val="0"/>
          <w:numId w:val="16"/>
        </w:numPr>
        <w:ind w:leftChars="0" w:left="567" w:hanging="567"/>
        <w:jc w:val="left"/>
        <w:rPr>
          <w:rFonts w:cs="Arial"/>
        </w:rPr>
      </w:pPr>
      <w:r w:rsidRPr="00754DC4">
        <w:rPr>
          <w:rFonts w:cs="Arial"/>
        </w:rPr>
        <w:t xml:space="preserve">Patent families </w:t>
      </w:r>
      <w:r w:rsidR="000A326E">
        <w:rPr>
          <w:rFonts w:cs="Arial"/>
        </w:rPr>
        <w:t>which</w:t>
      </w:r>
      <w:r w:rsidRPr="00754DC4">
        <w:rPr>
          <w:rFonts w:cs="Arial"/>
        </w:rPr>
        <w:t xml:space="preserve"> include applications with SIPO among other patent offices are more likely to use the PCT route. </w:t>
      </w:r>
    </w:p>
    <w:p w:rsidR="00814B2D" w:rsidRPr="00754DC4" w:rsidRDefault="00814B2D" w:rsidP="00E81B20">
      <w:pPr>
        <w:ind w:left="567" w:hanging="567"/>
        <w:jc w:val="left"/>
        <w:rPr>
          <w:rFonts w:cs="Arial"/>
        </w:rPr>
      </w:pPr>
    </w:p>
    <w:p w:rsidR="00814B2D" w:rsidRDefault="00814B2D" w:rsidP="00E81B20">
      <w:pPr>
        <w:pStyle w:val="ListParagraph"/>
        <w:numPr>
          <w:ilvl w:val="0"/>
          <w:numId w:val="16"/>
        </w:numPr>
        <w:ind w:leftChars="0" w:left="567" w:hanging="567"/>
        <w:jc w:val="left"/>
        <w:rPr>
          <w:rFonts w:cs="Arial"/>
          <w:b/>
        </w:rPr>
      </w:pPr>
      <w:r w:rsidRPr="00754DC4">
        <w:rPr>
          <w:rFonts w:cs="Arial"/>
        </w:rPr>
        <w:t xml:space="preserve">Digital communication, biotechnology and pharmaceutical </w:t>
      </w:r>
      <w:r w:rsidR="000A326E">
        <w:rPr>
          <w:rFonts w:cs="Arial"/>
        </w:rPr>
        <w:t>firms</w:t>
      </w:r>
      <w:r w:rsidRPr="00754DC4">
        <w:rPr>
          <w:rFonts w:cs="Arial"/>
        </w:rPr>
        <w:t xml:space="preserve"> are more likely to use the PCT route compared to companies in other technology fields.</w:t>
      </w:r>
      <w:r w:rsidRPr="00AA1E26">
        <w:rPr>
          <w:rFonts w:cs="Arial"/>
          <w:b/>
        </w:rPr>
        <w:t xml:space="preserve"> </w:t>
      </w:r>
    </w:p>
    <w:p w:rsidR="00D64CEA" w:rsidRPr="00D64CEA" w:rsidRDefault="00D64CEA" w:rsidP="00E81B20">
      <w:pPr>
        <w:pStyle w:val="ListParagraph"/>
        <w:ind w:left="880"/>
        <w:jc w:val="left"/>
        <w:rPr>
          <w:rFonts w:cs="Arial"/>
          <w:b/>
        </w:rPr>
      </w:pPr>
    </w:p>
    <w:p w:rsidR="007A382D" w:rsidRDefault="000A326E" w:rsidP="00E81B20">
      <w:pPr>
        <w:jc w:val="left"/>
        <w:rPr>
          <w:rFonts w:cs="Arial"/>
        </w:rPr>
      </w:pPr>
      <w:r>
        <w:rPr>
          <w:rFonts w:cs="Arial"/>
        </w:rPr>
        <w:t xml:space="preserve">Some of these findings are obvious, for instance, the fact that larger patent families </w:t>
      </w:r>
      <w:r w:rsidR="00FE41AE">
        <w:rPr>
          <w:rFonts w:cs="Arial"/>
        </w:rPr>
        <w:t xml:space="preserve">or patent invention triggered-families </w:t>
      </w:r>
      <w:r>
        <w:rPr>
          <w:rFonts w:cs="Arial"/>
        </w:rPr>
        <w:t>tend to make use of the PCT route more fr</w:t>
      </w:r>
      <w:r w:rsidR="00153482">
        <w:rPr>
          <w:rFonts w:cs="Arial"/>
        </w:rPr>
        <w:t xml:space="preserve">equently. </w:t>
      </w:r>
    </w:p>
    <w:p w:rsidR="007A382D" w:rsidRDefault="007A382D" w:rsidP="00E81B20">
      <w:pPr>
        <w:jc w:val="left"/>
        <w:rPr>
          <w:rFonts w:cs="Arial"/>
        </w:rPr>
      </w:pPr>
    </w:p>
    <w:p w:rsidR="00AA1E26" w:rsidRDefault="00FE41AE" w:rsidP="00E81B20">
      <w:pPr>
        <w:jc w:val="left"/>
        <w:rPr>
          <w:rFonts w:cs="Arial"/>
        </w:rPr>
      </w:pPr>
      <w:r>
        <w:rPr>
          <w:rFonts w:cs="Arial"/>
        </w:rPr>
        <w:t>Others are less obvious, and need more analytical work, for instance, why academic inventors would favor the PCT more than their counterparts based in companies</w:t>
      </w:r>
      <w:r w:rsidR="000A326E">
        <w:rPr>
          <w:rFonts w:cs="Arial"/>
        </w:rPr>
        <w:t>.</w:t>
      </w:r>
      <w:r>
        <w:rPr>
          <w:rFonts w:cs="Arial"/>
        </w:rPr>
        <w:t xml:space="preserve"> </w:t>
      </w:r>
      <w:r w:rsidR="00E81B20">
        <w:rPr>
          <w:rFonts w:cs="Arial"/>
        </w:rPr>
        <w:t xml:space="preserve"> </w:t>
      </w:r>
      <w:r>
        <w:rPr>
          <w:rFonts w:cs="Arial"/>
        </w:rPr>
        <w:t xml:space="preserve">This will be subject to future research. </w:t>
      </w:r>
    </w:p>
    <w:p w:rsidR="008E537C" w:rsidRPr="00153482" w:rsidRDefault="008E537C" w:rsidP="00153482">
      <w:pPr>
        <w:rPr>
          <w:rFonts w:cs="Arial"/>
        </w:rPr>
      </w:pPr>
    </w:p>
    <w:p w:rsidR="00AA1E26" w:rsidRDefault="00AA1E26" w:rsidP="00AA1E26">
      <w:pPr>
        <w:rPr>
          <w:rFonts w:cs="Arial"/>
        </w:rPr>
      </w:pPr>
    </w:p>
    <w:p w:rsidR="005D7404" w:rsidRDefault="005D7404" w:rsidP="00AA1E26">
      <w:pPr>
        <w:rPr>
          <w:rFonts w:cs="Arial"/>
        </w:rPr>
      </w:pPr>
    </w:p>
    <w:p w:rsidR="00CC1087" w:rsidRPr="00AA1E26" w:rsidRDefault="00484736" w:rsidP="00CC1087">
      <w:pPr>
        <w:pStyle w:val="Heading1"/>
        <w:rPr>
          <w:rFonts w:cs="Arial"/>
          <w:caps w:val="0"/>
        </w:rPr>
      </w:pPr>
      <w:r>
        <w:rPr>
          <w:rFonts w:cs="Arial"/>
        </w:rPr>
        <w:t>Conclusion</w:t>
      </w:r>
    </w:p>
    <w:p w:rsidR="008C466E" w:rsidRDefault="001A4A68" w:rsidP="00C529D0">
      <w:pPr>
        <w:jc w:val="left"/>
        <w:rPr>
          <w:rFonts w:cs="Arial"/>
        </w:rPr>
      </w:pPr>
      <w:r>
        <w:rPr>
          <w:rFonts w:cs="Arial"/>
        </w:rPr>
        <w:t>This study is the first of its kind analyzing foreign-oriented patent families by Chinese residents.</w:t>
      </w:r>
      <w:r w:rsidR="00C529D0">
        <w:rPr>
          <w:rFonts w:cs="Arial"/>
        </w:rPr>
        <w:t xml:space="preserve"> </w:t>
      </w:r>
      <w:r>
        <w:rPr>
          <w:rFonts w:cs="Arial"/>
        </w:rPr>
        <w:t xml:space="preserve"> It generates a number of interested findings which are discussed succinctly in the Executive summary of this study. </w:t>
      </w:r>
    </w:p>
    <w:p w:rsidR="008C466E" w:rsidRDefault="008C466E" w:rsidP="00C529D0">
      <w:pPr>
        <w:jc w:val="left"/>
        <w:rPr>
          <w:rFonts w:cs="Arial"/>
        </w:rPr>
      </w:pPr>
    </w:p>
    <w:p w:rsidR="002B3426" w:rsidRDefault="001A4A68" w:rsidP="00C529D0">
      <w:pPr>
        <w:jc w:val="left"/>
        <w:rPr>
          <w:rFonts w:cs="Arial"/>
        </w:rPr>
      </w:pPr>
      <w:r>
        <w:rPr>
          <w:rFonts w:cs="Arial"/>
        </w:rPr>
        <w:t>Future work will have to elaborate more on the detailed drivers of Chinese filing abroad</w:t>
      </w:r>
      <w:r w:rsidR="00DF4815">
        <w:rPr>
          <w:rFonts w:cs="Arial"/>
        </w:rPr>
        <w:t xml:space="preserve">, and on understanding the potential for the future of such filings, including from firms, sectors and in technology fields which currently file much less frequently </w:t>
      </w:r>
      <w:r w:rsidR="008C466E">
        <w:rPr>
          <w:rFonts w:cs="Arial"/>
        </w:rPr>
        <w:t xml:space="preserve">abroad </w:t>
      </w:r>
      <w:r w:rsidR="00DF4815">
        <w:rPr>
          <w:rFonts w:cs="Arial"/>
        </w:rPr>
        <w:t xml:space="preserve">than </w:t>
      </w:r>
      <w:r w:rsidR="008C466E">
        <w:rPr>
          <w:rFonts w:cs="Arial"/>
        </w:rPr>
        <w:t>the most active firms in the ICT sector, although they have a sizeable domestic patent stock and active domestic filing behavior.</w:t>
      </w:r>
    </w:p>
    <w:p w:rsidR="002B3426" w:rsidRDefault="002B3426">
      <w:pPr>
        <w:widowControl/>
        <w:jc w:val="left"/>
        <w:rPr>
          <w:rFonts w:cs="Arial"/>
        </w:rPr>
      </w:pPr>
    </w:p>
    <w:p w:rsidR="005D7404" w:rsidRDefault="005D7404">
      <w:pPr>
        <w:widowControl/>
        <w:jc w:val="left"/>
        <w:rPr>
          <w:rFonts w:cs="Arial"/>
        </w:rPr>
      </w:pPr>
    </w:p>
    <w:p w:rsidR="005D7404" w:rsidRDefault="005D7404">
      <w:pPr>
        <w:widowControl/>
        <w:jc w:val="left"/>
        <w:rPr>
          <w:rFonts w:cs="Arial"/>
        </w:rPr>
      </w:pPr>
    </w:p>
    <w:p w:rsidR="00AA1E26" w:rsidRPr="00587F1F" w:rsidRDefault="005326D0" w:rsidP="00587F1F">
      <w:pPr>
        <w:pStyle w:val="Heading2"/>
        <w:widowControl/>
        <w:spacing w:after="240"/>
        <w:jc w:val="left"/>
        <w:rPr>
          <w:rFonts w:cs="Arial"/>
          <w:b/>
          <w:caps w:val="0"/>
          <w:kern w:val="0"/>
          <w:lang w:eastAsia="zh-CN"/>
        </w:rPr>
      </w:pPr>
      <w:r w:rsidRPr="00587F1F">
        <w:rPr>
          <w:rFonts w:cs="Arial"/>
          <w:b/>
          <w:caps w:val="0"/>
          <w:kern w:val="0"/>
          <w:lang w:eastAsia="zh-CN"/>
        </w:rPr>
        <w:t>REFERENCES</w:t>
      </w:r>
    </w:p>
    <w:p w:rsidR="00600F3B" w:rsidRDefault="00484736" w:rsidP="00587F1F">
      <w:pPr>
        <w:jc w:val="left"/>
        <w:rPr>
          <w:rFonts w:eastAsiaTheme="minorHAnsi"/>
          <w:noProof/>
          <w:lang w:eastAsia="en-US"/>
        </w:rPr>
      </w:pPr>
      <w:r>
        <w:rPr>
          <w:rFonts w:eastAsiaTheme="minorHAnsi"/>
          <w:noProof/>
          <w:lang w:eastAsia="en-US"/>
        </w:rPr>
        <w:t xml:space="preserve">Schmoch, Ulrich (2008): </w:t>
      </w:r>
      <w:r w:rsidR="00400A1D">
        <w:rPr>
          <w:rFonts w:eastAsiaTheme="minorHAnsi"/>
          <w:noProof/>
          <w:lang w:eastAsia="en-US"/>
        </w:rPr>
        <w:t xml:space="preserve"> </w:t>
      </w:r>
      <w:r w:rsidR="00600F3B" w:rsidRPr="00600F3B">
        <w:rPr>
          <w:rFonts w:eastAsiaTheme="minorHAnsi"/>
          <w:noProof/>
          <w:lang w:eastAsia="en-US"/>
        </w:rPr>
        <w:t>Concept of a Technology Classification for Country Comparisons, Final Report to the World IP</w:t>
      </w:r>
      <w:r w:rsidR="00400A1D">
        <w:rPr>
          <w:rFonts w:eastAsiaTheme="minorHAnsi"/>
          <w:noProof/>
          <w:lang w:eastAsia="en-US"/>
        </w:rPr>
        <w:t xml:space="preserve"> </w:t>
      </w:r>
      <w:r w:rsidR="00600F3B" w:rsidRPr="00600F3B">
        <w:rPr>
          <w:rFonts w:eastAsiaTheme="minorHAnsi"/>
          <w:noProof/>
          <w:lang w:eastAsia="en-US"/>
        </w:rPr>
        <w:t>Organisation, Geneva: WIPO.</w:t>
      </w:r>
    </w:p>
    <w:p w:rsidR="005326D0" w:rsidRPr="00600F3B" w:rsidRDefault="005326D0" w:rsidP="00587F1F">
      <w:pPr>
        <w:jc w:val="left"/>
        <w:rPr>
          <w:rFonts w:eastAsiaTheme="minorHAnsi"/>
          <w:noProof/>
          <w:lang w:eastAsia="en-US"/>
        </w:rPr>
      </w:pPr>
    </w:p>
    <w:p w:rsidR="008B2277" w:rsidRDefault="008B2277" w:rsidP="00587F1F">
      <w:pPr>
        <w:jc w:val="left"/>
        <w:rPr>
          <w:bCs/>
        </w:rPr>
      </w:pPr>
      <w:r w:rsidRPr="005326D0">
        <w:rPr>
          <w:bCs/>
        </w:rPr>
        <w:t>WIPO (201</w:t>
      </w:r>
      <w:r w:rsidR="002B3426">
        <w:rPr>
          <w:bCs/>
        </w:rPr>
        <w:t>1</w:t>
      </w:r>
      <w:r w:rsidR="00400A1D">
        <w:rPr>
          <w:bCs/>
        </w:rPr>
        <w:t xml:space="preserve">): </w:t>
      </w:r>
      <w:r w:rsidRPr="005326D0">
        <w:rPr>
          <w:bCs/>
        </w:rPr>
        <w:t xml:space="preserve"> World Intellectual Property Indicators 201</w:t>
      </w:r>
      <w:r>
        <w:rPr>
          <w:bCs/>
        </w:rPr>
        <w:t>1</w:t>
      </w:r>
      <w:r w:rsidR="00400A1D">
        <w:rPr>
          <w:bCs/>
        </w:rPr>
        <w:t>, Geneva</w:t>
      </w:r>
      <w:r w:rsidRPr="005326D0">
        <w:rPr>
          <w:bCs/>
        </w:rPr>
        <w:t>.</w:t>
      </w:r>
    </w:p>
    <w:p w:rsidR="008B2277" w:rsidRDefault="008B2277" w:rsidP="00587F1F">
      <w:pPr>
        <w:jc w:val="left"/>
        <w:rPr>
          <w:bCs/>
        </w:rPr>
      </w:pPr>
    </w:p>
    <w:p w:rsidR="00061285" w:rsidRDefault="00400A1D" w:rsidP="00587F1F">
      <w:pPr>
        <w:jc w:val="left"/>
        <w:rPr>
          <w:bCs/>
        </w:rPr>
      </w:pPr>
      <w:r>
        <w:rPr>
          <w:bCs/>
        </w:rPr>
        <w:t>WIPO (2013):</w:t>
      </w:r>
      <w:r w:rsidR="00AA1E26" w:rsidRPr="005326D0">
        <w:rPr>
          <w:bCs/>
        </w:rPr>
        <w:t xml:space="preserve"> World Intellectual P</w:t>
      </w:r>
      <w:r>
        <w:rPr>
          <w:bCs/>
        </w:rPr>
        <w:t>roperty Indicators 2013, Geneva</w:t>
      </w:r>
    </w:p>
    <w:p w:rsidR="008B2277" w:rsidRDefault="008B2277" w:rsidP="005326D0">
      <w:pPr>
        <w:rPr>
          <w:bCs/>
        </w:rPr>
      </w:pPr>
    </w:p>
    <w:p w:rsidR="008546FB" w:rsidRDefault="008546FB" w:rsidP="005326D0">
      <w:pPr>
        <w:rPr>
          <w:bCs/>
        </w:rPr>
      </w:pPr>
    </w:p>
    <w:p w:rsidR="008546FB" w:rsidRDefault="008546FB" w:rsidP="005326D0">
      <w:pPr>
        <w:rPr>
          <w:bCs/>
        </w:rPr>
      </w:pPr>
    </w:p>
    <w:p w:rsidR="008546FB" w:rsidRPr="005326D0" w:rsidRDefault="008546FB" w:rsidP="008546FB">
      <w:pPr>
        <w:pStyle w:val="Endofdocument-Annex"/>
      </w:pPr>
      <w:r>
        <w:t>[Appendices follow]</w:t>
      </w:r>
    </w:p>
    <w:p w:rsidR="00AA1E26" w:rsidRPr="009E3630" w:rsidRDefault="00061285" w:rsidP="009E3630">
      <w:pPr>
        <w:widowControl/>
        <w:jc w:val="left"/>
        <w:rPr>
          <w:rFonts w:eastAsia="SimSun" w:cs="Arial"/>
          <w:caps/>
        </w:rPr>
      </w:pPr>
      <w:r>
        <w:rPr>
          <w:rFonts w:cs="Arial"/>
          <w:b/>
          <w:bCs/>
        </w:rPr>
        <w:br w:type="page"/>
      </w:r>
    </w:p>
    <w:p w:rsidR="00AA1E26" w:rsidRPr="00AA1E26" w:rsidRDefault="008546FB" w:rsidP="00AA1E26">
      <w:pPr>
        <w:pStyle w:val="Heading1"/>
        <w:rPr>
          <w:rFonts w:cs="Arial"/>
        </w:rPr>
      </w:pPr>
      <w:r>
        <w:rPr>
          <w:rFonts w:cs="Arial"/>
        </w:rPr>
        <w:lastRenderedPageBreak/>
        <w:t>APPENDI</w:t>
      </w:r>
      <w:r w:rsidR="00AA1E26" w:rsidRPr="00AA1E26">
        <w:rPr>
          <w:rFonts w:cs="Arial"/>
        </w:rPr>
        <w:t>X</w:t>
      </w:r>
      <w:r>
        <w:rPr>
          <w:rFonts w:cs="Arial"/>
        </w:rPr>
        <w:t xml:space="preserve"> </w:t>
      </w:r>
      <w:r w:rsidRPr="00AA1E26">
        <w:rPr>
          <w:rFonts w:cs="Arial"/>
          <w:lang w:eastAsia="en-US"/>
        </w:rPr>
        <w:t>1:</w:t>
      </w:r>
      <w:r>
        <w:rPr>
          <w:rFonts w:cs="Arial"/>
          <w:lang w:eastAsia="en-US"/>
        </w:rPr>
        <w:t xml:space="preserve"> </w:t>
      </w:r>
      <w:r w:rsidRPr="00AA1E26">
        <w:rPr>
          <w:rFonts w:cs="Arial"/>
          <w:lang w:eastAsia="en-US"/>
        </w:rPr>
        <w:t xml:space="preserve"> Workshop agenda</w:t>
      </w:r>
    </w:p>
    <w:p w:rsidR="00206135" w:rsidRDefault="00206135" w:rsidP="00061285">
      <w:pPr>
        <w:tabs>
          <w:tab w:val="left" w:pos="851"/>
        </w:tabs>
        <w:jc w:val="center"/>
        <w:rPr>
          <w:rFonts w:cs="Arial"/>
          <w:b/>
          <w:bCs/>
        </w:rPr>
      </w:pPr>
    </w:p>
    <w:p w:rsidR="00AA1E26" w:rsidRPr="00AA1E26" w:rsidRDefault="00AA1E26" w:rsidP="00061285">
      <w:pPr>
        <w:tabs>
          <w:tab w:val="left" w:pos="851"/>
        </w:tabs>
        <w:jc w:val="center"/>
        <w:rPr>
          <w:rFonts w:cs="Arial"/>
        </w:rPr>
      </w:pPr>
      <w:r w:rsidRPr="00AA1E26">
        <w:rPr>
          <w:rFonts w:cs="Arial"/>
          <w:b/>
          <w:bCs/>
        </w:rPr>
        <w:t>Experts’ Meeting on Intellectual Property and Socio-Economic Development</w:t>
      </w:r>
    </w:p>
    <w:p w:rsidR="00AA1E26" w:rsidRPr="00AA1E26" w:rsidRDefault="00AA1E26" w:rsidP="00061285">
      <w:pPr>
        <w:tabs>
          <w:tab w:val="left" w:pos="851"/>
        </w:tabs>
        <w:jc w:val="center"/>
        <w:rPr>
          <w:rFonts w:cs="Arial"/>
        </w:rPr>
      </w:pPr>
      <w:r w:rsidRPr="00AA1E26">
        <w:rPr>
          <w:rFonts w:cs="Arial"/>
        </w:rPr>
        <w:t>Jointly organized by</w:t>
      </w:r>
    </w:p>
    <w:p w:rsidR="00AA1E26" w:rsidRPr="00AA1E26" w:rsidRDefault="00AA1E26" w:rsidP="00061285">
      <w:pPr>
        <w:tabs>
          <w:tab w:val="left" w:pos="851"/>
        </w:tabs>
        <w:jc w:val="center"/>
        <w:rPr>
          <w:rFonts w:cs="Arial"/>
        </w:rPr>
      </w:pPr>
      <w:r w:rsidRPr="00AA1E26">
        <w:rPr>
          <w:rFonts w:cs="Arial"/>
        </w:rPr>
        <w:t xml:space="preserve">World Intellectual Property Organization (WIPO) </w:t>
      </w:r>
    </w:p>
    <w:p w:rsidR="00AA1E26" w:rsidRPr="00AA1E26" w:rsidRDefault="00AA1E26" w:rsidP="00061285">
      <w:pPr>
        <w:tabs>
          <w:tab w:val="left" w:pos="851"/>
        </w:tabs>
        <w:jc w:val="center"/>
        <w:rPr>
          <w:rFonts w:cs="Arial"/>
        </w:rPr>
      </w:pPr>
      <w:proofErr w:type="gramStart"/>
      <w:r w:rsidRPr="00AA1E26">
        <w:rPr>
          <w:rFonts w:cs="Arial"/>
        </w:rPr>
        <w:t>and</w:t>
      </w:r>
      <w:proofErr w:type="gramEnd"/>
      <w:r w:rsidRPr="00AA1E26">
        <w:rPr>
          <w:rFonts w:cs="Arial"/>
        </w:rPr>
        <w:t xml:space="preserve"> </w:t>
      </w:r>
    </w:p>
    <w:p w:rsidR="00AA1E26" w:rsidRPr="00AA1E26" w:rsidRDefault="00AA1E26" w:rsidP="00061285">
      <w:pPr>
        <w:jc w:val="center"/>
        <w:rPr>
          <w:rFonts w:cs="Arial"/>
        </w:rPr>
      </w:pPr>
      <w:r w:rsidRPr="00AA1E26">
        <w:rPr>
          <w:rFonts w:cs="Arial"/>
        </w:rPr>
        <w:t>State Intellectual Property Office of the People’s Republic of China (SIPO)</w:t>
      </w:r>
    </w:p>
    <w:p w:rsidR="00AA1E26" w:rsidRPr="00AA1E26" w:rsidRDefault="00AA1E26" w:rsidP="00061285">
      <w:pPr>
        <w:tabs>
          <w:tab w:val="left" w:pos="851"/>
        </w:tabs>
        <w:jc w:val="center"/>
        <w:rPr>
          <w:rFonts w:eastAsia="SimSun" w:cs="Arial"/>
          <w:lang w:eastAsia="zh-CN"/>
        </w:rPr>
      </w:pPr>
      <w:r w:rsidRPr="00AA1E26">
        <w:rPr>
          <w:rFonts w:eastAsia="SimSun" w:cs="Arial"/>
          <w:lang w:eastAsia="zh-CN"/>
        </w:rPr>
        <w:t>Beijing</w:t>
      </w:r>
    </w:p>
    <w:p w:rsidR="00AA1E26" w:rsidRDefault="00AA1E26" w:rsidP="00061285">
      <w:pPr>
        <w:tabs>
          <w:tab w:val="left" w:pos="851"/>
        </w:tabs>
        <w:jc w:val="center"/>
        <w:rPr>
          <w:rFonts w:eastAsia="SimSun" w:cs="Arial"/>
          <w:lang w:eastAsia="zh-CN"/>
        </w:rPr>
      </w:pPr>
      <w:r w:rsidRPr="00AA1E26">
        <w:rPr>
          <w:rFonts w:eastAsia="SimSun" w:cs="Arial"/>
          <w:lang w:eastAsia="zh-CN"/>
        </w:rPr>
        <w:t>March 25</w:t>
      </w:r>
      <w:r w:rsidRPr="00AA1E26">
        <w:rPr>
          <w:rFonts w:cs="Arial"/>
        </w:rPr>
        <w:t>, 201</w:t>
      </w:r>
      <w:r w:rsidRPr="00AA1E26">
        <w:rPr>
          <w:rFonts w:eastAsia="SimSun" w:cs="Arial"/>
          <w:lang w:eastAsia="zh-CN"/>
        </w:rPr>
        <w:t>3</w:t>
      </w:r>
    </w:p>
    <w:p w:rsidR="00C737BD" w:rsidRPr="00AA1E26" w:rsidRDefault="00C737BD" w:rsidP="00061285">
      <w:pPr>
        <w:tabs>
          <w:tab w:val="left" w:pos="851"/>
        </w:tabs>
        <w:jc w:val="center"/>
        <w:rPr>
          <w:rFonts w:eastAsia="SimSun" w:cs="Arial"/>
          <w:lang w:eastAsia="zh-CN"/>
        </w:rPr>
      </w:pPr>
    </w:p>
    <w:p w:rsidR="0095767C" w:rsidRDefault="0095767C" w:rsidP="0095767C">
      <w:pPr>
        <w:tabs>
          <w:tab w:val="left" w:pos="1985"/>
        </w:tabs>
        <w:jc w:val="left"/>
      </w:pPr>
      <w:r>
        <w:t>9.00 – 9.10</w:t>
      </w:r>
      <w:r>
        <w:tab/>
        <w:t>Opening Ceremony</w:t>
      </w:r>
    </w:p>
    <w:p w:rsidR="0095767C" w:rsidRDefault="0095767C" w:rsidP="0095767C">
      <w:pPr>
        <w:tabs>
          <w:tab w:val="left" w:pos="1985"/>
        </w:tabs>
        <w:jc w:val="left"/>
      </w:pPr>
    </w:p>
    <w:p w:rsidR="0095767C" w:rsidRDefault="0095767C" w:rsidP="0095767C">
      <w:pPr>
        <w:tabs>
          <w:tab w:val="left" w:pos="1985"/>
        </w:tabs>
        <w:jc w:val="left"/>
      </w:pPr>
      <w:r>
        <w:tab/>
        <w:t>Welcome addresses by:</w:t>
      </w:r>
    </w:p>
    <w:p w:rsidR="0095767C" w:rsidRDefault="0095767C" w:rsidP="0095767C">
      <w:pPr>
        <w:tabs>
          <w:tab w:val="left" w:pos="1985"/>
        </w:tabs>
        <w:jc w:val="left"/>
      </w:pPr>
    </w:p>
    <w:p w:rsidR="0095767C" w:rsidRDefault="00206135" w:rsidP="00206135">
      <w:pPr>
        <w:tabs>
          <w:tab w:val="left" w:pos="1985"/>
          <w:tab w:val="left" w:pos="3261"/>
        </w:tabs>
        <w:ind w:left="1985"/>
        <w:jc w:val="left"/>
        <w:rPr>
          <w:rFonts w:eastAsia="SimSun" w:cs="Arial"/>
          <w:lang w:eastAsia="zh-CN"/>
        </w:rPr>
      </w:pPr>
      <w:r w:rsidRPr="00AA1E26">
        <w:rPr>
          <w:rFonts w:eastAsia="SimSun" w:cs="Arial"/>
          <w:lang w:eastAsia="zh-CN"/>
        </w:rPr>
        <w:t xml:space="preserve">Ms. YANG </w:t>
      </w:r>
      <w:proofErr w:type="spellStart"/>
      <w:r w:rsidRPr="00AA1E26">
        <w:rPr>
          <w:rFonts w:eastAsia="SimSun" w:cs="Arial"/>
          <w:lang w:eastAsia="zh-CN"/>
        </w:rPr>
        <w:t>Zhe</w:t>
      </w:r>
      <w:proofErr w:type="spellEnd"/>
      <w:r w:rsidRPr="00AA1E26">
        <w:rPr>
          <w:rFonts w:eastAsia="SimSun" w:cs="Arial"/>
          <w:lang w:eastAsia="zh-CN"/>
        </w:rPr>
        <w:t>, Deputy Director General, Intellectual Property Development Research Center, SIPO</w:t>
      </w:r>
    </w:p>
    <w:p w:rsidR="00206135" w:rsidRDefault="00206135" w:rsidP="00206135">
      <w:pPr>
        <w:tabs>
          <w:tab w:val="left" w:pos="1985"/>
          <w:tab w:val="left" w:pos="3261"/>
        </w:tabs>
        <w:ind w:left="1985"/>
        <w:jc w:val="left"/>
      </w:pPr>
    </w:p>
    <w:p w:rsidR="0095767C" w:rsidRDefault="0095767C" w:rsidP="0095767C">
      <w:pPr>
        <w:ind w:left="1985"/>
        <w:jc w:val="left"/>
      </w:pPr>
      <w:r w:rsidRPr="00F67805">
        <w:t>Mr. Wu Kai, Director General, International Cooperation Department, State Intellectual Property Office of the People’s Republic of China (SIPO), Beijing</w:t>
      </w:r>
    </w:p>
    <w:p w:rsidR="0095767C" w:rsidRDefault="0095767C" w:rsidP="0095767C">
      <w:pPr>
        <w:ind w:left="1985"/>
        <w:jc w:val="left"/>
      </w:pPr>
    </w:p>
    <w:p w:rsidR="0095767C" w:rsidRDefault="0095767C" w:rsidP="0095767C">
      <w:pPr>
        <w:ind w:left="1985"/>
        <w:jc w:val="left"/>
      </w:pPr>
      <w:r>
        <w:t xml:space="preserve">Mr. Zhou Hao, Head, Data Development Section, Economics and Statistics Division (ESD), World Intellectual Property Organization (WIPO), Geneva </w:t>
      </w:r>
    </w:p>
    <w:p w:rsidR="0095767C" w:rsidRDefault="0095767C" w:rsidP="0095767C">
      <w:pPr>
        <w:tabs>
          <w:tab w:val="left" w:pos="1985"/>
        </w:tabs>
        <w:jc w:val="left"/>
      </w:pPr>
    </w:p>
    <w:p w:rsidR="0095767C" w:rsidRDefault="0095767C" w:rsidP="0095767C">
      <w:pPr>
        <w:tabs>
          <w:tab w:val="left" w:pos="1985"/>
        </w:tabs>
        <w:jc w:val="left"/>
      </w:pPr>
      <w:r>
        <w:tab/>
      </w:r>
      <w:r>
        <w:rPr>
          <w:b/>
        </w:rPr>
        <w:t>Session 1</w:t>
      </w:r>
    </w:p>
    <w:p w:rsidR="0095767C" w:rsidRDefault="0095767C" w:rsidP="0095767C">
      <w:pPr>
        <w:tabs>
          <w:tab w:val="left" w:pos="1985"/>
        </w:tabs>
        <w:ind w:left="1985"/>
        <w:jc w:val="left"/>
      </w:pPr>
    </w:p>
    <w:p w:rsidR="0095767C" w:rsidRDefault="0095767C" w:rsidP="0095767C">
      <w:pPr>
        <w:ind w:left="1985"/>
        <w:jc w:val="left"/>
      </w:pPr>
      <w:r>
        <w:t xml:space="preserve">Moderator:  </w:t>
      </w:r>
      <w:r w:rsidR="00206135" w:rsidRPr="00AA1E26">
        <w:rPr>
          <w:rFonts w:eastAsia="SimSun" w:cs="Arial"/>
          <w:lang w:eastAsia="zh-CN"/>
        </w:rPr>
        <w:t xml:space="preserve">Ms. YANG </w:t>
      </w:r>
      <w:proofErr w:type="spellStart"/>
      <w:r w:rsidR="00206135" w:rsidRPr="00AA1E26">
        <w:rPr>
          <w:rFonts w:eastAsia="SimSun" w:cs="Arial"/>
          <w:lang w:eastAsia="zh-CN"/>
        </w:rPr>
        <w:t>Zhe</w:t>
      </w:r>
      <w:proofErr w:type="spellEnd"/>
    </w:p>
    <w:p w:rsidR="0095767C" w:rsidRDefault="0095767C" w:rsidP="0095767C">
      <w:pPr>
        <w:tabs>
          <w:tab w:val="left" w:pos="1985"/>
        </w:tabs>
        <w:jc w:val="left"/>
      </w:pPr>
    </w:p>
    <w:p w:rsidR="0095767C" w:rsidRPr="001B3B95" w:rsidRDefault="0095767C" w:rsidP="0095767C">
      <w:pPr>
        <w:tabs>
          <w:tab w:val="left" w:pos="1985"/>
          <w:tab w:val="left" w:pos="3119"/>
        </w:tabs>
        <w:jc w:val="left"/>
        <w:rPr>
          <w:b/>
        </w:rPr>
      </w:pPr>
      <w:r>
        <w:t>9.10 – 9.50</w:t>
      </w:r>
      <w:r>
        <w:tab/>
      </w:r>
      <w:proofErr w:type="gramStart"/>
      <w:r w:rsidRPr="00B55829">
        <w:rPr>
          <w:b/>
        </w:rPr>
        <w:t>Topic</w:t>
      </w:r>
      <w:proofErr w:type="gramEnd"/>
      <w:r w:rsidRPr="00B55829">
        <w:rPr>
          <w:b/>
        </w:rPr>
        <w:t xml:space="preserve"> 1:  </w:t>
      </w:r>
      <w:r>
        <w:rPr>
          <w:b/>
        </w:rPr>
        <w:t>Roles of Patents in Corporate Strategies</w:t>
      </w:r>
    </w:p>
    <w:p w:rsidR="0095767C" w:rsidRDefault="0095767C" w:rsidP="0095767C">
      <w:pPr>
        <w:tabs>
          <w:tab w:val="left" w:pos="1985"/>
        </w:tabs>
        <w:ind w:left="3119" w:hanging="1134"/>
        <w:jc w:val="left"/>
      </w:pPr>
    </w:p>
    <w:p w:rsidR="0095767C" w:rsidRDefault="0095767C" w:rsidP="0095767C">
      <w:pPr>
        <w:tabs>
          <w:tab w:val="left" w:pos="1985"/>
        </w:tabs>
        <w:ind w:left="3119" w:hanging="1134"/>
        <w:jc w:val="left"/>
      </w:pPr>
      <w:r>
        <w:t>Speaker:</w:t>
      </w:r>
      <w:r>
        <w:tab/>
        <w:t>Mr. Hao Mao, Associate Professor, SIPO, Beijing</w:t>
      </w:r>
    </w:p>
    <w:p w:rsidR="0095767C" w:rsidRDefault="0095767C" w:rsidP="0095767C">
      <w:pPr>
        <w:tabs>
          <w:tab w:val="left" w:pos="1985"/>
        </w:tabs>
        <w:ind w:left="3119" w:hanging="1134"/>
        <w:jc w:val="left"/>
      </w:pPr>
    </w:p>
    <w:p w:rsidR="0095767C" w:rsidRDefault="0095767C" w:rsidP="0095767C">
      <w:pPr>
        <w:tabs>
          <w:tab w:val="left" w:pos="1985"/>
          <w:tab w:val="left" w:pos="3686"/>
        </w:tabs>
        <w:ind w:left="3402" w:hanging="1417"/>
        <w:jc w:val="left"/>
        <w:rPr>
          <w:bCs/>
          <w:color w:val="000000"/>
        </w:rPr>
      </w:pPr>
      <w:r w:rsidRPr="007B342E">
        <w:t>Comment</w:t>
      </w:r>
      <w:r>
        <w:t xml:space="preserve">ator:  </w:t>
      </w:r>
      <w:r w:rsidRPr="007B342E">
        <w:t xml:space="preserve">Mr. </w:t>
      </w:r>
      <w:r w:rsidRPr="00C14819">
        <w:rPr>
          <w:bCs/>
          <w:color w:val="000000"/>
        </w:rPr>
        <w:t xml:space="preserve">Albert </w:t>
      </w:r>
      <w:r>
        <w:rPr>
          <w:bCs/>
          <w:color w:val="000000"/>
        </w:rPr>
        <w:t xml:space="preserve">Guangzhou </w:t>
      </w:r>
      <w:r w:rsidRPr="00C14819">
        <w:rPr>
          <w:bCs/>
          <w:color w:val="000000"/>
        </w:rPr>
        <w:t>Hu</w:t>
      </w:r>
      <w:r>
        <w:rPr>
          <w:bCs/>
          <w:color w:val="000000"/>
        </w:rPr>
        <w:t>, Associate Professor of</w:t>
      </w:r>
    </w:p>
    <w:p w:rsidR="0095767C" w:rsidRPr="0095767C" w:rsidRDefault="0095767C" w:rsidP="0095767C">
      <w:pPr>
        <w:tabs>
          <w:tab w:val="left" w:pos="1985"/>
          <w:tab w:val="left" w:pos="3686"/>
        </w:tabs>
        <w:ind w:left="3402" w:hanging="1417"/>
        <w:jc w:val="left"/>
        <w:rPr>
          <w:bCs/>
          <w:color w:val="000000"/>
        </w:rPr>
      </w:pPr>
      <w:r>
        <w:rPr>
          <w:bCs/>
          <w:color w:val="000000"/>
        </w:rPr>
        <w:tab/>
        <w:t>Economics, China Europe International Business School and National University of Singapore</w:t>
      </w:r>
    </w:p>
    <w:p w:rsidR="0095767C" w:rsidRPr="00EC32CF" w:rsidRDefault="0095767C" w:rsidP="0095767C">
      <w:pPr>
        <w:tabs>
          <w:tab w:val="left" w:pos="1985"/>
        </w:tabs>
      </w:pPr>
    </w:p>
    <w:p w:rsidR="0095767C" w:rsidRPr="001B3B95" w:rsidRDefault="0095767C" w:rsidP="0095767C">
      <w:pPr>
        <w:tabs>
          <w:tab w:val="left" w:pos="1985"/>
        </w:tabs>
        <w:jc w:val="left"/>
        <w:rPr>
          <w:b/>
        </w:rPr>
      </w:pPr>
      <w:r>
        <w:t>9.50 – 10.10</w:t>
      </w:r>
      <w:r>
        <w:tab/>
        <w:t>D</w:t>
      </w:r>
      <w:r w:rsidRPr="00BE7CD9">
        <w:t>iscussion</w:t>
      </w:r>
    </w:p>
    <w:p w:rsidR="0095767C" w:rsidRPr="00015E44" w:rsidRDefault="0095767C" w:rsidP="0095767C">
      <w:pPr>
        <w:tabs>
          <w:tab w:val="left" w:pos="1985"/>
          <w:tab w:val="left" w:pos="3119"/>
          <w:tab w:val="left" w:pos="3410"/>
        </w:tabs>
        <w:jc w:val="left"/>
      </w:pPr>
    </w:p>
    <w:p w:rsidR="0095767C" w:rsidRDefault="0095767C" w:rsidP="0095767C">
      <w:pPr>
        <w:tabs>
          <w:tab w:val="left" w:pos="1985"/>
        </w:tabs>
        <w:jc w:val="left"/>
      </w:pPr>
      <w:r>
        <w:t>10.10</w:t>
      </w:r>
      <w:r w:rsidRPr="009726C2">
        <w:t xml:space="preserve"> – </w:t>
      </w:r>
      <w:r>
        <w:t>10.30</w:t>
      </w:r>
      <w:r w:rsidRPr="009726C2">
        <w:tab/>
      </w:r>
      <w:r>
        <w:t>Coffee Break</w:t>
      </w:r>
    </w:p>
    <w:p w:rsidR="0095767C" w:rsidRDefault="0095767C" w:rsidP="0095767C">
      <w:pPr>
        <w:tabs>
          <w:tab w:val="left" w:pos="1985"/>
        </w:tabs>
        <w:jc w:val="left"/>
      </w:pPr>
    </w:p>
    <w:p w:rsidR="0095767C" w:rsidRDefault="0095767C" w:rsidP="0095767C">
      <w:pPr>
        <w:tabs>
          <w:tab w:val="left" w:pos="1985"/>
        </w:tabs>
        <w:ind w:left="1701" w:hanging="1701"/>
        <w:jc w:val="left"/>
      </w:pPr>
      <w:r>
        <w:t>10</w:t>
      </w:r>
      <w:r w:rsidRPr="00163CEA">
        <w:t>.</w:t>
      </w:r>
      <w:r>
        <w:t>30</w:t>
      </w:r>
      <w:r w:rsidRPr="00163CEA">
        <w:t xml:space="preserve"> – 1</w:t>
      </w:r>
      <w:r>
        <w:t>1</w:t>
      </w:r>
      <w:r w:rsidRPr="00163CEA">
        <w:t>.</w:t>
      </w:r>
      <w:r>
        <w:t>10</w:t>
      </w:r>
      <w:r>
        <w:tab/>
      </w:r>
      <w:r w:rsidRPr="00B55829">
        <w:rPr>
          <w:b/>
        </w:rPr>
        <w:t>Topic 2:</w:t>
      </w:r>
      <w:r>
        <w:t xml:space="preserve">  </w:t>
      </w:r>
      <w:r>
        <w:rPr>
          <w:b/>
        </w:rPr>
        <w:t>Foreign-Oriented Patent Families by Chinese Residents</w:t>
      </w:r>
    </w:p>
    <w:p w:rsidR="0095767C" w:rsidRDefault="0095767C" w:rsidP="0095767C">
      <w:pPr>
        <w:tabs>
          <w:tab w:val="left" w:pos="1985"/>
        </w:tabs>
        <w:jc w:val="left"/>
      </w:pPr>
    </w:p>
    <w:p w:rsidR="0095767C" w:rsidRDefault="0095767C" w:rsidP="0095767C">
      <w:pPr>
        <w:tabs>
          <w:tab w:val="left" w:pos="1985"/>
        </w:tabs>
        <w:ind w:left="3119" w:hanging="3119"/>
        <w:jc w:val="left"/>
      </w:pPr>
      <w:r>
        <w:tab/>
        <w:t>Speakers:</w:t>
      </w:r>
      <w:r>
        <w:tab/>
        <w:t>Mr. Zhou Hao</w:t>
      </w:r>
    </w:p>
    <w:p w:rsidR="0095767C" w:rsidRDefault="0095767C" w:rsidP="0095767C">
      <w:pPr>
        <w:tabs>
          <w:tab w:val="left" w:pos="1985"/>
        </w:tabs>
        <w:ind w:left="3119" w:hanging="3119"/>
        <w:jc w:val="left"/>
      </w:pPr>
      <w:r>
        <w:tab/>
      </w:r>
      <w:r>
        <w:tab/>
      </w:r>
    </w:p>
    <w:p w:rsidR="0095767C" w:rsidRPr="00015E44" w:rsidRDefault="0095767C" w:rsidP="0095767C">
      <w:pPr>
        <w:tabs>
          <w:tab w:val="left" w:pos="1985"/>
        </w:tabs>
        <w:ind w:left="3119" w:hanging="2836"/>
        <w:jc w:val="left"/>
      </w:pPr>
      <w:r>
        <w:tab/>
      </w:r>
      <w:r>
        <w:tab/>
        <w:t xml:space="preserve">Mr. </w:t>
      </w:r>
      <w:r w:rsidRPr="00475219">
        <w:t xml:space="preserve">Sacha Wunsch-Vincent, Senior Economic Officer, </w:t>
      </w:r>
      <w:r>
        <w:t xml:space="preserve">Economics Section, </w:t>
      </w:r>
      <w:r w:rsidRPr="00475219">
        <w:t xml:space="preserve">ESD, WIPO </w:t>
      </w:r>
    </w:p>
    <w:p w:rsidR="0095767C" w:rsidRDefault="0095767C" w:rsidP="0095767C">
      <w:pPr>
        <w:tabs>
          <w:tab w:val="left" w:pos="1985"/>
          <w:tab w:val="left" w:pos="3080"/>
        </w:tabs>
        <w:jc w:val="left"/>
      </w:pPr>
    </w:p>
    <w:p w:rsidR="0095767C" w:rsidRDefault="0095767C" w:rsidP="0095767C">
      <w:pPr>
        <w:tabs>
          <w:tab w:val="left" w:pos="3080"/>
        </w:tabs>
        <w:ind w:left="3119"/>
        <w:jc w:val="left"/>
        <w:rPr>
          <w:bCs/>
          <w:color w:val="000000"/>
        </w:rPr>
      </w:pPr>
      <w:r>
        <w:t xml:space="preserve">Mrs. </w:t>
      </w:r>
      <w:proofErr w:type="spellStart"/>
      <w:r w:rsidRPr="003C14B8">
        <w:rPr>
          <w:bCs/>
          <w:color w:val="000000"/>
        </w:rPr>
        <w:t>Liudmila</w:t>
      </w:r>
      <w:proofErr w:type="spellEnd"/>
      <w:r w:rsidRPr="003C14B8">
        <w:rPr>
          <w:bCs/>
          <w:color w:val="000000"/>
        </w:rPr>
        <w:t xml:space="preserve"> </w:t>
      </w:r>
      <w:proofErr w:type="spellStart"/>
      <w:r w:rsidRPr="003C14B8">
        <w:rPr>
          <w:bCs/>
          <w:color w:val="000000"/>
        </w:rPr>
        <w:t>Kashcheeva</w:t>
      </w:r>
      <w:proofErr w:type="spellEnd"/>
      <w:r>
        <w:rPr>
          <w:bCs/>
          <w:color w:val="000000"/>
        </w:rPr>
        <w:t>, WIPO Consultant</w:t>
      </w:r>
    </w:p>
    <w:p w:rsidR="0095767C" w:rsidRPr="007B342E" w:rsidRDefault="0095767C" w:rsidP="0095767C">
      <w:pPr>
        <w:tabs>
          <w:tab w:val="left" w:pos="1985"/>
          <w:tab w:val="left" w:pos="3080"/>
        </w:tabs>
        <w:jc w:val="left"/>
      </w:pPr>
    </w:p>
    <w:p w:rsidR="0095767C" w:rsidRDefault="0095767C" w:rsidP="0095767C">
      <w:pPr>
        <w:tabs>
          <w:tab w:val="left" w:pos="1985"/>
          <w:tab w:val="left" w:pos="3080"/>
        </w:tabs>
        <w:jc w:val="left"/>
      </w:pPr>
      <w:r>
        <w:t>11</w:t>
      </w:r>
      <w:r w:rsidRPr="00163CEA">
        <w:t>.</w:t>
      </w:r>
      <w:r>
        <w:t>10 – 11.30</w:t>
      </w:r>
      <w:r>
        <w:tab/>
        <w:t>Discussion</w:t>
      </w:r>
    </w:p>
    <w:p w:rsidR="0095767C" w:rsidRDefault="0095767C" w:rsidP="0095767C">
      <w:pPr>
        <w:tabs>
          <w:tab w:val="left" w:pos="1985"/>
        </w:tabs>
        <w:jc w:val="left"/>
      </w:pPr>
    </w:p>
    <w:p w:rsidR="0095767C" w:rsidRPr="007243FB" w:rsidRDefault="0095767C" w:rsidP="0095767C">
      <w:pPr>
        <w:tabs>
          <w:tab w:val="left" w:pos="1985"/>
        </w:tabs>
        <w:jc w:val="left"/>
        <w:rPr>
          <w:bCs/>
        </w:rPr>
      </w:pPr>
      <w:r>
        <w:t>11.30</w:t>
      </w:r>
      <w:r w:rsidRPr="009726C2">
        <w:t xml:space="preserve"> – </w:t>
      </w:r>
      <w:r>
        <w:t>14.00</w:t>
      </w:r>
      <w:r w:rsidRPr="009726C2">
        <w:tab/>
      </w:r>
      <w:r w:rsidRPr="007243FB">
        <w:rPr>
          <w:bCs/>
        </w:rPr>
        <w:t>Lunch</w:t>
      </w:r>
    </w:p>
    <w:p w:rsidR="0095767C" w:rsidRDefault="0095767C" w:rsidP="0095767C">
      <w:pPr>
        <w:jc w:val="left"/>
      </w:pPr>
    </w:p>
    <w:p w:rsidR="0095767C" w:rsidRDefault="0095767C" w:rsidP="0095767C">
      <w:pPr>
        <w:tabs>
          <w:tab w:val="left" w:pos="1985"/>
        </w:tabs>
        <w:jc w:val="left"/>
        <w:rPr>
          <w:b/>
        </w:rPr>
      </w:pPr>
      <w:r>
        <w:t>14.00 – 16.30</w:t>
      </w:r>
      <w:r>
        <w:tab/>
      </w:r>
      <w:r w:rsidRPr="00D35533">
        <w:rPr>
          <w:b/>
        </w:rPr>
        <w:t xml:space="preserve">Session </w:t>
      </w:r>
      <w:r>
        <w:rPr>
          <w:b/>
        </w:rPr>
        <w:t>2</w:t>
      </w:r>
    </w:p>
    <w:p w:rsidR="0095767C" w:rsidRDefault="0095767C" w:rsidP="0095767C">
      <w:pPr>
        <w:tabs>
          <w:tab w:val="left" w:pos="1985"/>
        </w:tabs>
        <w:ind w:left="1985"/>
        <w:jc w:val="left"/>
      </w:pPr>
    </w:p>
    <w:p w:rsidR="0095767C" w:rsidRDefault="0095767C" w:rsidP="0095767C">
      <w:pPr>
        <w:ind w:left="1985"/>
        <w:jc w:val="left"/>
      </w:pPr>
      <w:r>
        <w:t>Moderator:  Mr. Zhou Hao</w:t>
      </w:r>
    </w:p>
    <w:p w:rsidR="0095767C" w:rsidRDefault="0095767C" w:rsidP="0095767C">
      <w:pPr>
        <w:tabs>
          <w:tab w:val="left" w:pos="1980"/>
        </w:tabs>
        <w:jc w:val="left"/>
        <w:rPr>
          <w:b/>
        </w:rPr>
      </w:pPr>
    </w:p>
    <w:p w:rsidR="0095767C" w:rsidRDefault="0095767C" w:rsidP="0095767C">
      <w:pPr>
        <w:tabs>
          <w:tab w:val="left" w:pos="1985"/>
        </w:tabs>
        <w:ind w:left="1985" w:hanging="1985"/>
        <w:jc w:val="left"/>
      </w:pPr>
      <w:r>
        <w:t>14.00</w:t>
      </w:r>
      <w:r w:rsidRPr="00163CEA">
        <w:t xml:space="preserve"> – 1</w:t>
      </w:r>
      <w:r>
        <w:t>4.20</w:t>
      </w:r>
      <w:r>
        <w:tab/>
      </w:r>
      <w:proofErr w:type="gramStart"/>
      <w:r w:rsidRPr="00B55829">
        <w:rPr>
          <w:b/>
        </w:rPr>
        <w:t>Topic</w:t>
      </w:r>
      <w:proofErr w:type="gramEnd"/>
      <w:r w:rsidRPr="00B55829">
        <w:rPr>
          <w:b/>
        </w:rPr>
        <w:t xml:space="preserve"> 3:</w:t>
      </w:r>
      <w:r>
        <w:t xml:space="preserve">  </w:t>
      </w:r>
      <w:r>
        <w:rPr>
          <w:b/>
        </w:rPr>
        <w:t xml:space="preserve">Determinants of </w:t>
      </w:r>
      <w:proofErr w:type="spellStart"/>
      <w:r>
        <w:rPr>
          <w:b/>
        </w:rPr>
        <w:t>Quadic</w:t>
      </w:r>
      <w:proofErr w:type="spellEnd"/>
      <w:r>
        <w:rPr>
          <w:b/>
        </w:rPr>
        <w:t xml:space="preserve"> Patenting:  Market Access, Imitative Threat, Competition and Strength of Intellectual Property Rights</w:t>
      </w:r>
      <w:r w:rsidRPr="004972E7">
        <w:rPr>
          <w:b/>
        </w:rPr>
        <w:t xml:space="preserve"> </w:t>
      </w:r>
      <w:r>
        <w:br/>
      </w:r>
    </w:p>
    <w:p w:rsidR="0095767C" w:rsidRDefault="0095767C" w:rsidP="0095767C">
      <w:pPr>
        <w:ind w:left="3119" w:hanging="1134"/>
        <w:jc w:val="left"/>
      </w:pPr>
      <w:r>
        <w:t>Speaker:</w:t>
      </w:r>
      <w:r>
        <w:tab/>
        <w:t xml:space="preserve">Mr. Can Huang, Professor, School of Management, </w:t>
      </w:r>
      <w:proofErr w:type="spellStart"/>
      <w:r>
        <w:t>Zhjiang</w:t>
      </w:r>
      <w:proofErr w:type="spellEnd"/>
      <w:r>
        <w:t xml:space="preserve"> University, Hangzhou, China</w:t>
      </w:r>
    </w:p>
    <w:p w:rsidR="0095767C" w:rsidRDefault="0095767C" w:rsidP="0095767C">
      <w:pPr>
        <w:tabs>
          <w:tab w:val="left" w:pos="1980"/>
        </w:tabs>
        <w:jc w:val="left"/>
      </w:pPr>
    </w:p>
    <w:p w:rsidR="0095767C" w:rsidRDefault="0095767C" w:rsidP="0095767C">
      <w:pPr>
        <w:tabs>
          <w:tab w:val="left" w:pos="1980"/>
        </w:tabs>
        <w:jc w:val="left"/>
      </w:pPr>
      <w:r w:rsidRPr="00163CEA">
        <w:t>1</w:t>
      </w:r>
      <w:r>
        <w:t xml:space="preserve">4.20 – 14.30 </w:t>
      </w:r>
      <w:r>
        <w:tab/>
      </w:r>
      <w:r w:rsidRPr="00AC75DB">
        <w:t>Discussion</w:t>
      </w:r>
    </w:p>
    <w:p w:rsidR="0095767C" w:rsidRDefault="0095767C" w:rsidP="0095767C">
      <w:pPr>
        <w:tabs>
          <w:tab w:val="left" w:pos="1985"/>
        </w:tabs>
        <w:jc w:val="left"/>
      </w:pPr>
    </w:p>
    <w:p w:rsidR="0095767C" w:rsidRDefault="0095767C" w:rsidP="0095767C">
      <w:pPr>
        <w:tabs>
          <w:tab w:val="left" w:pos="1985"/>
          <w:tab w:val="left" w:pos="3080"/>
        </w:tabs>
        <w:ind w:left="1980" w:hanging="1980"/>
        <w:jc w:val="left"/>
      </w:pPr>
      <w:r>
        <w:t>14.30</w:t>
      </w:r>
      <w:r w:rsidRPr="00163CEA">
        <w:t xml:space="preserve"> – 1</w:t>
      </w:r>
      <w:r>
        <w:t>4</w:t>
      </w:r>
      <w:r w:rsidRPr="00163CEA">
        <w:t>.</w:t>
      </w:r>
      <w:r>
        <w:t>50</w:t>
      </w:r>
      <w:r>
        <w:tab/>
      </w:r>
      <w:proofErr w:type="gramStart"/>
      <w:r w:rsidRPr="00B55829">
        <w:rPr>
          <w:b/>
        </w:rPr>
        <w:t>Topic</w:t>
      </w:r>
      <w:proofErr w:type="gramEnd"/>
      <w:r w:rsidRPr="00B55829">
        <w:rPr>
          <w:b/>
        </w:rPr>
        <w:t xml:space="preserve"> 4:  Key</w:t>
      </w:r>
      <w:r w:rsidRPr="00AC75DB">
        <w:rPr>
          <w:b/>
        </w:rPr>
        <w:t xml:space="preserve"> Issues and Policies Promoting Transformation of Intellectual Property under the Strategy of Innovation-Driven Development:  A Case from Chinese Academy of Sciences</w:t>
      </w:r>
    </w:p>
    <w:p w:rsidR="0095767C" w:rsidRDefault="0095767C" w:rsidP="0095767C">
      <w:pPr>
        <w:tabs>
          <w:tab w:val="left" w:pos="1980"/>
        </w:tabs>
        <w:ind w:left="3119" w:hanging="1134"/>
        <w:jc w:val="left"/>
      </w:pPr>
    </w:p>
    <w:p w:rsidR="0095767C" w:rsidRDefault="0095767C" w:rsidP="0095767C">
      <w:pPr>
        <w:tabs>
          <w:tab w:val="left" w:pos="1980"/>
        </w:tabs>
        <w:ind w:left="3119" w:hanging="1134"/>
        <w:jc w:val="left"/>
      </w:pPr>
      <w:r>
        <w:lastRenderedPageBreak/>
        <w:t>Speaker:</w:t>
      </w:r>
      <w:r>
        <w:tab/>
      </w:r>
      <w:r w:rsidRPr="00E5290E">
        <w:t xml:space="preserve">Mr. </w:t>
      </w:r>
      <w:proofErr w:type="spellStart"/>
      <w:r>
        <w:t>Hefa</w:t>
      </w:r>
      <w:proofErr w:type="spellEnd"/>
      <w:r>
        <w:t xml:space="preserve"> Song, Professor, Director of Division of Intellectual Property and Science and Technology Law of Institute of Policy and Management, Chinese Academy of Sciences, Beijing</w:t>
      </w:r>
    </w:p>
    <w:p w:rsidR="0095767C" w:rsidRDefault="0095767C" w:rsidP="0095767C">
      <w:pPr>
        <w:tabs>
          <w:tab w:val="left" w:pos="1985"/>
          <w:tab w:val="left" w:pos="3080"/>
        </w:tabs>
        <w:jc w:val="left"/>
      </w:pPr>
    </w:p>
    <w:p w:rsidR="0095767C" w:rsidRPr="00BF7269" w:rsidRDefault="0095767C" w:rsidP="0095767C">
      <w:pPr>
        <w:tabs>
          <w:tab w:val="left" w:pos="1985"/>
        </w:tabs>
        <w:jc w:val="left"/>
        <w:rPr>
          <w:b/>
          <w:i/>
        </w:rPr>
      </w:pPr>
      <w:r>
        <w:t>14.50</w:t>
      </w:r>
      <w:r w:rsidRPr="00163CEA">
        <w:t xml:space="preserve"> – 1</w:t>
      </w:r>
      <w:r>
        <w:t>5</w:t>
      </w:r>
      <w:r w:rsidRPr="00163CEA">
        <w:t>.</w:t>
      </w:r>
      <w:r>
        <w:t>00</w:t>
      </w:r>
      <w:r>
        <w:tab/>
        <w:t>D</w:t>
      </w:r>
      <w:r w:rsidRPr="001A39E4">
        <w:t>iscussion</w:t>
      </w:r>
    </w:p>
    <w:p w:rsidR="0095767C" w:rsidRDefault="0095767C" w:rsidP="0095767C">
      <w:pPr>
        <w:tabs>
          <w:tab w:val="left" w:pos="1985"/>
        </w:tabs>
        <w:jc w:val="left"/>
      </w:pPr>
    </w:p>
    <w:p w:rsidR="0095767C" w:rsidRDefault="0095767C" w:rsidP="0095767C">
      <w:pPr>
        <w:tabs>
          <w:tab w:val="left" w:pos="1985"/>
        </w:tabs>
        <w:jc w:val="left"/>
      </w:pPr>
      <w:r>
        <w:t>15.00</w:t>
      </w:r>
      <w:r w:rsidRPr="00163CEA">
        <w:t xml:space="preserve"> – 1</w:t>
      </w:r>
      <w:r>
        <w:t>5</w:t>
      </w:r>
      <w:r w:rsidRPr="00163CEA">
        <w:t>.</w:t>
      </w:r>
      <w:r>
        <w:t>20</w:t>
      </w:r>
      <w:r>
        <w:tab/>
      </w:r>
      <w:r w:rsidRPr="00716620">
        <w:t>Coffee Break</w:t>
      </w:r>
    </w:p>
    <w:p w:rsidR="0095767C" w:rsidRDefault="0095767C" w:rsidP="0095767C">
      <w:pPr>
        <w:tabs>
          <w:tab w:val="left" w:pos="1985"/>
        </w:tabs>
        <w:jc w:val="left"/>
      </w:pPr>
    </w:p>
    <w:p w:rsidR="0095767C" w:rsidRDefault="0095767C" w:rsidP="0095767C">
      <w:pPr>
        <w:tabs>
          <w:tab w:val="left" w:pos="1985"/>
        </w:tabs>
        <w:ind w:left="1985" w:hanging="1985"/>
        <w:jc w:val="left"/>
      </w:pPr>
      <w:r w:rsidRPr="00163CEA">
        <w:t>1</w:t>
      </w:r>
      <w:r>
        <w:t>5</w:t>
      </w:r>
      <w:r w:rsidRPr="00163CEA">
        <w:t>.</w:t>
      </w:r>
      <w:r>
        <w:t xml:space="preserve">20 – </w:t>
      </w:r>
      <w:proofErr w:type="gramStart"/>
      <w:r>
        <w:t xml:space="preserve">15.40 </w:t>
      </w:r>
      <w:r>
        <w:tab/>
      </w:r>
      <w:r w:rsidRPr="00B55829">
        <w:rPr>
          <w:b/>
        </w:rPr>
        <w:t>Topic</w:t>
      </w:r>
      <w:proofErr w:type="gramEnd"/>
      <w:r w:rsidRPr="00B55829">
        <w:rPr>
          <w:b/>
        </w:rPr>
        <w:t xml:space="preserve"> 5:</w:t>
      </w:r>
      <w:r>
        <w:t xml:space="preserve">  </w:t>
      </w:r>
      <w:r>
        <w:rPr>
          <w:b/>
        </w:rPr>
        <w:t>Emerging Technology Development in China and Ownership of Higher Valued Patents Distribution</w:t>
      </w:r>
      <w:r>
        <w:t xml:space="preserve"> </w:t>
      </w:r>
    </w:p>
    <w:p w:rsidR="0095767C" w:rsidRDefault="0095767C" w:rsidP="0095767C">
      <w:pPr>
        <w:tabs>
          <w:tab w:val="left" w:pos="1985"/>
        </w:tabs>
        <w:jc w:val="left"/>
      </w:pPr>
      <w:r>
        <w:tab/>
      </w:r>
    </w:p>
    <w:p w:rsidR="0095767C" w:rsidRPr="00776847" w:rsidRDefault="0095767C" w:rsidP="0095767C">
      <w:pPr>
        <w:tabs>
          <w:tab w:val="left" w:pos="1985"/>
        </w:tabs>
        <w:ind w:left="3119" w:hanging="1134"/>
        <w:jc w:val="left"/>
      </w:pPr>
      <w:r>
        <w:t>Speaker:</w:t>
      </w:r>
      <w:r>
        <w:tab/>
        <w:t xml:space="preserve">Mr. </w:t>
      </w:r>
      <w:proofErr w:type="spellStart"/>
      <w:r>
        <w:t>Xiangdong</w:t>
      </w:r>
      <w:proofErr w:type="spellEnd"/>
      <w:r>
        <w:t xml:space="preserve"> Chen</w:t>
      </w:r>
      <w:r>
        <w:rPr>
          <w:bCs/>
        </w:rPr>
        <w:t xml:space="preserve">, Professor, </w:t>
      </w:r>
      <w:proofErr w:type="gramStart"/>
      <w:r>
        <w:rPr>
          <w:bCs/>
        </w:rPr>
        <w:t>The</w:t>
      </w:r>
      <w:proofErr w:type="gramEnd"/>
      <w:r>
        <w:rPr>
          <w:bCs/>
        </w:rPr>
        <w:t xml:space="preserve"> School of Economics and Management, </w:t>
      </w:r>
      <w:proofErr w:type="spellStart"/>
      <w:r>
        <w:rPr>
          <w:bCs/>
        </w:rPr>
        <w:t>Beihang</w:t>
      </w:r>
      <w:proofErr w:type="spellEnd"/>
      <w:r>
        <w:rPr>
          <w:bCs/>
        </w:rPr>
        <w:t xml:space="preserve"> University, Beijing</w:t>
      </w:r>
    </w:p>
    <w:p w:rsidR="0095767C" w:rsidRPr="00776847" w:rsidRDefault="0095767C" w:rsidP="0095767C">
      <w:pPr>
        <w:tabs>
          <w:tab w:val="left" w:pos="1985"/>
        </w:tabs>
        <w:jc w:val="left"/>
      </w:pPr>
    </w:p>
    <w:p w:rsidR="0095767C" w:rsidRDefault="0095767C" w:rsidP="0095767C">
      <w:pPr>
        <w:tabs>
          <w:tab w:val="left" w:pos="1985"/>
        </w:tabs>
        <w:jc w:val="left"/>
      </w:pPr>
      <w:r w:rsidRPr="00776847">
        <w:t>1</w:t>
      </w:r>
      <w:r>
        <w:t>5</w:t>
      </w:r>
      <w:r w:rsidRPr="00776847">
        <w:t>.</w:t>
      </w:r>
      <w:r>
        <w:t>40</w:t>
      </w:r>
      <w:r w:rsidRPr="00776847">
        <w:t xml:space="preserve"> – 1</w:t>
      </w:r>
      <w:r>
        <w:t>5</w:t>
      </w:r>
      <w:r w:rsidRPr="00776847">
        <w:t>.</w:t>
      </w:r>
      <w:r>
        <w:t>50</w:t>
      </w:r>
      <w:r w:rsidRPr="00776847">
        <w:t xml:space="preserve"> </w:t>
      </w:r>
      <w:r w:rsidRPr="00776847">
        <w:tab/>
      </w:r>
      <w:r>
        <w:t>D</w:t>
      </w:r>
      <w:r w:rsidRPr="001A39E4">
        <w:t>iscussion</w:t>
      </w:r>
    </w:p>
    <w:p w:rsidR="0095767C" w:rsidRDefault="0095767C" w:rsidP="0095767C">
      <w:pPr>
        <w:tabs>
          <w:tab w:val="left" w:pos="1985"/>
        </w:tabs>
        <w:jc w:val="left"/>
      </w:pPr>
      <w:r>
        <w:tab/>
      </w:r>
    </w:p>
    <w:p w:rsidR="0095767C" w:rsidRDefault="0095767C" w:rsidP="0095767C">
      <w:pPr>
        <w:tabs>
          <w:tab w:val="left" w:pos="1985"/>
        </w:tabs>
        <w:jc w:val="left"/>
      </w:pPr>
    </w:p>
    <w:p w:rsidR="0095767C" w:rsidRDefault="0095767C" w:rsidP="0095767C">
      <w:pPr>
        <w:tabs>
          <w:tab w:val="left" w:pos="1985"/>
        </w:tabs>
        <w:ind w:left="1985" w:hanging="1985"/>
        <w:jc w:val="left"/>
      </w:pPr>
      <w:r>
        <w:t>15.50</w:t>
      </w:r>
      <w:r w:rsidRPr="00163CEA">
        <w:t xml:space="preserve"> – 1</w:t>
      </w:r>
      <w:r>
        <w:t>6</w:t>
      </w:r>
      <w:r w:rsidRPr="00163CEA">
        <w:t>.</w:t>
      </w:r>
      <w:r>
        <w:t>10</w:t>
      </w:r>
      <w:r>
        <w:tab/>
      </w:r>
      <w:r w:rsidRPr="00B55829">
        <w:rPr>
          <w:b/>
        </w:rPr>
        <w:t>Topic 6</w:t>
      </w:r>
      <w:r>
        <w:rPr>
          <w:b/>
        </w:rPr>
        <w:t>:</w:t>
      </w:r>
      <w:r w:rsidRPr="00B55829">
        <w:rPr>
          <w:b/>
        </w:rPr>
        <w:t xml:space="preserve">  Does</w:t>
      </w:r>
      <w:r>
        <w:rPr>
          <w:b/>
        </w:rPr>
        <w:t xml:space="preserve"> the Increase of Patent in China Means the Improvement of Innovation Capability?  The New Progress and Challenge</w:t>
      </w:r>
    </w:p>
    <w:p w:rsidR="0095767C" w:rsidRDefault="0095767C" w:rsidP="0095767C">
      <w:pPr>
        <w:tabs>
          <w:tab w:val="left" w:pos="1985"/>
        </w:tabs>
        <w:jc w:val="left"/>
      </w:pPr>
      <w:r>
        <w:tab/>
      </w:r>
    </w:p>
    <w:p w:rsidR="0095767C" w:rsidRPr="0090219F" w:rsidRDefault="0095767C" w:rsidP="0095767C">
      <w:pPr>
        <w:tabs>
          <w:tab w:val="left" w:pos="3261"/>
        </w:tabs>
        <w:ind w:left="3119" w:hanging="1134"/>
        <w:jc w:val="left"/>
      </w:pPr>
      <w:r>
        <w:t>Speaker:</w:t>
      </w:r>
      <w:r>
        <w:tab/>
        <w:t>Mr. Zheng Liang, Associate Professor, School of Public Policy and Management, Tsinghua University, Beijing</w:t>
      </w:r>
    </w:p>
    <w:p w:rsidR="0095767C" w:rsidRPr="0090219F" w:rsidRDefault="0095767C" w:rsidP="0095767C">
      <w:pPr>
        <w:tabs>
          <w:tab w:val="left" w:pos="1980"/>
        </w:tabs>
        <w:jc w:val="left"/>
        <w:rPr>
          <w:bCs/>
          <w:iCs/>
        </w:rPr>
      </w:pPr>
    </w:p>
    <w:p w:rsidR="0095767C" w:rsidRPr="00855210" w:rsidRDefault="0095767C" w:rsidP="0095767C">
      <w:pPr>
        <w:tabs>
          <w:tab w:val="left" w:pos="1985"/>
        </w:tabs>
        <w:jc w:val="left"/>
        <w:rPr>
          <w:i/>
        </w:rPr>
      </w:pPr>
      <w:r>
        <w:t>16.10</w:t>
      </w:r>
      <w:r w:rsidRPr="00716620">
        <w:t xml:space="preserve"> – 1</w:t>
      </w:r>
      <w:r>
        <w:t>6</w:t>
      </w:r>
      <w:r w:rsidRPr="00716620">
        <w:t>.</w:t>
      </w:r>
      <w:r>
        <w:t>20</w:t>
      </w:r>
      <w:r w:rsidRPr="00716620">
        <w:tab/>
      </w:r>
      <w:r>
        <w:t>D</w:t>
      </w:r>
      <w:r w:rsidRPr="00855210">
        <w:t>iscussion</w:t>
      </w:r>
    </w:p>
    <w:p w:rsidR="0095767C" w:rsidRPr="00015E44" w:rsidRDefault="0095767C" w:rsidP="0095767C">
      <w:pPr>
        <w:tabs>
          <w:tab w:val="left" w:pos="1985"/>
        </w:tabs>
        <w:jc w:val="left"/>
      </w:pPr>
    </w:p>
    <w:p w:rsidR="0095767C" w:rsidRDefault="0095767C" w:rsidP="0095767C">
      <w:pPr>
        <w:tabs>
          <w:tab w:val="left" w:pos="1985"/>
        </w:tabs>
        <w:jc w:val="left"/>
      </w:pPr>
      <w:r>
        <w:t xml:space="preserve">16.20 </w:t>
      </w:r>
      <w:r w:rsidRPr="00163CEA">
        <w:t xml:space="preserve">– </w:t>
      </w:r>
      <w:r>
        <w:t>16.30</w:t>
      </w:r>
      <w:r>
        <w:tab/>
      </w:r>
      <w:r w:rsidRPr="007243FB">
        <w:t>Closing Remarks</w:t>
      </w:r>
    </w:p>
    <w:p w:rsidR="0095767C" w:rsidRDefault="0095767C" w:rsidP="0095767C">
      <w:pPr>
        <w:tabs>
          <w:tab w:val="left" w:pos="1985"/>
        </w:tabs>
        <w:jc w:val="left"/>
      </w:pPr>
    </w:p>
    <w:p w:rsidR="0095767C" w:rsidRDefault="0095767C" w:rsidP="0095767C">
      <w:pPr>
        <w:tabs>
          <w:tab w:val="left" w:pos="1985"/>
          <w:tab w:val="left" w:pos="3080"/>
        </w:tabs>
        <w:jc w:val="left"/>
      </w:pPr>
    </w:p>
    <w:p w:rsidR="0095767C" w:rsidRDefault="0095767C" w:rsidP="0095767C">
      <w:pPr>
        <w:tabs>
          <w:tab w:val="left" w:pos="1985"/>
          <w:tab w:val="left" w:pos="3080"/>
        </w:tabs>
        <w:jc w:val="left"/>
      </w:pPr>
    </w:p>
    <w:p w:rsidR="0095767C" w:rsidRPr="00716620" w:rsidRDefault="0095767C" w:rsidP="0095767C">
      <w:pPr>
        <w:pStyle w:val="Endofdocument-Annex"/>
      </w:pPr>
      <w:r>
        <w:t>[</w:t>
      </w:r>
      <w:r w:rsidR="008546FB">
        <w:t>Appendix II follows</w:t>
      </w:r>
      <w:r>
        <w:t>]</w:t>
      </w:r>
    </w:p>
    <w:p w:rsidR="000E5ADE" w:rsidRDefault="000E5ADE">
      <w:pPr>
        <w:widowControl/>
        <w:jc w:val="left"/>
        <w:rPr>
          <w:rFonts w:cs="Arial"/>
          <w:lang w:eastAsia="en-US"/>
        </w:rPr>
      </w:pPr>
    </w:p>
    <w:p w:rsidR="00F32BE1" w:rsidRDefault="008546FB" w:rsidP="008546FB">
      <w:pPr>
        <w:pStyle w:val="Heading1"/>
        <w:rPr>
          <w:lang w:eastAsia="en-US"/>
        </w:rPr>
      </w:pPr>
      <w:r>
        <w:rPr>
          <w:lang w:eastAsia="en-US"/>
        </w:rPr>
        <w:lastRenderedPageBreak/>
        <w:t>Appendi</w:t>
      </w:r>
      <w:r w:rsidR="000E5ADE" w:rsidRPr="0022105C">
        <w:rPr>
          <w:lang w:eastAsia="en-US"/>
        </w:rPr>
        <w:t xml:space="preserve">x </w:t>
      </w:r>
      <w:r w:rsidR="002A73F8" w:rsidRPr="0022105C">
        <w:rPr>
          <w:lang w:eastAsia="en-US"/>
        </w:rPr>
        <w:t>2</w:t>
      </w:r>
      <w:r w:rsidR="000E5ADE" w:rsidRPr="0022105C">
        <w:rPr>
          <w:lang w:eastAsia="en-US"/>
        </w:rPr>
        <w:t>:</w:t>
      </w:r>
      <w:r w:rsidR="0022105C">
        <w:rPr>
          <w:lang w:eastAsia="en-US"/>
        </w:rPr>
        <w:t xml:space="preserve"> </w:t>
      </w:r>
      <w:r w:rsidR="000E5ADE" w:rsidRPr="0022105C">
        <w:rPr>
          <w:lang w:eastAsia="en-US"/>
        </w:rPr>
        <w:t xml:space="preserve"> </w:t>
      </w:r>
      <w:r w:rsidR="00760A59" w:rsidRPr="0022105C">
        <w:rPr>
          <w:lang w:eastAsia="en-US"/>
        </w:rPr>
        <w:t>Regression analy</w:t>
      </w:r>
      <w:r w:rsidR="006F4928">
        <w:rPr>
          <w:lang w:eastAsia="en-US"/>
        </w:rPr>
        <w:t>s</w:t>
      </w:r>
      <w:r w:rsidR="00760A59" w:rsidRPr="0022105C">
        <w:rPr>
          <w:lang w:eastAsia="en-US"/>
        </w:rPr>
        <w:t>is</w:t>
      </w:r>
    </w:p>
    <w:p w:rsidR="008546FB" w:rsidRDefault="008546FB" w:rsidP="008546FB">
      <w:pPr>
        <w:rPr>
          <w:lang w:eastAsia="en-US"/>
        </w:rPr>
      </w:pPr>
    </w:p>
    <w:p w:rsidR="008546FB" w:rsidRPr="008546FB" w:rsidRDefault="008546FB" w:rsidP="008546FB">
      <w:pPr>
        <w:rPr>
          <w:lang w:eastAsia="en-US"/>
        </w:rPr>
      </w:pPr>
    </w:p>
    <w:p w:rsidR="00F32BE1" w:rsidRPr="00AA1E26" w:rsidRDefault="00F32BE1" w:rsidP="0022105C">
      <w:pPr>
        <w:jc w:val="left"/>
        <w:rPr>
          <w:rFonts w:cs="Arial"/>
        </w:rPr>
      </w:pPr>
      <w:r w:rsidRPr="00AA1E26">
        <w:rPr>
          <w:rFonts w:cs="Arial"/>
        </w:rPr>
        <w:t>In order to control for potential heterogeneity in the use of the PCT route among different industries 35 industry dummy variables</w:t>
      </w:r>
      <w:r w:rsidR="005B459D">
        <w:rPr>
          <w:rFonts w:cs="Arial"/>
        </w:rPr>
        <w:t xml:space="preserve"> are included</w:t>
      </w:r>
      <w:r w:rsidRPr="00AA1E26">
        <w:rPr>
          <w:rFonts w:cs="Arial"/>
        </w:rPr>
        <w:t xml:space="preserve">. </w:t>
      </w:r>
      <w:r w:rsidR="0022105C">
        <w:rPr>
          <w:rFonts w:cs="Arial"/>
        </w:rPr>
        <w:t xml:space="preserve"> </w:t>
      </w:r>
      <w:r w:rsidRPr="00AA1E26">
        <w:rPr>
          <w:rFonts w:cs="Arial"/>
        </w:rPr>
        <w:t>The results of the regression with industry dummy variable</w:t>
      </w:r>
      <w:r w:rsidR="005B459D">
        <w:rPr>
          <w:rFonts w:cs="Arial"/>
        </w:rPr>
        <w:t>s</w:t>
      </w:r>
      <w:r w:rsidRPr="00AA1E26">
        <w:rPr>
          <w:rFonts w:cs="Arial"/>
        </w:rPr>
        <w:t xml:space="preserve"> included are presented in column (2). </w:t>
      </w:r>
      <w:r w:rsidR="0022105C">
        <w:rPr>
          <w:rFonts w:cs="Arial"/>
        </w:rPr>
        <w:t xml:space="preserve"> </w:t>
      </w:r>
      <w:r w:rsidRPr="00AA1E26">
        <w:rPr>
          <w:rFonts w:cs="Arial"/>
        </w:rPr>
        <w:t>The explanatory power of the model increases (the Pseudo R</w:t>
      </w:r>
      <w:r w:rsidRPr="00AA1E26">
        <w:rPr>
          <w:rFonts w:cs="Arial"/>
          <w:vertAlign w:val="superscript"/>
        </w:rPr>
        <w:t xml:space="preserve">2 </w:t>
      </w:r>
      <w:r w:rsidRPr="00AA1E26">
        <w:rPr>
          <w:rFonts w:cs="Arial"/>
        </w:rPr>
        <w:t xml:space="preserve">rises from 0.33 to 0.44) signifying a good addition to the baseline model. </w:t>
      </w:r>
    </w:p>
    <w:p w:rsidR="00F32BE1" w:rsidRPr="00AA1E26" w:rsidRDefault="00F32BE1" w:rsidP="0022105C">
      <w:pPr>
        <w:jc w:val="left"/>
        <w:rPr>
          <w:rFonts w:cs="Arial"/>
        </w:rPr>
      </w:pPr>
    </w:p>
    <w:p w:rsidR="00F32BE1" w:rsidRPr="00AA1E26" w:rsidRDefault="005B459D" w:rsidP="0022105C">
      <w:pPr>
        <w:jc w:val="left"/>
        <w:rPr>
          <w:rFonts w:cs="Arial"/>
        </w:rPr>
      </w:pPr>
      <w:r>
        <w:rPr>
          <w:rFonts w:cs="Arial"/>
        </w:rPr>
        <w:t>P</w:t>
      </w:r>
      <w:r w:rsidR="00F32BE1" w:rsidRPr="00AA1E26">
        <w:rPr>
          <w:rFonts w:cs="Arial"/>
        </w:rPr>
        <w:t xml:space="preserve">atent applicants appear to have heterogeneous strategies in their use of the PCT route. Given that </w:t>
      </w:r>
      <w:proofErr w:type="spellStart"/>
      <w:r w:rsidR="00F32BE1" w:rsidRPr="00AA1E26">
        <w:rPr>
          <w:rFonts w:cs="Arial"/>
        </w:rPr>
        <w:t>Probit</w:t>
      </w:r>
      <w:proofErr w:type="spellEnd"/>
      <w:r w:rsidR="00F32BE1" w:rsidRPr="00AA1E26">
        <w:rPr>
          <w:rFonts w:cs="Arial"/>
        </w:rPr>
        <w:t xml:space="preserve"> estimation results in inconsistent estimates when too many fixed effects are </w:t>
      </w:r>
      <w:r w:rsidR="008D2C34">
        <w:rPr>
          <w:rFonts w:cs="Arial"/>
        </w:rPr>
        <w:t>used</w:t>
      </w:r>
      <w:r w:rsidR="00F32BE1" w:rsidRPr="00AA1E26">
        <w:rPr>
          <w:rFonts w:cs="Arial"/>
        </w:rPr>
        <w:t xml:space="preserve">, </w:t>
      </w:r>
      <w:r w:rsidR="008D2C34">
        <w:rPr>
          <w:rFonts w:cs="Arial"/>
        </w:rPr>
        <w:t>first</w:t>
      </w:r>
      <w:r w:rsidR="00F32BE1" w:rsidRPr="00AA1E26">
        <w:rPr>
          <w:rFonts w:cs="Arial"/>
        </w:rPr>
        <w:t xml:space="preserve"> dummy variables for only the top 100 patent applicants</w:t>
      </w:r>
      <w:r w:rsidR="008D2C34">
        <w:rPr>
          <w:rFonts w:cs="Arial"/>
        </w:rPr>
        <w:t xml:space="preserve"> are included</w:t>
      </w:r>
      <w:r w:rsidR="00F32BE1" w:rsidRPr="00AA1E26">
        <w:rPr>
          <w:rFonts w:cs="Arial"/>
        </w:rPr>
        <w:t xml:space="preserve">. </w:t>
      </w:r>
      <w:r w:rsidR="00320710">
        <w:rPr>
          <w:rFonts w:cs="Arial"/>
        </w:rPr>
        <w:t xml:space="preserve"> </w:t>
      </w:r>
      <w:r w:rsidR="00F32BE1" w:rsidRPr="00AA1E26">
        <w:rPr>
          <w:rFonts w:cs="Arial"/>
        </w:rPr>
        <w:t xml:space="preserve">These applicants </w:t>
      </w:r>
      <w:r w:rsidR="008D2C34">
        <w:rPr>
          <w:rFonts w:cs="Arial"/>
        </w:rPr>
        <w:t>are responsible for</w:t>
      </w:r>
      <w:r w:rsidR="00F32BE1" w:rsidRPr="00AA1E26">
        <w:rPr>
          <w:rFonts w:cs="Arial"/>
        </w:rPr>
        <w:t xml:space="preserve"> about 50% of </w:t>
      </w:r>
      <w:r w:rsidR="008D2C34">
        <w:rPr>
          <w:rFonts w:cs="Arial"/>
        </w:rPr>
        <w:t>all</w:t>
      </w:r>
      <w:r w:rsidR="00F32BE1" w:rsidRPr="00AA1E26">
        <w:rPr>
          <w:rFonts w:cs="Arial"/>
        </w:rPr>
        <w:t xml:space="preserve"> patent families</w:t>
      </w:r>
      <w:r w:rsidR="008D2C34">
        <w:rPr>
          <w:rFonts w:cs="Arial"/>
        </w:rPr>
        <w:t xml:space="preserve"> by Chinese residents</w:t>
      </w:r>
      <w:r w:rsidR="00F32BE1" w:rsidRPr="00AA1E26">
        <w:rPr>
          <w:rFonts w:cs="Arial"/>
        </w:rPr>
        <w:t xml:space="preserve">. </w:t>
      </w:r>
      <w:r w:rsidR="00320710">
        <w:rPr>
          <w:rFonts w:cs="Arial"/>
        </w:rPr>
        <w:t xml:space="preserve"> </w:t>
      </w:r>
      <w:r w:rsidR="00F32BE1" w:rsidRPr="00AA1E26">
        <w:rPr>
          <w:rFonts w:cs="Arial"/>
        </w:rPr>
        <w:t xml:space="preserve">The results are presented in column (3). As a robustness check </w:t>
      </w:r>
      <w:r w:rsidR="008D2C34">
        <w:rPr>
          <w:rFonts w:cs="Arial"/>
        </w:rPr>
        <w:t>an</w:t>
      </w:r>
      <w:r w:rsidR="00F32BE1" w:rsidRPr="00AA1E26">
        <w:rPr>
          <w:rFonts w:cs="Arial"/>
        </w:rPr>
        <w:t xml:space="preserve"> additional 200 dummy variables </w:t>
      </w:r>
      <w:r w:rsidR="008D2C34">
        <w:rPr>
          <w:rFonts w:cs="Arial"/>
        </w:rPr>
        <w:t xml:space="preserve">are included </w:t>
      </w:r>
      <w:r w:rsidR="00C55811">
        <w:rPr>
          <w:rFonts w:cs="Arial"/>
        </w:rPr>
        <w:t xml:space="preserve">for the top patent applicants. Results are presented </w:t>
      </w:r>
      <w:r w:rsidR="00F32BE1" w:rsidRPr="00AA1E26">
        <w:rPr>
          <w:rFonts w:cs="Arial"/>
        </w:rPr>
        <w:t xml:space="preserve">in column (4). </w:t>
      </w:r>
    </w:p>
    <w:p w:rsidR="000E5ADE" w:rsidRDefault="000E5ADE" w:rsidP="00AA1E26">
      <w:pPr>
        <w:autoSpaceDE w:val="0"/>
        <w:autoSpaceDN w:val="0"/>
        <w:adjustRightInd w:val="0"/>
        <w:rPr>
          <w:rFonts w:cs="Arial"/>
        </w:rPr>
      </w:pPr>
    </w:p>
    <w:p w:rsidR="008546FB" w:rsidRDefault="008546FB">
      <w:pPr>
        <w:widowControl/>
        <w:jc w:val="left"/>
        <w:rPr>
          <w:rFonts w:cs="Arial"/>
        </w:rPr>
      </w:pPr>
      <w:r>
        <w:rPr>
          <w:rFonts w:cs="Arial"/>
        </w:rPr>
        <w:br w:type="page"/>
      </w:r>
    </w:p>
    <w:p w:rsidR="008546FB" w:rsidRPr="00AA1E26" w:rsidRDefault="008546FB" w:rsidP="00AA1E26">
      <w:pPr>
        <w:autoSpaceDE w:val="0"/>
        <w:autoSpaceDN w:val="0"/>
        <w:adjustRightInd w:val="0"/>
        <w:rPr>
          <w:rFonts w:cs="Arial"/>
        </w:rPr>
      </w:pPr>
    </w:p>
    <w:p w:rsidR="00AA1E26" w:rsidRPr="00320710" w:rsidRDefault="00760A59" w:rsidP="00AA1E26">
      <w:pPr>
        <w:jc w:val="center"/>
        <w:rPr>
          <w:rFonts w:eastAsiaTheme="minorHAnsi" w:cs="Arial"/>
          <w:b/>
          <w:kern w:val="0"/>
          <w:lang w:eastAsia="en-US"/>
        </w:rPr>
      </w:pPr>
      <w:proofErr w:type="gramStart"/>
      <w:r w:rsidRPr="00320710">
        <w:rPr>
          <w:rFonts w:eastAsiaTheme="minorHAnsi" w:cs="Arial"/>
          <w:b/>
          <w:kern w:val="0"/>
          <w:lang w:eastAsia="en-US"/>
        </w:rPr>
        <w:t>A</w:t>
      </w:r>
      <w:r w:rsidR="008546FB">
        <w:rPr>
          <w:rFonts w:eastAsiaTheme="minorHAnsi" w:cs="Arial"/>
          <w:b/>
          <w:kern w:val="0"/>
          <w:lang w:eastAsia="en-US"/>
        </w:rPr>
        <w:t>ppendix</w:t>
      </w:r>
      <w:r w:rsidRPr="00320710">
        <w:rPr>
          <w:rFonts w:eastAsiaTheme="minorHAnsi" w:cs="Arial"/>
          <w:b/>
          <w:kern w:val="0"/>
          <w:lang w:eastAsia="en-US"/>
        </w:rPr>
        <w:t xml:space="preserve"> </w:t>
      </w:r>
      <w:r w:rsidR="00AA1E26" w:rsidRPr="00320710">
        <w:rPr>
          <w:rFonts w:eastAsiaTheme="minorHAnsi" w:cs="Arial"/>
          <w:b/>
          <w:kern w:val="0"/>
          <w:lang w:eastAsia="en-US"/>
        </w:rPr>
        <w:t xml:space="preserve">Table </w:t>
      </w:r>
      <w:r w:rsidRPr="00320710">
        <w:rPr>
          <w:rFonts w:eastAsiaTheme="minorHAnsi" w:cs="Arial"/>
          <w:b/>
          <w:kern w:val="0"/>
          <w:lang w:eastAsia="en-US"/>
        </w:rPr>
        <w:t>1</w:t>
      </w:r>
      <w:r w:rsidR="00AA1E26" w:rsidRPr="00320710">
        <w:rPr>
          <w:rFonts w:eastAsiaTheme="minorHAnsi" w:cs="Arial"/>
          <w:b/>
          <w:kern w:val="0"/>
          <w:lang w:eastAsia="en-US"/>
        </w:rPr>
        <w:t>.</w:t>
      </w:r>
      <w:proofErr w:type="gramEnd"/>
      <w:r w:rsidR="00AA1E26" w:rsidRPr="00320710">
        <w:rPr>
          <w:rFonts w:eastAsiaTheme="minorHAnsi" w:cs="Arial"/>
          <w:b/>
          <w:kern w:val="0"/>
          <w:lang w:eastAsia="en-US"/>
        </w:rPr>
        <w:t xml:space="preserve"> </w:t>
      </w:r>
      <w:r w:rsidR="008546FB">
        <w:rPr>
          <w:rFonts w:eastAsiaTheme="minorHAnsi" w:cs="Arial"/>
          <w:b/>
          <w:kern w:val="0"/>
          <w:lang w:eastAsia="en-US"/>
        </w:rPr>
        <w:t xml:space="preserve"> </w:t>
      </w:r>
      <w:proofErr w:type="spellStart"/>
      <w:r w:rsidR="00AA1E26" w:rsidRPr="00320710">
        <w:rPr>
          <w:rFonts w:eastAsiaTheme="minorHAnsi" w:cs="Arial"/>
          <w:b/>
          <w:kern w:val="0"/>
          <w:lang w:eastAsia="en-US"/>
        </w:rPr>
        <w:t>Probit</w:t>
      </w:r>
      <w:proofErr w:type="spellEnd"/>
      <w:r w:rsidR="00AA1E26" w:rsidRPr="00320710">
        <w:rPr>
          <w:rFonts w:eastAsiaTheme="minorHAnsi" w:cs="Arial"/>
          <w:b/>
          <w:kern w:val="0"/>
          <w:lang w:eastAsia="en-US"/>
        </w:rPr>
        <w:t xml:space="preserve"> analysis of the PCT system usage</w:t>
      </w:r>
    </w:p>
    <w:tbl>
      <w:tblPr>
        <w:tblStyle w:val="TableGrid"/>
        <w:tblW w:w="8956"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
        <w:gridCol w:w="992"/>
        <w:gridCol w:w="851"/>
        <w:gridCol w:w="992"/>
        <w:gridCol w:w="851"/>
        <w:gridCol w:w="992"/>
        <w:gridCol w:w="850"/>
        <w:gridCol w:w="993"/>
        <w:gridCol w:w="933"/>
      </w:tblGrid>
      <w:tr w:rsidR="00AA1E26" w:rsidRPr="00571ECD" w:rsidTr="00572DDE">
        <w:trPr>
          <w:jc w:val="center"/>
        </w:trPr>
        <w:tc>
          <w:tcPr>
            <w:tcW w:w="1502" w:type="dxa"/>
            <w:tcBorders>
              <w:top w:val="double" w:sz="4" w:space="0" w:color="auto"/>
              <w:bottom w:val="nil"/>
            </w:tcBorders>
          </w:tcPr>
          <w:p w:rsidR="00AA1E26" w:rsidRPr="00571ECD" w:rsidRDefault="00AA1E26" w:rsidP="00BE048B">
            <w:pPr>
              <w:rPr>
                <w:rFonts w:cs="Arial"/>
                <w:sz w:val="18"/>
                <w:szCs w:val="18"/>
              </w:rPr>
            </w:pPr>
          </w:p>
        </w:tc>
        <w:tc>
          <w:tcPr>
            <w:tcW w:w="1843" w:type="dxa"/>
            <w:gridSpan w:val="2"/>
            <w:tcBorders>
              <w:top w:val="double" w:sz="4" w:space="0" w:color="auto"/>
              <w:bottom w:val="nil"/>
            </w:tcBorders>
          </w:tcPr>
          <w:p w:rsidR="00AA1E26" w:rsidRPr="00571ECD" w:rsidRDefault="00AA1E26" w:rsidP="00BE048B">
            <w:pPr>
              <w:jc w:val="center"/>
              <w:rPr>
                <w:rFonts w:cs="Arial"/>
                <w:sz w:val="18"/>
                <w:szCs w:val="18"/>
              </w:rPr>
            </w:pPr>
            <w:proofErr w:type="spellStart"/>
            <w:r w:rsidRPr="00571ECD">
              <w:rPr>
                <w:rFonts w:cs="Arial"/>
                <w:sz w:val="18"/>
                <w:szCs w:val="18"/>
              </w:rPr>
              <w:t>Probit</w:t>
            </w:r>
            <w:proofErr w:type="spellEnd"/>
          </w:p>
        </w:tc>
        <w:tc>
          <w:tcPr>
            <w:tcW w:w="1843" w:type="dxa"/>
            <w:gridSpan w:val="2"/>
            <w:tcBorders>
              <w:top w:val="double" w:sz="4" w:space="0" w:color="auto"/>
              <w:bottom w:val="nil"/>
            </w:tcBorders>
          </w:tcPr>
          <w:p w:rsidR="00AA1E26" w:rsidRPr="00571ECD" w:rsidRDefault="00AA1E26" w:rsidP="00BE048B">
            <w:pPr>
              <w:jc w:val="center"/>
              <w:rPr>
                <w:rFonts w:cs="Arial"/>
                <w:sz w:val="18"/>
                <w:szCs w:val="18"/>
              </w:rPr>
            </w:pPr>
            <w:proofErr w:type="spellStart"/>
            <w:r w:rsidRPr="00571ECD">
              <w:rPr>
                <w:rFonts w:cs="Arial"/>
                <w:sz w:val="18"/>
                <w:szCs w:val="18"/>
              </w:rPr>
              <w:t>Probit</w:t>
            </w:r>
            <w:proofErr w:type="spellEnd"/>
          </w:p>
        </w:tc>
        <w:tc>
          <w:tcPr>
            <w:tcW w:w="1842" w:type="dxa"/>
            <w:gridSpan w:val="2"/>
            <w:tcBorders>
              <w:top w:val="double" w:sz="4" w:space="0" w:color="auto"/>
              <w:bottom w:val="nil"/>
            </w:tcBorders>
          </w:tcPr>
          <w:p w:rsidR="00AA1E26" w:rsidRPr="00571ECD" w:rsidRDefault="00AA1E26" w:rsidP="00BE048B">
            <w:pPr>
              <w:jc w:val="center"/>
              <w:rPr>
                <w:rFonts w:cs="Arial"/>
                <w:sz w:val="18"/>
                <w:szCs w:val="18"/>
              </w:rPr>
            </w:pPr>
            <w:proofErr w:type="spellStart"/>
            <w:r w:rsidRPr="00571ECD">
              <w:rPr>
                <w:rFonts w:cs="Arial"/>
                <w:sz w:val="18"/>
                <w:szCs w:val="18"/>
              </w:rPr>
              <w:t>Probit</w:t>
            </w:r>
            <w:proofErr w:type="spellEnd"/>
          </w:p>
        </w:tc>
        <w:tc>
          <w:tcPr>
            <w:tcW w:w="1926" w:type="dxa"/>
            <w:gridSpan w:val="2"/>
            <w:tcBorders>
              <w:top w:val="double" w:sz="4" w:space="0" w:color="auto"/>
              <w:bottom w:val="nil"/>
            </w:tcBorders>
          </w:tcPr>
          <w:p w:rsidR="00AA1E26" w:rsidRPr="00571ECD" w:rsidRDefault="00AA1E26" w:rsidP="00BE048B">
            <w:pPr>
              <w:jc w:val="center"/>
              <w:rPr>
                <w:rFonts w:cs="Arial"/>
                <w:sz w:val="18"/>
                <w:szCs w:val="18"/>
              </w:rPr>
            </w:pPr>
            <w:proofErr w:type="spellStart"/>
            <w:r w:rsidRPr="00571ECD">
              <w:rPr>
                <w:rFonts w:cs="Arial"/>
                <w:sz w:val="18"/>
                <w:szCs w:val="18"/>
              </w:rPr>
              <w:t>Probit</w:t>
            </w:r>
            <w:proofErr w:type="spellEnd"/>
          </w:p>
        </w:tc>
      </w:tr>
      <w:tr w:rsidR="00AA1E26" w:rsidRPr="00571ECD" w:rsidTr="00572DDE">
        <w:trPr>
          <w:jc w:val="center"/>
        </w:trPr>
        <w:tc>
          <w:tcPr>
            <w:tcW w:w="1502" w:type="dxa"/>
            <w:tcBorders>
              <w:top w:val="nil"/>
            </w:tcBorders>
          </w:tcPr>
          <w:p w:rsidR="00AA1E26" w:rsidRPr="00571ECD" w:rsidRDefault="00AA1E26" w:rsidP="00BE048B">
            <w:pPr>
              <w:rPr>
                <w:rFonts w:cs="Arial"/>
                <w:sz w:val="18"/>
                <w:szCs w:val="18"/>
              </w:rPr>
            </w:pPr>
          </w:p>
        </w:tc>
        <w:tc>
          <w:tcPr>
            <w:tcW w:w="1843" w:type="dxa"/>
            <w:gridSpan w:val="2"/>
            <w:tcBorders>
              <w:top w:val="nil"/>
            </w:tcBorders>
          </w:tcPr>
          <w:p w:rsidR="00AA1E26" w:rsidRPr="00571ECD" w:rsidRDefault="00AA1E26" w:rsidP="00BE048B">
            <w:pPr>
              <w:jc w:val="center"/>
              <w:rPr>
                <w:rFonts w:cs="Arial"/>
                <w:sz w:val="18"/>
                <w:szCs w:val="18"/>
              </w:rPr>
            </w:pPr>
            <w:r w:rsidRPr="00571ECD">
              <w:rPr>
                <w:rFonts w:cs="Arial"/>
                <w:sz w:val="18"/>
                <w:szCs w:val="18"/>
              </w:rPr>
              <w:t>(1)</w:t>
            </w:r>
          </w:p>
        </w:tc>
        <w:tc>
          <w:tcPr>
            <w:tcW w:w="1843" w:type="dxa"/>
            <w:gridSpan w:val="2"/>
            <w:tcBorders>
              <w:top w:val="nil"/>
            </w:tcBorders>
          </w:tcPr>
          <w:p w:rsidR="00AA1E26" w:rsidRPr="00571ECD" w:rsidRDefault="00AA1E26" w:rsidP="00BE048B">
            <w:pPr>
              <w:jc w:val="center"/>
              <w:rPr>
                <w:rFonts w:cs="Arial"/>
                <w:sz w:val="18"/>
                <w:szCs w:val="18"/>
              </w:rPr>
            </w:pPr>
            <w:r w:rsidRPr="00571ECD">
              <w:rPr>
                <w:rFonts w:cs="Arial"/>
                <w:sz w:val="18"/>
                <w:szCs w:val="18"/>
              </w:rPr>
              <w:t>(2)</w:t>
            </w:r>
          </w:p>
        </w:tc>
        <w:tc>
          <w:tcPr>
            <w:tcW w:w="1842" w:type="dxa"/>
            <w:gridSpan w:val="2"/>
            <w:tcBorders>
              <w:top w:val="nil"/>
              <w:bottom w:val="nil"/>
            </w:tcBorders>
          </w:tcPr>
          <w:p w:rsidR="00AA1E26" w:rsidRPr="00571ECD" w:rsidRDefault="00AA1E26" w:rsidP="00BE048B">
            <w:pPr>
              <w:jc w:val="center"/>
              <w:rPr>
                <w:rFonts w:cs="Arial"/>
                <w:sz w:val="18"/>
                <w:szCs w:val="18"/>
              </w:rPr>
            </w:pPr>
            <w:r w:rsidRPr="00571ECD">
              <w:rPr>
                <w:rFonts w:cs="Arial"/>
                <w:sz w:val="18"/>
                <w:szCs w:val="18"/>
              </w:rPr>
              <w:t>(3)</w:t>
            </w:r>
          </w:p>
        </w:tc>
        <w:tc>
          <w:tcPr>
            <w:tcW w:w="1926" w:type="dxa"/>
            <w:gridSpan w:val="2"/>
            <w:tcBorders>
              <w:top w:val="nil"/>
              <w:bottom w:val="nil"/>
            </w:tcBorders>
          </w:tcPr>
          <w:p w:rsidR="00AA1E26" w:rsidRPr="00571ECD" w:rsidRDefault="00AA1E26" w:rsidP="00BE048B">
            <w:pPr>
              <w:jc w:val="center"/>
              <w:rPr>
                <w:rFonts w:cs="Arial"/>
                <w:sz w:val="18"/>
                <w:szCs w:val="18"/>
              </w:rPr>
            </w:pPr>
            <w:r w:rsidRPr="00571ECD">
              <w:rPr>
                <w:rFonts w:cs="Arial"/>
                <w:sz w:val="18"/>
                <w:szCs w:val="18"/>
              </w:rPr>
              <w:t>(4)</w:t>
            </w:r>
          </w:p>
        </w:tc>
      </w:tr>
      <w:tr w:rsidR="00571ECD" w:rsidRPr="00571ECD" w:rsidTr="00572DDE">
        <w:trPr>
          <w:jc w:val="center"/>
        </w:trPr>
        <w:tc>
          <w:tcPr>
            <w:tcW w:w="1502" w:type="dxa"/>
            <w:tcBorders>
              <w:top w:val="nil"/>
            </w:tcBorders>
          </w:tcPr>
          <w:p w:rsidR="00AA1E26" w:rsidRPr="00571ECD" w:rsidRDefault="00AA1E26" w:rsidP="00BE048B">
            <w:pPr>
              <w:rPr>
                <w:rFonts w:cs="Arial"/>
                <w:sz w:val="18"/>
                <w:szCs w:val="18"/>
              </w:rPr>
            </w:pPr>
            <w:r w:rsidRPr="00571ECD">
              <w:rPr>
                <w:rFonts w:cs="Arial"/>
                <w:sz w:val="18"/>
                <w:szCs w:val="18"/>
              </w:rPr>
              <w:t>IPR type</w:t>
            </w:r>
          </w:p>
        </w:tc>
        <w:tc>
          <w:tcPr>
            <w:tcW w:w="992" w:type="dxa"/>
            <w:tcBorders>
              <w:top w:val="nil"/>
            </w:tcBorders>
          </w:tcPr>
          <w:p w:rsidR="00AA1E26" w:rsidRPr="00571ECD" w:rsidRDefault="00AA1E26" w:rsidP="00BE048B">
            <w:pPr>
              <w:tabs>
                <w:tab w:val="center" w:pos="400"/>
              </w:tabs>
              <w:jc w:val="center"/>
              <w:rPr>
                <w:rFonts w:cs="Arial"/>
                <w:sz w:val="18"/>
                <w:szCs w:val="18"/>
              </w:rPr>
            </w:pPr>
            <w:r w:rsidRPr="00571ECD">
              <w:rPr>
                <w:rFonts w:cs="Arial"/>
                <w:sz w:val="18"/>
                <w:szCs w:val="18"/>
              </w:rPr>
              <w:t>0.227***</w:t>
            </w:r>
          </w:p>
        </w:tc>
        <w:tc>
          <w:tcPr>
            <w:tcW w:w="851" w:type="dxa"/>
            <w:tcBorders>
              <w:top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(0.004)</w:t>
            </w:r>
          </w:p>
        </w:tc>
        <w:tc>
          <w:tcPr>
            <w:tcW w:w="992" w:type="dxa"/>
            <w:tcBorders>
              <w:top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0.184***</w:t>
            </w:r>
          </w:p>
        </w:tc>
        <w:tc>
          <w:tcPr>
            <w:tcW w:w="851" w:type="dxa"/>
            <w:tcBorders>
              <w:top w:val="nil"/>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92"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0.163***</w:t>
            </w:r>
          </w:p>
        </w:tc>
        <w:tc>
          <w:tcPr>
            <w:tcW w:w="850"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c>
          <w:tcPr>
            <w:tcW w:w="993"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0.171***</w:t>
            </w:r>
          </w:p>
        </w:tc>
        <w:tc>
          <w:tcPr>
            <w:tcW w:w="933" w:type="dxa"/>
            <w:tcBorders>
              <w:top w:val="nil"/>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Applicant (Company)</w:t>
            </w:r>
          </w:p>
        </w:tc>
        <w:tc>
          <w:tcPr>
            <w:tcW w:w="992" w:type="dxa"/>
          </w:tcPr>
          <w:p w:rsidR="00AA1E26" w:rsidRPr="00571ECD" w:rsidRDefault="00AA1E26" w:rsidP="00BE048B">
            <w:pPr>
              <w:tabs>
                <w:tab w:val="center" w:pos="400"/>
              </w:tabs>
              <w:jc w:val="center"/>
              <w:rPr>
                <w:rFonts w:cs="Arial"/>
                <w:sz w:val="18"/>
                <w:szCs w:val="18"/>
              </w:rPr>
            </w:pPr>
            <w:r w:rsidRPr="00571ECD">
              <w:rPr>
                <w:rFonts w:cs="Arial"/>
                <w:sz w:val="18"/>
                <w:szCs w:val="18"/>
              </w:rPr>
              <w:t>-0.293***</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-0.305***</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-0.106***</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-0.050***</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Applicant (Individual)</w:t>
            </w:r>
          </w:p>
        </w:tc>
        <w:tc>
          <w:tcPr>
            <w:tcW w:w="992" w:type="dxa"/>
          </w:tcPr>
          <w:p w:rsidR="00AA1E26" w:rsidRPr="00571ECD" w:rsidRDefault="00AA1E26" w:rsidP="00BE048B">
            <w:pPr>
              <w:tabs>
                <w:tab w:val="center" w:pos="400"/>
              </w:tabs>
              <w:jc w:val="center"/>
              <w:rPr>
                <w:rFonts w:cs="Arial"/>
                <w:sz w:val="18"/>
                <w:szCs w:val="18"/>
              </w:rPr>
            </w:pPr>
            <w:r w:rsidRPr="00571ECD">
              <w:rPr>
                <w:rFonts w:cs="Arial"/>
                <w:sz w:val="18"/>
                <w:szCs w:val="18"/>
              </w:rPr>
              <w:t>-0.106***</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-0.089***</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-0.034**</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0.003</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Applicant (University)</w:t>
            </w:r>
          </w:p>
        </w:tc>
        <w:tc>
          <w:tcPr>
            <w:tcW w:w="992" w:type="dxa"/>
          </w:tcPr>
          <w:p w:rsidR="00AA1E26" w:rsidRPr="00571ECD" w:rsidRDefault="00AA1E26" w:rsidP="00BE048B">
            <w:pPr>
              <w:tabs>
                <w:tab w:val="center" w:pos="400"/>
              </w:tabs>
              <w:jc w:val="center"/>
              <w:rPr>
                <w:rFonts w:cs="Arial"/>
                <w:sz w:val="18"/>
                <w:szCs w:val="18"/>
              </w:rPr>
            </w:pPr>
            <w:r w:rsidRPr="00571ECD">
              <w:rPr>
                <w:rFonts w:cs="Arial"/>
                <w:sz w:val="18"/>
                <w:szCs w:val="18"/>
              </w:rPr>
              <w:t>-0.178***</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(0.008)</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-0.166***</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-0.049***</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(0.015)</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(0.021)</w:t>
            </w:r>
          </w:p>
        </w:tc>
      </w:tr>
      <w:tr w:rsidR="00571ECD" w:rsidRPr="00571ECD" w:rsidTr="00572DDE">
        <w:trPr>
          <w:trHeight w:val="229"/>
          <w:jc w:val="center"/>
        </w:trPr>
        <w:tc>
          <w:tcPr>
            <w:tcW w:w="1502" w:type="dxa"/>
          </w:tcPr>
          <w:p w:rsidR="00AA1E26" w:rsidRPr="00571ECD" w:rsidRDefault="00AA1E26" w:rsidP="00BE048B">
            <w:pPr>
              <w:rPr>
                <w:rFonts w:cs="Arial"/>
                <w:sz w:val="18"/>
                <w:szCs w:val="18"/>
              </w:rPr>
            </w:pPr>
            <w:r w:rsidRPr="00571ECD">
              <w:rPr>
                <w:rFonts w:cs="Arial"/>
                <w:sz w:val="18"/>
                <w:szCs w:val="18"/>
              </w:rPr>
              <w:t>Family size &gt; 5</w:t>
            </w:r>
          </w:p>
        </w:tc>
        <w:tc>
          <w:tcPr>
            <w:tcW w:w="992" w:type="dxa"/>
          </w:tcPr>
          <w:p w:rsidR="00AA1E26" w:rsidRPr="00571ECD" w:rsidRDefault="00AA1E26" w:rsidP="00BE048B">
            <w:pPr>
              <w:tabs>
                <w:tab w:val="center" w:pos="400"/>
              </w:tabs>
              <w:jc w:val="center"/>
              <w:rPr>
                <w:rFonts w:cs="Arial"/>
                <w:sz w:val="18"/>
                <w:szCs w:val="18"/>
              </w:rPr>
            </w:pPr>
            <w:r w:rsidRPr="00571ECD">
              <w:rPr>
                <w:rFonts w:cs="Arial"/>
                <w:sz w:val="18"/>
                <w:szCs w:val="18"/>
              </w:rPr>
              <w:t>0.574***</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(0.018)</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0.550***</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(0.036)</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0.440***</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0.438***</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r>
      <w:tr w:rsidR="00571ECD" w:rsidRPr="00571ECD" w:rsidTr="00572DDE">
        <w:trPr>
          <w:trHeight w:val="229"/>
          <w:jc w:val="center"/>
        </w:trPr>
        <w:tc>
          <w:tcPr>
            <w:tcW w:w="1502" w:type="dxa"/>
          </w:tcPr>
          <w:p w:rsidR="00AA1E26" w:rsidRPr="00571ECD" w:rsidRDefault="00AA1E26" w:rsidP="00BE048B">
            <w:pPr>
              <w:rPr>
                <w:rFonts w:cs="Arial"/>
                <w:sz w:val="18"/>
                <w:szCs w:val="18"/>
              </w:rPr>
            </w:pPr>
            <w:r w:rsidRPr="00571ECD">
              <w:rPr>
                <w:rFonts w:cs="Arial"/>
                <w:sz w:val="18"/>
                <w:szCs w:val="18"/>
              </w:rPr>
              <w:t>Family domestic</w:t>
            </w:r>
          </w:p>
        </w:tc>
        <w:tc>
          <w:tcPr>
            <w:tcW w:w="992" w:type="dxa"/>
          </w:tcPr>
          <w:p w:rsidR="00AA1E26" w:rsidRPr="00571ECD" w:rsidRDefault="00AA1E26" w:rsidP="00BE048B">
            <w:pPr>
              <w:tabs>
                <w:tab w:val="center" w:pos="400"/>
              </w:tabs>
              <w:jc w:val="center"/>
              <w:rPr>
                <w:rFonts w:cs="Arial"/>
                <w:sz w:val="18"/>
                <w:szCs w:val="18"/>
              </w:rPr>
            </w:pPr>
            <w:r w:rsidRPr="00571ECD">
              <w:rPr>
                <w:rFonts w:cs="Arial"/>
                <w:sz w:val="18"/>
                <w:szCs w:val="18"/>
              </w:rPr>
              <w:t>0.411***</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0.393***</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0.340***</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0.348***</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Tech_id_2</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-0.129***</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-0.052***</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(0.007)</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-0.041***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(0.008)</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Tech_id_3</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0.050***</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(0.008)</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-0.001</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(0.008)</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0.007</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Tech_id_4</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0.507***</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(0.007)</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0.101***</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0.109***</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Tech_id_5</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-0.030**</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-0.048***</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-0.053***</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Tech_id_6</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-0.063***</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-0.007</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(0.007)</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0.003</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(0.007)</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Tech_id_7</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0.045**</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(0.023)</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0.015</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(0.022)</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Tech_id_8</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-0.025***</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0.001</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Tech_id_9</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-0.086***</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(0.007)</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-0.025**</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0.023**</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(-0.023)</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Tech_id_10</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-0.047***</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(0.008)</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0.014</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0.022**</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Tech_id_11</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0.083***</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(0.029)</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0.069**</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(0.027)</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0.062**</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(0.029)</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Tech_id_12</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-0.042***</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0.010</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0.002</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Tech_id_13</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0.103***</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0.072***</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0.063***</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Tech_id_14</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0.092***</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0.059***</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0.049***</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Tech_id_15</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0.180***</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(0.019)</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0.129***</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(0.019)</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0.106***</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(0.019)</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Tech_id_16</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0.206***</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0.130***</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0.129***</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Tech_id_17</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0.114***</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(0.021)</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0.073***</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(0.019)</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0.076***</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(0.020)</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Tech_id_18</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0.033</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(0.025)</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-0.005</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(0.019)</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-0.018</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(0.019)</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Tech_id_19</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0.018</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-0.003</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0.0001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Tech_id_20</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-0.029**</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-0.015</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-0.015</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(-0.015)</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Tech_id_21</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-0.090***</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-0.024**</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-0.025**</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Tech_id_23</w:t>
            </w:r>
          </w:p>
        </w:tc>
        <w:tc>
          <w:tcPr>
            <w:tcW w:w="992" w:type="dxa"/>
          </w:tcPr>
          <w:p w:rsidR="00AA1E26" w:rsidRPr="00571ECD" w:rsidRDefault="00AA1E26" w:rsidP="00BE048B">
            <w:pPr>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0.038***</w:t>
            </w:r>
          </w:p>
        </w:tc>
        <w:tc>
          <w:tcPr>
            <w:tcW w:w="851" w:type="dxa"/>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0.020*</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r>
      <w:tr w:rsidR="00571ECD" w:rsidRPr="00571ECD" w:rsidTr="004E40AC">
        <w:trPr>
          <w:jc w:val="center"/>
        </w:trPr>
        <w:tc>
          <w:tcPr>
            <w:tcW w:w="1502" w:type="dxa"/>
            <w:tcBorders>
              <w:bottom w:val="nil"/>
            </w:tcBorders>
          </w:tcPr>
          <w:p w:rsidR="00AA1E26" w:rsidRPr="00571ECD" w:rsidRDefault="00AA1E26" w:rsidP="00BE048B">
            <w:pPr>
              <w:rPr>
                <w:rFonts w:cs="Arial"/>
                <w:sz w:val="18"/>
                <w:szCs w:val="18"/>
              </w:rPr>
            </w:pPr>
            <w:r w:rsidRPr="00571ECD">
              <w:rPr>
                <w:rFonts w:cs="Arial"/>
                <w:sz w:val="18"/>
                <w:szCs w:val="18"/>
              </w:rPr>
              <w:t>Tech_id_24</w:t>
            </w:r>
          </w:p>
        </w:tc>
        <w:tc>
          <w:tcPr>
            <w:tcW w:w="992" w:type="dxa"/>
            <w:tcBorders>
              <w:bottom w:val="nil"/>
            </w:tcBorders>
          </w:tcPr>
          <w:p w:rsidR="00AA1E26" w:rsidRPr="00571ECD" w:rsidRDefault="00AA1E26" w:rsidP="00BE048B">
            <w:pPr>
              <w:jc w:val="center"/>
              <w:rPr>
                <w:rFonts w:cs="Arial"/>
                <w:sz w:val="18"/>
                <w:szCs w:val="18"/>
              </w:rPr>
            </w:pPr>
            <w:r w:rsidRPr="00571ECD">
              <w:rPr>
                <w:rFonts w:cs="Arial"/>
                <w:sz w:val="18"/>
                <w:szCs w:val="18"/>
              </w:rPr>
              <w:t>-</w:t>
            </w:r>
          </w:p>
        </w:tc>
        <w:tc>
          <w:tcPr>
            <w:tcW w:w="851" w:type="dxa"/>
            <w:tcBorders>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0.109***</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(0.021)</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0.043**</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(0.018)</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0.037**</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(0.018)</w:t>
            </w:r>
          </w:p>
        </w:tc>
      </w:tr>
      <w:tr w:rsidR="00571ECD" w:rsidRPr="00571ECD" w:rsidTr="004E40AC">
        <w:trPr>
          <w:jc w:val="center"/>
        </w:trPr>
        <w:tc>
          <w:tcPr>
            <w:tcW w:w="1502" w:type="dxa"/>
            <w:tcBorders>
              <w:bottom w:val="nil"/>
            </w:tcBorders>
          </w:tcPr>
          <w:p w:rsidR="00AA1E26" w:rsidRPr="00571ECD" w:rsidRDefault="00AA1E26" w:rsidP="00BE048B">
            <w:pPr>
              <w:rPr>
                <w:rFonts w:cs="Arial"/>
                <w:sz w:val="18"/>
                <w:szCs w:val="18"/>
              </w:rPr>
            </w:pPr>
            <w:r w:rsidRPr="00571ECD">
              <w:rPr>
                <w:rFonts w:cs="Arial"/>
                <w:sz w:val="18"/>
                <w:szCs w:val="18"/>
              </w:rPr>
              <w:t>Tech_id_25</w:t>
            </w:r>
          </w:p>
        </w:tc>
        <w:tc>
          <w:tcPr>
            <w:tcW w:w="992" w:type="dxa"/>
            <w:tcBorders>
              <w:bottom w:val="nil"/>
            </w:tcBorders>
          </w:tcPr>
          <w:p w:rsidR="00AA1E26" w:rsidRPr="00571ECD" w:rsidRDefault="00AA1E26" w:rsidP="00BE048B">
            <w:pPr>
              <w:jc w:val="center"/>
              <w:rPr>
                <w:rFonts w:cs="Arial"/>
                <w:sz w:val="18"/>
                <w:szCs w:val="18"/>
              </w:rPr>
            </w:pPr>
            <w:r w:rsidRPr="00571ECD">
              <w:rPr>
                <w:rFonts w:cs="Arial"/>
                <w:sz w:val="18"/>
                <w:szCs w:val="18"/>
              </w:rPr>
              <w:t>-</w:t>
            </w:r>
          </w:p>
        </w:tc>
        <w:tc>
          <w:tcPr>
            <w:tcW w:w="851" w:type="dxa"/>
            <w:tcBorders>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0.006</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0.028**</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0.028**</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r>
      <w:tr w:rsidR="00571ECD" w:rsidRPr="00571ECD" w:rsidTr="004E40AC">
        <w:trPr>
          <w:jc w:val="center"/>
        </w:trPr>
        <w:tc>
          <w:tcPr>
            <w:tcW w:w="1502" w:type="dxa"/>
            <w:tcBorders>
              <w:top w:val="nil"/>
            </w:tcBorders>
          </w:tcPr>
          <w:p w:rsidR="00AA1E26" w:rsidRPr="00571ECD" w:rsidRDefault="00AA1E26" w:rsidP="00BE048B">
            <w:pPr>
              <w:rPr>
                <w:rFonts w:cs="Arial"/>
                <w:sz w:val="18"/>
                <w:szCs w:val="18"/>
              </w:rPr>
            </w:pPr>
            <w:r w:rsidRPr="00571ECD">
              <w:rPr>
                <w:rFonts w:cs="Arial"/>
                <w:sz w:val="18"/>
                <w:szCs w:val="18"/>
              </w:rPr>
              <w:t>Tech_id_26</w:t>
            </w:r>
          </w:p>
        </w:tc>
        <w:tc>
          <w:tcPr>
            <w:tcW w:w="992" w:type="dxa"/>
            <w:tcBorders>
              <w:top w:val="nil"/>
            </w:tcBorders>
          </w:tcPr>
          <w:p w:rsidR="00AA1E26" w:rsidRPr="00571ECD" w:rsidRDefault="00AA1E26" w:rsidP="00BE048B">
            <w:pPr>
              <w:jc w:val="center"/>
              <w:rPr>
                <w:rFonts w:cs="Arial"/>
                <w:sz w:val="18"/>
                <w:szCs w:val="18"/>
              </w:rPr>
            </w:pPr>
            <w:r w:rsidRPr="00571ECD">
              <w:rPr>
                <w:rFonts w:cs="Arial"/>
                <w:sz w:val="18"/>
                <w:szCs w:val="18"/>
              </w:rPr>
              <w:t>-</w:t>
            </w:r>
          </w:p>
        </w:tc>
        <w:tc>
          <w:tcPr>
            <w:tcW w:w="851" w:type="dxa"/>
            <w:tcBorders>
              <w:top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top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-0.044***</w:t>
            </w:r>
          </w:p>
        </w:tc>
        <w:tc>
          <w:tcPr>
            <w:tcW w:w="851" w:type="dxa"/>
            <w:tcBorders>
              <w:top w:val="nil"/>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2" w:type="dxa"/>
            <w:tcBorders>
              <w:top w:val="nil"/>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-0.021**</w:t>
            </w:r>
          </w:p>
        </w:tc>
        <w:tc>
          <w:tcPr>
            <w:tcW w:w="850"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3"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-0.020*</w:t>
            </w:r>
          </w:p>
        </w:tc>
        <w:tc>
          <w:tcPr>
            <w:tcW w:w="933" w:type="dxa"/>
            <w:tcBorders>
              <w:top w:val="nil"/>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r>
      <w:tr w:rsidR="00571ECD" w:rsidRPr="00571ECD" w:rsidTr="00572DDE">
        <w:trPr>
          <w:jc w:val="center"/>
        </w:trPr>
        <w:tc>
          <w:tcPr>
            <w:tcW w:w="1502" w:type="dxa"/>
            <w:tcBorders>
              <w:bottom w:val="nil"/>
            </w:tcBorders>
          </w:tcPr>
          <w:p w:rsidR="00AA1E26" w:rsidRPr="00571ECD" w:rsidRDefault="00AA1E26" w:rsidP="00BE048B">
            <w:pPr>
              <w:rPr>
                <w:rFonts w:cs="Arial"/>
                <w:sz w:val="18"/>
                <w:szCs w:val="18"/>
              </w:rPr>
            </w:pPr>
            <w:r w:rsidRPr="00571ECD">
              <w:rPr>
                <w:rFonts w:cs="Arial"/>
                <w:sz w:val="18"/>
                <w:szCs w:val="18"/>
              </w:rPr>
              <w:t>Tech_id_27</w:t>
            </w:r>
          </w:p>
        </w:tc>
        <w:tc>
          <w:tcPr>
            <w:tcW w:w="992" w:type="dxa"/>
            <w:tcBorders>
              <w:bottom w:val="nil"/>
            </w:tcBorders>
          </w:tcPr>
          <w:p w:rsidR="00AA1E26" w:rsidRPr="00571ECD" w:rsidRDefault="00AA1E26" w:rsidP="00BE048B">
            <w:pPr>
              <w:jc w:val="center"/>
              <w:rPr>
                <w:rFonts w:cs="Arial"/>
                <w:sz w:val="18"/>
                <w:szCs w:val="18"/>
              </w:rPr>
            </w:pPr>
            <w:r w:rsidRPr="00571ECD">
              <w:rPr>
                <w:rFonts w:cs="Arial"/>
                <w:sz w:val="18"/>
                <w:szCs w:val="18"/>
              </w:rPr>
              <w:t>-</w:t>
            </w:r>
          </w:p>
        </w:tc>
        <w:tc>
          <w:tcPr>
            <w:tcW w:w="851" w:type="dxa"/>
            <w:tcBorders>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0.035**</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0.059***</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0.051***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r>
      <w:tr w:rsidR="00571ECD" w:rsidRPr="00571ECD" w:rsidTr="00572DDE">
        <w:trPr>
          <w:jc w:val="center"/>
        </w:trPr>
        <w:tc>
          <w:tcPr>
            <w:tcW w:w="1502" w:type="dxa"/>
            <w:tcBorders>
              <w:bottom w:val="nil"/>
            </w:tcBorders>
          </w:tcPr>
          <w:p w:rsidR="00AA1E26" w:rsidRPr="00571ECD" w:rsidRDefault="00AA1E26" w:rsidP="00BE048B">
            <w:pPr>
              <w:rPr>
                <w:rFonts w:cs="Arial"/>
                <w:sz w:val="18"/>
                <w:szCs w:val="18"/>
              </w:rPr>
            </w:pPr>
            <w:r w:rsidRPr="00571ECD">
              <w:rPr>
                <w:rFonts w:cs="Arial"/>
                <w:sz w:val="18"/>
                <w:szCs w:val="18"/>
              </w:rPr>
              <w:t>Tech_id_28</w:t>
            </w:r>
          </w:p>
        </w:tc>
        <w:tc>
          <w:tcPr>
            <w:tcW w:w="992" w:type="dxa"/>
            <w:tcBorders>
              <w:bottom w:val="nil"/>
            </w:tcBorders>
          </w:tcPr>
          <w:p w:rsidR="00AA1E26" w:rsidRPr="00571ECD" w:rsidRDefault="00AA1E26" w:rsidP="00BE048B">
            <w:pPr>
              <w:jc w:val="center"/>
              <w:rPr>
                <w:rFonts w:cs="Arial"/>
                <w:sz w:val="18"/>
                <w:szCs w:val="18"/>
              </w:rPr>
            </w:pPr>
            <w:r w:rsidRPr="00571ECD">
              <w:rPr>
                <w:rFonts w:cs="Arial"/>
                <w:sz w:val="18"/>
                <w:szCs w:val="18"/>
              </w:rPr>
              <w:t>-</w:t>
            </w:r>
          </w:p>
        </w:tc>
        <w:tc>
          <w:tcPr>
            <w:tcW w:w="851" w:type="dxa"/>
            <w:tcBorders>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0.062***</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(0.018)</w:t>
            </w:r>
          </w:p>
        </w:tc>
        <w:tc>
          <w:tcPr>
            <w:tcW w:w="992" w:type="dxa"/>
            <w:tcBorders>
              <w:left w:val="nil"/>
              <w:bottom w:val="nil"/>
              <w:right w:val="nil"/>
            </w:tcBorders>
          </w:tcPr>
          <w:p w:rsidR="00AA1E26" w:rsidRPr="00571ECD" w:rsidRDefault="00AA1E26" w:rsidP="00BE048B">
            <w:pPr>
              <w:jc w:val="center"/>
              <w:rPr>
                <w:rFonts w:cs="Arial"/>
                <w:sz w:val="18"/>
                <w:szCs w:val="18"/>
              </w:rPr>
            </w:pPr>
            <w:r w:rsidRPr="00571ECD">
              <w:rPr>
                <w:rFonts w:cs="Arial"/>
                <w:sz w:val="18"/>
                <w:szCs w:val="18"/>
              </w:rPr>
              <w:t>0.035**</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r>
      <w:tr w:rsidR="00571ECD" w:rsidRPr="00571ECD" w:rsidTr="00572DDE">
        <w:trPr>
          <w:jc w:val="center"/>
        </w:trPr>
        <w:tc>
          <w:tcPr>
            <w:tcW w:w="1502" w:type="dxa"/>
            <w:tcBorders>
              <w:top w:val="nil"/>
              <w:bottom w:val="nil"/>
            </w:tcBorders>
          </w:tcPr>
          <w:p w:rsidR="00AA1E26" w:rsidRPr="00571ECD" w:rsidRDefault="00AA1E26" w:rsidP="00BE048B">
            <w:pPr>
              <w:rPr>
                <w:rFonts w:cs="Arial"/>
                <w:sz w:val="18"/>
                <w:szCs w:val="18"/>
              </w:rPr>
            </w:pPr>
            <w:r w:rsidRPr="00571ECD">
              <w:rPr>
                <w:rFonts w:cs="Arial"/>
                <w:sz w:val="18"/>
                <w:szCs w:val="18"/>
              </w:rPr>
              <w:t>Tech_id_29</w:t>
            </w:r>
          </w:p>
        </w:tc>
        <w:tc>
          <w:tcPr>
            <w:tcW w:w="992" w:type="dxa"/>
            <w:tcBorders>
              <w:top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851" w:type="dxa"/>
            <w:tcBorders>
              <w:top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top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c>
          <w:tcPr>
            <w:tcW w:w="851" w:type="dxa"/>
            <w:tcBorders>
              <w:top w:val="nil"/>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(0.011)</w:t>
            </w:r>
          </w:p>
        </w:tc>
        <w:tc>
          <w:tcPr>
            <w:tcW w:w="992"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850"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0.005</w:t>
            </w:r>
          </w:p>
        </w:tc>
        <w:tc>
          <w:tcPr>
            <w:tcW w:w="933" w:type="dxa"/>
            <w:tcBorders>
              <w:top w:val="nil"/>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r>
      <w:tr w:rsidR="00571ECD" w:rsidRPr="00571ECD" w:rsidTr="00572DDE">
        <w:trPr>
          <w:jc w:val="center"/>
        </w:trPr>
        <w:tc>
          <w:tcPr>
            <w:tcW w:w="1502" w:type="dxa"/>
            <w:tcBorders>
              <w:top w:val="nil"/>
            </w:tcBorders>
          </w:tcPr>
          <w:p w:rsidR="00AA1E26" w:rsidRPr="00571ECD" w:rsidRDefault="00AA1E26" w:rsidP="00BE048B">
            <w:pPr>
              <w:rPr>
                <w:rFonts w:cs="Arial"/>
                <w:sz w:val="18"/>
                <w:szCs w:val="18"/>
              </w:rPr>
            </w:pPr>
            <w:r w:rsidRPr="00571ECD">
              <w:rPr>
                <w:rFonts w:cs="Arial"/>
                <w:sz w:val="18"/>
                <w:szCs w:val="18"/>
              </w:rPr>
              <w:t>Tech_id_30</w:t>
            </w:r>
          </w:p>
        </w:tc>
        <w:tc>
          <w:tcPr>
            <w:tcW w:w="992" w:type="dxa"/>
            <w:tcBorders>
              <w:top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851" w:type="dxa"/>
            <w:tcBorders>
              <w:top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top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0.023*</w:t>
            </w:r>
          </w:p>
        </w:tc>
        <w:tc>
          <w:tcPr>
            <w:tcW w:w="851" w:type="dxa"/>
            <w:tcBorders>
              <w:top w:val="nil"/>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2"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0.024**</w:t>
            </w:r>
          </w:p>
        </w:tc>
        <w:tc>
          <w:tcPr>
            <w:tcW w:w="850"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top w:val="nil"/>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0.026**</w:t>
            </w:r>
          </w:p>
        </w:tc>
        <w:tc>
          <w:tcPr>
            <w:tcW w:w="933" w:type="dxa"/>
            <w:tcBorders>
              <w:top w:val="nil"/>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Tech_id_31</w:t>
            </w:r>
          </w:p>
        </w:tc>
        <w:tc>
          <w:tcPr>
            <w:tcW w:w="992"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0.029**</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0.031**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Tech_id_32</w:t>
            </w:r>
          </w:p>
        </w:tc>
        <w:tc>
          <w:tcPr>
            <w:tcW w:w="992"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0.069***</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0.014</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Tech_id_33</w:t>
            </w:r>
          </w:p>
        </w:tc>
        <w:tc>
          <w:tcPr>
            <w:tcW w:w="992"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0.001</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Tech_id_34</w:t>
            </w:r>
          </w:p>
        </w:tc>
        <w:tc>
          <w:tcPr>
            <w:tcW w:w="992"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0.017</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-0.006</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(0.010)</w:t>
            </w:r>
          </w:p>
        </w:tc>
      </w:tr>
      <w:tr w:rsidR="00571ECD" w:rsidRPr="00571ECD" w:rsidTr="00572DDE">
        <w:trPr>
          <w:jc w:val="center"/>
        </w:trPr>
        <w:tc>
          <w:tcPr>
            <w:tcW w:w="1502" w:type="dxa"/>
          </w:tcPr>
          <w:p w:rsidR="00AA1E26" w:rsidRPr="00571ECD" w:rsidRDefault="00AA1E26" w:rsidP="00BE048B">
            <w:pPr>
              <w:rPr>
                <w:rFonts w:cs="Arial"/>
                <w:sz w:val="18"/>
                <w:szCs w:val="18"/>
              </w:rPr>
            </w:pPr>
            <w:r w:rsidRPr="00571ECD">
              <w:rPr>
                <w:rFonts w:cs="Arial"/>
                <w:sz w:val="18"/>
                <w:szCs w:val="18"/>
              </w:rPr>
              <w:t>Tech_id_35</w:t>
            </w:r>
          </w:p>
        </w:tc>
        <w:tc>
          <w:tcPr>
            <w:tcW w:w="992"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851" w:type="dxa"/>
          </w:tcPr>
          <w:p w:rsidR="00AA1E26" w:rsidRPr="00571ECD" w:rsidRDefault="00AA1E26" w:rsidP="00BE048B">
            <w:pPr>
              <w:tabs>
                <w:tab w:val="center" w:pos="339"/>
              </w:tabs>
              <w:jc w:val="center"/>
              <w:rPr>
                <w:rFonts w:cs="Arial"/>
                <w:sz w:val="18"/>
                <w:szCs w:val="18"/>
              </w:rPr>
            </w:pPr>
            <w:r w:rsidRPr="00571ECD">
              <w:rPr>
                <w:rFonts w:cs="Arial"/>
                <w:sz w:val="18"/>
                <w:szCs w:val="18"/>
              </w:rPr>
              <w:t>-</w:t>
            </w: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0.071***</w:t>
            </w: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(0.012)</w:t>
            </w: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0.016***</w:t>
            </w: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(0.009)</w:t>
            </w: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0.060***</w:t>
            </w: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(0.013)</w:t>
            </w:r>
          </w:p>
        </w:tc>
      </w:tr>
      <w:tr w:rsidR="00571ECD" w:rsidRPr="00571ECD" w:rsidTr="00572DDE">
        <w:trPr>
          <w:jc w:val="center"/>
        </w:trPr>
        <w:tc>
          <w:tcPr>
            <w:tcW w:w="1502" w:type="dxa"/>
          </w:tcPr>
          <w:p w:rsidR="00AA1E26" w:rsidRPr="00571ECD" w:rsidRDefault="00AA1E26" w:rsidP="00BE048B">
            <w:pPr>
              <w:rPr>
                <w:rFonts w:cs="Arial"/>
                <w:sz w:val="18"/>
                <w:szCs w:val="18"/>
              </w:rPr>
            </w:pPr>
          </w:p>
        </w:tc>
        <w:tc>
          <w:tcPr>
            <w:tcW w:w="992" w:type="dxa"/>
          </w:tcPr>
          <w:p w:rsidR="00AA1E26" w:rsidRPr="00571ECD" w:rsidRDefault="00AA1E26" w:rsidP="00BE048B">
            <w:pPr>
              <w:jc w:val="center"/>
              <w:rPr>
                <w:rFonts w:cs="Arial"/>
                <w:sz w:val="18"/>
                <w:szCs w:val="18"/>
              </w:rPr>
            </w:pPr>
          </w:p>
        </w:tc>
        <w:tc>
          <w:tcPr>
            <w:tcW w:w="851" w:type="dxa"/>
          </w:tcPr>
          <w:p w:rsidR="00AA1E26" w:rsidRPr="00571ECD" w:rsidRDefault="00AA1E26" w:rsidP="00BE048B">
            <w:pPr>
              <w:tabs>
                <w:tab w:val="center" w:pos="339"/>
              </w:tabs>
              <w:jc w:val="center"/>
              <w:rPr>
                <w:rFonts w:cs="Arial"/>
                <w:sz w:val="18"/>
                <w:szCs w:val="18"/>
              </w:rPr>
            </w:pPr>
          </w:p>
        </w:tc>
        <w:tc>
          <w:tcPr>
            <w:tcW w:w="992" w:type="dxa"/>
            <w:tcBorders>
              <w:bottom w:val="nil"/>
              <w:right w:val="nil"/>
            </w:tcBorders>
          </w:tcPr>
          <w:p w:rsidR="00AA1E26" w:rsidRPr="00571ECD" w:rsidRDefault="00AA1E26" w:rsidP="00BE048B">
            <w:pPr>
              <w:tabs>
                <w:tab w:val="center" w:pos="339"/>
              </w:tabs>
              <w:jc w:val="center"/>
              <w:rPr>
                <w:rFonts w:cs="Arial"/>
                <w:sz w:val="18"/>
                <w:szCs w:val="18"/>
              </w:rPr>
            </w:pPr>
          </w:p>
        </w:tc>
        <w:tc>
          <w:tcPr>
            <w:tcW w:w="851" w:type="dxa"/>
            <w:tcBorders>
              <w:left w:val="nil"/>
              <w:bottom w:val="nil"/>
            </w:tcBorders>
          </w:tcPr>
          <w:p w:rsidR="00AA1E26" w:rsidRPr="00571ECD" w:rsidRDefault="00AA1E26" w:rsidP="00BE048B">
            <w:pPr>
              <w:tabs>
                <w:tab w:val="center" w:pos="339"/>
              </w:tabs>
              <w:jc w:val="center"/>
              <w:rPr>
                <w:rFonts w:cs="Arial"/>
                <w:sz w:val="18"/>
                <w:szCs w:val="18"/>
              </w:rPr>
            </w:pPr>
          </w:p>
        </w:tc>
        <w:tc>
          <w:tcPr>
            <w:tcW w:w="992" w:type="dxa"/>
            <w:tcBorders>
              <w:left w:val="nil"/>
              <w:bottom w:val="nil"/>
              <w:right w:val="nil"/>
            </w:tcBorders>
          </w:tcPr>
          <w:p w:rsidR="00AA1E26" w:rsidRPr="00571ECD" w:rsidRDefault="00AA1E26" w:rsidP="00BE048B">
            <w:pPr>
              <w:tabs>
                <w:tab w:val="center" w:pos="339"/>
              </w:tabs>
              <w:jc w:val="center"/>
              <w:rPr>
                <w:rFonts w:cs="Arial"/>
                <w:sz w:val="18"/>
                <w:szCs w:val="18"/>
              </w:rPr>
            </w:pPr>
          </w:p>
        </w:tc>
        <w:tc>
          <w:tcPr>
            <w:tcW w:w="850" w:type="dxa"/>
            <w:tcBorders>
              <w:left w:val="nil"/>
              <w:bottom w:val="nil"/>
              <w:right w:val="nil"/>
            </w:tcBorders>
          </w:tcPr>
          <w:p w:rsidR="00AA1E26" w:rsidRPr="00571ECD" w:rsidRDefault="00AA1E26" w:rsidP="00BE048B">
            <w:pPr>
              <w:tabs>
                <w:tab w:val="center" w:pos="339"/>
              </w:tabs>
              <w:jc w:val="center"/>
              <w:rPr>
                <w:rFonts w:cs="Arial"/>
                <w:sz w:val="18"/>
                <w:szCs w:val="18"/>
              </w:rPr>
            </w:pPr>
          </w:p>
        </w:tc>
        <w:tc>
          <w:tcPr>
            <w:tcW w:w="993" w:type="dxa"/>
            <w:tcBorders>
              <w:left w:val="nil"/>
              <w:bottom w:val="nil"/>
              <w:right w:val="nil"/>
            </w:tcBorders>
          </w:tcPr>
          <w:p w:rsidR="00AA1E26" w:rsidRPr="00571ECD" w:rsidRDefault="00AA1E26" w:rsidP="00BE048B">
            <w:pPr>
              <w:tabs>
                <w:tab w:val="center" w:pos="339"/>
              </w:tabs>
              <w:jc w:val="center"/>
              <w:rPr>
                <w:rFonts w:cs="Arial"/>
                <w:sz w:val="18"/>
                <w:szCs w:val="18"/>
              </w:rPr>
            </w:pPr>
          </w:p>
        </w:tc>
        <w:tc>
          <w:tcPr>
            <w:tcW w:w="933" w:type="dxa"/>
            <w:tcBorders>
              <w:left w:val="nil"/>
              <w:bottom w:val="nil"/>
            </w:tcBorders>
          </w:tcPr>
          <w:p w:rsidR="00AA1E26" w:rsidRPr="00571ECD" w:rsidRDefault="00AA1E26" w:rsidP="00BE048B">
            <w:pPr>
              <w:tabs>
                <w:tab w:val="center" w:pos="339"/>
              </w:tabs>
              <w:jc w:val="center"/>
              <w:rPr>
                <w:rFonts w:cs="Arial"/>
                <w:sz w:val="18"/>
                <w:szCs w:val="18"/>
              </w:rPr>
            </w:pPr>
          </w:p>
        </w:tc>
      </w:tr>
      <w:tr w:rsidR="00AA1E26" w:rsidRPr="00571ECD" w:rsidTr="00572DDE">
        <w:trPr>
          <w:jc w:val="center"/>
        </w:trPr>
        <w:tc>
          <w:tcPr>
            <w:tcW w:w="1502" w:type="dxa"/>
          </w:tcPr>
          <w:p w:rsidR="00AA1E26" w:rsidRPr="00571ECD" w:rsidRDefault="00AA1E26" w:rsidP="00572DDE">
            <w:pPr>
              <w:rPr>
                <w:rFonts w:cs="Arial"/>
                <w:sz w:val="18"/>
                <w:szCs w:val="18"/>
              </w:rPr>
            </w:pPr>
            <w:r w:rsidRPr="00571ECD">
              <w:rPr>
                <w:rFonts w:cs="Arial"/>
                <w:sz w:val="18"/>
                <w:szCs w:val="18"/>
              </w:rPr>
              <w:t xml:space="preserve">Year </w:t>
            </w:r>
            <w:r w:rsidR="00572DDE">
              <w:rPr>
                <w:rFonts w:cs="Arial"/>
                <w:sz w:val="18"/>
                <w:szCs w:val="18"/>
              </w:rPr>
              <w:t>FE</w:t>
            </w:r>
          </w:p>
        </w:tc>
        <w:tc>
          <w:tcPr>
            <w:tcW w:w="1843" w:type="dxa"/>
            <w:gridSpan w:val="2"/>
            <w:vMerge w:val="restart"/>
          </w:tcPr>
          <w:p w:rsidR="00AA1E26" w:rsidRPr="00571ECD" w:rsidRDefault="00AA1E26" w:rsidP="00BE048B">
            <w:pPr>
              <w:jc w:val="center"/>
              <w:rPr>
                <w:rFonts w:cs="Arial"/>
                <w:sz w:val="18"/>
                <w:szCs w:val="18"/>
              </w:rPr>
            </w:pPr>
            <w:r w:rsidRPr="00571ECD">
              <w:rPr>
                <w:rFonts w:cs="Arial"/>
                <w:sz w:val="18"/>
                <w:szCs w:val="18"/>
              </w:rPr>
              <w:t>Yes</w:t>
            </w:r>
          </w:p>
          <w:p w:rsidR="00AA1E26" w:rsidRPr="00571ECD" w:rsidRDefault="00AA1E26" w:rsidP="00BE048B">
            <w:pPr>
              <w:jc w:val="center"/>
              <w:rPr>
                <w:rFonts w:cs="Arial"/>
                <w:sz w:val="18"/>
                <w:szCs w:val="18"/>
              </w:rPr>
            </w:pPr>
            <w:r w:rsidRPr="00571ECD">
              <w:rPr>
                <w:rFonts w:cs="Arial"/>
                <w:sz w:val="18"/>
                <w:szCs w:val="18"/>
              </w:rPr>
              <w:t>No</w:t>
            </w:r>
          </w:p>
          <w:p w:rsidR="00AA1E26" w:rsidRPr="00571ECD" w:rsidRDefault="00AA1E26" w:rsidP="00BE048B">
            <w:pPr>
              <w:jc w:val="center"/>
              <w:rPr>
                <w:rFonts w:cs="Arial"/>
                <w:sz w:val="18"/>
                <w:szCs w:val="18"/>
              </w:rPr>
            </w:pPr>
            <w:r w:rsidRPr="00571ECD">
              <w:rPr>
                <w:rFonts w:cs="Arial"/>
                <w:sz w:val="18"/>
                <w:szCs w:val="18"/>
              </w:rPr>
              <w:t>0.329</w:t>
            </w:r>
          </w:p>
          <w:p w:rsidR="00AA1E26" w:rsidRPr="00571ECD" w:rsidRDefault="00AA1E26" w:rsidP="00BE048B">
            <w:pPr>
              <w:jc w:val="center"/>
              <w:rPr>
                <w:rFonts w:cs="Arial"/>
                <w:sz w:val="18"/>
                <w:szCs w:val="18"/>
              </w:rPr>
            </w:pPr>
            <w:r w:rsidRPr="00571ECD">
              <w:rPr>
                <w:rFonts w:cs="Arial"/>
                <w:sz w:val="18"/>
                <w:szCs w:val="18"/>
              </w:rPr>
              <w:t>64</w:t>
            </w:r>
            <w:r w:rsidR="00EA7D3B">
              <w:rPr>
                <w:rFonts w:cs="Arial"/>
                <w:sz w:val="18"/>
                <w:szCs w:val="18"/>
              </w:rPr>
              <w:t>,</w:t>
            </w:r>
            <w:r w:rsidRPr="00571ECD">
              <w:rPr>
                <w:rFonts w:cs="Arial"/>
                <w:sz w:val="18"/>
                <w:szCs w:val="18"/>
              </w:rPr>
              <w:t>555</w:t>
            </w:r>
          </w:p>
        </w:tc>
        <w:tc>
          <w:tcPr>
            <w:tcW w:w="1843" w:type="dxa"/>
            <w:gridSpan w:val="2"/>
            <w:vMerge w:val="restart"/>
          </w:tcPr>
          <w:p w:rsidR="00AA1E26" w:rsidRPr="00571ECD" w:rsidRDefault="00AA1E26" w:rsidP="00BE048B">
            <w:pPr>
              <w:tabs>
                <w:tab w:val="center" w:pos="339"/>
              </w:tabs>
              <w:jc w:val="center"/>
              <w:rPr>
                <w:rFonts w:cs="Arial"/>
                <w:sz w:val="18"/>
                <w:szCs w:val="18"/>
              </w:rPr>
            </w:pPr>
            <w:r w:rsidRPr="00571ECD">
              <w:rPr>
                <w:rFonts w:cs="Arial"/>
                <w:sz w:val="18"/>
                <w:szCs w:val="18"/>
              </w:rPr>
              <w:t>Yes</w:t>
            </w:r>
          </w:p>
          <w:p w:rsidR="00AA1E26" w:rsidRPr="00571ECD" w:rsidRDefault="00AA1E26" w:rsidP="00BE048B">
            <w:pPr>
              <w:jc w:val="center"/>
              <w:rPr>
                <w:rFonts w:cs="Arial"/>
                <w:sz w:val="18"/>
                <w:szCs w:val="18"/>
              </w:rPr>
            </w:pPr>
            <w:r w:rsidRPr="00571ECD">
              <w:rPr>
                <w:rFonts w:cs="Arial"/>
                <w:sz w:val="18"/>
                <w:szCs w:val="18"/>
              </w:rPr>
              <w:t>No</w:t>
            </w:r>
          </w:p>
          <w:p w:rsidR="00AA1E26" w:rsidRPr="00571ECD" w:rsidRDefault="00AA1E26" w:rsidP="00BE048B">
            <w:pPr>
              <w:jc w:val="center"/>
              <w:rPr>
                <w:rFonts w:cs="Arial"/>
                <w:sz w:val="18"/>
                <w:szCs w:val="18"/>
              </w:rPr>
            </w:pPr>
            <w:r w:rsidRPr="00571ECD">
              <w:rPr>
                <w:rFonts w:cs="Arial"/>
                <w:sz w:val="18"/>
                <w:szCs w:val="18"/>
              </w:rPr>
              <w:t>0.436</w:t>
            </w:r>
          </w:p>
          <w:p w:rsidR="00AA1E26" w:rsidRPr="00571ECD" w:rsidRDefault="00AA1E26" w:rsidP="00BE048B">
            <w:pPr>
              <w:jc w:val="center"/>
              <w:rPr>
                <w:rFonts w:cs="Arial"/>
                <w:sz w:val="18"/>
                <w:szCs w:val="18"/>
              </w:rPr>
            </w:pPr>
            <w:r w:rsidRPr="00571ECD">
              <w:rPr>
                <w:rFonts w:cs="Arial"/>
                <w:sz w:val="18"/>
                <w:szCs w:val="18"/>
              </w:rPr>
              <w:t>63</w:t>
            </w:r>
            <w:r w:rsidR="00EA7D3B">
              <w:rPr>
                <w:rFonts w:cs="Arial"/>
                <w:sz w:val="18"/>
                <w:szCs w:val="18"/>
              </w:rPr>
              <w:t>,</w:t>
            </w:r>
            <w:r w:rsidRPr="00571ECD">
              <w:rPr>
                <w:rFonts w:cs="Arial"/>
                <w:sz w:val="18"/>
                <w:szCs w:val="18"/>
              </w:rPr>
              <w:t>066</w:t>
            </w:r>
          </w:p>
        </w:tc>
        <w:tc>
          <w:tcPr>
            <w:tcW w:w="1842" w:type="dxa"/>
            <w:gridSpan w:val="2"/>
            <w:vMerge w:val="restart"/>
            <w:tcBorders>
              <w:righ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Yes</w:t>
            </w:r>
          </w:p>
          <w:p w:rsidR="00AA1E26" w:rsidRPr="00571ECD" w:rsidRDefault="00AA1E26" w:rsidP="00BE048B">
            <w:pPr>
              <w:jc w:val="center"/>
              <w:rPr>
                <w:rFonts w:cs="Arial"/>
                <w:sz w:val="18"/>
                <w:szCs w:val="18"/>
              </w:rPr>
            </w:pPr>
            <w:r w:rsidRPr="00571ECD">
              <w:rPr>
                <w:rFonts w:cs="Arial"/>
                <w:sz w:val="18"/>
                <w:szCs w:val="18"/>
              </w:rPr>
              <w:t>Top 100</w:t>
            </w:r>
          </w:p>
          <w:p w:rsidR="00AA1E26" w:rsidRPr="00571ECD" w:rsidRDefault="00AA1E26" w:rsidP="00BE048B">
            <w:pPr>
              <w:jc w:val="center"/>
              <w:rPr>
                <w:rFonts w:cs="Arial"/>
                <w:sz w:val="18"/>
                <w:szCs w:val="18"/>
              </w:rPr>
            </w:pPr>
            <w:r w:rsidRPr="00571ECD">
              <w:rPr>
                <w:rFonts w:cs="Arial"/>
                <w:sz w:val="18"/>
                <w:szCs w:val="18"/>
              </w:rPr>
              <w:t>0.598</w:t>
            </w:r>
          </w:p>
          <w:p w:rsidR="00AA1E26" w:rsidRPr="00571ECD" w:rsidRDefault="00AA1E26" w:rsidP="00BE048B">
            <w:pPr>
              <w:jc w:val="center"/>
              <w:rPr>
                <w:rFonts w:cs="Arial"/>
                <w:sz w:val="18"/>
                <w:szCs w:val="18"/>
              </w:rPr>
            </w:pPr>
            <w:r w:rsidRPr="00571ECD">
              <w:rPr>
                <w:rFonts w:cs="Arial"/>
                <w:sz w:val="18"/>
                <w:szCs w:val="18"/>
              </w:rPr>
              <w:t>57</w:t>
            </w:r>
            <w:r w:rsidR="00EA7D3B">
              <w:rPr>
                <w:rFonts w:cs="Arial"/>
                <w:sz w:val="18"/>
                <w:szCs w:val="18"/>
              </w:rPr>
              <w:t>,</w:t>
            </w:r>
            <w:r w:rsidRPr="00571ECD">
              <w:rPr>
                <w:rFonts w:cs="Arial"/>
                <w:sz w:val="18"/>
                <w:szCs w:val="18"/>
              </w:rPr>
              <w:t>299</w:t>
            </w:r>
          </w:p>
        </w:tc>
        <w:tc>
          <w:tcPr>
            <w:tcW w:w="1926" w:type="dxa"/>
            <w:gridSpan w:val="2"/>
            <w:vMerge w:val="restart"/>
            <w:tcBorders>
              <w:left w:val="nil"/>
            </w:tcBorders>
          </w:tcPr>
          <w:p w:rsidR="00AA1E26" w:rsidRPr="00571ECD" w:rsidRDefault="00AA1E26" w:rsidP="00BE048B">
            <w:pPr>
              <w:tabs>
                <w:tab w:val="center" w:pos="339"/>
              </w:tabs>
              <w:jc w:val="center"/>
              <w:rPr>
                <w:rFonts w:cs="Arial"/>
                <w:sz w:val="18"/>
                <w:szCs w:val="18"/>
              </w:rPr>
            </w:pPr>
            <w:r w:rsidRPr="00571ECD">
              <w:rPr>
                <w:rFonts w:cs="Arial"/>
                <w:sz w:val="18"/>
                <w:szCs w:val="18"/>
              </w:rPr>
              <w:t>Yes</w:t>
            </w:r>
          </w:p>
          <w:p w:rsidR="00AA1E26" w:rsidRPr="00571ECD" w:rsidRDefault="00AA1E26" w:rsidP="00BE048B">
            <w:pPr>
              <w:jc w:val="center"/>
              <w:rPr>
                <w:rFonts w:cs="Arial"/>
                <w:sz w:val="18"/>
                <w:szCs w:val="18"/>
              </w:rPr>
            </w:pPr>
            <w:r w:rsidRPr="00571ECD">
              <w:rPr>
                <w:rFonts w:cs="Arial"/>
                <w:sz w:val="18"/>
                <w:szCs w:val="18"/>
              </w:rPr>
              <w:t>Top 300</w:t>
            </w:r>
          </w:p>
          <w:p w:rsidR="00AA1E26" w:rsidRPr="00571ECD" w:rsidRDefault="00AA1E26" w:rsidP="00BE048B">
            <w:pPr>
              <w:jc w:val="center"/>
              <w:rPr>
                <w:rFonts w:cs="Arial"/>
                <w:sz w:val="18"/>
                <w:szCs w:val="18"/>
              </w:rPr>
            </w:pPr>
            <w:r w:rsidRPr="00571ECD">
              <w:rPr>
                <w:rFonts w:cs="Arial"/>
                <w:sz w:val="18"/>
                <w:szCs w:val="18"/>
              </w:rPr>
              <w:t>0.611</w:t>
            </w:r>
          </w:p>
          <w:p w:rsidR="00AA1E26" w:rsidRPr="00571ECD" w:rsidRDefault="00AA1E26" w:rsidP="00BE048B">
            <w:pPr>
              <w:jc w:val="center"/>
              <w:rPr>
                <w:rFonts w:cs="Arial"/>
                <w:sz w:val="18"/>
                <w:szCs w:val="18"/>
              </w:rPr>
            </w:pPr>
            <w:r w:rsidRPr="00571ECD">
              <w:rPr>
                <w:rFonts w:cs="Arial"/>
                <w:sz w:val="18"/>
                <w:szCs w:val="18"/>
              </w:rPr>
              <w:t>55</w:t>
            </w:r>
            <w:r w:rsidR="00EA7D3B">
              <w:rPr>
                <w:rFonts w:cs="Arial"/>
                <w:sz w:val="18"/>
                <w:szCs w:val="18"/>
              </w:rPr>
              <w:t>,</w:t>
            </w:r>
            <w:r w:rsidRPr="00571ECD">
              <w:rPr>
                <w:rFonts w:cs="Arial"/>
                <w:sz w:val="18"/>
                <w:szCs w:val="18"/>
              </w:rPr>
              <w:t>672</w:t>
            </w:r>
          </w:p>
        </w:tc>
      </w:tr>
      <w:tr w:rsidR="00AA1E26" w:rsidRPr="00571ECD" w:rsidTr="00572DDE">
        <w:trPr>
          <w:jc w:val="center"/>
        </w:trPr>
        <w:tc>
          <w:tcPr>
            <w:tcW w:w="1502" w:type="dxa"/>
          </w:tcPr>
          <w:p w:rsidR="00AA1E26" w:rsidRPr="00571ECD" w:rsidRDefault="00AA1E26" w:rsidP="00572DDE">
            <w:pPr>
              <w:rPr>
                <w:rFonts w:cs="Arial"/>
                <w:sz w:val="18"/>
                <w:szCs w:val="18"/>
              </w:rPr>
            </w:pPr>
            <w:r w:rsidRPr="00571ECD">
              <w:rPr>
                <w:rFonts w:cs="Arial"/>
                <w:sz w:val="18"/>
                <w:szCs w:val="18"/>
              </w:rPr>
              <w:t xml:space="preserve">Firm </w:t>
            </w:r>
            <w:r w:rsidR="00572DDE">
              <w:rPr>
                <w:rFonts w:cs="Arial"/>
                <w:sz w:val="18"/>
                <w:szCs w:val="18"/>
              </w:rPr>
              <w:t>FE</w:t>
            </w:r>
          </w:p>
        </w:tc>
        <w:tc>
          <w:tcPr>
            <w:tcW w:w="1843" w:type="dxa"/>
            <w:gridSpan w:val="2"/>
            <w:vMerge/>
          </w:tcPr>
          <w:p w:rsidR="00AA1E26" w:rsidRPr="00571ECD" w:rsidRDefault="00AA1E26" w:rsidP="00BE048B">
            <w:pPr>
              <w:jc w:val="center"/>
              <w:rPr>
                <w:rFonts w:cs="Arial"/>
                <w:sz w:val="18"/>
                <w:szCs w:val="18"/>
              </w:rPr>
            </w:pPr>
          </w:p>
        </w:tc>
        <w:tc>
          <w:tcPr>
            <w:tcW w:w="1843" w:type="dxa"/>
            <w:gridSpan w:val="2"/>
            <w:vMerge/>
          </w:tcPr>
          <w:p w:rsidR="00AA1E26" w:rsidRPr="00571ECD" w:rsidRDefault="00AA1E26" w:rsidP="00BE048B">
            <w:pPr>
              <w:jc w:val="center"/>
              <w:rPr>
                <w:rFonts w:cs="Arial"/>
                <w:sz w:val="18"/>
                <w:szCs w:val="18"/>
              </w:rPr>
            </w:pPr>
          </w:p>
        </w:tc>
        <w:tc>
          <w:tcPr>
            <w:tcW w:w="1842" w:type="dxa"/>
            <w:gridSpan w:val="2"/>
            <w:vMerge/>
            <w:tcBorders>
              <w:right w:val="nil"/>
            </w:tcBorders>
          </w:tcPr>
          <w:p w:rsidR="00AA1E26" w:rsidRPr="00571ECD" w:rsidRDefault="00AA1E26" w:rsidP="00BE048B">
            <w:pPr>
              <w:jc w:val="center"/>
              <w:rPr>
                <w:rFonts w:cs="Arial"/>
                <w:sz w:val="18"/>
                <w:szCs w:val="18"/>
              </w:rPr>
            </w:pPr>
          </w:p>
        </w:tc>
        <w:tc>
          <w:tcPr>
            <w:tcW w:w="1926" w:type="dxa"/>
            <w:gridSpan w:val="2"/>
            <w:vMerge/>
            <w:tcBorders>
              <w:left w:val="nil"/>
            </w:tcBorders>
          </w:tcPr>
          <w:p w:rsidR="00AA1E26" w:rsidRPr="00571ECD" w:rsidRDefault="00AA1E26" w:rsidP="00BE048B">
            <w:pPr>
              <w:jc w:val="center"/>
              <w:rPr>
                <w:rFonts w:cs="Arial"/>
                <w:sz w:val="18"/>
                <w:szCs w:val="18"/>
              </w:rPr>
            </w:pPr>
          </w:p>
        </w:tc>
      </w:tr>
      <w:tr w:rsidR="00AA1E26" w:rsidRPr="00571ECD" w:rsidTr="00572DDE">
        <w:trPr>
          <w:jc w:val="center"/>
        </w:trPr>
        <w:tc>
          <w:tcPr>
            <w:tcW w:w="1502" w:type="dxa"/>
            <w:tcBorders>
              <w:bottom w:val="nil"/>
            </w:tcBorders>
          </w:tcPr>
          <w:p w:rsidR="00AA1E26" w:rsidRPr="00571ECD" w:rsidRDefault="00AA1E26" w:rsidP="00BE048B">
            <w:pPr>
              <w:rPr>
                <w:rFonts w:cs="Arial"/>
                <w:sz w:val="18"/>
                <w:szCs w:val="18"/>
              </w:rPr>
            </w:pPr>
            <w:r w:rsidRPr="00571ECD">
              <w:rPr>
                <w:rFonts w:cs="Arial"/>
                <w:sz w:val="18"/>
                <w:szCs w:val="18"/>
              </w:rPr>
              <w:t>Pseudo R</w:t>
            </w:r>
            <w:r w:rsidRPr="00571ECD">
              <w:rPr>
                <w:rFonts w:cs="Arial"/>
                <w:sz w:val="18"/>
                <w:szCs w:val="18"/>
                <w:vertAlign w:val="superscript"/>
              </w:rPr>
              <w:t>2</w:t>
            </w:r>
          </w:p>
        </w:tc>
        <w:tc>
          <w:tcPr>
            <w:tcW w:w="1843" w:type="dxa"/>
            <w:gridSpan w:val="2"/>
            <w:vMerge/>
          </w:tcPr>
          <w:p w:rsidR="00AA1E26" w:rsidRPr="00571ECD" w:rsidRDefault="00AA1E26" w:rsidP="00BE048B">
            <w:pPr>
              <w:jc w:val="center"/>
              <w:rPr>
                <w:rFonts w:cs="Arial"/>
                <w:sz w:val="18"/>
                <w:szCs w:val="18"/>
              </w:rPr>
            </w:pPr>
          </w:p>
        </w:tc>
        <w:tc>
          <w:tcPr>
            <w:tcW w:w="1843" w:type="dxa"/>
            <w:gridSpan w:val="2"/>
            <w:vMerge/>
          </w:tcPr>
          <w:p w:rsidR="00AA1E26" w:rsidRPr="00571ECD" w:rsidRDefault="00AA1E26" w:rsidP="00BE048B">
            <w:pPr>
              <w:jc w:val="center"/>
              <w:rPr>
                <w:rFonts w:cs="Arial"/>
                <w:sz w:val="18"/>
                <w:szCs w:val="18"/>
              </w:rPr>
            </w:pPr>
          </w:p>
        </w:tc>
        <w:tc>
          <w:tcPr>
            <w:tcW w:w="1842" w:type="dxa"/>
            <w:gridSpan w:val="2"/>
            <w:vMerge/>
            <w:tcBorders>
              <w:right w:val="nil"/>
            </w:tcBorders>
          </w:tcPr>
          <w:p w:rsidR="00AA1E26" w:rsidRPr="00571ECD" w:rsidRDefault="00AA1E26" w:rsidP="00BE048B">
            <w:pPr>
              <w:jc w:val="center"/>
              <w:rPr>
                <w:rFonts w:cs="Arial"/>
                <w:sz w:val="18"/>
                <w:szCs w:val="18"/>
              </w:rPr>
            </w:pPr>
          </w:p>
        </w:tc>
        <w:tc>
          <w:tcPr>
            <w:tcW w:w="1926" w:type="dxa"/>
            <w:gridSpan w:val="2"/>
            <w:vMerge/>
            <w:tcBorders>
              <w:left w:val="nil"/>
            </w:tcBorders>
          </w:tcPr>
          <w:p w:rsidR="00AA1E26" w:rsidRPr="00571ECD" w:rsidRDefault="00AA1E26" w:rsidP="00BE048B">
            <w:pPr>
              <w:jc w:val="center"/>
              <w:rPr>
                <w:rFonts w:cs="Arial"/>
                <w:sz w:val="18"/>
                <w:szCs w:val="18"/>
              </w:rPr>
            </w:pPr>
          </w:p>
        </w:tc>
      </w:tr>
      <w:tr w:rsidR="00AA1E26" w:rsidRPr="00571ECD" w:rsidTr="00572DDE">
        <w:trPr>
          <w:jc w:val="center"/>
        </w:trPr>
        <w:tc>
          <w:tcPr>
            <w:tcW w:w="1502" w:type="dxa"/>
            <w:tcBorders>
              <w:bottom w:val="single" w:sz="4" w:space="0" w:color="auto"/>
            </w:tcBorders>
          </w:tcPr>
          <w:p w:rsidR="00AA1E26" w:rsidRPr="00571ECD" w:rsidRDefault="00AA1E26" w:rsidP="00BE048B">
            <w:pPr>
              <w:rPr>
                <w:rFonts w:cs="Arial"/>
                <w:sz w:val="18"/>
                <w:szCs w:val="18"/>
              </w:rPr>
            </w:pPr>
            <w:r w:rsidRPr="00571ECD">
              <w:rPr>
                <w:rFonts w:cs="Arial"/>
                <w:sz w:val="18"/>
                <w:szCs w:val="18"/>
              </w:rPr>
              <w:t>Observations</w:t>
            </w:r>
          </w:p>
        </w:tc>
        <w:tc>
          <w:tcPr>
            <w:tcW w:w="1843" w:type="dxa"/>
            <w:gridSpan w:val="2"/>
            <w:vMerge/>
            <w:tcBorders>
              <w:bottom w:val="single" w:sz="4" w:space="0" w:color="auto"/>
            </w:tcBorders>
          </w:tcPr>
          <w:p w:rsidR="00AA1E26" w:rsidRPr="00571ECD" w:rsidRDefault="00AA1E26" w:rsidP="00BE048B">
            <w:pPr>
              <w:jc w:val="center"/>
              <w:rPr>
                <w:rFonts w:cs="Arial"/>
                <w:sz w:val="18"/>
                <w:szCs w:val="18"/>
              </w:rPr>
            </w:pPr>
          </w:p>
        </w:tc>
        <w:tc>
          <w:tcPr>
            <w:tcW w:w="1843" w:type="dxa"/>
            <w:gridSpan w:val="2"/>
            <w:vMerge/>
            <w:tcBorders>
              <w:bottom w:val="single" w:sz="4" w:space="0" w:color="auto"/>
            </w:tcBorders>
          </w:tcPr>
          <w:p w:rsidR="00AA1E26" w:rsidRPr="00571ECD" w:rsidRDefault="00AA1E26" w:rsidP="00BE048B">
            <w:pPr>
              <w:jc w:val="center"/>
              <w:rPr>
                <w:rFonts w:cs="Arial"/>
                <w:sz w:val="18"/>
                <w:szCs w:val="18"/>
              </w:rPr>
            </w:pPr>
          </w:p>
        </w:tc>
        <w:tc>
          <w:tcPr>
            <w:tcW w:w="1842" w:type="dxa"/>
            <w:gridSpan w:val="2"/>
            <w:vMerge/>
            <w:tcBorders>
              <w:bottom w:val="single" w:sz="4" w:space="0" w:color="auto"/>
              <w:right w:val="nil"/>
            </w:tcBorders>
          </w:tcPr>
          <w:p w:rsidR="00AA1E26" w:rsidRPr="00571ECD" w:rsidRDefault="00AA1E26" w:rsidP="00BE048B">
            <w:pPr>
              <w:jc w:val="center"/>
              <w:rPr>
                <w:rFonts w:cs="Arial"/>
                <w:sz w:val="18"/>
                <w:szCs w:val="18"/>
              </w:rPr>
            </w:pPr>
          </w:p>
        </w:tc>
        <w:tc>
          <w:tcPr>
            <w:tcW w:w="1926" w:type="dxa"/>
            <w:gridSpan w:val="2"/>
            <w:vMerge/>
            <w:tcBorders>
              <w:left w:val="nil"/>
              <w:bottom w:val="single" w:sz="4" w:space="0" w:color="auto"/>
            </w:tcBorders>
          </w:tcPr>
          <w:p w:rsidR="00AA1E26" w:rsidRPr="00571ECD" w:rsidRDefault="00AA1E26" w:rsidP="00BE048B">
            <w:pPr>
              <w:jc w:val="center"/>
              <w:rPr>
                <w:rFonts w:cs="Arial"/>
                <w:sz w:val="18"/>
                <w:szCs w:val="18"/>
              </w:rPr>
            </w:pPr>
          </w:p>
        </w:tc>
      </w:tr>
    </w:tbl>
    <w:p w:rsidR="00AA1E26" w:rsidRDefault="00AA1E26" w:rsidP="00320710">
      <w:pPr>
        <w:jc w:val="left"/>
        <w:rPr>
          <w:rFonts w:cs="Arial"/>
          <w:sz w:val="20"/>
          <w:szCs w:val="20"/>
        </w:rPr>
      </w:pPr>
      <w:r w:rsidRPr="00320710">
        <w:rPr>
          <w:rFonts w:cs="Arial"/>
          <w:sz w:val="20"/>
          <w:szCs w:val="20"/>
        </w:rPr>
        <w:t xml:space="preserve">Notes: The table reports marginal effects after the </w:t>
      </w:r>
      <w:proofErr w:type="spellStart"/>
      <w:proofErr w:type="gramStart"/>
      <w:r w:rsidRPr="00320710">
        <w:rPr>
          <w:rFonts w:cs="Arial"/>
          <w:sz w:val="20"/>
          <w:szCs w:val="20"/>
        </w:rPr>
        <w:t>Probit</w:t>
      </w:r>
      <w:proofErr w:type="spellEnd"/>
      <w:proofErr w:type="gramEnd"/>
      <w:r w:rsidRPr="00320710">
        <w:rPr>
          <w:rFonts w:cs="Arial"/>
          <w:sz w:val="20"/>
          <w:szCs w:val="20"/>
        </w:rPr>
        <w:t xml:space="preserve"> regressions where the dependent variable equals 1 if there are PCT applications within a patent family, and the dependent variable equals 0 otherwise. Standard errors are reported in the parentheses. </w:t>
      </w:r>
      <w:proofErr w:type="spellStart"/>
      <w:r w:rsidRPr="00320710">
        <w:rPr>
          <w:rFonts w:cs="Arial"/>
          <w:i/>
          <w:sz w:val="20"/>
          <w:szCs w:val="20"/>
        </w:rPr>
        <w:t>IPR_type</w:t>
      </w:r>
      <w:proofErr w:type="spellEnd"/>
      <w:r w:rsidRPr="00320710">
        <w:rPr>
          <w:rFonts w:cs="Arial"/>
          <w:sz w:val="20"/>
          <w:szCs w:val="20"/>
        </w:rPr>
        <w:t xml:space="preserve"> equals 1 if an application type is patent for invention, and </w:t>
      </w:r>
      <w:proofErr w:type="spellStart"/>
      <w:r w:rsidRPr="00320710">
        <w:rPr>
          <w:rFonts w:cs="Arial"/>
          <w:i/>
          <w:sz w:val="20"/>
          <w:szCs w:val="20"/>
        </w:rPr>
        <w:t>IPR_type</w:t>
      </w:r>
      <w:proofErr w:type="spellEnd"/>
      <w:r w:rsidRPr="00320710">
        <w:rPr>
          <w:rFonts w:cs="Arial"/>
          <w:sz w:val="20"/>
          <w:szCs w:val="20"/>
        </w:rPr>
        <w:t xml:space="preserve"> equals 0 if an application type is utility model. The dummy </w:t>
      </w:r>
      <w:proofErr w:type="gramStart"/>
      <w:r w:rsidRPr="00320710">
        <w:rPr>
          <w:rFonts w:cs="Arial"/>
          <w:sz w:val="20"/>
          <w:szCs w:val="20"/>
        </w:rPr>
        <w:t xml:space="preserve">variable for </w:t>
      </w:r>
      <w:r w:rsidR="00C55811" w:rsidRPr="00320710">
        <w:rPr>
          <w:rFonts w:cs="Arial"/>
          <w:i/>
          <w:sz w:val="20"/>
          <w:szCs w:val="20"/>
        </w:rPr>
        <w:t>Research i</w:t>
      </w:r>
      <w:r w:rsidRPr="00320710">
        <w:rPr>
          <w:rFonts w:cs="Arial"/>
          <w:i/>
          <w:sz w:val="20"/>
          <w:szCs w:val="20"/>
        </w:rPr>
        <w:t>nstitute</w:t>
      </w:r>
      <w:r w:rsidRPr="00320710">
        <w:rPr>
          <w:rFonts w:cs="Arial"/>
          <w:sz w:val="20"/>
          <w:szCs w:val="20"/>
        </w:rPr>
        <w:t xml:space="preserve"> applicant type is omitted form</w:t>
      </w:r>
      <w:proofErr w:type="gramEnd"/>
      <w:r w:rsidRPr="00320710">
        <w:rPr>
          <w:rFonts w:cs="Arial"/>
          <w:sz w:val="20"/>
          <w:szCs w:val="20"/>
        </w:rPr>
        <w:t xml:space="preserve"> the </w:t>
      </w:r>
      <w:r w:rsidRPr="00320710">
        <w:rPr>
          <w:rFonts w:cs="Arial"/>
          <w:sz w:val="20"/>
          <w:szCs w:val="20"/>
        </w:rPr>
        <w:lastRenderedPageBreak/>
        <w:t>regressions. For the description of 35 technology fields see</w:t>
      </w:r>
      <w:r w:rsidR="0040104B" w:rsidRPr="00320710">
        <w:rPr>
          <w:rFonts w:cs="Arial"/>
          <w:sz w:val="20"/>
          <w:szCs w:val="20"/>
        </w:rPr>
        <w:t xml:space="preserve"> </w:t>
      </w:r>
      <w:hyperlink r:id="rId49" w:history="1">
        <w:r w:rsidR="0040104B" w:rsidRPr="00320710">
          <w:rPr>
            <w:rStyle w:val="Hyperlink"/>
            <w:rFonts w:cs="Arial"/>
            <w:sz w:val="20"/>
            <w:szCs w:val="20"/>
          </w:rPr>
          <w:t>http://www.wipo.int/ipstats/en/statistics/technology_concordance.html</w:t>
        </w:r>
      </w:hyperlink>
      <w:r w:rsidR="0040104B" w:rsidRPr="00320710">
        <w:rPr>
          <w:rFonts w:cs="Arial"/>
          <w:sz w:val="20"/>
          <w:szCs w:val="20"/>
        </w:rPr>
        <w:t xml:space="preserve"> and </w:t>
      </w:r>
      <w:proofErr w:type="spellStart"/>
      <w:r w:rsidR="0040104B" w:rsidRPr="00320710">
        <w:rPr>
          <w:rFonts w:cs="Arial"/>
          <w:sz w:val="20"/>
          <w:szCs w:val="20"/>
        </w:rPr>
        <w:t>Schmoch</w:t>
      </w:r>
      <w:proofErr w:type="spellEnd"/>
      <w:r w:rsidR="0040104B" w:rsidRPr="00320710">
        <w:rPr>
          <w:rFonts w:cs="Arial"/>
          <w:sz w:val="20"/>
          <w:szCs w:val="20"/>
        </w:rPr>
        <w:t xml:space="preserve"> (2008)</w:t>
      </w:r>
      <w:r w:rsidRPr="00320710">
        <w:rPr>
          <w:rFonts w:cs="Arial"/>
          <w:sz w:val="20"/>
          <w:szCs w:val="20"/>
        </w:rPr>
        <w:t xml:space="preserve">. Since a family can include several technology fields at the same time, the dummy variable </w:t>
      </w:r>
      <w:proofErr w:type="spellStart"/>
      <w:r w:rsidRPr="00320710">
        <w:rPr>
          <w:rFonts w:cs="Arial"/>
          <w:i/>
          <w:sz w:val="20"/>
          <w:szCs w:val="20"/>
        </w:rPr>
        <w:t>Tech_id_i</w:t>
      </w:r>
      <w:proofErr w:type="spellEnd"/>
      <w:r w:rsidRPr="00320710">
        <w:rPr>
          <w:rFonts w:cs="Arial"/>
          <w:sz w:val="20"/>
          <w:szCs w:val="20"/>
        </w:rPr>
        <w:t xml:space="preserve"> equals 1 if the technology field </w:t>
      </w:r>
      <w:r w:rsidRPr="00320710">
        <w:rPr>
          <w:rFonts w:cs="Arial"/>
          <w:i/>
          <w:sz w:val="20"/>
          <w:szCs w:val="20"/>
        </w:rPr>
        <w:t>i</w:t>
      </w:r>
      <w:r w:rsidRPr="00320710">
        <w:rPr>
          <w:rFonts w:cs="Arial"/>
          <w:sz w:val="20"/>
          <w:szCs w:val="20"/>
        </w:rPr>
        <w:t xml:space="preserve"> </w:t>
      </w:r>
      <w:proofErr w:type="gramStart"/>
      <w:r w:rsidRPr="00320710">
        <w:rPr>
          <w:rFonts w:cs="Arial"/>
          <w:sz w:val="20"/>
          <w:szCs w:val="20"/>
        </w:rPr>
        <w:t>is</w:t>
      </w:r>
      <w:proofErr w:type="gramEnd"/>
      <w:r w:rsidRPr="00320710">
        <w:rPr>
          <w:rFonts w:cs="Arial"/>
          <w:sz w:val="20"/>
          <w:szCs w:val="20"/>
        </w:rPr>
        <w:t xml:space="preserve"> presented in a family, and it equals 0 otherwise. The dummy </w:t>
      </w:r>
      <w:proofErr w:type="spellStart"/>
      <w:r w:rsidRPr="00320710">
        <w:rPr>
          <w:rFonts w:cs="Arial"/>
          <w:i/>
          <w:sz w:val="20"/>
          <w:szCs w:val="20"/>
        </w:rPr>
        <w:t>family_domestic</w:t>
      </w:r>
      <w:proofErr w:type="spellEnd"/>
      <w:r w:rsidRPr="00320710">
        <w:rPr>
          <w:rFonts w:cs="Arial"/>
          <w:i/>
          <w:sz w:val="20"/>
          <w:szCs w:val="20"/>
        </w:rPr>
        <w:t xml:space="preserve"> </w:t>
      </w:r>
      <w:r w:rsidRPr="00320710">
        <w:rPr>
          <w:rFonts w:cs="Arial"/>
          <w:sz w:val="20"/>
          <w:szCs w:val="20"/>
        </w:rPr>
        <w:t>equals 1 if there is SIPO application within a family and it equals 0 otherwise. Tech_id_1 and Tech_id_22 are omitted from the regr</w:t>
      </w:r>
      <w:r w:rsidR="005326D0" w:rsidRPr="00320710">
        <w:rPr>
          <w:rFonts w:cs="Arial"/>
          <w:sz w:val="20"/>
          <w:szCs w:val="20"/>
        </w:rPr>
        <w:t xml:space="preserve">essions because of </w:t>
      </w:r>
      <w:proofErr w:type="spellStart"/>
      <w:r w:rsidR="005326D0" w:rsidRPr="00320710">
        <w:rPr>
          <w:rFonts w:cs="Arial"/>
          <w:sz w:val="20"/>
          <w:szCs w:val="20"/>
        </w:rPr>
        <w:t>collineari</w:t>
      </w:r>
      <w:r w:rsidR="0040104B" w:rsidRPr="00320710">
        <w:rPr>
          <w:rFonts w:cs="Arial"/>
          <w:sz w:val="20"/>
          <w:szCs w:val="20"/>
        </w:rPr>
        <w:t>ty</w:t>
      </w:r>
      <w:proofErr w:type="spellEnd"/>
      <w:r w:rsidR="0040104B" w:rsidRPr="00320710">
        <w:rPr>
          <w:rFonts w:cs="Arial"/>
          <w:sz w:val="20"/>
          <w:szCs w:val="20"/>
        </w:rPr>
        <w:t>.</w:t>
      </w:r>
    </w:p>
    <w:p w:rsidR="008546FB" w:rsidRDefault="008546FB" w:rsidP="00320710">
      <w:pPr>
        <w:jc w:val="left"/>
        <w:rPr>
          <w:rFonts w:cs="Arial"/>
          <w:sz w:val="20"/>
          <w:szCs w:val="20"/>
        </w:rPr>
      </w:pPr>
    </w:p>
    <w:p w:rsidR="008546FB" w:rsidRDefault="008546FB" w:rsidP="00320710">
      <w:pPr>
        <w:jc w:val="left"/>
        <w:rPr>
          <w:rFonts w:cs="Arial"/>
          <w:sz w:val="20"/>
          <w:szCs w:val="20"/>
        </w:rPr>
      </w:pPr>
    </w:p>
    <w:p w:rsidR="008546FB" w:rsidRDefault="008546FB" w:rsidP="00320710">
      <w:pPr>
        <w:jc w:val="left"/>
        <w:rPr>
          <w:rFonts w:cs="Arial"/>
          <w:sz w:val="20"/>
          <w:szCs w:val="20"/>
        </w:rPr>
      </w:pPr>
    </w:p>
    <w:p w:rsidR="008546FB" w:rsidRDefault="008546FB" w:rsidP="008546FB">
      <w:pPr>
        <w:pStyle w:val="Endofdocument-Annex"/>
      </w:pPr>
      <w:r>
        <w:t>[Appendix III follows]</w:t>
      </w:r>
    </w:p>
    <w:p w:rsidR="008546FB" w:rsidRDefault="008546FB">
      <w:pPr>
        <w:widowControl/>
        <w:jc w:val="left"/>
        <w:rPr>
          <w:rFonts w:eastAsiaTheme="majorEastAsia" w:cstheme="majorBidi"/>
          <w:b/>
          <w:bCs/>
          <w:color w:val="000000" w:themeColor="text1"/>
          <w:kern w:val="0"/>
          <w:lang w:eastAsia="en-US"/>
        </w:rPr>
      </w:pPr>
      <w:r>
        <w:rPr>
          <w:rFonts w:eastAsiaTheme="majorEastAsia" w:cstheme="majorBidi"/>
          <w:b/>
          <w:iCs/>
          <w:caps/>
          <w:color w:val="000000" w:themeColor="text1"/>
          <w:kern w:val="0"/>
          <w:lang w:eastAsia="en-US"/>
        </w:rPr>
        <w:br w:type="page"/>
      </w:r>
    </w:p>
    <w:p w:rsidR="00707947" w:rsidRDefault="00707947" w:rsidP="008546FB">
      <w:pPr>
        <w:pStyle w:val="Heading1"/>
        <w:rPr>
          <w:lang w:eastAsia="en-US"/>
        </w:rPr>
      </w:pPr>
      <w:r w:rsidRPr="00320710">
        <w:rPr>
          <w:lang w:eastAsia="en-US"/>
        </w:rPr>
        <w:lastRenderedPageBreak/>
        <w:t>A</w:t>
      </w:r>
      <w:r w:rsidR="008546FB">
        <w:rPr>
          <w:lang w:eastAsia="en-US"/>
        </w:rPr>
        <w:t xml:space="preserve">ppendix </w:t>
      </w:r>
      <w:r w:rsidR="002A73F8" w:rsidRPr="00320710">
        <w:rPr>
          <w:lang w:eastAsia="en-US"/>
        </w:rPr>
        <w:t>3</w:t>
      </w:r>
      <w:r w:rsidRPr="00320710">
        <w:rPr>
          <w:lang w:eastAsia="en-US"/>
        </w:rPr>
        <w:t xml:space="preserve">: </w:t>
      </w:r>
      <w:r w:rsidR="008546FB">
        <w:rPr>
          <w:lang w:eastAsia="en-US"/>
        </w:rPr>
        <w:t xml:space="preserve"> </w:t>
      </w:r>
      <w:r w:rsidRPr="00320710">
        <w:rPr>
          <w:lang w:eastAsia="en-US"/>
        </w:rPr>
        <w:t>Glossary</w:t>
      </w:r>
    </w:p>
    <w:p w:rsidR="008546FB" w:rsidRPr="008546FB" w:rsidRDefault="008546FB" w:rsidP="008546FB">
      <w:pPr>
        <w:rPr>
          <w:lang w:eastAsia="en-US"/>
        </w:rPr>
      </w:pP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sz w:val="22"/>
          <w:szCs w:val="22"/>
        </w:rPr>
        <w:t xml:space="preserve">This glossary provides definitions of key technical terms and concepts.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Applicant:</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An individual or other legal entity that files an application for a patent, utility model, trademark or industrial design. </w:t>
      </w:r>
      <w:r w:rsidR="00320710">
        <w:rPr>
          <w:rFonts w:ascii="Arial" w:hAnsi="Arial" w:cs="Arial"/>
          <w:sz w:val="22"/>
          <w:szCs w:val="22"/>
        </w:rPr>
        <w:t xml:space="preserve"> </w:t>
      </w:r>
      <w:r w:rsidRPr="00AA1E26">
        <w:rPr>
          <w:rFonts w:ascii="Arial" w:hAnsi="Arial" w:cs="Arial"/>
          <w:sz w:val="22"/>
          <w:szCs w:val="22"/>
        </w:rPr>
        <w:t>There may be more than one applicant in an application.</w:t>
      </w:r>
      <w:r w:rsidR="00320710">
        <w:rPr>
          <w:rFonts w:ascii="Arial" w:hAnsi="Arial" w:cs="Arial"/>
          <w:sz w:val="22"/>
          <w:szCs w:val="22"/>
        </w:rPr>
        <w:t xml:space="preserve"> </w:t>
      </w:r>
      <w:r w:rsidRPr="00AA1E26">
        <w:rPr>
          <w:rFonts w:ascii="Arial" w:hAnsi="Arial" w:cs="Arial"/>
          <w:sz w:val="22"/>
          <w:szCs w:val="22"/>
        </w:rPr>
        <w:t xml:space="preserve"> For the statistics presented in this publication, the name of the first-named applicant is used to determine the owner of the application.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Application:</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The procedure for requesting IP rights at an office, which examines the application and decides whether to grant or refuse protection.</w:t>
      </w:r>
      <w:r w:rsidR="00320710">
        <w:rPr>
          <w:rFonts w:ascii="Arial" w:hAnsi="Arial" w:cs="Arial"/>
          <w:sz w:val="22"/>
          <w:szCs w:val="22"/>
        </w:rPr>
        <w:t xml:space="preserve"> </w:t>
      </w:r>
      <w:r w:rsidRPr="00AA1E26">
        <w:rPr>
          <w:rFonts w:ascii="Arial" w:hAnsi="Arial" w:cs="Arial"/>
          <w:sz w:val="22"/>
          <w:szCs w:val="22"/>
        </w:rPr>
        <w:t xml:space="preserve"> Application also refers to a set of documents submitted to an office by the applicant.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Application abroad:</w:t>
      </w:r>
      <w:r w:rsidR="00320710">
        <w:rPr>
          <w:rFonts w:ascii="Arial" w:hAnsi="Arial" w:cs="Arial"/>
          <w:b/>
          <w:sz w:val="22"/>
          <w:szCs w:val="22"/>
        </w:rPr>
        <w:t xml:space="preserve"> </w:t>
      </w:r>
      <w:r w:rsidRPr="00AA1E26">
        <w:rPr>
          <w:rFonts w:ascii="Arial" w:hAnsi="Arial" w:cs="Arial"/>
          <w:sz w:val="22"/>
          <w:szCs w:val="22"/>
        </w:rPr>
        <w:t xml:space="preserve"> For statistical purposes, an application filed by a resident of a given state/jurisdiction with an IP office of another state/jurisdiction. </w:t>
      </w:r>
      <w:r w:rsidR="00320710">
        <w:rPr>
          <w:rFonts w:ascii="Arial" w:hAnsi="Arial" w:cs="Arial"/>
          <w:sz w:val="22"/>
          <w:szCs w:val="22"/>
        </w:rPr>
        <w:t xml:space="preserve"> </w:t>
      </w:r>
      <w:r w:rsidRPr="00AA1E26">
        <w:rPr>
          <w:rFonts w:ascii="Arial" w:hAnsi="Arial" w:cs="Arial"/>
          <w:sz w:val="22"/>
          <w:szCs w:val="22"/>
        </w:rPr>
        <w:t>For example, an application filed by an applicant domiciled in France with the Japan Patent Office (JPO) is considered an “application abroad” from the perspective of France.</w:t>
      </w:r>
      <w:r w:rsidR="00320710">
        <w:rPr>
          <w:rFonts w:ascii="Arial" w:hAnsi="Arial" w:cs="Arial"/>
          <w:sz w:val="22"/>
          <w:szCs w:val="22"/>
        </w:rPr>
        <w:t xml:space="preserve"> </w:t>
      </w:r>
      <w:r w:rsidRPr="00AA1E26">
        <w:rPr>
          <w:rFonts w:ascii="Arial" w:hAnsi="Arial" w:cs="Arial"/>
          <w:sz w:val="22"/>
          <w:szCs w:val="22"/>
        </w:rPr>
        <w:t xml:space="preserve"> This differs from a “non-resident application”, which describes an application filed by a resident of a foreign state/jurisdiction from the perspective of the office receiving the application.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Application date:</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The date on which the IP office receives an application that meets the minimum requirements. Application date is also referred to as the filing date.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Direct filing:</w:t>
      </w:r>
      <w:r w:rsidRPr="00AA1E26">
        <w:rPr>
          <w:rFonts w:ascii="Arial" w:hAnsi="Arial" w:cs="Arial"/>
          <w:sz w:val="22"/>
          <w:szCs w:val="22"/>
        </w:rPr>
        <w:t xml:space="preserve"> See “National route”.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European Patent Office (EPO):</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The EPO is the regional patent office created under the EPC, in charge of granting European patents for EPC member states.</w:t>
      </w:r>
      <w:r w:rsidR="00320710">
        <w:rPr>
          <w:rFonts w:ascii="Arial" w:hAnsi="Arial" w:cs="Arial"/>
          <w:sz w:val="22"/>
          <w:szCs w:val="22"/>
        </w:rPr>
        <w:t xml:space="preserve"> </w:t>
      </w:r>
      <w:r w:rsidRPr="00AA1E26">
        <w:rPr>
          <w:rFonts w:ascii="Arial" w:hAnsi="Arial" w:cs="Arial"/>
          <w:sz w:val="22"/>
          <w:szCs w:val="22"/>
        </w:rPr>
        <w:t xml:space="preserve"> </w:t>
      </w:r>
      <w:proofErr w:type="gramStart"/>
      <w:r w:rsidRPr="00AA1E26">
        <w:rPr>
          <w:rFonts w:ascii="Arial" w:hAnsi="Arial" w:cs="Arial"/>
          <w:sz w:val="22"/>
          <w:szCs w:val="22"/>
        </w:rPr>
        <w:t>Under Patent Cooperation Treaty (PCT) procedures, the EPO acts as a receiving office, an international searching authority and an international preliminary examining authority.</w:t>
      </w:r>
      <w:proofErr w:type="gramEnd"/>
      <w:r w:rsidRPr="00AA1E26">
        <w:rPr>
          <w:rFonts w:ascii="Arial" w:hAnsi="Arial" w:cs="Arial"/>
          <w:sz w:val="22"/>
          <w:szCs w:val="22"/>
        </w:rPr>
        <w:t xml:space="preserve">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Filing:</w:t>
      </w:r>
      <w:r w:rsidRPr="00AA1E26">
        <w:rPr>
          <w:rFonts w:ascii="Arial" w:hAnsi="Arial" w:cs="Arial"/>
          <w:sz w:val="22"/>
          <w:szCs w:val="22"/>
        </w:rPr>
        <w:t xml:space="preserve"> See “Application”.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Foreign-oriented patent families</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A patent family having at least one filing office that is different from the office of the applicant’s origin. (See “Patent family”.)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Grant:</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A set of exclusive rights legally accorded to the applicant when a patent or utility model is “granted” or “issued”. (See “Patent” and “Utility model”.)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International Patent Classification (IPC):</w:t>
      </w:r>
      <w:r w:rsidR="00320710">
        <w:rPr>
          <w:rFonts w:ascii="Arial" w:hAnsi="Arial" w:cs="Arial"/>
          <w:b/>
          <w:sz w:val="22"/>
          <w:szCs w:val="22"/>
        </w:rPr>
        <w:t xml:space="preserve"> </w:t>
      </w:r>
      <w:r w:rsidRPr="00AA1E26">
        <w:rPr>
          <w:rFonts w:ascii="Arial" w:hAnsi="Arial" w:cs="Arial"/>
          <w:sz w:val="22"/>
          <w:szCs w:val="22"/>
        </w:rPr>
        <w:t xml:space="preserve"> The IPC provides for a hierarchical system of language-independent symbols for the classification of patents and utility models according to the different areas of technology to which they pertain.</w:t>
      </w:r>
      <w:r w:rsidR="00320710">
        <w:rPr>
          <w:rFonts w:ascii="Arial" w:hAnsi="Arial" w:cs="Arial"/>
          <w:sz w:val="22"/>
          <w:szCs w:val="22"/>
        </w:rPr>
        <w:t xml:space="preserve"> </w:t>
      </w:r>
      <w:r w:rsidRPr="00AA1E26">
        <w:rPr>
          <w:rFonts w:ascii="Arial" w:hAnsi="Arial" w:cs="Arial"/>
          <w:sz w:val="22"/>
          <w:szCs w:val="22"/>
        </w:rPr>
        <w:t xml:space="preserve"> The symbols contain information relating to sections, classes, subclasses and groups.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lastRenderedPageBreak/>
        <w:t>Invention:</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A new solution to a technical problem.</w:t>
      </w:r>
      <w:r w:rsidR="00320710">
        <w:rPr>
          <w:rFonts w:ascii="Arial" w:hAnsi="Arial" w:cs="Arial"/>
          <w:sz w:val="22"/>
          <w:szCs w:val="22"/>
        </w:rPr>
        <w:t xml:space="preserve"> </w:t>
      </w:r>
      <w:r w:rsidRPr="00AA1E26">
        <w:rPr>
          <w:rFonts w:ascii="Arial" w:hAnsi="Arial" w:cs="Arial"/>
          <w:sz w:val="22"/>
          <w:szCs w:val="22"/>
        </w:rPr>
        <w:t xml:space="preserve"> To obtain patent rights, the invention must be novel, involve an inventive step and be industrially applicable, as judged by a person skilled in the art.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National Phase Entry (NPE):</w:t>
      </w:r>
      <w:r w:rsidR="00320710">
        <w:rPr>
          <w:rFonts w:ascii="Arial" w:hAnsi="Arial" w:cs="Arial"/>
          <w:b/>
          <w:sz w:val="22"/>
          <w:szCs w:val="22"/>
        </w:rPr>
        <w:t xml:space="preserve"> </w:t>
      </w:r>
      <w:r w:rsidRPr="00AA1E26">
        <w:rPr>
          <w:rFonts w:ascii="Arial" w:hAnsi="Arial" w:cs="Arial"/>
          <w:sz w:val="22"/>
          <w:szCs w:val="22"/>
        </w:rPr>
        <w:t xml:space="preserve"> See “National phase under the PCT”.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National phase under the PCT</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This follows </w:t>
      </w:r>
      <w:proofErr w:type="gramStart"/>
      <w:r w:rsidRPr="00AA1E26">
        <w:rPr>
          <w:rFonts w:ascii="Arial" w:hAnsi="Arial" w:cs="Arial"/>
          <w:sz w:val="22"/>
          <w:szCs w:val="22"/>
        </w:rPr>
        <w:t>the inter</w:t>
      </w:r>
      <w:proofErr w:type="gramEnd"/>
      <w:r w:rsidRPr="00AA1E26">
        <w:rPr>
          <w:rFonts w:ascii="Arial" w:hAnsi="Arial" w:cs="Arial"/>
          <w:sz w:val="22"/>
          <w:szCs w:val="22"/>
        </w:rPr>
        <w:t xml:space="preserve">- national phase of the PCT procedure, and consists of the entry and processing of the international application in the individual countries or regions in which the applicant seeks protection for an invention.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National route</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Applications for IP protection filed directly with the national office of, or acting for, the relevant state/jurisdiction </w:t>
      </w:r>
      <w:r w:rsidRPr="00E81198">
        <w:rPr>
          <w:rFonts w:ascii="Arial" w:hAnsi="Arial" w:cs="Arial"/>
          <w:sz w:val="22"/>
          <w:szCs w:val="22"/>
        </w:rPr>
        <w:t>(see also “PCT route”</w:t>
      </w:r>
      <w:r w:rsidR="00E81198" w:rsidRPr="00E81198">
        <w:rPr>
          <w:rFonts w:ascii="Arial" w:hAnsi="Arial" w:cs="Arial"/>
          <w:sz w:val="22"/>
          <w:szCs w:val="22"/>
        </w:rPr>
        <w:t>)</w:t>
      </w:r>
      <w:r w:rsidR="00E81198">
        <w:rPr>
          <w:rFonts w:ascii="Arial" w:hAnsi="Arial" w:cs="Arial"/>
          <w:sz w:val="22"/>
          <w:szCs w:val="22"/>
        </w:rPr>
        <w:t>.</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Patent Cooperation Treaty (PCT):</w:t>
      </w:r>
      <w:r w:rsidR="00320710" w:rsidRPr="00F5431F">
        <w:rPr>
          <w:rFonts w:ascii="Arial" w:hAnsi="Arial" w:cs="Arial"/>
          <w:sz w:val="22"/>
          <w:szCs w:val="22"/>
        </w:rPr>
        <w:t xml:space="preserve"> </w:t>
      </w:r>
      <w:r w:rsidRPr="00AA1E26">
        <w:rPr>
          <w:rFonts w:ascii="Arial" w:hAnsi="Arial" w:cs="Arial"/>
          <w:sz w:val="22"/>
          <w:szCs w:val="22"/>
        </w:rPr>
        <w:t xml:space="preserve"> The PCT is an international treaty, administered by WIPO.</w:t>
      </w:r>
      <w:r w:rsidR="00320710">
        <w:rPr>
          <w:rFonts w:ascii="Arial" w:hAnsi="Arial" w:cs="Arial"/>
          <w:sz w:val="22"/>
          <w:szCs w:val="22"/>
        </w:rPr>
        <w:t xml:space="preserve"> </w:t>
      </w:r>
      <w:r w:rsidRPr="00AA1E26">
        <w:rPr>
          <w:rFonts w:ascii="Arial" w:hAnsi="Arial" w:cs="Arial"/>
          <w:sz w:val="22"/>
          <w:szCs w:val="22"/>
        </w:rPr>
        <w:t xml:space="preserve"> The PCT system facilitates the filing of patent applications worldwide and makes it possible to seek patent protection for an invention simultaneously in each of a large number of countries by first filing a single “international” patent application.</w:t>
      </w:r>
      <w:r w:rsidR="00320710">
        <w:rPr>
          <w:rFonts w:ascii="Arial" w:hAnsi="Arial" w:cs="Arial"/>
          <w:sz w:val="22"/>
          <w:szCs w:val="22"/>
        </w:rPr>
        <w:t xml:space="preserve"> </w:t>
      </w:r>
      <w:r w:rsidRPr="00AA1E26">
        <w:rPr>
          <w:rFonts w:ascii="Arial" w:hAnsi="Arial" w:cs="Arial"/>
          <w:sz w:val="22"/>
          <w:szCs w:val="22"/>
        </w:rPr>
        <w:t xml:space="preserve"> The granting of patents, which remains under the control of the national or regional patent offices, is carried out in what is called the “national phase” or “regional phase”.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Patent family</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A set of interrelated patent applications filed in one or more countries/jurisdictions to protect the same invention.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PCT application</w:t>
      </w:r>
      <w:r w:rsidRPr="00AA1E26">
        <w:rPr>
          <w:rFonts w:ascii="Arial" w:hAnsi="Arial" w:cs="Arial"/>
          <w:sz w:val="22"/>
          <w:szCs w:val="22"/>
        </w:rPr>
        <w:t>:</w:t>
      </w:r>
      <w:r w:rsidR="00320710">
        <w:rPr>
          <w:rFonts w:ascii="Arial" w:hAnsi="Arial" w:cs="Arial"/>
          <w:sz w:val="22"/>
          <w:szCs w:val="22"/>
        </w:rPr>
        <w:t xml:space="preserve"> </w:t>
      </w:r>
      <w:r w:rsidRPr="00AA1E26">
        <w:rPr>
          <w:rFonts w:ascii="Arial" w:hAnsi="Arial" w:cs="Arial"/>
          <w:sz w:val="22"/>
          <w:szCs w:val="22"/>
        </w:rPr>
        <w:t xml:space="preserve"> A patent application filed through the WIPO-administered Patent Cooperation Treaty (PCT).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PCT route:</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Patent applications filed or patents granted based on PCT international applications.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PCT system:</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The PCT, an international treaty administered by WIPO, facilitates the acquisition of patent rights in a large number of jurisdictions. </w:t>
      </w:r>
      <w:r w:rsidR="00320710">
        <w:rPr>
          <w:rFonts w:ascii="Arial" w:hAnsi="Arial" w:cs="Arial"/>
          <w:sz w:val="22"/>
          <w:szCs w:val="22"/>
        </w:rPr>
        <w:t xml:space="preserve"> </w:t>
      </w:r>
      <w:r w:rsidRPr="00AA1E26">
        <w:rPr>
          <w:rFonts w:ascii="Arial" w:hAnsi="Arial" w:cs="Arial"/>
          <w:sz w:val="22"/>
          <w:szCs w:val="22"/>
        </w:rPr>
        <w:t>The PCT system simplifies the process of multiple national patent filings by reducing the requirement to file a separate application in each jurisdiction.</w:t>
      </w:r>
      <w:r w:rsidR="00320710">
        <w:rPr>
          <w:rFonts w:ascii="Arial" w:hAnsi="Arial" w:cs="Arial"/>
          <w:sz w:val="22"/>
          <w:szCs w:val="22"/>
        </w:rPr>
        <w:t xml:space="preserve"> </w:t>
      </w:r>
      <w:r w:rsidRPr="00AA1E26">
        <w:rPr>
          <w:rFonts w:ascii="Arial" w:hAnsi="Arial" w:cs="Arial"/>
          <w:sz w:val="22"/>
          <w:szCs w:val="22"/>
        </w:rPr>
        <w:t xml:space="preserve"> However, the decision on whether or not to grant patent rights remains in the hands of national and regional patent offices, and patent rights remain limited to the jurisdiction of the patent-granting authority. </w:t>
      </w:r>
      <w:r w:rsidR="00320710">
        <w:rPr>
          <w:rFonts w:ascii="Arial" w:hAnsi="Arial" w:cs="Arial"/>
          <w:sz w:val="22"/>
          <w:szCs w:val="22"/>
        </w:rPr>
        <w:t xml:space="preserve"> </w:t>
      </w:r>
      <w:r w:rsidRPr="00AA1E26">
        <w:rPr>
          <w:rFonts w:ascii="Arial" w:hAnsi="Arial" w:cs="Arial"/>
          <w:sz w:val="22"/>
          <w:szCs w:val="22"/>
        </w:rPr>
        <w:t xml:space="preserve">The PCT international application process starts with the international phase, during which an international search and possibly a preliminary examination are performed, and concludes with the national phase, during which national and regional patent </w:t>
      </w:r>
      <w:proofErr w:type="spellStart"/>
      <w:r w:rsidRPr="00AA1E26">
        <w:rPr>
          <w:rFonts w:ascii="Arial" w:hAnsi="Arial" w:cs="Arial"/>
          <w:sz w:val="22"/>
          <w:szCs w:val="22"/>
        </w:rPr>
        <w:t>offices</w:t>
      </w:r>
      <w:proofErr w:type="spellEnd"/>
      <w:r w:rsidRPr="00AA1E26">
        <w:rPr>
          <w:rFonts w:ascii="Arial" w:hAnsi="Arial" w:cs="Arial"/>
          <w:sz w:val="22"/>
          <w:szCs w:val="22"/>
        </w:rPr>
        <w:t xml:space="preserve"> decide on the patentability of an invention according to national law.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lastRenderedPageBreak/>
        <w:t>Priority date:</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 xml:space="preserve">The filing date of the application on the basis of which priority is claimed.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Publication date:</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The date on which an IP application is disclosed to the public.</w:t>
      </w:r>
      <w:r w:rsidR="00320710">
        <w:rPr>
          <w:rFonts w:ascii="Arial" w:hAnsi="Arial" w:cs="Arial"/>
          <w:sz w:val="22"/>
          <w:szCs w:val="22"/>
        </w:rPr>
        <w:t xml:space="preserve"> </w:t>
      </w:r>
      <w:r w:rsidRPr="00AA1E26">
        <w:rPr>
          <w:rFonts w:ascii="Arial" w:hAnsi="Arial" w:cs="Arial"/>
          <w:sz w:val="22"/>
          <w:szCs w:val="22"/>
        </w:rPr>
        <w:t xml:space="preserve"> On that date, the subject matter of the application becomes “prior art”.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Resident:</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For statistical purposes, a “resident” application refers to an application filed with the IP office of or acting for the state/jurisdiction in which the first-named applicant in the application has residence.</w:t>
      </w:r>
      <w:r w:rsidR="00320710">
        <w:rPr>
          <w:rFonts w:ascii="Arial" w:hAnsi="Arial" w:cs="Arial"/>
          <w:sz w:val="22"/>
          <w:szCs w:val="22"/>
        </w:rPr>
        <w:t xml:space="preserve"> </w:t>
      </w:r>
      <w:r w:rsidRPr="00AA1E26">
        <w:rPr>
          <w:rFonts w:ascii="Arial" w:hAnsi="Arial" w:cs="Arial"/>
          <w:sz w:val="22"/>
          <w:szCs w:val="22"/>
        </w:rPr>
        <w:t xml:space="preserve"> For example, an application filed with the Japan Patent Office (JPO) by a resident of Japan is considered a resident application for the JPO. Resident applications are sometimes referred to as domestic applications. </w:t>
      </w:r>
      <w:r w:rsidR="00320710">
        <w:rPr>
          <w:rFonts w:ascii="Arial" w:hAnsi="Arial" w:cs="Arial"/>
          <w:sz w:val="22"/>
          <w:szCs w:val="22"/>
        </w:rPr>
        <w:t xml:space="preserve"> </w:t>
      </w:r>
      <w:r w:rsidRPr="00AA1E26">
        <w:rPr>
          <w:rFonts w:ascii="Arial" w:hAnsi="Arial" w:cs="Arial"/>
          <w:sz w:val="22"/>
          <w:szCs w:val="22"/>
        </w:rPr>
        <w:t xml:space="preserve">A resident grant/ registration </w:t>
      </w:r>
      <w:proofErr w:type="gramStart"/>
      <w:r w:rsidRPr="00AA1E26">
        <w:rPr>
          <w:rFonts w:ascii="Arial" w:hAnsi="Arial" w:cs="Arial"/>
          <w:sz w:val="22"/>
          <w:szCs w:val="22"/>
        </w:rPr>
        <w:t>is</w:t>
      </w:r>
      <w:proofErr w:type="gramEnd"/>
      <w:r w:rsidRPr="00AA1E26">
        <w:rPr>
          <w:rFonts w:ascii="Arial" w:hAnsi="Arial" w:cs="Arial"/>
          <w:sz w:val="22"/>
          <w:szCs w:val="22"/>
        </w:rPr>
        <w:t xml:space="preserve"> an IP right issued on the basis of a resident application. </w:t>
      </w:r>
    </w:p>
    <w:p w:rsidR="00707947" w:rsidRPr="00AA1E26" w:rsidRDefault="00707947" w:rsidP="00320710">
      <w:pPr>
        <w:pStyle w:val="NormalWeb"/>
        <w:spacing w:before="120" w:beforeAutospacing="0" w:after="0" w:afterAutospacing="0"/>
        <w:rPr>
          <w:rFonts w:ascii="Arial" w:hAnsi="Arial" w:cs="Arial"/>
          <w:sz w:val="22"/>
          <w:szCs w:val="22"/>
        </w:rPr>
      </w:pPr>
      <w:r w:rsidRPr="00AA1E26">
        <w:rPr>
          <w:rFonts w:ascii="Arial" w:hAnsi="Arial" w:cs="Arial"/>
          <w:b/>
          <w:sz w:val="22"/>
          <w:szCs w:val="22"/>
        </w:rPr>
        <w:t>Utility model</w:t>
      </w:r>
      <w:r w:rsidRPr="00AA1E26">
        <w:rPr>
          <w:rFonts w:ascii="Arial" w:hAnsi="Arial" w:cs="Arial"/>
          <w:sz w:val="22"/>
          <w:szCs w:val="22"/>
        </w:rPr>
        <w:t xml:space="preserve">: </w:t>
      </w:r>
      <w:r w:rsidR="00320710">
        <w:rPr>
          <w:rFonts w:ascii="Arial" w:hAnsi="Arial" w:cs="Arial"/>
          <w:sz w:val="22"/>
          <w:szCs w:val="22"/>
        </w:rPr>
        <w:t xml:space="preserve"> </w:t>
      </w:r>
      <w:r w:rsidRPr="00AA1E26">
        <w:rPr>
          <w:rFonts w:ascii="Arial" w:hAnsi="Arial" w:cs="Arial"/>
          <w:sz w:val="22"/>
          <w:szCs w:val="22"/>
        </w:rPr>
        <w:t>A special form of patent right granted by a state/jurisdiction to an inventor or the inventor’s assignee for a fixed period of time.</w:t>
      </w:r>
      <w:r w:rsidR="00320710">
        <w:rPr>
          <w:rFonts w:ascii="Arial" w:hAnsi="Arial" w:cs="Arial"/>
          <w:sz w:val="22"/>
          <w:szCs w:val="22"/>
        </w:rPr>
        <w:t xml:space="preserve"> </w:t>
      </w:r>
      <w:r w:rsidRPr="00AA1E26">
        <w:rPr>
          <w:rFonts w:ascii="Arial" w:hAnsi="Arial" w:cs="Arial"/>
          <w:sz w:val="22"/>
          <w:szCs w:val="22"/>
        </w:rPr>
        <w:t xml:space="preserve"> The terms and conditions for granting a utility model are slightly different from those for normal patents (including a shorter term of protection and less stringent patentability requirements).</w:t>
      </w:r>
      <w:r w:rsidR="00320710">
        <w:rPr>
          <w:rFonts w:ascii="Arial" w:hAnsi="Arial" w:cs="Arial"/>
          <w:sz w:val="22"/>
          <w:szCs w:val="22"/>
        </w:rPr>
        <w:t xml:space="preserve"> </w:t>
      </w:r>
      <w:r w:rsidRPr="00AA1E26">
        <w:rPr>
          <w:rFonts w:ascii="Arial" w:hAnsi="Arial" w:cs="Arial"/>
          <w:sz w:val="22"/>
          <w:szCs w:val="22"/>
        </w:rPr>
        <w:t xml:space="preserve"> The term “utility model” can also describe what are known in certain countries as “petty patents”, “short-term patents” or “innovation patents”. </w:t>
      </w:r>
    </w:p>
    <w:p w:rsidR="00906F9C" w:rsidRPr="00004E23" w:rsidRDefault="00906F9C" w:rsidP="00320710">
      <w:pPr>
        <w:jc w:val="left"/>
        <w:rPr>
          <w:rFonts w:cs="Arial"/>
        </w:rPr>
      </w:pPr>
    </w:p>
    <w:p w:rsidR="00906F9C" w:rsidRPr="00004E23" w:rsidRDefault="00906F9C" w:rsidP="00320710">
      <w:pPr>
        <w:jc w:val="left"/>
        <w:rPr>
          <w:rFonts w:cs="Arial"/>
        </w:rPr>
      </w:pPr>
    </w:p>
    <w:p w:rsidR="00906F9C" w:rsidRPr="00004E23" w:rsidRDefault="00906F9C" w:rsidP="00320710">
      <w:pPr>
        <w:jc w:val="left"/>
        <w:rPr>
          <w:rFonts w:cs="Arial"/>
        </w:rPr>
      </w:pPr>
    </w:p>
    <w:p w:rsidR="00906F9C" w:rsidRPr="00004E23" w:rsidRDefault="00906F9C" w:rsidP="00906F9C">
      <w:pPr>
        <w:ind w:left="709" w:hanging="709"/>
        <w:jc w:val="right"/>
        <w:rPr>
          <w:rFonts w:cs="Arial"/>
        </w:rPr>
      </w:pPr>
      <w:r w:rsidRPr="00004E23">
        <w:rPr>
          <w:rFonts w:cs="Arial"/>
        </w:rPr>
        <w:t>[End of Annex and of document]</w:t>
      </w:r>
    </w:p>
    <w:sectPr w:rsidR="00906F9C" w:rsidRPr="00004E23" w:rsidSect="00EA4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DF" w:rsidRDefault="009A60DF" w:rsidP="00AA1E26">
      <w:r>
        <w:separator/>
      </w:r>
    </w:p>
  </w:endnote>
  <w:endnote w:type="continuationSeparator" w:id="0">
    <w:p w:rsidR="009A60DF" w:rsidRDefault="009A60DF" w:rsidP="00AA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仿宋">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DF" w:rsidRDefault="009A60DF">
    <w:pPr>
      <w:pStyle w:val="Footer"/>
      <w:jc w:val="center"/>
    </w:pPr>
  </w:p>
  <w:p w:rsidR="009A60DF" w:rsidRDefault="009A6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DF" w:rsidRDefault="009A6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DF" w:rsidRDefault="009A60DF" w:rsidP="00AA1E26">
      <w:r>
        <w:separator/>
      </w:r>
    </w:p>
  </w:footnote>
  <w:footnote w:type="continuationSeparator" w:id="0">
    <w:p w:rsidR="009A60DF" w:rsidRDefault="009A60DF" w:rsidP="00AA1E26">
      <w:r>
        <w:continuationSeparator/>
      </w:r>
    </w:p>
  </w:footnote>
  <w:footnote w:id="1">
    <w:p w:rsidR="009A60DF" w:rsidRPr="00E42448" w:rsidRDefault="009A60DF">
      <w:pPr>
        <w:pStyle w:val="FootnoteText"/>
      </w:pPr>
      <w:r>
        <w:rPr>
          <w:rStyle w:val="FootnoteReference"/>
        </w:rPr>
        <w:footnoteRef/>
      </w:r>
      <w:r>
        <w:t xml:space="preserve"> </w:t>
      </w:r>
      <w:hyperlink r:id="rId1" w:history="1">
        <w:r w:rsidRPr="00121D29">
          <w:rPr>
            <w:rStyle w:val="Hyperlink"/>
          </w:rPr>
          <w:t>http://www.wipo.int/edocs/mdocs/mdocs/en/cdip_5/cdip_5_7_rev_1.pdf</w:t>
        </w:r>
      </w:hyperlink>
      <w:r>
        <w:t xml:space="preserve">. </w:t>
      </w:r>
    </w:p>
  </w:footnote>
  <w:footnote w:id="2">
    <w:p w:rsidR="009A60DF" w:rsidRPr="00C63E62" w:rsidRDefault="009A60DF" w:rsidP="00F75D11">
      <w:pPr>
        <w:pStyle w:val="FootnoteText"/>
        <w:jc w:val="left"/>
        <w:rPr>
          <w:sz w:val="20"/>
          <w:szCs w:val="20"/>
        </w:rPr>
      </w:pPr>
      <w:r w:rsidRPr="00C63E62">
        <w:rPr>
          <w:rStyle w:val="FootnoteReference"/>
          <w:sz w:val="20"/>
          <w:szCs w:val="20"/>
        </w:rPr>
        <w:footnoteRef/>
      </w:r>
      <w:r w:rsidRPr="00C63E62">
        <w:rPr>
          <w:sz w:val="20"/>
          <w:szCs w:val="20"/>
        </w:rPr>
        <w:t xml:space="preserve"> </w:t>
      </w:r>
      <w:r w:rsidRPr="00F75D11">
        <w:rPr>
          <w:rFonts w:cs="Arial"/>
          <w:szCs w:val="18"/>
        </w:rPr>
        <w:t>The PCT is an international treaty, administered by WIPO. The PCT system facilitates the filing of patent applications worldwide and makes it possible to seek patent protection for an invention simultaneously in each of a large number of countries by first filing a single "international" patent application.  The granting of patents, which remains under the control of the national or regional patent offices, is carried out in what is called the "national phase" or "regional phase”.</w:t>
      </w:r>
      <w:r w:rsidRPr="00F75D11">
        <w:rPr>
          <w:szCs w:val="18"/>
        </w:rPr>
        <w:t xml:space="preserve">  See </w:t>
      </w:r>
      <w:hyperlink r:id="rId2" w:history="1">
        <w:r w:rsidRPr="00F75D11">
          <w:rPr>
            <w:rStyle w:val="Hyperlink"/>
            <w:rFonts w:cs="Arial"/>
            <w:szCs w:val="18"/>
          </w:rPr>
          <w:t>http://www.wipo.int/pct/en/</w:t>
        </w:r>
      </w:hyperlink>
      <w:r w:rsidRPr="00F75D11">
        <w:rPr>
          <w:rFonts w:cs="Arial"/>
          <w:szCs w:val="18"/>
        </w:rPr>
        <w:t xml:space="preserve"> for more information on the PCT.</w:t>
      </w:r>
    </w:p>
  </w:footnote>
  <w:footnote w:id="3">
    <w:p w:rsidR="009A60DF" w:rsidRPr="00C63E62" w:rsidRDefault="009A60DF" w:rsidP="00C63E62">
      <w:pPr>
        <w:pStyle w:val="FootnoteText"/>
        <w:rPr>
          <w:rFonts w:asciiTheme="majorHAnsi" w:hAnsiTheme="majorHAnsi" w:cstheme="majorHAnsi"/>
          <w:sz w:val="20"/>
          <w:szCs w:val="20"/>
        </w:rPr>
      </w:pPr>
      <w:r w:rsidRPr="00C63E62">
        <w:rPr>
          <w:rStyle w:val="FootnoteReference"/>
          <w:rFonts w:asciiTheme="majorHAnsi" w:hAnsiTheme="majorHAnsi" w:cstheme="majorHAnsi"/>
          <w:sz w:val="20"/>
          <w:szCs w:val="20"/>
        </w:rPr>
        <w:footnoteRef/>
      </w:r>
      <w:r w:rsidRPr="00C63E62">
        <w:rPr>
          <w:rFonts w:asciiTheme="majorHAnsi" w:hAnsiTheme="majorHAnsi" w:cstheme="majorHAnsi"/>
          <w:sz w:val="20"/>
          <w:szCs w:val="20"/>
        </w:rPr>
        <w:t xml:space="preserve"> </w:t>
      </w:r>
      <w:hyperlink r:id="rId3" w:history="1">
        <w:r w:rsidRPr="00D54D5D">
          <w:rPr>
            <w:rStyle w:val="Hyperlink"/>
            <w:rFonts w:cs="Arial"/>
            <w:sz w:val="20"/>
            <w:szCs w:val="20"/>
          </w:rPr>
          <w:t>http://www.wipo.int/meetings/en/details.jsp?meeting_id=32662</w:t>
        </w:r>
      </w:hyperlink>
      <w:r w:rsidRPr="00D54D5D">
        <w:rPr>
          <w:rFonts w:cs="Arial"/>
          <w:sz w:val="20"/>
          <w:szCs w:val="20"/>
        </w:rPr>
        <w:t>.</w:t>
      </w:r>
      <w:r w:rsidRPr="00C63E62">
        <w:rPr>
          <w:rFonts w:asciiTheme="majorHAnsi" w:hAnsiTheme="majorHAnsi" w:cstheme="majorHAnsi"/>
          <w:sz w:val="20"/>
          <w:szCs w:val="20"/>
        </w:rPr>
        <w:t xml:space="preserve"> </w:t>
      </w:r>
    </w:p>
  </w:footnote>
  <w:footnote w:id="4">
    <w:p w:rsidR="009A60DF" w:rsidRPr="00C63E62" w:rsidRDefault="009A60DF" w:rsidP="00C63E62">
      <w:pPr>
        <w:pStyle w:val="FootnoteText"/>
        <w:rPr>
          <w:sz w:val="20"/>
          <w:szCs w:val="20"/>
        </w:rPr>
      </w:pPr>
      <w:r w:rsidRPr="00C63E62">
        <w:rPr>
          <w:rStyle w:val="FootnoteReference"/>
          <w:sz w:val="20"/>
          <w:szCs w:val="20"/>
        </w:rPr>
        <w:footnoteRef/>
      </w:r>
      <w:r w:rsidRPr="00C63E62">
        <w:rPr>
          <w:sz w:val="20"/>
          <w:szCs w:val="20"/>
        </w:rPr>
        <w:t xml:space="preserve"> This figure exclude</w:t>
      </w:r>
      <w:r>
        <w:rPr>
          <w:sz w:val="20"/>
          <w:szCs w:val="20"/>
        </w:rPr>
        <w:t>s</w:t>
      </w:r>
      <w:r w:rsidRPr="00C63E62">
        <w:rPr>
          <w:sz w:val="20"/>
          <w:szCs w:val="20"/>
        </w:rPr>
        <w:t xml:space="preserve"> patents also filed in Hong Kong (China) and Taiwan (Province of China).</w:t>
      </w:r>
    </w:p>
  </w:footnote>
  <w:footnote w:id="5">
    <w:p w:rsidR="009A60DF" w:rsidRPr="00C63E62" w:rsidRDefault="009A60DF" w:rsidP="00C839BE">
      <w:pPr>
        <w:pStyle w:val="FootnoteText"/>
        <w:jc w:val="left"/>
        <w:rPr>
          <w:sz w:val="20"/>
          <w:szCs w:val="20"/>
        </w:rPr>
      </w:pPr>
      <w:r w:rsidRPr="00C63E62">
        <w:rPr>
          <w:rStyle w:val="FootnoteReference"/>
          <w:sz w:val="20"/>
          <w:szCs w:val="20"/>
        </w:rPr>
        <w:footnoteRef/>
      </w:r>
      <w:r w:rsidRPr="00C63E62">
        <w:rPr>
          <w:sz w:val="20"/>
          <w:szCs w:val="20"/>
        </w:rPr>
        <w:t xml:space="preserve"> See the concordance table at</w:t>
      </w:r>
      <w:r>
        <w:rPr>
          <w:sz w:val="20"/>
          <w:szCs w:val="20"/>
        </w:rPr>
        <w:br/>
      </w:r>
      <w:hyperlink r:id="rId4" w:history="1">
        <w:r w:rsidRPr="00C63E62">
          <w:rPr>
            <w:rStyle w:val="Hyperlink"/>
            <w:sz w:val="20"/>
            <w:szCs w:val="20"/>
          </w:rPr>
          <w:t>http://www.wipo.int/ipstats/en/statistics/technology_concordance.html</w:t>
        </w:r>
      </w:hyperlink>
      <w:r w:rsidRPr="00C63E62">
        <w:rPr>
          <w:rFonts w:cs="Arial"/>
          <w:sz w:val="20"/>
          <w:szCs w:val="20"/>
        </w:rPr>
        <w:t xml:space="preserve"> and </w:t>
      </w:r>
      <w:proofErr w:type="spellStart"/>
      <w:r w:rsidRPr="00C63E62">
        <w:rPr>
          <w:rFonts w:cs="Arial"/>
          <w:sz w:val="20"/>
          <w:szCs w:val="20"/>
        </w:rPr>
        <w:t>Schmoch</w:t>
      </w:r>
      <w:proofErr w:type="spellEnd"/>
      <w:r w:rsidRPr="00C63E62">
        <w:rPr>
          <w:rFonts w:cs="Arial"/>
          <w:sz w:val="20"/>
          <w:szCs w:val="20"/>
        </w:rPr>
        <w:t xml:space="preserve"> (2008).</w:t>
      </w:r>
    </w:p>
  </w:footnote>
  <w:footnote w:id="6">
    <w:p w:rsidR="009A60DF" w:rsidRPr="00C63E62" w:rsidRDefault="009A60DF" w:rsidP="00C839BE">
      <w:pPr>
        <w:pStyle w:val="FootnoteText"/>
        <w:jc w:val="left"/>
        <w:rPr>
          <w:rFonts w:cs="Arial"/>
          <w:sz w:val="20"/>
          <w:szCs w:val="20"/>
        </w:rPr>
      </w:pPr>
      <w:r w:rsidRPr="00C63E62">
        <w:rPr>
          <w:rStyle w:val="FootnoteReference"/>
          <w:rFonts w:cs="Arial"/>
          <w:sz w:val="20"/>
          <w:szCs w:val="20"/>
        </w:rPr>
        <w:footnoteRef/>
      </w:r>
      <w:r w:rsidRPr="00C63E62">
        <w:rPr>
          <w:rFonts w:cs="Arial"/>
          <w:sz w:val="20"/>
          <w:szCs w:val="20"/>
        </w:rPr>
        <w:t xml:space="preserve"> Fractional counting of technology fields is used for such families, where the percentage share of every field in a family is known. </w:t>
      </w:r>
    </w:p>
  </w:footnote>
  <w:footnote w:id="7">
    <w:p w:rsidR="009A60DF" w:rsidRPr="00C63E62" w:rsidRDefault="009A60DF" w:rsidP="004608DA">
      <w:pPr>
        <w:pStyle w:val="FootnoteText"/>
        <w:jc w:val="left"/>
        <w:rPr>
          <w:sz w:val="20"/>
          <w:szCs w:val="20"/>
        </w:rPr>
      </w:pPr>
      <w:r w:rsidRPr="00C63E62">
        <w:rPr>
          <w:rStyle w:val="FootnoteReference"/>
          <w:sz w:val="20"/>
          <w:szCs w:val="20"/>
        </w:rPr>
        <w:footnoteRef/>
      </w:r>
      <w:r w:rsidRPr="00C63E62">
        <w:rPr>
          <w:sz w:val="20"/>
          <w:szCs w:val="20"/>
        </w:rPr>
        <w:t xml:space="preserve"> For a definition of complex and discrete technologies, refer to </w:t>
      </w:r>
      <w:r>
        <w:rPr>
          <w:sz w:val="20"/>
          <w:szCs w:val="20"/>
        </w:rPr>
        <w:t>A</w:t>
      </w:r>
      <w:r w:rsidRPr="00C63E62">
        <w:rPr>
          <w:sz w:val="20"/>
          <w:szCs w:val="20"/>
        </w:rPr>
        <w:t xml:space="preserve">nnex A of </w:t>
      </w:r>
      <w:r>
        <w:rPr>
          <w:sz w:val="20"/>
          <w:szCs w:val="20"/>
        </w:rPr>
        <w:t xml:space="preserve">the </w:t>
      </w:r>
      <w:r w:rsidRPr="00C63E62">
        <w:rPr>
          <w:sz w:val="20"/>
          <w:szCs w:val="20"/>
        </w:rPr>
        <w:t>World Intellectual Property Indicators</w:t>
      </w:r>
      <w:r>
        <w:rPr>
          <w:sz w:val="20"/>
          <w:szCs w:val="20"/>
        </w:rPr>
        <w:t xml:space="preserve"> Report 2011, see </w:t>
      </w:r>
      <w:r w:rsidRPr="00C63E62">
        <w:rPr>
          <w:sz w:val="20"/>
          <w:szCs w:val="20"/>
        </w:rPr>
        <w:t>WIPO (2011), available at: www.wipo.int/ipstats/en/wipi/.</w:t>
      </w:r>
    </w:p>
  </w:footnote>
  <w:footnote w:id="8">
    <w:p w:rsidR="009A60DF" w:rsidRPr="005248E4" w:rsidRDefault="009A60DF" w:rsidP="005248E4">
      <w:pPr>
        <w:pStyle w:val="FootnoteText"/>
        <w:jc w:val="left"/>
        <w:rPr>
          <w:rFonts w:cs="Arial"/>
          <w:szCs w:val="18"/>
        </w:rPr>
      </w:pPr>
      <w:r w:rsidRPr="005248E4">
        <w:rPr>
          <w:rStyle w:val="FootnoteReference"/>
          <w:rFonts w:cs="Arial"/>
          <w:szCs w:val="18"/>
        </w:rPr>
        <w:footnoteRef/>
      </w:r>
      <w:r w:rsidRPr="005248E4">
        <w:rPr>
          <w:rFonts w:cs="Arial"/>
          <w:szCs w:val="18"/>
        </w:rPr>
        <w:t xml:space="preserve"> </w:t>
      </w:r>
      <w:proofErr w:type="spellStart"/>
      <w:r w:rsidRPr="005248E4">
        <w:rPr>
          <w:rFonts w:cs="Arial"/>
          <w:szCs w:val="18"/>
        </w:rPr>
        <w:t>Hongfujin</w:t>
      </w:r>
      <w:proofErr w:type="spellEnd"/>
      <w:r w:rsidRPr="005248E4">
        <w:rPr>
          <w:rFonts w:cs="Arial"/>
          <w:szCs w:val="18"/>
        </w:rPr>
        <w:t xml:space="preserve"> Precision Industry Co., a subsidiary of </w:t>
      </w:r>
      <w:hyperlink r:id="rId5" w:history="1">
        <w:proofErr w:type="spellStart"/>
        <w:r w:rsidRPr="005248E4">
          <w:rPr>
            <w:rFonts w:cs="Arial"/>
            <w:szCs w:val="18"/>
          </w:rPr>
          <w:t>Foxconn</w:t>
        </w:r>
        <w:proofErr w:type="spellEnd"/>
      </w:hyperlink>
      <w:r w:rsidRPr="005248E4">
        <w:rPr>
          <w:rFonts w:cs="Arial"/>
          <w:szCs w:val="18"/>
        </w:rPr>
        <w:t xml:space="preserve">, is a company which manufactures </w:t>
      </w:r>
      <w:hyperlink r:id="rId6" w:history="1">
        <w:r w:rsidRPr="005248E4">
          <w:rPr>
            <w:rFonts w:cs="Arial"/>
            <w:szCs w:val="18"/>
          </w:rPr>
          <w:t>Apple</w:t>
        </w:r>
      </w:hyperlink>
      <w:r w:rsidRPr="005248E4">
        <w:rPr>
          <w:rFonts w:cs="Arial"/>
          <w:szCs w:val="18"/>
        </w:rPr>
        <w:t xml:space="preserve">'s </w:t>
      </w:r>
      <w:hyperlink r:id="rId7" w:history="1">
        <w:r w:rsidRPr="005248E4">
          <w:rPr>
            <w:rFonts w:cs="Arial"/>
            <w:szCs w:val="18"/>
          </w:rPr>
          <w:t>iPhone 5</w:t>
        </w:r>
      </w:hyperlink>
      <w:r w:rsidRPr="005248E4">
        <w:rPr>
          <w:rFonts w:cs="Arial"/>
          <w:szCs w:val="18"/>
        </w:rPr>
        <w:t xml:space="preserve">, </w:t>
      </w:r>
      <w:hyperlink r:id="rId8" w:history="1">
        <w:r w:rsidRPr="005248E4">
          <w:rPr>
            <w:rFonts w:cs="Arial"/>
            <w:szCs w:val="18"/>
          </w:rPr>
          <w:t>iPod</w:t>
        </w:r>
      </w:hyperlink>
      <w:r w:rsidRPr="005248E4">
        <w:rPr>
          <w:rFonts w:cs="Arial"/>
          <w:szCs w:val="18"/>
        </w:rPr>
        <w:t xml:space="preserve"> as well as other products for multinational corporations.</w:t>
      </w:r>
    </w:p>
  </w:footnote>
  <w:footnote w:id="9">
    <w:p w:rsidR="009A60DF" w:rsidRPr="005248E4" w:rsidRDefault="009A60DF" w:rsidP="005248E4">
      <w:pPr>
        <w:jc w:val="left"/>
        <w:rPr>
          <w:rFonts w:cs="Arial"/>
          <w:sz w:val="18"/>
          <w:szCs w:val="18"/>
        </w:rPr>
      </w:pPr>
      <w:r w:rsidRPr="005248E4">
        <w:rPr>
          <w:rStyle w:val="FootnoteReference"/>
          <w:rFonts w:cs="Arial"/>
          <w:sz w:val="18"/>
          <w:szCs w:val="18"/>
        </w:rPr>
        <w:footnoteRef/>
      </w:r>
      <w:r w:rsidRPr="005248E4">
        <w:rPr>
          <w:rFonts w:cs="Arial"/>
          <w:sz w:val="18"/>
          <w:szCs w:val="18"/>
        </w:rPr>
        <w:t xml:space="preserve"> Shenzhen </w:t>
      </w:r>
      <w:proofErr w:type="spellStart"/>
      <w:r w:rsidRPr="005248E4">
        <w:rPr>
          <w:rFonts w:cs="Arial"/>
          <w:sz w:val="18"/>
          <w:szCs w:val="18"/>
        </w:rPr>
        <w:t>Futaihong</w:t>
      </w:r>
      <w:proofErr w:type="spellEnd"/>
      <w:r w:rsidRPr="005248E4">
        <w:rPr>
          <w:rFonts w:cs="Arial"/>
          <w:sz w:val="18"/>
          <w:szCs w:val="18"/>
        </w:rPr>
        <w:t xml:space="preserve"> Precision Industrial Co., Ltd. manufactures communication and consumer electrical products.</w:t>
      </w:r>
    </w:p>
  </w:footnote>
  <w:footnote w:id="10">
    <w:p w:rsidR="009A60DF" w:rsidRPr="005248E4" w:rsidRDefault="009A60DF" w:rsidP="005248E4">
      <w:pPr>
        <w:pStyle w:val="FootnoteText"/>
        <w:jc w:val="left"/>
        <w:rPr>
          <w:szCs w:val="18"/>
        </w:rPr>
      </w:pPr>
      <w:r w:rsidRPr="005248E4">
        <w:rPr>
          <w:rStyle w:val="FootnoteReference"/>
          <w:szCs w:val="18"/>
        </w:rPr>
        <w:footnoteRef/>
      </w:r>
      <w:r w:rsidRPr="005248E4">
        <w:rPr>
          <w:szCs w:val="18"/>
        </w:rPr>
        <w:t xml:space="preserve"> </w:t>
      </w:r>
      <w:r w:rsidRPr="008749F6">
        <w:rPr>
          <w:rFonts w:eastAsiaTheme="minorHAnsi"/>
          <w:kern w:val="0"/>
          <w:szCs w:val="18"/>
          <w:lang w:eastAsia="en-US"/>
        </w:rPr>
        <w:t xml:space="preserve">It must be noted here that this analysis might miss additional internationally-oriented patent families by the </w:t>
      </w:r>
      <w:proofErr w:type="spellStart"/>
      <w:r w:rsidRPr="008749F6">
        <w:rPr>
          <w:rFonts w:eastAsiaTheme="minorHAnsi"/>
          <w:kern w:val="0"/>
          <w:szCs w:val="18"/>
          <w:lang w:eastAsia="en-US"/>
        </w:rPr>
        <w:t>Foxconn</w:t>
      </w:r>
      <w:proofErr w:type="spellEnd"/>
      <w:r w:rsidRPr="008749F6">
        <w:rPr>
          <w:rFonts w:eastAsiaTheme="minorHAnsi"/>
          <w:kern w:val="0"/>
          <w:szCs w:val="18"/>
          <w:lang w:eastAsia="en-US"/>
        </w:rPr>
        <w:t xml:space="preserve"> conglomerate, as the organizational and financial structure, and the ensuing names of all subsidiaries, is not easily available to fully assign all patents back to his holding company.  The entities of </w:t>
      </w:r>
      <w:proofErr w:type="spellStart"/>
      <w:r w:rsidRPr="008749F6">
        <w:rPr>
          <w:rFonts w:eastAsiaTheme="minorHAnsi"/>
          <w:kern w:val="0"/>
          <w:szCs w:val="18"/>
          <w:lang w:eastAsia="en-US"/>
        </w:rPr>
        <w:t>Foxconn</w:t>
      </w:r>
      <w:proofErr w:type="spellEnd"/>
      <w:r w:rsidRPr="008749F6">
        <w:rPr>
          <w:rFonts w:eastAsiaTheme="minorHAnsi"/>
          <w:kern w:val="0"/>
          <w:szCs w:val="18"/>
          <w:lang w:eastAsia="en-US"/>
        </w:rPr>
        <w:t xml:space="preserve"> group are marked in grey in the Table 4.2.</w:t>
      </w:r>
      <w:r w:rsidRPr="005248E4">
        <w:rPr>
          <w:szCs w:val="18"/>
        </w:rPr>
        <w:t xml:space="preserve"> </w:t>
      </w:r>
    </w:p>
  </w:footnote>
  <w:footnote w:id="11">
    <w:p w:rsidR="009A60DF" w:rsidRPr="00A61A1E" w:rsidRDefault="009A60DF" w:rsidP="005248E4">
      <w:pPr>
        <w:pStyle w:val="FootnoteText"/>
        <w:jc w:val="left"/>
        <w:rPr>
          <w:sz w:val="20"/>
          <w:szCs w:val="20"/>
        </w:rPr>
      </w:pPr>
      <w:r w:rsidRPr="005248E4">
        <w:rPr>
          <w:rStyle w:val="FootnoteReference"/>
          <w:szCs w:val="18"/>
        </w:rPr>
        <w:footnoteRef/>
      </w:r>
      <w:r w:rsidRPr="005248E4">
        <w:rPr>
          <w:szCs w:val="18"/>
        </w:rPr>
        <w:t xml:space="preserve"> </w:t>
      </w:r>
      <w:r w:rsidRPr="005248E4">
        <w:rPr>
          <w:i/>
          <w:szCs w:val="18"/>
        </w:rPr>
        <w:t>Ibid.</w:t>
      </w:r>
    </w:p>
  </w:footnote>
  <w:footnote w:id="12">
    <w:p w:rsidR="009A60DF" w:rsidRPr="00273709" w:rsidRDefault="009A60DF" w:rsidP="001C71B8">
      <w:pPr>
        <w:pStyle w:val="FootnoteText"/>
        <w:jc w:val="left"/>
      </w:pPr>
      <w:r>
        <w:rPr>
          <w:rStyle w:val="FootnoteReference"/>
        </w:rPr>
        <w:footnoteRef/>
      </w:r>
      <w:r>
        <w:t xml:space="preserve"> </w:t>
      </w:r>
      <w:proofErr w:type="gramStart"/>
      <w:r>
        <w:t>Press release “US and China Drive International Patent Filing Growth in Record-Setting Year”, Geneva, March 13, 2014, PR/2014/755.</w:t>
      </w:r>
      <w:proofErr w:type="gramEnd"/>
    </w:p>
  </w:footnote>
  <w:footnote w:id="13">
    <w:p w:rsidR="009A60DF" w:rsidRPr="00872EC7" w:rsidRDefault="009A60DF">
      <w:pPr>
        <w:pStyle w:val="FootnoteText"/>
      </w:pPr>
      <w:r>
        <w:rPr>
          <w:rStyle w:val="FootnoteReference"/>
        </w:rPr>
        <w:footnoteRef/>
      </w:r>
      <w:r>
        <w:t xml:space="preserve"> </w:t>
      </w:r>
      <w:r w:rsidRPr="00872EC7">
        <w:t xml:space="preserve">On this point compare the Special theme on the use of the PCT by universities and research </w:t>
      </w:r>
      <w:r>
        <w:t xml:space="preserve">institutes, in the upcoming 2014 edition of the PCT Yearly Review published by WIPO. See </w:t>
      </w:r>
      <w:proofErr w:type="gramStart"/>
      <w:r>
        <w:t xml:space="preserve">also </w:t>
      </w:r>
      <w:r w:rsidRPr="007A4996">
        <w:t xml:space="preserve"> Chapter</w:t>
      </w:r>
      <w:proofErr w:type="gramEnd"/>
      <w:r w:rsidRPr="007A4996">
        <w:t xml:space="preserve"> 4 “Harnessing public research for innovation – the role of IP” of the WIPO World Intellectual Property Report 2011 at </w:t>
      </w:r>
      <w:hyperlink r:id="rId9" w:history="1">
        <w:r w:rsidRPr="00256DC8">
          <w:rPr>
            <w:rStyle w:val="Hyperlink"/>
          </w:rPr>
          <w:t>http://www.wipo.int/econ_stat/en/economics/wipr/wipr_2011.html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DF" w:rsidRDefault="009A60DF">
    <w:pPr>
      <w:pStyle w:val="Header"/>
    </w:pPr>
    <w:r>
      <w:t>CDIP/13/INF/9</w:t>
    </w:r>
  </w:p>
  <w:p w:rsidR="009A60DF" w:rsidRDefault="009A60DF">
    <w:pPr>
      <w:pStyle w:val="Header"/>
    </w:pPr>
    <w:r>
      <w:t>ANNEX</w:t>
    </w:r>
  </w:p>
  <w:p w:rsidR="009A60DF" w:rsidRDefault="009A6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DF" w:rsidRPr="00A6622C" w:rsidRDefault="009A60DF" w:rsidP="00A6622C">
    <w:pPr>
      <w:widowControl/>
      <w:jc w:val="right"/>
      <w:rPr>
        <w:rFonts w:eastAsia="SimSun" w:cs="Arial"/>
        <w:kern w:val="0"/>
        <w:szCs w:val="20"/>
        <w:lang w:eastAsia="zh-CN"/>
      </w:rPr>
    </w:pPr>
    <w:r w:rsidRPr="00A6622C">
      <w:rPr>
        <w:rFonts w:eastAsia="SimSun" w:cs="Arial"/>
        <w:kern w:val="0"/>
        <w:szCs w:val="20"/>
        <w:lang w:eastAsia="zh-CN"/>
      </w:rPr>
      <w:t>CDIP/13/INF/</w:t>
    </w:r>
    <w:r>
      <w:rPr>
        <w:rFonts w:eastAsia="SimSun" w:cs="Arial"/>
        <w:kern w:val="0"/>
        <w:szCs w:val="20"/>
        <w:lang w:eastAsia="zh-CN"/>
      </w:rPr>
      <w:t>9</w:t>
    </w:r>
  </w:p>
  <w:p w:rsidR="009A60DF" w:rsidRPr="00A6622C" w:rsidRDefault="009A60DF" w:rsidP="00A6622C">
    <w:pPr>
      <w:widowControl/>
      <w:jc w:val="right"/>
      <w:rPr>
        <w:rFonts w:eastAsia="SimSun" w:cs="Arial"/>
        <w:kern w:val="0"/>
        <w:szCs w:val="20"/>
        <w:lang w:eastAsia="zh-CN"/>
      </w:rPr>
    </w:pPr>
    <w:r w:rsidRPr="00A6622C">
      <w:rPr>
        <w:rFonts w:eastAsia="SimSun" w:cs="Arial"/>
        <w:kern w:val="0"/>
        <w:szCs w:val="20"/>
        <w:lang w:eastAsia="zh-CN"/>
      </w:rPr>
      <w:t xml:space="preserve">Annex, page </w:t>
    </w:r>
    <w:r w:rsidRPr="00A6622C">
      <w:rPr>
        <w:rFonts w:eastAsia="SimSun" w:cs="Arial"/>
        <w:kern w:val="0"/>
        <w:szCs w:val="20"/>
        <w:lang w:eastAsia="zh-CN"/>
      </w:rPr>
      <w:fldChar w:fldCharType="begin"/>
    </w:r>
    <w:r w:rsidRPr="00A6622C">
      <w:rPr>
        <w:rFonts w:eastAsia="SimSun" w:cs="Arial"/>
        <w:kern w:val="0"/>
        <w:szCs w:val="20"/>
        <w:lang w:eastAsia="zh-CN"/>
      </w:rPr>
      <w:instrText xml:space="preserve"> PAGE  \* MERGEFORMAT </w:instrText>
    </w:r>
    <w:r w:rsidRPr="00A6622C">
      <w:rPr>
        <w:rFonts w:eastAsia="SimSun" w:cs="Arial"/>
        <w:kern w:val="0"/>
        <w:szCs w:val="20"/>
        <w:lang w:eastAsia="zh-CN"/>
      </w:rPr>
      <w:fldChar w:fldCharType="separate"/>
    </w:r>
    <w:r w:rsidR="00772A6A">
      <w:rPr>
        <w:rFonts w:eastAsia="SimSun" w:cs="Arial"/>
        <w:noProof/>
        <w:kern w:val="0"/>
        <w:szCs w:val="20"/>
        <w:lang w:eastAsia="zh-CN"/>
      </w:rPr>
      <w:t>53</w:t>
    </w:r>
    <w:r w:rsidRPr="00A6622C">
      <w:rPr>
        <w:rFonts w:eastAsia="SimSun" w:cs="Arial"/>
        <w:kern w:val="0"/>
        <w:szCs w:val="20"/>
        <w:lang w:eastAsia="zh-CN"/>
      </w:rPr>
      <w:fldChar w:fldCharType="end"/>
    </w:r>
  </w:p>
  <w:p w:rsidR="009A60DF" w:rsidRPr="00A6622C" w:rsidRDefault="009A60DF" w:rsidP="00A6622C">
    <w:pPr>
      <w:widowControl/>
      <w:jc w:val="right"/>
      <w:rPr>
        <w:rFonts w:eastAsia="SimSun" w:cs="Arial"/>
        <w:kern w:val="0"/>
        <w:szCs w:val="20"/>
        <w:lang w:eastAsia="zh-CN"/>
      </w:rPr>
    </w:pPr>
  </w:p>
  <w:p w:rsidR="009A60DF" w:rsidRDefault="009A6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DF" w:rsidRDefault="009A60DF" w:rsidP="00A02D54">
    <w:pPr>
      <w:pStyle w:val="Header"/>
      <w:jc w:val="right"/>
    </w:pPr>
    <w:r>
      <w:t>CDIP/13/INF/9</w:t>
    </w:r>
  </w:p>
  <w:p w:rsidR="009A60DF" w:rsidRDefault="009A60DF" w:rsidP="00A02D54">
    <w:pPr>
      <w:pStyle w:val="Header"/>
      <w:jc w:val="right"/>
    </w:pPr>
    <w:r>
      <w:t>ANNEX</w:t>
    </w:r>
  </w:p>
  <w:p w:rsidR="009A60DF" w:rsidRDefault="009A6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206E31"/>
    <w:multiLevelType w:val="hybridMultilevel"/>
    <w:tmpl w:val="5110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C1C3E"/>
    <w:multiLevelType w:val="multilevel"/>
    <w:tmpl w:val="5F687620"/>
    <w:lvl w:ilvl="0">
      <w:start w:val="1"/>
      <w:numFmt w:val="decimal"/>
      <w:lvlText w:val="%1."/>
      <w:lvlJc w:val="left"/>
      <w:pPr>
        <w:ind w:left="72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E32780"/>
    <w:multiLevelType w:val="hybridMultilevel"/>
    <w:tmpl w:val="76F8624A"/>
    <w:lvl w:ilvl="0" w:tplc="1CB82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DF610C"/>
    <w:multiLevelType w:val="hybridMultilevel"/>
    <w:tmpl w:val="9716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D5BBA"/>
    <w:multiLevelType w:val="hybridMultilevel"/>
    <w:tmpl w:val="40AED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765EC"/>
    <w:multiLevelType w:val="hybridMultilevel"/>
    <w:tmpl w:val="4290F81E"/>
    <w:lvl w:ilvl="0" w:tplc="A6FCA6E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B724C"/>
    <w:multiLevelType w:val="multilevel"/>
    <w:tmpl w:val="5F687620"/>
    <w:lvl w:ilvl="0">
      <w:start w:val="1"/>
      <w:numFmt w:val="decimal"/>
      <w:lvlText w:val="%1."/>
      <w:lvlJc w:val="left"/>
      <w:pPr>
        <w:ind w:left="72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9">
    <w:nsid w:val="335E5FAA"/>
    <w:multiLevelType w:val="hybridMultilevel"/>
    <w:tmpl w:val="992A6D42"/>
    <w:lvl w:ilvl="0" w:tplc="E80A4F3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46E56"/>
    <w:multiLevelType w:val="hybridMultilevel"/>
    <w:tmpl w:val="470E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8C1AA6"/>
    <w:multiLevelType w:val="hybridMultilevel"/>
    <w:tmpl w:val="322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E304D5"/>
    <w:multiLevelType w:val="hybridMultilevel"/>
    <w:tmpl w:val="DBCCA72C"/>
    <w:lvl w:ilvl="0" w:tplc="0966F61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AB4A4E"/>
    <w:multiLevelType w:val="hybridMultilevel"/>
    <w:tmpl w:val="BED4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11CF6"/>
    <w:multiLevelType w:val="hybridMultilevel"/>
    <w:tmpl w:val="A5C4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CC22F0"/>
    <w:multiLevelType w:val="hybridMultilevel"/>
    <w:tmpl w:val="36A2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4B5131"/>
    <w:multiLevelType w:val="hybridMultilevel"/>
    <w:tmpl w:val="DBCCA72C"/>
    <w:lvl w:ilvl="0" w:tplc="0966F61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37559F"/>
    <w:multiLevelType w:val="multilevel"/>
    <w:tmpl w:val="1E947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176CA9"/>
    <w:multiLevelType w:val="hybridMultilevel"/>
    <w:tmpl w:val="A0AC7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8575B90"/>
    <w:multiLevelType w:val="multilevel"/>
    <w:tmpl w:val="F33CF8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6EDE128D"/>
    <w:multiLevelType w:val="hybridMultilevel"/>
    <w:tmpl w:val="E2825B1E"/>
    <w:lvl w:ilvl="0" w:tplc="04090001">
      <w:start w:val="1"/>
      <w:numFmt w:val="bullet"/>
      <w:lvlText w:val=""/>
      <w:lvlJc w:val="left"/>
      <w:pPr>
        <w:ind w:left="4896" w:hanging="360"/>
      </w:pPr>
      <w:rPr>
        <w:rFonts w:ascii="Symbol" w:hAnsi="Symbol" w:hint="default"/>
      </w:rPr>
    </w:lvl>
    <w:lvl w:ilvl="1" w:tplc="04090003">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24">
    <w:nsid w:val="6FE32BDF"/>
    <w:multiLevelType w:val="hybridMultilevel"/>
    <w:tmpl w:val="7940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22D23"/>
    <w:multiLevelType w:val="hybridMultilevel"/>
    <w:tmpl w:val="F07E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7A6082"/>
    <w:multiLevelType w:val="multilevel"/>
    <w:tmpl w:val="5F687620"/>
    <w:lvl w:ilvl="0">
      <w:start w:val="1"/>
      <w:numFmt w:val="decimal"/>
      <w:lvlText w:val="%1."/>
      <w:lvlJc w:val="left"/>
      <w:pPr>
        <w:ind w:left="72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2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27"/>
  </w:num>
  <w:num w:numId="4">
    <w:abstractNumId w:val="22"/>
  </w:num>
  <w:num w:numId="5">
    <w:abstractNumId w:val="0"/>
  </w:num>
  <w:num w:numId="6">
    <w:abstractNumId w:val="21"/>
  </w:num>
  <w:num w:numId="7">
    <w:abstractNumId w:val="4"/>
  </w:num>
  <w:num w:numId="8">
    <w:abstractNumId w:val="8"/>
  </w:num>
  <w:num w:numId="9">
    <w:abstractNumId w:val="26"/>
  </w:num>
  <w:num w:numId="10">
    <w:abstractNumId w:val="25"/>
  </w:num>
  <w:num w:numId="11">
    <w:abstractNumId w:val="15"/>
  </w:num>
  <w:num w:numId="12">
    <w:abstractNumId w:val="24"/>
  </w:num>
  <w:num w:numId="13">
    <w:abstractNumId w:val="2"/>
  </w:num>
  <w:num w:numId="14">
    <w:abstractNumId w:val="20"/>
  </w:num>
  <w:num w:numId="15">
    <w:abstractNumId w:val="18"/>
  </w:num>
  <w:num w:numId="16">
    <w:abstractNumId w:val="7"/>
  </w:num>
  <w:num w:numId="17">
    <w:abstractNumId w:val="17"/>
  </w:num>
  <w:num w:numId="18">
    <w:abstractNumId w:val="6"/>
  </w:num>
  <w:num w:numId="19">
    <w:abstractNumId w:val="28"/>
  </w:num>
  <w:num w:numId="20">
    <w:abstractNumId w:val="23"/>
  </w:num>
  <w:num w:numId="21">
    <w:abstractNumId w:val="11"/>
  </w:num>
  <w:num w:numId="22">
    <w:abstractNumId w:val="1"/>
  </w:num>
  <w:num w:numId="23">
    <w:abstractNumId w:val="14"/>
  </w:num>
  <w:num w:numId="24">
    <w:abstractNumId w:val="13"/>
  </w:num>
  <w:num w:numId="25">
    <w:abstractNumId w:val="9"/>
  </w:num>
  <w:num w:numId="26">
    <w:abstractNumId w:val="5"/>
  </w:num>
  <w:num w:numId="27">
    <w:abstractNumId w:val="10"/>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26"/>
    <w:rsid w:val="00000078"/>
    <w:rsid w:val="00001A89"/>
    <w:rsid w:val="00002655"/>
    <w:rsid w:val="00002F40"/>
    <w:rsid w:val="000128E2"/>
    <w:rsid w:val="0001369E"/>
    <w:rsid w:val="0001520D"/>
    <w:rsid w:val="00016862"/>
    <w:rsid w:val="00020109"/>
    <w:rsid w:val="00027AB7"/>
    <w:rsid w:val="00030A18"/>
    <w:rsid w:val="000335C9"/>
    <w:rsid w:val="0003392B"/>
    <w:rsid w:val="00036264"/>
    <w:rsid w:val="00040A54"/>
    <w:rsid w:val="00046B6E"/>
    <w:rsid w:val="0005212D"/>
    <w:rsid w:val="000556EB"/>
    <w:rsid w:val="00057656"/>
    <w:rsid w:val="00061285"/>
    <w:rsid w:val="00062BF5"/>
    <w:rsid w:val="00071126"/>
    <w:rsid w:val="00073631"/>
    <w:rsid w:val="00082530"/>
    <w:rsid w:val="00083957"/>
    <w:rsid w:val="000871F1"/>
    <w:rsid w:val="00091521"/>
    <w:rsid w:val="00094B45"/>
    <w:rsid w:val="000975A6"/>
    <w:rsid w:val="00097C38"/>
    <w:rsid w:val="000A326E"/>
    <w:rsid w:val="000A426E"/>
    <w:rsid w:val="000B6971"/>
    <w:rsid w:val="000B6C48"/>
    <w:rsid w:val="000B7F7B"/>
    <w:rsid w:val="000C3B55"/>
    <w:rsid w:val="000D07A6"/>
    <w:rsid w:val="000D6899"/>
    <w:rsid w:val="000E071A"/>
    <w:rsid w:val="000E1A3C"/>
    <w:rsid w:val="000E559A"/>
    <w:rsid w:val="000E5ADE"/>
    <w:rsid w:val="000E6AE1"/>
    <w:rsid w:val="000E728E"/>
    <w:rsid w:val="000E79AB"/>
    <w:rsid w:val="000F5E56"/>
    <w:rsid w:val="001027F3"/>
    <w:rsid w:val="001047FE"/>
    <w:rsid w:val="0010499D"/>
    <w:rsid w:val="00111D89"/>
    <w:rsid w:val="00117379"/>
    <w:rsid w:val="0012141C"/>
    <w:rsid w:val="0012215A"/>
    <w:rsid w:val="00122CCA"/>
    <w:rsid w:val="00125B78"/>
    <w:rsid w:val="0013194F"/>
    <w:rsid w:val="001319D4"/>
    <w:rsid w:val="001348B7"/>
    <w:rsid w:val="001420C4"/>
    <w:rsid w:val="00142E19"/>
    <w:rsid w:val="00144E0B"/>
    <w:rsid w:val="001463AD"/>
    <w:rsid w:val="001479D1"/>
    <w:rsid w:val="00150EA4"/>
    <w:rsid w:val="00153482"/>
    <w:rsid w:val="001538EA"/>
    <w:rsid w:val="00154C1B"/>
    <w:rsid w:val="00154D28"/>
    <w:rsid w:val="00156B79"/>
    <w:rsid w:val="00160A03"/>
    <w:rsid w:val="00161A28"/>
    <w:rsid w:val="00161A92"/>
    <w:rsid w:val="001627BA"/>
    <w:rsid w:val="00166A26"/>
    <w:rsid w:val="00170BFD"/>
    <w:rsid w:val="001753C9"/>
    <w:rsid w:val="00176871"/>
    <w:rsid w:val="001836DF"/>
    <w:rsid w:val="00185F71"/>
    <w:rsid w:val="00186FAC"/>
    <w:rsid w:val="0018724E"/>
    <w:rsid w:val="00190201"/>
    <w:rsid w:val="001910D5"/>
    <w:rsid w:val="001A042A"/>
    <w:rsid w:val="001A11BE"/>
    <w:rsid w:val="001A4A68"/>
    <w:rsid w:val="001A57F0"/>
    <w:rsid w:val="001C14B4"/>
    <w:rsid w:val="001C1C30"/>
    <w:rsid w:val="001C71B8"/>
    <w:rsid w:val="001D07E0"/>
    <w:rsid w:val="001D1A51"/>
    <w:rsid w:val="001D2543"/>
    <w:rsid w:val="001D3D1C"/>
    <w:rsid w:val="001D5F70"/>
    <w:rsid w:val="001E60D5"/>
    <w:rsid w:val="001F1D13"/>
    <w:rsid w:val="001F3142"/>
    <w:rsid w:val="001F593C"/>
    <w:rsid w:val="001F6610"/>
    <w:rsid w:val="00200E93"/>
    <w:rsid w:val="00203645"/>
    <w:rsid w:val="00204F87"/>
    <w:rsid w:val="00206135"/>
    <w:rsid w:val="0020741C"/>
    <w:rsid w:val="00211DA8"/>
    <w:rsid w:val="00212C47"/>
    <w:rsid w:val="00212D29"/>
    <w:rsid w:val="00212E2E"/>
    <w:rsid w:val="00214BAB"/>
    <w:rsid w:val="0022105C"/>
    <w:rsid w:val="00223E19"/>
    <w:rsid w:val="002314C1"/>
    <w:rsid w:val="00231B0F"/>
    <w:rsid w:val="00231CF9"/>
    <w:rsid w:val="00232130"/>
    <w:rsid w:val="00232470"/>
    <w:rsid w:val="00234E6E"/>
    <w:rsid w:val="00236012"/>
    <w:rsid w:val="002444E8"/>
    <w:rsid w:val="00247600"/>
    <w:rsid w:val="00251C22"/>
    <w:rsid w:val="00251E9C"/>
    <w:rsid w:val="00255781"/>
    <w:rsid w:val="0025762A"/>
    <w:rsid w:val="002602F5"/>
    <w:rsid w:val="0026047C"/>
    <w:rsid w:val="002665D7"/>
    <w:rsid w:val="002667A6"/>
    <w:rsid w:val="002723F8"/>
    <w:rsid w:val="00272FF6"/>
    <w:rsid w:val="00273709"/>
    <w:rsid w:val="00275C40"/>
    <w:rsid w:val="00283130"/>
    <w:rsid w:val="00285832"/>
    <w:rsid w:val="00285963"/>
    <w:rsid w:val="00286E31"/>
    <w:rsid w:val="00290505"/>
    <w:rsid w:val="00290DDB"/>
    <w:rsid w:val="0029589D"/>
    <w:rsid w:val="002A0FB9"/>
    <w:rsid w:val="002A135D"/>
    <w:rsid w:val="002A2FEF"/>
    <w:rsid w:val="002A73F8"/>
    <w:rsid w:val="002B1A25"/>
    <w:rsid w:val="002B1B55"/>
    <w:rsid w:val="002B3426"/>
    <w:rsid w:val="002B4095"/>
    <w:rsid w:val="002B598A"/>
    <w:rsid w:val="002B786D"/>
    <w:rsid w:val="002C0113"/>
    <w:rsid w:val="002D0EE2"/>
    <w:rsid w:val="002D1607"/>
    <w:rsid w:val="002D4E49"/>
    <w:rsid w:val="002D7408"/>
    <w:rsid w:val="002D7DC2"/>
    <w:rsid w:val="002E1D57"/>
    <w:rsid w:val="002E41E8"/>
    <w:rsid w:val="002E6BA5"/>
    <w:rsid w:val="002F2230"/>
    <w:rsid w:val="002F4149"/>
    <w:rsid w:val="002F6854"/>
    <w:rsid w:val="00304263"/>
    <w:rsid w:val="003050B5"/>
    <w:rsid w:val="003131F0"/>
    <w:rsid w:val="003149C6"/>
    <w:rsid w:val="00314F13"/>
    <w:rsid w:val="00315A8E"/>
    <w:rsid w:val="00317A12"/>
    <w:rsid w:val="00317AD0"/>
    <w:rsid w:val="00320710"/>
    <w:rsid w:val="00322D5E"/>
    <w:rsid w:val="003241F6"/>
    <w:rsid w:val="003276FB"/>
    <w:rsid w:val="00327B98"/>
    <w:rsid w:val="00331CC0"/>
    <w:rsid w:val="00334E90"/>
    <w:rsid w:val="00341919"/>
    <w:rsid w:val="003444D0"/>
    <w:rsid w:val="00350E6F"/>
    <w:rsid w:val="00350EAF"/>
    <w:rsid w:val="00362E77"/>
    <w:rsid w:val="003630DB"/>
    <w:rsid w:val="0037252B"/>
    <w:rsid w:val="003752D3"/>
    <w:rsid w:val="0037589B"/>
    <w:rsid w:val="0038371B"/>
    <w:rsid w:val="00384DDB"/>
    <w:rsid w:val="003873EE"/>
    <w:rsid w:val="0039059A"/>
    <w:rsid w:val="00391B87"/>
    <w:rsid w:val="00392053"/>
    <w:rsid w:val="00393644"/>
    <w:rsid w:val="00396347"/>
    <w:rsid w:val="003A5359"/>
    <w:rsid w:val="003A7F32"/>
    <w:rsid w:val="003B64F7"/>
    <w:rsid w:val="003C0033"/>
    <w:rsid w:val="003C22E7"/>
    <w:rsid w:val="003C2EDB"/>
    <w:rsid w:val="003C43E8"/>
    <w:rsid w:val="003C4821"/>
    <w:rsid w:val="003C48A9"/>
    <w:rsid w:val="003D3720"/>
    <w:rsid w:val="003E1645"/>
    <w:rsid w:val="003E4084"/>
    <w:rsid w:val="003E663E"/>
    <w:rsid w:val="003F122B"/>
    <w:rsid w:val="003F149D"/>
    <w:rsid w:val="003F3172"/>
    <w:rsid w:val="00400A1D"/>
    <w:rsid w:val="0040104B"/>
    <w:rsid w:val="00412939"/>
    <w:rsid w:val="00413975"/>
    <w:rsid w:val="004151B1"/>
    <w:rsid w:val="0041619A"/>
    <w:rsid w:val="00421F29"/>
    <w:rsid w:val="0042203E"/>
    <w:rsid w:val="004259E0"/>
    <w:rsid w:val="004275C3"/>
    <w:rsid w:val="004304E2"/>
    <w:rsid w:val="00431118"/>
    <w:rsid w:val="00435EEC"/>
    <w:rsid w:val="00442265"/>
    <w:rsid w:val="004551A0"/>
    <w:rsid w:val="004608DA"/>
    <w:rsid w:val="00461799"/>
    <w:rsid w:val="00462D70"/>
    <w:rsid w:val="00464D1A"/>
    <w:rsid w:val="00464E1E"/>
    <w:rsid w:val="00477BF3"/>
    <w:rsid w:val="00482987"/>
    <w:rsid w:val="00484736"/>
    <w:rsid w:val="004865BA"/>
    <w:rsid w:val="00487518"/>
    <w:rsid w:val="00494822"/>
    <w:rsid w:val="004A1564"/>
    <w:rsid w:val="004A1D29"/>
    <w:rsid w:val="004A5C15"/>
    <w:rsid w:val="004A7CBE"/>
    <w:rsid w:val="004B0450"/>
    <w:rsid w:val="004B3F77"/>
    <w:rsid w:val="004B4280"/>
    <w:rsid w:val="004C2A54"/>
    <w:rsid w:val="004C7260"/>
    <w:rsid w:val="004E1BAD"/>
    <w:rsid w:val="004E40AC"/>
    <w:rsid w:val="004E480D"/>
    <w:rsid w:val="004E506D"/>
    <w:rsid w:val="004E6E0F"/>
    <w:rsid w:val="004F2DB9"/>
    <w:rsid w:val="004F305C"/>
    <w:rsid w:val="004F5A85"/>
    <w:rsid w:val="004F7F01"/>
    <w:rsid w:val="00500D58"/>
    <w:rsid w:val="00512FE0"/>
    <w:rsid w:val="005140A9"/>
    <w:rsid w:val="005176DE"/>
    <w:rsid w:val="005177A6"/>
    <w:rsid w:val="00521F2C"/>
    <w:rsid w:val="00523A51"/>
    <w:rsid w:val="005242E8"/>
    <w:rsid w:val="005248E4"/>
    <w:rsid w:val="005326D0"/>
    <w:rsid w:val="00533DE9"/>
    <w:rsid w:val="005340F0"/>
    <w:rsid w:val="00535E9C"/>
    <w:rsid w:val="00536EA0"/>
    <w:rsid w:val="00540011"/>
    <w:rsid w:val="00541BEC"/>
    <w:rsid w:val="005420FB"/>
    <w:rsid w:val="00543C5B"/>
    <w:rsid w:val="00544066"/>
    <w:rsid w:val="00544785"/>
    <w:rsid w:val="00545CCB"/>
    <w:rsid w:val="005464B8"/>
    <w:rsid w:val="005529C1"/>
    <w:rsid w:val="005643E5"/>
    <w:rsid w:val="00565DF3"/>
    <w:rsid w:val="00571ECD"/>
    <w:rsid w:val="00572DDE"/>
    <w:rsid w:val="00574850"/>
    <w:rsid w:val="00576AFF"/>
    <w:rsid w:val="00581707"/>
    <w:rsid w:val="00587F03"/>
    <w:rsid w:val="00587F1F"/>
    <w:rsid w:val="005918E6"/>
    <w:rsid w:val="00592B51"/>
    <w:rsid w:val="005A0ADD"/>
    <w:rsid w:val="005A35D7"/>
    <w:rsid w:val="005A7F2B"/>
    <w:rsid w:val="005B3836"/>
    <w:rsid w:val="005B459D"/>
    <w:rsid w:val="005B47B4"/>
    <w:rsid w:val="005B558F"/>
    <w:rsid w:val="005B69AD"/>
    <w:rsid w:val="005C0BA5"/>
    <w:rsid w:val="005C58A6"/>
    <w:rsid w:val="005C6667"/>
    <w:rsid w:val="005D1788"/>
    <w:rsid w:val="005D67C0"/>
    <w:rsid w:val="005D6C78"/>
    <w:rsid w:val="005D7404"/>
    <w:rsid w:val="005E1A5C"/>
    <w:rsid w:val="005E664C"/>
    <w:rsid w:val="005E71A4"/>
    <w:rsid w:val="005F297F"/>
    <w:rsid w:val="005F6CDB"/>
    <w:rsid w:val="00600F3B"/>
    <w:rsid w:val="0061159F"/>
    <w:rsid w:val="00611E7A"/>
    <w:rsid w:val="00612691"/>
    <w:rsid w:val="00624C6C"/>
    <w:rsid w:val="00626B3D"/>
    <w:rsid w:val="00631138"/>
    <w:rsid w:val="00632F69"/>
    <w:rsid w:val="0064179D"/>
    <w:rsid w:val="00644350"/>
    <w:rsid w:val="006460CE"/>
    <w:rsid w:val="00647662"/>
    <w:rsid w:val="0065059A"/>
    <w:rsid w:val="00651BC9"/>
    <w:rsid w:val="00653FDA"/>
    <w:rsid w:val="00655EC7"/>
    <w:rsid w:val="006575E7"/>
    <w:rsid w:val="00662005"/>
    <w:rsid w:val="00670596"/>
    <w:rsid w:val="0067243F"/>
    <w:rsid w:val="0067791F"/>
    <w:rsid w:val="00680077"/>
    <w:rsid w:val="006865B2"/>
    <w:rsid w:val="00686ACD"/>
    <w:rsid w:val="006904D6"/>
    <w:rsid w:val="00695263"/>
    <w:rsid w:val="00696F0A"/>
    <w:rsid w:val="006A486E"/>
    <w:rsid w:val="006B185A"/>
    <w:rsid w:val="006B18E2"/>
    <w:rsid w:val="006B1F41"/>
    <w:rsid w:val="006B3CF7"/>
    <w:rsid w:val="006B6A96"/>
    <w:rsid w:val="006C1C5F"/>
    <w:rsid w:val="006D1C4B"/>
    <w:rsid w:val="006D3F29"/>
    <w:rsid w:val="006D5ADD"/>
    <w:rsid w:val="006E0653"/>
    <w:rsid w:val="006E1800"/>
    <w:rsid w:val="006E4E78"/>
    <w:rsid w:val="006E5F3E"/>
    <w:rsid w:val="006E7350"/>
    <w:rsid w:val="006E779D"/>
    <w:rsid w:val="006F0966"/>
    <w:rsid w:val="006F3909"/>
    <w:rsid w:val="006F4928"/>
    <w:rsid w:val="006F791D"/>
    <w:rsid w:val="00702862"/>
    <w:rsid w:val="0070554F"/>
    <w:rsid w:val="007058D4"/>
    <w:rsid w:val="00707947"/>
    <w:rsid w:val="00710D3C"/>
    <w:rsid w:val="007125B4"/>
    <w:rsid w:val="00713A27"/>
    <w:rsid w:val="00716AA3"/>
    <w:rsid w:val="00720773"/>
    <w:rsid w:val="00720E34"/>
    <w:rsid w:val="00740257"/>
    <w:rsid w:val="007429D2"/>
    <w:rsid w:val="007434D4"/>
    <w:rsid w:val="00754DC4"/>
    <w:rsid w:val="00755A18"/>
    <w:rsid w:val="00760A59"/>
    <w:rsid w:val="0076375B"/>
    <w:rsid w:val="00763F35"/>
    <w:rsid w:val="007645B0"/>
    <w:rsid w:val="00772A6A"/>
    <w:rsid w:val="00777898"/>
    <w:rsid w:val="00781AFE"/>
    <w:rsid w:val="00783492"/>
    <w:rsid w:val="00784652"/>
    <w:rsid w:val="00785641"/>
    <w:rsid w:val="007A382D"/>
    <w:rsid w:val="007A4996"/>
    <w:rsid w:val="007A6013"/>
    <w:rsid w:val="007A6F84"/>
    <w:rsid w:val="007B09AA"/>
    <w:rsid w:val="007B240C"/>
    <w:rsid w:val="007B6B08"/>
    <w:rsid w:val="007C2702"/>
    <w:rsid w:val="007C6C4C"/>
    <w:rsid w:val="007D19AC"/>
    <w:rsid w:val="007D2ED6"/>
    <w:rsid w:val="007D3EB5"/>
    <w:rsid w:val="007D4711"/>
    <w:rsid w:val="007D53C7"/>
    <w:rsid w:val="007E4145"/>
    <w:rsid w:val="007F37DF"/>
    <w:rsid w:val="0080403E"/>
    <w:rsid w:val="00804DB7"/>
    <w:rsid w:val="00807A70"/>
    <w:rsid w:val="008111E6"/>
    <w:rsid w:val="00813017"/>
    <w:rsid w:val="00814B2D"/>
    <w:rsid w:val="00816005"/>
    <w:rsid w:val="00817308"/>
    <w:rsid w:val="00820519"/>
    <w:rsid w:val="008210C8"/>
    <w:rsid w:val="00825076"/>
    <w:rsid w:val="00827807"/>
    <w:rsid w:val="00835075"/>
    <w:rsid w:val="0083546E"/>
    <w:rsid w:val="00836189"/>
    <w:rsid w:val="0084104E"/>
    <w:rsid w:val="0084261E"/>
    <w:rsid w:val="008432AF"/>
    <w:rsid w:val="00846BCA"/>
    <w:rsid w:val="00850D52"/>
    <w:rsid w:val="008546FB"/>
    <w:rsid w:val="00857471"/>
    <w:rsid w:val="00861544"/>
    <w:rsid w:val="00862AEE"/>
    <w:rsid w:val="0086478E"/>
    <w:rsid w:val="00865253"/>
    <w:rsid w:val="00870AB4"/>
    <w:rsid w:val="00872EC7"/>
    <w:rsid w:val="0087396A"/>
    <w:rsid w:val="008749F6"/>
    <w:rsid w:val="00874BBE"/>
    <w:rsid w:val="00875CE8"/>
    <w:rsid w:val="008771EE"/>
    <w:rsid w:val="00877698"/>
    <w:rsid w:val="00877F94"/>
    <w:rsid w:val="00880F4C"/>
    <w:rsid w:val="00895D8C"/>
    <w:rsid w:val="008A0D65"/>
    <w:rsid w:val="008A24C7"/>
    <w:rsid w:val="008A65E8"/>
    <w:rsid w:val="008A762F"/>
    <w:rsid w:val="008B2277"/>
    <w:rsid w:val="008B22DE"/>
    <w:rsid w:val="008B300C"/>
    <w:rsid w:val="008B5609"/>
    <w:rsid w:val="008C032F"/>
    <w:rsid w:val="008C3A0B"/>
    <w:rsid w:val="008C466E"/>
    <w:rsid w:val="008D2C34"/>
    <w:rsid w:val="008D58D2"/>
    <w:rsid w:val="008E3366"/>
    <w:rsid w:val="008E4446"/>
    <w:rsid w:val="008E537C"/>
    <w:rsid w:val="008E5A7D"/>
    <w:rsid w:val="008F4AA9"/>
    <w:rsid w:val="008F6BE1"/>
    <w:rsid w:val="008F7F89"/>
    <w:rsid w:val="0090045E"/>
    <w:rsid w:val="00900464"/>
    <w:rsid w:val="00900F5C"/>
    <w:rsid w:val="00901169"/>
    <w:rsid w:val="00906F9C"/>
    <w:rsid w:val="00907F0C"/>
    <w:rsid w:val="009135AF"/>
    <w:rsid w:val="0091674A"/>
    <w:rsid w:val="009168A1"/>
    <w:rsid w:val="00920F67"/>
    <w:rsid w:val="00922126"/>
    <w:rsid w:val="00931F0E"/>
    <w:rsid w:val="00932853"/>
    <w:rsid w:val="00941497"/>
    <w:rsid w:val="00942D11"/>
    <w:rsid w:val="00944247"/>
    <w:rsid w:val="00946530"/>
    <w:rsid w:val="009526BB"/>
    <w:rsid w:val="00955036"/>
    <w:rsid w:val="009575A2"/>
    <w:rsid w:val="0095767C"/>
    <w:rsid w:val="00961864"/>
    <w:rsid w:val="00962CF3"/>
    <w:rsid w:val="00966818"/>
    <w:rsid w:val="00967296"/>
    <w:rsid w:val="00971DD8"/>
    <w:rsid w:val="0097264B"/>
    <w:rsid w:val="009744D6"/>
    <w:rsid w:val="00976121"/>
    <w:rsid w:val="00981E28"/>
    <w:rsid w:val="00987704"/>
    <w:rsid w:val="00987C7F"/>
    <w:rsid w:val="009905F0"/>
    <w:rsid w:val="00992519"/>
    <w:rsid w:val="009A4E9C"/>
    <w:rsid w:val="009A51C0"/>
    <w:rsid w:val="009A57D2"/>
    <w:rsid w:val="009A60DF"/>
    <w:rsid w:val="009A7109"/>
    <w:rsid w:val="009B152B"/>
    <w:rsid w:val="009B4952"/>
    <w:rsid w:val="009B4A32"/>
    <w:rsid w:val="009B6588"/>
    <w:rsid w:val="009C1B5F"/>
    <w:rsid w:val="009D0302"/>
    <w:rsid w:val="009D5C13"/>
    <w:rsid w:val="009E026E"/>
    <w:rsid w:val="009E1ED2"/>
    <w:rsid w:val="009E2598"/>
    <w:rsid w:val="009E3630"/>
    <w:rsid w:val="009E4D75"/>
    <w:rsid w:val="009E5034"/>
    <w:rsid w:val="009E6A00"/>
    <w:rsid w:val="009E78A7"/>
    <w:rsid w:val="00A0114C"/>
    <w:rsid w:val="00A02906"/>
    <w:rsid w:val="00A02D54"/>
    <w:rsid w:val="00A07B00"/>
    <w:rsid w:val="00A12778"/>
    <w:rsid w:val="00A1330F"/>
    <w:rsid w:val="00A13951"/>
    <w:rsid w:val="00A13A5D"/>
    <w:rsid w:val="00A15FEE"/>
    <w:rsid w:val="00A17588"/>
    <w:rsid w:val="00A21FDA"/>
    <w:rsid w:val="00A24B3C"/>
    <w:rsid w:val="00A250A4"/>
    <w:rsid w:val="00A26BBE"/>
    <w:rsid w:val="00A30E55"/>
    <w:rsid w:val="00A35C44"/>
    <w:rsid w:val="00A37379"/>
    <w:rsid w:val="00A373B2"/>
    <w:rsid w:val="00A37E14"/>
    <w:rsid w:val="00A403F0"/>
    <w:rsid w:val="00A43478"/>
    <w:rsid w:val="00A43B19"/>
    <w:rsid w:val="00A43D78"/>
    <w:rsid w:val="00A44921"/>
    <w:rsid w:val="00A52323"/>
    <w:rsid w:val="00A53E85"/>
    <w:rsid w:val="00A55EE7"/>
    <w:rsid w:val="00A57802"/>
    <w:rsid w:val="00A61A1E"/>
    <w:rsid w:val="00A623E7"/>
    <w:rsid w:val="00A63B2A"/>
    <w:rsid w:val="00A6622C"/>
    <w:rsid w:val="00A66DC1"/>
    <w:rsid w:val="00A70486"/>
    <w:rsid w:val="00A77B14"/>
    <w:rsid w:val="00A81A10"/>
    <w:rsid w:val="00A82F94"/>
    <w:rsid w:val="00A87A46"/>
    <w:rsid w:val="00A87A8D"/>
    <w:rsid w:val="00A921DA"/>
    <w:rsid w:val="00A93206"/>
    <w:rsid w:val="00AA070E"/>
    <w:rsid w:val="00AA1DFC"/>
    <w:rsid w:val="00AA1E26"/>
    <w:rsid w:val="00AA402A"/>
    <w:rsid w:val="00AA5E4E"/>
    <w:rsid w:val="00AA667A"/>
    <w:rsid w:val="00AB26AD"/>
    <w:rsid w:val="00AB524E"/>
    <w:rsid w:val="00AB5DF6"/>
    <w:rsid w:val="00AC3F4F"/>
    <w:rsid w:val="00AC566A"/>
    <w:rsid w:val="00AC7E63"/>
    <w:rsid w:val="00AD145C"/>
    <w:rsid w:val="00AD2A79"/>
    <w:rsid w:val="00AD30E0"/>
    <w:rsid w:val="00AD4F6F"/>
    <w:rsid w:val="00AD5470"/>
    <w:rsid w:val="00AD72A9"/>
    <w:rsid w:val="00AE26B3"/>
    <w:rsid w:val="00AE3684"/>
    <w:rsid w:val="00AE54D8"/>
    <w:rsid w:val="00B054AE"/>
    <w:rsid w:val="00B07872"/>
    <w:rsid w:val="00B128F4"/>
    <w:rsid w:val="00B1342A"/>
    <w:rsid w:val="00B138CB"/>
    <w:rsid w:val="00B15F06"/>
    <w:rsid w:val="00B22D38"/>
    <w:rsid w:val="00B23001"/>
    <w:rsid w:val="00B23842"/>
    <w:rsid w:val="00B25D97"/>
    <w:rsid w:val="00B46819"/>
    <w:rsid w:val="00B54D31"/>
    <w:rsid w:val="00B60056"/>
    <w:rsid w:val="00B62C2E"/>
    <w:rsid w:val="00B63064"/>
    <w:rsid w:val="00B6328E"/>
    <w:rsid w:val="00B67BF5"/>
    <w:rsid w:val="00B70B35"/>
    <w:rsid w:val="00B7217B"/>
    <w:rsid w:val="00B72CED"/>
    <w:rsid w:val="00B74580"/>
    <w:rsid w:val="00B77432"/>
    <w:rsid w:val="00B846AB"/>
    <w:rsid w:val="00B92B20"/>
    <w:rsid w:val="00B959E8"/>
    <w:rsid w:val="00BA01CA"/>
    <w:rsid w:val="00BA1604"/>
    <w:rsid w:val="00BA23F6"/>
    <w:rsid w:val="00BA626C"/>
    <w:rsid w:val="00BA7DF4"/>
    <w:rsid w:val="00BB2B29"/>
    <w:rsid w:val="00BB39F6"/>
    <w:rsid w:val="00BB7015"/>
    <w:rsid w:val="00BC34B1"/>
    <w:rsid w:val="00BC3F96"/>
    <w:rsid w:val="00BC55EC"/>
    <w:rsid w:val="00BD311B"/>
    <w:rsid w:val="00BD411F"/>
    <w:rsid w:val="00BD62AC"/>
    <w:rsid w:val="00BD6655"/>
    <w:rsid w:val="00BE048B"/>
    <w:rsid w:val="00BE04FF"/>
    <w:rsid w:val="00BE206F"/>
    <w:rsid w:val="00BE2179"/>
    <w:rsid w:val="00BE2D66"/>
    <w:rsid w:val="00BE3FEC"/>
    <w:rsid w:val="00BF1959"/>
    <w:rsid w:val="00BF6CCB"/>
    <w:rsid w:val="00C0354C"/>
    <w:rsid w:val="00C04FD2"/>
    <w:rsid w:val="00C129E2"/>
    <w:rsid w:val="00C1613C"/>
    <w:rsid w:val="00C2674D"/>
    <w:rsid w:val="00C26B02"/>
    <w:rsid w:val="00C36603"/>
    <w:rsid w:val="00C41D1E"/>
    <w:rsid w:val="00C529D0"/>
    <w:rsid w:val="00C554EC"/>
    <w:rsid w:val="00C55811"/>
    <w:rsid w:val="00C55DD9"/>
    <w:rsid w:val="00C61C78"/>
    <w:rsid w:val="00C62D7F"/>
    <w:rsid w:val="00C63E62"/>
    <w:rsid w:val="00C737BD"/>
    <w:rsid w:val="00C76202"/>
    <w:rsid w:val="00C82E2D"/>
    <w:rsid w:val="00C839BE"/>
    <w:rsid w:val="00C848A5"/>
    <w:rsid w:val="00C870CB"/>
    <w:rsid w:val="00C96862"/>
    <w:rsid w:val="00C97B58"/>
    <w:rsid w:val="00CA0A7B"/>
    <w:rsid w:val="00CA0AEA"/>
    <w:rsid w:val="00CA27E1"/>
    <w:rsid w:val="00CA40D4"/>
    <w:rsid w:val="00CA4E55"/>
    <w:rsid w:val="00CA566A"/>
    <w:rsid w:val="00CA5BC1"/>
    <w:rsid w:val="00CB069F"/>
    <w:rsid w:val="00CB2218"/>
    <w:rsid w:val="00CC1087"/>
    <w:rsid w:val="00CC2C71"/>
    <w:rsid w:val="00CC4230"/>
    <w:rsid w:val="00CC460D"/>
    <w:rsid w:val="00CC4788"/>
    <w:rsid w:val="00CC7111"/>
    <w:rsid w:val="00CD0CAD"/>
    <w:rsid w:val="00CD42A3"/>
    <w:rsid w:val="00CD6B51"/>
    <w:rsid w:val="00CE03AF"/>
    <w:rsid w:val="00CE3639"/>
    <w:rsid w:val="00CF1FA5"/>
    <w:rsid w:val="00CF6CA1"/>
    <w:rsid w:val="00D03131"/>
    <w:rsid w:val="00D04F39"/>
    <w:rsid w:val="00D051BD"/>
    <w:rsid w:val="00D06C32"/>
    <w:rsid w:val="00D07356"/>
    <w:rsid w:val="00D119C1"/>
    <w:rsid w:val="00D1218B"/>
    <w:rsid w:val="00D1245A"/>
    <w:rsid w:val="00D153E5"/>
    <w:rsid w:val="00D16D38"/>
    <w:rsid w:val="00D1703F"/>
    <w:rsid w:val="00D1777D"/>
    <w:rsid w:val="00D258DE"/>
    <w:rsid w:val="00D30C52"/>
    <w:rsid w:val="00D34B19"/>
    <w:rsid w:val="00D37EB3"/>
    <w:rsid w:val="00D43F38"/>
    <w:rsid w:val="00D46828"/>
    <w:rsid w:val="00D478A5"/>
    <w:rsid w:val="00D47CB2"/>
    <w:rsid w:val="00D47E9A"/>
    <w:rsid w:val="00D506C0"/>
    <w:rsid w:val="00D530DC"/>
    <w:rsid w:val="00D54D5D"/>
    <w:rsid w:val="00D5551F"/>
    <w:rsid w:val="00D566FC"/>
    <w:rsid w:val="00D64CEA"/>
    <w:rsid w:val="00D64E98"/>
    <w:rsid w:val="00D71C41"/>
    <w:rsid w:val="00D72794"/>
    <w:rsid w:val="00D737FB"/>
    <w:rsid w:val="00D74D74"/>
    <w:rsid w:val="00D75C8A"/>
    <w:rsid w:val="00D75CCE"/>
    <w:rsid w:val="00D77740"/>
    <w:rsid w:val="00D8468D"/>
    <w:rsid w:val="00D85852"/>
    <w:rsid w:val="00D948D5"/>
    <w:rsid w:val="00D9633E"/>
    <w:rsid w:val="00DA54A0"/>
    <w:rsid w:val="00DA5C80"/>
    <w:rsid w:val="00DB14EC"/>
    <w:rsid w:val="00DB1610"/>
    <w:rsid w:val="00DB24DB"/>
    <w:rsid w:val="00DB29DB"/>
    <w:rsid w:val="00DB2ACB"/>
    <w:rsid w:val="00DB3379"/>
    <w:rsid w:val="00DB56E4"/>
    <w:rsid w:val="00DB6418"/>
    <w:rsid w:val="00DB6C04"/>
    <w:rsid w:val="00DC215B"/>
    <w:rsid w:val="00DD05E1"/>
    <w:rsid w:val="00DD0EF0"/>
    <w:rsid w:val="00DD3FB0"/>
    <w:rsid w:val="00DD4C7D"/>
    <w:rsid w:val="00DD52EE"/>
    <w:rsid w:val="00DD6335"/>
    <w:rsid w:val="00DE3ECB"/>
    <w:rsid w:val="00DE7FFA"/>
    <w:rsid w:val="00DF4815"/>
    <w:rsid w:val="00DF65EF"/>
    <w:rsid w:val="00E00C11"/>
    <w:rsid w:val="00E0733D"/>
    <w:rsid w:val="00E10D63"/>
    <w:rsid w:val="00E12FF3"/>
    <w:rsid w:val="00E135D7"/>
    <w:rsid w:val="00E14815"/>
    <w:rsid w:val="00E21B2D"/>
    <w:rsid w:val="00E25AE1"/>
    <w:rsid w:val="00E30834"/>
    <w:rsid w:val="00E33B93"/>
    <w:rsid w:val="00E34BF6"/>
    <w:rsid w:val="00E37F51"/>
    <w:rsid w:val="00E40A91"/>
    <w:rsid w:val="00E42448"/>
    <w:rsid w:val="00E44ECD"/>
    <w:rsid w:val="00E5178D"/>
    <w:rsid w:val="00E5282B"/>
    <w:rsid w:val="00E52943"/>
    <w:rsid w:val="00E5444C"/>
    <w:rsid w:val="00E5530B"/>
    <w:rsid w:val="00E62DB0"/>
    <w:rsid w:val="00E669F4"/>
    <w:rsid w:val="00E67A35"/>
    <w:rsid w:val="00E74508"/>
    <w:rsid w:val="00E773E7"/>
    <w:rsid w:val="00E81198"/>
    <w:rsid w:val="00E81B20"/>
    <w:rsid w:val="00E84C95"/>
    <w:rsid w:val="00E84C9D"/>
    <w:rsid w:val="00E852D5"/>
    <w:rsid w:val="00E86E4D"/>
    <w:rsid w:val="00E86EA4"/>
    <w:rsid w:val="00E90E2D"/>
    <w:rsid w:val="00E92520"/>
    <w:rsid w:val="00EA16D8"/>
    <w:rsid w:val="00EA1861"/>
    <w:rsid w:val="00EA1CE2"/>
    <w:rsid w:val="00EA4AD5"/>
    <w:rsid w:val="00EA789A"/>
    <w:rsid w:val="00EA7D3B"/>
    <w:rsid w:val="00EB011F"/>
    <w:rsid w:val="00EB1F37"/>
    <w:rsid w:val="00EB2C6E"/>
    <w:rsid w:val="00EB5052"/>
    <w:rsid w:val="00EB59CE"/>
    <w:rsid w:val="00EC1ACF"/>
    <w:rsid w:val="00EC276F"/>
    <w:rsid w:val="00EC4D92"/>
    <w:rsid w:val="00ED4881"/>
    <w:rsid w:val="00ED5179"/>
    <w:rsid w:val="00EE30EE"/>
    <w:rsid w:val="00EE6ADF"/>
    <w:rsid w:val="00EF00CD"/>
    <w:rsid w:val="00EF427F"/>
    <w:rsid w:val="00EF449D"/>
    <w:rsid w:val="00EF5C79"/>
    <w:rsid w:val="00EF6B26"/>
    <w:rsid w:val="00EF6DF8"/>
    <w:rsid w:val="00F01F5F"/>
    <w:rsid w:val="00F04497"/>
    <w:rsid w:val="00F0552E"/>
    <w:rsid w:val="00F117F1"/>
    <w:rsid w:val="00F16E68"/>
    <w:rsid w:val="00F319CB"/>
    <w:rsid w:val="00F32AEE"/>
    <w:rsid w:val="00F32BE1"/>
    <w:rsid w:val="00F34BA2"/>
    <w:rsid w:val="00F35845"/>
    <w:rsid w:val="00F43FF6"/>
    <w:rsid w:val="00F447D8"/>
    <w:rsid w:val="00F526BE"/>
    <w:rsid w:val="00F5431F"/>
    <w:rsid w:val="00F55049"/>
    <w:rsid w:val="00F57B41"/>
    <w:rsid w:val="00F665B6"/>
    <w:rsid w:val="00F66F43"/>
    <w:rsid w:val="00F70204"/>
    <w:rsid w:val="00F71CE2"/>
    <w:rsid w:val="00F75D11"/>
    <w:rsid w:val="00F8187B"/>
    <w:rsid w:val="00F81FB1"/>
    <w:rsid w:val="00F8446E"/>
    <w:rsid w:val="00F86786"/>
    <w:rsid w:val="00F87F5F"/>
    <w:rsid w:val="00F90CA7"/>
    <w:rsid w:val="00F93410"/>
    <w:rsid w:val="00F9522B"/>
    <w:rsid w:val="00F958F5"/>
    <w:rsid w:val="00FA1288"/>
    <w:rsid w:val="00FA46D4"/>
    <w:rsid w:val="00FA5C86"/>
    <w:rsid w:val="00FA65C4"/>
    <w:rsid w:val="00FA7D14"/>
    <w:rsid w:val="00FB4C93"/>
    <w:rsid w:val="00FB749D"/>
    <w:rsid w:val="00FC12E9"/>
    <w:rsid w:val="00FC1318"/>
    <w:rsid w:val="00FC1B44"/>
    <w:rsid w:val="00FC2923"/>
    <w:rsid w:val="00FC2C3C"/>
    <w:rsid w:val="00FC55B4"/>
    <w:rsid w:val="00FC6EF5"/>
    <w:rsid w:val="00FD4D56"/>
    <w:rsid w:val="00FD7223"/>
    <w:rsid w:val="00FE13CA"/>
    <w:rsid w:val="00FE41AE"/>
    <w:rsid w:val="00FE7875"/>
    <w:rsid w:val="00FF02E5"/>
    <w:rsid w:val="00FF0F01"/>
    <w:rsid w:val="00FF6B31"/>
    <w:rsid w:val="00FF7D6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E26"/>
    <w:pPr>
      <w:widowControl w:val="0"/>
      <w:jc w:val="both"/>
    </w:pPr>
    <w:rPr>
      <w:rFonts w:ascii="Arial" w:hAnsi="Arial" w:cstheme="minorBidi"/>
      <w:kern w:val="2"/>
      <w:sz w:val="22"/>
      <w:szCs w:val="22"/>
      <w:lang w:eastAsia="ja-JP"/>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AA1E26"/>
    <w:rPr>
      <w:rFonts w:ascii="Arial" w:eastAsia="SimSun" w:hAnsi="Arial" w:cs="Arial"/>
      <w:b/>
      <w:bCs/>
      <w:caps/>
      <w:kern w:val="32"/>
      <w:sz w:val="22"/>
      <w:szCs w:val="32"/>
    </w:rPr>
  </w:style>
  <w:style w:type="character" w:customStyle="1" w:styleId="Heading2Char">
    <w:name w:val="Heading 2 Char"/>
    <w:basedOn w:val="DefaultParagraphFont"/>
    <w:link w:val="Heading2"/>
    <w:rsid w:val="00AA1E26"/>
    <w:rPr>
      <w:rFonts w:ascii="Arial" w:eastAsia="SimSun" w:hAnsi="Arial" w:cs="Arial"/>
      <w:bCs/>
      <w:iCs/>
      <w:caps/>
      <w:sz w:val="22"/>
      <w:szCs w:val="28"/>
    </w:rPr>
  </w:style>
  <w:style w:type="character" w:customStyle="1" w:styleId="Heading3Char">
    <w:name w:val="Heading 3 Char"/>
    <w:basedOn w:val="DefaultParagraphFont"/>
    <w:link w:val="Heading3"/>
    <w:uiPriority w:val="9"/>
    <w:rsid w:val="00AA1E26"/>
    <w:rPr>
      <w:rFonts w:ascii="Arial" w:eastAsia="SimSun" w:hAnsi="Arial" w:cs="Arial"/>
      <w:bCs/>
      <w:sz w:val="22"/>
      <w:szCs w:val="26"/>
      <w:u w:val="single"/>
    </w:rPr>
  </w:style>
  <w:style w:type="character" w:customStyle="1" w:styleId="FootnoteTextChar">
    <w:name w:val="Footnote Text Char"/>
    <w:aliases w:val="Footnote ak Char"/>
    <w:basedOn w:val="DefaultParagraphFont"/>
    <w:link w:val="FootnoteText"/>
    <w:rsid w:val="00AA1E26"/>
    <w:rPr>
      <w:rFonts w:ascii="Arial" w:hAnsi="Arial" w:cs="Arial"/>
      <w:sz w:val="18"/>
    </w:rPr>
  </w:style>
  <w:style w:type="character" w:styleId="FootnoteReference">
    <w:name w:val="footnote reference"/>
    <w:rsid w:val="00AA1E26"/>
    <w:rPr>
      <w:vertAlign w:val="superscript"/>
    </w:rPr>
  </w:style>
  <w:style w:type="paragraph" w:styleId="ListParagraph">
    <w:name w:val="List Paragraph"/>
    <w:basedOn w:val="Normal"/>
    <w:uiPriority w:val="34"/>
    <w:qFormat/>
    <w:rsid w:val="00AA1E26"/>
    <w:pPr>
      <w:ind w:leftChars="400" w:left="840"/>
    </w:pPr>
  </w:style>
  <w:style w:type="paragraph" w:styleId="BalloonText">
    <w:name w:val="Balloon Text"/>
    <w:basedOn w:val="Normal"/>
    <w:link w:val="BalloonTextChar"/>
    <w:uiPriority w:val="99"/>
    <w:unhideWhenUsed/>
    <w:rsid w:val="00AA1E26"/>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rsid w:val="00AA1E26"/>
    <w:rPr>
      <w:rFonts w:asciiTheme="majorHAnsi" w:eastAsiaTheme="majorEastAsia" w:hAnsiTheme="majorHAnsi" w:cstheme="majorBidi"/>
      <w:kern w:val="2"/>
      <w:sz w:val="16"/>
      <w:szCs w:val="16"/>
      <w:lang w:eastAsia="ja-JP"/>
    </w:rPr>
  </w:style>
  <w:style w:type="character" w:styleId="CommentReference">
    <w:name w:val="annotation reference"/>
    <w:rsid w:val="00AA1E26"/>
    <w:rPr>
      <w:sz w:val="16"/>
      <w:szCs w:val="16"/>
    </w:rPr>
  </w:style>
  <w:style w:type="character" w:customStyle="1" w:styleId="CommentTextChar">
    <w:name w:val="Comment Text Char"/>
    <w:basedOn w:val="DefaultParagraphFont"/>
    <w:semiHidden/>
    <w:rsid w:val="00AA1E26"/>
    <w:rPr>
      <w:rFonts w:ascii="Times New Roman" w:hAnsi="Times New Roman" w:cs="Times New Roman"/>
      <w:kern w:val="0"/>
      <w:sz w:val="20"/>
      <w:szCs w:val="20"/>
      <w:lang w:eastAsia="en-US"/>
    </w:rPr>
  </w:style>
  <w:style w:type="character" w:customStyle="1" w:styleId="HeaderChar">
    <w:name w:val="Header Char"/>
    <w:basedOn w:val="DefaultParagraphFont"/>
    <w:link w:val="Header"/>
    <w:uiPriority w:val="99"/>
    <w:rsid w:val="00AA1E26"/>
    <w:rPr>
      <w:rFonts w:ascii="Arial" w:hAnsi="Arial" w:cs="Arial"/>
      <w:sz w:val="22"/>
    </w:rPr>
  </w:style>
  <w:style w:type="character" w:customStyle="1" w:styleId="FooterChar">
    <w:name w:val="Footer Char"/>
    <w:basedOn w:val="DefaultParagraphFont"/>
    <w:link w:val="Footer"/>
    <w:uiPriority w:val="99"/>
    <w:rsid w:val="00AA1E26"/>
    <w:rPr>
      <w:rFonts w:ascii="Arial" w:hAnsi="Arial" w:cs="Arial"/>
      <w:sz w:val="22"/>
    </w:rPr>
  </w:style>
  <w:style w:type="character" w:styleId="Hyperlink">
    <w:name w:val="Hyperlink"/>
    <w:basedOn w:val="DefaultParagraphFont"/>
    <w:uiPriority w:val="99"/>
    <w:unhideWhenUsed/>
    <w:rsid w:val="00AA1E26"/>
    <w:rPr>
      <w:color w:val="0000FF" w:themeColor="hyperlink"/>
      <w:u w:val="single"/>
    </w:rPr>
  </w:style>
  <w:style w:type="table" w:styleId="TableGrid">
    <w:name w:val="Table Grid"/>
    <w:basedOn w:val="TableNormal"/>
    <w:uiPriority w:val="59"/>
    <w:rsid w:val="00AA1E26"/>
    <w:rPr>
      <w:rFonts w:asciiTheme="minorHAnsi" w:hAnsiTheme="minorHAnsi" w:cstheme="minorBidi"/>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unhideWhenUsed/>
    <w:rsid w:val="00AA1E26"/>
    <w:rPr>
      <w:rFonts w:asciiTheme="minorHAnsi" w:hAnsiTheme="minorHAnsi"/>
      <w:b/>
      <w:bCs/>
      <w:sz w:val="20"/>
    </w:rPr>
  </w:style>
  <w:style w:type="character" w:customStyle="1" w:styleId="CommentTextChar1">
    <w:name w:val="Comment Text Char1"/>
    <w:basedOn w:val="DefaultParagraphFont"/>
    <w:link w:val="CommentText"/>
    <w:semiHidden/>
    <w:rsid w:val="00AA1E26"/>
    <w:rPr>
      <w:rFonts w:ascii="Arial" w:hAnsi="Arial" w:cs="Arial"/>
      <w:sz w:val="18"/>
    </w:rPr>
  </w:style>
  <w:style w:type="character" w:customStyle="1" w:styleId="CommentSubjectChar">
    <w:name w:val="Comment Subject Char"/>
    <w:basedOn w:val="CommentTextChar1"/>
    <w:link w:val="CommentSubject"/>
    <w:uiPriority w:val="99"/>
    <w:rsid w:val="00AA1E26"/>
    <w:rPr>
      <w:rFonts w:asciiTheme="minorHAnsi" w:eastAsiaTheme="minorEastAsia" w:hAnsiTheme="minorHAnsi" w:cstheme="minorBidi"/>
      <w:b/>
      <w:bCs/>
      <w:kern w:val="2"/>
      <w:sz w:val="18"/>
      <w:lang w:eastAsia="ja-JP"/>
    </w:rPr>
  </w:style>
  <w:style w:type="paragraph" w:styleId="NormalWeb">
    <w:name w:val="Normal (Web)"/>
    <w:basedOn w:val="Normal"/>
    <w:unhideWhenUsed/>
    <w:rsid w:val="00AA1E26"/>
    <w:pPr>
      <w:widowControl/>
      <w:spacing w:before="100" w:beforeAutospacing="1" w:after="100" w:afterAutospacing="1"/>
      <w:jc w:val="left"/>
    </w:pPr>
    <w:rPr>
      <w:rFonts w:ascii="Times" w:hAnsi="Times" w:cs="Times New Roman"/>
      <w:kern w:val="0"/>
      <w:sz w:val="20"/>
      <w:szCs w:val="20"/>
      <w:lang w:val="en-GB" w:eastAsia="en-US"/>
    </w:rPr>
  </w:style>
  <w:style w:type="character" w:styleId="FollowedHyperlink">
    <w:name w:val="FollowedHyperlink"/>
    <w:basedOn w:val="DefaultParagraphFont"/>
    <w:uiPriority w:val="99"/>
    <w:unhideWhenUsed/>
    <w:rsid w:val="00AA1E26"/>
    <w:rPr>
      <w:color w:val="800080" w:themeColor="followedHyperlink"/>
      <w:u w:val="single"/>
    </w:rPr>
  </w:style>
  <w:style w:type="paragraph" w:styleId="PlainText">
    <w:name w:val="Plain Text"/>
    <w:basedOn w:val="Normal"/>
    <w:link w:val="PlainTextChar"/>
    <w:rsid w:val="00AA1E26"/>
    <w:pPr>
      <w:widowControl/>
      <w:jc w:val="left"/>
    </w:pPr>
    <w:rPr>
      <w:rFonts w:ascii="Courier New" w:eastAsia="Times New Roman" w:hAnsi="Courier New" w:cs="Courier New"/>
      <w:kern w:val="0"/>
      <w:sz w:val="20"/>
      <w:szCs w:val="20"/>
      <w:lang w:eastAsia="en-US"/>
    </w:rPr>
  </w:style>
  <w:style w:type="character" w:customStyle="1" w:styleId="PlainTextChar">
    <w:name w:val="Plain Text Char"/>
    <w:basedOn w:val="DefaultParagraphFont"/>
    <w:link w:val="PlainText"/>
    <w:rsid w:val="00AA1E26"/>
    <w:rPr>
      <w:rFonts w:ascii="Courier New" w:hAnsi="Courier New" w:cs="Courier New"/>
    </w:rPr>
  </w:style>
  <w:style w:type="paragraph" w:styleId="NoSpacing">
    <w:name w:val="No Spacing"/>
    <w:uiPriority w:val="1"/>
    <w:qFormat/>
    <w:rsid w:val="00AA1E26"/>
    <w:pPr>
      <w:widowControl w:val="0"/>
      <w:jc w:val="both"/>
    </w:pPr>
    <w:rPr>
      <w:rFonts w:ascii="Arial" w:hAnsi="Arial" w:cstheme="minorBidi"/>
      <w:kern w:val="2"/>
      <w:sz w:val="22"/>
      <w:szCs w:val="22"/>
      <w:lang w:eastAsia="ja-JP"/>
    </w:rPr>
  </w:style>
  <w:style w:type="paragraph" w:styleId="DocumentMap">
    <w:name w:val="Document Map"/>
    <w:basedOn w:val="Normal"/>
    <w:link w:val="DocumentMapChar"/>
    <w:rsid w:val="001910D5"/>
    <w:rPr>
      <w:rFonts w:ascii="Tahoma" w:hAnsi="Tahoma" w:cs="Tahoma"/>
      <w:sz w:val="16"/>
      <w:szCs w:val="16"/>
    </w:rPr>
  </w:style>
  <w:style w:type="character" w:customStyle="1" w:styleId="DocumentMapChar">
    <w:name w:val="Document Map Char"/>
    <w:basedOn w:val="DefaultParagraphFont"/>
    <w:link w:val="DocumentMap"/>
    <w:rsid w:val="001910D5"/>
    <w:rPr>
      <w:rFonts w:ascii="Tahoma" w:eastAsiaTheme="minorEastAsia" w:hAnsi="Tahoma" w:cs="Tahoma"/>
      <w:kern w:val="2"/>
      <w:sz w:val="16"/>
      <w:szCs w:val="16"/>
      <w:lang w:eastAsia="ja-JP"/>
    </w:rPr>
  </w:style>
  <w:style w:type="paragraph" w:styleId="Revision">
    <w:name w:val="Revision"/>
    <w:hidden/>
    <w:uiPriority w:val="99"/>
    <w:semiHidden/>
    <w:rsid w:val="00CD6B51"/>
    <w:rPr>
      <w:rFonts w:ascii="Arial" w:hAnsi="Arial" w:cstheme="minorBidi"/>
      <w:kern w:val="2"/>
      <w:sz w:val="22"/>
      <w:szCs w:val="22"/>
      <w:lang w:eastAsia="ja-JP"/>
    </w:rPr>
  </w:style>
  <w:style w:type="paragraph" w:customStyle="1" w:styleId="Endofdocument-Annex">
    <w:name w:val="[End of document - Annex]"/>
    <w:basedOn w:val="Normal"/>
    <w:rsid w:val="0095767C"/>
    <w:pPr>
      <w:widowControl/>
      <w:ind w:left="5534"/>
      <w:jc w:val="left"/>
    </w:pPr>
    <w:rPr>
      <w:rFonts w:eastAsia="SimSun" w:cs="Arial"/>
      <w:kern w:val="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E26"/>
    <w:pPr>
      <w:widowControl w:val="0"/>
      <w:jc w:val="both"/>
    </w:pPr>
    <w:rPr>
      <w:rFonts w:ascii="Arial" w:hAnsi="Arial" w:cstheme="minorBidi"/>
      <w:kern w:val="2"/>
      <w:sz w:val="22"/>
      <w:szCs w:val="22"/>
      <w:lang w:eastAsia="ja-JP"/>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AA1E26"/>
    <w:rPr>
      <w:rFonts w:ascii="Arial" w:eastAsia="SimSun" w:hAnsi="Arial" w:cs="Arial"/>
      <w:b/>
      <w:bCs/>
      <w:caps/>
      <w:kern w:val="32"/>
      <w:sz w:val="22"/>
      <w:szCs w:val="32"/>
    </w:rPr>
  </w:style>
  <w:style w:type="character" w:customStyle="1" w:styleId="Heading2Char">
    <w:name w:val="Heading 2 Char"/>
    <w:basedOn w:val="DefaultParagraphFont"/>
    <w:link w:val="Heading2"/>
    <w:rsid w:val="00AA1E26"/>
    <w:rPr>
      <w:rFonts w:ascii="Arial" w:eastAsia="SimSun" w:hAnsi="Arial" w:cs="Arial"/>
      <w:bCs/>
      <w:iCs/>
      <w:caps/>
      <w:sz w:val="22"/>
      <w:szCs w:val="28"/>
    </w:rPr>
  </w:style>
  <w:style w:type="character" w:customStyle="1" w:styleId="Heading3Char">
    <w:name w:val="Heading 3 Char"/>
    <w:basedOn w:val="DefaultParagraphFont"/>
    <w:link w:val="Heading3"/>
    <w:uiPriority w:val="9"/>
    <w:rsid w:val="00AA1E26"/>
    <w:rPr>
      <w:rFonts w:ascii="Arial" w:eastAsia="SimSun" w:hAnsi="Arial" w:cs="Arial"/>
      <w:bCs/>
      <w:sz w:val="22"/>
      <w:szCs w:val="26"/>
      <w:u w:val="single"/>
    </w:rPr>
  </w:style>
  <w:style w:type="character" w:customStyle="1" w:styleId="FootnoteTextChar">
    <w:name w:val="Footnote Text Char"/>
    <w:aliases w:val="Footnote ak Char"/>
    <w:basedOn w:val="DefaultParagraphFont"/>
    <w:link w:val="FootnoteText"/>
    <w:rsid w:val="00AA1E26"/>
    <w:rPr>
      <w:rFonts w:ascii="Arial" w:hAnsi="Arial" w:cs="Arial"/>
      <w:sz w:val="18"/>
    </w:rPr>
  </w:style>
  <w:style w:type="character" w:styleId="FootnoteReference">
    <w:name w:val="footnote reference"/>
    <w:rsid w:val="00AA1E26"/>
    <w:rPr>
      <w:vertAlign w:val="superscript"/>
    </w:rPr>
  </w:style>
  <w:style w:type="paragraph" w:styleId="ListParagraph">
    <w:name w:val="List Paragraph"/>
    <w:basedOn w:val="Normal"/>
    <w:uiPriority w:val="34"/>
    <w:qFormat/>
    <w:rsid w:val="00AA1E26"/>
    <w:pPr>
      <w:ind w:leftChars="400" w:left="840"/>
    </w:pPr>
  </w:style>
  <w:style w:type="paragraph" w:styleId="BalloonText">
    <w:name w:val="Balloon Text"/>
    <w:basedOn w:val="Normal"/>
    <w:link w:val="BalloonTextChar"/>
    <w:uiPriority w:val="99"/>
    <w:unhideWhenUsed/>
    <w:rsid w:val="00AA1E26"/>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rsid w:val="00AA1E26"/>
    <w:rPr>
      <w:rFonts w:asciiTheme="majorHAnsi" w:eastAsiaTheme="majorEastAsia" w:hAnsiTheme="majorHAnsi" w:cstheme="majorBidi"/>
      <w:kern w:val="2"/>
      <w:sz w:val="16"/>
      <w:szCs w:val="16"/>
      <w:lang w:eastAsia="ja-JP"/>
    </w:rPr>
  </w:style>
  <w:style w:type="character" w:styleId="CommentReference">
    <w:name w:val="annotation reference"/>
    <w:rsid w:val="00AA1E26"/>
    <w:rPr>
      <w:sz w:val="16"/>
      <w:szCs w:val="16"/>
    </w:rPr>
  </w:style>
  <w:style w:type="character" w:customStyle="1" w:styleId="CommentTextChar">
    <w:name w:val="Comment Text Char"/>
    <w:basedOn w:val="DefaultParagraphFont"/>
    <w:semiHidden/>
    <w:rsid w:val="00AA1E26"/>
    <w:rPr>
      <w:rFonts w:ascii="Times New Roman" w:hAnsi="Times New Roman" w:cs="Times New Roman"/>
      <w:kern w:val="0"/>
      <w:sz w:val="20"/>
      <w:szCs w:val="20"/>
      <w:lang w:eastAsia="en-US"/>
    </w:rPr>
  </w:style>
  <w:style w:type="character" w:customStyle="1" w:styleId="HeaderChar">
    <w:name w:val="Header Char"/>
    <w:basedOn w:val="DefaultParagraphFont"/>
    <w:link w:val="Header"/>
    <w:uiPriority w:val="99"/>
    <w:rsid w:val="00AA1E26"/>
    <w:rPr>
      <w:rFonts w:ascii="Arial" w:hAnsi="Arial" w:cs="Arial"/>
      <w:sz w:val="22"/>
    </w:rPr>
  </w:style>
  <w:style w:type="character" w:customStyle="1" w:styleId="FooterChar">
    <w:name w:val="Footer Char"/>
    <w:basedOn w:val="DefaultParagraphFont"/>
    <w:link w:val="Footer"/>
    <w:uiPriority w:val="99"/>
    <w:rsid w:val="00AA1E26"/>
    <w:rPr>
      <w:rFonts w:ascii="Arial" w:hAnsi="Arial" w:cs="Arial"/>
      <w:sz w:val="22"/>
    </w:rPr>
  </w:style>
  <w:style w:type="character" w:styleId="Hyperlink">
    <w:name w:val="Hyperlink"/>
    <w:basedOn w:val="DefaultParagraphFont"/>
    <w:uiPriority w:val="99"/>
    <w:unhideWhenUsed/>
    <w:rsid w:val="00AA1E26"/>
    <w:rPr>
      <w:color w:val="0000FF" w:themeColor="hyperlink"/>
      <w:u w:val="single"/>
    </w:rPr>
  </w:style>
  <w:style w:type="table" w:styleId="TableGrid">
    <w:name w:val="Table Grid"/>
    <w:basedOn w:val="TableNormal"/>
    <w:uiPriority w:val="59"/>
    <w:rsid w:val="00AA1E26"/>
    <w:rPr>
      <w:rFonts w:asciiTheme="minorHAnsi" w:hAnsiTheme="minorHAnsi" w:cstheme="minorBidi"/>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unhideWhenUsed/>
    <w:rsid w:val="00AA1E26"/>
    <w:rPr>
      <w:rFonts w:asciiTheme="minorHAnsi" w:hAnsiTheme="minorHAnsi"/>
      <w:b/>
      <w:bCs/>
      <w:sz w:val="20"/>
    </w:rPr>
  </w:style>
  <w:style w:type="character" w:customStyle="1" w:styleId="CommentTextChar1">
    <w:name w:val="Comment Text Char1"/>
    <w:basedOn w:val="DefaultParagraphFont"/>
    <w:link w:val="CommentText"/>
    <w:semiHidden/>
    <w:rsid w:val="00AA1E26"/>
    <w:rPr>
      <w:rFonts w:ascii="Arial" w:hAnsi="Arial" w:cs="Arial"/>
      <w:sz w:val="18"/>
    </w:rPr>
  </w:style>
  <w:style w:type="character" w:customStyle="1" w:styleId="CommentSubjectChar">
    <w:name w:val="Comment Subject Char"/>
    <w:basedOn w:val="CommentTextChar1"/>
    <w:link w:val="CommentSubject"/>
    <w:uiPriority w:val="99"/>
    <w:rsid w:val="00AA1E26"/>
    <w:rPr>
      <w:rFonts w:asciiTheme="minorHAnsi" w:eastAsiaTheme="minorEastAsia" w:hAnsiTheme="minorHAnsi" w:cstheme="minorBidi"/>
      <w:b/>
      <w:bCs/>
      <w:kern w:val="2"/>
      <w:sz w:val="18"/>
      <w:lang w:eastAsia="ja-JP"/>
    </w:rPr>
  </w:style>
  <w:style w:type="paragraph" w:styleId="NormalWeb">
    <w:name w:val="Normal (Web)"/>
    <w:basedOn w:val="Normal"/>
    <w:unhideWhenUsed/>
    <w:rsid w:val="00AA1E26"/>
    <w:pPr>
      <w:widowControl/>
      <w:spacing w:before="100" w:beforeAutospacing="1" w:after="100" w:afterAutospacing="1"/>
      <w:jc w:val="left"/>
    </w:pPr>
    <w:rPr>
      <w:rFonts w:ascii="Times" w:hAnsi="Times" w:cs="Times New Roman"/>
      <w:kern w:val="0"/>
      <w:sz w:val="20"/>
      <w:szCs w:val="20"/>
      <w:lang w:val="en-GB" w:eastAsia="en-US"/>
    </w:rPr>
  </w:style>
  <w:style w:type="character" w:styleId="FollowedHyperlink">
    <w:name w:val="FollowedHyperlink"/>
    <w:basedOn w:val="DefaultParagraphFont"/>
    <w:uiPriority w:val="99"/>
    <w:unhideWhenUsed/>
    <w:rsid w:val="00AA1E26"/>
    <w:rPr>
      <w:color w:val="800080" w:themeColor="followedHyperlink"/>
      <w:u w:val="single"/>
    </w:rPr>
  </w:style>
  <w:style w:type="paragraph" w:styleId="PlainText">
    <w:name w:val="Plain Text"/>
    <w:basedOn w:val="Normal"/>
    <w:link w:val="PlainTextChar"/>
    <w:rsid w:val="00AA1E26"/>
    <w:pPr>
      <w:widowControl/>
      <w:jc w:val="left"/>
    </w:pPr>
    <w:rPr>
      <w:rFonts w:ascii="Courier New" w:eastAsia="Times New Roman" w:hAnsi="Courier New" w:cs="Courier New"/>
      <w:kern w:val="0"/>
      <w:sz w:val="20"/>
      <w:szCs w:val="20"/>
      <w:lang w:eastAsia="en-US"/>
    </w:rPr>
  </w:style>
  <w:style w:type="character" w:customStyle="1" w:styleId="PlainTextChar">
    <w:name w:val="Plain Text Char"/>
    <w:basedOn w:val="DefaultParagraphFont"/>
    <w:link w:val="PlainText"/>
    <w:rsid w:val="00AA1E26"/>
    <w:rPr>
      <w:rFonts w:ascii="Courier New" w:hAnsi="Courier New" w:cs="Courier New"/>
    </w:rPr>
  </w:style>
  <w:style w:type="paragraph" w:styleId="NoSpacing">
    <w:name w:val="No Spacing"/>
    <w:uiPriority w:val="1"/>
    <w:qFormat/>
    <w:rsid w:val="00AA1E26"/>
    <w:pPr>
      <w:widowControl w:val="0"/>
      <w:jc w:val="both"/>
    </w:pPr>
    <w:rPr>
      <w:rFonts w:ascii="Arial" w:hAnsi="Arial" w:cstheme="minorBidi"/>
      <w:kern w:val="2"/>
      <w:sz w:val="22"/>
      <w:szCs w:val="22"/>
      <w:lang w:eastAsia="ja-JP"/>
    </w:rPr>
  </w:style>
  <w:style w:type="paragraph" w:styleId="DocumentMap">
    <w:name w:val="Document Map"/>
    <w:basedOn w:val="Normal"/>
    <w:link w:val="DocumentMapChar"/>
    <w:rsid w:val="001910D5"/>
    <w:rPr>
      <w:rFonts w:ascii="Tahoma" w:hAnsi="Tahoma" w:cs="Tahoma"/>
      <w:sz w:val="16"/>
      <w:szCs w:val="16"/>
    </w:rPr>
  </w:style>
  <w:style w:type="character" w:customStyle="1" w:styleId="DocumentMapChar">
    <w:name w:val="Document Map Char"/>
    <w:basedOn w:val="DefaultParagraphFont"/>
    <w:link w:val="DocumentMap"/>
    <w:rsid w:val="001910D5"/>
    <w:rPr>
      <w:rFonts w:ascii="Tahoma" w:eastAsiaTheme="minorEastAsia" w:hAnsi="Tahoma" w:cs="Tahoma"/>
      <w:kern w:val="2"/>
      <w:sz w:val="16"/>
      <w:szCs w:val="16"/>
      <w:lang w:eastAsia="ja-JP"/>
    </w:rPr>
  </w:style>
  <w:style w:type="paragraph" w:styleId="Revision">
    <w:name w:val="Revision"/>
    <w:hidden/>
    <w:uiPriority w:val="99"/>
    <w:semiHidden/>
    <w:rsid w:val="00CD6B51"/>
    <w:rPr>
      <w:rFonts w:ascii="Arial" w:hAnsi="Arial" w:cstheme="minorBidi"/>
      <w:kern w:val="2"/>
      <w:sz w:val="22"/>
      <w:szCs w:val="22"/>
      <w:lang w:eastAsia="ja-JP"/>
    </w:rPr>
  </w:style>
  <w:style w:type="paragraph" w:customStyle="1" w:styleId="Endofdocument-Annex">
    <w:name w:val="[End of document - Annex]"/>
    <w:basedOn w:val="Normal"/>
    <w:rsid w:val="0095767C"/>
    <w:pPr>
      <w:widowControl/>
      <w:ind w:left="5534"/>
      <w:jc w:val="left"/>
    </w:pPr>
    <w:rPr>
      <w:rFonts w:eastAsia="SimSun" w:cs="Arial"/>
      <w:kern w:val="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985">
      <w:bodyDiv w:val="1"/>
      <w:marLeft w:val="0"/>
      <w:marRight w:val="0"/>
      <w:marTop w:val="0"/>
      <w:marBottom w:val="0"/>
      <w:divBdr>
        <w:top w:val="none" w:sz="0" w:space="0" w:color="auto"/>
        <w:left w:val="none" w:sz="0" w:space="0" w:color="auto"/>
        <w:bottom w:val="none" w:sz="0" w:space="0" w:color="auto"/>
        <w:right w:val="none" w:sz="0" w:space="0" w:color="auto"/>
      </w:divBdr>
      <w:divsChild>
        <w:div w:id="541283214">
          <w:marLeft w:val="0"/>
          <w:marRight w:val="0"/>
          <w:marTop w:val="0"/>
          <w:marBottom w:val="0"/>
          <w:divBdr>
            <w:top w:val="none" w:sz="0" w:space="0" w:color="auto"/>
            <w:left w:val="none" w:sz="0" w:space="0" w:color="auto"/>
            <w:bottom w:val="none" w:sz="0" w:space="0" w:color="auto"/>
            <w:right w:val="none" w:sz="0" w:space="0" w:color="auto"/>
          </w:divBdr>
        </w:div>
        <w:div w:id="2131586893">
          <w:marLeft w:val="0"/>
          <w:marRight w:val="0"/>
          <w:marTop w:val="0"/>
          <w:marBottom w:val="0"/>
          <w:divBdr>
            <w:top w:val="none" w:sz="0" w:space="0" w:color="auto"/>
            <w:left w:val="none" w:sz="0" w:space="0" w:color="auto"/>
            <w:bottom w:val="none" w:sz="0" w:space="0" w:color="auto"/>
            <w:right w:val="none" w:sz="0" w:space="0" w:color="auto"/>
          </w:divBdr>
        </w:div>
        <w:div w:id="1931235512">
          <w:marLeft w:val="0"/>
          <w:marRight w:val="0"/>
          <w:marTop w:val="0"/>
          <w:marBottom w:val="0"/>
          <w:divBdr>
            <w:top w:val="none" w:sz="0" w:space="0" w:color="auto"/>
            <w:left w:val="none" w:sz="0" w:space="0" w:color="auto"/>
            <w:bottom w:val="none" w:sz="0" w:space="0" w:color="auto"/>
            <w:right w:val="none" w:sz="0" w:space="0" w:color="auto"/>
          </w:divBdr>
        </w:div>
        <w:div w:id="1323776381">
          <w:marLeft w:val="0"/>
          <w:marRight w:val="0"/>
          <w:marTop w:val="0"/>
          <w:marBottom w:val="0"/>
          <w:divBdr>
            <w:top w:val="none" w:sz="0" w:space="0" w:color="auto"/>
            <w:left w:val="none" w:sz="0" w:space="0" w:color="auto"/>
            <w:bottom w:val="none" w:sz="0" w:space="0" w:color="auto"/>
            <w:right w:val="none" w:sz="0" w:space="0" w:color="auto"/>
          </w:divBdr>
        </w:div>
        <w:div w:id="170603011">
          <w:marLeft w:val="0"/>
          <w:marRight w:val="0"/>
          <w:marTop w:val="0"/>
          <w:marBottom w:val="0"/>
          <w:divBdr>
            <w:top w:val="none" w:sz="0" w:space="0" w:color="auto"/>
            <w:left w:val="none" w:sz="0" w:space="0" w:color="auto"/>
            <w:bottom w:val="none" w:sz="0" w:space="0" w:color="auto"/>
            <w:right w:val="none" w:sz="0" w:space="0" w:color="auto"/>
          </w:divBdr>
        </w:div>
        <w:div w:id="791944192">
          <w:marLeft w:val="0"/>
          <w:marRight w:val="0"/>
          <w:marTop w:val="0"/>
          <w:marBottom w:val="0"/>
          <w:divBdr>
            <w:top w:val="none" w:sz="0" w:space="0" w:color="auto"/>
            <w:left w:val="none" w:sz="0" w:space="0" w:color="auto"/>
            <w:bottom w:val="none" w:sz="0" w:space="0" w:color="auto"/>
            <w:right w:val="none" w:sz="0" w:space="0" w:color="auto"/>
          </w:divBdr>
        </w:div>
        <w:div w:id="1103695211">
          <w:marLeft w:val="0"/>
          <w:marRight w:val="0"/>
          <w:marTop w:val="0"/>
          <w:marBottom w:val="0"/>
          <w:divBdr>
            <w:top w:val="none" w:sz="0" w:space="0" w:color="auto"/>
            <w:left w:val="none" w:sz="0" w:space="0" w:color="auto"/>
            <w:bottom w:val="none" w:sz="0" w:space="0" w:color="auto"/>
            <w:right w:val="none" w:sz="0" w:space="0" w:color="auto"/>
          </w:divBdr>
        </w:div>
        <w:div w:id="1114520932">
          <w:marLeft w:val="0"/>
          <w:marRight w:val="0"/>
          <w:marTop w:val="0"/>
          <w:marBottom w:val="0"/>
          <w:divBdr>
            <w:top w:val="none" w:sz="0" w:space="0" w:color="auto"/>
            <w:left w:val="none" w:sz="0" w:space="0" w:color="auto"/>
            <w:bottom w:val="none" w:sz="0" w:space="0" w:color="auto"/>
            <w:right w:val="none" w:sz="0" w:space="0" w:color="auto"/>
          </w:divBdr>
        </w:div>
        <w:div w:id="801078168">
          <w:marLeft w:val="0"/>
          <w:marRight w:val="0"/>
          <w:marTop w:val="0"/>
          <w:marBottom w:val="0"/>
          <w:divBdr>
            <w:top w:val="none" w:sz="0" w:space="0" w:color="auto"/>
            <w:left w:val="none" w:sz="0" w:space="0" w:color="auto"/>
            <w:bottom w:val="none" w:sz="0" w:space="0" w:color="auto"/>
            <w:right w:val="none" w:sz="0" w:space="0" w:color="auto"/>
          </w:divBdr>
        </w:div>
        <w:div w:id="820191478">
          <w:marLeft w:val="0"/>
          <w:marRight w:val="0"/>
          <w:marTop w:val="0"/>
          <w:marBottom w:val="0"/>
          <w:divBdr>
            <w:top w:val="none" w:sz="0" w:space="0" w:color="auto"/>
            <w:left w:val="none" w:sz="0" w:space="0" w:color="auto"/>
            <w:bottom w:val="none" w:sz="0" w:space="0" w:color="auto"/>
            <w:right w:val="none" w:sz="0" w:space="0" w:color="auto"/>
          </w:divBdr>
        </w:div>
        <w:div w:id="5642054">
          <w:marLeft w:val="0"/>
          <w:marRight w:val="0"/>
          <w:marTop w:val="0"/>
          <w:marBottom w:val="0"/>
          <w:divBdr>
            <w:top w:val="none" w:sz="0" w:space="0" w:color="auto"/>
            <w:left w:val="none" w:sz="0" w:space="0" w:color="auto"/>
            <w:bottom w:val="none" w:sz="0" w:space="0" w:color="auto"/>
            <w:right w:val="none" w:sz="0" w:space="0" w:color="auto"/>
          </w:divBdr>
        </w:div>
        <w:div w:id="1751271706">
          <w:marLeft w:val="0"/>
          <w:marRight w:val="0"/>
          <w:marTop w:val="0"/>
          <w:marBottom w:val="0"/>
          <w:divBdr>
            <w:top w:val="none" w:sz="0" w:space="0" w:color="auto"/>
            <w:left w:val="none" w:sz="0" w:space="0" w:color="auto"/>
            <w:bottom w:val="none" w:sz="0" w:space="0" w:color="auto"/>
            <w:right w:val="none" w:sz="0" w:space="0" w:color="auto"/>
          </w:divBdr>
          <w:divsChild>
            <w:div w:id="2017882123">
              <w:marLeft w:val="0"/>
              <w:marRight w:val="0"/>
              <w:marTop w:val="0"/>
              <w:marBottom w:val="0"/>
              <w:divBdr>
                <w:top w:val="none" w:sz="0" w:space="0" w:color="auto"/>
                <w:left w:val="none" w:sz="0" w:space="0" w:color="auto"/>
                <w:bottom w:val="none" w:sz="0" w:space="0" w:color="auto"/>
                <w:right w:val="none" w:sz="0" w:space="0" w:color="auto"/>
              </w:divBdr>
            </w:div>
            <w:div w:id="1597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8838">
      <w:bodyDiv w:val="1"/>
      <w:marLeft w:val="0"/>
      <w:marRight w:val="0"/>
      <w:marTop w:val="0"/>
      <w:marBottom w:val="0"/>
      <w:divBdr>
        <w:top w:val="none" w:sz="0" w:space="0" w:color="auto"/>
        <w:left w:val="none" w:sz="0" w:space="0" w:color="auto"/>
        <w:bottom w:val="none" w:sz="0" w:space="0" w:color="auto"/>
        <w:right w:val="none" w:sz="0" w:space="0" w:color="auto"/>
      </w:divBdr>
    </w:div>
    <w:div w:id="737821004">
      <w:bodyDiv w:val="1"/>
      <w:marLeft w:val="0"/>
      <w:marRight w:val="0"/>
      <w:marTop w:val="0"/>
      <w:marBottom w:val="0"/>
      <w:divBdr>
        <w:top w:val="none" w:sz="0" w:space="0" w:color="auto"/>
        <w:left w:val="none" w:sz="0" w:space="0" w:color="auto"/>
        <w:bottom w:val="none" w:sz="0" w:space="0" w:color="auto"/>
        <w:right w:val="none" w:sz="0" w:space="0" w:color="auto"/>
      </w:divBdr>
      <w:divsChild>
        <w:div w:id="358241552">
          <w:marLeft w:val="0"/>
          <w:marRight w:val="0"/>
          <w:marTop w:val="0"/>
          <w:marBottom w:val="0"/>
          <w:divBdr>
            <w:top w:val="none" w:sz="0" w:space="0" w:color="auto"/>
            <w:left w:val="none" w:sz="0" w:space="0" w:color="auto"/>
            <w:bottom w:val="none" w:sz="0" w:space="0" w:color="auto"/>
            <w:right w:val="none" w:sz="0" w:space="0" w:color="auto"/>
          </w:divBdr>
        </w:div>
        <w:div w:id="1435511374">
          <w:marLeft w:val="0"/>
          <w:marRight w:val="0"/>
          <w:marTop w:val="0"/>
          <w:marBottom w:val="0"/>
          <w:divBdr>
            <w:top w:val="none" w:sz="0" w:space="0" w:color="auto"/>
            <w:left w:val="none" w:sz="0" w:space="0" w:color="auto"/>
            <w:bottom w:val="none" w:sz="0" w:space="0" w:color="auto"/>
            <w:right w:val="none" w:sz="0" w:space="0" w:color="auto"/>
          </w:divBdr>
        </w:div>
        <w:div w:id="2037384660">
          <w:marLeft w:val="0"/>
          <w:marRight w:val="0"/>
          <w:marTop w:val="0"/>
          <w:marBottom w:val="0"/>
          <w:divBdr>
            <w:top w:val="none" w:sz="0" w:space="0" w:color="auto"/>
            <w:left w:val="none" w:sz="0" w:space="0" w:color="auto"/>
            <w:bottom w:val="none" w:sz="0" w:space="0" w:color="auto"/>
            <w:right w:val="none" w:sz="0" w:space="0" w:color="auto"/>
          </w:divBdr>
        </w:div>
      </w:divsChild>
    </w:div>
    <w:div w:id="1266114691">
      <w:bodyDiv w:val="1"/>
      <w:marLeft w:val="0"/>
      <w:marRight w:val="0"/>
      <w:marTop w:val="0"/>
      <w:marBottom w:val="0"/>
      <w:divBdr>
        <w:top w:val="none" w:sz="0" w:space="0" w:color="auto"/>
        <w:left w:val="none" w:sz="0" w:space="0" w:color="auto"/>
        <w:bottom w:val="none" w:sz="0" w:space="0" w:color="auto"/>
        <w:right w:val="none" w:sz="0" w:space="0" w:color="auto"/>
      </w:divBdr>
    </w:div>
    <w:div w:id="1543439958">
      <w:bodyDiv w:val="1"/>
      <w:marLeft w:val="0"/>
      <w:marRight w:val="0"/>
      <w:marTop w:val="0"/>
      <w:marBottom w:val="0"/>
      <w:divBdr>
        <w:top w:val="none" w:sz="0" w:space="0" w:color="auto"/>
        <w:left w:val="none" w:sz="0" w:space="0" w:color="auto"/>
        <w:bottom w:val="none" w:sz="0" w:space="0" w:color="auto"/>
        <w:right w:val="none" w:sz="0" w:space="0" w:color="auto"/>
      </w:divBdr>
      <w:divsChild>
        <w:div w:id="188181737">
          <w:marLeft w:val="0"/>
          <w:marRight w:val="0"/>
          <w:marTop w:val="0"/>
          <w:marBottom w:val="0"/>
          <w:divBdr>
            <w:top w:val="none" w:sz="0" w:space="0" w:color="auto"/>
            <w:left w:val="none" w:sz="0" w:space="0" w:color="auto"/>
            <w:bottom w:val="none" w:sz="0" w:space="0" w:color="auto"/>
            <w:right w:val="none" w:sz="0" w:space="0" w:color="auto"/>
          </w:divBdr>
        </w:div>
        <w:div w:id="1211377132">
          <w:marLeft w:val="0"/>
          <w:marRight w:val="0"/>
          <w:marTop w:val="0"/>
          <w:marBottom w:val="0"/>
          <w:divBdr>
            <w:top w:val="none" w:sz="0" w:space="0" w:color="auto"/>
            <w:left w:val="none" w:sz="0" w:space="0" w:color="auto"/>
            <w:bottom w:val="none" w:sz="0" w:space="0" w:color="auto"/>
            <w:right w:val="none" w:sz="0" w:space="0" w:color="auto"/>
          </w:divBdr>
        </w:div>
        <w:div w:id="1389111184">
          <w:marLeft w:val="0"/>
          <w:marRight w:val="0"/>
          <w:marTop w:val="0"/>
          <w:marBottom w:val="0"/>
          <w:divBdr>
            <w:top w:val="none" w:sz="0" w:space="0" w:color="auto"/>
            <w:left w:val="none" w:sz="0" w:space="0" w:color="auto"/>
            <w:bottom w:val="none" w:sz="0" w:space="0" w:color="auto"/>
            <w:right w:val="none" w:sz="0" w:space="0" w:color="auto"/>
          </w:divBdr>
        </w:div>
      </w:divsChild>
    </w:div>
    <w:div w:id="1765227327">
      <w:bodyDiv w:val="1"/>
      <w:marLeft w:val="0"/>
      <w:marRight w:val="0"/>
      <w:marTop w:val="0"/>
      <w:marBottom w:val="0"/>
      <w:divBdr>
        <w:top w:val="none" w:sz="0" w:space="0" w:color="auto"/>
        <w:left w:val="none" w:sz="0" w:space="0" w:color="auto"/>
        <w:bottom w:val="none" w:sz="0" w:space="0" w:color="auto"/>
        <w:right w:val="none" w:sz="0" w:space="0" w:color="auto"/>
      </w:divBdr>
    </w:div>
    <w:div w:id="18635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chart" Target="charts/chart10.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chart" Target="charts/chart18.xm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1.xml"/><Relationship Id="rId46"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image" Target="cid:image001.png@01CF4F56.B46BA910" TargetMode="External"/><Relationship Id="rId20" Type="http://schemas.openxmlformats.org/officeDocument/2006/relationships/chart" Target="charts/chart5.xml"/><Relationship Id="rId29" Type="http://schemas.openxmlformats.org/officeDocument/2006/relationships/chart" Target="charts/chart13.xml"/><Relationship Id="rId41"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2.xml"/><Relationship Id="rId40" Type="http://schemas.openxmlformats.org/officeDocument/2006/relationships/footer" Target="footer2.xml"/><Relationship Id="rId45" Type="http://schemas.openxmlformats.org/officeDocument/2006/relationships/chart" Target="charts/chart2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hyperlink" Target="http://www.wipo.int/ipstats/en/statistics/technology_concordance.html"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chart" Target="charts/chart15.xml"/><Relationship Id="rId44" Type="http://schemas.openxmlformats.org/officeDocument/2006/relationships/chart" Target="charts/chart2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3.xml"/><Relationship Id="rId48" Type="http://schemas.openxmlformats.org/officeDocument/2006/relationships/chart" Target="charts/chart28.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IPod" TargetMode="External"/><Relationship Id="rId3" Type="http://schemas.openxmlformats.org/officeDocument/2006/relationships/hyperlink" Target="http://www.wipo.int/meetings/en/details.jsp?meeting_id=32662" TargetMode="External"/><Relationship Id="rId7" Type="http://schemas.openxmlformats.org/officeDocument/2006/relationships/hyperlink" Target="http://en.wikipedia.org/wiki/IPhone_5" TargetMode="External"/><Relationship Id="rId2" Type="http://schemas.openxmlformats.org/officeDocument/2006/relationships/hyperlink" Target="http://www.wipo.int/pct/en/" TargetMode="External"/><Relationship Id="rId1" Type="http://schemas.openxmlformats.org/officeDocument/2006/relationships/hyperlink" Target="http://www.wipo.int/edocs/mdocs/mdocs/en/cdip_5/cdip_5_7_rev_1.pdf" TargetMode="External"/><Relationship Id="rId6" Type="http://schemas.openxmlformats.org/officeDocument/2006/relationships/hyperlink" Target="http://en.wikipedia.org/wiki/Apple_Inc." TargetMode="External"/><Relationship Id="rId5" Type="http://schemas.openxmlformats.org/officeDocument/2006/relationships/hyperlink" Target="http://en.wikipedia.org/wiki/Foxconn" TargetMode="External"/><Relationship Id="rId4" Type="http://schemas.openxmlformats.org/officeDocument/2006/relationships/hyperlink" Target="http://www.wipo.int/ipstats/en/statistics/technology_concordance.html" TargetMode="External"/><Relationship Id="rId9" Type="http://schemas.openxmlformats.org/officeDocument/2006/relationships/hyperlink" Target="http://www.wipo.int/econ_stat/en/economics/wipr/wipr_2011.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ila_Kashcheeva\AppData\Local\Temp\Statistics_20140303-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10.13.4.14\users\Mila_Kashcheeva\WIPO_2013\Working%20files\Statistics_20140319.xlsx" TargetMode="External"/><Relationship Id="rId1" Type="http://schemas.openxmlformats.org/officeDocument/2006/relationships/themeOverride" Target="../theme/themeOverride1.xml"/></Relationships>
</file>

<file path=word/charts/_rels/chart19.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0.13.4.12\users\Mila_Kashcheeva\WIPO_2013\Working%20files\Statistic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10.13.4.12\users\Mila_Kashcheeva\WIPO_2013\Working%20files\Statistic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13.4.12\users\Mila_Kashcheeva\WIPO_2013\Working%20files\Stat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la_Kashcheeva\AppData\Local\Temp\Statistics_20140303-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0.13.4.12\users\Mila_Kashcheeva\WIPO_2013\Working%20files\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0.13.4.12\users\Mila_Kashcheeva\WIPO_2013\Working%20files\Statistic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0.13.4.14\users\Mila_Kashcheeva\WIPO_2013\Working%20files\Statistics_201403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numRef>
              <c:f>'[Statistics_20140319.xlsx]1'!$A$18:$A$42</c:f>
              <c:numCache>
                <c:formatCode>General</c:formatCode>
                <c:ptCount val="25"/>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numCache>
            </c:numRef>
          </c:cat>
          <c:val>
            <c:numRef>
              <c:f>'[Statistics_20140319.xlsx]1'!$B$18:$B$42</c:f>
              <c:numCache>
                <c:formatCode>General</c:formatCode>
                <c:ptCount val="25"/>
                <c:pt idx="0">
                  <c:v>104</c:v>
                </c:pt>
                <c:pt idx="1">
                  <c:v>107</c:v>
                </c:pt>
                <c:pt idx="2">
                  <c:v>122</c:v>
                </c:pt>
                <c:pt idx="3">
                  <c:v>123</c:v>
                </c:pt>
                <c:pt idx="4">
                  <c:v>129</c:v>
                </c:pt>
                <c:pt idx="5">
                  <c:v>178</c:v>
                </c:pt>
                <c:pt idx="6">
                  <c:v>195</c:v>
                </c:pt>
                <c:pt idx="7">
                  <c:v>209</c:v>
                </c:pt>
                <c:pt idx="8">
                  <c:v>208</c:v>
                </c:pt>
                <c:pt idx="9">
                  <c:v>255</c:v>
                </c:pt>
                <c:pt idx="10">
                  <c:v>223</c:v>
                </c:pt>
                <c:pt idx="11">
                  <c:v>317</c:v>
                </c:pt>
                <c:pt idx="12">
                  <c:v>440</c:v>
                </c:pt>
                <c:pt idx="13">
                  <c:v>484</c:v>
                </c:pt>
                <c:pt idx="14">
                  <c:v>679</c:v>
                </c:pt>
                <c:pt idx="15">
                  <c:v>1005</c:v>
                </c:pt>
                <c:pt idx="16">
                  <c:v>1412</c:v>
                </c:pt>
                <c:pt idx="17">
                  <c:v>1985</c:v>
                </c:pt>
                <c:pt idx="18">
                  <c:v>2526</c:v>
                </c:pt>
                <c:pt idx="19">
                  <c:v>3628</c:v>
                </c:pt>
                <c:pt idx="20">
                  <c:v>5750</c:v>
                </c:pt>
                <c:pt idx="21">
                  <c:v>6489</c:v>
                </c:pt>
                <c:pt idx="22">
                  <c:v>7975</c:v>
                </c:pt>
                <c:pt idx="23">
                  <c:v>8994</c:v>
                </c:pt>
                <c:pt idx="24">
                  <c:v>9890</c:v>
                </c:pt>
              </c:numCache>
            </c:numRef>
          </c:val>
        </c:ser>
        <c:dLbls>
          <c:showLegendKey val="0"/>
          <c:showVal val="0"/>
          <c:showCatName val="0"/>
          <c:showSerName val="0"/>
          <c:showPercent val="0"/>
          <c:showBubbleSize val="0"/>
        </c:dLbls>
        <c:gapWidth val="150"/>
        <c:axId val="31139712"/>
        <c:axId val="31141248"/>
      </c:barChart>
      <c:catAx>
        <c:axId val="31139712"/>
        <c:scaling>
          <c:orientation val="minMax"/>
        </c:scaling>
        <c:delete val="0"/>
        <c:axPos val="b"/>
        <c:numFmt formatCode="General" sourceLinked="1"/>
        <c:majorTickMark val="out"/>
        <c:minorTickMark val="none"/>
        <c:tickLblPos val="nextTo"/>
        <c:txPr>
          <a:bodyPr/>
          <a:lstStyle/>
          <a:p>
            <a:pPr>
              <a:defRPr lang="ja-JP" sz="800"/>
            </a:pPr>
            <a:endParaRPr lang="en-US"/>
          </a:p>
        </c:txPr>
        <c:crossAx val="31141248"/>
        <c:crosses val="autoZero"/>
        <c:auto val="1"/>
        <c:lblAlgn val="ctr"/>
        <c:lblOffset val="100"/>
        <c:tickLblSkip val="2"/>
        <c:noMultiLvlLbl val="0"/>
      </c:catAx>
      <c:valAx>
        <c:axId val="31141248"/>
        <c:scaling>
          <c:orientation val="minMax"/>
          <c:max val="10000"/>
        </c:scaling>
        <c:delete val="0"/>
        <c:axPos val="l"/>
        <c:majorGridlines/>
        <c:numFmt formatCode="#,##0_);[Red]\(#,##0\)" sourceLinked="0"/>
        <c:majorTickMark val="out"/>
        <c:minorTickMark val="none"/>
        <c:tickLblPos val="nextTo"/>
        <c:txPr>
          <a:bodyPr/>
          <a:lstStyle/>
          <a:p>
            <a:pPr>
              <a:defRPr lang="ja-JP" sz="800"/>
            </a:pPr>
            <a:endParaRPr lang="en-US"/>
          </a:p>
        </c:txPr>
        <c:crossAx val="3113971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'[Statistics_20140319.xlsx]14'!$Q$47:$Q$57</c:f>
              <c:strCache>
                <c:ptCount val="11"/>
                <c:pt idx="0">
                  <c:v>Computer technology</c:v>
                </c:pt>
                <c:pt idx="1">
                  <c:v>Audio-visual technology</c:v>
                </c:pt>
                <c:pt idx="2">
                  <c:v>Optics</c:v>
                </c:pt>
                <c:pt idx="3">
                  <c:v>Electrical machinery, apparatus, energy</c:v>
                </c:pt>
                <c:pt idx="4">
                  <c:v>Semiconductors</c:v>
                </c:pt>
                <c:pt idx="5">
                  <c:v>Telecommunications</c:v>
                </c:pt>
                <c:pt idx="6">
                  <c:v>Transport</c:v>
                </c:pt>
                <c:pt idx="7">
                  <c:v>Measurement</c:v>
                </c:pt>
                <c:pt idx="8">
                  <c:v>Textile and paper machines</c:v>
                </c:pt>
                <c:pt idx="9">
                  <c:v>Engines, pumps, turbines</c:v>
                </c:pt>
                <c:pt idx="10">
                  <c:v>Other technology fields</c:v>
                </c:pt>
              </c:strCache>
            </c:strRef>
          </c:cat>
          <c:val>
            <c:numRef>
              <c:f>'[Statistics_20140319.xlsx]14'!$S$47:$S$57</c:f>
              <c:numCache>
                <c:formatCode>0.0%</c:formatCode>
                <c:ptCount val="11"/>
                <c:pt idx="0">
                  <c:v>0.11095106946426365</c:v>
                </c:pt>
                <c:pt idx="1">
                  <c:v>9.4066147598217228E-2</c:v>
                </c:pt>
                <c:pt idx="2">
                  <c:v>9.0356967868128427E-2</c:v>
                </c:pt>
                <c:pt idx="3">
                  <c:v>8.3083675142326577E-2</c:v>
                </c:pt>
                <c:pt idx="4">
                  <c:v>7.9346029487002021E-2</c:v>
                </c:pt>
                <c:pt idx="5">
                  <c:v>5.1140925779311092E-2</c:v>
                </c:pt>
                <c:pt idx="6">
                  <c:v>4.6460998279952447E-2</c:v>
                </c:pt>
                <c:pt idx="7">
                  <c:v>4.1139199002445698E-2</c:v>
                </c:pt>
                <c:pt idx="8">
                  <c:v>3.5875456278051276E-2</c:v>
                </c:pt>
                <c:pt idx="9">
                  <c:v>3.2382941056178956E-2</c:v>
                </c:pt>
                <c:pt idx="10">
                  <c:v>0.33519659004412306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1.7730023330417056E-2"/>
          <c:w val="0.33091243802858"/>
          <c:h val="0.96453958880139956"/>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'[Statistics_20140319.xlsx]14'!$Q$88:$Q$98</c:f>
              <c:strCache>
                <c:ptCount val="11"/>
                <c:pt idx="0">
                  <c:v>Semiconductors</c:v>
                </c:pt>
                <c:pt idx="1">
                  <c:v>Computer technology</c:v>
                </c:pt>
                <c:pt idx="2">
                  <c:v>Audio-visual technology</c:v>
                </c:pt>
                <c:pt idx="3">
                  <c:v>Electrical machinery, apparatus, energy</c:v>
                </c:pt>
                <c:pt idx="4">
                  <c:v>Telecommunications</c:v>
                </c:pt>
                <c:pt idx="5">
                  <c:v>Optics</c:v>
                </c:pt>
                <c:pt idx="6">
                  <c:v>Digital communication</c:v>
                </c:pt>
                <c:pt idx="7">
                  <c:v>Other consumer goods</c:v>
                </c:pt>
                <c:pt idx="8">
                  <c:v>Thermal processes and apparatus</c:v>
                </c:pt>
                <c:pt idx="9">
                  <c:v>Measurement</c:v>
                </c:pt>
                <c:pt idx="10">
                  <c:v>Other technology fields</c:v>
                </c:pt>
              </c:strCache>
            </c:strRef>
          </c:cat>
          <c:val>
            <c:numRef>
              <c:f>'[Statistics_20140319.xlsx]14'!$S$88:$S$98</c:f>
              <c:numCache>
                <c:formatCode>0.0%</c:formatCode>
                <c:ptCount val="11"/>
                <c:pt idx="0">
                  <c:v>0.12564603310096359</c:v>
                </c:pt>
                <c:pt idx="1">
                  <c:v>0.11638260857521722</c:v>
                </c:pt>
                <c:pt idx="2">
                  <c:v>0.11184372935593857</c:v>
                </c:pt>
                <c:pt idx="3">
                  <c:v>8.6658211325793696E-2</c:v>
                </c:pt>
                <c:pt idx="4">
                  <c:v>8.2679327800750033E-2</c:v>
                </c:pt>
                <c:pt idx="5">
                  <c:v>7.3736346301036301E-2</c:v>
                </c:pt>
                <c:pt idx="6">
                  <c:v>5.6766992834923605E-2</c:v>
                </c:pt>
                <c:pt idx="7">
                  <c:v>2.8559484695139678E-2</c:v>
                </c:pt>
                <c:pt idx="8">
                  <c:v>2.2563019832280713E-2</c:v>
                </c:pt>
                <c:pt idx="9">
                  <c:v>2.2311195163962048E-2</c:v>
                </c:pt>
                <c:pt idx="10">
                  <c:v>0.27285305101399476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1.3100393700787416E-2"/>
          <c:w val="0.33091243802858"/>
          <c:h val="0.97379884806065953"/>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'[Statistics_20140319.xlsx]14'!$Q$6:$Q$16</c:f>
              <c:strCache>
                <c:ptCount val="11"/>
                <c:pt idx="0">
                  <c:v>Computer technology</c:v>
                </c:pt>
                <c:pt idx="1">
                  <c:v>Pharmaceuticals</c:v>
                </c:pt>
                <c:pt idx="2">
                  <c:v>Medical technology</c:v>
                </c:pt>
                <c:pt idx="3">
                  <c:v>Organic fine chemistry</c:v>
                </c:pt>
                <c:pt idx="4">
                  <c:v>Electrical machinery, apparatus, energy</c:v>
                </c:pt>
                <c:pt idx="5">
                  <c:v>Digital communication</c:v>
                </c:pt>
                <c:pt idx="6">
                  <c:v>Transport</c:v>
                </c:pt>
                <c:pt idx="7">
                  <c:v>Mechanical elements</c:v>
                </c:pt>
                <c:pt idx="8">
                  <c:v>Measurement</c:v>
                </c:pt>
                <c:pt idx="9">
                  <c:v>Telecommunications</c:v>
                </c:pt>
                <c:pt idx="10">
                  <c:v>Other technology fields</c:v>
                </c:pt>
              </c:strCache>
            </c:strRef>
          </c:cat>
          <c:val>
            <c:numRef>
              <c:f>'[Statistics_20140319.xlsx]14'!$S$6:$S$16</c:f>
              <c:numCache>
                <c:formatCode>0.0%</c:formatCode>
                <c:ptCount val="11"/>
                <c:pt idx="0">
                  <c:v>8.2855066569395328E-2</c:v>
                </c:pt>
                <c:pt idx="1">
                  <c:v>7.2025840682493167E-2</c:v>
                </c:pt>
                <c:pt idx="2">
                  <c:v>6.8187476116371812E-2</c:v>
                </c:pt>
                <c:pt idx="3">
                  <c:v>5.0065862712588706E-2</c:v>
                </c:pt>
                <c:pt idx="4">
                  <c:v>4.8334431098149493E-2</c:v>
                </c:pt>
                <c:pt idx="5">
                  <c:v>4.4960353346482802E-2</c:v>
                </c:pt>
                <c:pt idx="6">
                  <c:v>4.195335761956475E-2</c:v>
                </c:pt>
                <c:pt idx="7">
                  <c:v>3.9460399190022033E-2</c:v>
                </c:pt>
                <c:pt idx="8">
                  <c:v>3.9324656910853628E-2</c:v>
                </c:pt>
                <c:pt idx="9">
                  <c:v>3.7169496606420445E-2</c:v>
                </c:pt>
                <c:pt idx="10">
                  <c:v>0.47566305914765833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1.7730023330417056E-2"/>
          <c:w val="0.33091243802858"/>
          <c:h val="0.96453958880139956"/>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'[Statistics_20140319.xlsx]14'!$Q$130:$Q$140</c:f>
              <c:strCache>
                <c:ptCount val="11"/>
                <c:pt idx="0">
                  <c:v>Transport</c:v>
                </c:pt>
                <c:pt idx="1">
                  <c:v>Mechanical elements</c:v>
                </c:pt>
                <c:pt idx="2">
                  <c:v>Electrical machinery, apparatus, energy</c:v>
                </c:pt>
                <c:pt idx="3">
                  <c:v>Measurement</c:v>
                </c:pt>
                <c:pt idx="4">
                  <c:v>Computer technology</c:v>
                </c:pt>
                <c:pt idx="5">
                  <c:v>Civil engineering</c:v>
                </c:pt>
                <c:pt idx="6">
                  <c:v>Engines, pumps, turbines</c:v>
                </c:pt>
                <c:pt idx="7">
                  <c:v>Machine tools</c:v>
                </c:pt>
                <c:pt idx="8">
                  <c:v>Handling</c:v>
                </c:pt>
                <c:pt idx="9">
                  <c:v>Medical technology</c:v>
                </c:pt>
                <c:pt idx="10">
                  <c:v>Other technology fields</c:v>
                </c:pt>
              </c:strCache>
            </c:strRef>
          </c:cat>
          <c:val>
            <c:numRef>
              <c:f>'[Statistics_20140319.xlsx]14'!$S$130:$S$140</c:f>
              <c:numCache>
                <c:formatCode>0.0%</c:formatCode>
                <c:ptCount val="11"/>
                <c:pt idx="0">
                  <c:v>0.14590484757582775</c:v>
                </c:pt>
                <c:pt idx="1">
                  <c:v>0.13423157077700754</c:v>
                </c:pt>
                <c:pt idx="2">
                  <c:v>0.13116321914412218</c:v>
                </c:pt>
                <c:pt idx="3">
                  <c:v>9.5015736319502317E-2</c:v>
                </c:pt>
                <c:pt idx="4">
                  <c:v>9.3750501679449649E-2</c:v>
                </c:pt>
                <c:pt idx="5">
                  <c:v>9.0629144375329998E-2</c:v>
                </c:pt>
                <c:pt idx="6">
                  <c:v>8.552961422827246E-2</c:v>
                </c:pt>
                <c:pt idx="7">
                  <c:v>7.8777264102739414E-2</c:v>
                </c:pt>
                <c:pt idx="8">
                  <c:v>7.3394222182095334E-2</c:v>
                </c:pt>
                <c:pt idx="9">
                  <c:v>7.1603879615653968E-2</c:v>
                </c:pt>
                <c:pt idx="10">
                  <c:v>0.83573123179262288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1.7730023330417056E-2"/>
          <c:w val="0.33091243802858"/>
          <c:h val="0.96916921843102988"/>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24963546223401E-2"/>
          <c:y val="5.0925925925925902E-2"/>
          <c:w val="0.90091207349081404"/>
          <c:h val="0.48307086614173234"/>
        </c:manualLayout>
      </c:layout>
      <c:barChart>
        <c:barDir val="col"/>
        <c:grouping val="percentStacked"/>
        <c:varyColors val="0"/>
        <c:ser>
          <c:idx val="0"/>
          <c:order val="0"/>
          <c:tx>
            <c:strRef>
              <c:f>'6b'!$B$45</c:f>
              <c:strCache>
                <c:ptCount val="1"/>
                <c:pt idx="0">
                  <c:v>Electrical machinery, apparatus, energy</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'6b'!$AF$45:$AS$45</c:f>
              <c:numCache>
                <c:formatCode>0.0%</c:formatCode>
                <c:ptCount val="14"/>
                <c:pt idx="0">
                  <c:v>6.5315317214511878E-2</c:v>
                </c:pt>
                <c:pt idx="1">
                  <c:v>6.4028115244895503E-2</c:v>
                </c:pt>
                <c:pt idx="2">
                  <c:v>7.7469867076006324E-2</c:v>
                </c:pt>
                <c:pt idx="3">
                  <c:v>0.12250105759154099</c:v>
                </c:pt>
                <c:pt idx="4">
                  <c:v>7.5151185032823808E-2</c:v>
                </c:pt>
                <c:pt idx="5">
                  <c:v>8.0212920583150604E-2</c:v>
                </c:pt>
                <c:pt idx="6">
                  <c:v>8.1232876099606527E-2</c:v>
                </c:pt>
                <c:pt idx="7">
                  <c:v>0.10973352106084017</c:v>
                </c:pt>
                <c:pt idx="8">
                  <c:v>0.12172538014131812</c:v>
                </c:pt>
                <c:pt idx="9">
                  <c:v>0.10772660228743819</c:v>
                </c:pt>
                <c:pt idx="10">
                  <c:v>0.11849509955467702</c:v>
                </c:pt>
                <c:pt idx="11">
                  <c:v>0.13747592391713601</c:v>
                </c:pt>
                <c:pt idx="12">
                  <c:v>0.1470463803824755</c:v>
                </c:pt>
                <c:pt idx="13">
                  <c:v>0.12106657272997016</c:v>
                </c:pt>
              </c:numCache>
            </c:numRef>
          </c:val>
        </c:ser>
        <c:ser>
          <c:idx val="1"/>
          <c:order val="1"/>
          <c:tx>
            <c:strRef>
              <c:f>'6b'!$B$46</c:f>
              <c:strCache>
                <c:ptCount val="1"/>
                <c:pt idx="0">
                  <c:v>Computer technology</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'6b'!$AF$46:$AS$46</c:f>
              <c:numCache>
                <c:formatCode>0.0%</c:formatCode>
                <c:ptCount val="14"/>
                <c:pt idx="0">
                  <c:v>0</c:v>
                </c:pt>
                <c:pt idx="1">
                  <c:v>4.32766621032993E-2</c:v>
                </c:pt>
                <c:pt idx="2">
                  <c:v>3.6358002410969946E-2</c:v>
                </c:pt>
                <c:pt idx="3">
                  <c:v>9.8677403261086621E-2</c:v>
                </c:pt>
                <c:pt idx="4">
                  <c:v>4.1444322526383776E-2</c:v>
                </c:pt>
                <c:pt idx="5">
                  <c:v>6.294052738664152E-2</c:v>
                </c:pt>
                <c:pt idx="6">
                  <c:v>7.1688833104749203E-2</c:v>
                </c:pt>
                <c:pt idx="7">
                  <c:v>5.8422086547240376E-2</c:v>
                </c:pt>
                <c:pt idx="8">
                  <c:v>8.0724267296414756E-2</c:v>
                </c:pt>
                <c:pt idx="9">
                  <c:v>0.10489118186192213</c:v>
                </c:pt>
                <c:pt idx="10">
                  <c:v>9.9519856047829813E-2</c:v>
                </c:pt>
                <c:pt idx="11">
                  <c:v>9.5725707250256739E-2</c:v>
                </c:pt>
                <c:pt idx="12">
                  <c:v>0.105390305491062</c:v>
                </c:pt>
                <c:pt idx="13">
                  <c:v>0.12294527399673114</c:v>
                </c:pt>
              </c:numCache>
            </c:numRef>
          </c:val>
        </c:ser>
        <c:ser>
          <c:idx val="2"/>
          <c:order val="2"/>
          <c:tx>
            <c:strRef>
              <c:f>'6b'!$B$47</c:f>
              <c:strCache>
                <c:ptCount val="1"/>
                <c:pt idx="0">
                  <c:v>Digital communication</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'6b'!$AF$47:$AS$47</c:f>
              <c:numCache>
                <c:formatCode>0.0%</c:formatCode>
                <c:ptCount val="14"/>
                <c:pt idx="0">
                  <c:v>0</c:v>
                </c:pt>
                <c:pt idx="1">
                  <c:v>7.7279753755891511E-4</c:v>
                </c:pt>
                <c:pt idx="2">
                  <c:v>3.9427737883971367E-3</c:v>
                </c:pt>
                <c:pt idx="3">
                  <c:v>9.9521137553284011E-2</c:v>
                </c:pt>
                <c:pt idx="4">
                  <c:v>2.9260053517929811E-2</c:v>
                </c:pt>
                <c:pt idx="5">
                  <c:v>3.793441187648381E-2</c:v>
                </c:pt>
                <c:pt idx="6">
                  <c:v>5.6737609008602113E-2</c:v>
                </c:pt>
                <c:pt idx="7">
                  <c:v>5.4007911618105808E-2</c:v>
                </c:pt>
                <c:pt idx="8">
                  <c:v>7.2483605604904897E-2</c:v>
                </c:pt>
                <c:pt idx="9">
                  <c:v>9.3300537724138405E-2</c:v>
                </c:pt>
                <c:pt idx="10">
                  <c:v>0.10110094353425308</c:v>
                </c:pt>
                <c:pt idx="11">
                  <c:v>0.10025406394969202</c:v>
                </c:pt>
                <c:pt idx="12">
                  <c:v>9.7359916644856395E-2</c:v>
                </c:pt>
                <c:pt idx="13">
                  <c:v>0.14793925018106246</c:v>
                </c:pt>
              </c:numCache>
            </c:numRef>
          </c:val>
        </c:ser>
        <c:ser>
          <c:idx val="3"/>
          <c:order val="3"/>
          <c:tx>
            <c:strRef>
              <c:f>'6b'!$B$48</c:f>
              <c:strCache>
                <c:ptCount val="1"/>
                <c:pt idx="0">
                  <c:v>Audio-visual technology</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'6b'!$AF$48:$AS$48</c:f>
              <c:numCache>
                <c:formatCode>0.0%</c:formatCode>
                <c:ptCount val="14"/>
                <c:pt idx="0">
                  <c:v>3.3783783601168703E-2</c:v>
                </c:pt>
                <c:pt idx="1">
                  <c:v>1.8804739513882132E-2</c:v>
                </c:pt>
                <c:pt idx="2">
                  <c:v>2.7047426607464741E-2</c:v>
                </c:pt>
                <c:pt idx="3">
                  <c:v>8.6444201878490196E-2</c:v>
                </c:pt>
                <c:pt idx="4">
                  <c:v>5.3539669442580901E-2</c:v>
                </c:pt>
                <c:pt idx="5">
                  <c:v>4.6463530650135705E-2</c:v>
                </c:pt>
                <c:pt idx="6">
                  <c:v>4.5828901056975832E-2</c:v>
                </c:pt>
                <c:pt idx="7">
                  <c:v>5.4028395028449756E-2</c:v>
                </c:pt>
                <c:pt idx="8">
                  <c:v>7.9213004079632693E-2</c:v>
                </c:pt>
                <c:pt idx="9">
                  <c:v>9.3937085137394766E-2</c:v>
                </c:pt>
                <c:pt idx="10">
                  <c:v>8.4739817946462251E-2</c:v>
                </c:pt>
                <c:pt idx="11">
                  <c:v>9.8292586237688107E-2</c:v>
                </c:pt>
                <c:pt idx="12">
                  <c:v>9.7876573967890942E-2</c:v>
                </c:pt>
                <c:pt idx="13">
                  <c:v>9.0582908920167501E-2</c:v>
                </c:pt>
              </c:numCache>
            </c:numRef>
          </c:val>
        </c:ser>
        <c:ser>
          <c:idx val="4"/>
          <c:order val="4"/>
          <c:tx>
            <c:strRef>
              <c:f>'6b'!$B$49</c:f>
              <c:strCache>
                <c:ptCount val="1"/>
                <c:pt idx="0">
                  <c:v>Telecommunications</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'6b'!$AF$49:$AS$49</c:f>
              <c:numCache>
                <c:formatCode>0.0%</c:formatCode>
                <c:ptCount val="14"/>
                <c:pt idx="0">
                  <c:v>6.7567567202337564E-3</c:v>
                </c:pt>
                <c:pt idx="1">
                  <c:v>5.4095827629124134E-3</c:v>
                </c:pt>
                <c:pt idx="2">
                  <c:v>1.9094288829309799E-2</c:v>
                </c:pt>
                <c:pt idx="3">
                  <c:v>6.6585029234617898E-2</c:v>
                </c:pt>
                <c:pt idx="4">
                  <c:v>3.9398794233718178E-2</c:v>
                </c:pt>
                <c:pt idx="5">
                  <c:v>4.6861232551209102E-2</c:v>
                </c:pt>
                <c:pt idx="6">
                  <c:v>4.6985821323279955E-2</c:v>
                </c:pt>
                <c:pt idx="7">
                  <c:v>4.8678824682545301E-2</c:v>
                </c:pt>
                <c:pt idx="8">
                  <c:v>5.9728173368060397E-2</c:v>
                </c:pt>
                <c:pt idx="9">
                  <c:v>7.2015510650622103E-2</c:v>
                </c:pt>
                <c:pt idx="10">
                  <c:v>6.8107100372127805E-2</c:v>
                </c:pt>
                <c:pt idx="11">
                  <c:v>6.7022637113433634E-2</c:v>
                </c:pt>
                <c:pt idx="12">
                  <c:v>7.1310393190696778E-2</c:v>
                </c:pt>
                <c:pt idx="13">
                  <c:v>7.3880264256364001E-2</c:v>
                </c:pt>
              </c:numCache>
            </c:numRef>
          </c:val>
        </c:ser>
        <c:ser>
          <c:idx val="5"/>
          <c:order val="5"/>
          <c:tx>
            <c:strRef>
              <c:f>'6b'!$B$50</c:f>
              <c:strCache>
                <c:ptCount val="1"/>
                <c:pt idx="0">
                  <c:v>Furniture, games</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'6b'!$AF$50:$AS$50</c:f>
              <c:numCache>
                <c:formatCode>0.0%</c:formatCode>
                <c:ptCount val="14"/>
                <c:pt idx="0">
                  <c:v>9.7972972443389345E-2</c:v>
                </c:pt>
                <c:pt idx="1">
                  <c:v>6.1308605161539E-2</c:v>
                </c:pt>
                <c:pt idx="2">
                  <c:v>6.4137663240509193E-2</c:v>
                </c:pt>
                <c:pt idx="3">
                  <c:v>4.7125505158441501E-2</c:v>
                </c:pt>
                <c:pt idx="4">
                  <c:v>7.8441836064257406E-2</c:v>
                </c:pt>
                <c:pt idx="5">
                  <c:v>8.1363214246103488E-2</c:v>
                </c:pt>
                <c:pt idx="6">
                  <c:v>7.3980482146969104E-2</c:v>
                </c:pt>
                <c:pt idx="7">
                  <c:v>6.9012501296943154E-2</c:v>
                </c:pt>
                <c:pt idx="8">
                  <c:v>6.5084118722736214E-2</c:v>
                </c:pt>
                <c:pt idx="9">
                  <c:v>4.2948712469726098E-2</c:v>
                </c:pt>
                <c:pt idx="10">
                  <c:v>5.1987356804339496E-2</c:v>
                </c:pt>
                <c:pt idx="11">
                  <c:v>4.3532000110909623E-2</c:v>
                </c:pt>
                <c:pt idx="12">
                  <c:v>4.1746395662948896E-2</c:v>
                </c:pt>
                <c:pt idx="13">
                  <c:v>2.9303655628282799E-2</c:v>
                </c:pt>
              </c:numCache>
            </c:numRef>
          </c:val>
        </c:ser>
        <c:ser>
          <c:idx val="6"/>
          <c:order val="6"/>
          <c:tx>
            <c:strRef>
              <c:f>'6b'!$B$51</c:f>
              <c:strCache>
                <c:ptCount val="1"/>
                <c:pt idx="0">
                  <c:v>Optics</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'6b'!$AF$51:$AS$51</c:f>
              <c:numCache>
                <c:formatCode>0.0%</c:formatCode>
                <c:ptCount val="14"/>
                <c:pt idx="0">
                  <c:v>1.3513513440467523E-2</c:v>
                </c:pt>
                <c:pt idx="1">
                  <c:v>3.2972694884327206E-2</c:v>
                </c:pt>
                <c:pt idx="2">
                  <c:v>1.4909315067652213E-2</c:v>
                </c:pt>
                <c:pt idx="3">
                  <c:v>4.0832375918922276E-2</c:v>
                </c:pt>
                <c:pt idx="4">
                  <c:v>2.4546424890855966E-2</c:v>
                </c:pt>
                <c:pt idx="5">
                  <c:v>3.0072194704883135E-2</c:v>
                </c:pt>
                <c:pt idx="6">
                  <c:v>3.3306735583875549E-2</c:v>
                </c:pt>
                <c:pt idx="7">
                  <c:v>2.780622954199681E-2</c:v>
                </c:pt>
                <c:pt idx="8">
                  <c:v>2.4674460123521202E-2</c:v>
                </c:pt>
                <c:pt idx="9">
                  <c:v>3.8369105978041801E-2</c:v>
                </c:pt>
                <c:pt idx="10">
                  <c:v>3.6631668417295184E-2</c:v>
                </c:pt>
                <c:pt idx="11">
                  <c:v>5.3193707141894822E-2</c:v>
                </c:pt>
                <c:pt idx="12">
                  <c:v>5.1052338901736397E-2</c:v>
                </c:pt>
                <c:pt idx="13">
                  <c:v>3.9327772547075243E-2</c:v>
                </c:pt>
              </c:numCache>
            </c:numRef>
          </c:val>
        </c:ser>
        <c:ser>
          <c:idx val="7"/>
          <c:order val="7"/>
          <c:tx>
            <c:strRef>
              <c:f>'6b'!$B$52</c:f>
              <c:strCache>
                <c:ptCount val="1"/>
                <c:pt idx="0">
                  <c:v>Semiconductors</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'6b'!$AF$52:$AS$52</c:f>
              <c:numCache>
                <c:formatCode>0.0%</c:formatCode>
                <c:ptCount val="14"/>
                <c:pt idx="0">
                  <c:v>0</c:v>
                </c:pt>
                <c:pt idx="1">
                  <c:v>1.1168763212187224E-2</c:v>
                </c:pt>
                <c:pt idx="2">
                  <c:v>1.3433592821215201E-2</c:v>
                </c:pt>
                <c:pt idx="3">
                  <c:v>3.4180753208701078E-2</c:v>
                </c:pt>
                <c:pt idx="4">
                  <c:v>1.8143009701937135E-2</c:v>
                </c:pt>
                <c:pt idx="5">
                  <c:v>1.5112576792922515E-2</c:v>
                </c:pt>
                <c:pt idx="6">
                  <c:v>4.3325103068767919E-2</c:v>
                </c:pt>
                <c:pt idx="7">
                  <c:v>4.9788329087239104E-2</c:v>
                </c:pt>
                <c:pt idx="8">
                  <c:v>3.8261563320081203E-2</c:v>
                </c:pt>
                <c:pt idx="9">
                  <c:v>2.8879159538351899E-2</c:v>
                </c:pt>
                <c:pt idx="10">
                  <c:v>3.2154607784563846E-2</c:v>
                </c:pt>
                <c:pt idx="11">
                  <c:v>3.0909923645630402E-2</c:v>
                </c:pt>
                <c:pt idx="12">
                  <c:v>3.6038269215908206E-2</c:v>
                </c:pt>
                <c:pt idx="13">
                  <c:v>3.6543026753086898E-2</c:v>
                </c:pt>
              </c:numCache>
            </c:numRef>
          </c:val>
        </c:ser>
        <c:ser>
          <c:idx val="8"/>
          <c:order val="8"/>
          <c:tx>
            <c:strRef>
              <c:f>'6b'!$B$53</c:f>
              <c:strCache>
                <c:ptCount val="1"/>
                <c:pt idx="0">
                  <c:v>Measurement</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'6b'!$AF$53:$AS$53</c:f>
              <c:numCache>
                <c:formatCode>0.0%</c:formatCode>
                <c:ptCount val="14"/>
                <c:pt idx="0">
                  <c:v>3.3783783601168703E-2</c:v>
                </c:pt>
                <c:pt idx="1">
                  <c:v>3.683668210844334E-2</c:v>
                </c:pt>
                <c:pt idx="2">
                  <c:v>2.7019262699919059E-2</c:v>
                </c:pt>
                <c:pt idx="3">
                  <c:v>3.2259960195560343E-2</c:v>
                </c:pt>
                <c:pt idx="4">
                  <c:v>2.1042337358817231E-2</c:v>
                </c:pt>
                <c:pt idx="5">
                  <c:v>2.3507099387157279E-2</c:v>
                </c:pt>
                <c:pt idx="6">
                  <c:v>2.8226953433906878E-2</c:v>
                </c:pt>
                <c:pt idx="7">
                  <c:v>3.2258446260822297E-2</c:v>
                </c:pt>
                <c:pt idx="8">
                  <c:v>2.6827297347427732E-2</c:v>
                </c:pt>
                <c:pt idx="9">
                  <c:v>3.6726297372765143E-2</c:v>
                </c:pt>
                <c:pt idx="10">
                  <c:v>3.8352665027807903E-2</c:v>
                </c:pt>
                <c:pt idx="11">
                  <c:v>3.5001414101914402E-2</c:v>
                </c:pt>
                <c:pt idx="12">
                  <c:v>3.0763457373743301E-2</c:v>
                </c:pt>
                <c:pt idx="13">
                  <c:v>2.9911170440088699E-2</c:v>
                </c:pt>
              </c:numCache>
            </c:numRef>
          </c:val>
        </c:ser>
        <c:ser>
          <c:idx val="9"/>
          <c:order val="9"/>
          <c:tx>
            <c:strRef>
              <c:f>'6b'!$B$54</c:f>
              <c:strCache>
                <c:ptCount val="1"/>
                <c:pt idx="0">
                  <c:v>Other consumer goods</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'6b'!$AF$54:$AS$54</c:f>
              <c:numCache>
                <c:formatCode>0.0%</c:formatCode>
                <c:ptCount val="14"/>
                <c:pt idx="0">
                  <c:v>6.0810810482103732E-2</c:v>
                </c:pt>
                <c:pt idx="1">
                  <c:v>7.5991758375158397E-2</c:v>
                </c:pt>
                <c:pt idx="2">
                  <c:v>5.8043259548269298E-2</c:v>
                </c:pt>
                <c:pt idx="3">
                  <c:v>2.713033781630645E-2</c:v>
                </c:pt>
                <c:pt idx="4">
                  <c:v>5.4962647038221381E-2</c:v>
                </c:pt>
                <c:pt idx="5">
                  <c:v>4.8048214906533306E-2</c:v>
                </c:pt>
                <c:pt idx="6">
                  <c:v>3.6790778298296599E-2</c:v>
                </c:pt>
                <c:pt idx="7">
                  <c:v>4.2465509889254703E-2</c:v>
                </c:pt>
                <c:pt idx="8">
                  <c:v>3.4317080781079139E-2</c:v>
                </c:pt>
                <c:pt idx="9">
                  <c:v>2.8935599610544298E-2</c:v>
                </c:pt>
                <c:pt idx="10">
                  <c:v>2.5369524510980578E-2</c:v>
                </c:pt>
                <c:pt idx="11">
                  <c:v>2.387473891433051E-2</c:v>
                </c:pt>
                <c:pt idx="12">
                  <c:v>2.2377739296614602E-2</c:v>
                </c:pt>
                <c:pt idx="13">
                  <c:v>2.0346763553006301E-2</c:v>
                </c:pt>
              </c:numCache>
            </c:numRef>
          </c:val>
        </c:ser>
        <c:ser>
          <c:idx val="10"/>
          <c:order val="10"/>
          <c:tx>
            <c:strRef>
              <c:f>'6b'!$B$55</c:f>
              <c:strCache>
                <c:ptCount val="1"/>
                <c:pt idx="0">
                  <c:v>Other industries</c:v>
                </c:pt>
              </c:strCache>
            </c:strRef>
          </c:tx>
          <c:invertIfNegative val="0"/>
          <c:cat>
            <c:strRef>
              <c:f>'6b'!$AF$44:$AS$44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'6b'!$AF$55:$AS$55</c:f>
              <c:numCache>
                <c:formatCode>0.0%</c:formatCode>
                <c:ptCount val="14"/>
                <c:pt idx="0">
                  <c:v>0.68806306249695559</c:v>
                </c:pt>
                <c:pt idx="1">
                  <c:v>0.64942959909579778</c:v>
                </c:pt>
                <c:pt idx="2">
                  <c:v>0.65854454791028705</c:v>
                </c:pt>
                <c:pt idx="3">
                  <c:v>0.344742238183049</c:v>
                </c:pt>
                <c:pt idx="4">
                  <c:v>0.56406972019247503</c:v>
                </c:pt>
                <c:pt idx="5">
                  <c:v>0.52748407691478005</c:v>
                </c:pt>
                <c:pt idx="6">
                  <c:v>0.48189590687497053</c:v>
                </c:pt>
                <c:pt idx="7">
                  <c:v>0.45379824498656279</c:v>
                </c:pt>
                <c:pt idx="8">
                  <c:v>0.39696104921482567</c:v>
                </c:pt>
                <c:pt idx="9">
                  <c:v>0.35227020736905673</c:v>
                </c:pt>
                <c:pt idx="10">
                  <c:v>0.3435413599996634</c:v>
                </c:pt>
                <c:pt idx="11">
                  <c:v>0.31471729761711398</c:v>
                </c:pt>
                <c:pt idx="12">
                  <c:v>0.29903822987206746</c:v>
                </c:pt>
                <c:pt idx="13">
                  <c:v>0.28815334099416701</c:v>
                </c:pt>
              </c:numCache>
            </c:numRef>
          </c:val>
        </c:ser>
        <c:dLbls>
          <c:showLegendKey val="0"/>
          <c:showVal val="0"/>
          <c:showCatName val="0"/>
          <c:showSerName val="0"/>
          <c:showPercent val="0"/>
          <c:showBubbleSize val="0"/>
        </c:dLbls>
        <c:gapWidth val="150"/>
        <c:overlap val="100"/>
        <c:axId val="45396352"/>
        <c:axId val="45397888"/>
      </c:barChart>
      <c:catAx>
        <c:axId val="45396352"/>
        <c:scaling>
          <c:orientation val="minMax"/>
        </c:scaling>
        <c:delete val="0"/>
        <c:axPos val="b"/>
        <c:majorTickMark val="out"/>
        <c:minorTickMark val="none"/>
        <c:tickLblPos val="nextTo"/>
        <c:txPr>
          <a:bodyPr/>
          <a:lstStyle/>
          <a:p>
            <a:pPr>
              <a:defRPr lang="ja-JP" sz="800"/>
            </a:pPr>
            <a:endParaRPr lang="en-US"/>
          </a:p>
        </c:txPr>
        <c:crossAx val="45397888"/>
        <c:crosses val="autoZero"/>
        <c:auto val="1"/>
        <c:lblAlgn val="ctr"/>
        <c:lblOffset val="100"/>
        <c:noMultiLvlLbl val="0"/>
      </c:catAx>
      <c:valAx>
        <c:axId val="45397888"/>
        <c:scaling>
          <c:orientation val="minMax"/>
        </c:scaling>
        <c:delete val="0"/>
        <c:axPos val="l"/>
        <c:majorGridlines/>
        <c:numFmt formatCode="0%" sourceLinked="1"/>
        <c:majorTickMark val="out"/>
        <c:minorTickMark val="none"/>
        <c:tickLblPos val="nextTo"/>
        <c:txPr>
          <a:bodyPr/>
          <a:lstStyle/>
          <a:p>
            <a:pPr>
              <a:defRPr lang="ja-JP" sz="800"/>
            </a:pPr>
            <a:endParaRPr lang="en-US"/>
          </a:p>
        </c:txPr>
        <c:crossAx val="45396352"/>
        <c:crosses val="autoZero"/>
        <c:crossBetween val="between"/>
      </c:valAx>
    </c:plotArea>
    <c:legend>
      <c:legendPos val="b"/>
      <c:layout>
        <c:manualLayout>
          <c:xMode val="edge"/>
          <c:yMode val="edge"/>
          <c:x val="7.1865339749197996E-2"/>
          <c:y val="0.71988918051910278"/>
          <c:w val="0.89330635753864096"/>
          <c:h val="0.2523330417031196"/>
        </c:manualLayout>
      </c:layout>
      <c:overlay val="0"/>
      <c:txPr>
        <a:bodyPr/>
        <a:lstStyle/>
        <a:p>
          <a:pPr>
            <a:defRPr lang="ja-JP" sz="800"/>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94043452901758E-2"/>
          <c:y val="5.1400554097404488E-2"/>
          <c:w val="0.88584299358413554"/>
          <c:h val="0.62041302128900555"/>
        </c:manualLayout>
      </c:layout>
      <c:lineChart>
        <c:grouping val="standard"/>
        <c:varyColors val="0"/>
        <c:ser>
          <c:idx val="0"/>
          <c:order val="0"/>
          <c:tx>
            <c:strRef>
              <c:f>'[Statistics_20140319.xlsx]6b'!$B$4</c:f>
              <c:strCache>
                <c:ptCount val="1"/>
                <c:pt idx="0">
                  <c:v>Electrical machinery, apparatus, energy</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'[Statistics_20140319.xlsx]6b'!$AJ$4:$AS$4</c:f>
              <c:numCache>
                <c:formatCode>0_);[Red]\(0\)</c:formatCode>
                <c:ptCount val="10"/>
                <c:pt idx="0">
                  <c:v>70.416660000000022</c:v>
                </c:pt>
                <c:pt idx="1">
                  <c:v>109.25</c:v>
                </c:pt>
                <c:pt idx="2">
                  <c:v>152.71779999999998</c:v>
                </c:pt>
                <c:pt idx="3">
                  <c:v>267.85950000000008</c:v>
                </c:pt>
                <c:pt idx="4">
                  <c:v>426.89089999999999</c:v>
                </c:pt>
                <c:pt idx="5">
                  <c:v>602.19169999999997</c:v>
                </c:pt>
                <c:pt idx="6">
                  <c:v>756.23569999999972</c:v>
                </c:pt>
                <c:pt idx="7">
                  <c:v>1079.1859999999999</c:v>
                </c:pt>
                <c:pt idx="8">
                  <c:v>1306.5070000000001</c:v>
                </c:pt>
                <c:pt idx="9">
                  <c:v>1185.7260000000001</c:v>
                </c:pt>
              </c:numCache>
            </c:numRef>
          </c:val>
          <c:smooth val="0"/>
        </c:ser>
        <c:ser>
          <c:idx val="1"/>
          <c:order val="1"/>
          <c:tx>
            <c:strRef>
              <c:f>'[Statistics_20140319.xlsx]6b'!$B$5</c:f>
              <c:strCache>
                <c:ptCount val="1"/>
                <c:pt idx="0">
                  <c:v>Computer technology</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'[Statistics_20140319.xlsx]6b'!$AJ$5:$AS$5</c:f>
              <c:numCache>
                <c:formatCode>0_);[Red]\(0\)</c:formatCode>
                <c:ptCount val="10"/>
                <c:pt idx="0">
                  <c:v>38.833330000000011</c:v>
                </c:pt>
                <c:pt idx="1">
                  <c:v>85.724999999999994</c:v>
                </c:pt>
                <c:pt idx="2">
                  <c:v>134.77499999999998</c:v>
                </c:pt>
                <c:pt idx="3">
                  <c:v>142.60830000000001</c:v>
                </c:pt>
                <c:pt idx="4">
                  <c:v>283.10000000000002</c:v>
                </c:pt>
                <c:pt idx="5">
                  <c:v>586.34169999999949</c:v>
                </c:pt>
                <c:pt idx="6">
                  <c:v>635.13570000000004</c:v>
                </c:pt>
                <c:pt idx="7">
                  <c:v>751.44679999999983</c:v>
                </c:pt>
                <c:pt idx="8">
                  <c:v>936.39279999999997</c:v>
                </c:pt>
                <c:pt idx="9">
                  <c:v>1204.126</c:v>
                </c:pt>
              </c:numCache>
            </c:numRef>
          </c:val>
          <c:smooth val="0"/>
        </c:ser>
        <c:ser>
          <c:idx val="2"/>
          <c:order val="2"/>
          <c:tx>
            <c:strRef>
              <c:f>'[Statistics_20140319.xlsx]6b'!$B$6</c:f>
              <c:strCache>
                <c:ptCount val="1"/>
                <c:pt idx="0">
                  <c:v>Digital communication</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'[Statistics_20140319.xlsx]6b'!$AJ$6:$AS$6</c:f>
              <c:numCache>
                <c:formatCode>0_);[Red]\(0\)</c:formatCode>
                <c:ptCount val="10"/>
                <c:pt idx="0">
                  <c:v>27.41667</c:v>
                </c:pt>
                <c:pt idx="1">
                  <c:v>51.666670000000003</c:v>
                </c:pt>
                <c:pt idx="2">
                  <c:v>106.66670000000001</c:v>
                </c:pt>
                <c:pt idx="3">
                  <c:v>131.83330000000001</c:v>
                </c:pt>
                <c:pt idx="4">
                  <c:v>254.2</c:v>
                </c:pt>
                <c:pt idx="5">
                  <c:v>521.54999999999973</c:v>
                </c:pt>
                <c:pt idx="6">
                  <c:v>645.22619999999972</c:v>
                </c:pt>
                <c:pt idx="7">
                  <c:v>786.99440000000004</c:v>
                </c:pt>
                <c:pt idx="8">
                  <c:v>865.04280000000006</c:v>
                </c:pt>
                <c:pt idx="9">
                  <c:v>1448.9170000000001</c:v>
                </c:pt>
              </c:numCache>
            </c:numRef>
          </c:val>
          <c:smooth val="0"/>
        </c:ser>
        <c:ser>
          <c:idx val="3"/>
          <c:order val="3"/>
          <c:tx>
            <c:strRef>
              <c:f>'[Statistics_20140319.xlsx]6b'!$B$7</c:f>
              <c:strCache>
                <c:ptCount val="1"/>
                <c:pt idx="0">
                  <c:v>Audio-visual technology</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'[Statistics_20140319.xlsx]6b'!$AJ$7:$AS$7</c:f>
              <c:numCache>
                <c:formatCode>0_);[Red]\(0\)</c:formatCode>
                <c:ptCount val="10"/>
                <c:pt idx="0">
                  <c:v>50.166670000000003</c:v>
                </c:pt>
                <c:pt idx="1">
                  <c:v>63.283330000000014</c:v>
                </c:pt>
                <c:pt idx="2">
                  <c:v>86.158329999999978</c:v>
                </c:pt>
                <c:pt idx="3">
                  <c:v>131.88330000000005</c:v>
                </c:pt>
                <c:pt idx="4">
                  <c:v>277.8</c:v>
                </c:pt>
                <c:pt idx="5">
                  <c:v>525.10829999999999</c:v>
                </c:pt>
                <c:pt idx="6">
                  <c:v>540.80949999999996</c:v>
                </c:pt>
                <c:pt idx="7">
                  <c:v>771.59680000000003</c:v>
                </c:pt>
                <c:pt idx="8">
                  <c:v>869.63329999999996</c:v>
                </c:pt>
                <c:pt idx="9">
                  <c:v>887.16899999999998</c:v>
                </c:pt>
              </c:numCache>
            </c:numRef>
          </c:val>
          <c:smooth val="0"/>
        </c:ser>
        <c:ser>
          <c:idx val="4"/>
          <c:order val="4"/>
          <c:tx>
            <c:strRef>
              <c:f>'[Statistics_20140319.xlsx]6b'!$B$8</c:f>
              <c:strCache>
                <c:ptCount val="1"/>
                <c:pt idx="0">
                  <c:v>Telecommunications</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'[Statistics_20140319.xlsx]6b'!$AJ$8:$AS$8</c:f>
              <c:numCache>
                <c:formatCode>0_);[Red]\(0\)</c:formatCode>
                <c:ptCount val="10"/>
                <c:pt idx="0">
                  <c:v>36.916669999999996</c:v>
                </c:pt>
                <c:pt idx="1">
                  <c:v>63.825000000000003</c:v>
                </c:pt>
                <c:pt idx="2">
                  <c:v>88.333339999999978</c:v>
                </c:pt>
                <c:pt idx="3">
                  <c:v>118.82499999999999</c:v>
                </c:pt>
                <c:pt idx="4">
                  <c:v>209.4667</c:v>
                </c:pt>
                <c:pt idx="5">
                  <c:v>402.56670000000003</c:v>
                </c:pt>
                <c:pt idx="6">
                  <c:v>434.65949999999998</c:v>
                </c:pt>
                <c:pt idx="7">
                  <c:v>526.1277</c:v>
                </c:pt>
                <c:pt idx="8">
                  <c:v>633.59280000000001</c:v>
                </c:pt>
                <c:pt idx="9">
                  <c:v>723.58330000000024</c:v>
                </c:pt>
              </c:numCache>
            </c:numRef>
          </c:val>
          <c:smooth val="0"/>
        </c:ser>
        <c:ser>
          <c:idx val="5"/>
          <c:order val="5"/>
          <c:tx>
            <c:strRef>
              <c:f>'[Statistics_20140319.xlsx]6b'!$B$9</c:f>
              <c:strCache>
                <c:ptCount val="1"/>
                <c:pt idx="0">
                  <c:v>Furniture, games</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'[Statistics_20140319.xlsx]6b'!$AJ$9:$AS$9</c:f>
              <c:numCache>
                <c:formatCode>0_);[Red]\(0\)</c:formatCode>
                <c:ptCount val="10"/>
                <c:pt idx="0">
                  <c:v>73.5</c:v>
                </c:pt>
                <c:pt idx="1">
                  <c:v>110.8167</c:v>
                </c:pt>
                <c:pt idx="2">
                  <c:v>139.08330000000001</c:v>
                </c:pt>
                <c:pt idx="3">
                  <c:v>168.45950000000002</c:v>
                </c:pt>
                <c:pt idx="4">
                  <c:v>228.25</c:v>
                </c:pt>
                <c:pt idx="5">
                  <c:v>240.08330000000001</c:v>
                </c:pt>
                <c:pt idx="6">
                  <c:v>331.78329999999988</c:v>
                </c:pt>
                <c:pt idx="7">
                  <c:v>341.72619999999984</c:v>
                </c:pt>
                <c:pt idx="8">
                  <c:v>370.91669999999988</c:v>
                </c:pt>
                <c:pt idx="9">
                  <c:v>287</c:v>
                </c:pt>
              </c:numCache>
            </c:numRef>
          </c:val>
          <c:smooth val="0"/>
        </c:ser>
        <c:ser>
          <c:idx val="6"/>
          <c:order val="6"/>
          <c:tx>
            <c:strRef>
              <c:f>'[Statistics_20140319.xlsx]6b'!$B$10</c:f>
              <c:strCache>
                <c:ptCount val="1"/>
                <c:pt idx="0">
                  <c:v>Optics</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'[Statistics_20140319.xlsx]6b'!$AJ$10:$AS$10</c:f>
              <c:numCache>
                <c:formatCode>0_);[Red]\(0\)</c:formatCode>
                <c:ptCount val="10"/>
                <c:pt idx="0">
                  <c:v>23</c:v>
                </c:pt>
                <c:pt idx="1">
                  <c:v>40.958330000000011</c:v>
                </c:pt>
                <c:pt idx="2">
                  <c:v>62.616660000000003</c:v>
                </c:pt>
                <c:pt idx="3">
                  <c:v>67.874999999999986</c:v>
                </c:pt>
                <c:pt idx="4">
                  <c:v>86.533329999999992</c:v>
                </c:pt>
                <c:pt idx="5">
                  <c:v>214.48330000000001</c:v>
                </c:pt>
                <c:pt idx="6">
                  <c:v>233.7833</c:v>
                </c:pt>
                <c:pt idx="7">
                  <c:v>417.57060000000001</c:v>
                </c:pt>
                <c:pt idx="8">
                  <c:v>453.6</c:v>
                </c:pt>
                <c:pt idx="9">
                  <c:v>385.17619999999988</c:v>
                </c:pt>
              </c:numCache>
            </c:numRef>
          </c:val>
          <c:smooth val="0"/>
        </c:ser>
        <c:ser>
          <c:idx val="7"/>
          <c:order val="7"/>
          <c:tx>
            <c:strRef>
              <c:f>'[Statistics_20140319.xlsx]6b'!$B$11</c:f>
              <c:strCache>
                <c:ptCount val="1"/>
                <c:pt idx="0">
                  <c:v>Semiconductors</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'[Statistics_20140319.xlsx]6b'!$AJ$11:$AS$11</c:f>
              <c:numCache>
                <c:formatCode>0_);[Red]\(0\)</c:formatCode>
                <c:ptCount val="10"/>
                <c:pt idx="0">
                  <c:v>17</c:v>
                </c:pt>
                <c:pt idx="1">
                  <c:v>20.583329999999989</c:v>
                </c:pt>
                <c:pt idx="2">
                  <c:v>81.451189999999997</c:v>
                </c:pt>
                <c:pt idx="3">
                  <c:v>121.5333</c:v>
                </c:pt>
                <c:pt idx="4">
                  <c:v>134.1833</c:v>
                </c:pt>
                <c:pt idx="5">
                  <c:v>161.43450000000001</c:v>
                </c:pt>
                <c:pt idx="6">
                  <c:v>205.21069999999995</c:v>
                </c:pt>
                <c:pt idx="7">
                  <c:v>242.6429</c:v>
                </c:pt>
                <c:pt idx="8">
                  <c:v>320.2</c:v>
                </c:pt>
                <c:pt idx="9">
                  <c:v>357.9024</c:v>
                </c:pt>
              </c:numCache>
            </c:numRef>
          </c:val>
          <c:smooth val="0"/>
        </c:ser>
        <c:ser>
          <c:idx val="8"/>
          <c:order val="8"/>
          <c:tx>
            <c:strRef>
              <c:f>'[Statistics_20140319.xlsx]6b'!$B$12</c:f>
              <c:strCache>
                <c:ptCount val="1"/>
                <c:pt idx="0">
                  <c:v>Measurement</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'[Statistics_20140319.xlsx]6b'!$AJ$12:$AS$12</c:f>
              <c:numCache>
                <c:formatCode>0_);[Red]\(0\)</c:formatCode>
                <c:ptCount val="10"/>
                <c:pt idx="0">
                  <c:v>19.716670000000001</c:v>
                </c:pt>
                <c:pt idx="1">
                  <c:v>32.016669999999998</c:v>
                </c:pt>
                <c:pt idx="2">
                  <c:v>53.066670000000002</c:v>
                </c:pt>
                <c:pt idx="3">
                  <c:v>78.742859999999993</c:v>
                </c:pt>
                <c:pt idx="4">
                  <c:v>94.083330000000004</c:v>
                </c:pt>
                <c:pt idx="5">
                  <c:v>205.3</c:v>
                </c:pt>
                <c:pt idx="6">
                  <c:v>244.76669999999999</c:v>
                </c:pt>
                <c:pt idx="7">
                  <c:v>274.76109999999989</c:v>
                </c:pt>
                <c:pt idx="8">
                  <c:v>273.33329999999989</c:v>
                </c:pt>
                <c:pt idx="9">
                  <c:v>292.95</c:v>
                </c:pt>
              </c:numCache>
            </c:numRef>
          </c:val>
          <c:smooth val="0"/>
        </c:ser>
        <c:ser>
          <c:idx val="9"/>
          <c:order val="9"/>
          <c:tx>
            <c:strRef>
              <c:f>'[Statistics_20140319.xlsx]6b'!$B$13</c:f>
              <c:strCache>
                <c:ptCount val="1"/>
                <c:pt idx="0">
                  <c:v>Other consumer goods</c:v>
                </c:pt>
              </c:strCache>
            </c:strRef>
          </c:tx>
          <c:marker>
            <c:symbol val="none"/>
          </c:marker>
          <c:cat>
            <c:numRef>
              <c:f>'[Statistics_20140319.xlsx]6b'!$AJ$3:$AS$3</c:f>
              <c:numCache>
                <c:formatCode>0_ </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'[Statistics_20140319.xlsx]6b'!$AJ$13:$AS$13</c:f>
              <c:numCache>
                <c:formatCode>0_);[Red]\(0\)</c:formatCode>
                <c:ptCount val="10"/>
                <c:pt idx="0">
                  <c:v>51.5</c:v>
                </c:pt>
                <c:pt idx="1">
                  <c:v>65.44167000000003</c:v>
                </c:pt>
                <c:pt idx="2">
                  <c:v>69.166659999999993</c:v>
                </c:pt>
                <c:pt idx="3">
                  <c:v>103.65829999999998</c:v>
                </c:pt>
                <c:pt idx="4">
                  <c:v>120.35</c:v>
                </c:pt>
                <c:pt idx="5">
                  <c:v>161.75</c:v>
                </c:pt>
                <c:pt idx="6">
                  <c:v>161.90830000000005</c:v>
                </c:pt>
                <c:pt idx="7">
                  <c:v>187.41669999999999</c:v>
                </c:pt>
                <c:pt idx="8">
                  <c:v>198.82620000000006</c:v>
                </c:pt>
                <c:pt idx="9">
                  <c:v>199.27619999999999</c:v>
                </c:pt>
              </c:numCache>
            </c:numRef>
          </c:val>
          <c:smooth val="0"/>
        </c:ser>
        <c:dLbls>
          <c:showLegendKey val="0"/>
          <c:showVal val="0"/>
          <c:showCatName val="0"/>
          <c:showSerName val="0"/>
          <c:showPercent val="0"/>
          <c:showBubbleSize val="0"/>
        </c:dLbls>
        <c:marker val="1"/>
        <c:smooth val="0"/>
        <c:axId val="54235904"/>
        <c:axId val="54237440"/>
      </c:lineChart>
      <c:catAx>
        <c:axId val="54235904"/>
        <c:scaling>
          <c:orientation val="minMax"/>
        </c:scaling>
        <c:delete val="0"/>
        <c:axPos val="b"/>
        <c:numFmt formatCode="0_ " sourceLinked="1"/>
        <c:majorTickMark val="out"/>
        <c:minorTickMark val="none"/>
        <c:tickLblPos val="nextTo"/>
        <c:txPr>
          <a:bodyPr/>
          <a:lstStyle/>
          <a:p>
            <a:pPr>
              <a:defRPr lang="ja-JP" sz="800"/>
            </a:pPr>
            <a:endParaRPr lang="en-US"/>
          </a:p>
        </c:txPr>
        <c:crossAx val="54237440"/>
        <c:crosses val="autoZero"/>
        <c:auto val="1"/>
        <c:lblAlgn val="ctr"/>
        <c:lblOffset val="100"/>
        <c:noMultiLvlLbl val="0"/>
      </c:catAx>
      <c:valAx>
        <c:axId val="54237440"/>
        <c:scaling>
          <c:orientation val="minMax"/>
        </c:scaling>
        <c:delete val="0"/>
        <c:axPos val="l"/>
        <c:majorGridlines/>
        <c:numFmt formatCode="#,##0_);[Red]\(#,##0\)" sourceLinked="0"/>
        <c:majorTickMark val="out"/>
        <c:minorTickMark val="none"/>
        <c:tickLblPos val="nextTo"/>
        <c:txPr>
          <a:bodyPr/>
          <a:lstStyle/>
          <a:p>
            <a:pPr>
              <a:defRPr lang="ja-JP" sz="800"/>
            </a:pPr>
            <a:endParaRPr lang="en-US"/>
          </a:p>
        </c:txPr>
        <c:crossAx val="54235904"/>
        <c:crosses val="autoZero"/>
        <c:crossBetween val="between"/>
      </c:valAx>
    </c:plotArea>
    <c:legend>
      <c:legendPos val="b"/>
      <c:layout>
        <c:manualLayout>
          <c:xMode val="edge"/>
          <c:yMode val="edge"/>
          <c:x val="8.7579469233012575E-2"/>
          <c:y val="0.76927493438320216"/>
          <c:w val="0.88734106153397518"/>
          <c:h val="0.2029472878390203"/>
        </c:manualLayout>
      </c:layout>
      <c:overlay val="0"/>
      <c:txPr>
        <a:bodyPr/>
        <a:lstStyle/>
        <a:p>
          <a:pPr>
            <a:defRPr lang="ja-JP" sz="800"/>
          </a:pPr>
          <a:endParaRPr lang="en-US"/>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'[Statistics_20140319.xlsx]6a'!$C$48</c:f>
              <c:strCache>
                <c:ptCount val="1"/>
                <c:pt idx="0">
                  <c:v>Comlex</c:v>
                </c:pt>
              </c:strCache>
            </c:strRef>
          </c:tx>
          <c:invertIfNegative val="0"/>
          <c:cat>
            <c:strRef>
              <c:f>'[Statistics_20140319.xlsx]6a'!$AG$4:$AT$4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'[Statistics_20140319.xlsx]6a'!$D$48:$AT$48</c:f>
              <c:numCache>
                <c:formatCode>0.0%</c:formatCode>
                <c:ptCount val="14"/>
                <c:pt idx="0">
                  <c:v>0.50900901076211369</c:v>
                </c:pt>
                <c:pt idx="1">
                  <c:v>0.570111130783583</c:v>
                </c:pt>
                <c:pt idx="2">
                  <c:v>0.58525401995569293</c:v>
                </c:pt>
                <c:pt idx="3">
                  <c:v>0.7514111486991395</c:v>
                </c:pt>
                <c:pt idx="4">
                  <c:v>0.57312344275946325</c:v>
                </c:pt>
                <c:pt idx="5">
                  <c:v>0.5808859356212035</c:v>
                </c:pt>
                <c:pt idx="6">
                  <c:v>0.62521467414557308</c:v>
                </c:pt>
                <c:pt idx="7">
                  <c:v>0.65140945140104289</c:v>
                </c:pt>
                <c:pt idx="8">
                  <c:v>0.71136946411797941</c:v>
                </c:pt>
                <c:pt idx="9">
                  <c:v>0.75345985231985191</c:v>
                </c:pt>
                <c:pt idx="10">
                  <c:v>0.75502156966070488</c:v>
                </c:pt>
                <c:pt idx="11">
                  <c:v>0.77883040707982321</c:v>
                </c:pt>
                <c:pt idx="12">
                  <c:v>0.78074228995529493</c:v>
                </c:pt>
                <c:pt idx="13">
                  <c:v>0.80356024896790113</c:v>
                </c:pt>
              </c:numCache>
            </c:numRef>
          </c:val>
        </c:ser>
        <c:ser>
          <c:idx val="1"/>
          <c:order val="1"/>
          <c:tx>
            <c:strRef>
              <c:f>'[Statistics_20140319.xlsx]6a'!$C$49</c:f>
              <c:strCache>
                <c:ptCount val="1"/>
                <c:pt idx="0">
                  <c:v>Discrete</c:v>
                </c:pt>
              </c:strCache>
            </c:strRef>
          </c:tx>
          <c:invertIfNegative val="0"/>
          <c:cat>
            <c:strRef>
              <c:f>'[Statistics_20140319.xlsx]6a'!$AG$4:$AT$4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'[Statistics_20140319.xlsx]6a'!$D$49:$AT$49</c:f>
              <c:numCache>
                <c:formatCode>0.0%</c:formatCode>
                <c:ptCount val="14"/>
                <c:pt idx="0">
                  <c:v>0.22860359876430492</c:v>
                </c:pt>
                <c:pt idx="1">
                  <c:v>0.23161477996632163</c:v>
                </c:pt>
                <c:pt idx="2">
                  <c:v>0.24614735161132204</c:v>
                </c:pt>
                <c:pt idx="3">
                  <c:v>0.14205278963693019</c:v>
                </c:pt>
                <c:pt idx="4">
                  <c:v>0.24941302374286575</c:v>
                </c:pt>
                <c:pt idx="5">
                  <c:v>0.25098506624332095</c:v>
                </c:pt>
                <c:pt idx="6">
                  <c:v>0.23260892033881697</c:v>
                </c:pt>
                <c:pt idx="7">
                  <c:v>0.21262803288265605</c:v>
                </c:pt>
                <c:pt idx="8">
                  <c:v>0.15977871420164638</c:v>
                </c:pt>
                <c:pt idx="9">
                  <c:v>0.14351199982848944</c:v>
                </c:pt>
                <c:pt idx="10">
                  <c:v>0.13480380113569626</c:v>
                </c:pt>
                <c:pt idx="11">
                  <c:v>0.12143574553232041</c:v>
                </c:pt>
                <c:pt idx="12">
                  <c:v>0.12068038194879382</c:v>
                </c:pt>
                <c:pt idx="13">
                  <c:v>0.1151176141171061</c:v>
                </c:pt>
              </c:numCache>
            </c:numRef>
          </c:val>
        </c:ser>
        <c:ser>
          <c:idx val="2"/>
          <c:order val="2"/>
          <c:tx>
            <c:strRef>
              <c:f>'[Statistics_20140319.xlsx]6a'!$C$50</c:f>
              <c:strCache>
                <c:ptCount val="1"/>
                <c:pt idx="0">
                  <c:v>Undertermine</c:v>
                </c:pt>
              </c:strCache>
            </c:strRef>
          </c:tx>
          <c:invertIfNegative val="0"/>
          <c:cat>
            <c:strRef>
              <c:f>'[Statistics_20140319.xlsx]6a'!$AG$4:$AT$4</c:f>
              <c:strCache>
                <c:ptCount val="14"/>
                <c:pt idx="0">
                  <c:v>1970s</c:v>
                </c:pt>
                <c:pt idx="1">
                  <c:v>1980s</c:v>
                </c:pt>
                <c:pt idx="2">
                  <c:v>1990s</c:v>
                </c:pt>
                <c:pt idx="3">
                  <c:v>2000-2009</c:v>
                </c:pt>
                <c:pt idx="4">
                  <c:v>2000 </c:v>
                </c:pt>
                <c:pt idx="5">
                  <c:v>2001 </c:v>
                </c:pt>
                <c:pt idx="6">
                  <c:v>2002 </c:v>
                </c:pt>
                <c:pt idx="7">
                  <c:v>2003 </c:v>
                </c:pt>
                <c:pt idx="8">
                  <c:v>2004 </c:v>
                </c:pt>
                <c:pt idx="9">
                  <c:v>2005 </c:v>
                </c:pt>
                <c:pt idx="10">
                  <c:v>2006 </c:v>
                </c:pt>
                <c:pt idx="11">
                  <c:v>2007 </c:v>
                </c:pt>
                <c:pt idx="12">
                  <c:v>2008 </c:v>
                </c:pt>
                <c:pt idx="13">
                  <c:v>2009 </c:v>
                </c:pt>
              </c:strCache>
            </c:strRef>
          </c:cat>
          <c:val>
            <c:numRef>
              <c:f>'[Statistics_20140319.xlsx]6a'!$D$50:$AT$50</c:f>
              <c:numCache>
                <c:formatCode>0.0%</c:formatCode>
                <c:ptCount val="14"/>
                <c:pt idx="0">
                  <c:v>0.26238739047358178</c:v>
                </c:pt>
                <c:pt idx="1">
                  <c:v>0.1982740892500959</c:v>
                </c:pt>
                <c:pt idx="2">
                  <c:v>0.1685986284329847</c:v>
                </c:pt>
                <c:pt idx="3">
                  <c:v>0.10653606166393073</c:v>
                </c:pt>
                <c:pt idx="4">
                  <c:v>0.17746353349767097</c:v>
                </c:pt>
                <c:pt idx="5">
                  <c:v>0.16812899813547511</c:v>
                </c:pt>
                <c:pt idx="6">
                  <c:v>0.14217640551561025</c:v>
                </c:pt>
                <c:pt idx="7">
                  <c:v>0.13596251571630114</c:v>
                </c:pt>
                <c:pt idx="8">
                  <c:v>0.12885182168037412</c:v>
                </c:pt>
                <c:pt idx="9">
                  <c:v>0.10302814785165894</c:v>
                </c:pt>
                <c:pt idx="10">
                  <c:v>0.11017462920359937</c:v>
                </c:pt>
                <c:pt idx="11">
                  <c:v>9.9733847387857039E-2</c:v>
                </c:pt>
                <c:pt idx="12">
                  <c:v>9.857732809591116E-2</c:v>
                </c:pt>
                <c:pt idx="13">
                  <c:v>8.1322136914992363E-2</c:v>
                </c:pt>
              </c:numCache>
            </c:numRef>
          </c:val>
        </c:ser>
        <c:dLbls>
          <c:showLegendKey val="0"/>
          <c:showVal val="0"/>
          <c:showCatName val="0"/>
          <c:showSerName val="0"/>
          <c:showPercent val="0"/>
          <c:showBubbleSize val="0"/>
        </c:dLbls>
        <c:gapWidth val="150"/>
        <c:overlap val="100"/>
        <c:axId val="54270976"/>
        <c:axId val="54276864"/>
      </c:barChart>
      <c:catAx>
        <c:axId val="54270976"/>
        <c:scaling>
          <c:orientation val="minMax"/>
        </c:scaling>
        <c:delete val="0"/>
        <c:axPos val="b"/>
        <c:majorTickMark val="out"/>
        <c:minorTickMark val="none"/>
        <c:tickLblPos val="nextTo"/>
        <c:txPr>
          <a:bodyPr rot="-2700000" vert="horz"/>
          <a:lstStyle/>
          <a:p>
            <a:pPr>
              <a:defRPr lang="ja-JP" sz="800"/>
            </a:pPr>
            <a:endParaRPr lang="en-US"/>
          </a:p>
        </c:txPr>
        <c:crossAx val="54276864"/>
        <c:crosses val="autoZero"/>
        <c:auto val="1"/>
        <c:lblAlgn val="ctr"/>
        <c:lblOffset val="100"/>
        <c:tickLblSkip val="1"/>
        <c:noMultiLvlLbl val="0"/>
      </c:catAx>
      <c:valAx>
        <c:axId val="54276864"/>
        <c:scaling>
          <c:orientation val="minMax"/>
          <c:max val="1"/>
        </c:scaling>
        <c:delete val="0"/>
        <c:axPos val="l"/>
        <c:majorGridlines/>
        <c:numFmt formatCode="0%" sourceLinked="0"/>
        <c:majorTickMark val="out"/>
        <c:minorTickMark val="none"/>
        <c:tickLblPos val="nextTo"/>
        <c:txPr>
          <a:bodyPr/>
          <a:lstStyle/>
          <a:p>
            <a:pPr>
              <a:defRPr lang="ja-JP" sz="800"/>
            </a:pPr>
            <a:endParaRPr lang="en-US"/>
          </a:p>
        </c:txPr>
        <c:crossAx val="54270976"/>
        <c:crosses val="autoZero"/>
        <c:crossBetween val="between"/>
      </c:valAx>
    </c:plotArea>
    <c:legend>
      <c:legendPos val="b"/>
      <c:overlay val="0"/>
      <c:txPr>
        <a:bodyPr/>
        <a:lstStyle/>
        <a:p>
          <a:pPr>
            <a:defRPr lang="ja-JP" sz="800"/>
          </a:pPr>
          <a:endParaRPr lang="en-US"/>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'[Statistics_20140319.xlsx]16'!$P$33:$P$43</c:f>
              <c:strCache>
                <c:ptCount val="11"/>
                <c:pt idx="0">
                  <c:v>Digital communication</c:v>
                </c:pt>
                <c:pt idx="1">
                  <c:v>Electrical machinery, apparatus, energy</c:v>
                </c:pt>
                <c:pt idx="2">
                  <c:v>Computer technology</c:v>
                </c:pt>
                <c:pt idx="3">
                  <c:v>Audio-visual technology</c:v>
                </c:pt>
                <c:pt idx="4">
                  <c:v>Telecommunications</c:v>
                </c:pt>
                <c:pt idx="5">
                  <c:v>Optics</c:v>
                </c:pt>
                <c:pt idx="6">
                  <c:v>Measurement</c:v>
                </c:pt>
                <c:pt idx="7">
                  <c:v>Semiconductors</c:v>
                </c:pt>
                <c:pt idx="8">
                  <c:v>Furniture, games</c:v>
                </c:pt>
                <c:pt idx="9">
                  <c:v>Machine tools</c:v>
                </c:pt>
                <c:pt idx="10">
                  <c:v>Other technology fields</c:v>
                </c:pt>
              </c:strCache>
            </c:strRef>
          </c:cat>
          <c:val>
            <c:numRef>
              <c:f>'[Statistics_20140319.xlsx]16'!$R$33:$R$43</c:f>
              <c:numCache>
                <c:formatCode>0.0%</c:formatCode>
                <c:ptCount val="11"/>
                <c:pt idx="0">
                  <c:v>0.13586197795375182</c:v>
                </c:pt>
                <c:pt idx="1">
                  <c:v>0.13187473236726671</c:v>
                </c:pt>
                <c:pt idx="2">
                  <c:v>0.12159005104658561</c:v>
                </c:pt>
                <c:pt idx="3">
                  <c:v>0.10839039918102625</c:v>
                </c:pt>
                <c:pt idx="4">
                  <c:v>8.3633570010221703E-2</c:v>
                </c:pt>
                <c:pt idx="5">
                  <c:v>4.9960163430584043E-2</c:v>
                </c:pt>
                <c:pt idx="6">
                  <c:v>3.381537899546784E-2</c:v>
                </c:pt>
                <c:pt idx="7">
                  <c:v>3.3746618952526265E-2</c:v>
                </c:pt>
                <c:pt idx="8">
                  <c:v>2.8735143316463804E-2</c:v>
                </c:pt>
                <c:pt idx="9">
                  <c:v>2.2145915937528012E-2</c:v>
                </c:pt>
                <c:pt idx="10">
                  <c:v>0.25024604880857765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969067445708817"/>
          <c:y val="3.3543970003718442E-2"/>
          <c:w val="0.33619856981379742"/>
          <c:h val="0.9329272447953163"/>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'[Statistics_20140319.xlsx]17'!$P$32:$P$42</c:f>
              <c:strCache>
                <c:ptCount val="11"/>
                <c:pt idx="0">
                  <c:v>Electrical machinery, apparatus, energy</c:v>
                </c:pt>
                <c:pt idx="1">
                  <c:v>Pharmaceuticals</c:v>
                </c:pt>
                <c:pt idx="2">
                  <c:v>Semiconductors</c:v>
                </c:pt>
                <c:pt idx="3">
                  <c:v>Organic fine chemistry</c:v>
                </c:pt>
                <c:pt idx="4">
                  <c:v>Measurement</c:v>
                </c:pt>
                <c:pt idx="5">
                  <c:v>Biotechnology</c:v>
                </c:pt>
                <c:pt idx="6">
                  <c:v>Materials, metallurgy</c:v>
                </c:pt>
                <c:pt idx="7">
                  <c:v>Computer technology</c:v>
                </c:pt>
                <c:pt idx="8">
                  <c:v>Chemical engineering</c:v>
                </c:pt>
                <c:pt idx="9">
                  <c:v>Audio-visual technology</c:v>
                </c:pt>
                <c:pt idx="10">
                  <c:v>Other technology fields</c:v>
                </c:pt>
              </c:strCache>
            </c:strRef>
          </c:cat>
          <c:val>
            <c:numRef>
              <c:f>'[Statistics_20140319.xlsx]17'!$R$32:$R$42</c:f>
              <c:numCache>
                <c:formatCode>0.0%</c:formatCode>
                <c:ptCount val="11"/>
                <c:pt idx="0">
                  <c:v>8.8063100811068051E-2</c:v>
                </c:pt>
                <c:pt idx="1">
                  <c:v>7.2189343801277436E-2</c:v>
                </c:pt>
                <c:pt idx="2">
                  <c:v>7.1954147204629879E-2</c:v>
                </c:pt>
                <c:pt idx="3">
                  <c:v>6.5036335524584682E-2</c:v>
                </c:pt>
                <c:pt idx="4">
                  <c:v>5.8855710035280374E-2</c:v>
                </c:pt>
                <c:pt idx="5">
                  <c:v>5.7417481662507777E-2</c:v>
                </c:pt>
                <c:pt idx="6">
                  <c:v>5.6069115916893286E-2</c:v>
                </c:pt>
                <c:pt idx="7">
                  <c:v>5.0791948532576334E-2</c:v>
                </c:pt>
                <c:pt idx="8">
                  <c:v>4.2519342873650695E-2</c:v>
                </c:pt>
                <c:pt idx="9">
                  <c:v>3.9410531786402234E-2</c:v>
                </c:pt>
                <c:pt idx="10">
                  <c:v>0.39769294185112936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2.6989282589676346E-2"/>
          <c:w val="0.33091243802858"/>
          <c:h val="0.95528032954214059"/>
        </c:manualLayout>
      </c:layout>
      <c:overlay val="0"/>
      <c:txPr>
        <a:bodyPr/>
        <a:lstStyle/>
        <a:p>
          <a:pPr rtl="0">
            <a:defRPr lang="ja-JP" sz="800"/>
          </a:pPr>
          <a:endParaRPr lang="en-US"/>
        </a:p>
      </c:txPr>
    </c:legend>
    <c:plotVisOnly val="1"/>
    <c:dispBlanksAs val="zero"/>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'[Statistics_20140319.xlsx]15'!$P$33:$P$43</c:f>
              <c:strCache>
                <c:ptCount val="11"/>
                <c:pt idx="0">
                  <c:v>Electrical machinery, apparatus, energy</c:v>
                </c:pt>
                <c:pt idx="1">
                  <c:v>Furniture, games</c:v>
                </c:pt>
                <c:pt idx="2">
                  <c:v>Other consumer goods</c:v>
                </c:pt>
                <c:pt idx="3">
                  <c:v>Computer technology</c:v>
                </c:pt>
                <c:pt idx="4">
                  <c:v>Civil engineering</c:v>
                </c:pt>
                <c:pt idx="5">
                  <c:v>Medical technology</c:v>
                </c:pt>
                <c:pt idx="6">
                  <c:v>Audio-visual technology</c:v>
                </c:pt>
                <c:pt idx="7">
                  <c:v>Transport</c:v>
                </c:pt>
                <c:pt idx="8">
                  <c:v>Handling</c:v>
                </c:pt>
                <c:pt idx="9">
                  <c:v>Machine tools</c:v>
                </c:pt>
                <c:pt idx="10">
                  <c:v>Other technology fields</c:v>
                </c:pt>
              </c:strCache>
            </c:strRef>
          </c:cat>
          <c:val>
            <c:numRef>
              <c:f>'[Statistics_20140319.xlsx]15'!$R$33:$R$43</c:f>
              <c:numCache>
                <c:formatCode>0.0%</c:formatCode>
                <c:ptCount val="11"/>
                <c:pt idx="0">
                  <c:v>0.12344021291450342</c:v>
                </c:pt>
                <c:pt idx="1">
                  <c:v>0.10890610722017263</c:v>
                </c:pt>
                <c:pt idx="2">
                  <c:v>6.1105140203992554E-2</c:v>
                </c:pt>
                <c:pt idx="3">
                  <c:v>5.7392344832113876E-2</c:v>
                </c:pt>
                <c:pt idx="4">
                  <c:v>5.1847453707638783E-2</c:v>
                </c:pt>
                <c:pt idx="5">
                  <c:v>4.9861921316554349E-2</c:v>
                </c:pt>
                <c:pt idx="6">
                  <c:v>4.1927478159164006E-2</c:v>
                </c:pt>
                <c:pt idx="7">
                  <c:v>3.9343618054410584E-2</c:v>
                </c:pt>
                <c:pt idx="8">
                  <c:v>3.5904418880328082E-2</c:v>
                </c:pt>
                <c:pt idx="9">
                  <c:v>3.3733507536853502E-2</c:v>
                </c:pt>
                <c:pt idx="10">
                  <c:v>0.39653779717426879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1.7730023330417056E-2"/>
          <c:w val="0.33091243802858"/>
          <c:h val="0.94139144065325164"/>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'[Statistics_20140319.xlsx]1'!$K$4:$K$7</c:f>
              <c:strCache>
                <c:ptCount val="4"/>
                <c:pt idx="0">
                  <c:v>1990-94</c:v>
                </c:pt>
                <c:pt idx="1">
                  <c:v>1995-99</c:v>
                </c:pt>
                <c:pt idx="2">
                  <c:v>2000-04</c:v>
                </c:pt>
                <c:pt idx="3">
                  <c:v>2005-09</c:v>
                </c:pt>
              </c:strCache>
            </c:strRef>
          </c:cat>
          <c:val>
            <c:numRef>
              <c:f>'[Statistics_20140319.xlsx]1'!$L$4:$L$7</c:f>
              <c:numCache>
                <c:formatCode>0.0%</c:formatCode>
                <c:ptCount val="4"/>
                <c:pt idx="0">
                  <c:v>0.15366446009580684</c:v>
                </c:pt>
                <c:pt idx="1">
                  <c:v>0.2373879295757399</c:v>
                </c:pt>
                <c:pt idx="2">
                  <c:v>0.39994145138747073</c:v>
                </c:pt>
                <c:pt idx="3">
                  <c:v>0.23396323822632301</c:v>
                </c:pt>
              </c:numCache>
            </c:numRef>
          </c:val>
        </c:ser>
        <c:dLbls>
          <c:showLegendKey val="0"/>
          <c:showVal val="0"/>
          <c:showCatName val="0"/>
          <c:showSerName val="0"/>
          <c:showPercent val="0"/>
          <c:showBubbleSize val="0"/>
        </c:dLbls>
        <c:gapWidth val="150"/>
        <c:axId val="70366720"/>
        <c:axId val="70368640"/>
      </c:barChart>
      <c:catAx>
        <c:axId val="70366720"/>
        <c:scaling>
          <c:orientation val="minMax"/>
        </c:scaling>
        <c:delete val="0"/>
        <c:axPos val="b"/>
        <c:numFmt formatCode="General" sourceLinked="1"/>
        <c:majorTickMark val="out"/>
        <c:minorTickMark val="none"/>
        <c:tickLblPos val="nextTo"/>
        <c:txPr>
          <a:bodyPr rot="0" vert="horz"/>
          <a:lstStyle/>
          <a:p>
            <a:pPr algn="ctr">
              <a:defRPr lang="ja-JP" altLang="en-US" sz="800" b="0" i="0" u="none" strike="noStrike" kern="1200" baseline="0">
                <a:solidFill>
                  <a:sysClr val="windowText" lastClr="000000"/>
                </a:solidFill>
                <a:latin typeface="+mn-lt"/>
                <a:ea typeface="+mn-ea"/>
                <a:cs typeface="+mn-cs"/>
              </a:defRPr>
            </a:pPr>
            <a:endParaRPr lang="en-US"/>
          </a:p>
        </c:txPr>
        <c:crossAx val="70368640"/>
        <c:crosses val="autoZero"/>
        <c:auto val="1"/>
        <c:lblAlgn val="ctr"/>
        <c:lblOffset val="100"/>
        <c:tickLblSkip val="1"/>
        <c:noMultiLvlLbl val="0"/>
      </c:catAx>
      <c:valAx>
        <c:axId val="70368640"/>
        <c:scaling>
          <c:orientation val="minMax"/>
        </c:scaling>
        <c:delete val="0"/>
        <c:axPos val="l"/>
        <c:majorGridlines/>
        <c:numFmt formatCode="0%" sourceLinked="0"/>
        <c:majorTickMark val="out"/>
        <c:minorTickMark val="none"/>
        <c:tickLblPos val="nextTo"/>
        <c:txPr>
          <a:bodyPr/>
          <a:lstStyle/>
          <a:p>
            <a:pPr algn="ctr">
              <a:defRPr lang="ja-JP" altLang="en-US" sz="800" b="0" i="0" u="none" strike="noStrike" kern="1200" baseline="0">
                <a:solidFill>
                  <a:sysClr val="windowText" lastClr="000000"/>
                </a:solidFill>
                <a:latin typeface="+mn-lt"/>
                <a:ea typeface="+mn-ea"/>
                <a:cs typeface="+mn-cs"/>
              </a:defRPr>
            </a:pPr>
            <a:endParaRPr lang="en-US"/>
          </a:p>
        </c:txPr>
        <c:crossAx val="70366720"/>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'[Statistics_20140319.xlsx]20'!$G$86:$G$96</c:f>
              <c:strCache>
                <c:ptCount val="11"/>
                <c:pt idx="0">
                  <c:v>Electrical machinery, apparatus, energy</c:v>
                </c:pt>
                <c:pt idx="1">
                  <c:v>Audio-visual technology</c:v>
                </c:pt>
                <c:pt idx="2">
                  <c:v>Computer technology</c:v>
                </c:pt>
                <c:pt idx="3">
                  <c:v>Optics</c:v>
                </c:pt>
                <c:pt idx="4">
                  <c:v>Telecommunications</c:v>
                </c:pt>
                <c:pt idx="5">
                  <c:v>Measurement</c:v>
                </c:pt>
                <c:pt idx="6">
                  <c:v>Digital communication</c:v>
                </c:pt>
                <c:pt idx="7">
                  <c:v>Furniture, games</c:v>
                </c:pt>
                <c:pt idx="8">
                  <c:v>Mechanical elements</c:v>
                </c:pt>
                <c:pt idx="9">
                  <c:v>Control</c:v>
                </c:pt>
                <c:pt idx="10">
                  <c:v>Other technology fields</c:v>
                </c:pt>
              </c:strCache>
            </c:strRef>
          </c:cat>
          <c:val>
            <c:numRef>
              <c:f>'[Statistics_20140319.xlsx]20'!$I$86:$I$96</c:f>
              <c:numCache>
                <c:formatCode>0.0%</c:formatCode>
                <c:ptCount val="11"/>
                <c:pt idx="0">
                  <c:v>0.2224513764577784</c:v>
                </c:pt>
                <c:pt idx="1">
                  <c:v>0.16766541181466538</c:v>
                </c:pt>
                <c:pt idx="2">
                  <c:v>0.16507367068930268</c:v>
                </c:pt>
                <c:pt idx="3">
                  <c:v>8.2062731562158958E-2</c:v>
                </c:pt>
                <c:pt idx="4">
                  <c:v>6.2166951127930303E-2</c:v>
                </c:pt>
                <c:pt idx="5">
                  <c:v>4.9132765238390504E-2</c:v>
                </c:pt>
                <c:pt idx="6">
                  <c:v>2.5561292651347937E-2</c:v>
                </c:pt>
                <c:pt idx="7">
                  <c:v>2.3772425551034877E-2</c:v>
                </c:pt>
                <c:pt idx="8">
                  <c:v>2.2385857662640517E-2</c:v>
                </c:pt>
                <c:pt idx="9">
                  <c:v>2.1807442879795046E-2</c:v>
                </c:pt>
                <c:pt idx="10">
                  <c:v>0.15792007436495545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177"/>
          <c:y val="1.7730023330417049E-2"/>
          <c:w val="0.33091243802857989"/>
          <c:h val="0.96453958880139956"/>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4"/>
              <c:delete val="1"/>
            </c:dLbl>
            <c:dLbl>
              <c:idx val="5"/>
              <c:delete val="1"/>
            </c:dLbl>
            <c:dLbl>
              <c:idx val="6"/>
              <c:delete val="1"/>
            </c:dLbl>
            <c:dLbl>
              <c:idx val="7"/>
              <c:delete val="1"/>
            </c:dLbl>
            <c:dLbl>
              <c:idx val="8"/>
              <c:delete val="1"/>
            </c:dLbl>
            <c:dLbl>
              <c:idx val="9"/>
              <c:delete val="1"/>
            </c:dLbl>
            <c:dLbl>
              <c:idx val="10"/>
              <c:delete val="1"/>
            </c:dLbl>
            <c:txPr>
              <a:bodyPr/>
              <a:lstStyle/>
              <a:p>
                <a:pPr>
                  <a:defRPr lang="ja-JP" sz="600"/>
                </a:pPr>
                <a:endParaRPr lang="en-US"/>
              </a:p>
            </c:txPr>
            <c:dLblPos val="outEnd"/>
            <c:showLegendKey val="0"/>
            <c:showVal val="1"/>
            <c:showCatName val="0"/>
            <c:showSerName val="0"/>
            <c:showPercent val="0"/>
            <c:showBubbleSize val="0"/>
            <c:showLeaderLines val="1"/>
          </c:dLbls>
          <c:cat>
            <c:strRef>
              <c:f>'[Statistics_20140319.xlsx]20'!$G$7:$G$17</c:f>
              <c:strCache>
                <c:ptCount val="11"/>
                <c:pt idx="0">
                  <c:v>Digital communication</c:v>
                </c:pt>
                <c:pt idx="1">
                  <c:v>Telecommunications</c:v>
                </c:pt>
                <c:pt idx="2">
                  <c:v>Computer technology</c:v>
                </c:pt>
                <c:pt idx="3">
                  <c:v>Audio-visual technology</c:v>
                </c:pt>
                <c:pt idx="4">
                  <c:v>IT methods for management</c:v>
                </c:pt>
                <c:pt idx="5">
                  <c:v>Basic communication processes</c:v>
                </c:pt>
                <c:pt idx="6">
                  <c:v>Measurement</c:v>
                </c:pt>
                <c:pt idx="7">
                  <c:v>Electrical machinery, apparatus, energy</c:v>
                </c:pt>
                <c:pt idx="8">
                  <c:v>Control</c:v>
                </c:pt>
                <c:pt idx="9">
                  <c:v>Optics</c:v>
                </c:pt>
                <c:pt idx="10">
                  <c:v>Other technology fields</c:v>
                </c:pt>
              </c:strCache>
            </c:strRef>
          </c:cat>
          <c:val>
            <c:numRef>
              <c:f>'[Statistics_20140319.xlsx]20'!$I$7:$I$17</c:f>
              <c:numCache>
                <c:formatCode>0.0%</c:formatCode>
                <c:ptCount val="11"/>
                <c:pt idx="0">
                  <c:v>0.54377944762346675</c:v>
                </c:pt>
                <c:pt idx="1">
                  <c:v>0.23917024448007079</c:v>
                </c:pt>
                <c:pt idx="2">
                  <c:v>0.12819289580027921</c:v>
                </c:pt>
                <c:pt idx="3">
                  <c:v>3.9370861044894297E-2</c:v>
                </c:pt>
                <c:pt idx="4">
                  <c:v>1.2151796592595222E-2</c:v>
                </c:pt>
                <c:pt idx="5">
                  <c:v>1.1968839774655259E-2</c:v>
                </c:pt>
                <c:pt idx="6">
                  <c:v>8.7346574261625825E-3</c:v>
                </c:pt>
                <c:pt idx="7">
                  <c:v>5.6716259453706407E-3</c:v>
                </c:pt>
                <c:pt idx="8">
                  <c:v>3.9601031040560758E-3</c:v>
                </c:pt>
                <c:pt idx="9">
                  <c:v>3.2459868823011837E-3</c:v>
                </c:pt>
                <c:pt idx="10">
                  <c:v>3.7535413261482187E-3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056904345290167"/>
          <c:y val="1.7730023330417049E-2"/>
          <c:w val="0.34017169728783925"/>
          <c:h val="0.97379884806065931"/>
        </c:manualLayout>
      </c:layout>
      <c:overlay val="0"/>
      <c:txPr>
        <a:bodyPr/>
        <a:lstStyle/>
        <a:p>
          <a:pPr rtl="0">
            <a:defRPr lang="ja-JP" sz="600"/>
          </a:pPr>
          <a:endParaRPr lang="en-US"/>
        </a:p>
      </c:txPr>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4"/>
              <c:delete val="1"/>
            </c:dLbl>
            <c:dLbl>
              <c:idx val="5"/>
              <c:delete val="1"/>
            </c:dLbl>
            <c:dLbl>
              <c:idx val="6"/>
              <c:delete val="1"/>
            </c:dLbl>
            <c:dLbl>
              <c:idx val="7"/>
              <c:delete val="1"/>
            </c:dLbl>
            <c:dLbl>
              <c:idx val="8"/>
              <c:delete val="1"/>
            </c:dLbl>
            <c:dLbl>
              <c:idx val="9"/>
              <c:delete val="1"/>
            </c:dLbl>
            <c:dLbl>
              <c:idx val="10"/>
              <c:delete val="1"/>
            </c:dLbl>
            <c:txPr>
              <a:bodyPr/>
              <a:lstStyle/>
              <a:p>
                <a:pPr>
                  <a:defRPr lang="ja-JP" sz="600"/>
                </a:pPr>
                <a:endParaRPr lang="en-US"/>
              </a:p>
            </c:txPr>
            <c:dLblPos val="outEnd"/>
            <c:showLegendKey val="0"/>
            <c:showVal val="1"/>
            <c:showCatName val="0"/>
            <c:showSerName val="0"/>
            <c:showPercent val="0"/>
            <c:showBubbleSize val="0"/>
            <c:showLeaderLines val="1"/>
          </c:dLbls>
          <c:cat>
            <c:strRef>
              <c:f>'[Statistics_20140319.xlsx]20'!$G$48:$G$58</c:f>
              <c:strCache>
                <c:ptCount val="11"/>
                <c:pt idx="0">
                  <c:v>Digital communication</c:v>
                </c:pt>
                <c:pt idx="1">
                  <c:v>Telecommunications</c:v>
                </c:pt>
                <c:pt idx="2">
                  <c:v>Computer technology</c:v>
                </c:pt>
                <c:pt idx="3">
                  <c:v>Audio-visual technology</c:v>
                </c:pt>
                <c:pt idx="4">
                  <c:v>Basic communication processes</c:v>
                </c:pt>
                <c:pt idx="5">
                  <c:v>Optics</c:v>
                </c:pt>
                <c:pt idx="6">
                  <c:v>Measurement</c:v>
                </c:pt>
                <c:pt idx="7">
                  <c:v>Control</c:v>
                </c:pt>
                <c:pt idx="8">
                  <c:v>IT methods for management</c:v>
                </c:pt>
                <c:pt idx="9">
                  <c:v>Electrical machinery, apparatus, energy</c:v>
                </c:pt>
                <c:pt idx="10">
                  <c:v>Other technology fields</c:v>
                </c:pt>
              </c:strCache>
            </c:strRef>
          </c:cat>
          <c:val>
            <c:numRef>
              <c:f>'[Statistics_20140319.xlsx]20'!$I$48:$I$58</c:f>
              <c:numCache>
                <c:formatCode>0.0%</c:formatCode>
                <c:ptCount val="11"/>
                <c:pt idx="0">
                  <c:v>0.54577114352565548</c:v>
                </c:pt>
                <c:pt idx="1">
                  <c:v>0.30696519547486267</c:v>
                </c:pt>
                <c:pt idx="2">
                  <c:v>8.5447753286924319E-2</c:v>
                </c:pt>
                <c:pt idx="3">
                  <c:v>3.4079593861291314E-2</c:v>
                </c:pt>
                <c:pt idx="4">
                  <c:v>1.3432833085319923E-2</c:v>
                </c:pt>
                <c:pt idx="5">
                  <c:v>3.7313429382936389E-3</c:v>
                </c:pt>
                <c:pt idx="6">
                  <c:v>3.3582086444642737E-3</c:v>
                </c:pt>
                <c:pt idx="7">
                  <c:v>3.3582086444642737E-3</c:v>
                </c:pt>
                <c:pt idx="8">
                  <c:v>3.1094519510656412E-3</c:v>
                </c:pt>
                <c:pt idx="9">
                  <c:v>7.4626858765872758E-4</c:v>
                </c:pt>
                <c:pt idx="10">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1691936935053"/>
          <c:y val="1.3100393700787411E-2"/>
          <c:w val="0.35416666666666685"/>
          <c:h val="0.98689960629921292"/>
        </c:manualLayout>
      </c:layout>
      <c:overlay val="0"/>
      <c:txPr>
        <a:bodyPr/>
        <a:lstStyle/>
        <a:p>
          <a:pPr rtl="0">
            <a:defRPr lang="ja-JP" sz="600"/>
          </a:pPr>
          <a:endParaRPr lang="en-US"/>
        </a:p>
      </c:txPr>
    </c:legend>
    <c:plotVisOnly val="1"/>
    <c:dispBlanksAs val="zero"/>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770888013998333E-2"/>
          <c:y val="5.0925925925925902E-2"/>
          <c:w val="0.90476614902303876"/>
          <c:h val="0.59176691455234776"/>
        </c:manualLayout>
      </c:layout>
      <c:lineChart>
        <c:grouping val="standard"/>
        <c:varyColors val="0"/>
        <c:ser>
          <c:idx val="0"/>
          <c:order val="0"/>
          <c:tx>
            <c:strRef>
              <c:f>'[Statistics_20140319.xlsx]10'!$C$4</c:f>
              <c:strCache>
                <c:ptCount val="1"/>
                <c:pt idx="0">
                  <c:v>HONGFUJIN PRECISION INDUSTRY (SHENZHEN) CO., LTD.</c:v>
                </c:pt>
              </c:strCache>
            </c:strRef>
          </c:tx>
          <c:marker>
            <c:symbol val="none"/>
          </c:marker>
          <c:cat>
            <c:numRef>
              <c:f>'[Statistics_20140319.xlsx]10'!$U$3:$AC$3</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'[Statistics_20140319.xlsx]10'!$U$4:$AC$4</c:f>
              <c:numCache>
                <c:formatCode>General</c:formatCode>
                <c:ptCount val="9"/>
                <c:pt idx="2">
                  <c:v>4</c:v>
                </c:pt>
                <c:pt idx="3">
                  <c:v>55</c:v>
                </c:pt>
                <c:pt idx="4">
                  <c:v>472</c:v>
                </c:pt>
                <c:pt idx="5">
                  <c:v>981</c:v>
                </c:pt>
                <c:pt idx="6">
                  <c:v>937</c:v>
                </c:pt>
                <c:pt idx="7">
                  <c:v>1228</c:v>
                </c:pt>
                <c:pt idx="8">
                  <c:v>1707</c:v>
                </c:pt>
              </c:numCache>
            </c:numRef>
          </c:val>
          <c:smooth val="0"/>
        </c:ser>
        <c:ser>
          <c:idx val="1"/>
          <c:order val="1"/>
          <c:tx>
            <c:strRef>
              <c:f>'[Statistics_20140319.xlsx]10'!$C$5</c:f>
              <c:strCache>
                <c:ptCount val="1"/>
                <c:pt idx="0">
                  <c:v>HUAWEI TECHNOLOGIES CO., LTD.</c:v>
                </c:pt>
              </c:strCache>
            </c:strRef>
          </c:tx>
          <c:marker>
            <c:symbol val="none"/>
          </c:marker>
          <c:cat>
            <c:numRef>
              <c:f>'[Statistics_20140319.xlsx]10'!$U$3:$AC$3</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'[Statistics_20140319.xlsx]10'!$U$5:$AC$5</c:f>
              <c:numCache>
                <c:formatCode>General</c:formatCode>
                <c:ptCount val="9"/>
                <c:pt idx="0">
                  <c:v>27</c:v>
                </c:pt>
                <c:pt idx="1">
                  <c:v>67</c:v>
                </c:pt>
                <c:pt idx="2">
                  <c:v>93</c:v>
                </c:pt>
                <c:pt idx="3">
                  <c:v>134</c:v>
                </c:pt>
                <c:pt idx="4">
                  <c:v>253</c:v>
                </c:pt>
                <c:pt idx="5">
                  <c:v>638</c:v>
                </c:pt>
                <c:pt idx="6">
                  <c:v>755</c:v>
                </c:pt>
                <c:pt idx="7">
                  <c:v>797</c:v>
                </c:pt>
                <c:pt idx="8">
                  <c:v>642</c:v>
                </c:pt>
              </c:numCache>
            </c:numRef>
          </c:val>
          <c:smooth val="0"/>
        </c:ser>
        <c:ser>
          <c:idx val="2"/>
          <c:order val="2"/>
          <c:tx>
            <c:strRef>
              <c:f>'[Statistics_20140319.xlsx]10'!$C$6</c:f>
              <c:strCache>
                <c:ptCount val="1"/>
                <c:pt idx="0">
                  <c:v>ZTE CORPORATION</c:v>
                </c:pt>
              </c:strCache>
            </c:strRef>
          </c:tx>
          <c:marker>
            <c:symbol val="none"/>
          </c:marker>
          <c:cat>
            <c:numRef>
              <c:f>'[Statistics_20140319.xlsx]10'!$U$3:$AC$3</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'[Statistics_20140319.xlsx]10'!$U$6:$AC$6</c:f>
              <c:numCache>
                <c:formatCode>General</c:formatCode>
                <c:ptCount val="9"/>
                <c:pt idx="0">
                  <c:v>3</c:v>
                </c:pt>
                <c:pt idx="1">
                  <c:v>3</c:v>
                </c:pt>
                <c:pt idx="2">
                  <c:v>21</c:v>
                </c:pt>
                <c:pt idx="3">
                  <c:v>42</c:v>
                </c:pt>
                <c:pt idx="4">
                  <c:v>71</c:v>
                </c:pt>
                <c:pt idx="5">
                  <c:v>64</c:v>
                </c:pt>
                <c:pt idx="6">
                  <c:v>76</c:v>
                </c:pt>
                <c:pt idx="7">
                  <c:v>215</c:v>
                </c:pt>
                <c:pt idx="8">
                  <c:v>316</c:v>
                </c:pt>
              </c:numCache>
            </c:numRef>
          </c:val>
          <c:smooth val="0"/>
        </c:ser>
        <c:ser>
          <c:idx val="3"/>
          <c:order val="3"/>
          <c:tx>
            <c:strRef>
              <c:f>'[Statistics_20140319.xlsx]10'!$C$7</c:f>
              <c:strCache>
                <c:ptCount val="1"/>
                <c:pt idx="0">
                  <c:v>SHENZHEN FUTAIHONG PRECISION INDUSTRY CO., LTD.</c:v>
                </c:pt>
              </c:strCache>
            </c:strRef>
          </c:tx>
          <c:marker>
            <c:symbol val="none"/>
          </c:marker>
          <c:cat>
            <c:numRef>
              <c:f>'[Statistics_20140319.xlsx]10'!$U$3:$AC$3</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'[Statistics_20140319.xlsx]10'!$U$7:$AC$7</c:f>
              <c:numCache>
                <c:formatCode>General</c:formatCode>
                <c:ptCount val="9"/>
                <c:pt idx="4">
                  <c:v>22</c:v>
                </c:pt>
                <c:pt idx="5">
                  <c:v>68</c:v>
                </c:pt>
                <c:pt idx="6">
                  <c:v>71</c:v>
                </c:pt>
                <c:pt idx="7">
                  <c:v>221</c:v>
                </c:pt>
                <c:pt idx="8">
                  <c:v>553</c:v>
                </c:pt>
              </c:numCache>
            </c:numRef>
          </c:val>
          <c:smooth val="0"/>
        </c:ser>
        <c:ser>
          <c:idx val="4"/>
          <c:order val="4"/>
          <c:tx>
            <c:strRef>
              <c:f>'[Statistics_20140319.xlsx]10'!$C$8</c:f>
              <c:strCache>
                <c:ptCount val="1"/>
                <c:pt idx="0">
                  <c:v>FOXCONN (KUNSHAN) COMPUTER INTERFACES CO., LTD.</c:v>
                </c:pt>
              </c:strCache>
            </c:strRef>
          </c:tx>
          <c:marker>
            <c:symbol val="none"/>
          </c:marker>
          <c:cat>
            <c:numRef>
              <c:f>'[Statistics_20140319.xlsx]10'!$U$3:$AC$3</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'[Statistics_20140319.xlsx]10'!$U$8:$AC$8</c:f>
              <c:numCache>
                <c:formatCode>General</c:formatCode>
                <c:ptCount val="9"/>
                <c:pt idx="3">
                  <c:v>60</c:v>
                </c:pt>
                <c:pt idx="4">
                  <c:v>97</c:v>
                </c:pt>
                <c:pt idx="5">
                  <c:v>120</c:v>
                </c:pt>
                <c:pt idx="6">
                  <c:v>188</c:v>
                </c:pt>
                <c:pt idx="7">
                  <c:v>277</c:v>
                </c:pt>
                <c:pt idx="8">
                  <c:v>260</c:v>
                </c:pt>
              </c:numCache>
            </c:numRef>
          </c:val>
          <c:smooth val="0"/>
        </c:ser>
        <c:dLbls>
          <c:showLegendKey val="0"/>
          <c:showVal val="0"/>
          <c:showCatName val="0"/>
          <c:showSerName val="0"/>
          <c:showPercent val="0"/>
          <c:showBubbleSize val="0"/>
        </c:dLbls>
        <c:marker val="1"/>
        <c:smooth val="0"/>
        <c:axId val="68028288"/>
        <c:axId val="68029824"/>
      </c:lineChart>
      <c:catAx>
        <c:axId val="68028288"/>
        <c:scaling>
          <c:orientation val="minMax"/>
        </c:scaling>
        <c:delete val="0"/>
        <c:axPos val="b"/>
        <c:numFmt formatCode="General" sourceLinked="1"/>
        <c:majorTickMark val="out"/>
        <c:minorTickMark val="none"/>
        <c:tickLblPos val="nextTo"/>
        <c:txPr>
          <a:bodyPr/>
          <a:lstStyle/>
          <a:p>
            <a:pPr algn="ctr">
              <a:defRPr lang="ja-JP" altLang="en-US" sz="800" b="0" i="0" u="none" strike="noStrike" kern="1200" baseline="0">
                <a:solidFill>
                  <a:sysClr val="windowText" lastClr="000000"/>
                </a:solidFill>
                <a:latin typeface="+mn-lt"/>
                <a:ea typeface="+mn-ea"/>
                <a:cs typeface="+mn-cs"/>
              </a:defRPr>
            </a:pPr>
            <a:endParaRPr lang="en-US"/>
          </a:p>
        </c:txPr>
        <c:crossAx val="68029824"/>
        <c:crosses val="autoZero"/>
        <c:auto val="1"/>
        <c:lblAlgn val="ctr"/>
        <c:lblOffset val="100"/>
        <c:noMultiLvlLbl val="0"/>
      </c:catAx>
      <c:valAx>
        <c:axId val="68029824"/>
        <c:scaling>
          <c:orientation val="minMax"/>
        </c:scaling>
        <c:delete val="0"/>
        <c:axPos val="l"/>
        <c:majorGridlines/>
        <c:numFmt formatCode="#,##0_);[Red]\(#,##0\)" sourceLinked="0"/>
        <c:majorTickMark val="out"/>
        <c:minorTickMark val="none"/>
        <c:tickLblPos val="nextTo"/>
        <c:txPr>
          <a:bodyPr/>
          <a:lstStyle/>
          <a:p>
            <a:pPr algn="ctr">
              <a:defRPr lang="ja-JP" altLang="en-US" sz="800" b="0" i="0" u="none" strike="noStrike" kern="1200" baseline="0">
                <a:solidFill>
                  <a:sysClr val="windowText" lastClr="000000"/>
                </a:solidFill>
                <a:latin typeface="+mn-lt"/>
                <a:ea typeface="+mn-ea"/>
                <a:cs typeface="+mn-cs"/>
              </a:defRPr>
            </a:pPr>
            <a:endParaRPr lang="en-US"/>
          </a:p>
        </c:txPr>
        <c:crossAx val="68028288"/>
        <c:crosses val="autoZero"/>
        <c:crossBetween val="between"/>
        <c:majorUnit val="500"/>
      </c:valAx>
    </c:plotArea>
    <c:legend>
      <c:legendPos val="b"/>
      <c:layout>
        <c:manualLayout>
          <c:xMode val="edge"/>
          <c:yMode val="edge"/>
          <c:x val="4.7531667237247541E-2"/>
          <c:y val="0.76001567512394319"/>
          <c:w val="0.93267803263722493"/>
          <c:h val="0.21220654709827899"/>
        </c:manualLayout>
      </c:layout>
      <c:overlay val="0"/>
      <c:txPr>
        <a:bodyPr/>
        <a:lstStyle/>
        <a:p>
          <a:pPr>
            <a:defRPr lang="ja-JP" altLang="en-US"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'[Statistics.xlsx]10a'!$C$31:$C$40</c:f>
              <c:strCache>
                <c:ptCount val="10"/>
                <c:pt idx="0">
                  <c:v>ZTE CORPORATION</c:v>
                </c:pt>
                <c:pt idx="1">
                  <c:v>HUAWEI TECHNOLOGIES CO., LTD.</c:v>
                </c:pt>
                <c:pt idx="2">
                  <c:v>TSINGHUA UNIVERSITY</c:v>
                </c:pt>
                <c:pt idx="3">
                  <c:v>CHINA PETROLEUM &amp; CHEMICAL CORPORATION</c:v>
                </c:pt>
                <c:pt idx="4">
                  <c:v>FUZHUN PRECISION INDUSTRY (SHENZHEN) CO., LTD.</c:v>
                </c:pt>
                <c:pt idx="5">
                  <c:v>SHENZHEN FUTAIHONG PRECISION INDUSTRY CO., LTD.</c:v>
                </c:pt>
                <c:pt idx="6">
                  <c:v>HONGFUJIN PRECISION INDUSTRY (SHENZHEN) CO., LTD.</c:v>
                </c:pt>
                <c:pt idx="7">
                  <c:v>BYD CO., LTD.</c:v>
                </c:pt>
                <c:pt idx="8">
                  <c:v>SILITEK ELECTRONIC (GUANGZHOU) CO., LTD.</c:v>
                </c:pt>
                <c:pt idx="9">
                  <c:v>FOXCONN (KUNSHAN) COMPUTER INTERFACES CO., LTD.</c:v>
                </c:pt>
              </c:strCache>
            </c:strRef>
          </c:cat>
          <c:val>
            <c:numRef>
              <c:f>'[Statistics.xlsx]10a'!$D$31:$D$40</c:f>
              <c:numCache>
                <c:formatCode>0.0%</c:formatCode>
                <c:ptCount val="10"/>
                <c:pt idx="0">
                  <c:v>0.99475806451612903</c:v>
                </c:pt>
                <c:pt idx="1">
                  <c:v>0.99386762529075856</c:v>
                </c:pt>
                <c:pt idx="2">
                  <c:v>0.99371727748691097</c:v>
                </c:pt>
                <c:pt idx="3">
                  <c:v>0.99263351749539663</c:v>
                </c:pt>
                <c:pt idx="4">
                  <c:v>0.97993827160493863</c:v>
                </c:pt>
                <c:pt idx="5">
                  <c:v>0.95870393900889594</c:v>
                </c:pt>
                <c:pt idx="6">
                  <c:v>0.89158219479947021</c:v>
                </c:pt>
                <c:pt idx="7">
                  <c:v>0.82945736434108497</c:v>
                </c:pt>
                <c:pt idx="8">
                  <c:v>0.74438202247190999</c:v>
                </c:pt>
                <c:pt idx="9">
                  <c:v>0.16873773708306117</c:v>
                </c:pt>
              </c:numCache>
            </c:numRef>
          </c:val>
        </c:ser>
        <c:dLbls>
          <c:showLegendKey val="0"/>
          <c:showVal val="0"/>
          <c:showCatName val="0"/>
          <c:showSerName val="0"/>
          <c:showPercent val="0"/>
          <c:showBubbleSize val="0"/>
        </c:dLbls>
        <c:gapWidth val="150"/>
        <c:axId val="68046848"/>
        <c:axId val="68048384"/>
      </c:barChart>
      <c:catAx>
        <c:axId val="68046848"/>
        <c:scaling>
          <c:orientation val="minMax"/>
        </c:scaling>
        <c:delete val="0"/>
        <c:axPos val="b"/>
        <c:majorTickMark val="out"/>
        <c:minorTickMark val="none"/>
        <c:tickLblPos val="nextTo"/>
        <c:txPr>
          <a:bodyPr/>
          <a:lstStyle/>
          <a:p>
            <a:pPr algn="ctr">
              <a:defRPr lang="ja-JP" altLang="en-US" sz="600" b="0" i="0" u="none" strike="noStrike" kern="1200" baseline="0">
                <a:solidFill>
                  <a:sysClr val="windowText" lastClr="000000"/>
                </a:solidFill>
                <a:latin typeface="+mn-lt"/>
                <a:ea typeface="+mn-ea"/>
                <a:cs typeface="+mn-cs"/>
              </a:defRPr>
            </a:pPr>
            <a:endParaRPr lang="en-US"/>
          </a:p>
        </c:txPr>
        <c:crossAx val="68048384"/>
        <c:crosses val="autoZero"/>
        <c:auto val="1"/>
        <c:lblAlgn val="ctr"/>
        <c:lblOffset val="100"/>
        <c:noMultiLvlLbl val="0"/>
      </c:catAx>
      <c:valAx>
        <c:axId val="68048384"/>
        <c:scaling>
          <c:orientation val="minMax"/>
          <c:max val="1"/>
        </c:scaling>
        <c:delete val="0"/>
        <c:axPos val="l"/>
        <c:majorGridlines/>
        <c:numFmt formatCode="0%" sourceLinked="0"/>
        <c:majorTickMark val="out"/>
        <c:minorTickMark val="none"/>
        <c:tickLblPos val="nextTo"/>
        <c:txPr>
          <a:bodyPr/>
          <a:lstStyle/>
          <a:p>
            <a:pPr algn="ctr">
              <a:defRPr lang="ja-JP" altLang="en-US" sz="800" b="0" i="0" u="none" strike="noStrike" kern="1200" baseline="0">
                <a:solidFill>
                  <a:sysClr val="windowText" lastClr="000000"/>
                </a:solidFill>
                <a:latin typeface="+mn-lt"/>
                <a:ea typeface="+mn-ea"/>
                <a:cs typeface="+mn-cs"/>
              </a:defRPr>
            </a:pPr>
            <a:endParaRPr lang="en-US"/>
          </a:p>
        </c:txPr>
        <c:crossAx val="68046848"/>
        <c:crosses val="autoZero"/>
        <c:crossBetween val="between"/>
        <c:majorUnit val="0.2"/>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'10c'!$A$43:$A$52</c:f>
              <c:strCache>
                <c:ptCount val="10"/>
                <c:pt idx="0">
                  <c:v>CHINA PETROLEUM &amp; CHEMICAL CORPORATION</c:v>
                </c:pt>
                <c:pt idx="1">
                  <c:v>BYD CO., LTD.</c:v>
                </c:pt>
                <c:pt idx="2">
                  <c:v>ZTE CORPORATION</c:v>
                </c:pt>
                <c:pt idx="3">
                  <c:v>TSINGHUA UNIVERSITY</c:v>
                </c:pt>
                <c:pt idx="4">
                  <c:v>HUAWEI TECHNOLOGIES CO., LTD.</c:v>
                </c:pt>
                <c:pt idx="5">
                  <c:v>SILITEK ELECTRONIC (GUANGZHOU) CO., LTD.</c:v>
                </c:pt>
                <c:pt idx="6">
                  <c:v>SHENZHEN FUTAIHONG PRECISION INDUSTRY CO., LTD.</c:v>
                </c:pt>
                <c:pt idx="7">
                  <c:v>FOXCONN (KUNSHAN) COMPUTER INTERFACES CO., LTD.</c:v>
                </c:pt>
                <c:pt idx="8">
                  <c:v>HONGFUJIN PRECISION INDUSTRY (SHENZHEN) CO., LTD.</c:v>
                </c:pt>
                <c:pt idx="9">
                  <c:v>FUZHUN PRECISION INDUSTRY (SHENZHEN) CO., LTD.</c:v>
                </c:pt>
              </c:strCache>
            </c:strRef>
          </c:cat>
          <c:val>
            <c:numRef>
              <c:f>'10c'!$B$43:$B$52</c:f>
              <c:numCache>
                <c:formatCode>General</c:formatCode>
                <c:ptCount val="10"/>
                <c:pt idx="0">
                  <c:v>2.829126</c:v>
                </c:pt>
                <c:pt idx="1">
                  <c:v>2.1627299999999998</c:v>
                </c:pt>
                <c:pt idx="2">
                  <c:v>2.1138469999999967</c:v>
                </c:pt>
                <c:pt idx="3">
                  <c:v>1.9531419999999999</c:v>
                </c:pt>
                <c:pt idx="4">
                  <c:v>1.947368</c:v>
                </c:pt>
                <c:pt idx="5">
                  <c:v>1.2407409999999999</c:v>
                </c:pt>
                <c:pt idx="6">
                  <c:v>1.133588</c:v>
                </c:pt>
                <c:pt idx="7">
                  <c:v>1.071852</c:v>
                </c:pt>
                <c:pt idx="8">
                  <c:v>1.0446820000000001</c:v>
                </c:pt>
                <c:pt idx="9">
                  <c:v>1.042438</c:v>
                </c:pt>
              </c:numCache>
            </c:numRef>
          </c:val>
        </c:ser>
        <c:dLbls>
          <c:showLegendKey val="0"/>
          <c:showVal val="0"/>
          <c:showCatName val="0"/>
          <c:showSerName val="0"/>
          <c:showPercent val="0"/>
          <c:showBubbleSize val="0"/>
        </c:dLbls>
        <c:gapWidth val="150"/>
        <c:axId val="68064000"/>
        <c:axId val="68065536"/>
      </c:barChart>
      <c:catAx>
        <c:axId val="68064000"/>
        <c:scaling>
          <c:orientation val="minMax"/>
        </c:scaling>
        <c:delete val="0"/>
        <c:axPos val="b"/>
        <c:majorTickMark val="out"/>
        <c:minorTickMark val="none"/>
        <c:tickLblPos val="nextTo"/>
        <c:txPr>
          <a:bodyPr/>
          <a:lstStyle/>
          <a:p>
            <a:pPr>
              <a:defRPr lang="ja-JP" sz="600"/>
            </a:pPr>
            <a:endParaRPr lang="en-US"/>
          </a:p>
        </c:txPr>
        <c:crossAx val="68065536"/>
        <c:crosses val="autoZero"/>
        <c:auto val="1"/>
        <c:lblAlgn val="ctr"/>
        <c:lblOffset val="100"/>
        <c:noMultiLvlLbl val="0"/>
      </c:catAx>
      <c:valAx>
        <c:axId val="68065536"/>
        <c:scaling>
          <c:orientation val="minMax"/>
        </c:scaling>
        <c:delete val="0"/>
        <c:axPos val="l"/>
        <c:majorGridlines/>
        <c:numFmt formatCode="General" sourceLinked="1"/>
        <c:majorTickMark val="out"/>
        <c:minorTickMark val="none"/>
        <c:tickLblPos val="nextTo"/>
        <c:txPr>
          <a:bodyPr/>
          <a:lstStyle/>
          <a:p>
            <a:pPr>
              <a:defRPr lang="ja-JP" sz="800"/>
            </a:pPr>
            <a:endParaRPr lang="en-US"/>
          </a:p>
        </c:txPr>
        <c:crossAx val="68064000"/>
        <c:crosses val="autoZero"/>
        <c:crossBetween val="between"/>
        <c:majorUnit val="1"/>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'10c'!$B$27</c:f>
              <c:strCache>
                <c:ptCount val="1"/>
                <c:pt idx="0">
                  <c:v>EP</c:v>
                </c:pt>
              </c:strCache>
            </c:strRef>
          </c:tx>
          <c:invertIfNegative val="0"/>
          <c:cat>
            <c:strRef>
              <c:f>'10c'!$A$28:$A$37</c:f>
              <c:strCache>
                <c:ptCount val="10"/>
                <c:pt idx="0">
                  <c:v>BYD CO., LTD.</c:v>
                </c:pt>
                <c:pt idx="1">
                  <c:v>CHINA PETROLEUM &amp; CHEMICAL CORPORATION</c:v>
                </c:pt>
                <c:pt idx="2">
                  <c:v>FOXCONN (KUNSHAN) COMPUTER INTERFACES CO., LTD.</c:v>
                </c:pt>
                <c:pt idx="3">
                  <c:v>FUZHUN PRECISION INDUSTRY (SHENZHEN) CO., LTD.</c:v>
                </c:pt>
                <c:pt idx="4">
                  <c:v>HONGFUJIN PRECISION INDUSTRY (SHENZHEN) CO., LTD.</c:v>
                </c:pt>
                <c:pt idx="5">
                  <c:v>HUAWEI TECHNOLOGIES CO., LTD.</c:v>
                </c:pt>
                <c:pt idx="6">
                  <c:v>SHENZHEN FUTAIHONG PRECISION INDUSTRY CO., LTD.</c:v>
                </c:pt>
                <c:pt idx="7">
                  <c:v>SILITEK ELECTRONIC (GUANGZHOU) CO., LTD.</c:v>
                </c:pt>
                <c:pt idx="8">
                  <c:v>ZTE CORPORATION</c:v>
                </c:pt>
                <c:pt idx="9">
                  <c:v>TSINGHUA UNIVERSITY</c:v>
                </c:pt>
              </c:strCache>
            </c:strRef>
          </c:cat>
          <c:val>
            <c:numRef>
              <c:f>'10c'!$B$28:$B$37</c:f>
              <c:numCache>
                <c:formatCode>0.0%</c:formatCode>
                <c:ptCount val="10"/>
                <c:pt idx="0">
                  <c:v>0.29238750000000047</c:v>
                </c:pt>
                <c:pt idx="1">
                  <c:v>0.13341570000000016</c:v>
                </c:pt>
                <c:pt idx="5">
                  <c:v>0.39353980000000033</c:v>
                </c:pt>
                <c:pt idx="8">
                  <c:v>0.40767930000000002</c:v>
                </c:pt>
              </c:numCache>
            </c:numRef>
          </c:val>
        </c:ser>
        <c:ser>
          <c:idx val="1"/>
          <c:order val="1"/>
          <c:tx>
            <c:strRef>
              <c:f>'10c'!$C$27</c:f>
              <c:strCache>
                <c:ptCount val="1"/>
                <c:pt idx="0">
                  <c:v>JP</c:v>
                </c:pt>
              </c:strCache>
            </c:strRef>
          </c:tx>
          <c:invertIfNegative val="0"/>
          <c:cat>
            <c:strRef>
              <c:f>'10c'!$A$28:$A$37</c:f>
              <c:strCache>
                <c:ptCount val="10"/>
                <c:pt idx="0">
                  <c:v>BYD CO., LTD.</c:v>
                </c:pt>
                <c:pt idx="1">
                  <c:v>CHINA PETROLEUM &amp; CHEMICAL CORPORATION</c:v>
                </c:pt>
                <c:pt idx="2">
                  <c:v>FOXCONN (KUNSHAN) COMPUTER INTERFACES CO., LTD.</c:v>
                </c:pt>
                <c:pt idx="3">
                  <c:v>FUZHUN PRECISION INDUSTRY (SHENZHEN) CO., LTD.</c:v>
                </c:pt>
                <c:pt idx="4">
                  <c:v>HONGFUJIN PRECISION INDUSTRY (SHENZHEN) CO., LTD.</c:v>
                </c:pt>
                <c:pt idx="5">
                  <c:v>HUAWEI TECHNOLOGIES CO., LTD.</c:v>
                </c:pt>
                <c:pt idx="6">
                  <c:v>SHENZHEN FUTAIHONG PRECISION INDUSTRY CO., LTD.</c:v>
                </c:pt>
                <c:pt idx="7">
                  <c:v>SILITEK ELECTRONIC (GUANGZHOU) CO., LTD.</c:v>
                </c:pt>
                <c:pt idx="8">
                  <c:v>ZTE CORPORATION</c:v>
                </c:pt>
                <c:pt idx="9">
                  <c:v>TSINGHUA UNIVERSITY</c:v>
                </c:pt>
              </c:strCache>
            </c:strRef>
          </c:cat>
          <c:val>
            <c:numRef>
              <c:f>'10c'!$C$28:$C$37</c:f>
              <c:numCache>
                <c:formatCode>0.0%</c:formatCode>
                <c:ptCount val="10"/>
                <c:pt idx="0">
                  <c:v>0.12629760000000001</c:v>
                </c:pt>
                <c:pt idx="1">
                  <c:v>0.14329830000000027</c:v>
                </c:pt>
                <c:pt idx="6">
                  <c:v>9.2171000000000031E-2</c:v>
                </c:pt>
                <c:pt idx="8">
                  <c:v>9.2791300000000007E-2</c:v>
                </c:pt>
                <c:pt idx="9">
                  <c:v>0.16643310000000017</c:v>
                </c:pt>
              </c:numCache>
            </c:numRef>
          </c:val>
        </c:ser>
        <c:ser>
          <c:idx val="2"/>
          <c:order val="2"/>
          <c:tx>
            <c:strRef>
              <c:f>'10c'!$D$27</c:f>
              <c:strCache>
                <c:ptCount val="1"/>
                <c:pt idx="0">
                  <c:v>KR</c:v>
                </c:pt>
              </c:strCache>
            </c:strRef>
          </c:tx>
          <c:invertIfNegative val="0"/>
          <c:cat>
            <c:strRef>
              <c:f>'10c'!$A$28:$A$37</c:f>
              <c:strCache>
                <c:ptCount val="10"/>
                <c:pt idx="0">
                  <c:v>BYD CO., LTD.</c:v>
                </c:pt>
                <c:pt idx="1">
                  <c:v>CHINA PETROLEUM &amp; CHEMICAL CORPORATION</c:v>
                </c:pt>
                <c:pt idx="2">
                  <c:v>FOXCONN (KUNSHAN) COMPUTER INTERFACES CO., LTD.</c:v>
                </c:pt>
                <c:pt idx="3">
                  <c:v>FUZHUN PRECISION INDUSTRY (SHENZHEN) CO., LTD.</c:v>
                </c:pt>
                <c:pt idx="4">
                  <c:v>HONGFUJIN PRECISION INDUSTRY (SHENZHEN) CO., LTD.</c:v>
                </c:pt>
                <c:pt idx="5">
                  <c:v>HUAWEI TECHNOLOGIES CO., LTD.</c:v>
                </c:pt>
                <c:pt idx="6">
                  <c:v>SHENZHEN FUTAIHONG PRECISION INDUSTRY CO., LTD.</c:v>
                </c:pt>
                <c:pt idx="7">
                  <c:v>SILITEK ELECTRONIC (GUANGZHOU) CO., LTD.</c:v>
                </c:pt>
                <c:pt idx="8">
                  <c:v>ZTE CORPORATION</c:v>
                </c:pt>
                <c:pt idx="9">
                  <c:v>TSINGHUA UNIVERSITY</c:v>
                </c:pt>
              </c:strCache>
            </c:strRef>
          </c:cat>
          <c:val>
            <c:numRef>
              <c:f>'10c'!$D$28:$D$37</c:f>
              <c:numCache>
                <c:formatCode>0.0%</c:formatCode>
                <c:ptCount val="10"/>
                <c:pt idx="0">
                  <c:v>0.1237024000000001</c:v>
                </c:pt>
                <c:pt idx="1">
                  <c:v>0.11920939999999998</c:v>
                </c:pt>
              </c:numCache>
            </c:numRef>
          </c:val>
        </c:ser>
        <c:ser>
          <c:idx val="3"/>
          <c:order val="3"/>
          <c:tx>
            <c:strRef>
              <c:f>'10c'!$E$27</c:f>
              <c:strCache>
                <c:ptCount val="1"/>
                <c:pt idx="0">
                  <c:v>US</c:v>
                </c:pt>
              </c:strCache>
            </c:strRef>
          </c:tx>
          <c:invertIfNegative val="0"/>
          <c:cat>
            <c:strRef>
              <c:f>'10c'!$A$28:$A$37</c:f>
              <c:strCache>
                <c:ptCount val="10"/>
                <c:pt idx="0">
                  <c:v>BYD CO., LTD.</c:v>
                </c:pt>
                <c:pt idx="1">
                  <c:v>CHINA PETROLEUM &amp; CHEMICAL CORPORATION</c:v>
                </c:pt>
                <c:pt idx="2">
                  <c:v>FOXCONN (KUNSHAN) COMPUTER INTERFACES CO., LTD.</c:v>
                </c:pt>
                <c:pt idx="3">
                  <c:v>FUZHUN PRECISION INDUSTRY (SHENZHEN) CO., LTD.</c:v>
                </c:pt>
                <c:pt idx="4">
                  <c:v>HONGFUJIN PRECISION INDUSTRY (SHENZHEN) CO., LTD.</c:v>
                </c:pt>
                <c:pt idx="5">
                  <c:v>HUAWEI TECHNOLOGIES CO., LTD.</c:v>
                </c:pt>
                <c:pt idx="6">
                  <c:v>SHENZHEN FUTAIHONG PRECISION INDUSTRY CO., LTD.</c:v>
                </c:pt>
                <c:pt idx="7">
                  <c:v>SILITEK ELECTRONIC (GUANGZHOU) CO., LTD.</c:v>
                </c:pt>
                <c:pt idx="8">
                  <c:v>ZTE CORPORATION</c:v>
                </c:pt>
                <c:pt idx="9">
                  <c:v>TSINGHUA UNIVERSITY</c:v>
                </c:pt>
              </c:strCache>
            </c:strRef>
          </c:cat>
          <c:val>
            <c:numRef>
              <c:f>'10c'!$E$28:$E$37</c:f>
              <c:numCache>
                <c:formatCode>0.0%</c:formatCode>
                <c:ptCount val="10"/>
                <c:pt idx="0">
                  <c:v>0.37629760000000001</c:v>
                </c:pt>
                <c:pt idx="1">
                  <c:v>0.28844970000000031</c:v>
                </c:pt>
                <c:pt idx="2">
                  <c:v>0.90310999999999997</c:v>
                </c:pt>
                <c:pt idx="3">
                  <c:v>0.94566819999999996</c:v>
                </c:pt>
                <c:pt idx="4">
                  <c:v>0.95413680000000001</c:v>
                </c:pt>
                <c:pt idx="5">
                  <c:v>0.40417050000000032</c:v>
                </c:pt>
                <c:pt idx="6">
                  <c:v>0.87506940000000066</c:v>
                </c:pt>
                <c:pt idx="7">
                  <c:v>0.39808150000000048</c:v>
                </c:pt>
                <c:pt idx="9">
                  <c:v>0.64330759999999998</c:v>
                </c:pt>
              </c:numCache>
            </c:numRef>
          </c:val>
        </c:ser>
        <c:dLbls>
          <c:showLegendKey val="0"/>
          <c:showVal val="0"/>
          <c:showCatName val="0"/>
          <c:showSerName val="0"/>
          <c:showPercent val="0"/>
          <c:showBubbleSize val="0"/>
        </c:dLbls>
        <c:gapWidth val="150"/>
        <c:axId val="68227072"/>
        <c:axId val="68228608"/>
      </c:barChart>
      <c:catAx>
        <c:axId val="68227072"/>
        <c:scaling>
          <c:orientation val="minMax"/>
        </c:scaling>
        <c:delete val="0"/>
        <c:axPos val="b"/>
        <c:majorTickMark val="out"/>
        <c:minorTickMark val="none"/>
        <c:tickLblPos val="nextTo"/>
        <c:txPr>
          <a:bodyPr/>
          <a:lstStyle/>
          <a:p>
            <a:pPr>
              <a:defRPr lang="ja-JP" sz="600"/>
            </a:pPr>
            <a:endParaRPr lang="en-US"/>
          </a:p>
        </c:txPr>
        <c:crossAx val="68228608"/>
        <c:crosses val="autoZero"/>
        <c:auto val="1"/>
        <c:lblAlgn val="ctr"/>
        <c:lblOffset val="100"/>
        <c:noMultiLvlLbl val="0"/>
      </c:catAx>
      <c:valAx>
        <c:axId val="68228608"/>
        <c:scaling>
          <c:orientation val="minMax"/>
          <c:max val="1"/>
        </c:scaling>
        <c:delete val="0"/>
        <c:axPos val="l"/>
        <c:majorGridlines/>
        <c:numFmt formatCode="0%" sourceLinked="0"/>
        <c:majorTickMark val="out"/>
        <c:minorTickMark val="none"/>
        <c:tickLblPos val="nextTo"/>
        <c:txPr>
          <a:bodyPr/>
          <a:lstStyle/>
          <a:p>
            <a:pPr>
              <a:defRPr lang="ja-JP" sz="800"/>
            </a:pPr>
            <a:endParaRPr lang="en-US"/>
          </a:p>
        </c:txPr>
        <c:crossAx val="68227072"/>
        <c:crosses val="autoZero"/>
        <c:crossBetween val="between"/>
        <c:majorUnit val="0.2"/>
      </c:valAx>
    </c:plotArea>
    <c:legend>
      <c:legendPos val="b"/>
      <c:overlay val="0"/>
      <c:txPr>
        <a:bodyPr/>
        <a:lstStyle/>
        <a:p>
          <a:pPr>
            <a:defRPr lang="ja-JP" sz="800"/>
          </a:pPr>
          <a:endParaRPr lang="en-US"/>
        </a:p>
      </c:txPr>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'[Statistics.xlsx]2'!$D$14</c:f>
              <c:strCache>
                <c:ptCount val="1"/>
                <c:pt idx="0">
                  <c:v>at least one PCT application</c:v>
                </c:pt>
              </c:strCache>
            </c:strRef>
          </c:tx>
          <c:invertIfNegative val="0"/>
          <c:cat>
            <c:strRef>
              <c:f>'[Statistics.xlsx]2'!$E$13:$R$13</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'[Statistics.xlsx]2'!$E$14:$R$14</c:f>
              <c:numCache>
                <c:formatCode>0.0%</c:formatCode>
                <c:ptCount val="14"/>
                <c:pt idx="0">
                  <c:v>0</c:v>
                </c:pt>
                <c:pt idx="1">
                  <c:v>4.0268456375838904E-3</c:v>
                </c:pt>
                <c:pt idx="2">
                  <c:v>0.19792973651192036</c:v>
                </c:pt>
                <c:pt idx="3">
                  <c:v>0.33107101139888073</c:v>
                </c:pt>
                <c:pt idx="4">
                  <c:v>0.30049751243781098</c:v>
                </c:pt>
                <c:pt idx="5">
                  <c:v>0.33711048158640267</c:v>
                </c:pt>
                <c:pt idx="6">
                  <c:v>0.32342569269521454</c:v>
                </c:pt>
                <c:pt idx="7">
                  <c:v>0.33452098178939099</c:v>
                </c:pt>
                <c:pt idx="8">
                  <c:v>0.30347298787210686</c:v>
                </c:pt>
                <c:pt idx="9">
                  <c:v>0.31930434782608746</c:v>
                </c:pt>
                <c:pt idx="10">
                  <c:v>0.32501155802126702</c:v>
                </c:pt>
                <c:pt idx="11">
                  <c:v>0.31197492163009466</c:v>
                </c:pt>
                <c:pt idx="12">
                  <c:v>0.30131198576829055</c:v>
                </c:pt>
                <c:pt idx="13">
                  <c:v>0.39737108190091069</c:v>
                </c:pt>
              </c:numCache>
            </c:numRef>
          </c:val>
        </c:ser>
        <c:ser>
          <c:idx val="1"/>
          <c:order val="1"/>
          <c:tx>
            <c:strRef>
              <c:f>'[Statistics.xlsx]2'!$D$15</c:f>
              <c:strCache>
                <c:ptCount val="1"/>
                <c:pt idx="0">
                  <c:v>only direct applications</c:v>
                </c:pt>
              </c:strCache>
            </c:strRef>
          </c:tx>
          <c:invertIfNegative val="0"/>
          <c:cat>
            <c:strRef>
              <c:f>'[Statistics.xlsx]2'!$E$13:$R$13</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'[Statistics.xlsx]2'!$E$15:$R$15</c:f>
              <c:numCache>
                <c:formatCode>0.0%</c:formatCode>
                <c:ptCount val="14"/>
                <c:pt idx="0">
                  <c:v>1</c:v>
                </c:pt>
                <c:pt idx="1">
                  <c:v>0.99597315436241596</c:v>
                </c:pt>
                <c:pt idx="2">
                  <c:v>0.80207026348808108</c:v>
                </c:pt>
                <c:pt idx="3">
                  <c:v>0.66892898860112093</c:v>
                </c:pt>
                <c:pt idx="4">
                  <c:v>0.69950248756218902</c:v>
                </c:pt>
                <c:pt idx="5">
                  <c:v>0.6628895184136</c:v>
                </c:pt>
                <c:pt idx="6">
                  <c:v>0.67657430730478696</c:v>
                </c:pt>
                <c:pt idx="7">
                  <c:v>0.66547901821061095</c:v>
                </c:pt>
                <c:pt idx="8">
                  <c:v>0.69652701212789492</c:v>
                </c:pt>
                <c:pt idx="9">
                  <c:v>0.6806956521739147</c:v>
                </c:pt>
                <c:pt idx="10">
                  <c:v>0.67498844197873364</c:v>
                </c:pt>
                <c:pt idx="11">
                  <c:v>0.68802507836990678</c:v>
                </c:pt>
                <c:pt idx="12">
                  <c:v>0.69868801423171079</c:v>
                </c:pt>
                <c:pt idx="13">
                  <c:v>0.60262891809909147</c:v>
                </c:pt>
              </c:numCache>
            </c:numRef>
          </c:val>
        </c:ser>
        <c:dLbls>
          <c:showLegendKey val="0"/>
          <c:showVal val="0"/>
          <c:showCatName val="0"/>
          <c:showSerName val="0"/>
          <c:showPercent val="0"/>
          <c:showBubbleSize val="0"/>
        </c:dLbls>
        <c:gapWidth val="150"/>
        <c:overlap val="100"/>
        <c:axId val="68249472"/>
        <c:axId val="68251008"/>
      </c:barChart>
      <c:catAx>
        <c:axId val="68249472"/>
        <c:scaling>
          <c:orientation val="minMax"/>
        </c:scaling>
        <c:delete val="0"/>
        <c:axPos val="b"/>
        <c:majorTickMark val="out"/>
        <c:minorTickMark val="none"/>
        <c:tickLblPos val="nextTo"/>
        <c:txPr>
          <a:bodyPr rot="-2700000" vert="horz"/>
          <a:lstStyle/>
          <a:p>
            <a:pPr>
              <a:defRPr lang="ja-JP" sz="800"/>
            </a:pPr>
            <a:endParaRPr lang="en-US"/>
          </a:p>
        </c:txPr>
        <c:crossAx val="68251008"/>
        <c:crosses val="autoZero"/>
        <c:auto val="1"/>
        <c:lblAlgn val="ctr"/>
        <c:lblOffset val="100"/>
        <c:tickLblSkip val="1"/>
        <c:noMultiLvlLbl val="0"/>
      </c:catAx>
      <c:valAx>
        <c:axId val="68251008"/>
        <c:scaling>
          <c:orientation val="minMax"/>
          <c:max val="1"/>
        </c:scaling>
        <c:delete val="0"/>
        <c:axPos val="l"/>
        <c:majorGridlines/>
        <c:numFmt formatCode="0%" sourceLinked="0"/>
        <c:majorTickMark val="out"/>
        <c:minorTickMark val="none"/>
        <c:tickLblPos val="nextTo"/>
        <c:txPr>
          <a:bodyPr/>
          <a:lstStyle/>
          <a:p>
            <a:pPr>
              <a:defRPr lang="ja-JP" sz="800"/>
            </a:pPr>
            <a:endParaRPr lang="en-US"/>
          </a:p>
        </c:txPr>
        <c:crossAx val="68249472"/>
        <c:crosses val="autoZero"/>
        <c:crossBetween val="between"/>
      </c:valAx>
    </c:plotArea>
    <c:legend>
      <c:legendPos val="b"/>
      <c:overlay val="0"/>
      <c:txPr>
        <a:bodyPr/>
        <a:lstStyle/>
        <a:p>
          <a:pPr>
            <a:defRPr lang="ja-JP" sz="800"/>
          </a:pPr>
          <a:endParaRPr lang="en-US"/>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'10a'!$C$17:$C$26</c:f>
              <c:strCache>
                <c:ptCount val="10"/>
                <c:pt idx="0">
                  <c:v>ZTE CORPORATION</c:v>
                </c:pt>
                <c:pt idx="1">
                  <c:v>HUAWEI TECHNOLOGIES CO., LTD.</c:v>
                </c:pt>
                <c:pt idx="2">
                  <c:v>BYD CO., LTD.</c:v>
                </c:pt>
                <c:pt idx="3">
                  <c:v>CHINA PETROLEUM &amp; CHEMICAL CORPORATION</c:v>
                </c:pt>
                <c:pt idx="4">
                  <c:v>TSINGHUA UNIVERSITY</c:v>
                </c:pt>
                <c:pt idx="5">
                  <c:v>FOXCONN (KUNSHAN) COMPUTER INTERFACES CO., LTD.</c:v>
                </c:pt>
                <c:pt idx="6">
                  <c:v>HONGFUJIN PRECISION INDUSTRY (SHENZHEN) CO., LTD.</c:v>
                </c:pt>
                <c:pt idx="7">
                  <c:v>SHENZHEN FUTAIHONG PRECISION INDUSTRY CO., LTD.</c:v>
                </c:pt>
                <c:pt idx="8">
                  <c:v>FUZHUN PRECISION INDUSTRY (SHENZHEN) CO., LTD.</c:v>
                </c:pt>
                <c:pt idx="9">
                  <c:v>SILITEK ELECTRONIC (GUANGZHOU) CO., LTD.</c:v>
                </c:pt>
              </c:strCache>
            </c:strRef>
          </c:cat>
          <c:val>
            <c:numRef>
              <c:f>'10a'!$D$17:$D$26</c:f>
              <c:numCache>
                <c:formatCode>0.0%</c:formatCode>
                <c:ptCount val="10"/>
                <c:pt idx="0">
                  <c:v>0.97661290322580663</c:v>
                </c:pt>
                <c:pt idx="1">
                  <c:v>0.92471981391414793</c:v>
                </c:pt>
                <c:pt idx="2">
                  <c:v>0.71317829457364479</c:v>
                </c:pt>
                <c:pt idx="3">
                  <c:v>0.45672191528545147</c:v>
                </c:pt>
                <c:pt idx="4">
                  <c:v>0.19057591623036588</c:v>
                </c:pt>
                <c:pt idx="5">
                  <c:v>2.6160889470241999E-3</c:v>
                </c:pt>
                <c:pt idx="6">
                  <c:v>1.1018069634200118E-4</c:v>
                </c:pt>
                <c:pt idx="7">
                  <c:v>0</c:v>
                </c:pt>
                <c:pt idx="8">
                  <c:v>0</c:v>
                </c:pt>
                <c:pt idx="9">
                  <c:v>0</c:v>
                </c:pt>
              </c:numCache>
            </c:numRef>
          </c:val>
        </c:ser>
        <c:dLbls>
          <c:showLegendKey val="0"/>
          <c:showVal val="0"/>
          <c:showCatName val="0"/>
          <c:showSerName val="0"/>
          <c:showPercent val="0"/>
          <c:showBubbleSize val="0"/>
        </c:dLbls>
        <c:gapWidth val="150"/>
        <c:axId val="68258816"/>
        <c:axId val="68260608"/>
      </c:barChart>
      <c:catAx>
        <c:axId val="68258816"/>
        <c:scaling>
          <c:orientation val="minMax"/>
        </c:scaling>
        <c:delete val="0"/>
        <c:axPos val="b"/>
        <c:majorTickMark val="out"/>
        <c:minorTickMark val="none"/>
        <c:tickLblPos val="nextTo"/>
        <c:txPr>
          <a:bodyPr/>
          <a:lstStyle/>
          <a:p>
            <a:pPr>
              <a:defRPr lang="ja-JP" sz="600"/>
            </a:pPr>
            <a:endParaRPr lang="en-US"/>
          </a:p>
        </c:txPr>
        <c:crossAx val="68260608"/>
        <c:crosses val="autoZero"/>
        <c:auto val="1"/>
        <c:lblAlgn val="ctr"/>
        <c:lblOffset val="100"/>
        <c:noMultiLvlLbl val="0"/>
      </c:catAx>
      <c:valAx>
        <c:axId val="68260608"/>
        <c:scaling>
          <c:orientation val="minMax"/>
          <c:max val="1"/>
        </c:scaling>
        <c:delete val="0"/>
        <c:axPos val="l"/>
        <c:majorGridlines/>
        <c:numFmt formatCode="0%" sourceLinked="0"/>
        <c:majorTickMark val="out"/>
        <c:minorTickMark val="none"/>
        <c:tickLblPos val="nextTo"/>
        <c:txPr>
          <a:bodyPr/>
          <a:lstStyle/>
          <a:p>
            <a:pPr>
              <a:defRPr lang="ja-JP" sz="800"/>
            </a:pPr>
            <a:endParaRPr lang="en-US"/>
          </a:p>
        </c:txPr>
        <c:crossAx val="68258816"/>
        <c:crosses val="autoZero"/>
        <c:crossBetween val="between"/>
        <c:majorUnit val="0.2"/>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1"/>
          <c:order val="0"/>
          <c:tx>
            <c:strRef>
              <c:f>'[Statistics_20140319.xlsx]1a'!$B$2</c:f>
              <c:strCache>
                <c:ptCount val="1"/>
                <c:pt idx="0">
                  <c:v>China</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'[Statistics_20140319.xlsx]1a'!$B$3:$B$42</c:f>
              <c:numCache>
                <c:formatCode>General</c:formatCode>
                <c:ptCount val="40"/>
                <c:pt idx="1">
                  <c:v>8</c:v>
                </c:pt>
                <c:pt idx="2">
                  <c:v>8</c:v>
                </c:pt>
                <c:pt idx="3">
                  <c:v>16</c:v>
                </c:pt>
                <c:pt idx="4">
                  <c:v>34</c:v>
                </c:pt>
                <c:pt idx="5">
                  <c:v>25</c:v>
                </c:pt>
                <c:pt idx="6">
                  <c:v>33</c:v>
                </c:pt>
                <c:pt idx="7">
                  <c:v>39</c:v>
                </c:pt>
                <c:pt idx="8">
                  <c:v>22</c:v>
                </c:pt>
                <c:pt idx="9">
                  <c:v>26</c:v>
                </c:pt>
                <c:pt idx="10">
                  <c:v>28</c:v>
                </c:pt>
                <c:pt idx="11">
                  <c:v>33</c:v>
                </c:pt>
                <c:pt idx="12">
                  <c:v>29</c:v>
                </c:pt>
                <c:pt idx="13">
                  <c:v>36</c:v>
                </c:pt>
                <c:pt idx="14">
                  <c:v>34</c:v>
                </c:pt>
                <c:pt idx="15">
                  <c:v>104</c:v>
                </c:pt>
                <c:pt idx="16">
                  <c:v>107</c:v>
                </c:pt>
                <c:pt idx="17">
                  <c:v>122</c:v>
                </c:pt>
                <c:pt idx="18">
                  <c:v>123</c:v>
                </c:pt>
                <c:pt idx="19">
                  <c:v>129</c:v>
                </c:pt>
                <c:pt idx="20">
                  <c:v>178</c:v>
                </c:pt>
                <c:pt idx="21">
                  <c:v>195</c:v>
                </c:pt>
                <c:pt idx="22">
                  <c:v>209</c:v>
                </c:pt>
                <c:pt idx="23">
                  <c:v>208</c:v>
                </c:pt>
                <c:pt idx="24">
                  <c:v>255</c:v>
                </c:pt>
                <c:pt idx="25">
                  <c:v>223</c:v>
                </c:pt>
                <c:pt idx="26">
                  <c:v>317</c:v>
                </c:pt>
                <c:pt idx="27">
                  <c:v>440</c:v>
                </c:pt>
                <c:pt idx="28">
                  <c:v>484</c:v>
                </c:pt>
                <c:pt idx="29">
                  <c:v>679</c:v>
                </c:pt>
                <c:pt idx="30">
                  <c:v>1005</c:v>
                </c:pt>
                <c:pt idx="31">
                  <c:v>1412</c:v>
                </c:pt>
                <c:pt idx="32">
                  <c:v>1985</c:v>
                </c:pt>
                <c:pt idx="33">
                  <c:v>2526</c:v>
                </c:pt>
                <c:pt idx="34">
                  <c:v>3628</c:v>
                </c:pt>
                <c:pt idx="35">
                  <c:v>5750</c:v>
                </c:pt>
                <c:pt idx="36">
                  <c:v>6489</c:v>
                </c:pt>
                <c:pt idx="37">
                  <c:v>7975</c:v>
                </c:pt>
                <c:pt idx="38">
                  <c:v>8994</c:v>
                </c:pt>
                <c:pt idx="39">
                  <c:v>9890</c:v>
                </c:pt>
              </c:numCache>
            </c:numRef>
          </c:val>
          <c:smooth val="0"/>
        </c:ser>
        <c:ser>
          <c:idx val="2"/>
          <c:order val="1"/>
          <c:tx>
            <c:strRef>
              <c:f>'[Statistics_20140319.xlsx]1a'!$C$2</c:f>
              <c:strCache>
                <c:ptCount val="1"/>
                <c:pt idx="0">
                  <c:v>USA</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'[Statistics_20140319.xlsx]1a'!$C$3:$C$42</c:f>
              <c:numCache>
                <c:formatCode>General</c:formatCode>
                <c:ptCount val="40"/>
                <c:pt idx="0">
                  <c:v>3538</c:v>
                </c:pt>
                <c:pt idx="1">
                  <c:v>5296</c:v>
                </c:pt>
                <c:pt idx="2">
                  <c:v>10497</c:v>
                </c:pt>
                <c:pt idx="3">
                  <c:v>15919</c:v>
                </c:pt>
                <c:pt idx="4">
                  <c:v>15784</c:v>
                </c:pt>
                <c:pt idx="5">
                  <c:v>16871</c:v>
                </c:pt>
                <c:pt idx="6">
                  <c:v>17956</c:v>
                </c:pt>
                <c:pt idx="7">
                  <c:v>18115</c:v>
                </c:pt>
                <c:pt idx="8">
                  <c:v>18348</c:v>
                </c:pt>
                <c:pt idx="9">
                  <c:v>17910</c:v>
                </c:pt>
                <c:pt idx="10">
                  <c:v>17953</c:v>
                </c:pt>
                <c:pt idx="11">
                  <c:v>17130</c:v>
                </c:pt>
                <c:pt idx="12">
                  <c:v>16554</c:v>
                </c:pt>
                <c:pt idx="13">
                  <c:v>17132</c:v>
                </c:pt>
                <c:pt idx="14">
                  <c:v>17251</c:v>
                </c:pt>
                <c:pt idx="15">
                  <c:v>18781</c:v>
                </c:pt>
                <c:pt idx="16">
                  <c:v>17942</c:v>
                </c:pt>
                <c:pt idx="17">
                  <c:v>19741</c:v>
                </c:pt>
                <c:pt idx="18">
                  <c:v>20016</c:v>
                </c:pt>
                <c:pt idx="19">
                  <c:v>20653</c:v>
                </c:pt>
                <c:pt idx="20">
                  <c:v>21644</c:v>
                </c:pt>
                <c:pt idx="21">
                  <c:v>20523</c:v>
                </c:pt>
                <c:pt idx="22">
                  <c:v>21735</c:v>
                </c:pt>
                <c:pt idx="23">
                  <c:v>21501</c:v>
                </c:pt>
                <c:pt idx="24">
                  <c:v>23920</c:v>
                </c:pt>
                <c:pt idx="25">
                  <c:v>24748</c:v>
                </c:pt>
                <c:pt idx="26">
                  <c:v>30797</c:v>
                </c:pt>
                <c:pt idx="27">
                  <c:v>37992</c:v>
                </c:pt>
                <c:pt idx="28">
                  <c:v>41013</c:v>
                </c:pt>
                <c:pt idx="29">
                  <c:v>42824</c:v>
                </c:pt>
                <c:pt idx="30">
                  <c:v>46328</c:v>
                </c:pt>
                <c:pt idx="31">
                  <c:v>51632</c:v>
                </c:pt>
                <c:pt idx="32">
                  <c:v>52831</c:v>
                </c:pt>
                <c:pt idx="33">
                  <c:v>56288</c:v>
                </c:pt>
                <c:pt idx="34">
                  <c:v>58847</c:v>
                </c:pt>
                <c:pt idx="35">
                  <c:v>64882</c:v>
                </c:pt>
                <c:pt idx="36">
                  <c:v>66237</c:v>
                </c:pt>
                <c:pt idx="37">
                  <c:v>67147</c:v>
                </c:pt>
                <c:pt idx="38">
                  <c:v>63038</c:v>
                </c:pt>
                <c:pt idx="39">
                  <c:v>66353</c:v>
                </c:pt>
              </c:numCache>
            </c:numRef>
          </c:val>
          <c:smooth val="0"/>
        </c:ser>
        <c:ser>
          <c:idx val="3"/>
          <c:order val="2"/>
          <c:tx>
            <c:strRef>
              <c:f>'[Statistics_20140319.xlsx]1a'!$D$2</c:f>
              <c:strCache>
                <c:ptCount val="1"/>
                <c:pt idx="0">
                  <c:v>Japan</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'[Statistics_20140319.xlsx]1a'!$D$3:$D$42</c:f>
              <c:numCache>
                <c:formatCode>General</c:formatCode>
                <c:ptCount val="40"/>
                <c:pt idx="0">
                  <c:v>1458</c:v>
                </c:pt>
                <c:pt idx="1">
                  <c:v>1823</c:v>
                </c:pt>
                <c:pt idx="2">
                  <c:v>2784</c:v>
                </c:pt>
                <c:pt idx="3">
                  <c:v>4475</c:v>
                </c:pt>
                <c:pt idx="4">
                  <c:v>8659</c:v>
                </c:pt>
                <c:pt idx="5">
                  <c:v>10634</c:v>
                </c:pt>
                <c:pt idx="6">
                  <c:v>11948</c:v>
                </c:pt>
                <c:pt idx="7">
                  <c:v>12536</c:v>
                </c:pt>
                <c:pt idx="8">
                  <c:v>14147</c:v>
                </c:pt>
                <c:pt idx="9">
                  <c:v>16887</c:v>
                </c:pt>
                <c:pt idx="10">
                  <c:v>18642</c:v>
                </c:pt>
                <c:pt idx="11">
                  <c:v>20331</c:v>
                </c:pt>
                <c:pt idx="12">
                  <c:v>20271</c:v>
                </c:pt>
                <c:pt idx="13">
                  <c:v>21762</c:v>
                </c:pt>
                <c:pt idx="14">
                  <c:v>26033</c:v>
                </c:pt>
                <c:pt idx="15">
                  <c:v>27812</c:v>
                </c:pt>
                <c:pt idx="16">
                  <c:v>27008</c:v>
                </c:pt>
                <c:pt idx="17">
                  <c:v>30498</c:v>
                </c:pt>
                <c:pt idx="18">
                  <c:v>30358</c:v>
                </c:pt>
                <c:pt idx="19">
                  <c:v>30921</c:v>
                </c:pt>
                <c:pt idx="20">
                  <c:v>30490</c:v>
                </c:pt>
                <c:pt idx="21">
                  <c:v>27783</c:v>
                </c:pt>
                <c:pt idx="22">
                  <c:v>24706</c:v>
                </c:pt>
                <c:pt idx="23">
                  <c:v>26363</c:v>
                </c:pt>
                <c:pt idx="24">
                  <c:v>25963</c:v>
                </c:pt>
                <c:pt idx="25">
                  <c:v>27241</c:v>
                </c:pt>
                <c:pt idx="26">
                  <c:v>29990</c:v>
                </c:pt>
                <c:pt idx="27">
                  <c:v>33246</c:v>
                </c:pt>
                <c:pt idx="28">
                  <c:v>33211</c:v>
                </c:pt>
                <c:pt idx="29">
                  <c:v>36145</c:v>
                </c:pt>
                <c:pt idx="30">
                  <c:v>41632</c:v>
                </c:pt>
                <c:pt idx="31">
                  <c:v>41307</c:v>
                </c:pt>
                <c:pt idx="32">
                  <c:v>42878</c:v>
                </c:pt>
                <c:pt idx="33">
                  <c:v>44831</c:v>
                </c:pt>
                <c:pt idx="34">
                  <c:v>48659</c:v>
                </c:pt>
                <c:pt idx="35">
                  <c:v>49928</c:v>
                </c:pt>
                <c:pt idx="36">
                  <c:v>51032</c:v>
                </c:pt>
                <c:pt idx="37">
                  <c:v>51395</c:v>
                </c:pt>
                <c:pt idx="38">
                  <c:v>48587</c:v>
                </c:pt>
                <c:pt idx="39">
                  <c:v>46185</c:v>
                </c:pt>
              </c:numCache>
            </c:numRef>
          </c:val>
          <c:smooth val="0"/>
        </c:ser>
        <c:ser>
          <c:idx val="4"/>
          <c:order val="3"/>
          <c:tx>
            <c:strRef>
              <c:f>'[Statistics_20140319.xlsx]1a'!$E$2</c:f>
              <c:strCache>
                <c:ptCount val="1"/>
                <c:pt idx="0">
                  <c:v>Republic of Korea</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'[Statistics_20140319.xlsx]1a'!$E$3:$E$42</c:f>
              <c:numCache>
                <c:formatCode>General</c:formatCode>
                <c:ptCount val="40"/>
                <c:pt idx="0">
                  <c:v>1</c:v>
                </c:pt>
                <c:pt idx="1">
                  <c:v>1</c:v>
                </c:pt>
                <c:pt idx="2">
                  <c:v>9</c:v>
                </c:pt>
                <c:pt idx="3">
                  <c:v>16</c:v>
                </c:pt>
                <c:pt idx="4">
                  <c:v>15</c:v>
                </c:pt>
                <c:pt idx="5">
                  <c:v>18</c:v>
                </c:pt>
                <c:pt idx="6">
                  <c:v>30</c:v>
                </c:pt>
                <c:pt idx="7">
                  <c:v>30</c:v>
                </c:pt>
                <c:pt idx="8">
                  <c:v>33</c:v>
                </c:pt>
                <c:pt idx="9">
                  <c:v>65</c:v>
                </c:pt>
                <c:pt idx="10">
                  <c:v>97</c:v>
                </c:pt>
                <c:pt idx="11">
                  <c:v>101</c:v>
                </c:pt>
                <c:pt idx="12">
                  <c:v>177</c:v>
                </c:pt>
                <c:pt idx="13">
                  <c:v>172</c:v>
                </c:pt>
                <c:pt idx="14">
                  <c:v>270</c:v>
                </c:pt>
                <c:pt idx="15">
                  <c:v>434</c:v>
                </c:pt>
                <c:pt idx="16">
                  <c:v>397</c:v>
                </c:pt>
                <c:pt idx="17">
                  <c:v>553</c:v>
                </c:pt>
                <c:pt idx="18">
                  <c:v>737</c:v>
                </c:pt>
                <c:pt idx="19">
                  <c:v>1088</c:v>
                </c:pt>
                <c:pt idx="20">
                  <c:v>1475</c:v>
                </c:pt>
                <c:pt idx="21">
                  <c:v>1851</c:v>
                </c:pt>
                <c:pt idx="22">
                  <c:v>2116</c:v>
                </c:pt>
                <c:pt idx="23">
                  <c:v>2484</c:v>
                </c:pt>
                <c:pt idx="24">
                  <c:v>2790</c:v>
                </c:pt>
                <c:pt idx="25">
                  <c:v>4347</c:v>
                </c:pt>
                <c:pt idx="26">
                  <c:v>5048</c:v>
                </c:pt>
                <c:pt idx="27">
                  <c:v>5539</c:v>
                </c:pt>
                <c:pt idx="28">
                  <c:v>5097</c:v>
                </c:pt>
                <c:pt idx="29">
                  <c:v>6274</c:v>
                </c:pt>
                <c:pt idx="30">
                  <c:v>7031</c:v>
                </c:pt>
                <c:pt idx="31">
                  <c:v>8410</c:v>
                </c:pt>
                <c:pt idx="32">
                  <c:v>10506</c:v>
                </c:pt>
                <c:pt idx="33">
                  <c:v>13967</c:v>
                </c:pt>
                <c:pt idx="34">
                  <c:v>17503</c:v>
                </c:pt>
                <c:pt idx="35">
                  <c:v>18625</c:v>
                </c:pt>
                <c:pt idx="36">
                  <c:v>19408</c:v>
                </c:pt>
                <c:pt idx="37">
                  <c:v>19238</c:v>
                </c:pt>
                <c:pt idx="38">
                  <c:v>17126</c:v>
                </c:pt>
                <c:pt idx="39">
                  <c:v>16746</c:v>
                </c:pt>
              </c:numCache>
            </c:numRef>
          </c:val>
          <c:smooth val="0"/>
        </c:ser>
        <c:ser>
          <c:idx val="5"/>
          <c:order val="4"/>
          <c:tx>
            <c:strRef>
              <c:f>'[Statistics_20140319.xlsx]1a'!$F$2</c:f>
              <c:strCache>
                <c:ptCount val="1"/>
                <c:pt idx="0">
                  <c:v>Germany</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'[Statistics_20140319.xlsx]1a'!$F$3:$F$42</c:f>
              <c:numCache>
                <c:formatCode>General</c:formatCode>
                <c:ptCount val="40"/>
                <c:pt idx="0">
                  <c:v>10428</c:v>
                </c:pt>
                <c:pt idx="1">
                  <c:v>9964</c:v>
                </c:pt>
                <c:pt idx="2">
                  <c:v>11719</c:v>
                </c:pt>
                <c:pt idx="3">
                  <c:v>12287</c:v>
                </c:pt>
                <c:pt idx="4">
                  <c:v>10537</c:v>
                </c:pt>
                <c:pt idx="5">
                  <c:v>11212</c:v>
                </c:pt>
                <c:pt idx="6">
                  <c:v>12323</c:v>
                </c:pt>
                <c:pt idx="7">
                  <c:v>14134</c:v>
                </c:pt>
                <c:pt idx="8">
                  <c:v>14977</c:v>
                </c:pt>
                <c:pt idx="9">
                  <c:v>15926</c:v>
                </c:pt>
                <c:pt idx="10">
                  <c:v>16046</c:v>
                </c:pt>
                <c:pt idx="11">
                  <c:v>16710</c:v>
                </c:pt>
                <c:pt idx="12">
                  <c:v>15812</c:v>
                </c:pt>
                <c:pt idx="13">
                  <c:v>16333</c:v>
                </c:pt>
                <c:pt idx="14">
                  <c:v>17282</c:v>
                </c:pt>
                <c:pt idx="15">
                  <c:v>18817</c:v>
                </c:pt>
                <c:pt idx="16">
                  <c:v>19871</c:v>
                </c:pt>
                <c:pt idx="17">
                  <c:v>20696</c:v>
                </c:pt>
                <c:pt idx="18">
                  <c:v>23296</c:v>
                </c:pt>
                <c:pt idx="19">
                  <c:v>26885</c:v>
                </c:pt>
                <c:pt idx="20">
                  <c:v>24892</c:v>
                </c:pt>
                <c:pt idx="21">
                  <c:v>19405</c:v>
                </c:pt>
                <c:pt idx="22">
                  <c:v>20672</c:v>
                </c:pt>
                <c:pt idx="23">
                  <c:v>21433</c:v>
                </c:pt>
                <c:pt idx="24">
                  <c:v>21832</c:v>
                </c:pt>
                <c:pt idx="25">
                  <c:v>22327</c:v>
                </c:pt>
                <c:pt idx="26">
                  <c:v>24452</c:v>
                </c:pt>
                <c:pt idx="27">
                  <c:v>27419</c:v>
                </c:pt>
                <c:pt idx="28">
                  <c:v>30070</c:v>
                </c:pt>
                <c:pt idx="29">
                  <c:v>31065</c:v>
                </c:pt>
                <c:pt idx="30">
                  <c:v>31333</c:v>
                </c:pt>
                <c:pt idx="31">
                  <c:v>30068</c:v>
                </c:pt>
                <c:pt idx="32">
                  <c:v>30153</c:v>
                </c:pt>
                <c:pt idx="33">
                  <c:v>29829</c:v>
                </c:pt>
                <c:pt idx="34">
                  <c:v>30155</c:v>
                </c:pt>
                <c:pt idx="35">
                  <c:v>31125</c:v>
                </c:pt>
                <c:pt idx="36">
                  <c:v>31347</c:v>
                </c:pt>
                <c:pt idx="37">
                  <c:v>30935</c:v>
                </c:pt>
                <c:pt idx="38">
                  <c:v>29747</c:v>
                </c:pt>
                <c:pt idx="39">
                  <c:v>28327</c:v>
                </c:pt>
              </c:numCache>
            </c:numRef>
          </c:val>
          <c:smooth val="0"/>
        </c:ser>
        <c:ser>
          <c:idx val="6"/>
          <c:order val="5"/>
          <c:tx>
            <c:strRef>
              <c:f>'[Statistics_20140319.xlsx]1a'!$G$2</c:f>
              <c:strCache>
                <c:ptCount val="1"/>
                <c:pt idx="0">
                  <c:v>India</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'[Statistics_20140319.xlsx]1a'!$G$3:$G$42</c:f>
              <c:numCache>
                <c:formatCode>General</c:formatCode>
                <c:ptCount val="40"/>
                <c:pt idx="0">
                  <c:v>8</c:v>
                </c:pt>
                <c:pt idx="1">
                  <c:v>19</c:v>
                </c:pt>
                <c:pt idx="2">
                  <c:v>9</c:v>
                </c:pt>
                <c:pt idx="3">
                  <c:v>23</c:v>
                </c:pt>
                <c:pt idx="4">
                  <c:v>32</c:v>
                </c:pt>
                <c:pt idx="5">
                  <c:v>30</c:v>
                </c:pt>
                <c:pt idx="6">
                  <c:v>12</c:v>
                </c:pt>
                <c:pt idx="7">
                  <c:v>19</c:v>
                </c:pt>
                <c:pt idx="8">
                  <c:v>37</c:v>
                </c:pt>
                <c:pt idx="9">
                  <c:v>17</c:v>
                </c:pt>
                <c:pt idx="10">
                  <c:v>22</c:v>
                </c:pt>
                <c:pt idx="11">
                  <c:v>22</c:v>
                </c:pt>
                <c:pt idx="12">
                  <c:v>21</c:v>
                </c:pt>
                <c:pt idx="13">
                  <c:v>19</c:v>
                </c:pt>
                <c:pt idx="14">
                  <c:v>32</c:v>
                </c:pt>
                <c:pt idx="15">
                  <c:v>22</c:v>
                </c:pt>
                <c:pt idx="16">
                  <c:v>30</c:v>
                </c:pt>
                <c:pt idx="17">
                  <c:v>18</c:v>
                </c:pt>
                <c:pt idx="18">
                  <c:v>20</c:v>
                </c:pt>
                <c:pt idx="19">
                  <c:v>35</c:v>
                </c:pt>
                <c:pt idx="20">
                  <c:v>21</c:v>
                </c:pt>
                <c:pt idx="21">
                  <c:v>32</c:v>
                </c:pt>
                <c:pt idx="22">
                  <c:v>43</c:v>
                </c:pt>
                <c:pt idx="23">
                  <c:v>59</c:v>
                </c:pt>
                <c:pt idx="24">
                  <c:v>65</c:v>
                </c:pt>
                <c:pt idx="25">
                  <c:v>63</c:v>
                </c:pt>
                <c:pt idx="26">
                  <c:v>109</c:v>
                </c:pt>
                <c:pt idx="27">
                  <c:v>139</c:v>
                </c:pt>
                <c:pt idx="28">
                  <c:v>187</c:v>
                </c:pt>
                <c:pt idx="29">
                  <c:v>146</c:v>
                </c:pt>
                <c:pt idx="30">
                  <c:v>311</c:v>
                </c:pt>
                <c:pt idx="31">
                  <c:v>514</c:v>
                </c:pt>
                <c:pt idx="32">
                  <c:v>670</c:v>
                </c:pt>
                <c:pt idx="33">
                  <c:v>715</c:v>
                </c:pt>
                <c:pt idx="34">
                  <c:v>584</c:v>
                </c:pt>
                <c:pt idx="35">
                  <c:v>383</c:v>
                </c:pt>
                <c:pt idx="36">
                  <c:v>297</c:v>
                </c:pt>
                <c:pt idx="37">
                  <c:v>373</c:v>
                </c:pt>
                <c:pt idx="38">
                  <c:v>375</c:v>
                </c:pt>
                <c:pt idx="39">
                  <c:v>370</c:v>
                </c:pt>
              </c:numCache>
            </c:numRef>
          </c:val>
          <c:smooth val="0"/>
        </c:ser>
        <c:ser>
          <c:idx val="7"/>
          <c:order val="6"/>
          <c:tx>
            <c:strRef>
              <c:f>'[Statistics_20140319.xlsx]1a'!$H$2</c:f>
              <c:strCache>
                <c:ptCount val="1"/>
                <c:pt idx="0">
                  <c:v>Brazil</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'[Statistics_20140319.xlsx]1a'!$H$3:$H$42</c:f>
              <c:numCache>
                <c:formatCode>General</c:formatCode>
                <c:ptCount val="40"/>
                <c:pt idx="0">
                  <c:v>6</c:v>
                </c:pt>
                <c:pt idx="1">
                  <c:v>18</c:v>
                </c:pt>
                <c:pt idx="2">
                  <c:v>20</c:v>
                </c:pt>
                <c:pt idx="3">
                  <c:v>29</c:v>
                </c:pt>
                <c:pt idx="4">
                  <c:v>18</c:v>
                </c:pt>
                <c:pt idx="5">
                  <c:v>35</c:v>
                </c:pt>
                <c:pt idx="6">
                  <c:v>53</c:v>
                </c:pt>
                <c:pt idx="7">
                  <c:v>58</c:v>
                </c:pt>
                <c:pt idx="8">
                  <c:v>55</c:v>
                </c:pt>
                <c:pt idx="9">
                  <c:v>99</c:v>
                </c:pt>
                <c:pt idx="10">
                  <c:v>80</c:v>
                </c:pt>
                <c:pt idx="11">
                  <c:v>73</c:v>
                </c:pt>
                <c:pt idx="12">
                  <c:v>80</c:v>
                </c:pt>
                <c:pt idx="13">
                  <c:v>61</c:v>
                </c:pt>
                <c:pt idx="14">
                  <c:v>69</c:v>
                </c:pt>
                <c:pt idx="15">
                  <c:v>100</c:v>
                </c:pt>
                <c:pt idx="16">
                  <c:v>54</c:v>
                </c:pt>
                <c:pt idx="17">
                  <c:v>84</c:v>
                </c:pt>
                <c:pt idx="18">
                  <c:v>131</c:v>
                </c:pt>
                <c:pt idx="19">
                  <c:v>109</c:v>
                </c:pt>
                <c:pt idx="20">
                  <c:v>138</c:v>
                </c:pt>
                <c:pt idx="21">
                  <c:v>122</c:v>
                </c:pt>
                <c:pt idx="22">
                  <c:v>130</c:v>
                </c:pt>
                <c:pt idx="23">
                  <c:v>145</c:v>
                </c:pt>
                <c:pt idx="24">
                  <c:v>121</c:v>
                </c:pt>
                <c:pt idx="25">
                  <c:v>185</c:v>
                </c:pt>
                <c:pt idx="26">
                  <c:v>148</c:v>
                </c:pt>
                <c:pt idx="27">
                  <c:v>150</c:v>
                </c:pt>
                <c:pt idx="28">
                  <c:v>186</c:v>
                </c:pt>
                <c:pt idx="29">
                  <c:v>255</c:v>
                </c:pt>
                <c:pt idx="30">
                  <c:v>230</c:v>
                </c:pt>
                <c:pt idx="31">
                  <c:v>269</c:v>
                </c:pt>
                <c:pt idx="32">
                  <c:v>269</c:v>
                </c:pt>
                <c:pt idx="33">
                  <c:v>331</c:v>
                </c:pt>
                <c:pt idx="34">
                  <c:v>350</c:v>
                </c:pt>
                <c:pt idx="35">
                  <c:v>385</c:v>
                </c:pt>
                <c:pt idx="36">
                  <c:v>414</c:v>
                </c:pt>
                <c:pt idx="37">
                  <c:v>449</c:v>
                </c:pt>
                <c:pt idx="38">
                  <c:v>508</c:v>
                </c:pt>
                <c:pt idx="39">
                  <c:v>464</c:v>
                </c:pt>
              </c:numCache>
            </c:numRef>
          </c:val>
          <c:smooth val="0"/>
        </c:ser>
        <c:ser>
          <c:idx val="8"/>
          <c:order val="7"/>
          <c:tx>
            <c:strRef>
              <c:f>'[Statistics_20140319.xlsx]1a'!$I$2</c:f>
              <c:strCache>
                <c:ptCount val="1"/>
                <c:pt idx="0">
                  <c:v>Russia</c:v>
                </c:pt>
              </c:strCache>
            </c:strRef>
          </c:tx>
          <c:spPr>
            <a:ln w="28575"/>
          </c:spPr>
          <c:marker>
            <c:symbol val="none"/>
          </c:marker>
          <c:cat>
            <c:numRef>
              <c:f>'[Statistics_20140319.xlsx]1a'!$A$3:$A$42</c:f>
              <c:numCache>
                <c:formatCode>General</c:formatCode>
                <c:ptCount val="4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numCache>
            </c:numRef>
          </c:cat>
          <c:val>
            <c:numRef>
              <c:f>'[Statistics_20140319.xlsx]1a'!$I$3:$I$42</c:f>
              <c:numCache>
                <c:formatCode>General</c:formatCode>
                <c:ptCount val="40"/>
                <c:pt idx="23">
                  <c:v>259</c:v>
                </c:pt>
                <c:pt idx="24">
                  <c:v>194</c:v>
                </c:pt>
                <c:pt idx="25">
                  <c:v>185</c:v>
                </c:pt>
                <c:pt idx="26">
                  <c:v>219</c:v>
                </c:pt>
                <c:pt idx="27">
                  <c:v>229</c:v>
                </c:pt>
                <c:pt idx="28">
                  <c:v>260</c:v>
                </c:pt>
                <c:pt idx="29">
                  <c:v>266</c:v>
                </c:pt>
                <c:pt idx="30">
                  <c:v>219</c:v>
                </c:pt>
                <c:pt idx="31">
                  <c:v>308</c:v>
                </c:pt>
                <c:pt idx="32">
                  <c:v>278</c:v>
                </c:pt>
                <c:pt idx="33">
                  <c:v>364</c:v>
                </c:pt>
                <c:pt idx="34">
                  <c:v>366</c:v>
                </c:pt>
                <c:pt idx="35">
                  <c:v>440</c:v>
                </c:pt>
                <c:pt idx="36">
                  <c:v>465</c:v>
                </c:pt>
                <c:pt idx="37">
                  <c:v>454</c:v>
                </c:pt>
                <c:pt idx="38">
                  <c:v>531</c:v>
                </c:pt>
                <c:pt idx="39">
                  <c:v>445</c:v>
                </c:pt>
              </c:numCache>
            </c:numRef>
          </c:val>
          <c:smooth val="0"/>
        </c:ser>
        <c:dLbls>
          <c:showLegendKey val="0"/>
          <c:showVal val="0"/>
          <c:showCatName val="0"/>
          <c:showSerName val="0"/>
          <c:showPercent val="0"/>
          <c:showBubbleSize val="0"/>
        </c:dLbls>
        <c:marker val="1"/>
        <c:smooth val="0"/>
        <c:axId val="113143808"/>
        <c:axId val="113145344"/>
      </c:lineChart>
      <c:catAx>
        <c:axId val="113143808"/>
        <c:scaling>
          <c:orientation val="minMax"/>
        </c:scaling>
        <c:delete val="0"/>
        <c:axPos val="b"/>
        <c:numFmt formatCode="General" sourceLinked="1"/>
        <c:majorTickMark val="out"/>
        <c:minorTickMark val="none"/>
        <c:tickLblPos val="nextTo"/>
        <c:txPr>
          <a:bodyPr/>
          <a:lstStyle/>
          <a:p>
            <a:pPr>
              <a:defRPr lang="ja-JP" sz="800"/>
            </a:pPr>
            <a:endParaRPr lang="en-US"/>
          </a:p>
        </c:txPr>
        <c:crossAx val="113145344"/>
        <c:crossesAt val="-5000"/>
        <c:auto val="1"/>
        <c:lblAlgn val="ctr"/>
        <c:lblOffset val="100"/>
        <c:tickLblSkip val="3"/>
        <c:tickMarkSkip val="1"/>
        <c:noMultiLvlLbl val="0"/>
      </c:catAx>
      <c:valAx>
        <c:axId val="113145344"/>
        <c:scaling>
          <c:orientation val="minMax"/>
        </c:scaling>
        <c:delete val="0"/>
        <c:axPos val="l"/>
        <c:majorGridlines/>
        <c:numFmt formatCode="#,##0_ ;[Red]\-#,##0\ " sourceLinked="0"/>
        <c:majorTickMark val="out"/>
        <c:minorTickMark val="none"/>
        <c:tickLblPos val="nextTo"/>
        <c:txPr>
          <a:bodyPr/>
          <a:lstStyle/>
          <a:p>
            <a:pPr>
              <a:defRPr lang="ja-JP" sz="800"/>
            </a:pPr>
            <a:endParaRPr lang="en-US"/>
          </a:p>
        </c:txPr>
        <c:crossAx val="113143808"/>
        <c:crossesAt val="1"/>
        <c:crossBetween val="between"/>
      </c:valAx>
      <c:spPr>
        <a:noFill/>
        <a:ln w="25400">
          <a:noFill/>
        </a:ln>
      </c:spPr>
    </c:plotArea>
    <c:legend>
      <c:legendPos val="b"/>
      <c:layout>
        <c:manualLayout>
          <c:xMode val="edge"/>
          <c:yMode val="edge"/>
          <c:x val="1.4346490532831019E-2"/>
          <c:y val="0.82674288203111956"/>
          <c:w val="0.96661861849405295"/>
          <c:h val="0.14503929600521484"/>
        </c:manualLayout>
      </c:layout>
      <c:overlay val="0"/>
      <c:txPr>
        <a:bodyPr/>
        <a:lstStyle/>
        <a:p>
          <a:pPr>
            <a:defRPr lang="ja-JP"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'[Statistics.xlsx]3'!$D$16</c:f>
              <c:strCache>
                <c:ptCount val="1"/>
                <c:pt idx="0">
                  <c:v>patent for invention</c:v>
                </c:pt>
              </c:strCache>
            </c:strRef>
          </c:tx>
          <c:invertIfNegative val="0"/>
          <c:cat>
            <c:strRef>
              <c:f>'[Statistics.xlsx]3'!$E$15:$R$15</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'[Statistics.xlsx]3'!$E$16:$R$16</c:f>
              <c:numCache>
                <c:formatCode>0.0%</c:formatCode>
                <c:ptCount val="14"/>
                <c:pt idx="0">
                  <c:v>0.91469194312796198</c:v>
                </c:pt>
                <c:pt idx="1">
                  <c:v>0.83489932885906004</c:v>
                </c:pt>
                <c:pt idx="2">
                  <c:v>0.7678795483061488</c:v>
                </c:pt>
                <c:pt idx="3">
                  <c:v>0.82724453216256566</c:v>
                </c:pt>
                <c:pt idx="4">
                  <c:v>0.74925373134328466</c:v>
                </c:pt>
                <c:pt idx="5">
                  <c:v>0.76983002832861291</c:v>
                </c:pt>
                <c:pt idx="6">
                  <c:v>0.76574307304785993</c:v>
                </c:pt>
                <c:pt idx="7">
                  <c:v>0.74505146476642903</c:v>
                </c:pt>
                <c:pt idx="8">
                  <c:v>0.75661521499448947</c:v>
                </c:pt>
                <c:pt idx="9">
                  <c:v>0.80504347826087108</c:v>
                </c:pt>
                <c:pt idx="10">
                  <c:v>0.81168130682693751</c:v>
                </c:pt>
                <c:pt idx="11">
                  <c:v>0.84075235109717905</c:v>
                </c:pt>
                <c:pt idx="12">
                  <c:v>0.84611963531243095</c:v>
                </c:pt>
                <c:pt idx="13">
                  <c:v>0.89767441860465191</c:v>
                </c:pt>
              </c:numCache>
            </c:numRef>
          </c:val>
        </c:ser>
        <c:ser>
          <c:idx val="1"/>
          <c:order val="1"/>
          <c:tx>
            <c:strRef>
              <c:f>'[Statistics.xlsx]3'!$D$17</c:f>
              <c:strCache>
                <c:ptCount val="1"/>
                <c:pt idx="0">
                  <c:v>utility model</c:v>
                </c:pt>
              </c:strCache>
            </c:strRef>
          </c:tx>
          <c:invertIfNegative val="0"/>
          <c:cat>
            <c:strRef>
              <c:f>'[Statistics.xlsx]3'!$E$15:$R$15</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'[Statistics.xlsx]3'!$E$17:$R$17</c:f>
              <c:numCache>
                <c:formatCode>0.0%</c:formatCode>
                <c:ptCount val="14"/>
                <c:pt idx="0">
                  <c:v>8.5308056872037893E-2</c:v>
                </c:pt>
                <c:pt idx="1">
                  <c:v>0.16510067114093988</c:v>
                </c:pt>
                <c:pt idx="2">
                  <c:v>0.23212045169385187</c:v>
                </c:pt>
                <c:pt idx="3">
                  <c:v>0.17275546783743537</c:v>
                </c:pt>
                <c:pt idx="4">
                  <c:v>0.25074626865671579</c:v>
                </c:pt>
                <c:pt idx="5">
                  <c:v>0.230169971671388</c:v>
                </c:pt>
                <c:pt idx="6">
                  <c:v>0.23425692695214101</c:v>
                </c:pt>
                <c:pt idx="7">
                  <c:v>0.25494853523357108</c:v>
                </c:pt>
                <c:pt idx="8">
                  <c:v>0.243384785005513</c:v>
                </c:pt>
                <c:pt idx="9">
                  <c:v>0.19495652173913</c:v>
                </c:pt>
                <c:pt idx="10">
                  <c:v>0.18831869317306227</c:v>
                </c:pt>
                <c:pt idx="11">
                  <c:v>0.15924764890282136</c:v>
                </c:pt>
                <c:pt idx="12">
                  <c:v>0.15388036468756899</c:v>
                </c:pt>
                <c:pt idx="13">
                  <c:v>0.102325581395349</c:v>
                </c:pt>
              </c:numCache>
            </c:numRef>
          </c:val>
        </c:ser>
        <c:dLbls>
          <c:showLegendKey val="0"/>
          <c:showVal val="0"/>
          <c:showCatName val="0"/>
          <c:showSerName val="0"/>
          <c:showPercent val="0"/>
          <c:showBubbleSize val="0"/>
        </c:dLbls>
        <c:gapWidth val="150"/>
        <c:overlap val="100"/>
        <c:axId val="116747264"/>
        <c:axId val="138502912"/>
      </c:barChart>
      <c:catAx>
        <c:axId val="116747264"/>
        <c:scaling>
          <c:orientation val="minMax"/>
        </c:scaling>
        <c:delete val="0"/>
        <c:axPos val="b"/>
        <c:majorTickMark val="out"/>
        <c:minorTickMark val="none"/>
        <c:tickLblPos val="nextTo"/>
        <c:txPr>
          <a:bodyPr rot="-2700000" vert="horz"/>
          <a:lstStyle/>
          <a:p>
            <a:pPr>
              <a:defRPr lang="ja-JP" sz="800"/>
            </a:pPr>
            <a:endParaRPr lang="en-US"/>
          </a:p>
        </c:txPr>
        <c:crossAx val="138502912"/>
        <c:crosses val="autoZero"/>
        <c:auto val="1"/>
        <c:lblAlgn val="ctr"/>
        <c:lblOffset val="100"/>
        <c:tickLblSkip val="1"/>
        <c:noMultiLvlLbl val="0"/>
      </c:catAx>
      <c:valAx>
        <c:axId val="138502912"/>
        <c:scaling>
          <c:orientation val="minMax"/>
          <c:max val="1"/>
        </c:scaling>
        <c:delete val="0"/>
        <c:axPos val="l"/>
        <c:majorGridlines/>
        <c:numFmt formatCode="0%" sourceLinked="0"/>
        <c:majorTickMark val="out"/>
        <c:minorTickMark val="none"/>
        <c:tickLblPos val="nextTo"/>
        <c:txPr>
          <a:bodyPr/>
          <a:lstStyle/>
          <a:p>
            <a:pPr>
              <a:defRPr lang="ja-JP" sz="800"/>
            </a:pPr>
            <a:endParaRPr lang="en-US"/>
          </a:p>
        </c:txPr>
        <c:crossAx val="116747264"/>
        <c:crosses val="autoZero"/>
        <c:crossBetween val="between"/>
      </c:valAx>
    </c:plotArea>
    <c:legend>
      <c:legendPos val="b"/>
      <c:overlay val="0"/>
      <c:txPr>
        <a:bodyPr/>
        <a:lstStyle/>
        <a:p>
          <a:pPr>
            <a:defRPr lang="ja-JP"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'9'!$E$70</c:f>
              <c:strCache>
                <c:ptCount val="1"/>
                <c:pt idx="0">
                  <c:v>1 office</c:v>
                </c:pt>
              </c:strCache>
            </c:strRef>
          </c:tx>
          <c:invertIfNegative val="0"/>
          <c:cat>
            <c:strRef>
              <c:f>'9'!$F$69:$AV$69</c:f>
              <c:strCache>
                <c:ptCount val="14"/>
                <c:pt idx="0">
                  <c:v>1970s</c:v>
                </c:pt>
                <c:pt idx="1">
                  <c:v>1980s</c:v>
                </c:pt>
                <c:pt idx="2">
                  <c:v>1990s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'9'!$F$70:$AV$70</c:f>
              <c:numCache>
                <c:formatCode>0.0%</c:formatCode>
                <c:ptCount val="14"/>
                <c:pt idx="0">
                  <c:v>0.95482966924143464</c:v>
                </c:pt>
                <c:pt idx="1">
                  <c:v>0.82990989581933505</c:v>
                </c:pt>
                <c:pt idx="2">
                  <c:v>0.73392913958726902</c:v>
                </c:pt>
                <c:pt idx="3">
                  <c:v>0.67546284693351366</c:v>
                </c:pt>
                <c:pt idx="4">
                  <c:v>0.68883878241262697</c:v>
                </c:pt>
                <c:pt idx="5">
                  <c:v>0.65917893106119396</c:v>
                </c:pt>
                <c:pt idx="6">
                  <c:v>0.63552479815455665</c:v>
                </c:pt>
                <c:pt idx="7">
                  <c:v>0.63680069930069994</c:v>
                </c:pt>
                <c:pt idx="8">
                  <c:v>0.69734459867229903</c:v>
                </c:pt>
                <c:pt idx="9">
                  <c:v>0.67706766917293149</c:v>
                </c:pt>
                <c:pt idx="10">
                  <c:v>0.69894807146435178</c:v>
                </c:pt>
                <c:pt idx="11">
                  <c:v>0.70950323974082097</c:v>
                </c:pt>
                <c:pt idx="12">
                  <c:v>0.71385866315915492</c:v>
                </c:pt>
                <c:pt idx="13">
                  <c:v>0.6375630161965038</c:v>
                </c:pt>
              </c:numCache>
            </c:numRef>
          </c:val>
        </c:ser>
        <c:ser>
          <c:idx val="1"/>
          <c:order val="1"/>
          <c:tx>
            <c:strRef>
              <c:f>'9'!$E$71</c:f>
              <c:strCache>
                <c:ptCount val="1"/>
                <c:pt idx="0">
                  <c:v>2 offices</c:v>
                </c:pt>
              </c:strCache>
            </c:strRef>
          </c:tx>
          <c:invertIfNegative val="0"/>
          <c:cat>
            <c:strRef>
              <c:f>'9'!$F$69:$AV$69</c:f>
              <c:strCache>
                <c:ptCount val="14"/>
                <c:pt idx="0">
                  <c:v>1970s</c:v>
                </c:pt>
                <c:pt idx="1">
                  <c:v>1980s</c:v>
                </c:pt>
                <c:pt idx="2">
                  <c:v>1990s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'9'!$F$71:$AV$71</c:f>
              <c:numCache>
                <c:formatCode>0.0%</c:formatCode>
                <c:ptCount val="14"/>
                <c:pt idx="0">
                  <c:v>4.0725886314121634E-2</c:v>
                </c:pt>
                <c:pt idx="1">
                  <c:v>8.3116454205395401E-2</c:v>
                </c:pt>
                <c:pt idx="2">
                  <c:v>0.10428727868097208</c:v>
                </c:pt>
                <c:pt idx="3">
                  <c:v>0.15462690555738823</c:v>
                </c:pt>
                <c:pt idx="4">
                  <c:v>0.12063134160090208</c:v>
                </c:pt>
                <c:pt idx="5">
                  <c:v>0.12858249419055001</c:v>
                </c:pt>
                <c:pt idx="6">
                  <c:v>0.14763552479815487</c:v>
                </c:pt>
                <c:pt idx="7">
                  <c:v>0.14947552447552401</c:v>
                </c:pt>
                <c:pt idx="8">
                  <c:v>0.15238382619191301</c:v>
                </c:pt>
                <c:pt idx="9">
                  <c:v>0.16879699248120336</c:v>
                </c:pt>
                <c:pt idx="10">
                  <c:v>0.165470028385373</c:v>
                </c:pt>
                <c:pt idx="11">
                  <c:v>0.153887688984881</c:v>
                </c:pt>
                <c:pt idx="12">
                  <c:v>0.16118617720913483</c:v>
                </c:pt>
                <c:pt idx="13">
                  <c:v>0.19821945725624826</c:v>
                </c:pt>
              </c:numCache>
            </c:numRef>
          </c:val>
        </c:ser>
        <c:ser>
          <c:idx val="2"/>
          <c:order val="2"/>
          <c:tx>
            <c:strRef>
              <c:f>'9'!$E$72</c:f>
              <c:strCache>
                <c:ptCount val="1"/>
                <c:pt idx="0">
                  <c:v>3 offices</c:v>
                </c:pt>
              </c:strCache>
            </c:strRef>
          </c:tx>
          <c:invertIfNegative val="0"/>
          <c:cat>
            <c:strRef>
              <c:f>'9'!$F$69:$AV$69</c:f>
              <c:strCache>
                <c:ptCount val="14"/>
                <c:pt idx="0">
                  <c:v>1970s</c:v>
                </c:pt>
                <c:pt idx="1">
                  <c:v>1980s</c:v>
                </c:pt>
                <c:pt idx="2">
                  <c:v>1990s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'9'!$F$72:$AV$72</c:f>
              <c:numCache>
                <c:formatCode>0.0%</c:formatCode>
                <c:ptCount val="14"/>
                <c:pt idx="0">
                  <c:v>4.4444444444444453E-3</c:v>
                </c:pt>
                <c:pt idx="1">
                  <c:v>4.3391225117073114E-2</c:v>
                </c:pt>
                <c:pt idx="2">
                  <c:v>6.6859898449104879E-2</c:v>
                </c:pt>
                <c:pt idx="3">
                  <c:v>7.6759435588704197E-2</c:v>
                </c:pt>
                <c:pt idx="4">
                  <c:v>8.3427282976324693E-2</c:v>
                </c:pt>
                <c:pt idx="5">
                  <c:v>9.6049573973663899E-2</c:v>
                </c:pt>
                <c:pt idx="6">
                  <c:v>8.5351787773933083E-2</c:v>
                </c:pt>
                <c:pt idx="7">
                  <c:v>9.0472027972027996E-2</c:v>
                </c:pt>
                <c:pt idx="8">
                  <c:v>6.2462281231140782E-2</c:v>
                </c:pt>
                <c:pt idx="9">
                  <c:v>7.2180451127819678E-2</c:v>
                </c:pt>
                <c:pt idx="10">
                  <c:v>6.7123058941392505E-2</c:v>
                </c:pt>
                <c:pt idx="11">
                  <c:v>6.6144708423326107E-2</c:v>
                </c:pt>
                <c:pt idx="12">
                  <c:v>6.0504603611144334E-2</c:v>
                </c:pt>
                <c:pt idx="13">
                  <c:v>8.3878579856269606E-2</c:v>
                </c:pt>
              </c:numCache>
            </c:numRef>
          </c:val>
        </c:ser>
        <c:ser>
          <c:idx val="3"/>
          <c:order val="3"/>
          <c:tx>
            <c:strRef>
              <c:f>'9'!$E$73</c:f>
              <c:strCache>
                <c:ptCount val="1"/>
                <c:pt idx="0">
                  <c:v>4 offices</c:v>
                </c:pt>
              </c:strCache>
            </c:strRef>
          </c:tx>
          <c:invertIfNegative val="0"/>
          <c:cat>
            <c:strRef>
              <c:f>'9'!$F$69:$AV$69</c:f>
              <c:strCache>
                <c:ptCount val="14"/>
                <c:pt idx="0">
                  <c:v>1970s</c:v>
                </c:pt>
                <c:pt idx="1">
                  <c:v>1980s</c:v>
                </c:pt>
                <c:pt idx="2">
                  <c:v>1990s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'9'!$F$73:$AV$73</c:f>
              <c:numCache>
                <c:formatCode>0.0%</c:formatCode>
                <c:ptCount val="14"/>
                <c:pt idx="0">
                  <c:v>0</c:v>
                </c:pt>
                <c:pt idx="1">
                  <c:v>2.3584903055814125E-2</c:v>
                </c:pt>
                <c:pt idx="2">
                  <c:v>3.5800331788818938E-2</c:v>
                </c:pt>
                <c:pt idx="3">
                  <c:v>4.5043626822269756E-2</c:v>
                </c:pt>
                <c:pt idx="4">
                  <c:v>5.2987598647125114E-2</c:v>
                </c:pt>
                <c:pt idx="5">
                  <c:v>4.5701006971340122E-2</c:v>
                </c:pt>
                <c:pt idx="6">
                  <c:v>5.9976931949250432E-2</c:v>
                </c:pt>
                <c:pt idx="7">
                  <c:v>5.2447552447552385E-2</c:v>
                </c:pt>
                <c:pt idx="8">
                  <c:v>4.1339770669885298E-2</c:v>
                </c:pt>
                <c:pt idx="9">
                  <c:v>3.9285714285714361E-2</c:v>
                </c:pt>
                <c:pt idx="10">
                  <c:v>3.7401903489731277E-2</c:v>
                </c:pt>
                <c:pt idx="11">
                  <c:v>3.6447084233261297E-2</c:v>
                </c:pt>
                <c:pt idx="12">
                  <c:v>3.7546335047231899E-2</c:v>
                </c:pt>
                <c:pt idx="13">
                  <c:v>4.7302370481604634E-2</c:v>
                </c:pt>
              </c:numCache>
            </c:numRef>
          </c:val>
        </c:ser>
        <c:ser>
          <c:idx val="4"/>
          <c:order val="4"/>
          <c:tx>
            <c:strRef>
              <c:f>'9'!$E$74</c:f>
              <c:strCache>
                <c:ptCount val="1"/>
                <c:pt idx="0">
                  <c:v>5 offices</c:v>
                </c:pt>
              </c:strCache>
            </c:strRef>
          </c:tx>
          <c:invertIfNegative val="0"/>
          <c:cat>
            <c:strRef>
              <c:f>'9'!$F$69:$AV$69</c:f>
              <c:strCache>
                <c:ptCount val="14"/>
                <c:pt idx="0">
                  <c:v>1970s</c:v>
                </c:pt>
                <c:pt idx="1">
                  <c:v>1980s</c:v>
                </c:pt>
                <c:pt idx="2">
                  <c:v>1990s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'9'!$F$74:$AV$74</c:f>
              <c:numCache>
                <c:formatCode>0.0%</c:formatCode>
                <c:ptCount val="14"/>
                <c:pt idx="0">
                  <c:v>0</c:v>
                </c:pt>
                <c:pt idx="1">
                  <c:v>8.3403549730972446E-3</c:v>
                </c:pt>
                <c:pt idx="2">
                  <c:v>2.13378945921852E-2</c:v>
                </c:pt>
                <c:pt idx="3">
                  <c:v>2.0540846554806112E-2</c:v>
                </c:pt>
                <c:pt idx="4">
                  <c:v>2.4802705749718112E-2</c:v>
                </c:pt>
                <c:pt idx="5">
                  <c:v>2.4786986831913198E-2</c:v>
                </c:pt>
                <c:pt idx="6">
                  <c:v>3.5178777393310302E-2</c:v>
                </c:pt>
                <c:pt idx="7">
                  <c:v>2.7534965034965029E-2</c:v>
                </c:pt>
                <c:pt idx="8">
                  <c:v>2.0217260108630099E-2</c:v>
                </c:pt>
                <c:pt idx="9">
                  <c:v>1.7293233082706798E-2</c:v>
                </c:pt>
                <c:pt idx="10">
                  <c:v>1.0185339789614301E-2</c:v>
                </c:pt>
                <c:pt idx="11">
                  <c:v>1.5118790496760301E-2</c:v>
                </c:pt>
                <c:pt idx="12">
                  <c:v>1.2914026067200801E-2</c:v>
                </c:pt>
                <c:pt idx="13">
                  <c:v>1.7376380993242499E-2</c:v>
                </c:pt>
              </c:numCache>
            </c:numRef>
          </c:val>
        </c:ser>
        <c:ser>
          <c:idx val="5"/>
          <c:order val="5"/>
          <c:tx>
            <c:strRef>
              <c:f>'9'!$E$75</c:f>
              <c:strCache>
                <c:ptCount val="1"/>
                <c:pt idx="0">
                  <c:v>6+ offices</c:v>
                </c:pt>
              </c:strCache>
            </c:strRef>
          </c:tx>
          <c:invertIfNegative val="0"/>
          <c:cat>
            <c:strRef>
              <c:f>'9'!$F$69:$AV$69</c:f>
              <c:strCache>
                <c:ptCount val="14"/>
                <c:pt idx="0">
                  <c:v>1970s</c:v>
                </c:pt>
                <c:pt idx="1">
                  <c:v>1980s</c:v>
                </c:pt>
                <c:pt idx="2">
                  <c:v>1990s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'9'!$F$75:$AV$75</c:f>
              <c:numCache>
                <c:formatCode>0.0%</c:formatCode>
                <c:ptCount val="14"/>
                <c:pt idx="0">
                  <c:v>0</c:v>
                </c:pt>
                <c:pt idx="1">
                  <c:v>1.1657166829284899E-2</c:v>
                </c:pt>
                <c:pt idx="2">
                  <c:v>3.7785456901650798E-2</c:v>
                </c:pt>
                <c:pt idx="3">
                  <c:v>2.7566338543318001E-2</c:v>
                </c:pt>
                <c:pt idx="4">
                  <c:v>2.9312288613303299E-2</c:v>
                </c:pt>
                <c:pt idx="5">
                  <c:v>4.5701006971340122E-2</c:v>
                </c:pt>
                <c:pt idx="6">
                  <c:v>3.6332179930795801E-2</c:v>
                </c:pt>
                <c:pt idx="7">
                  <c:v>4.3269230769230796E-2</c:v>
                </c:pt>
                <c:pt idx="8">
                  <c:v>2.625226312613161E-2</c:v>
                </c:pt>
                <c:pt idx="9">
                  <c:v>2.5375939849624149E-2</c:v>
                </c:pt>
                <c:pt idx="10">
                  <c:v>2.0871597929537539E-2</c:v>
                </c:pt>
                <c:pt idx="11">
                  <c:v>1.88984881209503E-2</c:v>
                </c:pt>
                <c:pt idx="12">
                  <c:v>1.39901949061342E-2</c:v>
                </c:pt>
                <c:pt idx="13">
                  <c:v>1.5660195216132242E-2</c:v>
                </c:pt>
              </c:numCache>
            </c:numRef>
          </c:val>
        </c:ser>
        <c:dLbls>
          <c:showLegendKey val="0"/>
          <c:showVal val="0"/>
          <c:showCatName val="0"/>
          <c:showSerName val="0"/>
          <c:showPercent val="0"/>
          <c:showBubbleSize val="0"/>
        </c:dLbls>
        <c:gapWidth val="150"/>
        <c:overlap val="100"/>
        <c:axId val="144852480"/>
        <c:axId val="162324864"/>
      </c:barChart>
      <c:catAx>
        <c:axId val="144852480"/>
        <c:scaling>
          <c:orientation val="minMax"/>
        </c:scaling>
        <c:delete val="0"/>
        <c:axPos val="b"/>
        <c:majorTickMark val="out"/>
        <c:minorTickMark val="none"/>
        <c:tickLblPos val="nextTo"/>
        <c:txPr>
          <a:bodyPr/>
          <a:lstStyle/>
          <a:p>
            <a:pPr>
              <a:defRPr lang="ja-JP" sz="800"/>
            </a:pPr>
            <a:endParaRPr lang="en-US"/>
          </a:p>
        </c:txPr>
        <c:crossAx val="162324864"/>
        <c:crosses val="autoZero"/>
        <c:auto val="1"/>
        <c:lblAlgn val="ctr"/>
        <c:lblOffset val="100"/>
        <c:noMultiLvlLbl val="0"/>
      </c:catAx>
      <c:valAx>
        <c:axId val="162324864"/>
        <c:scaling>
          <c:orientation val="minMax"/>
        </c:scaling>
        <c:delete val="0"/>
        <c:axPos val="l"/>
        <c:majorGridlines/>
        <c:numFmt formatCode="0%" sourceLinked="1"/>
        <c:majorTickMark val="out"/>
        <c:minorTickMark val="none"/>
        <c:tickLblPos val="nextTo"/>
        <c:txPr>
          <a:bodyPr/>
          <a:lstStyle/>
          <a:p>
            <a:pPr>
              <a:defRPr lang="ja-JP" sz="800"/>
            </a:pPr>
            <a:endParaRPr lang="en-US"/>
          </a:p>
        </c:txPr>
        <c:crossAx val="144852480"/>
        <c:crosses val="autoZero"/>
        <c:crossBetween val="between"/>
      </c:valAx>
    </c:plotArea>
    <c:legend>
      <c:legendPos val="b"/>
      <c:overlay val="0"/>
      <c:txPr>
        <a:bodyPr/>
        <a:lstStyle/>
        <a:p>
          <a:pPr>
            <a:defRPr lang="ja-JP" sz="8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'[Statistics.xlsx]4'!$D$13</c:f>
              <c:strCache>
                <c:ptCount val="1"/>
                <c:pt idx="0">
                  <c:v>companies</c:v>
                </c:pt>
              </c:strCache>
            </c:strRef>
          </c:tx>
          <c:invertIfNegative val="0"/>
          <c:cat>
            <c:strRef>
              <c:f>'[Statistics.xlsx]4'!$E$12:$R$12</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'[Statistics.xlsx]4'!$E$13:$R$13</c:f>
              <c:numCache>
                <c:formatCode>0.0%</c:formatCode>
                <c:ptCount val="14"/>
                <c:pt idx="0">
                  <c:v>6.1611374407582895E-2</c:v>
                </c:pt>
                <c:pt idx="1">
                  <c:v>0.126174496644295</c:v>
                </c:pt>
                <c:pt idx="2">
                  <c:v>0.3538268506900884</c:v>
                </c:pt>
                <c:pt idx="3">
                  <c:v>0.72052604019817179</c:v>
                </c:pt>
                <c:pt idx="4">
                  <c:v>0.41492537313432848</c:v>
                </c:pt>
                <c:pt idx="5">
                  <c:v>0.42917847025495887</c:v>
                </c:pt>
                <c:pt idx="6">
                  <c:v>0.48816120906801008</c:v>
                </c:pt>
                <c:pt idx="7">
                  <c:v>0.54394299287410963</c:v>
                </c:pt>
                <c:pt idx="8">
                  <c:v>0.61742006615214995</c:v>
                </c:pt>
                <c:pt idx="9">
                  <c:v>0.70939130434782605</c:v>
                </c:pt>
                <c:pt idx="10">
                  <c:v>0.71921713669286502</c:v>
                </c:pt>
                <c:pt idx="11">
                  <c:v>0.76978056426332364</c:v>
                </c:pt>
                <c:pt idx="12">
                  <c:v>0.796531020680454</c:v>
                </c:pt>
                <c:pt idx="13">
                  <c:v>0.82123356926188096</c:v>
                </c:pt>
              </c:numCache>
            </c:numRef>
          </c:val>
        </c:ser>
        <c:ser>
          <c:idx val="1"/>
          <c:order val="1"/>
          <c:tx>
            <c:strRef>
              <c:f>'[Statistics.xlsx]4'!$D$14</c:f>
              <c:strCache>
                <c:ptCount val="1"/>
                <c:pt idx="0">
                  <c:v>individuals</c:v>
                </c:pt>
              </c:strCache>
            </c:strRef>
          </c:tx>
          <c:invertIfNegative val="0"/>
          <c:cat>
            <c:strRef>
              <c:f>'[Statistics.xlsx]4'!$E$12:$R$12</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'[Statistics.xlsx]4'!$E$14:$R$14</c:f>
              <c:numCache>
                <c:formatCode>0.0%</c:formatCode>
                <c:ptCount val="14"/>
                <c:pt idx="0">
                  <c:v>0.93838862559241698</c:v>
                </c:pt>
                <c:pt idx="1">
                  <c:v>0.70738255033557162</c:v>
                </c:pt>
                <c:pt idx="2">
                  <c:v>0.55708908406524449</c:v>
                </c:pt>
                <c:pt idx="3">
                  <c:v>0.221492729689451</c:v>
                </c:pt>
                <c:pt idx="4">
                  <c:v>0.49552238805970267</c:v>
                </c:pt>
                <c:pt idx="5">
                  <c:v>0.4851274787535414</c:v>
                </c:pt>
                <c:pt idx="6">
                  <c:v>0.431234256926952</c:v>
                </c:pt>
                <c:pt idx="7">
                  <c:v>0.39311163895486967</c:v>
                </c:pt>
                <c:pt idx="8">
                  <c:v>0.31835722160970248</c:v>
                </c:pt>
                <c:pt idx="9">
                  <c:v>0.24052173913043523</c:v>
                </c:pt>
                <c:pt idx="10">
                  <c:v>0.23270149483741737</c:v>
                </c:pt>
                <c:pt idx="11">
                  <c:v>0.17680250783699117</c:v>
                </c:pt>
                <c:pt idx="12">
                  <c:v>0.14465199021569897</c:v>
                </c:pt>
                <c:pt idx="13">
                  <c:v>0.122042467138524</c:v>
                </c:pt>
              </c:numCache>
            </c:numRef>
          </c:val>
        </c:ser>
        <c:ser>
          <c:idx val="2"/>
          <c:order val="2"/>
          <c:tx>
            <c:strRef>
              <c:f>'[Statistics.xlsx]4'!$D$15</c:f>
              <c:strCache>
                <c:ptCount val="1"/>
                <c:pt idx="0">
                  <c:v>universities</c:v>
                </c:pt>
              </c:strCache>
            </c:strRef>
          </c:tx>
          <c:invertIfNegative val="0"/>
          <c:cat>
            <c:strRef>
              <c:f>'[Statistics.xlsx]4'!$E$12:$R$12</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'[Statistics.xlsx]4'!$E$15:$R$15</c:f>
              <c:numCache>
                <c:formatCode>0.0%</c:formatCode>
                <c:ptCount val="14"/>
                <c:pt idx="0">
                  <c:v>0</c:v>
                </c:pt>
                <c:pt idx="1">
                  <c:v>8.7248322147651131E-2</c:v>
                </c:pt>
                <c:pt idx="2">
                  <c:v>4.9247176913425401E-2</c:v>
                </c:pt>
                <c:pt idx="3">
                  <c:v>1.5628146775687801E-2</c:v>
                </c:pt>
                <c:pt idx="4">
                  <c:v>4.0796019900497568E-2</c:v>
                </c:pt>
                <c:pt idx="5">
                  <c:v>3.5410764872521205E-2</c:v>
                </c:pt>
                <c:pt idx="6">
                  <c:v>2.61964735516373E-2</c:v>
                </c:pt>
                <c:pt idx="7">
                  <c:v>2.4148851939825793E-2</c:v>
                </c:pt>
                <c:pt idx="8">
                  <c:v>1.5711135611907432E-2</c:v>
                </c:pt>
                <c:pt idx="9">
                  <c:v>1.06086956521739E-2</c:v>
                </c:pt>
                <c:pt idx="10">
                  <c:v>1.1403914316535719E-2</c:v>
                </c:pt>
                <c:pt idx="11">
                  <c:v>1.3416927899686501E-2</c:v>
                </c:pt>
                <c:pt idx="12">
                  <c:v>1.3231042917500598E-2</c:v>
                </c:pt>
                <c:pt idx="13">
                  <c:v>1.5571284125379198E-2</c:v>
                </c:pt>
              </c:numCache>
            </c:numRef>
          </c:val>
        </c:ser>
        <c:ser>
          <c:idx val="3"/>
          <c:order val="3"/>
          <c:tx>
            <c:strRef>
              <c:f>'[Statistics.xlsx]4'!$D$16</c:f>
              <c:strCache>
                <c:ptCount val="1"/>
                <c:pt idx="0">
                  <c:v>research institutes</c:v>
                </c:pt>
              </c:strCache>
            </c:strRef>
          </c:tx>
          <c:invertIfNegative val="0"/>
          <c:cat>
            <c:strRef>
              <c:f>'[Statistics.xlsx]4'!$E$12:$R$12</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'[Statistics.xlsx]4'!$E$16:$R$16</c:f>
              <c:numCache>
                <c:formatCode>0.0%</c:formatCode>
                <c:ptCount val="14"/>
                <c:pt idx="0">
                  <c:v>0</c:v>
                </c:pt>
                <c:pt idx="1">
                  <c:v>7.9194630872483338E-2</c:v>
                </c:pt>
                <c:pt idx="2">
                  <c:v>3.9836888331242194E-2</c:v>
                </c:pt>
                <c:pt idx="3">
                  <c:v>4.2353083336689912E-2</c:v>
                </c:pt>
                <c:pt idx="4">
                  <c:v>4.8756218905472645E-2</c:v>
                </c:pt>
                <c:pt idx="5">
                  <c:v>5.0283286118980197E-2</c:v>
                </c:pt>
                <c:pt idx="6">
                  <c:v>5.4408060453400534E-2</c:v>
                </c:pt>
                <c:pt idx="7">
                  <c:v>3.8796516231195594E-2</c:v>
                </c:pt>
                <c:pt idx="8">
                  <c:v>4.8511576626240401E-2</c:v>
                </c:pt>
                <c:pt idx="9">
                  <c:v>3.9478260869565247E-2</c:v>
                </c:pt>
                <c:pt idx="10">
                  <c:v>3.6677454153182298E-2</c:v>
                </c:pt>
                <c:pt idx="11">
                  <c:v>4.0000000000000022E-2</c:v>
                </c:pt>
                <c:pt idx="12">
                  <c:v>4.5585946186346503E-2</c:v>
                </c:pt>
                <c:pt idx="13">
                  <c:v>4.1152679474216414E-2</c:v>
                </c:pt>
              </c:numCache>
            </c:numRef>
          </c:val>
        </c:ser>
        <c:dLbls>
          <c:showLegendKey val="0"/>
          <c:showVal val="0"/>
          <c:showCatName val="0"/>
          <c:showSerName val="0"/>
          <c:showPercent val="0"/>
          <c:showBubbleSize val="0"/>
        </c:dLbls>
        <c:gapWidth val="150"/>
        <c:overlap val="100"/>
        <c:axId val="165944704"/>
        <c:axId val="166802944"/>
      </c:barChart>
      <c:catAx>
        <c:axId val="165944704"/>
        <c:scaling>
          <c:orientation val="minMax"/>
        </c:scaling>
        <c:delete val="0"/>
        <c:axPos val="b"/>
        <c:majorTickMark val="out"/>
        <c:minorTickMark val="none"/>
        <c:tickLblPos val="nextTo"/>
        <c:txPr>
          <a:bodyPr rot="-2700000" vert="horz"/>
          <a:lstStyle/>
          <a:p>
            <a:pPr>
              <a:defRPr lang="ja-JP" sz="800"/>
            </a:pPr>
            <a:endParaRPr lang="en-US"/>
          </a:p>
        </c:txPr>
        <c:crossAx val="166802944"/>
        <c:crosses val="autoZero"/>
        <c:auto val="1"/>
        <c:lblAlgn val="ctr"/>
        <c:lblOffset val="100"/>
        <c:tickLblSkip val="1"/>
        <c:noMultiLvlLbl val="0"/>
      </c:catAx>
      <c:valAx>
        <c:axId val="166802944"/>
        <c:scaling>
          <c:orientation val="minMax"/>
          <c:max val="1"/>
        </c:scaling>
        <c:delete val="0"/>
        <c:axPos val="l"/>
        <c:majorGridlines/>
        <c:numFmt formatCode="0%" sourceLinked="0"/>
        <c:majorTickMark val="out"/>
        <c:minorTickMark val="none"/>
        <c:tickLblPos val="nextTo"/>
        <c:txPr>
          <a:bodyPr/>
          <a:lstStyle/>
          <a:p>
            <a:pPr>
              <a:defRPr lang="ja-JP" sz="800"/>
            </a:pPr>
            <a:endParaRPr lang="en-US"/>
          </a:p>
        </c:txPr>
        <c:crossAx val="165944704"/>
        <c:crosses val="autoZero"/>
        <c:crossBetween val="between"/>
      </c:valAx>
    </c:plotArea>
    <c:legend>
      <c:legendPos val="b"/>
      <c:overlay val="0"/>
      <c:txPr>
        <a:bodyPr/>
        <a:lstStyle/>
        <a:p>
          <a:pPr>
            <a:defRPr lang="ja-JP"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'[Statistics.xlsx]5'!$E$15</c:f>
              <c:strCache>
                <c:ptCount val="1"/>
                <c:pt idx="0">
                  <c:v>Electrical engineering</c:v>
                </c:pt>
              </c:strCache>
            </c:strRef>
          </c:tx>
          <c:invertIfNegative val="0"/>
          <c:cat>
            <c:strRef>
              <c:f>'[Statistics.xlsx]5'!$F$14:$S$14</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'[Statistics.xlsx]5'!$F$15:$S$15</c:f>
              <c:numCache>
                <c:formatCode>0.0%</c:formatCode>
                <c:ptCount val="14"/>
                <c:pt idx="0">
                  <c:v>0.10585585739286586</c:v>
                </c:pt>
                <c:pt idx="1">
                  <c:v>0.15067343981676723</c:v>
                </c:pt>
                <c:pt idx="2">
                  <c:v>0.18500620880367116</c:v>
                </c:pt>
                <c:pt idx="3">
                  <c:v>0.52212928956954563</c:v>
                </c:pt>
                <c:pt idx="4">
                  <c:v>0.27330130110041739</c:v>
                </c:pt>
                <c:pt idx="5">
                  <c:v>0.30542709251101302</c:v>
                </c:pt>
                <c:pt idx="6">
                  <c:v>0.35422113586282633</c:v>
                </c:pt>
                <c:pt idx="7">
                  <c:v>0.38488375194116248</c:v>
                </c:pt>
                <c:pt idx="8">
                  <c:v>0.46320903696658267</c:v>
                </c:pt>
                <c:pt idx="9">
                  <c:v>0.51285204807062457</c:v>
                </c:pt>
                <c:pt idx="10">
                  <c:v>0.51995361955499964</c:v>
                </c:pt>
                <c:pt idx="11">
                  <c:v>0.5464578413561505</c:v>
                </c:pt>
                <c:pt idx="12">
                  <c:v>0.56831313757177904</c:v>
                </c:pt>
                <c:pt idx="13">
                  <c:v>0.60892114514390705</c:v>
                </c:pt>
              </c:numCache>
            </c:numRef>
          </c:val>
        </c:ser>
        <c:ser>
          <c:idx val="1"/>
          <c:order val="1"/>
          <c:tx>
            <c:strRef>
              <c:f>'[Statistics.xlsx]5'!$E$16</c:f>
              <c:strCache>
                <c:ptCount val="1"/>
                <c:pt idx="0">
                  <c:v>Mechanical engineering</c:v>
                </c:pt>
              </c:strCache>
            </c:strRef>
          </c:tx>
          <c:invertIfNegative val="0"/>
          <c:cat>
            <c:strRef>
              <c:f>'[Statistics.xlsx]5'!$F$14:$S$14</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'[Statistics.xlsx]5'!$F$16:$S$16</c:f>
              <c:numCache>
                <c:formatCode>0.0%</c:formatCode>
                <c:ptCount val="14"/>
                <c:pt idx="0">
                  <c:v>0.40090087566958954</c:v>
                </c:pt>
                <c:pt idx="1">
                  <c:v>0.334429977875286</c:v>
                </c:pt>
                <c:pt idx="2">
                  <c:v>0.32047425251934553</c:v>
                </c:pt>
                <c:pt idx="3">
                  <c:v>0.14818329264678401</c:v>
                </c:pt>
                <c:pt idx="4">
                  <c:v>0.22920674070914801</c:v>
                </c:pt>
                <c:pt idx="5">
                  <c:v>0.19378362701908977</c:v>
                </c:pt>
                <c:pt idx="6">
                  <c:v>0.19217703149877788</c:v>
                </c:pt>
                <c:pt idx="7">
                  <c:v>0.17772184259409424</c:v>
                </c:pt>
                <c:pt idx="8">
                  <c:v>0.17627819653710833</c:v>
                </c:pt>
                <c:pt idx="9">
                  <c:v>0.15026938908283743</c:v>
                </c:pt>
                <c:pt idx="10">
                  <c:v>0.15382400501410201</c:v>
                </c:pt>
                <c:pt idx="11">
                  <c:v>0.13699554314644033</c:v>
                </c:pt>
                <c:pt idx="12">
                  <c:v>0.13098852587455387</c:v>
                </c:pt>
                <c:pt idx="13">
                  <c:v>0.12792310966289999</c:v>
                </c:pt>
              </c:numCache>
            </c:numRef>
          </c:val>
        </c:ser>
        <c:ser>
          <c:idx val="2"/>
          <c:order val="2"/>
          <c:tx>
            <c:strRef>
              <c:f>'[Statistics.xlsx]5'!$E$17</c:f>
              <c:strCache>
                <c:ptCount val="1"/>
                <c:pt idx="0">
                  <c:v>Chemistry</c:v>
                </c:pt>
              </c:strCache>
            </c:strRef>
          </c:tx>
          <c:invertIfNegative val="0"/>
          <c:cat>
            <c:strRef>
              <c:f>'[Statistics.xlsx]5'!$F$14:$S$14</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'[Statistics.xlsx]5'!$F$17:$S$17</c:f>
              <c:numCache>
                <c:formatCode>0.0%</c:formatCode>
                <c:ptCount val="14"/>
                <c:pt idx="0">
                  <c:v>0.15653153272613826</c:v>
                </c:pt>
                <c:pt idx="1">
                  <c:v>0.19993008253293937</c:v>
                </c:pt>
                <c:pt idx="2">
                  <c:v>0.21163682396632899</c:v>
                </c:pt>
                <c:pt idx="3">
                  <c:v>0.117960850613752</c:v>
                </c:pt>
                <c:pt idx="4">
                  <c:v>0.22586266361834187</c:v>
                </c:pt>
                <c:pt idx="5">
                  <c:v>0.209489720998532</c:v>
                </c:pt>
                <c:pt idx="6">
                  <c:v>0.19801671266046317</c:v>
                </c:pt>
                <c:pt idx="7">
                  <c:v>0.17814761073935301</c:v>
                </c:pt>
                <c:pt idx="8">
                  <c:v>0.12879307834577</c:v>
                </c:pt>
                <c:pt idx="9">
                  <c:v>0.11947078498263417</c:v>
                </c:pt>
                <c:pt idx="10">
                  <c:v>0.10746501096834808</c:v>
                </c:pt>
                <c:pt idx="11">
                  <c:v>0.102377517227739</c:v>
                </c:pt>
                <c:pt idx="12">
                  <c:v>9.8991878401435265E-2</c:v>
                </c:pt>
                <c:pt idx="13">
                  <c:v>9.6339100656570281E-2</c:v>
                </c:pt>
              </c:numCache>
            </c:numRef>
          </c:val>
        </c:ser>
        <c:ser>
          <c:idx val="3"/>
          <c:order val="3"/>
          <c:tx>
            <c:strRef>
              <c:f>'[Statistics.xlsx]5'!$E$18</c:f>
              <c:strCache>
                <c:ptCount val="1"/>
                <c:pt idx="0">
                  <c:v>Instruments</c:v>
                </c:pt>
              </c:strCache>
            </c:strRef>
          </c:tx>
          <c:invertIfNegative val="0"/>
          <c:cat>
            <c:strRef>
              <c:f>'[Statistics.xlsx]5'!$F$14:$S$14</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'[Statistics.xlsx]5'!$F$18:$S$18</c:f>
              <c:numCache>
                <c:formatCode>0.0%</c:formatCode>
                <c:ptCount val="14"/>
                <c:pt idx="0">
                  <c:v>0.112612614103969</c:v>
                </c:pt>
                <c:pt idx="1">
                  <c:v>0.12454918874395109</c:v>
                </c:pt>
                <c:pt idx="2">
                  <c:v>0.10529457622607222</c:v>
                </c:pt>
                <c:pt idx="3">
                  <c:v>0.11253822225136002</c:v>
                </c:pt>
                <c:pt idx="4">
                  <c:v>9.9982216647550679E-2</c:v>
                </c:pt>
                <c:pt idx="5">
                  <c:v>0.12432085168869308</c:v>
                </c:pt>
                <c:pt idx="6">
                  <c:v>0.10716314399804017</c:v>
                </c:pt>
                <c:pt idx="7">
                  <c:v>0.11035240107957398</c:v>
                </c:pt>
                <c:pt idx="8">
                  <c:v>9.4437102619737784E-2</c:v>
                </c:pt>
                <c:pt idx="9">
                  <c:v>0.11868216245649112</c:v>
                </c:pt>
                <c:pt idx="10">
                  <c:v>0.11658589783766792</c:v>
                </c:pt>
                <c:pt idx="11">
                  <c:v>0.12576342835367388</c:v>
                </c:pt>
                <c:pt idx="12">
                  <c:v>0.11607417517497702</c:v>
                </c:pt>
                <c:pt idx="13">
                  <c:v>0.10020686643828514</c:v>
                </c:pt>
              </c:numCache>
            </c:numRef>
          </c:val>
        </c:ser>
        <c:ser>
          <c:idx val="4"/>
          <c:order val="4"/>
          <c:tx>
            <c:strRef>
              <c:f>'[Statistics.xlsx]5'!$E$19</c:f>
              <c:strCache>
                <c:ptCount val="1"/>
                <c:pt idx="0">
                  <c:v>Other fields</c:v>
                </c:pt>
              </c:strCache>
            </c:strRef>
          </c:tx>
          <c:invertIfNegative val="0"/>
          <c:cat>
            <c:strRef>
              <c:f>'[Statistics.xlsx]5'!$F$14:$S$14</c:f>
              <c:strCache>
                <c:ptCount val="14"/>
                <c:pt idx="0">
                  <c:v>70s</c:v>
                </c:pt>
                <c:pt idx="1">
                  <c:v>80s</c:v>
                </c:pt>
                <c:pt idx="2">
                  <c:v>90s</c:v>
                </c:pt>
                <c:pt idx="3">
                  <c:v>2000-2009</c:v>
                </c:pt>
                <c:pt idx="4">
                  <c:v>2000</c:v>
                </c:pt>
                <c:pt idx="5">
                  <c:v>2001</c:v>
                </c:pt>
                <c:pt idx="6">
                  <c:v>2002</c:v>
                </c:pt>
                <c:pt idx="7">
                  <c:v>2003</c:v>
                </c:pt>
                <c:pt idx="8">
                  <c:v>2004</c:v>
                </c:pt>
                <c:pt idx="9">
                  <c:v>2005</c:v>
                </c:pt>
                <c:pt idx="10">
                  <c:v>2006</c:v>
                </c:pt>
                <c:pt idx="11">
                  <c:v>2007</c:v>
                </c:pt>
                <c:pt idx="12">
                  <c:v>2008</c:v>
                </c:pt>
                <c:pt idx="13">
                  <c:v>2009</c:v>
                </c:pt>
              </c:strCache>
            </c:strRef>
          </c:cat>
          <c:val>
            <c:numRef>
              <c:f>'[Statistics.xlsx]5'!$F$19:$S$19</c:f>
              <c:numCache>
                <c:formatCode>0.0%</c:formatCode>
                <c:ptCount val="14"/>
                <c:pt idx="0">
                  <c:v>0.22409912010743827</c:v>
                </c:pt>
                <c:pt idx="1">
                  <c:v>0.19041731103105816</c:v>
                </c:pt>
                <c:pt idx="2">
                  <c:v>0.17758813848458299</c:v>
                </c:pt>
                <c:pt idx="3">
                  <c:v>9.9188344918559046E-2</c:v>
                </c:pt>
                <c:pt idx="4">
                  <c:v>0.17164707792454187</c:v>
                </c:pt>
                <c:pt idx="5">
                  <c:v>0.16697870778267301</c:v>
                </c:pt>
                <c:pt idx="6">
                  <c:v>0.14842197597989201</c:v>
                </c:pt>
                <c:pt idx="7">
                  <c:v>0.14889439364581716</c:v>
                </c:pt>
                <c:pt idx="8">
                  <c:v>0.13728258553080017</c:v>
                </c:pt>
                <c:pt idx="9">
                  <c:v>9.8725615407413148E-2</c:v>
                </c:pt>
                <c:pt idx="10">
                  <c:v>0.102171466624882</c:v>
                </c:pt>
                <c:pt idx="11">
                  <c:v>8.8405669915995827E-2</c:v>
                </c:pt>
                <c:pt idx="12">
                  <c:v>8.5632282977255295E-2</c:v>
                </c:pt>
                <c:pt idx="13">
                  <c:v>6.6609778098336805E-2</c:v>
                </c:pt>
              </c:numCache>
            </c:numRef>
          </c:val>
        </c:ser>
        <c:dLbls>
          <c:showLegendKey val="0"/>
          <c:showVal val="0"/>
          <c:showCatName val="0"/>
          <c:showSerName val="0"/>
          <c:showPercent val="0"/>
          <c:showBubbleSize val="0"/>
        </c:dLbls>
        <c:gapWidth val="150"/>
        <c:overlap val="100"/>
        <c:axId val="173952000"/>
        <c:axId val="179499776"/>
      </c:barChart>
      <c:catAx>
        <c:axId val="173952000"/>
        <c:scaling>
          <c:orientation val="minMax"/>
        </c:scaling>
        <c:delete val="0"/>
        <c:axPos val="b"/>
        <c:majorTickMark val="out"/>
        <c:minorTickMark val="none"/>
        <c:tickLblPos val="nextTo"/>
        <c:txPr>
          <a:bodyPr rot="-2700000" vert="horz"/>
          <a:lstStyle/>
          <a:p>
            <a:pPr>
              <a:defRPr lang="ja-JP" sz="800"/>
            </a:pPr>
            <a:endParaRPr lang="en-US"/>
          </a:p>
        </c:txPr>
        <c:crossAx val="179499776"/>
        <c:crosses val="autoZero"/>
        <c:auto val="1"/>
        <c:lblAlgn val="ctr"/>
        <c:lblOffset val="100"/>
        <c:tickLblSkip val="1"/>
        <c:noMultiLvlLbl val="0"/>
      </c:catAx>
      <c:valAx>
        <c:axId val="179499776"/>
        <c:scaling>
          <c:orientation val="minMax"/>
          <c:max val="1"/>
        </c:scaling>
        <c:delete val="0"/>
        <c:axPos val="l"/>
        <c:majorGridlines/>
        <c:numFmt formatCode="0%" sourceLinked="0"/>
        <c:majorTickMark val="out"/>
        <c:minorTickMark val="none"/>
        <c:tickLblPos val="nextTo"/>
        <c:txPr>
          <a:bodyPr/>
          <a:lstStyle/>
          <a:p>
            <a:pPr>
              <a:defRPr lang="ja-JP" sz="800"/>
            </a:pPr>
            <a:endParaRPr lang="en-US"/>
          </a:p>
        </c:txPr>
        <c:crossAx val="173952000"/>
        <c:crosses val="autoZero"/>
        <c:crossBetween val="between"/>
      </c:valAx>
    </c:plotArea>
    <c:legend>
      <c:legendPos val="b"/>
      <c:overlay val="0"/>
      <c:txPr>
        <a:bodyPr/>
        <a:lstStyle/>
        <a:p>
          <a:pPr>
            <a:defRPr lang="ja-JP" sz="8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'[Statistics_20140319.xlsx]6b'!$AV$91:$AV$101</c:f>
              <c:strCache>
                <c:ptCount val="11"/>
                <c:pt idx="0">
                  <c:v>Electrical machinery, apparatus, energy</c:v>
                </c:pt>
                <c:pt idx="1">
                  <c:v>Digital communication</c:v>
                </c:pt>
                <c:pt idx="2">
                  <c:v>Computer technology</c:v>
                </c:pt>
                <c:pt idx="3">
                  <c:v>Audio-visual technology</c:v>
                </c:pt>
                <c:pt idx="4">
                  <c:v>Telecommunications</c:v>
                </c:pt>
                <c:pt idx="5">
                  <c:v>Optics</c:v>
                </c:pt>
                <c:pt idx="6">
                  <c:v>Furniture, games</c:v>
                </c:pt>
                <c:pt idx="7">
                  <c:v>Measurement</c:v>
                </c:pt>
                <c:pt idx="8">
                  <c:v>Semiconductors</c:v>
                </c:pt>
                <c:pt idx="9">
                  <c:v>Other consumer goods</c:v>
                </c:pt>
                <c:pt idx="10">
                  <c:v>Other technology fields</c:v>
                </c:pt>
              </c:strCache>
            </c:strRef>
          </c:cat>
          <c:val>
            <c:numRef>
              <c:f>'[Statistics_20140319.xlsx]6b'!$AX$91:$AX$101</c:f>
              <c:numCache>
                <c:formatCode>0.0%</c:formatCode>
                <c:ptCount val="11"/>
                <c:pt idx="0">
                  <c:v>0.12804463598923141</c:v>
                </c:pt>
                <c:pt idx="1">
                  <c:v>0.11084726403812019</c:v>
                </c:pt>
                <c:pt idx="2">
                  <c:v>0.10683990308449601</c:v>
                </c:pt>
                <c:pt idx="3">
                  <c:v>9.3356458142477436E-2</c:v>
                </c:pt>
                <c:pt idx="4">
                  <c:v>7.0661283391665788E-2</c:v>
                </c:pt>
                <c:pt idx="5">
                  <c:v>4.4274523909176182E-2</c:v>
                </c:pt>
                <c:pt idx="6">
                  <c:v>4.0817369458228801E-2</c:v>
                </c:pt>
                <c:pt idx="7">
                  <c:v>3.3534483107050969E-2</c:v>
                </c:pt>
                <c:pt idx="8">
                  <c:v>3.3437846653497055E-2</c:v>
                </c:pt>
                <c:pt idx="9">
                  <c:v>2.361438466574451E-2</c:v>
                </c:pt>
                <c:pt idx="10">
                  <c:v>0.31457184756031187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4.5507801108194815E-2"/>
          <c:w val="0.33091243802858"/>
          <c:h val="0.92750255176436225"/>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ja-JP" sz="800"/>
                </a:pPr>
                <a:endParaRPr lang="en-US"/>
              </a:p>
            </c:txPr>
            <c:dLblPos val="outEnd"/>
            <c:showLegendKey val="0"/>
            <c:showVal val="1"/>
            <c:showCatName val="0"/>
            <c:showSerName val="0"/>
            <c:showPercent val="0"/>
            <c:showBubbleSize val="0"/>
            <c:showLeaderLines val="1"/>
          </c:dLbls>
          <c:cat>
            <c:strRef>
              <c:f>'[Statistics_20140319.xlsx]13a'!$G$46:$G$56</c:f>
              <c:strCache>
                <c:ptCount val="11"/>
                <c:pt idx="0">
                  <c:v>Electrical machinery, apparatus, energy</c:v>
                </c:pt>
                <c:pt idx="1">
                  <c:v>Civil engineering</c:v>
                </c:pt>
                <c:pt idx="2">
                  <c:v>Furniture, games</c:v>
                </c:pt>
                <c:pt idx="3">
                  <c:v>Measurement</c:v>
                </c:pt>
                <c:pt idx="4">
                  <c:v>Medical technology</c:v>
                </c:pt>
                <c:pt idx="5">
                  <c:v>Machine tools</c:v>
                </c:pt>
                <c:pt idx="6">
                  <c:v>Other consumer goods</c:v>
                </c:pt>
                <c:pt idx="7">
                  <c:v>Thermal processes and apparatus</c:v>
                </c:pt>
                <c:pt idx="8">
                  <c:v>Other special machines</c:v>
                </c:pt>
                <c:pt idx="9">
                  <c:v>Mechanical elements</c:v>
                </c:pt>
                <c:pt idx="10">
                  <c:v>Other technology fields</c:v>
                </c:pt>
              </c:strCache>
            </c:strRef>
          </c:cat>
          <c:val>
            <c:numRef>
              <c:f>'[Statistics_20140319.xlsx]13a'!$I$46:$I$56</c:f>
              <c:numCache>
                <c:formatCode>0.0%</c:formatCode>
                <c:ptCount val="11"/>
                <c:pt idx="0">
                  <c:v>8.3070507196034968E-2</c:v>
                </c:pt>
                <c:pt idx="1">
                  <c:v>6.3631975352724662E-2</c:v>
                </c:pt>
                <c:pt idx="2">
                  <c:v>5.1785501372808296E-2</c:v>
                </c:pt>
                <c:pt idx="3">
                  <c:v>4.8362978108868367E-2</c:v>
                </c:pt>
                <c:pt idx="4">
                  <c:v>4.5302997342183404E-2</c:v>
                </c:pt>
                <c:pt idx="5">
                  <c:v>4.4100308469098466E-2</c:v>
                </c:pt>
                <c:pt idx="6">
                  <c:v>4.3105691436166708E-2</c:v>
                </c:pt>
                <c:pt idx="7">
                  <c:v>4.1495652259115973E-2</c:v>
                </c:pt>
                <c:pt idx="8">
                  <c:v>3.9627085741306314E-2</c:v>
                </c:pt>
                <c:pt idx="9">
                  <c:v>3.9221884467921811E-2</c:v>
                </c:pt>
                <c:pt idx="10">
                  <c:v>0.50029541825377233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19867308253221"/>
          <c:y val="2.2359652960046671E-2"/>
          <c:w val="0.33091243802858"/>
          <c:h val="0.95065069991251094"/>
        </c:manualLayout>
      </c:layout>
      <c:overlay val="0"/>
      <c:txPr>
        <a:bodyPr/>
        <a:lstStyle/>
        <a:p>
          <a:pPr rtl="0">
            <a:defRPr lang="ja-JP" sz="800"/>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77286-93F5-4C1D-91F3-A425E2A6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54</Pages>
  <Words>10241</Words>
  <Characters>59260</Characters>
  <Application>Microsoft Office Word</Application>
  <DocSecurity>0</DocSecurity>
  <Lines>1975</Lines>
  <Paragraphs>1139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Wicker Olivier</dc:creator>
  <cp:lastModifiedBy>BRACI Biljana</cp:lastModifiedBy>
  <cp:revision>29</cp:revision>
  <cp:lastPrinted>2014-04-23T17:08:00Z</cp:lastPrinted>
  <dcterms:created xsi:type="dcterms:W3CDTF">2014-04-23T13:54:00Z</dcterms:created>
  <dcterms:modified xsi:type="dcterms:W3CDTF">2014-04-23T17:11:00Z</dcterms:modified>
</cp:coreProperties>
</file>