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578" w:type="dxa"/>
        <w:tblInd w:w="-5" w:type="dxa"/>
        <w:tblLook w:val="01E0" w:firstRow="1" w:lastRow="1" w:firstColumn="1" w:lastColumn="1" w:noHBand="0" w:noVBand="0"/>
      </w:tblPr>
      <w:tblGrid>
        <w:gridCol w:w="4628"/>
        <w:gridCol w:w="4443"/>
        <w:gridCol w:w="507"/>
      </w:tblGrid>
      <w:tr w:rsidR="00EC34BB" w:rsidTr="007F410A">
        <w:tc>
          <w:tcPr>
            <w:tcW w:w="4628" w:type="dxa"/>
          </w:tcPr>
          <w:p w:rsidR="00EC34BB" w:rsidRDefault="00EC34BB" w:rsidP="007F410A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443" w:type="dxa"/>
          </w:tcPr>
          <w:p w:rsidR="00EC34BB" w:rsidRDefault="00EC34BB" w:rsidP="007F410A">
            <w:pPr>
              <w:bidi/>
            </w:pPr>
          </w:p>
        </w:tc>
        <w:tc>
          <w:tcPr>
            <w:tcW w:w="507" w:type="dxa"/>
          </w:tcPr>
          <w:p w:rsidR="00EC34BB" w:rsidRDefault="00EC34BB" w:rsidP="007F410A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EC34BB" w:rsidTr="007F410A">
        <w:trPr>
          <w:trHeight w:val="1508"/>
        </w:trPr>
        <w:tc>
          <w:tcPr>
            <w:tcW w:w="4628" w:type="dxa"/>
            <w:vAlign w:val="bottom"/>
          </w:tcPr>
          <w:p w:rsidR="00EC34BB" w:rsidRDefault="00EC34BB" w:rsidP="007F410A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950" w:type="dxa"/>
            <w:gridSpan w:val="2"/>
          </w:tcPr>
          <w:p w:rsidR="00EC34BB" w:rsidRPr="0028285A" w:rsidRDefault="00EC34BB" w:rsidP="00C4679D">
            <w:pPr>
              <w:bidi/>
              <w:spacing w:after="20"/>
              <w:rPr>
                <w:sz w:val="40"/>
                <w:szCs w:val="40"/>
                <w:rtl/>
              </w:rPr>
            </w:pPr>
            <w:r>
              <w:rPr>
                <w:noProof/>
              </w:rPr>
              <w:drawing>
                <wp:inline distT="0" distB="0" distL="0" distR="0" wp14:anchorId="71CA53ED" wp14:editId="7A02A334">
                  <wp:extent cx="1263650" cy="1200150"/>
                  <wp:effectExtent l="0" t="0" r="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4BB" w:rsidRPr="0028285A" w:rsidTr="007F410A">
        <w:trPr>
          <w:trHeight w:val="52"/>
        </w:trPr>
        <w:tc>
          <w:tcPr>
            <w:tcW w:w="9578" w:type="dxa"/>
            <w:gridSpan w:val="3"/>
            <w:tcBorders>
              <w:top w:val="single" w:sz="4" w:space="0" w:color="auto"/>
            </w:tcBorders>
            <w:vAlign w:val="bottom"/>
          </w:tcPr>
          <w:p w:rsidR="00EC34BB" w:rsidRPr="0028285A" w:rsidRDefault="00EC34BB" w:rsidP="007F410A">
            <w:pPr>
              <w:pStyle w:val="DocumentCodeAR"/>
              <w:bidi/>
              <w:jc w:val="left"/>
              <w:rPr>
                <w:rFonts w:cs="PT Bold Heading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PT Bold Heading" w:hint="cs"/>
                <w:b w:val="0"/>
                <w:bCs w:val="0"/>
                <w:sz w:val="24"/>
                <w:szCs w:val="24"/>
                <w:rtl/>
              </w:rPr>
              <w:t>مؤتمر دولي</w:t>
            </w:r>
          </w:p>
        </w:tc>
      </w:tr>
      <w:tr w:rsidR="00EC34BB" w:rsidTr="007F410A">
        <w:trPr>
          <w:trHeight w:val="333"/>
        </w:trPr>
        <w:tc>
          <w:tcPr>
            <w:tcW w:w="9578" w:type="dxa"/>
            <w:gridSpan w:val="3"/>
            <w:tcBorders>
              <w:top w:val="single" w:sz="4" w:space="0" w:color="auto"/>
            </w:tcBorders>
            <w:vAlign w:val="bottom"/>
          </w:tcPr>
          <w:p w:rsidR="00EC34BB" w:rsidRPr="00B6101C" w:rsidRDefault="00EC34BB" w:rsidP="00EC6DD3">
            <w:pPr>
              <w:pStyle w:val="DocumentCodeAR"/>
              <w:bidi/>
            </w:pPr>
            <w:r>
              <w:t>WIPO</w:t>
            </w:r>
            <w:r w:rsidRPr="00B6101C">
              <w:t>/</w:t>
            </w:r>
            <w:r>
              <w:t>GDCM</w:t>
            </w:r>
            <w:r w:rsidRPr="00B6101C">
              <w:t>/</w:t>
            </w:r>
            <w:r>
              <w:t>GE/16/</w:t>
            </w:r>
            <w:r w:rsidR="00EC6DD3">
              <w:rPr>
                <w:caps/>
                <w:sz w:val="15"/>
              </w:rPr>
              <w:t>INF/2</w:t>
            </w:r>
          </w:p>
        </w:tc>
      </w:tr>
      <w:tr w:rsidR="00EC34BB" w:rsidTr="007F410A">
        <w:tc>
          <w:tcPr>
            <w:tcW w:w="9578" w:type="dxa"/>
            <w:gridSpan w:val="3"/>
          </w:tcPr>
          <w:p w:rsidR="00EC34BB" w:rsidRPr="00B6101C" w:rsidRDefault="00EC34BB" w:rsidP="00EC6DD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EC6DD3">
              <w:rPr>
                <w:rFonts w:hint="cs"/>
                <w:rtl/>
              </w:rPr>
              <w:t>بالإنكليزية</w:t>
            </w:r>
          </w:p>
        </w:tc>
      </w:tr>
      <w:tr w:rsidR="00EC34BB" w:rsidTr="007F410A">
        <w:tc>
          <w:tcPr>
            <w:tcW w:w="9578" w:type="dxa"/>
            <w:gridSpan w:val="3"/>
          </w:tcPr>
          <w:p w:rsidR="00EC34BB" w:rsidRPr="00B6101C" w:rsidRDefault="00EC34BB" w:rsidP="008266C3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266C3">
              <w:rPr>
                <w:rFonts w:hint="cs"/>
                <w:rtl/>
              </w:rPr>
              <w:t>1 أبريل</w:t>
            </w:r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2016</w:t>
            </w:r>
          </w:p>
        </w:tc>
      </w:tr>
    </w:tbl>
    <w:p w:rsidR="00EC34BB" w:rsidRDefault="00EC34BB" w:rsidP="00EC34BB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EC34BB" w:rsidRDefault="00EC34BB" w:rsidP="00EC34BB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EC34BB" w:rsidRDefault="00EC34BB" w:rsidP="00EC34BB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EC34BB" w:rsidRPr="00F27305" w:rsidRDefault="00EC34BB" w:rsidP="00EC34BB">
      <w:pPr>
        <w:pStyle w:val="MeetingTitleAR"/>
        <w:bidi/>
        <w:rPr>
          <w:rtl/>
        </w:rPr>
      </w:pPr>
      <w:r w:rsidRPr="00500BF5">
        <w:rPr>
          <w:rtl/>
        </w:rPr>
        <w:t>السوق العالمية للمحتويات الرقمية</w:t>
      </w:r>
    </w:p>
    <w:p w:rsidR="00EC34BB" w:rsidRDefault="00EC34BB" w:rsidP="00EC34BB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EC34BB" w:rsidRDefault="00EC34BB" w:rsidP="00EC34BB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EC34BB" w:rsidRPr="0028285A" w:rsidRDefault="00EC34BB" w:rsidP="00EC34BB">
      <w:pPr>
        <w:pStyle w:val="NormalParaAR"/>
        <w:spacing w:after="0" w:line="400" w:lineRule="exact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تنظّمه المنظمة العالمية للملكية الفكرية (الويبو)</w:t>
      </w:r>
    </w:p>
    <w:p w:rsidR="00EC34BB" w:rsidRDefault="00EC34BB" w:rsidP="00EC34BB">
      <w:pPr>
        <w:pStyle w:val="MeetingDatesAR"/>
        <w:bidi/>
        <w:spacing w:before="240" w:after="240"/>
        <w:rPr>
          <w:rtl/>
        </w:rPr>
      </w:pPr>
      <w:r>
        <w:rPr>
          <w:rFonts w:hint="cs"/>
          <w:rtl/>
        </w:rPr>
        <w:t>جنيف، 20 إلى 22</w:t>
      </w:r>
      <w:r>
        <w:rPr>
          <w:rFonts w:hint="cs"/>
          <w:rtl/>
          <w:lang w:val="fr-CH"/>
        </w:rPr>
        <w:t xml:space="preserve"> </w:t>
      </w:r>
      <w:r>
        <w:rPr>
          <w:rFonts w:hint="cs"/>
          <w:rtl/>
        </w:rPr>
        <w:t>أبريل 2016</w:t>
      </w:r>
    </w:p>
    <w:p w:rsidR="00EC34BB" w:rsidRDefault="00EC6DD3" w:rsidP="008266C3">
      <w:pPr>
        <w:pStyle w:val="PreparedbyAR"/>
        <w:bidi/>
        <w:spacing w:after="480"/>
        <w:rPr>
          <w:rFonts w:ascii="Arial Black" w:hAnsi="Arial Black" w:cs="PT Bold Heading" w:hint="cs"/>
          <w:i w:val="0"/>
          <w:iCs w:val="0"/>
          <w:sz w:val="26"/>
          <w:szCs w:val="26"/>
          <w:rtl/>
        </w:rPr>
      </w:pPr>
      <w:r w:rsidRPr="00EC6DD3">
        <w:rPr>
          <w:rFonts w:ascii="Arial Black" w:hAnsi="Arial Black" w:cs="PT Bold Heading"/>
          <w:i w:val="0"/>
          <w:iCs w:val="0"/>
          <w:sz w:val="26"/>
          <w:szCs w:val="26"/>
          <w:rtl/>
        </w:rPr>
        <w:t>وثيقة المعلومات الأ</w:t>
      </w:r>
      <w:bookmarkStart w:id="2" w:name="_GoBack"/>
      <w:bookmarkEnd w:id="2"/>
      <w:r w:rsidRPr="00EC6DD3">
        <w:rPr>
          <w:rFonts w:ascii="Arial Black" w:hAnsi="Arial Black" w:cs="PT Bold Heading"/>
          <w:i w:val="0"/>
          <w:iCs w:val="0"/>
          <w:sz w:val="26"/>
          <w:szCs w:val="26"/>
          <w:rtl/>
        </w:rPr>
        <w:t>ساسية</w:t>
      </w:r>
      <w:r>
        <w:rPr>
          <w:rFonts w:ascii="Arial Black" w:hAnsi="Arial Black" w:cs="PT Bold Heading" w:hint="cs"/>
          <w:i w:val="0"/>
          <w:iCs w:val="0"/>
          <w:sz w:val="26"/>
          <w:szCs w:val="26"/>
          <w:rtl/>
        </w:rPr>
        <w:t xml:space="preserve"> </w:t>
      </w:r>
      <w:r w:rsidRPr="00EC6DD3">
        <w:rPr>
          <w:rFonts w:ascii="Arial Black" w:hAnsi="Arial Black" w:cs="PT Bold Heading" w:hint="cs"/>
          <w:i w:val="0"/>
          <w:iCs w:val="0"/>
          <w:sz w:val="26"/>
          <w:szCs w:val="26"/>
          <w:rtl/>
        </w:rPr>
        <w:t>للمندوبين</w:t>
      </w:r>
    </w:p>
    <w:p w:rsidR="008266C3" w:rsidRPr="008266C3" w:rsidRDefault="008266C3" w:rsidP="008266C3">
      <w:pPr>
        <w:pStyle w:val="PreparedbyAR"/>
        <w:bidi/>
      </w:pPr>
      <w:r>
        <w:rPr>
          <w:rFonts w:hint="cs"/>
          <w:rtl/>
        </w:rPr>
        <w:t xml:space="preserve">من إعداد المكتب الدولي </w:t>
      </w:r>
      <w:proofErr w:type="spellStart"/>
      <w:r>
        <w:rPr>
          <w:rFonts w:hint="cs"/>
          <w:rtl/>
        </w:rPr>
        <w:t>للويبو</w:t>
      </w:r>
      <w:proofErr w:type="spellEnd"/>
    </w:p>
    <w:p w:rsidR="00EC34BB" w:rsidRDefault="00EC34BB" w:rsidP="00EC34BB">
      <w:pPr>
        <w:pStyle w:val="NormalParaAR"/>
        <w:rPr>
          <w:rtl/>
        </w:rPr>
      </w:pPr>
    </w:p>
    <w:p w:rsidR="00EC34BB" w:rsidRDefault="00EC34BB" w:rsidP="00EC34BB">
      <w:pPr>
        <w:pStyle w:val="NormalParaAR"/>
        <w:rPr>
          <w:rtl/>
        </w:rPr>
      </w:pPr>
    </w:p>
    <w:p w:rsidR="00EC34BB" w:rsidRDefault="00EC34BB" w:rsidP="00EC34BB">
      <w:pPr>
        <w:pStyle w:val="NormalParaAR"/>
        <w:rPr>
          <w:rtl/>
        </w:rPr>
      </w:pPr>
    </w:p>
    <w:p w:rsidR="00EC34BB" w:rsidRDefault="00EC34BB" w:rsidP="00EC34BB">
      <w:pPr>
        <w:pStyle w:val="NormalParaAR"/>
        <w:rPr>
          <w:rtl/>
        </w:rPr>
      </w:pPr>
    </w:p>
    <w:p w:rsidR="00EC6DD3" w:rsidRDefault="00EC6DD3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EC6DD3" w:rsidRPr="00EC6DD3" w:rsidRDefault="00EC6DD3" w:rsidP="00BF1298">
      <w:pPr>
        <w:pStyle w:val="Heading1"/>
        <w:rPr>
          <w:rtl/>
        </w:rPr>
      </w:pPr>
      <w:r w:rsidRPr="00EC6DD3">
        <w:rPr>
          <w:rFonts w:hint="cs"/>
          <w:rtl/>
        </w:rPr>
        <w:lastRenderedPageBreak/>
        <w:t>مقدمة</w:t>
      </w:r>
    </w:p>
    <w:p w:rsidR="00EC6DD3" w:rsidRDefault="00EC6DD3" w:rsidP="00BF0ACA">
      <w:pPr>
        <w:pStyle w:val="NormalParaAR"/>
        <w:rPr>
          <w:rtl/>
        </w:rPr>
      </w:pPr>
      <w:r>
        <w:rPr>
          <w:rFonts w:hint="cs"/>
          <w:rtl/>
        </w:rPr>
        <w:t xml:space="preserve">يغير </w:t>
      </w:r>
      <w:r w:rsidR="00B614C5">
        <w:rPr>
          <w:rFonts w:hint="cs"/>
          <w:rtl/>
        </w:rPr>
        <w:t>المجتمع</w:t>
      </w:r>
      <w:r w:rsidR="007F0965">
        <w:rPr>
          <w:rFonts w:hint="cs"/>
          <w:rtl/>
        </w:rPr>
        <w:t>ُ</w:t>
      </w:r>
      <w:r>
        <w:rPr>
          <w:rFonts w:hint="cs"/>
          <w:rtl/>
        </w:rPr>
        <w:t xml:space="preserve"> الرقمي </w:t>
      </w:r>
      <w:r w:rsidR="00CB7737">
        <w:rPr>
          <w:rFonts w:hint="cs"/>
          <w:rtl/>
        </w:rPr>
        <w:t>العالمي</w:t>
      </w:r>
      <w:r w:rsidR="007F0965">
        <w:rPr>
          <w:rFonts w:hint="cs"/>
          <w:rtl/>
        </w:rPr>
        <w:t xml:space="preserve"> </w:t>
      </w:r>
      <w:r w:rsidR="00CB7737">
        <w:rPr>
          <w:rFonts w:hint="cs"/>
          <w:rtl/>
        </w:rPr>
        <w:t>نماذج</w:t>
      </w:r>
      <w:r w:rsidR="007F0965">
        <w:rPr>
          <w:rFonts w:hint="cs"/>
          <w:rtl/>
        </w:rPr>
        <w:t>َ</w:t>
      </w:r>
      <w:r w:rsidR="00CB7737">
        <w:rPr>
          <w:rFonts w:hint="cs"/>
          <w:rtl/>
        </w:rPr>
        <w:t xml:space="preserve"> </w:t>
      </w:r>
      <w:r w:rsidR="007F0965">
        <w:rPr>
          <w:rFonts w:hint="cs"/>
          <w:rtl/>
        </w:rPr>
        <w:t>الأعمال</w:t>
      </w:r>
      <w:r w:rsidR="00CB7737">
        <w:rPr>
          <w:rFonts w:hint="cs"/>
          <w:rtl/>
        </w:rPr>
        <w:t xml:space="preserve"> </w:t>
      </w:r>
      <w:r w:rsidR="007F0965">
        <w:rPr>
          <w:rFonts w:hint="cs"/>
          <w:rtl/>
        </w:rPr>
        <w:t>المستقرة</w:t>
      </w:r>
      <w:r w:rsidR="00CB7737">
        <w:rPr>
          <w:rFonts w:hint="cs"/>
          <w:rtl/>
        </w:rPr>
        <w:t xml:space="preserve"> منذ زمن</w:t>
      </w:r>
      <w:r w:rsidR="007F0965" w:rsidRPr="007F0965">
        <w:rPr>
          <w:rFonts w:hint="cs"/>
          <w:rtl/>
        </w:rPr>
        <w:t xml:space="preserve"> </w:t>
      </w:r>
      <w:r w:rsidR="007F0965">
        <w:rPr>
          <w:rFonts w:hint="cs"/>
          <w:rtl/>
        </w:rPr>
        <w:t>بسرعة كبيرة</w:t>
      </w:r>
      <w:r w:rsidR="00CB7737">
        <w:rPr>
          <w:rFonts w:hint="cs"/>
          <w:rtl/>
        </w:rPr>
        <w:t xml:space="preserve">. وشهدت السنوات الأخيرة نشوء "اقصاد </w:t>
      </w:r>
      <w:r w:rsidR="007F0965">
        <w:rPr>
          <w:rFonts w:hint="cs"/>
          <w:rtl/>
        </w:rPr>
        <w:t>ال</w:t>
      </w:r>
      <w:r w:rsidR="00CB7737">
        <w:rPr>
          <w:rFonts w:hint="cs"/>
          <w:rtl/>
        </w:rPr>
        <w:t>تقاسم" مع ظهور أوبر</w:t>
      </w:r>
      <w:r w:rsidR="00BF0ACA">
        <w:rPr>
          <w:rFonts w:hint="cs"/>
          <w:rtl/>
        </w:rPr>
        <w:t>(</w:t>
      </w:r>
      <w:r w:rsidR="00BF0ACA" w:rsidRPr="00241717">
        <w:rPr>
          <w:szCs w:val="22"/>
        </w:rPr>
        <w:t>Uber</w:t>
      </w:r>
      <w:r w:rsidR="00BF0ACA">
        <w:rPr>
          <w:rFonts w:hint="cs"/>
          <w:rtl/>
        </w:rPr>
        <w:t>)</w:t>
      </w:r>
      <w:r w:rsidR="00CB7737">
        <w:rPr>
          <w:rFonts w:hint="cs"/>
          <w:rtl/>
        </w:rPr>
        <w:t xml:space="preserve"> الذي يقدم خدمات </w:t>
      </w:r>
      <w:r w:rsidR="007F0965">
        <w:rPr>
          <w:rFonts w:hint="cs"/>
          <w:rtl/>
        </w:rPr>
        <w:t xml:space="preserve">أرخص سعرا </w:t>
      </w:r>
      <w:r w:rsidR="00CB7737">
        <w:rPr>
          <w:rFonts w:hint="cs"/>
          <w:rtl/>
        </w:rPr>
        <w:t>تفوق سيارات الأجرة مرونة، وإير بي أن بي</w:t>
      </w:r>
      <w:r w:rsidR="00BF0ACA">
        <w:rPr>
          <w:rFonts w:hint="cs"/>
          <w:rtl/>
        </w:rPr>
        <w:t xml:space="preserve"> (</w:t>
      </w:r>
      <w:r w:rsidR="00BF0ACA" w:rsidRPr="00241717">
        <w:rPr>
          <w:szCs w:val="22"/>
        </w:rPr>
        <w:t>Airbnb</w:t>
      </w:r>
      <w:r w:rsidR="00BF0ACA">
        <w:rPr>
          <w:rFonts w:hint="cs"/>
          <w:rtl/>
        </w:rPr>
        <w:t>)</w:t>
      </w:r>
      <w:r w:rsidR="00CB7737">
        <w:rPr>
          <w:rFonts w:hint="cs"/>
          <w:rtl/>
        </w:rPr>
        <w:t xml:space="preserve"> الذي </w:t>
      </w:r>
      <w:r w:rsidR="007F0965">
        <w:rPr>
          <w:rFonts w:hint="cs"/>
          <w:rtl/>
        </w:rPr>
        <w:t>يقدم نفس الخدمة</w:t>
      </w:r>
      <w:r w:rsidR="00CB7737">
        <w:rPr>
          <w:rFonts w:hint="cs"/>
          <w:rtl/>
        </w:rPr>
        <w:t xml:space="preserve"> </w:t>
      </w:r>
      <w:r w:rsidR="00BF0ACA">
        <w:rPr>
          <w:rFonts w:hint="cs"/>
          <w:rtl/>
        </w:rPr>
        <w:t>في مجال ا</w:t>
      </w:r>
      <w:r w:rsidR="007F0965">
        <w:rPr>
          <w:rFonts w:hint="cs"/>
          <w:rtl/>
        </w:rPr>
        <w:t>لإقامة</w:t>
      </w:r>
      <w:r w:rsidR="00CB7737">
        <w:rPr>
          <w:rFonts w:hint="cs"/>
          <w:rtl/>
        </w:rPr>
        <w:t xml:space="preserve">، </w:t>
      </w:r>
      <w:proofErr w:type="spellStart"/>
      <w:r w:rsidR="00CB7737">
        <w:rPr>
          <w:rFonts w:hint="cs"/>
          <w:rtl/>
        </w:rPr>
        <w:t>وفيز</w:t>
      </w:r>
      <w:r w:rsidR="007F0965">
        <w:rPr>
          <w:rFonts w:hint="cs"/>
          <w:rtl/>
        </w:rPr>
        <w:t>إ</w:t>
      </w:r>
      <w:r w:rsidR="00CB7737">
        <w:rPr>
          <w:rFonts w:hint="cs"/>
          <w:rtl/>
        </w:rPr>
        <w:t>يت</w:t>
      </w:r>
      <w:proofErr w:type="spellEnd"/>
      <w:r w:rsidR="00CB7737">
        <w:rPr>
          <w:rFonts w:hint="cs"/>
          <w:rtl/>
        </w:rPr>
        <w:t xml:space="preserve"> </w:t>
      </w:r>
      <w:r w:rsidR="00BF0ACA">
        <w:rPr>
          <w:rFonts w:hint="cs"/>
          <w:rtl/>
        </w:rPr>
        <w:t>(</w:t>
      </w:r>
      <w:proofErr w:type="spellStart"/>
      <w:r w:rsidR="00BF0ACA" w:rsidRPr="00241717">
        <w:rPr>
          <w:szCs w:val="22"/>
        </w:rPr>
        <w:t>Vizeat</w:t>
      </w:r>
      <w:proofErr w:type="spellEnd"/>
      <w:r w:rsidR="00BF0ACA">
        <w:rPr>
          <w:rFonts w:hint="cs"/>
          <w:rtl/>
        </w:rPr>
        <w:t xml:space="preserve">) </w:t>
      </w:r>
      <w:r w:rsidR="00CB7737">
        <w:rPr>
          <w:rFonts w:hint="cs"/>
          <w:rtl/>
        </w:rPr>
        <w:t xml:space="preserve">الذي نشأ للتو </w:t>
      </w:r>
      <w:r w:rsidR="007F0965">
        <w:rPr>
          <w:rFonts w:hint="cs"/>
          <w:rtl/>
        </w:rPr>
        <w:t xml:space="preserve">ويقدم </w:t>
      </w:r>
      <w:r w:rsidR="00CB7737">
        <w:rPr>
          <w:rFonts w:hint="cs"/>
          <w:rtl/>
        </w:rPr>
        <w:t xml:space="preserve">ما تطلق عليه الشركة </w:t>
      </w:r>
      <w:r w:rsidR="007F0965">
        <w:rPr>
          <w:rFonts w:hint="cs"/>
          <w:rtl/>
        </w:rPr>
        <w:t xml:space="preserve">اسم </w:t>
      </w:r>
      <w:r w:rsidR="00CB7737">
        <w:rPr>
          <w:rFonts w:hint="cs"/>
          <w:rtl/>
        </w:rPr>
        <w:t>"تقاسم الوجبات".</w:t>
      </w:r>
    </w:p>
    <w:p w:rsidR="00795C41" w:rsidRDefault="007F0965" w:rsidP="00CF50BA">
      <w:pPr>
        <w:pStyle w:val="NormalParaAR"/>
        <w:rPr>
          <w:rtl/>
        </w:rPr>
      </w:pPr>
      <w:r>
        <w:rPr>
          <w:rFonts w:hint="cs"/>
          <w:rtl/>
        </w:rPr>
        <w:t>و</w:t>
      </w:r>
      <w:r w:rsidRPr="007F0965">
        <w:rPr>
          <w:rtl/>
        </w:rPr>
        <w:t>شهد اقتصاد المحتويات الإبداعية تغييرا جذريا</w:t>
      </w:r>
      <w:r w:rsidR="00CF50BA">
        <w:rPr>
          <w:rFonts w:hint="cs"/>
          <w:rtl/>
        </w:rPr>
        <w:t xml:space="preserve"> في </w:t>
      </w:r>
      <w:r w:rsidRPr="007F0965">
        <w:rPr>
          <w:rtl/>
        </w:rPr>
        <w:t xml:space="preserve">النفاذ ونماذج الأعمال </w:t>
      </w:r>
      <w:r w:rsidR="00CF50BA">
        <w:rPr>
          <w:rFonts w:hint="cs"/>
          <w:rtl/>
        </w:rPr>
        <w:t xml:space="preserve">على مدار </w:t>
      </w:r>
      <w:r w:rsidRPr="007F0965">
        <w:rPr>
          <w:rtl/>
        </w:rPr>
        <w:t>أكثر من عشر سنوات.</w:t>
      </w:r>
      <w:r>
        <w:rPr>
          <w:rFonts w:hint="cs"/>
          <w:rtl/>
        </w:rPr>
        <w:t xml:space="preserve"> </w:t>
      </w:r>
      <w:r w:rsidRPr="007F0965">
        <w:rPr>
          <w:rtl/>
        </w:rPr>
        <w:t>و</w:t>
      </w:r>
      <w:r w:rsidR="00CF50BA">
        <w:rPr>
          <w:rFonts w:hint="cs"/>
          <w:rtl/>
        </w:rPr>
        <w:t xml:space="preserve">تقع </w:t>
      </w:r>
      <w:r w:rsidRPr="007F0965">
        <w:rPr>
          <w:rtl/>
        </w:rPr>
        <w:t xml:space="preserve">التوترات </w:t>
      </w:r>
      <w:r w:rsidR="00CF50BA">
        <w:rPr>
          <w:rFonts w:hint="cs"/>
          <w:rtl/>
        </w:rPr>
        <w:t>بين</w:t>
      </w:r>
      <w:r w:rsidRPr="007F0965">
        <w:rPr>
          <w:rtl/>
        </w:rPr>
        <w:t xml:space="preserve"> زيادة فرص النفاذ وضمان استدامة سلسلة القيمة الاقتصادية في صميم </w:t>
      </w:r>
      <w:r w:rsidR="00795C41">
        <w:rPr>
          <w:rFonts w:hint="cs"/>
          <w:rtl/>
        </w:rPr>
        <w:t xml:space="preserve">هذا </w:t>
      </w:r>
      <w:r w:rsidRPr="007F0965">
        <w:rPr>
          <w:rtl/>
        </w:rPr>
        <w:t>المؤتمر</w:t>
      </w:r>
      <w:r w:rsidR="00795C41">
        <w:rPr>
          <w:rFonts w:hint="cs"/>
          <w:rtl/>
        </w:rPr>
        <w:t xml:space="preserve"> للويبو:</w:t>
      </w:r>
      <w:r w:rsidRPr="007F0965">
        <w:rPr>
          <w:rtl/>
        </w:rPr>
        <w:t xml:space="preserve"> </w:t>
      </w:r>
      <w:r w:rsidR="00795C41" w:rsidRPr="00795C41">
        <w:rPr>
          <w:rtl/>
        </w:rPr>
        <w:t>السوق العالمية للمحتويات الرقمية</w:t>
      </w:r>
      <w:r w:rsidR="00795C41">
        <w:rPr>
          <w:rFonts w:hint="cs"/>
          <w:rtl/>
        </w:rPr>
        <w:t>.</w:t>
      </w:r>
    </w:p>
    <w:p w:rsidR="00795C41" w:rsidRPr="00795C41" w:rsidRDefault="00795C41" w:rsidP="00CF50BA">
      <w:pPr>
        <w:pStyle w:val="NormalParaAR"/>
        <w:rPr>
          <w:rtl/>
        </w:rPr>
      </w:pPr>
      <w:r>
        <w:rPr>
          <w:rFonts w:hint="cs"/>
          <w:rtl/>
        </w:rPr>
        <w:t xml:space="preserve">ويعرض المؤتمر أولا أفضل الممارسات ثم ينظر في القضايا حسب القطاع: الموسيقى، والأفلام، </w:t>
      </w:r>
      <w:r w:rsidR="00B76261">
        <w:rPr>
          <w:rFonts w:hint="cs"/>
          <w:rtl/>
        </w:rPr>
        <w:t>والبث</w:t>
      </w:r>
      <w:r>
        <w:rPr>
          <w:rFonts w:hint="cs"/>
          <w:rtl/>
        </w:rPr>
        <w:t xml:space="preserve"> والنشر. أما آخر </w:t>
      </w:r>
      <w:r w:rsidR="00B76261">
        <w:rPr>
          <w:rFonts w:hint="cs"/>
          <w:rtl/>
        </w:rPr>
        <w:t>جلستين</w:t>
      </w:r>
      <w:r>
        <w:rPr>
          <w:rFonts w:hint="cs"/>
          <w:rtl/>
        </w:rPr>
        <w:t xml:space="preserve"> </w:t>
      </w:r>
      <w:r w:rsidR="00B76261">
        <w:rPr>
          <w:rFonts w:hint="cs"/>
          <w:rtl/>
        </w:rPr>
        <w:t>فت</w:t>
      </w:r>
      <w:r>
        <w:rPr>
          <w:rFonts w:hint="cs"/>
          <w:rtl/>
        </w:rPr>
        <w:t xml:space="preserve">نظران في البنى التحتية الرقمية، والإدارة الجماعية والتداعيات على السوق </w:t>
      </w:r>
      <w:proofErr w:type="spellStart"/>
      <w:r>
        <w:rPr>
          <w:rFonts w:hint="cs"/>
          <w:rtl/>
        </w:rPr>
        <w:t>ووا</w:t>
      </w:r>
      <w:proofErr w:type="spellEnd"/>
      <w:r>
        <w:rPr>
          <w:rFonts w:hint="cs"/>
          <w:rtl/>
          <w:lang w:bidi="ar-EG"/>
        </w:rPr>
        <w:t>ض</w:t>
      </w:r>
      <w:r>
        <w:rPr>
          <w:rFonts w:hint="cs"/>
          <w:rtl/>
        </w:rPr>
        <w:t>عي السياسات.</w:t>
      </w:r>
    </w:p>
    <w:p w:rsidR="00DC6295" w:rsidRDefault="007D5DA7" w:rsidP="00BF1298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أولا</w:t>
      </w:r>
      <w:r w:rsidR="00DC6295">
        <w:rPr>
          <w:rFonts w:hint="cs"/>
          <w:rtl/>
          <w:lang w:bidi="ar-EG"/>
        </w:rPr>
        <w:tab/>
      </w:r>
      <w:r w:rsidR="00DC6295" w:rsidRPr="00DC6295">
        <w:rPr>
          <w:rFonts w:hint="cs"/>
          <w:rtl/>
          <w:lang w:bidi="ar-EG"/>
        </w:rPr>
        <w:t>الموسيقى</w:t>
      </w:r>
    </w:p>
    <w:p w:rsidR="00DC6295" w:rsidRPr="00DC6295" w:rsidRDefault="00DC6295" w:rsidP="00BF1298">
      <w:pPr>
        <w:pStyle w:val="Heading3"/>
        <w:rPr>
          <w:rtl/>
        </w:rPr>
      </w:pPr>
      <w:r w:rsidRPr="00DC6295">
        <w:rPr>
          <w:rFonts w:hint="cs"/>
          <w:rtl/>
        </w:rPr>
        <w:t>لمحة عامة</w:t>
      </w:r>
    </w:p>
    <w:p w:rsidR="007F0965" w:rsidRDefault="00DB6BCD" w:rsidP="00CF50BA">
      <w:pPr>
        <w:pStyle w:val="NormalParaAR"/>
        <w:rPr>
          <w:rtl/>
        </w:rPr>
      </w:pPr>
      <w:r>
        <w:rPr>
          <w:rFonts w:hint="cs"/>
          <w:rtl/>
        </w:rPr>
        <w:t>ي</w:t>
      </w:r>
      <w:r w:rsidR="00DC6295">
        <w:rPr>
          <w:rFonts w:hint="cs"/>
          <w:rtl/>
        </w:rPr>
        <w:t xml:space="preserve">شهد </w:t>
      </w:r>
      <w:r>
        <w:rPr>
          <w:rtl/>
        </w:rPr>
        <w:t>قطاع</w:t>
      </w:r>
      <w:r w:rsidR="00DC6295">
        <w:rPr>
          <w:rtl/>
        </w:rPr>
        <w:t xml:space="preserve"> الموسيق</w:t>
      </w:r>
      <w:r w:rsidR="00DC6295">
        <w:rPr>
          <w:rFonts w:hint="cs"/>
          <w:rtl/>
        </w:rPr>
        <w:t>ى</w:t>
      </w:r>
      <w:r w:rsidR="00DC6295">
        <w:rPr>
          <w:rtl/>
        </w:rPr>
        <w:t xml:space="preserve"> حالة تقلّب </w:t>
      </w:r>
      <w:r w:rsidR="00CF50BA">
        <w:rPr>
          <w:rFonts w:hint="cs"/>
          <w:rtl/>
        </w:rPr>
        <w:t>لأنه</w:t>
      </w:r>
      <w:r w:rsidR="00DC6295">
        <w:rPr>
          <w:rtl/>
        </w:rPr>
        <w:t xml:space="preserve"> </w:t>
      </w:r>
      <w:r w:rsidR="00CF50BA">
        <w:rPr>
          <w:rFonts w:hint="cs"/>
          <w:rtl/>
        </w:rPr>
        <w:t>ي</w:t>
      </w:r>
      <w:r w:rsidR="00DC6295">
        <w:rPr>
          <w:rtl/>
        </w:rPr>
        <w:t>واصل التكيّف مع العصر الرقمي.</w:t>
      </w:r>
      <w:r w:rsidR="00DC6295">
        <w:rPr>
          <w:rFonts w:hint="cs"/>
          <w:rtl/>
        </w:rPr>
        <w:t xml:space="preserve"> </w:t>
      </w:r>
      <w:r w:rsidR="00DC6295">
        <w:rPr>
          <w:rtl/>
        </w:rPr>
        <w:t>وفي حين تزداد السوق الرقمية تعقيدا</w:t>
      </w:r>
      <w:r w:rsidR="00DC6295">
        <w:rPr>
          <w:rFonts w:hint="cs"/>
          <w:rtl/>
        </w:rPr>
        <w:t>،</w:t>
      </w:r>
      <w:r w:rsidR="00FC1B56">
        <w:rPr>
          <w:rFonts w:hint="cs"/>
          <w:rtl/>
          <w:lang w:bidi="ar-EG"/>
        </w:rPr>
        <w:t xml:space="preserve"> </w:t>
      </w:r>
      <w:r w:rsidR="00CF50BA">
        <w:rPr>
          <w:rFonts w:hint="cs"/>
          <w:rtl/>
        </w:rPr>
        <w:t>على</w:t>
      </w:r>
      <w:r w:rsidR="00DC6295">
        <w:rPr>
          <w:rFonts w:hint="cs"/>
          <w:rtl/>
        </w:rPr>
        <w:t xml:space="preserve"> ا</w:t>
      </w:r>
      <w:r w:rsidR="00DC6295">
        <w:rPr>
          <w:rtl/>
        </w:rPr>
        <w:t>لزياد</w:t>
      </w:r>
      <w:r w:rsidR="00DC6295">
        <w:rPr>
          <w:rFonts w:hint="cs"/>
          <w:rtl/>
        </w:rPr>
        <w:t>ة</w:t>
      </w:r>
      <w:r w:rsidR="00DC6295">
        <w:rPr>
          <w:rtl/>
        </w:rPr>
        <w:t xml:space="preserve"> في </w:t>
      </w:r>
      <w:r w:rsidR="00DC6295">
        <w:rPr>
          <w:rFonts w:hint="cs"/>
          <w:rtl/>
        </w:rPr>
        <w:t>ال</w:t>
      </w:r>
      <w:r w:rsidR="00DC6295">
        <w:rPr>
          <w:rtl/>
        </w:rPr>
        <w:t xml:space="preserve">مبيعات الرقمية أن تعوّض الانخفاض في مبيعات </w:t>
      </w:r>
      <w:r w:rsidR="00DC6295">
        <w:rPr>
          <w:rFonts w:hint="cs"/>
          <w:rtl/>
        </w:rPr>
        <w:t>الأشكال</w:t>
      </w:r>
      <w:r w:rsidR="00DC6295">
        <w:rPr>
          <w:rtl/>
        </w:rPr>
        <w:t xml:space="preserve"> المادية</w:t>
      </w:r>
      <w:r w:rsidR="00DC6295">
        <w:rPr>
          <w:rFonts w:hint="cs"/>
          <w:rtl/>
        </w:rPr>
        <w:t>،</w:t>
      </w:r>
      <w:r w:rsidR="00795C41">
        <w:rPr>
          <w:rFonts w:hint="cs"/>
          <w:rtl/>
        </w:rPr>
        <w:t xml:space="preserve"> </w:t>
      </w:r>
      <w:r w:rsidR="00DC6295">
        <w:rPr>
          <w:rFonts w:hint="cs"/>
          <w:rtl/>
        </w:rPr>
        <w:t>مما</w:t>
      </w:r>
      <w:r w:rsidR="00DC6295" w:rsidRPr="00DC6295">
        <w:rPr>
          <w:rtl/>
        </w:rPr>
        <w:t xml:space="preserve"> يتسبّب في تحويل سلسلة القيمة</w:t>
      </w:r>
      <w:r w:rsidR="00DC6295">
        <w:rPr>
          <w:rFonts w:hint="cs"/>
          <w:rtl/>
        </w:rPr>
        <w:t>،</w:t>
      </w:r>
      <w:r w:rsidR="00DC6295" w:rsidRPr="00DC6295">
        <w:rPr>
          <w:rtl/>
        </w:rPr>
        <w:t xml:space="preserve"> وتغيير المسارات المهنية للفنانين</w:t>
      </w:r>
      <w:r w:rsidR="00DC6295">
        <w:rPr>
          <w:rFonts w:hint="cs"/>
          <w:rtl/>
        </w:rPr>
        <w:t>،</w:t>
      </w:r>
      <w:r w:rsidR="00DC6295" w:rsidRPr="00DC6295">
        <w:rPr>
          <w:rtl/>
        </w:rPr>
        <w:t xml:space="preserve"> وإدراج </w:t>
      </w:r>
      <w:r w:rsidR="00CF50BA">
        <w:rPr>
          <w:rFonts w:hint="cs"/>
          <w:rtl/>
        </w:rPr>
        <w:t>فاعلين جدد</w:t>
      </w:r>
      <w:r w:rsidR="00DC6295" w:rsidRPr="00DC6295">
        <w:rPr>
          <w:rtl/>
        </w:rPr>
        <w:t xml:space="preserve"> في </w:t>
      </w:r>
      <w:r>
        <w:rPr>
          <w:rtl/>
        </w:rPr>
        <w:t>قطاع</w:t>
      </w:r>
      <w:r w:rsidR="00DC6295">
        <w:rPr>
          <w:rtl/>
        </w:rPr>
        <w:t xml:space="preserve"> الموسي</w:t>
      </w:r>
      <w:r w:rsidR="00DC6295">
        <w:rPr>
          <w:rFonts w:hint="cs"/>
          <w:rtl/>
        </w:rPr>
        <w:t>قى</w:t>
      </w:r>
      <w:r w:rsidR="00DC6295" w:rsidRPr="00DC6295">
        <w:rPr>
          <w:rtl/>
        </w:rPr>
        <w:t>.</w:t>
      </w:r>
    </w:p>
    <w:p w:rsidR="00AF17FD" w:rsidRPr="00DC6295" w:rsidRDefault="00AF17FD" w:rsidP="00BF1298">
      <w:pPr>
        <w:pStyle w:val="Heading3"/>
        <w:rPr>
          <w:rtl/>
        </w:rPr>
      </w:pPr>
      <w:r>
        <w:rPr>
          <w:rFonts w:hint="cs"/>
          <w:rtl/>
        </w:rPr>
        <w:t>حجم السوق ونمو</w:t>
      </w:r>
      <w:r w:rsidR="007D5DA7">
        <w:rPr>
          <w:rFonts w:hint="cs"/>
          <w:rtl/>
        </w:rPr>
        <w:t>ه</w:t>
      </w:r>
    </w:p>
    <w:p w:rsidR="00AF17FD" w:rsidRDefault="001A4F72" w:rsidP="00CF50BA">
      <w:pPr>
        <w:pStyle w:val="NormalParaAR"/>
        <w:rPr>
          <w:rtl/>
        </w:rPr>
      </w:pPr>
      <w:r>
        <w:rPr>
          <w:rFonts w:hint="cs"/>
          <w:rtl/>
        </w:rPr>
        <w:t>ي</w:t>
      </w:r>
      <w:r w:rsidR="00C5715C">
        <w:rPr>
          <w:rFonts w:hint="cs"/>
          <w:rtl/>
        </w:rPr>
        <w:t xml:space="preserve">بلغ </w:t>
      </w:r>
      <w:r>
        <w:rPr>
          <w:rFonts w:hint="cs"/>
          <w:rtl/>
        </w:rPr>
        <w:t xml:space="preserve">إجمالي </w:t>
      </w:r>
      <w:r w:rsidR="00C5715C">
        <w:rPr>
          <w:rFonts w:hint="cs"/>
          <w:rtl/>
        </w:rPr>
        <w:t xml:space="preserve">قيمة </w:t>
      </w:r>
      <w:r w:rsidR="00DB6BCD">
        <w:rPr>
          <w:rFonts w:hint="cs"/>
          <w:rtl/>
        </w:rPr>
        <w:t>قطاع</w:t>
      </w:r>
      <w:r w:rsidR="00C5715C">
        <w:rPr>
          <w:rFonts w:hint="cs"/>
          <w:rtl/>
        </w:rPr>
        <w:t xml:space="preserve"> التسجيل</w:t>
      </w:r>
      <w:r w:rsidR="00EB25CC">
        <w:rPr>
          <w:rFonts w:hint="cs"/>
          <w:rtl/>
        </w:rPr>
        <w:t>ات</w:t>
      </w:r>
      <w:r w:rsidR="00C5715C">
        <w:rPr>
          <w:rFonts w:hint="cs"/>
          <w:rtl/>
        </w:rPr>
        <w:t xml:space="preserve"> 15</w:t>
      </w:r>
      <w:r w:rsidR="00EF69CA">
        <w:rPr>
          <w:rFonts w:hint="eastAsia"/>
          <w:rtl/>
        </w:rPr>
        <w:t> </w:t>
      </w:r>
      <w:r w:rsidR="00C5715C">
        <w:rPr>
          <w:rFonts w:hint="cs"/>
          <w:rtl/>
        </w:rPr>
        <w:t>مليار</w:t>
      </w:r>
      <w:r w:rsidR="00EF69CA">
        <w:rPr>
          <w:rFonts w:hint="eastAsia"/>
          <w:rtl/>
        </w:rPr>
        <w:t> </w:t>
      </w:r>
      <w:r w:rsidR="00C5715C">
        <w:rPr>
          <w:rFonts w:hint="cs"/>
          <w:rtl/>
        </w:rPr>
        <w:t>دولار</w:t>
      </w:r>
      <w:r w:rsidR="00EF69CA">
        <w:rPr>
          <w:rFonts w:hint="eastAsia"/>
          <w:rtl/>
        </w:rPr>
        <w:t> </w:t>
      </w:r>
      <w:r w:rsidR="00C5715C">
        <w:rPr>
          <w:rFonts w:hint="cs"/>
          <w:rtl/>
        </w:rPr>
        <w:t>أمريكي</w:t>
      </w:r>
      <w:r w:rsidR="00EF69CA">
        <w:rPr>
          <w:rStyle w:val="FootnoteReference"/>
          <w:rtl/>
        </w:rPr>
        <w:footnoteReference w:id="1"/>
      </w:r>
      <w:r w:rsidR="00C5715C">
        <w:rPr>
          <w:rFonts w:hint="cs"/>
          <w:rtl/>
        </w:rPr>
        <w:t xml:space="preserve">. وشهد عام 2014 انخفاضا </w:t>
      </w:r>
      <w:r w:rsidR="00C9331D">
        <w:rPr>
          <w:rFonts w:hint="cs"/>
          <w:rtl/>
        </w:rPr>
        <w:t>قدره</w:t>
      </w:r>
      <w:r w:rsidR="00C5715C">
        <w:rPr>
          <w:rFonts w:hint="cs"/>
          <w:rtl/>
        </w:rPr>
        <w:t xml:space="preserve"> 3.9% </w:t>
      </w:r>
      <w:r w:rsidR="00EB25CC">
        <w:rPr>
          <w:rFonts w:hint="cs"/>
          <w:rtl/>
        </w:rPr>
        <w:t>في</w:t>
      </w:r>
      <w:r w:rsidR="00C5715C">
        <w:rPr>
          <w:rFonts w:hint="cs"/>
          <w:rtl/>
        </w:rPr>
        <w:t xml:space="preserve"> </w:t>
      </w:r>
      <w:r w:rsidR="00553572" w:rsidRPr="007D5DA7">
        <w:rPr>
          <w:rFonts w:hint="cs"/>
          <w:rtl/>
        </w:rPr>
        <w:t>إيرادات</w:t>
      </w:r>
      <w:r w:rsidR="00C5715C" w:rsidRPr="007D5DA7">
        <w:rPr>
          <w:rFonts w:hint="cs"/>
          <w:rtl/>
        </w:rPr>
        <w:t xml:space="preserve"> عام 2013. وارتفعت </w:t>
      </w:r>
      <w:r w:rsidR="00553572" w:rsidRPr="007D5DA7">
        <w:rPr>
          <w:rFonts w:hint="cs"/>
          <w:rtl/>
        </w:rPr>
        <w:t>إيرادات</w:t>
      </w:r>
      <w:r w:rsidR="00C5715C" w:rsidRPr="007D5DA7">
        <w:rPr>
          <w:rFonts w:hint="cs"/>
          <w:rtl/>
        </w:rPr>
        <w:t xml:space="preserve"> المصادر الرقمية </w:t>
      </w:r>
      <w:r w:rsidR="00EB25CC" w:rsidRPr="007D5DA7">
        <w:rPr>
          <w:rFonts w:hint="cs"/>
          <w:rtl/>
        </w:rPr>
        <w:t>إلى 6.8</w:t>
      </w:r>
      <w:r w:rsidR="00CF50BA">
        <w:rPr>
          <w:rFonts w:hint="eastAsia"/>
          <w:rtl/>
        </w:rPr>
        <w:t> </w:t>
      </w:r>
      <w:r w:rsidR="00C5715C" w:rsidRPr="007D5DA7">
        <w:rPr>
          <w:rFonts w:hint="cs"/>
          <w:rtl/>
        </w:rPr>
        <w:t>مليارات</w:t>
      </w:r>
      <w:r w:rsidR="00CF50BA">
        <w:rPr>
          <w:rFonts w:hint="eastAsia"/>
          <w:rtl/>
        </w:rPr>
        <w:t> </w:t>
      </w:r>
      <w:r w:rsidR="00C5715C" w:rsidRPr="007D5DA7">
        <w:rPr>
          <w:rFonts w:hint="cs"/>
          <w:rtl/>
        </w:rPr>
        <w:t>دولار</w:t>
      </w:r>
      <w:r w:rsidR="00CF50BA">
        <w:rPr>
          <w:rFonts w:hint="eastAsia"/>
          <w:rtl/>
        </w:rPr>
        <w:t> </w:t>
      </w:r>
      <w:r w:rsidR="00C5715C" w:rsidRPr="007D5DA7">
        <w:rPr>
          <w:rFonts w:hint="cs"/>
          <w:rtl/>
        </w:rPr>
        <w:t xml:space="preserve">أمريكي </w:t>
      </w:r>
      <w:r w:rsidR="00EB25CC" w:rsidRPr="007D5DA7">
        <w:rPr>
          <w:rFonts w:hint="cs"/>
          <w:rtl/>
        </w:rPr>
        <w:t>و</w:t>
      </w:r>
      <w:r w:rsidR="00CF50BA">
        <w:rPr>
          <w:rFonts w:hint="cs"/>
          <w:rtl/>
        </w:rPr>
        <w:t xml:space="preserve">أصبحت </w:t>
      </w:r>
      <w:r w:rsidR="00EB25CC" w:rsidRPr="007D5DA7">
        <w:rPr>
          <w:rFonts w:hint="cs"/>
          <w:rtl/>
        </w:rPr>
        <w:t>تعادل</w:t>
      </w:r>
      <w:r w:rsidR="00C5715C" w:rsidRPr="007D5DA7">
        <w:rPr>
          <w:rFonts w:hint="cs"/>
          <w:rtl/>
        </w:rPr>
        <w:t xml:space="preserve"> تلك الناجمة عن المصادر المادية. ولازالت الاشتراكات وخدمات البث </w:t>
      </w:r>
      <w:r w:rsidR="00EB25CC" w:rsidRPr="007D5DA7">
        <w:rPr>
          <w:rFonts w:hint="cs"/>
          <w:rtl/>
        </w:rPr>
        <w:t xml:space="preserve">التدفقي </w:t>
      </w:r>
      <w:r w:rsidR="00C5715C" w:rsidRPr="007D5DA7">
        <w:rPr>
          <w:rFonts w:hint="cs"/>
          <w:rtl/>
        </w:rPr>
        <w:t xml:space="preserve">على الإنترنت تنمو بسرعة بمعدل نمو </w:t>
      </w:r>
      <w:r w:rsidR="00EF69CA" w:rsidRPr="007D5DA7">
        <w:rPr>
          <w:rFonts w:hint="cs"/>
          <w:rtl/>
        </w:rPr>
        <w:t>قدره</w:t>
      </w:r>
      <w:r w:rsidR="00C5715C" w:rsidRPr="007D5DA7">
        <w:rPr>
          <w:rFonts w:hint="cs"/>
          <w:rtl/>
        </w:rPr>
        <w:t xml:space="preserve"> 51% في 2013 </w:t>
      </w:r>
      <w:r w:rsidR="00B76261" w:rsidRPr="007D5DA7">
        <w:rPr>
          <w:rFonts w:hint="cs"/>
          <w:rtl/>
        </w:rPr>
        <w:t>لتصل إلى</w:t>
      </w:r>
      <w:r w:rsidR="00C5715C" w:rsidRPr="007D5DA7">
        <w:rPr>
          <w:rFonts w:hint="cs"/>
          <w:rtl/>
        </w:rPr>
        <w:t xml:space="preserve"> مليار</w:t>
      </w:r>
      <w:r w:rsidR="00C5715C">
        <w:rPr>
          <w:rFonts w:hint="cs"/>
          <w:rtl/>
        </w:rPr>
        <w:t xml:space="preserve"> دولار</w:t>
      </w:r>
      <w:r w:rsidR="00EF69CA">
        <w:rPr>
          <w:rFonts w:hint="eastAsia"/>
          <w:rtl/>
        </w:rPr>
        <w:t> </w:t>
      </w:r>
      <w:r w:rsidR="00C5715C">
        <w:rPr>
          <w:rFonts w:hint="cs"/>
          <w:rtl/>
        </w:rPr>
        <w:t>أمريكي</w:t>
      </w:r>
      <w:r w:rsidR="00EF69CA">
        <w:rPr>
          <w:rStyle w:val="FootnoteReference"/>
          <w:rtl/>
        </w:rPr>
        <w:footnoteReference w:id="2"/>
      </w:r>
      <w:r w:rsidR="00C5715C">
        <w:rPr>
          <w:rFonts w:hint="cs"/>
          <w:rtl/>
        </w:rPr>
        <w:t>.</w:t>
      </w:r>
    </w:p>
    <w:p w:rsidR="00C5715C" w:rsidRPr="00DC6295" w:rsidRDefault="00B76261" w:rsidP="00BF1298">
      <w:pPr>
        <w:pStyle w:val="Heading3"/>
        <w:rPr>
          <w:rtl/>
        </w:rPr>
      </w:pPr>
      <w:r w:rsidRPr="00257448">
        <w:rPr>
          <w:rFonts w:hint="cs"/>
          <w:rtl/>
        </w:rPr>
        <w:t>التحول</w:t>
      </w:r>
      <w:r>
        <w:rPr>
          <w:rFonts w:hint="cs"/>
          <w:rtl/>
        </w:rPr>
        <w:t xml:space="preserve"> </w:t>
      </w:r>
      <w:r w:rsidR="00C5715C">
        <w:rPr>
          <w:rFonts w:hint="cs"/>
          <w:rtl/>
        </w:rPr>
        <w:t>الرقمي</w:t>
      </w:r>
    </w:p>
    <w:p w:rsidR="00C5715C" w:rsidRDefault="00EB25CC" w:rsidP="00CF50BA">
      <w:pPr>
        <w:pStyle w:val="NormalParaAR"/>
        <w:rPr>
          <w:rtl/>
        </w:rPr>
      </w:pPr>
      <w:r>
        <w:rPr>
          <w:rFonts w:hint="cs"/>
          <w:rtl/>
        </w:rPr>
        <w:t>كان قطاع الموسيقى أول القطاعات تأثرا بظهور الإنترنت. فقد أدخلت الت</w:t>
      </w:r>
      <w:r w:rsidR="00C552B3">
        <w:rPr>
          <w:rFonts w:hint="cs"/>
          <w:rtl/>
        </w:rPr>
        <w:t>جارة الإلكترونية</w:t>
      </w:r>
      <w:r>
        <w:rPr>
          <w:rFonts w:hint="cs"/>
          <w:rtl/>
        </w:rPr>
        <w:t xml:space="preserve"> فرص </w:t>
      </w:r>
      <w:r w:rsidR="00C552B3">
        <w:rPr>
          <w:rFonts w:hint="cs"/>
          <w:rtl/>
        </w:rPr>
        <w:t>ل</w:t>
      </w:r>
      <w:r w:rsidR="00CF50BA">
        <w:rPr>
          <w:rFonts w:hint="cs"/>
          <w:rtl/>
        </w:rPr>
        <w:t xml:space="preserve">صالح </w:t>
      </w:r>
      <w:r w:rsidR="00C552B3">
        <w:rPr>
          <w:rFonts w:hint="cs"/>
          <w:rtl/>
        </w:rPr>
        <w:t xml:space="preserve">قطاع </w:t>
      </w:r>
      <w:r w:rsidR="007D5DA7">
        <w:rPr>
          <w:rFonts w:hint="cs"/>
          <w:rtl/>
        </w:rPr>
        <w:t xml:space="preserve">البيع </w:t>
      </w:r>
      <w:r w:rsidR="00CF50BA">
        <w:rPr>
          <w:rFonts w:hint="cs"/>
          <w:rtl/>
        </w:rPr>
        <w:t>حيث</w:t>
      </w:r>
      <w:r>
        <w:rPr>
          <w:rFonts w:hint="cs"/>
          <w:rtl/>
        </w:rPr>
        <w:t xml:space="preserve"> كان المستهلكون يشترون الاسطوانات على الإنترنت. وتغير ذلك </w:t>
      </w:r>
      <w:r w:rsidR="001D007A">
        <w:rPr>
          <w:rFonts w:hint="cs"/>
          <w:rtl/>
        </w:rPr>
        <w:t>عندما دخلت</w:t>
      </w:r>
      <w:r>
        <w:rPr>
          <w:rFonts w:hint="cs"/>
          <w:rtl/>
        </w:rPr>
        <w:t xml:space="preserve"> الملفات الموسيقية الرقمية السوق</w:t>
      </w:r>
      <w:r w:rsidR="001D007A">
        <w:rPr>
          <w:rFonts w:hint="cs"/>
          <w:rtl/>
        </w:rPr>
        <w:t>َ</w:t>
      </w:r>
      <w:r>
        <w:rPr>
          <w:rFonts w:hint="cs"/>
          <w:rtl/>
        </w:rPr>
        <w:t xml:space="preserve"> في التسعينات من القرن العشرين. </w:t>
      </w:r>
      <w:r w:rsidR="001D007A">
        <w:rPr>
          <w:rFonts w:hint="cs"/>
          <w:rtl/>
        </w:rPr>
        <w:t>وفي البداية،</w:t>
      </w:r>
      <w:r w:rsidR="00BF1298">
        <w:rPr>
          <w:rFonts w:hint="cs"/>
          <w:rtl/>
          <w:lang w:bidi="ar-EG"/>
        </w:rPr>
        <w:t xml:space="preserve"> </w:t>
      </w:r>
      <w:r w:rsidR="001D007A">
        <w:rPr>
          <w:rFonts w:hint="cs"/>
          <w:rtl/>
        </w:rPr>
        <w:t>جرى</w:t>
      </w:r>
      <w:r>
        <w:rPr>
          <w:rFonts w:hint="cs"/>
          <w:rtl/>
        </w:rPr>
        <w:t xml:space="preserve"> معظم توزيع</w:t>
      </w:r>
      <w:r w:rsidR="00BC63D6">
        <w:rPr>
          <w:rFonts w:hint="cs"/>
          <w:rtl/>
        </w:rPr>
        <w:t xml:space="preserve"> الموسيقى الرقمية </w:t>
      </w:r>
      <w:r w:rsidR="001D007A">
        <w:rPr>
          <w:rFonts w:hint="cs"/>
          <w:rtl/>
        </w:rPr>
        <w:t xml:space="preserve">خارج </w:t>
      </w:r>
      <w:r w:rsidR="00CF50BA">
        <w:rPr>
          <w:rFonts w:hint="cs"/>
          <w:rtl/>
        </w:rPr>
        <w:t>ال</w:t>
      </w:r>
      <w:r w:rsidR="001D007A">
        <w:rPr>
          <w:rFonts w:hint="cs"/>
          <w:rtl/>
        </w:rPr>
        <w:t>قنوات الم</w:t>
      </w:r>
      <w:r w:rsidR="00BC63D6">
        <w:rPr>
          <w:rFonts w:hint="cs"/>
          <w:rtl/>
        </w:rPr>
        <w:t>رخص</w:t>
      </w:r>
      <w:r w:rsidR="001D007A">
        <w:rPr>
          <w:rFonts w:hint="cs"/>
          <w:rtl/>
        </w:rPr>
        <w:t>ة</w:t>
      </w:r>
      <w:r w:rsidR="00BC63D6">
        <w:rPr>
          <w:rFonts w:hint="cs"/>
          <w:rtl/>
        </w:rPr>
        <w:t xml:space="preserve">. ويتجه </w:t>
      </w:r>
      <w:r w:rsidR="001D007A">
        <w:rPr>
          <w:rFonts w:hint="cs"/>
          <w:rtl/>
        </w:rPr>
        <w:t>خلق</w:t>
      </w:r>
      <w:r w:rsidR="00BC63D6">
        <w:rPr>
          <w:rFonts w:hint="cs"/>
          <w:rtl/>
        </w:rPr>
        <w:t xml:space="preserve"> القيمة نحو </w:t>
      </w:r>
      <w:r w:rsidR="001D007A">
        <w:rPr>
          <w:rFonts w:hint="cs"/>
          <w:rtl/>
        </w:rPr>
        <w:t>وافدين</w:t>
      </w:r>
      <w:r w:rsidR="00BC63D6">
        <w:rPr>
          <w:rFonts w:hint="cs"/>
          <w:rtl/>
        </w:rPr>
        <w:t xml:space="preserve"> </w:t>
      </w:r>
      <w:r w:rsidR="001D007A">
        <w:rPr>
          <w:rFonts w:hint="cs"/>
          <w:rtl/>
        </w:rPr>
        <w:t>جدد</w:t>
      </w:r>
      <w:r w:rsidR="00BC63D6">
        <w:rPr>
          <w:rFonts w:hint="cs"/>
          <w:rtl/>
        </w:rPr>
        <w:t xml:space="preserve"> </w:t>
      </w:r>
      <w:r w:rsidR="001D007A">
        <w:rPr>
          <w:rFonts w:hint="cs"/>
          <w:rtl/>
        </w:rPr>
        <w:t>بما في ذلك</w:t>
      </w:r>
      <w:r w:rsidR="00BC63D6">
        <w:rPr>
          <w:rFonts w:hint="cs"/>
          <w:rtl/>
        </w:rPr>
        <w:t xml:space="preserve"> </w:t>
      </w:r>
      <w:r w:rsidR="001A4F72">
        <w:rPr>
          <w:rFonts w:hint="cs"/>
          <w:rtl/>
        </w:rPr>
        <w:t>صانعي</w:t>
      </w:r>
      <w:r w:rsidR="00BC63D6">
        <w:rPr>
          <w:rFonts w:hint="cs"/>
          <w:rtl/>
        </w:rPr>
        <w:t xml:space="preserve"> </w:t>
      </w:r>
      <w:r w:rsidR="001D007A">
        <w:rPr>
          <w:rFonts w:hint="cs"/>
          <w:rtl/>
        </w:rPr>
        <w:t>مشغّلي</w:t>
      </w:r>
      <w:r w:rsidR="00BC63D6">
        <w:rPr>
          <w:rFonts w:hint="cs"/>
          <w:rtl/>
        </w:rPr>
        <w:t xml:space="preserve"> الموسيقى ومنصات </w:t>
      </w:r>
      <w:r w:rsidR="00C04D16">
        <w:rPr>
          <w:rFonts w:hint="cs"/>
          <w:rtl/>
        </w:rPr>
        <w:t xml:space="preserve">البيع </w:t>
      </w:r>
      <w:r w:rsidR="00BC63D6">
        <w:rPr>
          <w:rFonts w:hint="cs"/>
          <w:rtl/>
        </w:rPr>
        <w:t>على الإنترنت.</w:t>
      </w:r>
    </w:p>
    <w:p w:rsidR="00BC63D6" w:rsidRDefault="00BC63D6" w:rsidP="00CF50BA">
      <w:pPr>
        <w:pStyle w:val="NormalParaAR"/>
        <w:rPr>
          <w:rtl/>
        </w:rPr>
      </w:pPr>
      <w:r>
        <w:rPr>
          <w:rFonts w:hint="cs"/>
          <w:rtl/>
        </w:rPr>
        <w:t>و</w:t>
      </w:r>
      <w:r w:rsidR="00455571">
        <w:rPr>
          <w:rFonts w:hint="cs"/>
          <w:rtl/>
        </w:rPr>
        <w:t>تَ</w:t>
      </w:r>
      <w:r>
        <w:rPr>
          <w:rFonts w:hint="cs"/>
          <w:rtl/>
        </w:rPr>
        <w:t>خف</w:t>
      </w:r>
      <w:r w:rsidR="00455571">
        <w:rPr>
          <w:rFonts w:hint="cs"/>
          <w:rtl/>
        </w:rPr>
        <w:t>ّ</w:t>
      </w:r>
      <w:r>
        <w:rPr>
          <w:rFonts w:hint="cs"/>
          <w:rtl/>
        </w:rPr>
        <w:t xml:space="preserve">ض الموسيقى الرقمية من كلفة </w:t>
      </w:r>
      <w:r w:rsidR="00DB6BCD">
        <w:rPr>
          <w:rFonts w:hint="cs"/>
          <w:rtl/>
        </w:rPr>
        <w:t>صناعة</w:t>
      </w:r>
      <w:r w:rsidRPr="00DB6BCD">
        <w:rPr>
          <w:rFonts w:hint="cs"/>
          <w:rtl/>
        </w:rPr>
        <w:t xml:space="preserve"> نسخ </w:t>
      </w:r>
      <w:r w:rsidR="00C04D16" w:rsidRPr="00DB6BCD">
        <w:rPr>
          <w:rFonts w:hint="cs"/>
          <w:rtl/>
        </w:rPr>
        <w:t>الم</w:t>
      </w:r>
      <w:r w:rsidR="007D5DA7" w:rsidRPr="00DB6BCD">
        <w:rPr>
          <w:rFonts w:hint="cs"/>
          <w:rtl/>
        </w:rPr>
        <w:t>ن</w:t>
      </w:r>
      <w:r w:rsidR="00C04D16" w:rsidRPr="00DB6BCD">
        <w:rPr>
          <w:rFonts w:hint="cs"/>
          <w:rtl/>
        </w:rPr>
        <w:t>تجات الموسيقية</w:t>
      </w:r>
      <w:r w:rsidR="004E7E0B" w:rsidRPr="00DB6BCD">
        <w:rPr>
          <w:rFonts w:hint="cs"/>
          <w:rtl/>
        </w:rPr>
        <w:t xml:space="preserve"> وتوزيع</w:t>
      </w:r>
      <w:r w:rsidR="00455571" w:rsidRPr="00DB6BCD">
        <w:rPr>
          <w:rFonts w:hint="cs"/>
          <w:rtl/>
        </w:rPr>
        <w:t>ها</w:t>
      </w:r>
      <w:r w:rsidR="004E7E0B">
        <w:rPr>
          <w:rFonts w:hint="cs"/>
          <w:rtl/>
        </w:rPr>
        <w:t xml:space="preserve"> وتخزين</w:t>
      </w:r>
      <w:r w:rsidR="00455571">
        <w:rPr>
          <w:rFonts w:hint="cs"/>
          <w:rtl/>
        </w:rPr>
        <w:t>ها، مما يولد</w:t>
      </w:r>
      <w:r>
        <w:rPr>
          <w:rFonts w:hint="cs"/>
          <w:rtl/>
        </w:rPr>
        <w:t xml:space="preserve"> </w:t>
      </w:r>
      <w:r w:rsidR="00455571">
        <w:rPr>
          <w:rFonts w:hint="cs"/>
          <w:rtl/>
        </w:rPr>
        <w:t>انخفاضا</w:t>
      </w:r>
      <w:r>
        <w:rPr>
          <w:rFonts w:hint="cs"/>
          <w:rtl/>
        </w:rPr>
        <w:t xml:space="preserve"> في </w:t>
      </w:r>
      <w:r w:rsidR="00455571" w:rsidRPr="00455571">
        <w:rPr>
          <w:rtl/>
        </w:rPr>
        <w:t xml:space="preserve">منافذ البيع </w:t>
      </w:r>
      <w:r>
        <w:rPr>
          <w:rFonts w:hint="cs"/>
          <w:rtl/>
        </w:rPr>
        <w:t>وفي مبيعات الاسطوانات ككل.</w:t>
      </w:r>
    </w:p>
    <w:p w:rsidR="00BC63D6" w:rsidRDefault="00BC63D6" w:rsidP="00CF50BA">
      <w:pPr>
        <w:pStyle w:val="NormalParaAR"/>
        <w:rPr>
          <w:rtl/>
        </w:rPr>
      </w:pPr>
      <w:r>
        <w:rPr>
          <w:rFonts w:hint="cs"/>
          <w:rtl/>
        </w:rPr>
        <w:t>و</w:t>
      </w:r>
      <w:r w:rsidR="00455571">
        <w:rPr>
          <w:rFonts w:hint="cs"/>
          <w:rtl/>
        </w:rPr>
        <w:t>لكن</w:t>
      </w:r>
      <w:r>
        <w:rPr>
          <w:rFonts w:hint="cs"/>
          <w:rtl/>
        </w:rPr>
        <w:t xml:space="preserve"> على السوق الرقمية أن تجد توازنا. </w:t>
      </w:r>
      <w:r w:rsidR="00455571">
        <w:rPr>
          <w:rFonts w:hint="cs"/>
          <w:rtl/>
        </w:rPr>
        <w:t xml:space="preserve">ومن نماذج </w:t>
      </w:r>
      <w:r w:rsidR="00C04D16">
        <w:rPr>
          <w:rFonts w:hint="cs"/>
          <w:rtl/>
        </w:rPr>
        <w:t xml:space="preserve">البيع </w:t>
      </w:r>
      <w:r w:rsidR="00455571">
        <w:rPr>
          <w:rFonts w:hint="cs"/>
          <w:rtl/>
        </w:rPr>
        <w:t xml:space="preserve">الأكثر شيوعا </w:t>
      </w:r>
      <w:r>
        <w:rPr>
          <w:rFonts w:hint="cs"/>
          <w:rtl/>
        </w:rPr>
        <w:t>بيع</w:t>
      </w:r>
      <w:r w:rsidR="00455571">
        <w:rPr>
          <w:rFonts w:hint="cs"/>
          <w:rtl/>
        </w:rPr>
        <w:t>ُ</w:t>
      </w:r>
      <w:r>
        <w:rPr>
          <w:rFonts w:hint="cs"/>
          <w:rtl/>
        </w:rPr>
        <w:t xml:space="preserve"> الملفات </w:t>
      </w:r>
      <w:r w:rsidR="00455571">
        <w:rPr>
          <w:rFonts w:hint="cs"/>
          <w:rtl/>
        </w:rPr>
        <w:t>الرقمية، التي ي</w:t>
      </w:r>
      <w:r>
        <w:rPr>
          <w:rFonts w:hint="cs"/>
          <w:rtl/>
        </w:rPr>
        <w:t>ملكها المستهلك بعد ذلك،</w:t>
      </w:r>
      <w:r w:rsidR="00455571">
        <w:rPr>
          <w:rFonts w:hint="cs"/>
          <w:rtl/>
        </w:rPr>
        <w:t>. أما في خدمات الاشتراك</w:t>
      </w:r>
      <w:r>
        <w:rPr>
          <w:rFonts w:hint="cs"/>
          <w:rtl/>
        </w:rPr>
        <w:t>، فعادة ما يدفع المس</w:t>
      </w:r>
      <w:r w:rsidR="00455571">
        <w:rPr>
          <w:rFonts w:hint="cs"/>
          <w:rtl/>
        </w:rPr>
        <w:t>تهلكون رسوما للنفاذ ولكنهم لا ي</w:t>
      </w:r>
      <w:r>
        <w:rPr>
          <w:rFonts w:hint="cs"/>
          <w:rtl/>
        </w:rPr>
        <w:t xml:space="preserve">ملكون المحتوى. </w:t>
      </w:r>
      <w:r w:rsidR="00455571">
        <w:rPr>
          <w:rFonts w:hint="cs"/>
          <w:rtl/>
        </w:rPr>
        <w:t xml:space="preserve">ومن خدمات الاشتراك </w:t>
      </w:r>
      <w:r w:rsidR="00CF50BA">
        <w:rPr>
          <w:rFonts w:hint="cs"/>
          <w:rtl/>
        </w:rPr>
        <w:lastRenderedPageBreak/>
        <w:t xml:space="preserve">الشعبية </w:t>
      </w:r>
      <w:r w:rsidR="00455571">
        <w:rPr>
          <w:rFonts w:hint="cs"/>
          <w:rtl/>
        </w:rPr>
        <w:t xml:space="preserve">في البث التدفقي </w:t>
      </w:r>
      <w:r w:rsidR="00CF50BA">
        <w:rPr>
          <w:rFonts w:hint="cs"/>
          <w:rtl/>
        </w:rPr>
        <w:t>على الإنترنت</w:t>
      </w:r>
      <w:r w:rsidR="00455571">
        <w:rPr>
          <w:rFonts w:hint="cs"/>
          <w:rtl/>
        </w:rPr>
        <w:t xml:space="preserve"> نذكر </w:t>
      </w:r>
      <w:proofErr w:type="spellStart"/>
      <w:r>
        <w:rPr>
          <w:rFonts w:hint="cs"/>
          <w:rtl/>
        </w:rPr>
        <w:t>س</w:t>
      </w:r>
      <w:r w:rsidR="00455571">
        <w:rPr>
          <w:rFonts w:hint="cs"/>
          <w:rtl/>
        </w:rPr>
        <w:t>بوتيفاي</w:t>
      </w:r>
      <w:proofErr w:type="spellEnd"/>
      <w:r w:rsidR="00BF1298">
        <w:rPr>
          <w:rFonts w:hint="cs"/>
          <w:rtl/>
        </w:rPr>
        <w:t xml:space="preserve"> </w:t>
      </w:r>
      <w:r w:rsidR="00CF50BA">
        <w:t xml:space="preserve"> (</w:t>
      </w:r>
      <w:r w:rsidR="00CF50BA" w:rsidRPr="00241717">
        <w:rPr>
          <w:szCs w:val="22"/>
        </w:rPr>
        <w:t>Spotify</w:t>
      </w:r>
      <w:r w:rsidR="00CF50BA">
        <w:t>)</w:t>
      </w:r>
      <w:r>
        <w:rPr>
          <w:rFonts w:hint="cs"/>
          <w:rtl/>
        </w:rPr>
        <w:t xml:space="preserve">، وهو متاح </w:t>
      </w:r>
      <w:r w:rsidR="00455571">
        <w:rPr>
          <w:rFonts w:hint="cs"/>
          <w:rtl/>
        </w:rPr>
        <w:t>أساسا</w:t>
      </w:r>
      <w:r>
        <w:rPr>
          <w:rFonts w:hint="cs"/>
          <w:rtl/>
        </w:rPr>
        <w:t xml:space="preserve"> في أوروبا </w:t>
      </w:r>
      <w:r w:rsidR="00455571">
        <w:rPr>
          <w:rFonts w:hint="cs"/>
          <w:rtl/>
        </w:rPr>
        <w:t xml:space="preserve">الغربية </w:t>
      </w:r>
      <w:r>
        <w:rPr>
          <w:rFonts w:hint="cs"/>
          <w:rtl/>
        </w:rPr>
        <w:t>والأمريك</w:t>
      </w:r>
      <w:r w:rsidR="001657FE">
        <w:rPr>
          <w:rFonts w:hint="cs"/>
          <w:rtl/>
        </w:rPr>
        <w:t>ي</w:t>
      </w:r>
      <w:r>
        <w:rPr>
          <w:rFonts w:hint="cs"/>
          <w:rtl/>
        </w:rPr>
        <w:t xml:space="preserve">تين. ونشبت منازعات بين الفنانين وباعة </w:t>
      </w:r>
      <w:r w:rsidR="00C04D16">
        <w:rPr>
          <w:rFonts w:hint="cs"/>
          <w:rtl/>
        </w:rPr>
        <w:t xml:space="preserve">المنتجات </w:t>
      </w:r>
      <w:r>
        <w:rPr>
          <w:rFonts w:hint="cs"/>
          <w:rtl/>
        </w:rPr>
        <w:t>الرقمي</w:t>
      </w:r>
      <w:r w:rsidR="00C04D16">
        <w:rPr>
          <w:rFonts w:hint="cs"/>
          <w:rtl/>
        </w:rPr>
        <w:t>ة</w:t>
      </w:r>
      <w:r>
        <w:rPr>
          <w:rFonts w:hint="cs"/>
          <w:rtl/>
        </w:rPr>
        <w:t>، إذ يرى الفنانون أن أجورهم لا تتناسب مع قيمة موسيقاهم.</w:t>
      </w:r>
    </w:p>
    <w:p w:rsidR="00BC63D6" w:rsidRDefault="00BC63D6" w:rsidP="00CF50BA">
      <w:pPr>
        <w:pStyle w:val="NormalParaAR"/>
        <w:rPr>
          <w:rtl/>
        </w:rPr>
      </w:pPr>
      <w:r w:rsidRPr="00465C7F">
        <w:rPr>
          <w:rFonts w:hint="cs"/>
          <w:rtl/>
        </w:rPr>
        <w:t xml:space="preserve">وبينما </w:t>
      </w:r>
      <w:r w:rsidR="00CF50BA">
        <w:rPr>
          <w:rFonts w:hint="cs"/>
          <w:rtl/>
        </w:rPr>
        <w:t>تتغير وجهة</w:t>
      </w:r>
      <w:r w:rsidR="00465C7F" w:rsidRPr="00465C7F">
        <w:rPr>
          <w:rFonts w:hint="cs"/>
          <w:rtl/>
        </w:rPr>
        <w:t xml:space="preserve"> </w:t>
      </w:r>
      <w:r w:rsidRPr="00465C7F">
        <w:rPr>
          <w:rFonts w:hint="cs"/>
          <w:rtl/>
        </w:rPr>
        <w:t>الأرباح</w:t>
      </w:r>
      <w:r>
        <w:rPr>
          <w:rFonts w:hint="cs"/>
          <w:rtl/>
        </w:rPr>
        <w:t xml:space="preserve">، أصبح الأداء الحي مصدرا </w:t>
      </w:r>
      <w:r w:rsidR="00465C7F">
        <w:rPr>
          <w:rFonts w:hint="cs"/>
          <w:rtl/>
        </w:rPr>
        <w:t>مهما</w:t>
      </w:r>
      <w:r>
        <w:rPr>
          <w:rFonts w:hint="cs"/>
          <w:rtl/>
        </w:rPr>
        <w:t xml:space="preserve"> للدخل. وتصدر شركات التسجيل </w:t>
      </w:r>
      <w:r w:rsidR="003F5595">
        <w:rPr>
          <w:rFonts w:hint="cs"/>
          <w:rtl/>
        </w:rPr>
        <w:t>نسخ</w:t>
      </w:r>
      <w:r w:rsidR="00465C7F">
        <w:rPr>
          <w:rFonts w:hint="cs"/>
          <w:rtl/>
        </w:rPr>
        <w:t>ا</w:t>
      </w:r>
      <w:r w:rsidR="003F5595">
        <w:rPr>
          <w:rFonts w:hint="cs"/>
          <w:rtl/>
        </w:rPr>
        <w:t xml:space="preserve"> خاصة </w:t>
      </w:r>
      <w:r w:rsidR="00465C7F">
        <w:rPr>
          <w:rFonts w:hint="cs"/>
          <w:rtl/>
        </w:rPr>
        <w:t>من ا</w:t>
      </w:r>
      <w:r w:rsidR="003F5595">
        <w:rPr>
          <w:rFonts w:hint="cs"/>
          <w:rtl/>
        </w:rPr>
        <w:t xml:space="preserve">لألبومات </w:t>
      </w:r>
      <w:r w:rsidR="003F5595" w:rsidRPr="009C66A3">
        <w:rPr>
          <w:rFonts w:hint="cs"/>
          <w:rtl/>
        </w:rPr>
        <w:t>وتسوقها</w:t>
      </w:r>
      <w:r w:rsidR="003F5595">
        <w:rPr>
          <w:rFonts w:hint="cs"/>
          <w:rtl/>
        </w:rPr>
        <w:t xml:space="preserve"> لتعويض </w:t>
      </w:r>
      <w:r w:rsidR="00465C7F">
        <w:rPr>
          <w:rFonts w:hint="cs"/>
          <w:rtl/>
        </w:rPr>
        <w:t>انخفاض</w:t>
      </w:r>
      <w:r w:rsidR="003F5595">
        <w:rPr>
          <w:rFonts w:hint="cs"/>
          <w:rtl/>
        </w:rPr>
        <w:t xml:space="preserve"> </w:t>
      </w:r>
      <w:r w:rsidR="00465C7F">
        <w:rPr>
          <w:rFonts w:hint="cs"/>
          <w:rtl/>
        </w:rPr>
        <w:t>الإيرادات</w:t>
      </w:r>
      <w:r w:rsidR="003F5595">
        <w:rPr>
          <w:rFonts w:hint="cs"/>
          <w:rtl/>
        </w:rPr>
        <w:t>.</w:t>
      </w:r>
    </w:p>
    <w:p w:rsidR="003F5595" w:rsidRDefault="003F5595" w:rsidP="00CF50BA">
      <w:pPr>
        <w:pStyle w:val="NormalParaAR"/>
        <w:rPr>
          <w:rtl/>
        </w:rPr>
      </w:pPr>
      <w:r>
        <w:rPr>
          <w:rFonts w:hint="cs"/>
          <w:rtl/>
        </w:rPr>
        <w:t xml:space="preserve">كما غير العصر الرقمي من مسار الفنانين </w:t>
      </w:r>
      <w:r w:rsidR="00553572">
        <w:rPr>
          <w:rFonts w:hint="cs"/>
          <w:rtl/>
        </w:rPr>
        <w:t>المهني</w:t>
      </w:r>
      <w:r>
        <w:rPr>
          <w:rFonts w:hint="cs"/>
          <w:rtl/>
        </w:rPr>
        <w:t xml:space="preserve">، </w:t>
      </w:r>
      <w:r w:rsidR="00553572">
        <w:rPr>
          <w:rFonts w:hint="cs"/>
          <w:rtl/>
        </w:rPr>
        <w:t>و</w:t>
      </w:r>
      <w:r w:rsidR="00CF50BA">
        <w:rPr>
          <w:rFonts w:hint="cs"/>
          <w:rtl/>
        </w:rPr>
        <w:t>ا</w:t>
      </w:r>
      <w:r w:rsidR="00553572">
        <w:rPr>
          <w:rFonts w:hint="cs"/>
          <w:rtl/>
        </w:rPr>
        <w:t>ستقطب</w:t>
      </w:r>
      <w:r w:rsidR="00CF50BA">
        <w:rPr>
          <w:rFonts w:hint="cs"/>
          <w:rtl/>
        </w:rPr>
        <w:t xml:space="preserve"> فنانو</w:t>
      </w:r>
      <w:r>
        <w:rPr>
          <w:rFonts w:hint="cs"/>
          <w:rtl/>
        </w:rPr>
        <w:t xml:space="preserve">ن </w:t>
      </w:r>
      <w:r w:rsidR="00553572">
        <w:rPr>
          <w:rFonts w:hint="cs"/>
          <w:rtl/>
        </w:rPr>
        <w:t>كث</w:t>
      </w:r>
      <w:r w:rsidR="00B565A1">
        <w:rPr>
          <w:rFonts w:hint="cs"/>
          <w:rtl/>
        </w:rPr>
        <w:t>ٌ</w:t>
      </w:r>
      <w:r w:rsidR="00553572">
        <w:rPr>
          <w:rFonts w:hint="cs"/>
          <w:rtl/>
        </w:rPr>
        <w:t>ر جمهورا كبيرا</w:t>
      </w:r>
      <w:r>
        <w:rPr>
          <w:rFonts w:hint="cs"/>
          <w:rtl/>
        </w:rPr>
        <w:t xml:space="preserve"> على نحو مستقل من خلال ت</w:t>
      </w:r>
      <w:r w:rsidR="00553572">
        <w:rPr>
          <w:rFonts w:hint="cs"/>
          <w:rtl/>
        </w:rPr>
        <w:t>و</w:t>
      </w:r>
      <w:r>
        <w:rPr>
          <w:rFonts w:hint="cs"/>
          <w:rtl/>
        </w:rPr>
        <w:t xml:space="preserve">زيع موسيقاهم على الإنترنت. غير أن </w:t>
      </w:r>
      <w:r w:rsidR="00B565A1">
        <w:rPr>
          <w:rFonts w:hint="cs"/>
          <w:rtl/>
        </w:rPr>
        <w:t>إبرام</w:t>
      </w:r>
      <w:r w:rsidR="00553572">
        <w:rPr>
          <w:rFonts w:hint="cs"/>
          <w:rtl/>
        </w:rPr>
        <w:t xml:space="preserve"> عقد مع شركة تسجيل لايزال </w:t>
      </w:r>
      <w:r>
        <w:rPr>
          <w:rFonts w:hint="cs"/>
          <w:rtl/>
        </w:rPr>
        <w:t xml:space="preserve">الهدف الأسمى </w:t>
      </w:r>
      <w:r w:rsidR="00553572">
        <w:rPr>
          <w:rFonts w:hint="cs"/>
          <w:rtl/>
        </w:rPr>
        <w:t>من مشوارهم المهن</w:t>
      </w:r>
      <w:r w:rsidR="00B565A1">
        <w:rPr>
          <w:rFonts w:hint="cs"/>
          <w:rtl/>
        </w:rPr>
        <w:t>ي</w:t>
      </w:r>
      <w:r>
        <w:rPr>
          <w:rFonts w:hint="cs"/>
          <w:rtl/>
        </w:rPr>
        <w:t>.</w:t>
      </w:r>
    </w:p>
    <w:p w:rsidR="00AF17FD" w:rsidRDefault="00F2469F" w:rsidP="00BF1298">
      <w:pPr>
        <w:pStyle w:val="Heading3"/>
        <w:rPr>
          <w:rtl/>
        </w:rPr>
      </w:pPr>
      <w:r w:rsidRPr="00F2469F">
        <w:rPr>
          <w:rFonts w:hint="cs"/>
          <w:rtl/>
        </w:rPr>
        <w:t>النماذج الناشئة</w:t>
      </w:r>
    </w:p>
    <w:p w:rsidR="00047790" w:rsidRDefault="00047790" w:rsidP="00C04D16">
      <w:pPr>
        <w:pStyle w:val="NormalParaAR"/>
        <w:rPr>
          <w:rtl/>
        </w:rPr>
      </w:pPr>
      <w:r w:rsidRPr="00B565A1">
        <w:rPr>
          <w:rFonts w:hint="cs"/>
          <w:rtl/>
        </w:rPr>
        <w:t xml:space="preserve">في عام 2015، أطلق موقع </w:t>
      </w:r>
      <w:r w:rsidR="003F0A66">
        <w:rPr>
          <w:rFonts w:hint="cs"/>
          <w:rtl/>
        </w:rPr>
        <w:t xml:space="preserve">إلكتروني </w:t>
      </w:r>
      <w:r w:rsidR="003F0A66" w:rsidRPr="00EB4D63">
        <w:rPr>
          <w:rFonts w:hint="cs"/>
          <w:rtl/>
        </w:rPr>
        <w:t xml:space="preserve">ثقافي </w:t>
      </w:r>
      <w:r w:rsidR="001667B1">
        <w:rPr>
          <w:rFonts w:hint="cs"/>
          <w:rtl/>
        </w:rPr>
        <w:t>رواندي</w:t>
      </w:r>
      <w:r w:rsidRPr="00EB4D63">
        <w:rPr>
          <w:szCs w:val="22"/>
        </w:rPr>
        <w:t>www.InyaRwanda.</w:t>
      </w:r>
      <w:r w:rsidRPr="00B565A1">
        <w:rPr>
          <w:szCs w:val="22"/>
        </w:rPr>
        <w:t>com</w:t>
      </w:r>
      <w:r w:rsidRPr="00B565A1">
        <w:rPr>
          <w:rFonts w:hint="cs"/>
          <w:szCs w:val="22"/>
          <w:rtl/>
        </w:rPr>
        <w:t xml:space="preserve"> </w:t>
      </w:r>
      <w:r w:rsidRPr="00B565A1">
        <w:rPr>
          <w:rFonts w:hint="cs"/>
          <w:rtl/>
        </w:rPr>
        <w:t xml:space="preserve"> خدمة</w:t>
      </w:r>
      <w:r w:rsidR="00A11D66">
        <w:rPr>
          <w:rFonts w:hint="cs"/>
          <w:rtl/>
        </w:rPr>
        <w:t xml:space="preserve"> </w:t>
      </w:r>
      <w:proofErr w:type="spellStart"/>
      <w:r w:rsidR="00A11D66">
        <w:rPr>
          <w:rFonts w:hint="cs"/>
          <w:rtl/>
        </w:rPr>
        <w:t>أفريفريم</w:t>
      </w:r>
      <w:proofErr w:type="spellEnd"/>
      <w:r w:rsidRPr="00B565A1">
        <w:rPr>
          <w:rFonts w:hint="cs"/>
          <w:rtl/>
        </w:rPr>
        <w:t xml:space="preserve"> </w:t>
      </w:r>
      <w:r w:rsidR="00A11D66">
        <w:rPr>
          <w:rFonts w:hint="cs"/>
          <w:rtl/>
        </w:rPr>
        <w:t>(</w:t>
      </w:r>
      <w:proofErr w:type="spellStart"/>
      <w:r w:rsidRPr="00241717">
        <w:rPr>
          <w:szCs w:val="22"/>
        </w:rPr>
        <w:t>Afriframe</w:t>
      </w:r>
      <w:proofErr w:type="spellEnd"/>
      <w:r w:rsidR="00A11D66">
        <w:rPr>
          <w:rFonts w:hint="cs"/>
          <w:rtl/>
        </w:rPr>
        <w:t>)</w:t>
      </w:r>
      <w:r w:rsidR="00A11D66">
        <w:rPr>
          <w:rFonts w:hint="cs"/>
          <w:szCs w:val="22"/>
          <w:rtl/>
        </w:rPr>
        <w:t xml:space="preserve"> </w:t>
      </w:r>
      <w:r>
        <w:rPr>
          <w:rFonts w:hint="cs"/>
          <w:rtl/>
        </w:rPr>
        <w:t xml:space="preserve">وهي خدمة للفنانين المستقلين، </w:t>
      </w:r>
      <w:r w:rsidR="00A11D66">
        <w:rPr>
          <w:rFonts w:hint="cs"/>
          <w:rtl/>
        </w:rPr>
        <w:t>تسمح</w:t>
      </w:r>
      <w:r>
        <w:rPr>
          <w:rFonts w:hint="cs"/>
          <w:rtl/>
        </w:rPr>
        <w:t xml:space="preserve"> للفنانين </w:t>
      </w:r>
      <w:r w:rsidR="00C04D16" w:rsidRPr="00C04D16">
        <w:rPr>
          <w:rtl/>
        </w:rPr>
        <w:t>غير الملتزمين بعقود</w:t>
      </w:r>
      <w:r w:rsidR="00C04D16">
        <w:rPr>
          <w:rFonts w:hint="cs"/>
          <w:rtl/>
        </w:rPr>
        <w:t xml:space="preserve"> </w:t>
      </w:r>
      <w:r w:rsidR="00474645">
        <w:rPr>
          <w:rFonts w:hint="cs"/>
          <w:rtl/>
        </w:rPr>
        <w:t>ب</w:t>
      </w:r>
      <w:r>
        <w:rPr>
          <w:rFonts w:hint="cs"/>
          <w:rtl/>
        </w:rPr>
        <w:t>توزيع محتوى موس</w:t>
      </w:r>
      <w:r w:rsidR="000E0E40">
        <w:rPr>
          <w:rFonts w:hint="cs"/>
          <w:rtl/>
        </w:rPr>
        <w:t>يقاهم على الإنترنت والانتفاع به</w:t>
      </w:r>
      <w:r>
        <w:rPr>
          <w:rFonts w:hint="cs"/>
          <w:rtl/>
        </w:rPr>
        <w:t xml:space="preserve"> ماليا. وتتعاقد </w:t>
      </w:r>
      <w:proofErr w:type="spellStart"/>
      <w:r w:rsidR="000E0E40">
        <w:rPr>
          <w:rFonts w:hint="cs"/>
          <w:rtl/>
        </w:rPr>
        <w:t>أفريفريم</w:t>
      </w:r>
      <w:proofErr w:type="spellEnd"/>
      <w:r w:rsidR="000E0E40" w:rsidRPr="00B565A1">
        <w:rPr>
          <w:rFonts w:hint="cs"/>
          <w:rtl/>
        </w:rPr>
        <w:t xml:space="preserve"> </w:t>
      </w:r>
      <w:r w:rsidR="000E0E40">
        <w:rPr>
          <w:rFonts w:hint="cs"/>
          <w:rtl/>
        </w:rPr>
        <w:t>مع الفنان وتوزع المحتوى على منصات إلكتر</w:t>
      </w:r>
      <w:r>
        <w:rPr>
          <w:rFonts w:hint="cs"/>
          <w:rtl/>
        </w:rPr>
        <w:t xml:space="preserve">ونية أخرى منها </w:t>
      </w:r>
      <w:r w:rsidR="000E0E40">
        <w:rPr>
          <w:rFonts w:hint="cs"/>
          <w:rtl/>
        </w:rPr>
        <w:t>أ</w:t>
      </w:r>
      <w:r w:rsidR="000E0E40" w:rsidRPr="000E0E40">
        <w:rPr>
          <w:rtl/>
        </w:rPr>
        <w:t xml:space="preserve">ي </w:t>
      </w:r>
      <w:proofErr w:type="spellStart"/>
      <w:r w:rsidR="000E0E40" w:rsidRPr="000E0E40">
        <w:rPr>
          <w:rtl/>
        </w:rPr>
        <w:t>تيونز</w:t>
      </w:r>
      <w:proofErr w:type="spellEnd"/>
      <w:r w:rsidR="000E0E40">
        <w:rPr>
          <w:rFonts w:hint="cs"/>
          <w:rtl/>
        </w:rPr>
        <w:t> (</w:t>
      </w:r>
      <w:r w:rsidR="000E0E40" w:rsidRPr="000E0E40">
        <w:t>iTunes</w:t>
      </w:r>
      <w:r w:rsidR="000E0E40">
        <w:rPr>
          <w:rFonts w:hint="cs"/>
          <w:rtl/>
        </w:rPr>
        <w:t>)</w:t>
      </w:r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وسبوتيفاي</w:t>
      </w:r>
      <w:proofErr w:type="spellEnd"/>
      <w:r w:rsidR="000E0E40">
        <w:rPr>
          <w:rFonts w:hint="eastAsia"/>
          <w:rtl/>
        </w:rPr>
        <w:t> </w:t>
      </w:r>
      <w:r w:rsidR="000E0E40">
        <w:rPr>
          <w:rFonts w:hint="cs"/>
          <w:rtl/>
        </w:rPr>
        <w:t>(</w:t>
      </w:r>
      <w:r w:rsidR="000E0E40" w:rsidRPr="00241717">
        <w:rPr>
          <w:szCs w:val="22"/>
        </w:rPr>
        <w:t>Spotify</w:t>
      </w:r>
      <w:r w:rsidR="000E0E40">
        <w:rPr>
          <w:rFonts w:hint="cs"/>
          <w:rtl/>
        </w:rPr>
        <w:t>)</w:t>
      </w:r>
      <w:r>
        <w:rPr>
          <w:rFonts w:hint="cs"/>
          <w:rtl/>
        </w:rPr>
        <w:t xml:space="preserve">، </w:t>
      </w:r>
      <w:proofErr w:type="spellStart"/>
      <w:r>
        <w:rPr>
          <w:rFonts w:hint="cs"/>
          <w:rtl/>
        </w:rPr>
        <w:t>وشازام</w:t>
      </w:r>
      <w:proofErr w:type="spellEnd"/>
      <w:r w:rsidR="000E0E40">
        <w:rPr>
          <w:rFonts w:hint="eastAsia"/>
          <w:rtl/>
        </w:rPr>
        <w:t> </w:t>
      </w:r>
      <w:r w:rsidR="000E0E40">
        <w:rPr>
          <w:rFonts w:hint="cs"/>
          <w:rtl/>
        </w:rPr>
        <w:t>(</w:t>
      </w:r>
      <w:proofErr w:type="spellStart"/>
      <w:r w:rsidR="000E0E40" w:rsidRPr="00241717">
        <w:rPr>
          <w:szCs w:val="22"/>
        </w:rPr>
        <w:t>Shazam</w:t>
      </w:r>
      <w:proofErr w:type="spellEnd"/>
      <w:r w:rsidR="000E0E40">
        <w:rPr>
          <w:rFonts w:hint="cs"/>
          <w:rtl/>
        </w:rPr>
        <w:t>)</w:t>
      </w:r>
      <w:r>
        <w:rPr>
          <w:rFonts w:hint="cs"/>
          <w:rtl/>
        </w:rPr>
        <w:t>. وتسمح مثل تلك المبادرات للف</w:t>
      </w:r>
      <w:r w:rsidR="000E0E40">
        <w:rPr>
          <w:rFonts w:hint="cs"/>
          <w:rtl/>
        </w:rPr>
        <w:t>ن</w:t>
      </w:r>
      <w:r>
        <w:rPr>
          <w:rFonts w:hint="cs"/>
          <w:rtl/>
        </w:rPr>
        <w:t>انين المستقلين بالبيع على الصعيد العالمي.</w:t>
      </w:r>
    </w:p>
    <w:p w:rsidR="00047790" w:rsidRPr="00C04D16" w:rsidRDefault="00C04D16" w:rsidP="00BF1298">
      <w:pPr>
        <w:pStyle w:val="Heading1"/>
        <w:rPr>
          <w:rtl/>
          <w:lang w:bidi="ar-EG"/>
        </w:rPr>
      </w:pPr>
      <w:r w:rsidRPr="00DB6BCD">
        <w:rPr>
          <w:rFonts w:hint="cs"/>
          <w:rtl/>
          <w:lang w:bidi="ar-EG"/>
        </w:rPr>
        <w:t>ثانيا</w:t>
      </w:r>
      <w:r w:rsidR="00047790" w:rsidRPr="00DB6BCD">
        <w:rPr>
          <w:rFonts w:hint="cs"/>
          <w:rtl/>
          <w:lang w:bidi="ar-EG"/>
        </w:rPr>
        <w:tab/>
        <w:t>الأفلام</w:t>
      </w:r>
    </w:p>
    <w:p w:rsidR="006D2DE0" w:rsidRPr="00DC6295" w:rsidRDefault="006D2DE0" w:rsidP="00BF1298">
      <w:pPr>
        <w:pStyle w:val="Heading3"/>
        <w:rPr>
          <w:rtl/>
        </w:rPr>
      </w:pPr>
      <w:r w:rsidRPr="00DC6295">
        <w:rPr>
          <w:rFonts w:hint="cs"/>
          <w:rtl/>
        </w:rPr>
        <w:t>لمحة عامة</w:t>
      </w:r>
    </w:p>
    <w:p w:rsidR="00047790" w:rsidRDefault="00E85B79" w:rsidP="00E85B79">
      <w:pPr>
        <w:pStyle w:val="NormalParaAR"/>
        <w:rPr>
          <w:rtl/>
        </w:rPr>
      </w:pPr>
      <w:r>
        <w:rPr>
          <w:rFonts w:hint="cs"/>
          <w:rtl/>
        </w:rPr>
        <w:t>يشهد</w:t>
      </w:r>
      <w:r w:rsidR="00067B7C">
        <w:rPr>
          <w:rFonts w:hint="cs"/>
          <w:rtl/>
        </w:rPr>
        <w:t xml:space="preserve"> </w:t>
      </w:r>
      <w:r w:rsidR="00DB6BCD">
        <w:rPr>
          <w:rFonts w:hint="cs"/>
          <w:rtl/>
          <w:lang w:bidi="ar-EG"/>
        </w:rPr>
        <w:t>قطاع</w:t>
      </w:r>
      <w:r w:rsidR="006D2DE0">
        <w:rPr>
          <w:rFonts w:hint="cs"/>
          <w:rtl/>
        </w:rPr>
        <w:t xml:space="preserve"> الأفلام </w:t>
      </w:r>
      <w:r w:rsidR="00DB6BCD">
        <w:rPr>
          <w:rFonts w:hint="cs"/>
          <w:rtl/>
        </w:rPr>
        <w:t>العالمي حالة تغيّر مستمر،</w:t>
      </w:r>
      <w:r w:rsidR="006D2DE0">
        <w:rPr>
          <w:rFonts w:hint="cs"/>
          <w:rtl/>
        </w:rPr>
        <w:t xml:space="preserve"> إذ تواصل بعض الأسواق التوسع </w:t>
      </w:r>
      <w:r w:rsidR="00DB6BCD">
        <w:rPr>
          <w:rFonts w:hint="cs"/>
          <w:rtl/>
        </w:rPr>
        <w:t>نحو</w:t>
      </w:r>
      <w:r w:rsidR="006D2DE0">
        <w:rPr>
          <w:rFonts w:hint="cs"/>
          <w:rtl/>
        </w:rPr>
        <w:t xml:space="preserve"> مبيعات السينما، بينما يبحث آخرون عن زيادة سريعة في المحتوى الرقمي. </w:t>
      </w:r>
      <w:r w:rsidR="00067B7C">
        <w:rPr>
          <w:rFonts w:hint="cs"/>
          <w:rtl/>
        </w:rPr>
        <w:t>و</w:t>
      </w:r>
      <w:r w:rsidR="006D2DE0">
        <w:rPr>
          <w:rFonts w:hint="cs"/>
          <w:rtl/>
        </w:rPr>
        <w:t>ي</w:t>
      </w:r>
      <w:r w:rsidR="009518D6">
        <w:rPr>
          <w:rFonts w:hint="cs"/>
          <w:rtl/>
        </w:rPr>
        <w:t>ت</w:t>
      </w:r>
      <w:r w:rsidR="006D2DE0">
        <w:rPr>
          <w:rFonts w:hint="cs"/>
          <w:rtl/>
        </w:rPr>
        <w:t>واكب ذلك</w:t>
      </w:r>
      <w:r w:rsidR="009518D6">
        <w:rPr>
          <w:rFonts w:hint="cs"/>
          <w:rtl/>
        </w:rPr>
        <w:t xml:space="preserve"> مع</w:t>
      </w:r>
      <w:r w:rsidR="006D2DE0">
        <w:rPr>
          <w:rFonts w:hint="cs"/>
          <w:rtl/>
        </w:rPr>
        <w:t xml:space="preserve"> تحول في سلسلة القيمة</w:t>
      </w:r>
      <w:r w:rsidR="00DB6BCD">
        <w:rPr>
          <w:rFonts w:hint="cs"/>
          <w:rtl/>
        </w:rPr>
        <w:t>،</w:t>
      </w:r>
      <w:r w:rsidR="006D2DE0">
        <w:rPr>
          <w:rFonts w:hint="cs"/>
          <w:rtl/>
        </w:rPr>
        <w:t xml:space="preserve"> إذ تخفض الوسائط</w:t>
      </w:r>
      <w:r w:rsidR="00DB6BCD">
        <w:rPr>
          <w:rFonts w:hint="cs"/>
          <w:rtl/>
        </w:rPr>
        <w:t>ُ الرقمية من</w:t>
      </w:r>
      <w:r w:rsidR="006D2DE0">
        <w:rPr>
          <w:rFonts w:hint="cs"/>
          <w:rtl/>
        </w:rPr>
        <w:t xml:space="preserve"> الكلفة، وتخل باستراتيجيات </w:t>
      </w:r>
      <w:r w:rsidR="00DB6BCD">
        <w:rPr>
          <w:rFonts w:hint="cs"/>
          <w:rtl/>
        </w:rPr>
        <w:t>الأعمال التقليدية</w:t>
      </w:r>
      <w:r w:rsidR="00791BEB">
        <w:rPr>
          <w:rFonts w:hint="cs"/>
          <w:rtl/>
        </w:rPr>
        <w:t>، وتستحدث فرص</w:t>
      </w:r>
      <w:r w:rsidR="001044C4">
        <w:rPr>
          <w:rFonts w:hint="cs"/>
          <w:rtl/>
        </w:rPr>
        <w:t>ا لصغار</w:t>
      </w:r>
      <w:r w:rsidR="001044C4">
        <w:rPr>
          <w:rFonts w:hint="cs"/>
          <w:rtl/>
          <w:lang w:bidi="ar-EG"/>
        </w:rPr>
        <w:t xml:space="preserve"> </w:t>
      </w:r>
      <w:r w:rsidR="00AB4AF9" w:rsidRPr="00C04D16">
        <w:rPr>
          <w:rFonts w:hint="cs"/>
          <w:rtl/>
          <w:lang w:bidi="ar-EG"/>
        </w:rPr>
        <w:t>الفاعلين</w:t>
      </w:r>
      <w:r w:rsidR="00791BEB">
        <w:rPr>
          <w:rFonts w:hint="cs"/>
          <w:rtl/>
        </w:rPr>
        <w:t>.</w:t>
      </w:r>
    </w:p>
    <w:p w:rsidR="00791BEB" w:rsidRDefault="00791BEB" w:rsidP="00BF1298">
      <w:pPr>
        <w:pStyle w:val="Heading3"/>
        <w:rPr>
          <w:rtl/>
        </w:rPr>
      </w:pPr>
      <w:r>
        <w:rPr>
          <w:rFonts w:hint="cs"/>
          <w:rtl/>
        </w:rPr>
        <w:t>حجم السوق ونمو</w:t>
      </w:r>
      <w:r w:rsidR="00C04D16">
        <w:rPr>
          <w:rFonts w:hint="cs"/>
          <w:rtl/>
        </w:rPr>
        <w:t>ه</w:t>
      </w:r>
    </w:p>
    <w:p w:rsidR="00791BEB" w:rsidRDefault="00067B7C" w:rsidP="00067B7C">
      <w:pPr>
        <w:pStyle w:val="NormalParaAR"/>
        <w:rPr>
          <w:rtl/>
        </w:rPr>
      </w:pPr>
      <w:r>
        <w:rPr>
          <w:rFonts w:hint="cs"/>
          <w:rtl/>
        </w:rPr>
        <w:t>بلغ إجمالي</w:t>
      </w:r>
      <w:r w:rsidR="00791BEB">
        <w:rPr>
          <w:rFonts w:hint="cs"/>
          <w:rtl/>
        </w:rPr>
        <w:t xml:space="preserve"> </w:t>
      </w:r>
      <w:r w:rsidR="00167F07">
        <w:rPr>
          <w:rFonts w:hint="cs"/>
          <w:rtl/>
        </w:rPr>
        <w:t>ال</w:t>
      </w:r>
      <w:r w:rsidR="00791BEB">
        <w:rPr>
          <w:rFonts w:hint="cs"/>
          <w:rtl/>
        </w:rPr>
        <w:t xml:space="preserve">إيرادات </w:t>
      </w:r>
      <w:r w:rsidR="00167F07">
        <w:rPr>
          <w:rFonts w:hint="cs"/>
          <w:rtl/>
        </w:rPr>
        <w:t xml:space="preserve">من </w:t>
      </w:r>
      <w:r w:rsidR="00791BEB">
        <w:rPr>
          <w:rFonts w:hint="cs"/>
          <w:rtl/>
        </w:rPr>
        <w:t>شباك تذاكر الأفلام 36.4</w:t>
      </w:r>
      <w:r>
        <w:rPr>
          <w:rFonts w:hint="eastAsia"/>
          <w:rtl/>
        </w:rPr>
        <w:t> </w:t>
      </w:r>
      <w:r w:rsidR="00791BEB">
        <w:rPr>
          <w:rFonts w:hint="cs"/>
          <w:rtl/>
        </w:rPr>
        <w:t>مليار</w:t>
      </w:r>
      <w:r>
        <w:rPr>
          <w:rFonts w:hint="eastAsia"/>
          <w:rtl/>
        </w:rPr>
        <w:t> </w:t>
      </w:r>
      <w:r w:rsidR="00791BEB">
        <w:rPr>
          <w:rFonts w:hint="cs"/>
          <w:rtl/>
        </w:rPr>
        <w:t>دولار</w:t>
      </w:r>
      <w:r>
        <w:rPr>
          <w:rFonts w:hint="eastAsia"/>
          <w:rtl/>
        </w:rPr>
        <w:t> </w:t>
      </w:r>
      <w:r w:rsidR="00791BEB">
        <w:rPr>
          <w:rFonts w:hint="cs"/>
          <w:rtl/>
        </w:rPr>
        <w:t>أمريكي</w:t>
      </w:r>
      <w:r w:rsidR="00A2375C">
        <w:rPr>
          <w:rStyle w:val="FootnoteReference"/>
          <w:rtl/>
        </w:rPr>
        <w:footnoteReference w:id="3"/>
      </w:r>
      <w:r w:rsidR="00167F07">
        <w:rPr>
          <w:rFonts w:hint="cs"/>
          <w:rtl/>
        </w:rPr>
        <w:t xml:space="preserve"> في 2014. و</w:t>
      </w:r>
      <w:r>
        <w:rPr>
          <w:rFonts w:hint="cs"/>
          <w:rtl/>
        </w:rPr>
        <w:t>ت</w:t>
      </w:r>
      <w:r w:rsidR="00791BEB">
        <w:rPr>
          <w:rFonts w:hint="cs"/>
          <w:rtl/>
        </w:rPr>
        <w:t>صدر</w:t>
      </w:r>
      <w:r w:rsidR="00167F07">
        <w:rPr>
          <w:rFonts w:hint="cs"/>
          <w:rtl/>
        </w:rPr>
        <w:t>ت</w:t>
      </w:r>
      <w:r w:rsidR="00791BEB">
        <w:rPr>
          <w:rFonts w:hint="cs"/>
          <w:rtl/>
        </w:rPr>
        <w:t xml:space="preserve"> خمسُ بلدان </w:t>
      </w:r>
      <w:r>
        <w:rPr>
          <w:rFonts w:hint="cs"/>
          <w:rtl/>
        </w:rPr>
        <w:t>قائمة</w:t>
      </w:r>
      <w:r w:rsidR="00167F07">
        <w:rPr>
          <w:rFonts w:hint="cs"/>
          <w:rtl/>
        </w:rPr>
        <w:t>َ</w:t>
      </w:r>
      <w:r w:rsidR="00791BEB">
        <w:rPr>
          <w:rFonts w:hint="cs"/>
          <w:rtl/>
        </w:rPr>
        <w:t xml:space="preserve"> منتجي الأفلام وهي الهند والولايات المتحدة الأمريكية والصين واليابان والمملكة المتحدة</w:t>
      </w:r>
      <w:r w:rsidR="00A2375C">
        <w:rPr>
          <w:rStyle w:val="FootnoteReference"/>
          <w:rtl/>
        </w:rPr>
        <w:footnoteReference w:id="4"/>
      </w:r>
      <w:r w:rsidR="00791BEB">
        <w:rPr>
          <w:rFonts w:hint="cs"/>
          <w:rtl/>
        </w:rPr>
        <w:t>، واحتلت نيجيريا مرتبة عالية في الإنتاج غ</w:t>
      </w:r>
      <w:r>
        <w:rPr>
          <w:rFonts w:hint="cs"/>
          <w:rtl/>
        </w:rPr>
        <w:t>ي</w:t>
      </w:r>
      <w:r w:rsidR="00791BEB">
        <w:rPr>
          <w:rFonts w:hint="cs"/>
          <w:rtl/>
        </w:rPr>
        <w:t>ر الرسمي.</w:t>
      </w:r>
    </w:p>
    <w:p w:rsidR="00791BEB" w:rsidRDefault="00167F07" w:rsidP="001A4F72">
      <w:pPr>
        <w:pStyle w:val="NormalParaAR"/>
        <w:rPr>
          <w:rtl/>
        </w:rPr>
      </w:pPr>
      <w:r>
        <w:rPr>
          <w:rFonts w:hint="cs"/>
          <w:rtl/>
        </w:rPr>
        <w:t>و</w:t>
      </w:r>
      <w:r>
        <w:rPr>
          <w:rtl/>
        </w:rPr>
        <w:t>تبَاطأَ</w:t>
      </w:r>
      <w:r>
        <w:rPr>
          <w:rFonts w:hint="cs"/>
          <w:rtl/>
        </w:rPr>
        <w:t xml:space="preserve"> </w:t>
      </w:r>
      <w:r w:rsidR="00791BEB">
        <w:rPr>
          <w:rFonts w:hint="cs"/>
          <w:rtl/>
        </w:rPr>
        <w:t xml:space="preserve">نمو </w:t>
      </w:r>
      <w:r>
        <w:rPr>
          <w:rFonts w:hint="cs"/>
          <w:rtl/>
        </w:rPr>
        <w:t>ال</w:t>
      </w:r>
      <w:r w:rsidR="00791BEB">
        <w:rPr>
          <w:rFonts w:hint="cs"/>
          <w:rtl/>
        </w:rPr>
        <w:t xml:space="preserve">إيرادات </w:t>
      </w:r>
      <w:r>
        <w:rPr>
          <w:rFonts w:hint="cs"/>
          <w:rtl/>
        </w:rPr>
        <w:t xml:space="preserve">من </w:t>
      </w:r>
      <w:r w:rsidR="00791BEB">
        <w:rPr>
          <w:rFonts w:hint="cs"/>
          <w:rtl/>
        </w:rPr>
        <w:t xml:space="preserve">شباك التذاكر في العقد الأخير. </w:t>
      </w:r>
      <w:r w:rsidR="00067B7C">
        <w:rPr>
          <w:rFonts w:hint="cs"/>
          <w:rtl/>
        </w:rPr>
        <w:t>كما شهد</w:t>
      </w:r>
      <w:r w:rsidR="00791BEB">
        <w:rPr>
          <w:rFonts w:hint="cs"/>
          <w:rtl/>
        </w:rPr>
        <w:t xml:space="preserve"> عام 2014 نموا قدره 1% فقط</w:t>
      </w:r>
      <w:r w:rsidR="00A2375C">
        <w:rPr>
          <w:rStyle w:val="FootnoteReference"/>
          <w:rtl/>
        </w:rPr>
        <w:footnoteReference w:id="5"/>
      </w:r>
      <w:r w:rsidR="00791BEB">
        <w:rPr>
          <w:rFonts w:hint="cs"/>
          <w:rtl/>
        </w:rPr>
        <w:t xml:space="preserve">، </w:t>
      </w:r>
      <w:r>
        <w:rPr>
          <w:rFonts w:hint="cs"/>
          <w:rtl/>
        </w:rPr>
        <w:t>وذلك بعد</w:t>
      </w:r>
      <w:r w:rsidR="00E8249E">
        <w:rPr>
          <w:rFonts w:hint="cs"/>
          <w:rtl/>
        </w:rPr>
        <w:t xml:space="preserve"> سنوات </w:t>
      </w:r>
      <w:r w:rsidR="00067B7C">
        <w:rPr>
          <w:rFonts w:hint="cs"/>
          <w:rtl/>
        </w:rPr>
        <w:t xml:space="preserve">من </w:t>
      </w:r>
      <w:r w:rsidR="00E8249E" w:rsidRPr="001A4F72">
        <w:rPr>
          <w:rFonts w:hint="cs"/>
          <w:rtl/>
        </w:rPr>
        <w:t>النمو المختلط</w:t>
      </w:r>
      <w:r w:rsidR="009D0D1F">
        <w:rPr>
          <w:rStyle w:val="FootnoteReference"/>
          <w:rtl/>
        </w:rPr>
        <w:footnoteReference w:id="6"/>
      </w:r>
      <w:r w:rsidR="00E8249E">
        <w:rPr>
          <w:rFonts w:hint="cs"/>
          <w:rtl/>
        </w:rPr>
        <w:t xml:space="preserve">. </w:t>
      </w:r>
      <w:r>
        <w:rPr>
          <w:rFonts w:hint="cs"/>
          <w:rtl/>
        </w:rPr>
        <w:t>وفي حين</w:t>
      </w:r>
      <w:r w:rsidR="00E8249E">
        <w:rPr>
          <w:rFonts w:hint="cs"/>
          <w:rtl/>
        </w:rPr>
        <w:t xml:space="preserve"> </w:t>
      </w:r>
      <w:r w:rsidR="001A4F72">
        <w:rPr>
          <w:rFonts w:hint="cs"/>
          <w:rtl/>
        </w:rPr>
        <w:t>انخفضت</w:t>
      </w:r>
      <w:r w:rsidR="00E8249E">
        <w:rPr>
          <w:rFonts w:hint="cs"/>
          <w:rtl/>
        </w:rPr>
        <w:t xml:space="preserve"> مبيعات التذاكر أو </w:t>
      </w:r>
      <w:r w:rsidR="001A4F72">
        <w:rPr>
          <w:rFonts w:hint="cs"/>
          <w:rtl/>
        </w:rPr>
        <w:t>ظلت كما هي</w:t>
      </w:r>
      <w:r w:rsidR="00E8249E">
        <w:rPr>
          <w:rFonts w:hint="cs"/>
          <w:rtl/>
        </w:rPr>
        <w:t xml:space="preserve"> في أمريكا الشمالية وأوروبا، </w:t>
      </w:r>
      <w:r>
        <w:rPr>
          <w:rFonts w:hint="cs"/>
          <w:rtl/>
        </w:rPr>
        <w:t>سجلت</w:t>
      </w:r>
      <w:r w:rsidR="00E8249E">
        <w:rPr>
          <w:rFonts w:hint="cs"/>
          <w:rtl/>
        </w:rPr>
        <w:t xml:space="preserve"> المبيعات في منطقة آسيا-المحيط الهادئ</w:t>
      </w:r>
      <w:r w:rsidRPr="00167F07">
        <w:rPr>
          <w:rFonts w:hint="cs"/>
          <w:rtl/>
        </w:rPr>
        <w:t xml:space="preserve"> </w:t>
      </w:r>
      <w:r>
        <w:rPr>
          <w:rFonts w:hint="cs"/>
          <w:rtl/>
        </w:rPr>
        <w:t>نموا قويا</w:t>
      </w:r>
      <w:r w:rsidR="00E8249E">
        <w:rPr>
          <w:rFonts w:hint="cs"/>
          <w:rtl/>
        </w:rPr>
        <w:t xml:space="preserve">، خاصة في الصين. </w:t>
      </w:r>
      <w:r>
        <w:rPr>
          <w:rFonts w:hint="cs"/>
          <w:rtl/>
        </w:rPr>
        <w:t>وزاد نمو</w:t>
      </w:r>
      <w:r w:rsidR="00E8249E">
        <w:rPr>
          <w:rFonts w:hint="cs"/>
          <w:rtl/>
        </w:rPr>
        <w:t xml:space="preserve"> السوق الصينية </w:t>
      </w:r>
      <w:r>
        <w:rPr>
          <w:rFonts w:hint="cs"/>
          <w:rtl/>
        </w:rPr>
        <w:t>بنسبة</w:t>
      </w:r>
      <w:r w:rsidR="00E8249E">
        <w:rPr>
          <w:rFonts w:hint="cs"/>
          <w:rtl/>
        </w:rPr>
        <w:t xml:space="preserve"> 34% في 2014 </w:t>
      </w:r>
      <w:r>
        <w:rPr>
          <w:rFonts w:hint="cs"/>
          <w:rtl/>
        </w:rPr>
        <w:t>ليصل إلى</w:t>
      </w:r>
      <w:r w:rsidR="00E8249E">
        <w:rPr>
          <w:rFonts w:hint="cs"/>
          <w:rtl/>
        </w:rPr>
        <w:t xml:space="preserve"> 4.8</w:t>
      </w:r>
      <w:r w:rsidR="00067B7C">
        <w:rPr>
          <w:rFonts w:hint="eastAsia"/>
          <w:rtl/>
        </w:rPr>
        <w:t> </w:t>
      </w:r>
      <w:r w:rsidR="00E8249E">
        <w:rPr>
          <w:rFonts w:hint="cs"/>
          <w:rtl/>
        </w:rPr>
        <w:t>مليارات</w:t>
      </w:r>
      <w:r w:rsidR="00067B7C">
        <w:rPr>
          <w:rFonts w:hint="eastAsia"/>
          <w:rtl/>
        </w:rPr>
        <w:t> </w:t>
      </w:r>
      <w:r w:rsidR="00E8249E">
        <w:rPr>
          <w:rFonts w:hint="cs"/>
          <w:rtl/>
        </w:rPr>
        <w:t>دولار</w:t>
      </w:r>
      <w:r w:rsidR="00067B7C">
        <w:rPr>
          <w:rFonts w:hint="eastAsia"/>
          <w:rtl/>
        </w:rPr>
        <w:t> </w:t>
      </w:r>
      <w:r w:rsidR="00E8249E">
        <w:rPr>
          <w:rFonts w:hint="cs"/>
          <w:rtl/>
        </w:rPr>
        <w:t>أمريكي</w:t>
      </w:r>
      <w:r w:rsidR="00247F0E">
        <w:rPr>
          <w:rStyle w:val="FootnoteReference"/>
          <w:rtl/>
        </w:rPr>
        <w:footnoteReference w:id="7"/>
      </w:r>
      <w:r w:rsidR="00E8249E">
        <w:rPr>
          <w:rFonts w:hint="cs"/>
          <w:rtl/>
        </w:rPr>
        <w:t>.</w:t>
      </w:r>
    </w:p>
    <w:p w:rsidR="00E8249E" w:rsidRDefault="00E8249E" w:rsidP="009518D6">
      <w:pPr>
        <w:pStyle w:val="NormalParaAR"/>
        <w:rPr>
          <w:rtl/>
        </w:rPr>
      </w:pPr>
      <w:r>
        <w:rPr>
          <w:rFonts w:hint="cs"/>
          <w:rtl/>
        </w:rPr>
        <w:lastRenderedPageBreak/>
        <w:t xml:space="preserve">وتتزايد </w:t>
      </w:r>
      <w:r w:rsidR="00067B7C">
        <w:rPr>
          <w:rFonts w:hint="cs"/>
          <w:rtl/>
        </w:rPr>
        <w:t>مبيعات الأفلام الرقمية</w:t>
      </w:r>
      <w:r>
        <w:rPr>
          <w:rFonts w:hint="cs"/>
          <w:rtl/>
        </w:rPr>
        <w:t xml:space="preserve"> من المصادر </w:t>
      </w:r>
      <w:r w:rsidR="000E659A">
        <w:rPr>
          <w:rFonts w:hint="cs"/>
          <w:rtl/>
        </w:rPr>
        <w:t>على الإنترنت</w:t>
      </w:r>
      <w:r>
        <w:rPr>
          <w:rFonts w:hint="cs"/>
          <w:rtl/>
        </w:rPr>
        <w:t xml:space="preserve">. وفي الولايات المتحدة الأمريكية، </w:t>
      </w:r>
      <w:r w:rsidR="000E659A">
        <w:rPr>
          <w:rFonts w:hint="cs"/>
          <w:rtl/>
        </w:rPr>
        <w:t>سجل</w:t>
      </w:r>
      <w:r>
        <w:rPr>
          <w:rFonts w:hint="cs"/>
          <w:rtl/>
        </w:rPr>
        <w:t xml:space="preserve"> قطاع الترفيه المنزلي </w:t>
      </w:r>
      <w:r w:rsidR="000E659A">
        <w:rPr>
          <w:rFonts w:hint="cs"/>
          <w:rtl/>
        </w:rPr>
        <w:t xml:space="preserve">نموا </w:t>
      </w:r>
      <w:r>
        <w:rPr>
          <w:rFonts w:hint="cs"/>
          <w:rtl/>
        </w:rPr>
        <w:t>سر</w:t>
      </w:r>
      <w:r w:rsidR="000E659A">
        <w:rPr>
          <w:rFonts w:hint="cs"/>
          <w:rtl/>
        </w:rPr>
        <w:t>ي</w:t>
      </w:r>
      <w:r>
        <w:rPr>
          <w:rFonts w:hint="cs"/>
          <w:rtl/>
        </w:rPr>
        <w:t>ع</w:t>
      </w:r>
      <w:r w:rsidR="000E659A">
        <w:rPr>
          <w:rFonts w:hint="cs"/>
          <w:rtl/>
        </w:rPr>
        <w:t>ا</w:t>
      </w:r>
      <w:r>
        <w:rPr>
          <w:rFonts w:hint="cs"/>
          <w:rtl/>
        </w:rPr>
        <w:t>، كما ارتفعت المبيعات الإلكترونية للإصدارات الجديدة ب</w:t>
      </w:r>
      <w:r w:rsidR="00067B7C">
        <w:rPr>
          <w:rFonts w:hint="cs"/>
          <w:rtl/>
        </w:rPr>
        <w:t xml:space="preserve">نسبة </w:t>
      </w:r>
      <w:r>
        <w:rPr>
          <w:rFonts w:hint="cs"/>
          <w:rtl/>
        </w:rPr>
        <w:t>60%</w:t>
      </w:r>
      <w:r w:rsidR="00247F0E">
        <w:rPr>
          <w:rStyle w:val="FootnoteReference"/>
          <w:rtl/>
        </w:rPr>
        <w:footnoteReference w:id="8"/>
      </w:r>
      <w:r>
        <w:rPr>
          <w:rFonts w:hint="cs"/>
          <w:rtl/>
        </w:rPr>
        <w:t xml:space="preserve"> في 2014. ويواكب هذا الارتفاعَ انخفاضٌ في مبيعات </w:t>
      </w:r>
      <w:r w:rsidR="00735174" w:rsidRPr="00735174">
        <w:rPr>
          <w:rtl/>
        </w:rPr>
        <w:t>أقراص الفيديو الرقمية</w:t>
      </w:r>
      <w:r w:rsidR="009518D6">
        <w:rPr>
          <w:rFonts w:hint="cs"/>
          <w:rtl/>
        </w:rPr>
        <w:t xml:space="preserve"> </w:t>
      </w:r>
      <w:r w:rsidR="000E659A">
        <w:rPr>
          <w:rFonts w:hint="cs"/>
          <w:rtl/>
        </w:rPr>
        <w:t>(</w:t>
      </w:r>
      <w:r w:rsidR="009518D6" w:rsidRPr="00241717">
        <w:rPr>
          <w:szCs w:val="22"/>
        </w:rPr>
        <w:t>DVDs</w:t>
      </w:r>
      <w:r w:rsidR="009518D6">
        <w:rPr>
          <w:rFonts w:hint="cs"/>
          <w:rtl/>
        </w:rPr>
        <w:t>)</w:t>
      </w:r>
      <w:r>
        <w:rPr>
          <w:rFonts w:hint="cs"/>
          <w:rtl/>
        </w:rPr>
        <w:t xml:space="preserve">والاسطوانات الأخرى. وفي </w:t>
      </w:r>
      <w:r w:rsidR="000E659A">
        <w:rPr>
          <w:rFonts w:hint="cs"/>
          <w:rtl/>
        </w:rPr>
        <w:t>المملكة المتحدة</w:t>
      </w:r>
      <w:r>
        <w:rPr>
          <w:rFonts w:hint="cs"/>
          <w:rtl/>
        </w:rPr>
        <w:t xml:space="preserve">، </w:t>
      </w:r>
      <w:r w:rsidR="002B008A">
        <w:rPr>
          <w:rFonts w:hint="cs"/>
          <w:rtl/>
        </w:rPr>
        <w:t>قدرت المبيعات الرقمية للأفلام بمبلغ 490 </w:t>
      </w:r>
      <w:r w:rsidR="000E659A">
        <w:rPr>
          <w:rFonts w:hint="cs"/>
          <w:rtl/>
        </w:rPr>
        <w:t>مليون</w:t>
      </w:r>
      <w:r w:rsidR="002B008A">
        <w:rPr>
          <w:rFonts w:hint="cs"/>
          <w:rtl/>
        </w:rPr>
        <w:t xml:space="preserve"> دولار</w:t>
      </w:r>
      <w:r w:rsidR="00187E40">
        <w:rPr>
          <w:rFonts w:hint="eastAsia"/>
          <w:rtl/>
        </w:rPr>
        <w:t> </w:t>
      </w:r>
      <w:r w:rsidR="002B008A">
        <w:rPr>
          <w:rFonts w:hint="cs"/>
          <w:rtl/>
        </w:rPr>
        <w:t>أمر</w:t>
      </w:r>
      <w:r w:rsidR="002008C6">
        <w:rPr>
          <w:rFonts w:hint="cs"/>
          <w:rtl/>
        </w:rPr>
        <w:t xml:space="preserve">يكي (أي </w:t>
      </w:r>
      <w:r w:rsidR="000E659A">
        <w:rPr>
          <w:rFonts w:hint="cs"/>
          <w:rtl/>
        </w:rPr>
        <w:t xml:space="preserve">ما يعادل </w:t>
      </w:r>
      <w:r w:rsidR="002008C6">
        <w:rPr>
          <w:rFonts w:hint="cs"/>
          <w:rtl/>
        </w:rPr>
        <w:t xml:space="preserve">323 </w:t>
      </w:r>
      <w:r w:rsidR="000E659A">
        <w:rPr>
          <w:rFonts w:hint="cs"/>
          <w:rtl/>
        </w:rPr>
        <w:t xml:space="preserve">مليون </w:t>
      </w:r>
      <w:r w:rsidR="002008C6">
        <w:rPr>
          <w:rFonts w:hint="cs"/>
          <w:rtl/>
        </w:rPr>
        <w:t>جن</w:t>
      </w:r>
      <w:r w:rsidR="002B008A">
        <w:rPr>
          <w:rFonts w:hint="cs"/>
          <w:rtl/>
        </w:rPr>
        <w:t>يه أسترليني) في 2013، أي زيادة قدرها 400% منذ</w:t>
      </w:r>
      <w:r w:rsidR="000E659A">
        <w:rPr>
          <w:rFonts w:hint="cs"/>
          <w:rtl/>
        </w:rPr>
        <w:t xml:space="preserve"> 2002</w:t>
      </w:r>
      <w:r w:rsidR="002B008A">
        <w:rPr>
          <w:rFonts w:hint="cs"/>
          <w:rtl/>
        </w:rPr>
        <w:t xml:space="preserve"> </w:t>
      </w:r>
      <w:r w:rsidR="00806B3F">
        <w:rPr>
          <w:rStyle w:val="FootnoteReference"/>
          <w:rtl/>
        </w:rPr>
        <w:footnoteReference w:id="9"/>
      </w:r>
    </w:p>
    <w:p w:rsidR="000F2337" w:rsidRPr="00DC6295" w:rsidRDefault="00671386" w:rsidP="00BF1298">
      <w:pPr>
        <w:pStyle w:val="Heading3"/>
        <w:rPr>
          <w:rtl/>
        </w:rPr>
      </w:pPr>
      <w:r>
        <w:rPr>
          <w:rFonts w:hint="cs"/>
          <w:rtl/>
        </w:rPr>
        <w:t xml:space="preserve">التحول </w:t>
      </w:r>
      <w:r w:rsidR="000F2337">
        <w:rPr>
          <w:rFonts w:hint="cs"/>
          <w:rtl/>
        </w:rPr>
        <w:t>الرقمي</w:t>
      </w:r>
    </w:p>
    <w:p w:rsidR="002B008A" w:rsidRDefault="00671386" w:rsidP="00AD3546">
      <w:pPr>
        <w:pStyle w:val="NormalParaAR"/>
        <w:rPr>
          <w:rtl/>
        </w:rPr>
      </w:pPr>
      <w:r>
        <w:rPr>
          <w:rFonts w:hint="cs"/>
          <w:rtl/>
        </w:rPr>
        <w:t>ي</w:t>
      </w:r>
      <w:r w:rsidR="002008C6">
        <w:rPr>
          <w:rFonts w:hint="cs"/>
          <w:rtl/>
        </w:rPr>
        <w:t xml:space="preserve">ؤثر </w:t>
      </w:r>
      <w:r w:rsidRPr="009C66A3">
        <w:rPr>
          <w:rFonts w:hint="cs"/>
          <w:rtl/>
        </w:rPr>
        <w:t>التحول الرقمي</w:t>
      </w:r>
      <w:r w:rsidR="000E659A">
        <w:rPr>
          <w:rFonts w:hint="cs"/>
          <w:rtl/>
        </w:rPr>
        <w:t xml:space="preserve"> على سلسلة الق</w:t>
      </w:r>
      <w:r w:rsidR="002008C6">
        <w:rPr>
          <w:rFonts w:hint="cs"/>
          <w:rtl/>
        </w:rPr>
        <w:t>ي</w:t>
      </w:r>
      <w:r w:rsidR="000E659A">
        <w:rPr>
          <w:rFonts w:hint="cs"/>
          <w:rtl/>
        </w:rPr>
        <w:t>م</w:t>
      </w:r>
      <w:r w:rsidR="002008C6">
        <w:rPr>
          <w:rFonts w:hint="cs"/>
          <w:rtl/>
        </w:rPr>
        <w:t>ة بطرق عدة. ففي مرحلة الإنتاج، خفضت التكنولوجيا الرقمية من كلفة الإنتاج ووسعت نطاق الآثا</w:t>
      </w:r>
      <w:r w:rsidR="00C04D16">
        <w:rPr>
          <w:rFonts w:hint="cs"/>
          <w:rtl/>
        </w:rPr>
        <w:t xml:space="preserve">ر </w:t>
      </w:r>
      <w:r w:rsidR="000E659A">
        <w:rPr>
          <w:rFonts w:hint="cs"/>
          <w:rtl/>
        </w:rPr>
        <w:t>البصرية</w:t>
      </w:r>
      <w:r w:rsidR="00C04D16">
        <w:rPr>
          <w:rFonts w:hint="cs"/>
          <w:rtl/>
        </w:rPr>
        <w:t xml:space="preserve"> الممكنة. وبالمثل، </w:t>
      </w:r>
      <w:r w:rsidR="00C04D16" w:rsidRPr="00C04D16">
        <w:rPr>
          <w:rFonts w:hint="cs"/>
          <w:rtl/>
        </w:rPr>
        <w:t>خفض</w:t>
      </w:r>
      <w:r w:rsidR="002008C6" w:rsidRPr="00C04D16">
        <w:rPr>
          <w:rFonts w:hint="cs"/>
          <w:rtl/>
        </w:rPr>
        <w:t xml:space="preserve"> </w:t>
      </w:r>
      <w:r w:rsidR="00C04D16" w:rsidRPr="00C04D16">
        <w:rPr>
          <w:rFonts w:hint="cs"/>
          <w:rtl/>
        </w:rPr>
        <w:t>التحول الرقمي</w:t>
      </w:r>
      <w:r w:rsidR="00BF1298">
        <w:rPr>
          <w:rFonts w:hint="cs"/>
          <w:rtl/>
        </w:rPr>
        <w:t xml:space="preserve"> </w:t>
      </w:r>
      <w:r w:rsidR="002008C6" w:rsidRPr="00C04D16">
        <w:rPr>
          <w:rFonts w:hint="cs"/>
          <w:rtl/>
        </w:rPr>
        <w:t>من</w:t>
      </w:r>
      <w:r w:rsidR="002008C6">
        <w:rPr>
          <w:rFonts w:hint="cs"/>
          <w:rtl/>
        </w:rPr>
        <w:t xml:space="preserve"> </w:t>
      </w:r>
      <w:r w:rsidR="008C6083">
        <w:rPr>
          <w:rFonts w:hint="cs"/>
          <w:rtl/>
        </w:rPr>
        <w:t xml:space="preserve">كلفة التوزيع. غير أن </w:t>
      </w:r>
      <w:r w:rsidR="000E659A">
        <w:rPr>
          <w:rFonts w:hint="cs"/>
          <w:rtl/>
        </w:rPr>
        <w:t xml:space="preserve">أشد تأثير أحدثه التحول الرقمي كان على حساب </w:t>
      </w:r>
      <w:r w:rsidR="008C6083">
        <w:rPr>
          <w:rFonts w:hint="cs"/>
          <w:rtl/>
        </w:rPr>
        <w:t xml:space="preserve">الاعتماد التقليدي على </w:t>
      </w:r>
      <w:r w:rsidR="00BC778E">
        <w:rPr>
          <w:rFonts w:hint="cs"/>
          <w:rtl/>
        </w:rPr>
        <w:t xml:space="preserve">تسلسل </w:t>
      </w:r>
      <w:r>
        <w:rPr>
          <w:rFonts w:hint="cs"/>
          <w:rtl/>
        </w:rPr>
        <w:t>قنوات البث</w:t>
      </w:r>
      <w:r w:rsidR="00BC778E">
        <w:rPr>
          <w:rStyle w:val="FootnoteReference"/>
          <w:rtl/>
        </w:rPr>
        <w:footnoteReference w:id="10"/>
      </w:r>
      <w:r w:rsidR="008C6083">
        <w:rPr>
          <w:rFonts w:hint="cs"/>
          <w:rtl/>
        </w:rPr>
        <w:t xml:space="preserve">. </w:t>
      </w:r>
      <w:r w:rsidR="0027553A">
        <w:rPr>
          <w:rFonts w:hint="cs"/>
          <w:rtl/>
        </w:rPr>
        <w:t>ف</w:t>
      </w:r>
      <w:r w:rsidR="000E659A">
        <w:rPr>
          <w:rFonts w:hint="cs"/>
          <w:rtl/>
        </w:rPr>
        <w:t>تلاشت</w:t>
      </w:r>
      <w:r w:rsidR="00735174">
        <w:rPr>
          <w:rFonts w:hint="cs"/>
          <w:rtl/>
        </w:rPr>
        <w:t xml:space="preserve"> </w:t>
      </w:r>
      <w:r w:rsidR="000E659A" w:rsidRPr="000E659A">
        <w:rPr>
          <w:rFonts w:hint="cs"/>
          <w:rtl/>
        </w:rPr>
        <w:t>ال</w:t>
      </w:r>
      <w:r w:rsidR="00ED2789" w:rsidRPr="000E659A">
        <w:rPr>
          <w:rFonts w:hint="cs"/>
          <w:rtl/>
        </w:rPr>
        <w:t xml:space="preserve">قيود </w:t>
      </w:r>
      <w:r w:rsidR="000E659A" w:rsidRPr="000E659A">
        <w:rPr>
          <w:rFonts w:hint="cs"/>
          <w:rtl/>
        </w:rPr>
        <w:t xml:space="preserve">المادية المتمثلة في </w:t>
      </w:r>
      <w:r w:rsidR="00ED2789" w:rsidRPr="000E659A">
        <w:rPr>
          <w:rFonts w:hint="cs"/>
          <w:rtl/>
        </w:rPr>
        <w:t xml:space="preserve">بكرات </w:t>
      </w:r>
      <w:r w:rsidR="00735174" w:rsidRPr="000E659A">
        <w:rPr>
          <w:rFonts w:hint="cs"/>
          <w:rtl/>
        </w:rPr>
        <w:t>ال</w:t>
      </w:r>
      <w:r w:rsidR="00ED2789" w:rsidRPr="000E659A">
        <w:rPr>
          <w:rFonts w:hint="cs"/>
          <w:rtl/>
        </w:rPr>
        <w:t xml:space="preserve">أفلام </w:t>
      </w:r>
      <w:r w:rsidR="000E659A" w:rsidRPr="000E659A">
        <w:rPr>
          <w:rFonts w:hint="cs"/>
          <w:rtl/>
        </w:rPr>
        <w:t>و</w:t>
      </w:r>
      <w:r w:rsidR="00735174" w:rsidRPr="000E659A">
        <w:rPr>
          <w:rtl/>
        </w:rPr>
        <w:t>أقراص الفيديو الرقمية</w:t>
      </w:r>
      <w:r w:rsidR="00ED2789">
        <w:rPr>
          <w:rFonts w:hint="cs"/>
          <w:rtl/>
        </w:rPr>
        <w:t xml:space="preserve">. </w:t>
      </w:r>
      <w:r w:rsidR="000E659A">
        <w:rPr>
          <w:rFonts w:hint="cs"/>
          <w:rtl/>
        </w:rPr>
        <w:t>ثم</w:t>
      </w:r>
      <w:r w:rsidR="00ED2789">
        <w:rPr>
          <w:rFonts w:hint="cs"/>
          <w:rtl/>
        </w:rPr>
        <w:t xml:space="preserve"> </w:t>
      </w:r>
      <w:r w:rsidR="0027553A">
        <w:rPr>
          <w:rFonts w:hint="cs"/>
          <w:rtl/>
        </w:rPr>
        <w:t>غير</w:t>
      </w:r>
      <w:r w:rsidR="00ED2789">
        <w:rPr>
          <w:rFonts w:hint="cs"/>
          <w:rtl/>
        </w:rPr>
        <w:t xml:space="preserve"> ال</w:t>
      </w:r>
      <w:r w:rsidR="00735174">
        <w:rPr>
          <w:rFonts w:hint="cs"/>
          <w:rtl/>
        </w:rPr>
        <w:t>ب</w:t>
      </w:r>
      <w:r w:rsidR="00ED2789">
        <w:rPr>
          <w:rFonts w:hint="cs"/>
          <w:rtl/>
        </w:rPr>
        <w:t>ث التدفقي عل</w:t>
      </w:r>
      <w:r w:rsidR="00735174">
        <w:rPr>
          <w:rFonts w:hint="cs"/>
          <w:rtl/>
        </w:rPr>
        <w:t>ى</w:t>
      </w:r>
      <w:r w:rsidR="00ED2789">
        <w:rPr>
          <w:rFonts w:hint="cs"/>
          <w:rtl/>
        </w:rPr>
        <w:t xml:space="preserve"> الإنترنت </w:t>
      </w:r>
      <w:r w:rsidR="0027553A">
        <w:rPr>
          <w:rFonts w:hint="cs"/>
          <w:rtl/>
        </w:rPr>
        <w:t xml:space="preserve">من </w:t>
      </w:r>
      <w:r w:rsidR="00ED2789">
        <w:rPr>
          <w:rFonts w:hint="cs"/>
          <w:rtl/>
        </w:rPr>
        <w:t>توقعات</w:t>
      </w:r>
      <w:r w:rsidR="00735174">
        <w:rPr>
          <w:rFonts w:hint="cs"/>
          <w:rtl/>
        </w:rPr>
        <w:t>ِ</w:t>
      </w:r>
      <w:r w:rsidR="00ED2789">
        <w:rPr>
          <w:rFonts w:hint="cs"/>
          <w:rtl/>
        </w:rPr>
        <w:t xml:space="preserve"> </w:t>
      </w:r>
      <w:r w:rsidR="0027553A">
        <w:rPr>
          <w:rFonts w:hint="cs"/>
          <w:rtl/>
        </w:rPr>
        <w:t>الجمهور</w:t>
      </w:r>
      <w:r w:rsidR="00ED2789">
        <w:rPr>
          <w:rFonts w:hint="cs"/>
          <w:rtl/>
        </w:rPr>
        <w:t xml:space="preserve">، </w:t>
      </w:r>
      <w:r w:rsidR="0027553A">
        <w:rPr>
          <w:rFonts w:hint="cs"/>
          <w:rtl/>
        </w:rPr>
        <w:t>وقلص</w:t>
      </w:r>
      <w:r w:rsidR="00ED2789">
        <w:rPr>
          <w:rFonts w:hint="cs"/>
          <w:rtl/>
        </w:rPr>
        <w:t xml:space="preserve"> </w:t>
      </w:r>
      <w:r w:rsidR="00ED2789" w:rsidRPr="00E85B79">
        <w:rPr>
          <w:rFonts w:hint="cs"/>
          <w:rtl/>
        </w:rPr>
        <w:t xml:space="preserve">وقت </w:t>
      </w:r>
      <w:r w:rsidR="00AD3546">
        <w:rPr>
          <w:rFonts w:hint="cs"/>
          <w:rtl/>
        </w:rPr>
        <w:t xml:space="preserve">الانتظار </w:t>
      </w:r>
      <w:r w:rsidR="00ED2789" w:rsidRPr="00E85B79">
        <w:rPr>
          <w:rFonts w:hint="cs"/>
          <w:rtl/>
        </w:rPr>
        <w:t xml:space="preserve">بين </w:t>
      </w:r>
      <w:r w:rsidR="0027553A" w:rsidRPr="00E85B79">
        <w:rPr>
          <w:rFonts w:hint="cs"/>
          <w:rtl/>
        </w:rPr>
        <w:t>تسلسل</w:t>
      </w:r>
      <w:r w:rsidR="0027553A">
        <w:rPr>
          <w:rFonts w:hint="cs"/>
          <w:rtl/>
        </w:rPr>
        <w:t xml:space="preserve"> قنوات البث</w:t>
      </w:r>
      <w:r w:rsidR="00AD3546">
        <w:rPr>
          <w:rFonts w:hint="cs"/>
          <w:rtl/>
        </w:rPr>
        <w:t xml:space="preserve">. مما </w:t>
      </w:r>
      <w:r w:rsidR="00ED2789">
        <w:rPr>
          <w:rFonts w:hint="cs"/>
          <w:rtl/>
        </w:rPr>
        <w:t>يصعب على ال</w:t>
      </w:r>
      <w:r w:rsidR="00DB6BCD">
        <w:rPr>
          <w:rFonts w:hint="cs"/>
          <w:rtl/>
        </w:rPr>
        <w:t>قطاع</w:t>
      </w:r>
      <w:r w:rsidR="00ED2789">
        <w:rPr>
          <w:rFonts w:hint="cs"/>
          <w:rtl/>
        </w:rPr>
        <w:t xml:space="preserve"> الاستفادة </w:t>
      </w:r>
      <w:r w:rsidR="00ED2789" w:rsidRPr="001A4F72">
        <w:rPr>
          <w:rFonts w:hint="cs"/>
          <w:rtl/>
        </w:rPr>
        <w:t>من تذاكر</w:t>
      </w:r>
      <w:r w:rsidR="001A4F72" w:rsidRPr="001A4F72">
        <w:rPr>
          <w:rFonts w:hint="cs"/>
          <w:rtl/>
        </w:rPr>
        <w:t xml:space="preserve"> البث الأول في السينما</w:t>
      </w:r>
      <w:r w:rsidR="0027553A" w:rsidRPr="001A4F72">
        <w:rPr>
          <w:rFonts w:hint="cs"/>
          <w:rtl/>
        </w:rPr>
        <w:t>،</w:t>
      </w:r>
      <w:r w:rsidR="00ED2789" w:rsidRPr="001A4F72">
        <w:rPr>
          <w:rFonts w:hint="cs"/>
          <w:rtl/>
        </w:rPr>
        <w:t xml:space="preserve"> كما</w:t>
      </w:r>
      <w:r w:rsidR="00ED2789">
        <w:rPr>
          <w:rFonts w:hint="cs"/>
          <w:rtl/>
        </w:rPr>
        <w:t xml:space="preserve"> </w:t>
      </w:r>
      <w:r w:rsidR="00AD3546">
        <w:rPr>
          <w:rFonts w:hint="cs"/>
          <w:rtl/>
        </w:rPr>
        <w:t>تتجه</w:t>
      </w:r>
      <w:r w:rsidR="00ED2789">
        <w:rPr>
          <w:rFonts w:hint="cs"/>
          <w:rtl/>
        </w:rPr>
        <w:t xml:space="preserve"> الإيرادات </w:t>
      </w:r>
      <w:r w:rsidR="00AD3546">
        <w:rPr>
          <w:rFonts w:hint="cs"/>
          <w:rtl/>
        </w:rPr>
        <w:t>نحو</w:t>
      </w:r>
      <w:r w:rsidR="00ED2789">
        <w:rPr>
          <w:rFonts w:hint="cs"/>
          <w:rtl/>
        </w:rPr>
        <w:t xml:space="preserve"> المبيعات على الإنترنت.</w:t>
      </w:r>
    </w:p>
    <w:p w:rsidR="000F2337" w:rsidRDefault="00ED2789" w:rsidP="00A46C58">
      <w:pPr>
        <w:pStyle w:val="NormalParaAR"/>
        <w:rPr>
          <w:rtl/>
        </w:rPr>
      </w:pPr>
      <w:r>
        <w:rPr>
          <w:rFonts w:hint="cs"/>
          <w:rtl/>
        </w:rPr>
        <w:t xml:space="preserve">وفتح </w:t>
      </w:r>
      <w:r w:rsidR="0027553A">
        <w:rPr>
          <w:rFonts w:hint="cs"/>
          <w:rtl/>
        </w:rPr>
        <w:t>التحول</w:t>
      </w:r>
      <w:r>
        <w:rPr>
          <w:rFonts w:hint="cs"/>
          <w:rtl/>
        </w:rPr>
        <w:t xml:space="preserve"> </w:t>
      </w:r>
      <w:r w:rsidR="0027553A">
        <w:rPr>
          <w:rFonts w:hint="cs"/>
          <w:rtl/>
        </w:rPr>
        <w:t>الرقمي</w:t>
      </w:r>
      <w:r>
        <w:rPr>
          <w:rFonts w:hint="cs"/>
          <w:rtl/>
        </w:rPr>
        <w:t xml:space="preserve"> إمكانات جديدة لصغار </w:t>
      </w:r>
      <w:r w:rsidR="0027553A">
        <w:rPr>
          <w:rFonts w:hint="cs"/>
          <w:rtl/>
        </w:rPr>
        <w:t>الفاعلين</w:t>
      </w:r>
      <w:r>
        <w:rPr>
          <w:rFonts w:hint="cs"/>
          <w:rtl/>
        </w:rPr>
        <w:t xml:space="preserve"> في ال</w:t>
      </w:r>
      <w:r w:rsidR="00DB6BCD">
        <w:rPr>
          <w:rFonts w:hint="cs"/>
          <w:rtl/>
        </w:rPr>
        <w:t>قطاع</w:t>
      </w:r>
      <w:r>
        <w:rPr>
          <w:rFonts w:hint="cs"/>
          <w:rtl/>
        </w:rPr>
        <w:t xml:space="preserve">. </w:t>
      </w:r>
      <w:r w:rsidR="00AD2184">
        <w:rPr>
          <w:rFonts w:hint="cs"/>
          <w:rtl/>
        </w:rPr>
        <w:t xml:space="preserve">وخير دليل على التغيير الذي </w:t>
      </w:r>
      <w:r w:rsidR="0027553A">
        <w:rPr>
          <w:rFonts w:hint="cs"/>
          <w:rtl/>
        </w:rPr>
        <w:t>يمكن للتحول الرقمي أن يحدثه</w:t>
      </w:r>
      <w:r w:rsidR="00AD2184">
        <w:rPr>
          <w:rFonts w:hint="cs"/>
          <w:rtl/>
        </w:rPr>
        <w:t xml:space="preserve"> هو </w:t>
      </w:r>
      <w:r w:rsidR="00AD2184" w:rsidRPr="00AD2184">
        <w:rPr>
          <w:rtl/>
        </w:rPr>
        <w:t>الفيديو حسب الطلب عن طريق الإنترنت</w:t>
      </w:r>
      <w:r w:rsidR="00AD2184">
        <w:rPr>
          <w:rFonts w:hint="cs"/>
          <w:rtl/>
        </w:rPr>
        <w:t xml:space="preserve"> (</w:t>
      </w:r>
      <w:r w:rsidR="00AD2184" w:rsidRPr="00241717">
        <w:rPr>
          <w:szCs w:val="22"/>
        </w:rPr>
        <w:t>VOD</w:t>
      </w:r>
      <w:r w:rsidR="00AD2184">
        <w:rPr>
          <w:rFonts w:hint="cs"/>
          <w:rtl/>
        </w:rPr>
        <w:t xml:space="preserve">)، وفيه </w:t>
      </w:r>
      <w:r w:rsidR="0027553A">
        <w:rPr>
          <w:rFonts w:hint="cs"/>
          <w:rtl/>
        </w:rPr>
        <w:t>تتيح</w:t>
      </w:r>
      <w:r w:rsidR="00AD2184">
        <w:rPr>
          <w:rFonts w:hint="cs"/>
          <w:rtl/>
        </w:rPr>
        <w:t xml:space="preserve"> الخدمات الإلكترونية أو التفاعلية للمستهلكين </w:t>
      </w:r>
      <w:r w:rsidR="0027553A">
        <w:rPr>
          <w:rFonts w:hint="cs"/>
          <w:rtl/>
        </w:rPr>
        <w:t>اختيار الفيلم ومشاهدته حين يريدون. كما يمكن لصانعي الأفلام المستقلين أن يتجاوزوا خطوات الترخيص والتوزيع المرحلية</w:t>
      </w:r>
      <w:r w:rsidR="00A46C58">
        <w:rPr>
          <w:rFonts w:hint="cs"/>
          <w:rtl/>
        </w:rPr>
        <w:t>،</w:t>
      </w:r>
      <w:r w:rsidR="00BF1298">
        <w:rPr>
          <w:rFonts w:hint="cs"/>
          <w:rtl/>
        </w:rPr>
        <w:t xml:space="preserve"> </w:t>
      </w:r>
      <w:r w:rsidR="0027553A">
        <w:rPr>
          <w:rFonts w:hint="cs"/>
          <w:rtl/>
        </w:rPr>
        <w:t xml:space="preserve">فيبيعون </w:t>
      </w:r>
      <w:r w:rsidR="00A46C58">
        <w:rPr>
          <w:rFonts w:hint="cs"/>
          <w:rtl/>
        </w:rPr>
        <w:t xml:space="preserve">إلى الجمهور </w:t>
      </w:r>
      <w:r w:rsidR="0027553A">
        <w:rPr>
          <w:rFonts w:hint="cs"/>
          <w:rtl/>
        </w:rPr>
        <w:t>مباشرة.</w:t>
      </w:r>
      <w:r w:rsidR="00A46C58" w:rsidRPr="00A46C58">
        <w:rPr>
          <w:rFonts w:hint="cs"/>
          <w:rtl/>
        </w:rPr>
        <w:t xml:space="preserve"> </w:t>
      </w:r>
      <w:r w:rsidR="00A46C58">
        <w:rPr>
          <w:rFonts w:hint="cs"/>
          <w:rtl/>
        </w:rPr>
        <w:t>واكتسبت خدمات الاشتراك في البث التدفقي</w:t>
      </w:r>
      <w:r w:rsidR="00AD3546">
        <w:rPr>
          <w:rFonts w:hint="cs"/>
          <w:rtl/>
        </w:rPr>
        <w:t xml:space="preserve"> </w:t>
      </w:r>
      <w:r w:rsidR="00A46C58">
        <w:rPr>
          <w:rFonts w:hint="cs"/>
          <w:rtl/>
        </w:rPr>
        <w:t>على الإنترنت شعبية، وفيها يسدد الجمهور رسوما شهرية للنفاذ إلى المحتوى.</w:t>
      </w:r>
    </w:p>
    <w:p w:rsidR="00AD2184" w:rsidRDefault="00AD2184" w:rsidP="00BF1298">
      <w:pPr>
        <w:pStyle w:val="Heading3"/>
        <w:rPr>
          <w:rtl/>
        </w:rPr>
      </w:pPr>
      <w:r w:rsidRPr="00F2469F">
        <w:rPr>
          <w:rFonts w:hint="cs"/>
          <w:rtl/>
        </w:rPr>
        <w:t>النماذج الناشئة</w:t>
      </w:r>
    </w:p>
    <w:p w:rsidR="00F2469F" w:rsidRDefault="00C17708" w:rsidP="00AD3546">
      <w:pPr>
        <w:pStyle w:val="NormalParaAR"/>
        <w:rPr>
          <w:rtl/>
        </w:rPr>
      </w:pPr>
      <w:r>
        <w:rPr>
          <w:rFonts w:hint="cs"/>
          <w:rtl/>
        </w:rPr>
        <w:t>في مايو 2015، ان</w:t>
      </w:r>
      <w:r w:rsidR="00AD2184">
        <w:rPr>
          <w:rFonts w:hint="cs"/>
          <w:rtl/>
        </w:rPr>
        <w:t xml:space="preserve">طلقت </w:t>
      </w:r>
      <w:r w:rsidR="00E548E6">
        <w:rPr>
          <w:rFonts w:hint="cs"/>
          <w:rtl/>
        </w:rPr>
        <w:t>ال</w:t>
      </w:r>
      <w:r>
        <w:rPr>
          <w:rFonts w:hint="cs"/>
          <w:rtl/>
        </w:rPr>
        <w:t>شركة</w:t>
      </w:r>
      <w:r w:rsidR="00BF1298">
        <w:rPr>
          <w:rFonts w:hint="cs"/>
          <w:rtl/>
        </w:rPr>
        <w:t xml:space="preserve"> </w:t>
      </w:r>
      <w:r w:rsidR="00AD2184">
        <w:rPr>
          <w:rFonts w:hint="cs"/>
          <w:rtl/>
        </w:rPr>
        <w:t xml:space="preserve">البرازيلية الناشئة </w:t>
      </w:r>
      <w:proofErr w:type="spellStart"/>
      <w:r w:rsidR="00AD2184">
        <w:rPr>
          <w:rFonts w:hint="cs"/>
          <w:rtl/>
        </w:rPr>
        <w:t>سيتيما</w:t>
      </w:r>
      <w:proofErr w:type="spellEnd"/>
      <w:r w:rsidR="00AD2184">
        <w:rPr>
          <w:rFonts w:hint="cs"/>
          <w:rtl/>
        </w:rPr>
        <w:t xml:space="preserve"> (</w:t>
      </w:r>
      <w:proofErr w:type="spellStart"/>
      <w:r w:rsidR="00AD2184" w:rsidRPr="00241717">
        <w:rPr>
          <w:szCs w:val="22"/>
        </w:rPr>
        <w:t>Setima</w:t>
      </w:r>
      <w:proofErr w:type="spellEnd"/>
      <w:r w:rsidR="00AD2184">
        <w:rPr>
          <w:rFonts w:hint="cs"/>
          <w:rtl/>
        </w:rPr>
        <w:t>)،وهي منصة مخصصة ل</w:t>
      </w:r>
      <w:r w:rsidR="00AD2184" w:rsidRPr="00AD2184">
        <w:rPr>
          <w:rtl/>
        </w:rPr>
        <w:t>لفيديو حسب الطلب عن طريق الإنترنت</w:t>
      </w:r>
      <w:r>
        <w:rPr>
          <w:rFonts w:hint="cs"/>
          <w:rtl/>
        </w:rPr>
        <w:t>،</w:t>
      </w:r>
      <w:r w:rsidR="00AD2184">
        <w:rPr>
          <w:rFonts w:hint="cs"/>
          <w:rtl/>
        </w:rPr>
        <w:t xml:space="preserve"> </w:t>
      </w:r>
      <w:r w:rsidR="00AD3546">
        <w:rPr>
          <w:rFonts w:hint="cs"/>
          <w:rtl/>
        </w:rPr>
        <w:t>لصالح</w:t>
      </w:r>
      <w:r>
        <w:rPr>
          <w:rFonts w:hint="cs"/>
          <w:rtl/>
        </w:rPr>
        <w:t xml:space="preserve"> ا</w:t>
      </w:r>
      <w:r w:rsidR="00AD2184">
        <w:rPr>
          <w:rFonts w:hint="cs"/>
          <w:rtl/>
        </w:rPr>
        <w:t>لأفلام ال</w:t>
      </w:r>
      <w:r>
        <w:rPr>
          <w:rFonts w:hint="cs"/>
          <w:rtl/>
        </w:rPr>
        <w:t xml:space="preserve">برازيلية المستقلة. وتسعى الشركة إلى </w:t>
      </w:r>
      <w:r w:rsidR="00AD2184">
        <w:rPr>
          <w:rFonts w:hint="cs"/>
          <w:rtl/>
        </w:rPr>
        <w:t xml:space="preserve">لتمكين </w:t>
      </w:r>
      <w:r>
        <w:rPr>
          <w:rFonts w:hint="cs"/>
          <w:rtl/>
        </w:rPr>
        <w:t>صانعي</w:t>
      </w:r>
      <w:r w:rsidR="00E548E6">
        <w:rPr>
          <w:rFonts w:hint="cs"/>
          <w:rtl/>
        </w:rPr>
        <w:t xml:space="preserve"> </w:t>
      </w:r>
      <w:r w:rsidR="00AD2184">
        <w:rPr>
          <w:rFonts w:hint="cs"/>
          <w:rtl/>
        </w:rPr>
        <w:t>الأفلام المستقلين من تخزين أفلامهم، و</w:t>
      </w:r>
      <w:r w:rsidR="00E548E6">
        <w:rPr>
          <w:rFonts w:hint="cs"/>
          <w:rtl/>
        </w:rPr>
        <w:t>إ</w:t>
      </w:r>
      <w:r w:rsidR="00AD2184">
        <w:rPr>
          <w:rFonts w:hint="cs"/>
          <w:rtl/>
        </w:rPr>
        <w:t>دارتها، ونصرتها وعرضها</w:t>
      </w:r>
      <w:r w:rsidR="00AD3546">
        <w:rPr>
          <w:rFonts w:hint="cs"/>
          <w:rtl/>
        </w:rPr>
        <w:t xml:space="preserve">؛ </w:t>
      </w:r>
      <w:r w:rsidR="006F79CE">
        <w:rPr>
          <w:rFonts w:hint="cs"/>
          <w:rtl/>
        </w:rPr>
        <w:t>و</w:t>
      </w:r>
      <w:r>
        <w:rPr>
          <w:rFonts w:hint="cs"/>
          <w:rtl/>
        </w:rPr>
        <w:t>ت</w:t>
      </w:r>
      <w:r w:rsidR="006F79CE">
        <w:rPr>
          <w:rFonts w:hint="cs"/>
          <w:rtl/>
        </w:rPr>
        <w:t xml:space="preserve">جمع </w:t>
      </w:r>
      <w:r>
        <w:rPr>
          <w:rFonts w:hint="cs"/>
          <w:rtl/>
        </w:rPr>
        <w:t xml:space="preserve">المنصة </w:t>
      </w:r>
      <w:r w:rsidR="006F79CE">
        <w:rPr>
          <w:rFonts w:hint="cs"/>
          <w:rtl/>
        </w:rPr>
        <w:t>بي</w:t>
      </w:r>
      <w:r w:rsidR="00E548E6">
        <w:rPr>
          <w:rFonts w:hint="cs"/>
          <w:rtl/>
        </w:rPr>
        <w:t>ن</w:t>
      </w:r>
      <w:r w:rsidR="006F79CE">
        <w:rPr>
          <w:rFonts w:hint="cs"/>
          <w:rtl/>
        </w:rPr>
        <w:t>هم وبين جماهيرهم. وست</w:t>
      </w:r>
      <w:r w:rsidR="00E548E6">
        <w:rPr>
          <w:rFonts w:hint="cs"/>
          <w:rtl/>
        </w:rPr>
        <w:t>ُ</w:t>
      </w:r>
      <w:r w:rsidR="006F79CE">
        <w:rPr>
          <w:rFonts w:hint="cs"/>
          <w:rtl/>
        </w:rPr>
        <w:t>س</w:t>
      </w:r>
      <w:r w:rsidR="00BF1298">
        <w:rPr>
          <w:rFonts w:hint="cs"/>
          <w:rtl/>
        </w:rPr>
        <w:t>ت</w:t>
      </w:r>
      <w:r w:rsidR="006F79CE">
        <w:rPr>
          <w:rFonts w:hint="cs"/>
          <w:rtl/>
        </w:rPr>
        <w:t xml:space="preserve">خدم </w:t>
      </w:r>
      <w:r>
        <w:rPr>
          <w:rFonts w:hint="cs"/>
          <w:rtl/>
        </w:rPr>
        <w:t>ال</w:t>
      </w:r>
      <w:r w:rsidR="006F79CE">
        <w:rPr>
          <w:rFonts w:hint="cs"/>
          <w:rtl/>
        </w:rPr>
        <w:t>أ</w:t>
      </w:r>
      <w:r>
        <w:rPr>
          <w:rFonts w:hint="cs"/>
          <w:rtl/>
        </w:rPr>
        <w:t xml:space="preserve">رباح التي تولدها </w:t>
      </w:r>
      <w:r w:rsidR="006F79CE">
        <w:rPr>
          <w:rFonts w:hint="cs"/>
          <w:rtl/>
        </w:rPr>
        <w:t xml:space="preserve">المنصة </w:t>
      </w:r>
      <w:r w:rsidR="00E548E6">
        <w:rPr>
          <w:rFonts w:hint="cs"/>
          <w:rtl/>
        </w:rPr>
        <w:t xml:space="preserve">في </w:t>
      </w:r>
      <w:r w:rsidR="006F79CE">
        <w:rPr>
          <w:rFonts w:hint="cs"/>
          <w:rtl/>
        </w:rPr>
        <w:t xml:space="preserve">صناعة أفلام جديدة. </w:t>
      </w:r>
      <w:r w:rsidR="00E548E6">
        <w:rPr>
          <w:rFonts w:hint="cs"/>
          <w:rtl/>
        </w:rPr>
        <w:t>وت</w:t>
      </w:r>
      <w:r>
        <w:rPr>
          <w:rFonts w:hint="cs"/>
          <w:rtl/>
        </w:rPr>
        <w:t>ُ</w:t>
      </w:r>
      <w:r w:rsidR="00E548E6">
        <w:rPr>
          <w:rFonts w:hint="cs"/>
          <w:rtl/>
        </w:rPr>
        <w:t>ظه</w:t>
      </w:r>
      <w:r>
        <w:rPr>
          <w:rFonts w:hint="cs"/>
          <w:rtl/>
        </w:rPr>
        <w:t>ِ</w:t>
      </w:r>
      <w:r w:rsidR="00E548E6">
        <w:rPr>
          <w:rFonts w:hint="cs"/>
          <w:rtl/>
        </w:rPr>
        <w:t>ر</w:t>
      </w:r>
      <w:r w:rsidR="006F79CE">
        <w:rPr>
          <w:rFonts w:hint="cs"/>
          <w:rtl/>
        </w:rPr>
        <w:t xml:space="preserve"> مشروعات مثل </w:t>
      </w:r>
      <w:proofErr w:type="spellStart"/>
      <w:r w:rsidR="006F79CE">
        <w:rPr>
          <w:rFonts w:hint="cs"/>
          <w:rtl/>
        </w:rPr>
        <w:t>سيتيما</w:t>
      </w:r>
      <w:proofErr w:type="spellEnd"/>
      <w:r w:rsidR="006F79CE">
        <w:rPr>
          <w:rFonts w:hint="cs"/>
          <w:rtl/>
        </w:rPr>
        <w:t xml:space="preserve"> كيف يمكن </w:t>
      </w:r>
      <w:r>
        <w:rPr>
          <w:rFonts w:hint="cs"/>
          <w:rtl/>
        </w:rPr>
        <w:t>للتحول الرقمي أن ي</w:t>
      </w:r>
      <w:r w:rsidR="006F79CE">
        <w:rPr>
          <w:rFonts w:hint="cs"/>
          <w:rtl/>
        </w:rPr>
        <w:t>نهض بالتراث الثقافي و</w:t>
      </w:r>
      <w:r>
        <w:rPr>
          <w:rFonts w:hint="cs"/>
          <w:rtl/>
        </w:rPr>
        <w:t>ي</w:t>
      </w:r>
      <w:r w:rsidR="006F79CE">
        <w:rPr>
          <w:rFonts w:hint="cs"/>
          <w:rtl/>
        </w:rPr>
        <w:t xml:space="preserve">دعم صغار </w:t>
      </w:r>
      <w:r>
        <w:rPr>
          <w:rFonts w:hint="cs"/>
          <w:rtl/>
        </w:rPr>
        <w:t>صانعي</w:t>
      </w:r>
      <w:r w:rsidR="006F79CE">
        <w:rPr>
          <w:rFonts w:hint="cs"/>
          <w:rtl/>
        </w:rPr>
        <w:t xml:space="preserve"> الأفلام.</w:t>
      </w:r>
    </w:p>
    <w:p w:rsidR="006F79CE" w:rsidRPr="00AB4AF9" w:rsidRDefault="00AB4AF9" w:rsidP="00BF1298">
      <w:pPr>
        <w:pStyle w:val="Heading1"/>
        <w:rPr>
          <w:rtl/>
        </w:rPr>
      </w:pPr>
      <w:r w:rsidRPr="00AB4AF9">
        <w:rPr>
          <w:rFonts w:hint="cs"/>
          <w:rtl/>
        </w:rPr>
        <w:t>ثالثا</w:t>
      </w:r>
      <w:r w:rsidR="006F79CE" w:rsidRPr="00AB4AF9">
        <w:rPr>
          <w:rFonts w:hint="cs"/>
          <w:rtl/>
        </w:rPr>
        <w:tab/>
      </w:r>
      <w:r w:rsidR="002362F3" w:rsidRPr="00AB4AF9">
        <w:rPr>
          <w:rFonts w:hint="cs"/>
          <w:rtl/>
        </w:rPr>
        <w:t>البث</w:t>
      </w:r>
    </w:p>
    <w:p w:rsidR="00EC45F5" w:rsidRPr="00DC6295" w:rsidRDefault="00EC45F5" w:rsidP="00BF1298">
      <w:pPr>
        <w:pStyle w:val="Heading3"/>
        <w:rPr>
          <w:rtl/>
        </w:rPr>
      </w:pPr>
      <w:r w:rsidRPr="00DC6295">
        <w:rPr>
          <w:rFonts w:hint="cs"/>
          <w:rtl/>
        </w:rPr>
        <w:t>لمحة عامة</w:t>
      </w:r>
    </w:p>
    <w:p w:rsidR="006F79CE" w:rsidRDefault="002362F3" w:rsidP="005479B0">
      <w:pPr>
        <w:pStyle w:val="NormalParaAR"/>
        <w:rPr>
          <w:rtl/>
        </w:rPr>
      </w:pPr>
      <w:r>
        <w:rPr>
          <w:rFonts w:hint="cs"/>
          <w:rtl/>
        </w:rPr>
        <w:t xml:space="preserve">ساحة </w:t>
      </w:r>
      <w:r w:rsidRPr="002362F3">
        <w:rPr>
          <w:rtl/>
        </w:rPr>
        <w:t>البث التليفزيوني</w:t>
      </w:r>
      <w:r>
        <w:rPr>
          <w:rFonts w:hint="cs"/>
          <w:rtl/>
        </w:rPr>
        <w:t xml:space="preserve"> ملتبسة</w:t>
      </w:r>
      <w:r w:rsidR="005479B0">
        <w:rPr>
          <w:rFonts w:hint="cs"/>
          <w:rtl/>
        </w:rPr>
        <w:t>،</w:t>
      </w:r>
      <w:r>
        <w:rPr>
          <w:rFonts w:hint="cs"/>
          <w:rtl/>
        </w:rPr>
        <w:t xml:space="preserve"> بسبب تراجع </w:t>
      </w:r>
      <w:r w:rsidRPr="00AB4AF9">
        <w:rPr>
          <w:rFonts w:hint="cs"/>
          <w:rtl/>
        </w:rPr>
        <w:t>الخدمات التناظرية</w:t>
      </w:r>
      <w:r w:rsidR="005479B0">
        <w:rPr>
          <w:rFonts w:hint="cs"/>
          <w:rtl/>
        </w:rPr>
        <w:t>،</w:t>
      </w:r>
      <w:r>
        <w:rPr>
          <w:rFonts w:hint="cs"/>
          <w:rtl/>
        </w:rPr>
        <w:t xml:space="preserve"> وتنامي الخدمات الرقمية لخدمات الإنترنت، مما </w:t>
      </w:r>
      <w:r w:rsidR="00671386">
        <w:rPr>
          <w:rFonts w:hint="cs"/>
          <w:rtl/>
        </w:rPr>
        <w:t>س</w:t>
      </w:r>
      <w:r>
        <w:rPr>
          <w:rFonts w:hint="cs"/>
          <w:rtl/>
        </w:rPr>
        <w:t xml:space="preserve">يزيد </w:t>
      </w:r>
      <w:r w:rsidR="00671386">
        <w:rPr>
          <w:rFonts w:hint="cs"/>
          <w:rtl/>
        </w:rPr>
        <w:t xml:space="preserve">من </w:t>
      </w:r>
      <w:r>
        <w:rPr>
          <w:rFonts w:hint="cs"/>
          <w:rtl/>
        </w:rPr>
        <w:t xml:space="preserve">المنافسة </w:t>
      </w:r>
      <w:r w:rsidR="00671386">
        <w:rPr>
          <w:rFonts w:hint="cs"/>
          <w:rtl/>
        </w:rPr>
        <w:t xml:space="preserve">على إيرادات الإعلان </w:t>
      </w:r>
      <w:r w:rsidR="00E7076C">
        <w:rPr>
          <w:rFonts w:hint="cs"/>
          <w:rtl/>
        </w:rPr>
        <w:t>وعلى الجماهير المستهدفة</w:t>
      </w:r>
      <w:r>
        <w:rPr>
          <w:rFonts w:hint="cs"/>
          <w:rtl/>
        </w:rPr>
        <w:t xml:space="preserve"> </w:t>
      </w:r>
      <w:r w:rsidR="00E7076C">
        <w:rPr>
          <w:rFonts w:hint="cs"/>
          <w:rtl/>
        </w:rPr>
        <w:t xml:space="preserve">من </w:t>
      </w:r>
      <w:r>
        <w:rPr>
          <w:rFonts w:hint="cs"/>
          <w:rtl/>
        </w:rPr>
        <w:t xml:space="preserve">البث التجاري. </w:t>
      </w:r>
      <w:r w:rsidR="00735174">
        <w:rPr>
          <w:rFonts w:hint="cs"/>
          <w:rtl/>
        </w:rPr>
        <w:t>والنمو ضعيف في البلدان المتقدمة و</w:t>
      </w:r>
      <w:r w:rsidR="005479B0">
        <w:rPr>
          <w:rFonts w:hint="cs"/>
          <w:rtl/>
        </w:rPr>
        <w:t xml:space="preserve">لكنه </w:t>
      </w:r>
      <w:r w:rsidR="00735174">
        <w:rPr>
          <w:rFonts w:hint="cs"/>
          <w:rtl/>
        </w:rPr>
        <w:t>أقوى في البلدان النامية. ويشهد الراديو اتجاهات مماثلة.</w:t>
      </w:r>
      <w:r w:rsidR="00671386">
        <w:rPr>
          <w:rFonts w:hint="cs"/>
          <w:rtl/>
        </w:rPr>
        <w:t xml:space="preserve"> </w:t>
      </w:r>
    </w:p>
    <w:p w:rsidR="00EC45F5" w:rsidRDefault="00EC45F5" w:rsidP="00BF1298">
      <w:pPr>
        <w:pStyle w:val="Heading3"/>
        <w:rPr>
          <w:rtl/>
        </w:rPr>
      </w:pPr>
      <w:r>
        <w:rPr>
          <w:rFonts w:hint="cs"/>
          <w:rtl/>
        </w:rPr>
        <w:t>حجم السوق ونمو</w:t>
      </w:r>
      <w:r w:rsidR="00AB4AF9">
        <w:rPr>
          <w:rFonts w:hint="cs"/>
          <w:rtl/>
        </w:rPr>
        <w:t>ه</w:t>
      </w:r>
    </w:p>
    <w:p w:rsidR="00EC45F5" w:rsidRDefault="00735174" w:rsidP="004F46B9">
      <w:pPr>
        <w:pStyle w:val="NormalParaAR"/>
        <w:keepNext/>
        <w:rPr>
          <w:rtl/>
        </w:rPr>
      </w:pPr>
      <w:r>
        <w:rPr>
          <w:rFonts w:hint="cs"/>
          <w:rtl/>
        </w:rPr>
        <w:t>بلغ إجمالي إيرادات التليفزيو</w:t>
      </w:r>
      <w:r w:rsidR="00050F88">
        <w:rPr>
          <w:rFonts w:hint="cs"/>
          <w:rtl/>
        </w:rPr>
        <w:t>ن</w:t>
      </w:r>
      <w:r>
        <w:rPr>
          <w:rFonts w:hint="cs"/>
          <w:rtl/>
        </w:rPr>
        <w:t xml:space="preserve"> </w:t>
      </w:r>
      <w:r w:rsidR="004F46B9">
        <w:rPr>
          <w:rFonts w:hint="cs"/>
          <w:rtl/>
        </w:rPr>
        <w:t>مدفوعة الأجر</w:t>
      </w:r>
      <w:r w:rsidR="00050F88">
        <w:rPr>
          <w:rFonts w:hint="cs"/>
          <w:rtl/>
        </w:rPr>
        <w:t xml:space="preserve"> (</w:t>
      </w:r>
      <w:r w:rsidR="004F46B9">
        <w:rPr>
          <w:rFonts w:hint="cs"/>
          <w:rtl/>
        </w:rPr>
        <w:t>وتشمل</w:t>
      </w:r>
      <w:r w:rsidR="00050F88">
        <w:rPr>
          <w:rFonts w:hint="cs"/>
          <w:rtl/>
        </w:rPr>
        <w:t xml:space="preserve"> </w:t>
      </w:r>
      <w:r w:rsidR="005479B0">
        <w:rPr>
          <w:rFonts w:hint="cs"/>
          <w:rtl/>
        </w:rPr>
        <w:t>الأقمار الصناعية</w:t>
      </w:r>
      <w:r w:rsidR="00050F88">
        <w:rPr>
          <w:rFonts w:hint="cs"/>
          <w:rtl/>
        </w:rPr>
        <w:t xml:space="preserve"> والكابل) 1</w:t>
      </w:r>
      <w:r w:rsidR="005479B0">
        <w:rPr>
          <w:rFonts w:hint="cs"/>
          <w:rtl/>
        </w:rPr>
        <w:t xml:space="preserve">83 مليار دولار أمريكي في 2012، كما </w:t>
      </w:r>
      <w:r w:rsidR="00050F88">
        <w:rPr>
          <w:rFonts w:hint="cs"/>
          <w:rtl/>
        </w:rPr>
        <w:t>ارتفع عدد المشتركين بنسبة 32% من</w:t>
      </w:r>
      <w:r w:rsidR="00E548E6">
        <w:rPr>
          <w:rFonts w:hint="cs"/>
          <w:rtl/>
        </w:rPr>
        <w:t>ذ</w:t>
      </w:r>
      <w:r w:rsidR="00050F88">
        <w:rPr>
          <w:rFonts w:hint="cs"/>
          <w:rtl/>
        </w:rPr>
        <w:t xml:space="preserve"> 2008. ويأتي النمو من البلدان النامية</w:t>
      </w:r>
      <w:r w:rsidR="005479B0">
        <w:rPr>
          <w:rFonts w:hint="cs"/>
          <w:rtl/>
        </w:rPr>
        <w:t>،</w:t>
      </w:r>
      <w:r w:rsidR="00050F88">
        <w:rPr>
          <w:rFonts w:hint="cs"/>
          <w:rtl/>
        </w:rPr>
        <w:t xml:space="preserve"> وفيها تستخدم 34% من الأسر المعيشية </w:t>
      </w:r>
      <w:r w:rsidR="00050F88">
        <w:rPr>
          <w:rFonts w:hint="cs"/>
          <w:rtl/>
        </w:rPr>
        <w:lastRenderedPageBreak/>
        <w:t xml:space="preserve">التليفزيون </w:t>
      </w:r>
      <w:r w:rsidR="004F46B9">
        <w:rPr>
          <w:rFonts w:hint="cs"/>
          <w:rtl/>
        </w:rPr>
        <w:t xml:space="preserve">المدفوع الأجر </w:t>
      </w:r>
      <w:r w:rsidR="007F74C2">
        <w:rPr>
          <w:rStyle w:val="FootnoteReference"/>
          <w:rtl/>
        </w:rPr>
        <w:footnoteReference w:id="11"/>
      </w:r>
      <w:r w:rsidR="00050F88">
        <w:rPr>
          <w:rFonts w:hint="cs"/>
          <w:rtl/>
        </w:rPr>
        <w:t xml:space="preserve">. </w:t>
      </w:r>
      <w:r w:rsidR="004F46B9">
        <w:rPr>
          <w:rFonts w:hint="cs"/>
          <w:rtl/>
        </w:rPr>
        <w:t>وفي حين</w:t>
      </w:r>
      <w:r w:rsidR="00050F88">
        <w:rPr>
          <w:rFonts w:hint="cs"/>
          <w:rtl/>
        </w:rPr>
        <w:t xml:space="preserve"> </w:t>
      </w:r>
      <w:r w:rsidR="004F46B9">
        <w:rPr>
          <w:rFonts w:hint="cs"/>
          <w:rtl/>
        </w:rPr>
        <w:t xml:space="preserve">تزداد </w:t>
      </w:r>
      <w:r w:rsidR="00050F88">
        <w:rPr>
          <w:rFonts w:hint="cs"/>
          <w:rtl/>
        </w:rPr>
        <w:t xml:space="preserve">إيرادات الاشتراك في التليفزيون بنسبة 3.5% سنويا، </w:t>
      </w:r>
      <w:r w:rsidR="004F46B9">
        <w:rPr>
          <w:rFonts w:hint="cs"/>
          <w:rtl/>
        </w:rPr>
        <w:t>يشير الانخفاض في إنفاق الحكومة</w:t>
      </w:r>
      <w:r w:rsidR="00050F88">
        <w:rPr>
          <w:rFonts w:hint="cs"/>
          <w:rtl/>
        </w:rPr>
        <w:t xml:space="preserve"> </w:t>
      </w:r>
      <w:r w:rsidR="00E548E6">
        <w:rPr>
          <w:rFonts w:hint="cs"/>
          <w:rtl/>
        </w:rPr>
        <w:t xml:space="preserve">إلى </w:t>
      </w:r>
      <w:r w:rsidR="00050F88">
        <w:rPr>
          <w:rFonts w:hint="cs"/>
          <w:rtl/>
        </w:rPr>
        <w:t xml:space="preserve">أن </w:t>
      </w:r>
      <w:r w:rsidR="004F46B9">
        <w:rPr>
          <w:rFonts w:hint="cs"/>
          <w:rtl/>
        </w:rPr>
        <w:t>نمو ال</w:t>
      </w:r>
      <w:r w:rsidR="00050F88">
        <w:rPr>
          <w:rFonts w:hint="cs"/>
          <w:rtl/>
        </w:rPr>
        <w:t xml:space="preserve">تمويل </w:t>
      </w:r>
      <w:r w:rsidR="004F46B9">
        <w:rPr>
          <w:rFonts w:hint="cs"/>
          <w:rtl/>
        </w:rPr>
        <w:t xml:space="preserve">في </w:t>
      </w:r>
      <w:r w:rsidR="00050F88">
        <w:rPr>
          <w:rFonts w:hint="cs"/>
          <w:rtl/>
        </w:rPr>
        <w:t xml:space="preserve">البث العام </w:t>
      </w:r>
      <w:r w:rsidR="004F46B9">
        <w:rPr>
          <w:rFonts w:hint="cs"/>
          <w:rtl/>
        </w:rPr>
        <w:t>لا يتعدى</w:t>
      </w:r>
      <w:r w:rsidR="00050F88">
        <w:rPr>
          <w:rFonts w:hint="cs"/>
          <w:rtl/>
        </w:rPr>
        <w:t xml:space="preserve"> 1% سنويا</w:t>
      </w:r>
      <w:r w:rsidR="00CE5F50">
        <w:rPr>
          <w:rStyle w:val="FootnoteReference"/>
          <w:rtl/>
        </w:rPr>
        <w:footnoteReference w:id="12"/>
      </w:r>
      <w:r w:rsidR="00050F88">
        <w:rPr>
          <w:rFonts w:hint="cs"/>
          <w:rtl/>
        </w:rPr>
        <w:t>.</w:t>
      </w:r>
    </w:p>
    <w:p w:rsidR="00050F88" w:rsidRDefault="00050F88" w:rsidP="004F46B9">
      <w:pPr>
        <w:pStyle w:val="NormalParaAR"/>
        <w:rPr>
          <w:rtl/>
        </w:rPr>
      </w:pPr>
      <w:r>
        <w:rPr>
          <w:rFonts w:hint="cs"/>
          <w:rtl/>
        </w:rPr>
        <w:t>وتملك معظم الأسر المعيشية تليفزيون</w:t>
      </w:r>
      <w:r w:rsidR="00E548E6">
        <w:rPr>
          <w:rFonts w:hint="cs"/>
          <w:rtl/>
        </w:rPr>
        <w:t>ا</w:t>
      </w:r>
      <w:r>
        <w:rPr>
          <w:rFonts w:hint="cs"/>
          <w:rtl/>
        </w:rPr>
        <w:t xml:space="preserve"> بنسبة 79% في البلدان المتقدمة و72% في البلدان النامية. </w:t>
      </w:r>
      <w:r w:rsidR="00E548E6">
        <w:rPr>
          <w:rFonts w:hint="cs"/>
          <w:rtl/>
        </w:rPr>
        <w:t>وشهدت</w:t>
      </w:r>
      <w:r>
        <w:rPr>
          <w:rFonts w:hint="cs"/>
          <w:rtl/>
        </w:rPr>
        <w:t xml:space="preserve"> أفريقيا أعلى معدلات </w:t>
      </w:r>
      <w:r w:rsidR="004F46B9">
        <w:rPr>
          <w:rFonts w:hint="cs"/>
          <w:rtl/>
        </w:rPr>
        <w:t>ل</w:t>
      </w:r>
      <w:r>
        <w:rPr>
          <w:rFonts w:hint="cs"/>
          <w:rtl/>
        </w:rPr>
        <w:t>لنمو في حيازة التليفزيون، وسجلت نموا قدره 18% بين 2008 و</w:t>
      </w:r>
      <w:r w:rsidR="004F46B9">
        <w:rPr>
          <w:rFonts w:hint="cs"/>
          <w:rtl/>
        </w:rPr>
        <w:t>2012</w:t>
      </w:r>
      <w:r w:rsidR="008D3313">
        <w:rPr>
          <w:rStyle w:val="FootnoteReference"/>
          <w:rtl/>
        </w:rPr>
        <w:footnoteReference w:id="13"/>
      </w:r>
      <w:r>
        <w:rPr>
          <w:rFonts w:hint="cs"/>
          <w:rtl/>
        </w:rPr>
        <w:t>. و</w:t>
      </w:r>
      <w:r w:rsidR="004F46B9">
        <w:rPr>
          <w:rFonts w:hint="cs"/>
          <w:rtl/>
        </w:rPr>
        <w:t xml:space="preserve">من المتوقع </w:t>
      </w:r>
      <w:r>
        <w:rPr>
          <w:rFonts w:hint="cs"/>
          <w:rtl/>
        </w:rPr>
        <w:t xml:space="preserve">أن يبلغ إجمالي </w:t>
      </w:r>
      <w:r w:rsidR="004F46B9">
        <w:rPr>
          <w:rFonts w:hint="cs"/>
          <w:rtl/>
        </w:rPr>
        <w:t>ال</w:t>
      </w:r>
      <w:r>
        <w:rPr>
          <w:rFonts w:hint="cs"/>
          <w:rtl/>
        </w:rPr>
        <w:t xml:space="preserve">إيرادات </w:t>
      </w:r>
      <w:r w:rsidR="004F46B9">
        <w:rPr>
          <w:rFonts w:hint="cs"/>
          <w:rtl/>
        </w:rPr>
        <w:t xml:space="preserve">من </w:t>
      </w:r>
      <w:r>
        <w:rPr>
          <w:rFonts w:hint="cs"/>
          <w:rtl/>
        </w:rPr>
        <w:t>الإعلانات التليفزيونية 7 مليارات دولار أمريكي في</w:t>
      </w:r>
      <w:r w:rsidR="004F46B9">
        <w:rPr>
          <w:rFonts w:hint="cs"/>
          <w:rtl/>
        </w:rPr>
        <w:t xml:space="preserve"> 2016</w:t>
      </w:r>
      <w:r w:rsidR="008D3313">
        <w:rPr>
          <w:rStyle w:val="FootnoteReference"/>
          <w:rtl/>
        </w:rPr>
        <w:footnoteReference w:id="14"/>
      </w:r>
      <w:r>
        <w:rPr>
          <w:rFonts w:hint="cs"/>
          <w:rtl/>
        </w:rPr>
        <w:t xml:space="preserve">. </w:t>
      </w:r>
      <w:r w:rsidR="00E548E6">
        <w:rPr>
          <w:rFonts w:hint="cs"/>
          <w:rtl/>
        </w:rPr>
        <w:t xml:space="preserve">كما </w:t>
      </w:r>
      <w:r>
        <w:rPr>
          <w:rFonts w:hint="cs"/>
          <w:rtl/>
        </w:rPr>
        <w:t>تنمو الإعلانات التليفزيونية على الإنترنت</w:t>
      </w:r>
      <w:r w:rsidR="009E1666">
        <w:rPr>
          <w:rStyle w:val="FootnoteReference"/>
          <w:rtl/>
        </w:rPr>
        <w:footnoteReference w:id="15"/>
      </w:r>
      <w:r>
        <w:rPr>
          <w:rFonts w:hint="cs"/>
          <w:rtl/>
        </w:rPr>
        <w:t xml:space="preserve"> بنسبة 20% سنويا</w:t>
      </w:r>
      <w:r w:rsidR="009E1666">
        <w:rPr>
          <w:rStyle w:val="FootnoteReference"/>
          <w:rtl/>
        </w:rPr>
        <w:footnoteReference w:id="16"/>
      </w:r>
      <w:r>
        <w:rPr>
          <w:rFonts w:hint="cs"/>
          <w:rtl/>
        </w:rPr>
        <w:t>. ومن ال</w:t>
      </w:r>
      <w:r w:rsidR="00E548E6">
        <w:rPr>
          <w:rFonts w:hint="cs"/>
          <w:rtl/>
        </w:rPr>
        <w:t>م</w:t>
      </w:r>
      <w:r>
        <w:rPr>
          <w:rFonts w:hint="cs"/>
          <w:rtl/>
        </w:rPr>
        <w:t xml:space="preserve">توقع أن تساهم البرازيل والهند والصين بنسبة 23% </w:t>
      </w:r>
      <w:r w:rsidR="004F46B9">
        <w:rPr>
          <w:rFonts w:hint="cs"/>
          <w:rtl/>
        </w:rPr>
        <w:t>من</w:t>
      </w:r>
      <w:r>
        <w:rPr>
          <w:rFonts w:hint="cs"/>
          <w:rtl/>
        </w:rPr>
        <w:t xml:space="preserve"> </w:t>
      </w:r>
      <w:r w:rsidR="004F46B9">
        <w:rPr>
          <w:rFonts w:hint="cs"/>
          <w:rtl/>
        </w:rPr>
        <w:t>ال</w:t>
      </w:r>
      <w:r>
        <w:rPr>
          <w:rFonts w:hint="cs"/>
          <w:rtl/>
        </w:rPr>
        <w:t xml:space="preserve">نمو </w:t>
      </w:r>
      <w:r w:rsidR="004F46B9">
        <w:rPr>
          <w:rFonts w:hint="cs"/>
          <w:rtl/>
        </w:rPr>
        <w:t>في ال</w:t>
      </w:r>
      <w:r>
        <w:rPr>
          <w:rFonts w:hint="cs"/>
          <w:rtl/>
        </w:rPr>
        <w:t xml:space="preserve">إيرادات </w:t>
      </w:r>
      <w:r w:rsidR="004F46B9">
        <w:rPr>
          <w:rFonts w:hint="cs"/>
          <w:rtl/>
        </w:rPr>
        <w:t xml:space="preserve">من </w:t>
      </w:r>
      <w:r>
        <w:rPr>
          <w:rFonts w:hint="cs"/>
          <w:rtl/>
        </w:rPr>
        <w:t xml:space="preserve">الإعلانات التليفزيونية في </w:t>
      </w:r>
      <w:r w:rsidR="004F46B9">
        <w:rPr>
          <w:rFonts w:hint="cs"/>
          <w:rtl/>
        </w:rPr>
        <w:t>ال</w:t>
      </w:r>
      <w:r>
        <w:rPr>
          <w:rFonts w:hint="cs"/>
          <w:rtl/>
        </w:rPr>
        <w:t xml:space="preserve">سنوات </w:t>
      </w:r>
      <w:r w:rsidR="004F46B9">
        <w:rPr>
          <w:rFonts w:hint="cs"/>
          <w:rtl/>
        </w:rPr>
        <w:t xml:space="preserve">الخمس </w:t>
      </w:r>
      <w:r w:rsidR="009E1666">
        <w:rPr>
          <w:rFonts w:hint="cs"/>
          <w:rtl/>
        </w:rPr>
        <w:t>المقبلة</w:t>
      </w:r>
      <w:r w:rsidR="009E1666">
        <w:rPr>
          <w:rStyle w:val="FootnoteReference"/>
          <w:rtl/>
        </w:rPr>
        <w:footnoteReference w:id="17"/>
      </w:r>
      <w:r>
        <w:rPr>
          <w:rFonts w:hint="cs"/>
          <w:rtl/>
        </w:rPr>
        <w:t>.</w:t>
      </w:r>
    </w:p>
    <w:p w:rsidR="00EC45F5" w:rsidRDefault="00671386" w:rsidP="00BF1298">
      <w:pPr>
        <w:pStyle w:val="Heading3"/>
        <w:rPr>
          <w:rtl/>
        </w:rPr>
      </w:pPr>
      <w:r>
        <w:rPr>
          <w:rFonts w:hint="cs"/>
          <w:rtl/>
        </w:rPr>
        <w:t>التحول</w:t>
      </w:r>
      <w:r w:rsidR="00050F88">
        <w:rPr>
          <w:rFonts w:hint="cs"/>
          <w:rtl/>
        </w:rPr>
        <w:t xml:space="preserve"> </w:t>
      </w:r>
      <w:r w:rsidR="00EC45F5">
        <w:rPr>
          <w:rFonts w:hint="cs"/>
          <w:rtl/>
        </w:rPr>
        <w:t>الرقمي</w:t>
      </w:r>
    </w:p>
    <w:p w:rsidR="00EC45F5" w:rsidRDefault="000574F5" w:rsidP="004C1C6E">
      <w:pPr>
        <w:pStyle w:val="NormalParaAR"/>
        <w:rPr>
          <w:rtl/>
        </w:rPr>
      </w:pPr>
      <w:r>
        <w:rPr>
          <w:rFonts w:hint="cs"/>
          <w:rtl/>
        </w:rPr>
        <w:t>غيّرت</w:t>
      </w:r>
      <w:r w:rsidR="001D6001" w:rsidRPr="001D6001">
        <w:rPr>
          <w:rFonts w:hint="cs"/>
          <w:rtl/>
        </w:rPr>
        <w:t xml:space="preserve"> التكنولوجيا</w:t>
      </w:r>
      <w:r w:rsidR="005E4E6D">
        <w:rPr>
          <w:rFonts w:hint="cs"/>
          <w:rtl/>
        </w:rPr>
        <w:t>ت</w:t>
      </w:r>
      <w:r w:rsidR="001D6001" w:rsidRPr="001D6001">
        <w:rPr>
          <w:rFonts w:hint="cs"/>
          <w:rtl/>
        </w:rPr>
        <w:t xml:space="preserve"> الجديدة</w:t>
      </w:r>
      <w:r w:rsidR="001D6001">
        <w:rPr>
          <w:rFonts w:hint="cs"/>
          <w:rtl/>
        </w:rPr>
        <w:t>، وتشمل ت</w:t>
      </w:r>
      <w:r w:rsidR="005E4E6D">
        <w:rPr>
          <w:rFonts w:hint="cs"/>
          <w:rtl/>
        </w:rPr>
        <w:t>س</w:t>
      </w:r>
      <w:r w:rsidR="001D6001">
        <w:rPr>
          <w:rFonts w:hint="cs"/>
          <w:rtl/>
        </w:rPr>
        <w:t xml:space="preserve">جيلات الفيديو الرقمية، والبث التدفقي على الإنترنت، </w:t>
      </w:r>
      <w:r w:rsidR="005E4E6D">
        <w:rPr>
          <w:rFonts w:hint="cs"/>
          <w:rtl/>
        </w:rPr>
        <w:t>والفاعلين في</w:t>
      </w:r>
      <w:r w:rsidR="001D6001">
        <w:rPr>
          <w:rFonts w:hint="cs"/>
          <w:rtl/>
        </w:rPr>
        <w:t xml:space="preserve"> الإعلام الرقمي، </w:t>
      </w:r>
      <w:r w:rsidR="004C1C6E">
        <w:rPr>
          <w:rFonts w:hint="cs"/>
          <w:rtl/>
        </w:rPr>
        <w:t xml:space="preserve">من </w:t>
      </w:r>
      <w:r w:rsidR="005E4E6D">
        <w:rPr>
          <w:rFonts w:hint="cs"/>
          <w:rtl/>
        </w:rPr>
        <w:t xml:space="preserve">شكل </w:t>
      </w:r>
      <w:r w:rsidR="001D6001">
        <w:rPr>
          <w:rFonts w:hint="cs"/>
          <w:rtl/>
        </w:rPr>
        <w:t xml:space="preserve">البث. </w:t>
      </w:r>
      <w:r w:rsidR="005E4E6D">
        <w:rPr>
          <w:rFonts w:hint="cs"/>
          <w:rtl/>
        </w:rPr>
        <w:t>ويقلل</w:t>
      </w:r>
      <w:r w:rsidR="001D6001">
        <w:rPr>
          <w:rFonts w:hint="cs"/>
          <w:rtl/>
        </w:rPr>
        <w:t xml:space="preserve"> </w:t>
      </w:r>
      <w:r w:rsidR="005E4E6D">
        <w:rPr>
          <w:rFonts w:hint="cs"/>
          <w:rtl/>
        </w:rPr>
        <w:t>البث</w:t>
      </w:r>
      <w:r w:rsidR="001F27DB">
        <w:rPr>
          <w:rFonts w:hint="cs"/>
          <w:rtl/>
        </w:rPr>
        <w:t>ُ</w:t>
      </w:r>
      <w:r w:rsidR="001D6001">
        <w:rPr>
          <w:rFonts w:hint="cs"/>
          <w:rtl/>
        </w:rPr>
        <w:t xml:space="preserve"> </w:t>
      </w:r>
      <w:r w:rsidR="005E4E6D">
        <w:rPr>
          <w:rFonts w:hint="cs"/>
          <w:rtl/>
        </w:rPr>
        <w:t xml:space="preserve">على الإنترنت </w:t>
      </w:r>
      <w:r w:rsidR="001D6001">
        <w:rPr>
          <w:rFonts w:hint="cs"/>
          <w:rtl/>
        </w:rPr>
        <w:t>من اعتماد ال</w:t>
      </w:r>
      <w:r w:rsidR="00DB6BCD">
        <w:rPr>
          <w:rFonts w:hint="cs"/>
          <w:rtl/>
        </w:rPr>
        <w:t>قطاع</w:t>
      </w:r>
      <w:r w:rsidR="001D6001">
        <w:rPr>
          <w:rFonts w:hint="cs"/>
          <w:rtl/>
        </w:rPr>
        <w:t xml:space="preserve"> على الكابل أو </w:t>
      </w:r>
      <w:r w:rsidR="005E4E6D">
        <w:rPr>
          <w:rFonts w:hint="cs"/>
          <w:rtl/>
        </w:rPr>
        <w:t>الأقمار الصناعية</w:t>
      </w:r>
      <w:r w:rsidR="001F27DB">
        <w:rPr>
          <w:rFonts w:hint="cs"/>
          <w:rtl/>
        </w:rPr>
        <w:t>. وتتواكب زيادةُ</w:t>
      </w:r>
      <w:r w:rsidR="001D6001">
        <w:rPr>
          <w:rFonts w:hint="cs"/>
          <w:rtl/>
        </w:rPr>
        <w:t xml:space="preserve"> منافذ </w:t>
      </w:r>
      <w:r w:rsidR="001F27DB">
        <w:rPr>
          <w:rFonts w:hint="cs"/>
          <w:rtl/>
        </w:rPr>
        <w:t>البث مع المنافسة</w:t>
      </w:r>
      <w:r w:rsidR="001D6001">
        <w:rPr>
          <w:rFonts w:hint="cs"/>
          <w:rtl/>
        </w:rPr>
        <w:t xml:space="preserve"> </w:t>
      </w:r>
      <w:r w:rsidR="001F27DB">
        <w:rPr>
          <w:rFonts w:hint="cs"/>
          <w:rtl/>
        </w:rPr>
        <w:t xml:space="preserve">على اكتساب الجماهير، إذ </w:t>
      </w:r>
      <w:r w:rsidR="001D6001">
        <w:rPr>
          <w:rFonts w:hint="cs"/>
          <w:rtl/>
        </w:rPr>
        <w:t>ينضم وافدون جدد إلى السوق،</w:t>
      </w:r>
      <w:r w:rsidR="005471D9">
        <w:rPr>
          <w:rFonts w:hint="cs"/>
          <w:rtl/>
        </w:rPr>
        <w:t xml:space="preserve"> </w:t>
      </w:r>
      <w:r w:rsidR="004C1C6E">
        <w:rPr>
          <w:rFonts w:hint="cs"/>
          <w:rtl/>
        </w:rPr>
        <w:t>ويتحرر المشاهدون شيئا فشيئا من قيود جدول البث الثابت</w:t>
      </w:r>
      <w:r w:rsidR="005471D9">
        <w:rPr>
          <w:rFonts w:hint="cs"/>
          <w:rtl/>
        </w:rPr>
        <w:t xml:space="preserve"> </w:t>
      </w:r>
    </w:p>
    <w:p w:rsidR="005471D9" w:rsidRDefault="005471D9" w:rsidP="00B3445E">
      <w:pPr>
        <w:pStyle w:val="NormalParaAR"/>
        <w:rPr>
          <w:rtl/>
        </w:rPr>
      </w:pPr>
      <w:r>
        <w:rPr>
          <w:rFonts w:hint="cs"/>
          <w:rtl/>
        </w:rPr>
        <w:t xml:space="preserve">ولاتزال سلسلة القيمة </w:t>
      </w:r>
      <w:r w:rsidR="004C1C6E">
        <w:rPr>
          <w:rFonts w:hint="cs"/>
          <w:rtl/>
        </w:rPr>
        <w:t>الأساسية</w:t>
      </w:r>
      <w:r>
        <w:rPr>
          <w:rFonts w:hint="cs"/>
          <w:rtl/>
        </w:rPr>
        <w:t xml:space="preserve"> </w:t>
      </w:r>
      <w:r w:rsidR="004C1C6E">
        <w:rPr>
          <w:rFonts w:hint="cs"/>
          <w:rtl/>
        </w:rPr>
        <w:t>في قطاع البث قائمة، لأن الإ</w:t>
      </w:r>
      <w:r>
        <w:rPr>
          <w:rFonts w:hint="cs"/>
          <w:rtl/>
        </w:rPr>
        <w:t>نتاج والبرمجة والتوزيع لاتزال</w:t>
      </w:r>
      <w:r w:rsidR="00B3445E">
        <w:rPr>
          <w:rFonts w:hint="cs"/>
          <w:rtl/>
        </w:rPr>
        <w:t xml:space="preserve"> كلها أنشطة رئيسية و</w:t>
      </w:r>
      <w:r>
        <w:rPr>
          <w:rFonts w:hint="cs"/>
          <w:rtl/>
        </w:rPr>
        <w:t xml:space="preserve">تدر الإعلانات والاشتراكات إيرادات </w:t>
      </w:r>
      <w:r w:rsidR="004C1C6E">
        <w:rPr>
          <w:rFonts w:hint="cs"/>
          <w:rtl/>
        </w:rPr>
        <w:t>ضخمة</w:t>
      </w:r>
      <w:r>
        <w:rPr>
          <w:rFonts w:hint="cs"/>
          <w:rtl/>
        </w:rPr>
        <w:t xml:space="preserve"> ل</w:t>
      </w:r>
      <w:r w:rsidR="004C1C6E">
        <w:rPr>
          <w:rFonts w:hint="cs"/>
          <w:rtl/>
        </w:rPr>
        <w:t xml:space="preserve">صالح </w:t>
      </w:r>
      <w:r>
        <w:rPr>
          <w:rFonts w:hint="cs"/>
          <w:rtl/>
        </w:rPr>
        <w:t>شركات البث التجاري.</w:t>
      </w:r>
    </w:p>
    <w:p w:rsidR="00EC45F5" w:rsidRDefault="00EC45F5" w:rsidP="00BF1298">
      <w:pPr>
        <w:pStyle w:val="Heading3"/>
        <w:rPr>
          <w:rtl/>
        </w:rPr>
      </w:pPr>
      <w:r w:rsidRPr="00EC45F5">
        <w:rPr>
          <w:rFonts w:hint="cs"/>
          <w:rtl/>
        </w:rPr>
        <w:t>الراديو</w:t>
      </w:r>
    </w:p>
    <w:p w:rsidR="00EC45F5" w:rsidRDefault="0061449F" w:rsidP="004C1C6E">
      <w:pPr>
        <w:pStyle w:val="NormalParaAR"/>
        <w:rPr>
          <w:rtl/>
        </w:rPr>
      </w:pPr>
      <w:r>
        <w:rPr>
          <w:rFonts w:hint="cs"/>
          <w:rtl/>
        </w:rPr>
        <w:t xml:space="preserve">يشهد سوق </w:t>
      </w:r>
      <w:r w:rsidR="00B3445E">
        <w:rPr>
          <w:rFonts w:hint="cs"/>
          <w:rtl/>
        </w:rPr>
        <w:t>ال</w:t>
      </w:r>
      <w:r>
        <w:rPr>
          <w:rFonts w:hint="cs"/>
          <w:rtl/>
        </w:rPr>
        <w:t>بث الإذاعي، شأنه شأن التليفزيون، تغيرات في الإعلانات و</w:t>
      </w:r>
      <w:r w:rsidR="004C1C6E">
        <w:rPr>
          <w:rFonts w:hint="cs"/>
          <w:rtl/>
        </w:rPr>
        <w:t>في الوسائط</w:t>
      </w:r>
      <w:r>
        <w:rPr>
          <w:rFonts w:hint="cs"/>
          <w:rtl/>
        </w:rPr>
        <w:t xml:space="preserve"> الجديدة مثل </w:t>
      </w:r>
      <w:r w:rsidRPr="004C1C6E">
        <w:rPr>
          <w:rFonts w:hint="cs"/>
          <w:rtl/>
        </w:rPr>
        <w:t>ق</w:t>
      </w:r>
      <w:r w:rsidR="00C905C6" w:rsidRPr="004C1C6E">
        <w:rPr>
          <w:rFonts w:hint="cs"/>
          <w:rtl/>
        </w:rPr>
        <w:t>نوات الراديو الم</w:t>
      </w:r>
      <w:r w:rsidRPr="004C1C6E">
        <w:rPr>
          <w:rFonts w:hint="cs"/>
          <w:rtl/>
        </w:rPr>
        <w:t>ميزة،</w:t>
      </w:r>
      <w:r>
        <w:t xml:space="preserve"> </w:t>
      </w:r>
      <w:r>
        <w:rPr>
          <w:rFonts w:hint="cs"/>
          <w:rtl/>
          <w:lang w:bidi="ar-EG"/>
        </w:rPr>
        <w:t>ومحطات الراديو على الإنترنت، و</w:t>
      </w:r>
      <w:r>
        <w:rPr>
          <w:rStyle w:val="preferred"/>
          <w:rtl/>
        </w:rPr>
        <w:t>ملف</w:t>
      </w:r>
      <w:r>
        <w:rPr>
          <w:rStyle w:val="preferred"/>
          <w:rFonts w:hint="cs"/>
          <w:rtl/>
        </w:rPr>
        <w:t>ات</w:t>
      </w:r>
      <w:r>
        <w:rPr>
          <w:rStyle w:val="preferred"/>
          <w:rtl/>
        </w:rPr>
        <w:t xml:space="preserve"> </w:t>
      </w:r>
      <w:r>
        <w:rPr>
          <w:rStyle w:val="preferred"/>
          <w:rFonts w:hint="cs"/>
          <w:rtl/>
        </w:rPr>
        <w:t>ا</w:t>
      </w:r>
      <w:r>
        <w:rPr>
          <w:rStyle w:val="preferred"/>
          <w:rtl/>
        </w:rPr>
        <w:t>لبث الرقمي</w:t>
      </w:r>
      <w:r>
        <w:rPr>
          <w:rStyle w:val="preferred"/>
          <w:rFonts w:hint="cs"/>
          <w:rtl/>
        </w:rPr>
        <w:t xml:space="preserve"> (</w:t>
      </w:r>
      <w:r w:rsidR="00FD6640">
        <w:rPr>
          <w:rFonts w:hint="cs"/>
          <w:rtl/>
        </w:rPr>
        <w:t>بود</w:t>
      </w:r>
      <w:r>
        <w:rPr>
          <w:rFonts w:hint="cs"/>
          <w:rtl/>
        </w:rPr>
        <w:t xml:space="preserve">كاست). ويتراجع نفاذ </w:t>
      </w:r>
      <w:r w:rsidR="004C1C6E">
        <w:rPr>
          <w:rFonts w:hint="cs"/>
          <w:rtl/>
        </w:rPr>
        <w:t xml:space="preserve">الراديو </w:t>
      </w:r>
      <w:r>
        <w:rPr>
          <w:rFonts w:hint="cs"/>
          <w:rtl/>
        </w:rPr>
        <w:t xml:space="preserve">إلى </w:t>
      </w:r>
      <w:r w:rsidR="004C1C6E">
        <w:rPr>
          <w:rFonts w:hint="cs"/>
          <w:rtl/>
        </w:rPr>
        <w:t>السوق</w:t>
      </w:r>
      <w:r>
        <w:rPr>
          <w:rFonts w:hint="cs"/>
          <w:rtl/>
        </w:rPr>
        <w:t>.</w:t>
      </w:r>
    </w:p>
    <w:p w:rsidR="00EC45F5" w:rsidRDefault="00EC45F5" w:rsidP="00BF1298">
      <w:pPr>
        <w:pStyle w:val="Heading3"/>
        <w:rPr>
          <w:rtl/>
        </w:rPr>
      </w:pPr>
      <w:r w:rsidRPr="00F2469F">
        <w:rPr>
          <w:rFonts w:hint="cs"/>
          <w:rtl/>
        </w:rPr>
        <w:t>النماذج الناشئة</w:t>
      </w:r>
    </w:p>
    <w:p w:rsidR="00EC45F5" w:rsidRDefault="0061449F" w:rsidP="00FD7B1A">
      <w:pPr>
        <w:pStyle w:val="NormalParaAR"/>
        <w:rPr>
          <w:rtl/>
        </w:rPr>
      </w:pPr>
      <w:r>
        <w:rPr>
          <w:rFonts w:hint="cs"/>
          <w:rtl/>
        </w:rPr>
        <w:t xml:space="preserve">شركة </w:t>
      </w:r>
      <w:proofErr w:type="spellStart"/>
      <w:r w:rsidR="004C1C6E" w:rsidRPr="004C1C6E">
        <w:rPr>
          <w:rtl/>
        </w:rPr>
        <w:t>نتفليكس</w:t>
      </w:r>
      <w:proofErr w:type="spellEnd"/>
      <w:r w:rsidR="004C1C6E">
        <w:rPr>
          <w:rFonts w:hint="cs"/>
          <w:rtl/>
        </w:rPr>
        <w:t xml:space="preserve"> (</w:t>
      </w:r>
      <w:r w:rsidR="004C1C6E" w:rsidRPr="004C1C6E">
        <w:t>Netflix</w:t>
      </w:r>
      <w:r w:rsidR="004C1C6E">
        <w:rPr>
          <w:rFonts w:hint="cs"/>
          <w:rtl/>
        </w:rPr>
        <w:t>)</w:t>
      </w:r>
      <w:r w:rsidR="004C1C6E" w:rsidRPr="004C1C6E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الأمريكية </w:t>
      </w:r>
      <w:r w:rsidR="004C1C6E">
        <w:rPr>
          <w:rFonts w:hint="cs"/>
          <w:rtl/>
        </w:rPr>
        <w:t xml:space="preserve">مثال على </w:t>
      </w:r>
      <w:r>
        <w:rPr>
          <w:rFonts w:hint="cs"/>
          <w:rtl/>
        </w:rPr>
        <w:t xml:space="preserve">التحول الرقمي في طرق </w:t>
      </w:r>
      <w:r w:rsidR="004C1C6E">
        <w:rPr>
          <w:rFonts w:hint="cs"/>
          <w:rtl/>
        </w:rPr>
        <w:t xml:space="preserve">البث. وكانت </w:t>
      </w:r>
      <w:proofErr w:type="spellStart"/>
      <w:r w:rsidR="004C1C6E">
        <w:rPr>
          <w:rFonts w:hint="cs"/>
          <w:rtl/>
        </w:rPr>
        <w:t>نت</w:t>
      </w:r>
      <w:r>
        <w:rPr>
          <w:rFonts w:hint="cs"/>
          <w:rtl/>
        </w:rPr>
        <w:t>فليكس</w:t>
      </w:r>
      <w:proofErr w:type="spellEnd"/>
      <w:r>
        <w:rPr>
          <w:rFonts w:hint="cs"/>
          <w:rtl/>
        </w:rPr>
        <w:t xml:space="preserve"> في الأصل شركة </w:t>
      </w:r>
      <w:r w:rsidR="004C1C6E">
        <w:rPr>
          <w:rFonts w:hint="cs"/>
          <w:rtl/>
        </w:rPr>
        <w:t>إعلامية تعير</w:t>
      </w:r>
      <w:r>
        <w:rPr>
          <w:rFonts w:hint="cs"/>
          <w:rtl/>
        </w:rPr>
        <w:t xml:space="preserve"> أ</w:t>
      </w:r>
      <w:r w:rsidRPr="0061449F">
        <w:rPr>
          <w:rStyle w:val="ar"/>
          <w:rtl/>
        </w:rPr>
        <w:t>قر</w:t>
      </w:r>
      <w:r>
        <w:rPr>
          <w:rStyle w:val="ar"/>
          <w:rFonts w:hint="cs"/>
          <w:rtl/>
        </w:rPr>
        <w:t>ا</w:t>
      </w:r>
      <w:r w:rsidRPr="0061449F">
        <w:rPr>
          <w:rStyle w:val="ar"/>
          <w:rtl/>
        </w:rPr>
        <w:t xml:space="preserve">ص </w:t>
      </w:r>
      <w:r>
        <w:rPr>
          <w:rStyle w:val="ar"/>
          <w:rFonts w:hint="cs"/>
          <w:rtl/>
        </w:rPr>
        <w:t>ال</w:t>
      </w:r>
      <w:r w:rsidRPr="0061449F">
        <w:rPr>
          <w:rStyle w:val="ar"/>
          <w:rtl/>
        </w:rPr>
        <w:t xml:space="preserve">فيديو </w:t>
      </w:r>
      <w:r>
        <w:rPr>
          <w:rStyle w:val="ar"/>
          <w:rFonts w:hint="cs"/>
          <w:rtl/>
        </w:rPr>
        <w:t>ال</w:t>
      </w:r>
      <w:r w:rsidRPr="0061449F">
        <w:rPr>
          <w:rStyle w:val="ar"/>
          <w:rtl/>
        </w:rPr>
        <w:t>رقمي</w:t>
      </w:r>
      <w:r>
        <w:rPr>
          <w:rStyle w:val="ar"/>
          <w:rFonts w:hint="cs"/>
          <w:rtl/>
        </w:rPr>
        <w:t xml:space="preserve">ة </w:t>
      </w:r>
      <w:r w:rsidR="004C1C6E">
        <w:rPr>
          <w:rStyle w:val="ar"/>
          <w:rFonts w:hint="cs"/>
          <w:rtl/>
        </w:rPr>
        <w:t>و</w:t>
      </w:r>
      <w:r>
        <w:rPr>
          <w:rStyle w:val="ar"/>
          <w:rFonts w:hint="cs"/>
          <w:rtl/>
        </w:rPr>
        <w:t>ترسل</w:t>
      </w:r>
      <w:r w:rsidR="004C1C6E">
        <w:rPr>
          <w:rStyle w:val="ar"/>
          <w:rFonts w:hint="cs"/>
          <w:rtl/>
        </w:rPr>
        <w:t>ها</w:t>
      </w:r>
      <w:r>
        <w:rPr>
          <w:rStyle w:val="ar"/>
          <w:rFonts w:hint="cs"/>
          <w:rtl/>
        </w:rPr>
        <w:t xml:space="preserve"> بالبريد</w:t>
      </w:r>
      <w:r w:rsidR="00B3445E">
        <w:rPr>
          <w:rStyle w:val="ar"/>
          <w:rFonts w:hint="cs"/>
          <w:rtl/>
        </w:rPr>
        <w:t>،</w:t>
      </w:r>
      <w:r>
        <w:rPr>
          <w:rStyle w:val="ar"/>
          <w:rFonts w:hint="cs"/>
          <w:rtl/>
        </w:rPr>
        <w:t xml:space="preserve"> </w:t>
      </w:r>
      <w:r w:rsidR="00FD7B1A">
        <w:rPr>
          <w:rStyle w:val="ar"/>
          <w:rFonts w:hint="cs"/>
          <w:rtl/>
        </w:rPr>
        <w:t xml:space="preserve">وكان </w:t>
      </w:r>
      <w:r>
        <w:rPr>
          <w:rStyle w:val="ar"/>
          <w:rFonts w:hint="cs"/>
          <w:rtl/>
        </w:rPr>
        <w:t xml:space="preserve">لها واجهة إلكترونية، </w:t>
      </w:r>
      <w:r w:rsidR="004C1C6E">
        <w:rPr>
          <w:rStyle w:val="ar"/>
          <w:rFonts w:hint="cs"/>
          <w:rtl/>
        </w:rPr>
        <w:t xml:space="preserve">ثم انتقلت </w:t>
      </w:r>
      <w:proofErr w:type="spellStart"/>
      <w:r w:rsidR="004C1C6E">
        <w:rPr>
          <w:rStyle w:val="ar"/>
          <w:rFonts w:hint="cs"/>
          <w:rtl/>
        </w:rPr>
        <w:t>نت</w:t>
      </w:r>
      <w:r>
        <w:rPr>
          <w:rStyle w:val="ar"/>
          <w:rFonts w:hint="cs"/>
          <w:rtl/>
        </w:rPr>
        <w:t>فليكس</w:t>
      </w:r>
      <w:proofErr w:type="spellEnd"/>
      <w:r>
        <w:rPr>
          <w:rStyle w:val="ar"/>
          <w:rFonts w:hint="cs"/>
          <w:rtl/>
        </w:rPr>
        <w:t xml:space="preserve"> إلى البث </w:t>
      </w:r>
      <w:proofErr w:type="spellStart"/>
      <w:r>
        <w:rPr>
          <w:rStyle w:val="ar"/>
          <w:rFonts w:hint="cs"/>
          <w:rtl/>
        </w:rPr>
        <w:t>التدفقي</w:t>
      </w:r>
      <w:proofErr w:type="spellEnd"/>
      <w:r>
        <w:rPr>
          <w:rStyle w:val="ar"/>
          <w:rFonts w:hint="cs"/>
          <w:rtl/>
        </w:rPr>
        <w:t xml:space="preserve"> </w:t>
      </w:r>
      <w:r w:rsidR="00B3445E">
        <w:rPr>
          <w:rStyle w:val="ar"/>
          <w:rFonts w:hint="cs"/>
          <w:rtl/>
        </w:rPr>
        <w:t>على الإنترنت</w:t>
      </w:r>
      <w:r>
        <w:rPr>
          <w:rStyle w:val="ar"/>
          <w:rFonts w:hint="cs"/>
          <w:rtl/>
        </w:rPr>
        <w:t>.</w:t>
      </w:r>
      <w:r w:rsidR="007E51EA">
        <w:rPr>
          <w:rStyle w:val="ar"/>
          <w:rFonts w:hint="cs"/>
          <w:rtl/>
        </w:rPr>
        <w:t xml:space="preserve"> </w:t>
      </w:r>
      <w:r w:rsidR="007E51EA">
        <w:rPr>
          <w:rStyle w:val="ar"/>
          <w:rFonts w:hint="cs"/>
          <w:rtl/>
        </w:rPr>
        <w:lastRenderedPageBreak/>
        <w:t xml:space="preserve">وفي 2013، أطلقت الشركة خدمات البث التدفقي </w:t>
      </w:r>
      <w:r w:rsidR="00B3445E">
        <w:rPr>
          <w:rStyle w:val="ar"/>
          <w:rFonts w:hint="cs"/>
          <w:rtl/>
        </w:rPr>
        <w:t>على الإنترنت لبث ا</w:t>
      </w:r>
      <w:r w:rsidR="007E51EA">
        <w:rPr>
          <w:rStyle w:val="ar"/>
          <w:rFonts w:hint="cs"/>
          <w:rtl/>
        </w:rPr>
        <w:t>لمحتوى الأصلي</w:t>
      </w:r>
      <w:r w:rsidR="00B3445E">
        <w:rPr>
          <w:rStyle w:val="ar"/>
          <w:rFonts w:hint="cs"/>
          <w:rtl/>
        </w:rPr>
        <w:t>،</w:t>
      </w:r>
      <w:r w:rsidR="007E51EA">
        <w:rPr>
          <w:rStyle w:val="ar"/>
          <w:rFonts w:hint="cs"/>
          <w:rtl/>
        </w:rPr>
        <w:t xml:space="preserve"> </w:t>
      </w:r>
      <w:r w:rsidR="00B3445E">
        <w:rPr>
          <w:rStyle w:val="ar"/>
          <w:rFonts w:hint="cs"/>
          <w:rtl/>
        </w:rPr>
        <w:t>وهنا</w:t>
      </w:r>
      <w:r w:rsidR="007E51EA">
        <w:rPr>
          <w:rStyle w:val="ar"/>
          <w:rFonts w:hint="cs"/>
          <w:rtl/>
        </w:rPr>
        <w:t xml:space="preserve"> تحتل </w:t>
      </w:r>
      <w:proofErr w:type="spellStart"/>
      <w:r w:rsidR="007E51EA">
        <w:rPr>
          <w:rStyle w:val="ar"/>
          <w:rFonts w:hint="cs"/>
          <w:rtl/>
        </w:rPr>
        <w:t>نتفليكس</w:t>
      </w:r>
      <w:proofErr w:type="spellEnd"/>
      <w:r w:rsidR="007E51EA">
        <w:rPr>
          <w:rStyle w:val="ar"/>
          <w:rFonts w:hint="cs"/>
          <w:rtl/>
        </w:rPr>
        <w:t xml:space="preserve"> </w:t>
      </w:r>
      <w:r w:rsidR="00B3445E">
        <w:rPr>
          <w:rStyle w:val="ar"/>
          <w:rFonts w:hint="cs"/>
          <w:rtl/>
        </w:rPr>
        <w:t xml:space="preserve">مرتبة </w:t>
      </w:r>
      <w:r w:rsidR="00FD7B1A">
        <w:rPr>
          <w:rStyle w:val="ar"/>
          <w:rFonts w:hint="cs"/>
          <w:rtl/>
        </w:rPr>
        <w:t>الموزع الأول</w:t>
      </w:r>
      <w:r w:rsidR="00B3445E">
        <w:rPr>
          <w:rStyle w:val="ar"/>
          <w:rFonts w:hint="cs"/>
          <w:rtl/>
        </w:rPr>
        <w:t xml:space="preserve"> </w:t>
      </w:r>
      <w:r w:rsidR="00146615">
        <w:rPr>
          <w:rStyle w:val="ar"/>
          <w:rFonts w:hint="cs"/>
          <w:rtl/>
        </w:rPr>
        <w:t xml:space="preserve">- </w:t>
      </w:r>
      <w:r w:rsidR="00812E8A">
        <w:rPr>
          <w:rStyle w:val="ar"/>
          <w:rFonts w:hint="cs"/>
          <w:rtl/>
        </w:rPr>
        <w:t>وليس</w:t>
      </w:r>
      <w:r w:rsidR="00146615">
        <w:rPr>
          <w:rStyle w:val="ar"/>
          <w:rFonts w:hint="cs"/>
          <w:rtl/>
        </w:rPr>
        <w:t xml:space="preserve"> </w:t>
      </w:r>
      <w:r w:rsidR="00FD7B1A">
        <w:rPr>
          <w:rStyle w:val="ar"/>
          <w:rFonts w:hint="cs"/>
          <w:rtl/>
        </w:rPr>
        <w:t>ال</w:t>
      </w:r>
      <w:r w:rsidR="00146615">
        <w:rPr>
          <w:rStyle w:val="ar"/>
          <w:rFonts w:hint="cs"/>
          <w:rtl/>
        </w:rPr>
        <w:t>ثاني، لمسلسلات</w:t>
      </w:r>
      <w:r w:rsidR="00812E8A">
        <w:rPr>
          <w:rStyle w:val="ar"/>
          <w:rFonts w:hint="cs"/>
          <w:rtl/>
        </w:rPr>
        <w:t>ٍ</w:t>
      </w:r>
      <w:r w:rsidR="00146615">
        <w:rPr>
          <w:rStyle w:val="ar"/>
          <w:rFonts w:hint="cs"/>
          <w:rtl/>
        </w:rPr>
        <w:t xml:space="preserve"> مثل </w:t>
      </w:r>
      <w:r w:rsidR="00FD7B1A">
        <w:rPr>
          <w:rStyle w:val="ar"/>
          <w:rFonts w:hint="cs"/>
          <w:rtl/>
        </w:rPr>
        <w:t>"</w:t>
      </w:r>
      <w:r w:rsidR="00B3445E" w:rsidRPr="00FD7B1A">
        <w:rPr>
          <w:rStyle w:val="ar"/>
          <w:rFonts w:hint="cs"/>
          <w:rtl/>
        </w:rPr>
        <w:t>بيت من ورق</w:t>
      </w:r>
      <w:r w:rsidR="00FD7B1A">
        <w:rPr>
          <w:rStyle w:val="ar"/>
          <w:rFonts w:hint="cs"/>
          <w:rtl/>
        </w:rPr>
        <w:t>"</w:t>
      </w:r>
      <w:r w:rsidR="00B3445E">
        <w:rPr>
          <w:rStyle w:val="ar"/>
          <w:rFonts w:hint="cs"/>
          <w:rtl/>
        </w:rPr>
        <w:t xml:space="preserve"> (</w:t>
      </w:r>
      <w:r w:rsidR="00B3445E" w:rsidRPr="00B3445E">
        <w:rPr>
          <w:rStyle w:val="ar"/>
        </w:rPr>
        <w:t>House of Cards</w:t>
      </w:r>
      <w:r w:rsidR="00B3445E">
        <w:rPr>
          <w:rStyle w:val="ar"/>
          <w:rFonts w:hint="cs"/>
          <w:rtl/>
        </w:rPr>
        <w:t>).</w:t>
      </w:r>
    </w:p>
    <w:p w:rsidR="00EC45F5" w:rsidRPr="00146615" w:rsidRDefault="00EC45F5" w:rsidP="00BF1298">
      <w:pPr>
        <w:pStyle w:val="Heading1"/>
        <w:rPr>
          <w:rtl/>
        </w:rPr>
      </w:pPr>
      <w:r w:rsidRPr="00146615">
        <w:rPr>
          <w:rFonts w:hint="cs"/>
          <w:rtl/>
        </w:rPr>
        <w:t>دال</w:t>
      </w:r>
      <w:r w:rsidRPr="00146615">
        <w:rPr>
          <w:rFonts w:hint="cs"/>
          <w:rtl/>
        </w:rPr>
        <w:tab/>
        <w:t>النشر</w:t>
      </w:r>
    </w:p>
    <w:p w:rsidR="00EC45F5" w:rsidRPr="00DC6295" w:rsidRDefault="00EC45F5" w:rsidP="00BF1298">
      <w:pPr>
        <w:pStyle w:val="Heading3"/>
        <w:rPr>
          <w:rtl/>
        </w:rPr>
      </w:pPr>
      <w:r w:rsidRPr="00DC6295">
        <w:rPr>
          <w:rFonts w:hint="cs"/>
          <w:rtl/>
        </w:rPr>
        <w:t>لمحة عامة</w:t>
      </w:r>
    </w:p>
    <w:p w:rsidR="00EC45F5" w:rsidRDefault="00DB6BCD" w:rsidP="001A4F72">
      <w:pPr>
        <w:pStyle w:val="NormalParaAR"/>
        <w:rPr>
          <w:rtl/>
        </w:rPr>
      </w:pPr>
      <w:r>
        <w:rPr>
          <w:rFonts w:hint="cs"/>
          <w:rtl/>
        </w:rPr>
        <w:t>ي</w:t>
      </w:r>
      <w:r w:rsidR="007F410A">
        <w:rPr>
          <w:rFonts w:hint="cs"/>
          <w:rtl/>
        </w:rPr>
        <w:t xml:space="preserve">شهد </w:t>
      </w:r>
      <w:r>
        <w:rPr>
          <w:rFonts w:hint="cs"/>
          <w:rtl/>
        </w:rPr>
        <w:t>قطاع</w:t>
      </w:r>
      <w:r w:rsidR="007F410A">
        <w:rPr>
          <w:rFonts w:hint="cs"/>
          <w:rtl/>
        </w:rPr>
        <w:t xml:space="preserve"> نشر الكتب تغيرات</w:t>
      </w:r>
      <w:r w:rsidR="00812E8A">
        <w:rPr>
          <w:rFonts w:hint="cs"/>
          <w:rtl/>
        </w:rPr>
        <w:t>ٍ،</w:t>
      </w:r>
      <w:r w:rsidR="007F410A">
        <w:rPr>
          <w:rFonts w:hint="cs"/>
          <w:rtl/>
        </w:rPr>
        <w:t xml:space="preserve"> إذ </w:t>
      </w:r>
      <w:r w:rsidR="00812E8A">
        <w:rPr>
          <w:rFonts w:hint="cs"/>
          <w:rtl/>
        </w:rPr>
        <w:t>غيّر</w:t>
      </w:r>
      <w:r w:rsidR="007F410A">
        <w:rPr>
          <w:rFonts w:hint="cs"/>
          <w:rtl/>
        </w:rPr>
        <w:t xml:space="preserve"> </w:t>
      </w:r>
      <w:r w:rsidR="00812E8A">
        <w:rPr>
          <w:rFonts w:hint="cs"/>
          <w:rtl/>
        </w:rPr>
        <w:t>ظهور</w:t>
      </w:r>
      <w:r w:rsidR="007F410A">
        <w:rPr>
          <w:rFonts w:hint="cs"/>
          <w:rtl/>
        </w:rPr>
        <w:t xml:space="preserve"> التجارة الإلكترونية والنشر الإلكتروني </w:t>
      </w:r>
      <w:r w:rsidR="00812E8A">
        <w:rPr>
          <w:rFonts w:hint="cs"/>
          <w:rtl/>
        </w:rPr>
        <w:t xml:space="preserve">من </w:t>
      </w:r>
      <w:r w:rsidR="007F410A">
        <w:rPr>
          <w:rFonts w:hint="cs"/>
          <w:rtl/>
        </w:rPr>
        <w:t xml:space="preserve">سلسة القيمة. وتشير التكنولوجيات الناشئة </w:t>
      </w:r>
      <w:r w:rsidR="00812E8A">
        <w:rPr>
          <w:rFonts w:hint="cs"/>
          <w:rtl/>
        </w:rPr>
        <w:t>وأوساط</w:t>
      </w:r>
      <w:r w:rsidR="007F410A">
        <w:rPr>
          <w:rFonts w:hint="cs"/>
          <w:rtl/>
        </w:rPr>
        <w:t xml:space="preserve"> </w:t>
      </w:r>
      <w:r w:rsidR="00812E8A">
        <w:rPr>
          <w:rFonts w:hint="cs"/>
          <w:rtl/>
        </w:rPr>
        <w:t xml:space="preserve">البيع </w:t>
      </w:r>
      <w:r w:rsidR="007F410A">
        <w:rPr>
          <w:rFonts w:hint="cs"/>
          <w:rtl/>
        </w:rPr>
        <w:t>المتغير</w:t>
      </w:r>
      <w:r w:rsidR="005E69F0">
        <w:rPr>
          <w:rFonts w:hint="cs"/>
          <w:rtl/>
        </w:rPr>
        <w:t>ة،</w:t>
      </w:r>
      <w:r w:rsidR="007F410A">
        <w:rPr>
          <w:rFonts w:hint="cs"/>
          <w:rtl/>
        </w:rPr>
        <w:t xml:space="preserve"> إلى </w:t>
      </w:r>
      <w:r w:rsidR="005E69F0">
        <w:rPr>
          <w:rFonts w:hint="cs"/>
          <w:rtl/>
        </w:rPr>
        <w:t xml:space="preserve">استمرار تطور السوق. </w:t>
      </w:r>
      <w:r w:rsidR="007F410A">
        <w:rPr>
          <w:rFonts w:hint="cs"/>
          <w:rtl/>
        </w:rPr>
        <w:t>وتشهد المجل</w:t>
      </w:r>
      <w:r w:rsidR="00FD7B1A">
        <w:rPr>
          <w:rFonts w:hint="cs"/>
          <w:rtl/>
        </w:rPr>
        <w:t>ّ</w:t>
      </w:r>
      <w:r w:rsidR="007F410A">
        <w:rPr>
          <w:rFonts w:hint="cs"/>
          <w:rtl/>
        </w:rPr>
        <w:t>ات تغيرات مماثلة.</w:t>
      </w:r>
    </w:p>
    <w:p w:rsidR="00EC45F5" w:rsidRDefault="00EC45F5" w:rsidP="00BF1298">
      <w:pPr>
        <w:pStyle w:val="Heading3"/>
        <w:rPr>
          <w:rtl/>
        </w:rPr>
      </w:pPr>
      <w:r>
        <w:rPr>
          <w:rFonts w:hint="cs"/>
          <w:rtl/>
        </w:rPr>
        <w:t>حجم السوق ونمو</w:t>
      </w:r>
      <w:r w:rsidR="00C04D16">
        <w:rPr>
          <w:rFonts w:hint="cs"/>
          <w:rtl/>
        </w:rPr>
        <w:t>ه</w:t>
      </w:r>
    </w:p>
    <w:p w:rsidR="00EC45F5" w:rsidRDefault="007F410A" w:rsidP="005E69F0">
      <w:pPr>
        <w:pStyle w:val="NormalParaAR"/>
        <w:rPr>
          <w:rtl/>
        </w:rPr>
      </w:pPr>
      <w:r>
        <w:rPr>
          <w:rFonts w:hint="cs"/>
          <w:rtl/>
        </w:rPr>
        <w:t>تبلغ قيمة السوق 114 مليار يورو</w:t>
      </w:r>
      <w:r w:rsidR="004F2707">
        <w:rPr>
          <w:rStyle w:val="FootnoteReference"/>
          <w:rtl/>
        </w:rPr>
        <w:footnoteReference w:id="18"/>
      </w:r>
      <w:r w:rsidR="005E69F0">
        <w:rPr>
          <w:rFonts w:hint="cs"/>
          <w:rtl/>
        </w:rPr>
        <w:t>. وتستحوذ</w:t>
      </w:r>
      <w:r>
        <w:rPr>
          <w:rFonts w:hint="cs"/>
          <w:rtl/>
        </w:rPr>
        <w:t xml:space="preserve"> الكتب </w:t>
      </w:r>
      <w:r w:rsidR="005E69F0">
        <w:rPr>
          <w:rFonts w:hint="cs"/>
          <w:rtl/>
        </w:rPr>
        <w:t xml:space="preserve">على </w:t>
      </w:r>
      <w:r>
        <w:rPr>
          <w:rFonts w:hint="cs"/>
          <w:rtl/>
        </w:rPr>
        <w:t>نسبة 15%</w:t>
      </w:r>
      <w:r w:rsidR="004F2707">
        <w:rPr>
          <w:rStyle w:val="FootnoteReference"/>
          <w:rtl/>
        </w:rPr>
        <w:footnoteReference w:id="19"/>
      </w:r>
      <w:r>
        <w:rPr>
          <w:rFonts w:hint="cs"/>
          <w:rtl/>
        </w:rPr>
        <w:t xml:space="preserve"> من إجمالي إنفاق المستهلكين على الإعلام والترفيه. وتتزايد مبيعات الكتب الإلكترونية و</w:t>
      </w:r>
      <w:r w:rsidR="005E69F0">
        <w:rPr>
          <w:rFonts w:hint="cs"/>
          <w:rtl/>
        </w:rPr>
        <w:t>ت</w:t>
      </w:r>
      <w:r>
        <w:rPr>
          <w:rFonts w:hint="cs"/>
          <w:rtl/>
        </w:rPr>
        <w:t xml:space="preserve">نامى </w:t>
      </w:r>
      <w:r w:rsidR="005E69F0">
        <w:rPr>
          <w:rFonts w:hint="cs"/>
          <w:rtl/>
        </w:rPr>
        <w:t xml:space="preserve">إجمالي </w:t>
      </w:r>
      <w:r>
        <w:rPr>
          <w:rFonts w:hint="cs"/>
          <w:rtl/>
        </w:rPr>
        <w:t xml:space="preserve">سوق القراء الإلكترونيين </w:t>
      </w:r>
      <w:r w:rsidR="00FD7B1A">
        <w:rPr>
          <w:rFonts w:hint="cs"/>
          <w:rtl/>
        </w:rPr>
        <w:t>ب</w:t>
      </w:r>
      <w:r>
        <w:rPr>
          <w:rFonts w:hint="cs"/>
          <w:rtl/>
        </w:rPr>
        <w:t>عشرين مرة تقريبا منذ 2008</w:t>
      </w:r>
      <w:r w:rsidR="004F2707">
        <w:rPr>
          <w:rStyle w:val="FootnoteReference"/>
          <w:rtl/>
        </w:rPr>
        <w:footnoteReference w:id="20"/>
      </w:r>
      <w:r>
        <w:rPr>
          <w:rFonts w:hint="cs"/>
          <w:rtl/>
        </w:rPr>
        <w:t>.</w:t>
      </w:r>
    </w:p>
    <w:p w:rsidR="007F410A" w:rsidRDefault="007F410A" w:rsidP="001A4F72">
      <w:pPr>
        <w:pStyle w:val="NormalParaAR"/>
        <w:rPr>
          <w:rtl/>
        </w:rPr>
      </w:pPr>
      <w:r>
        <w:rPr>
          <w:rFonts w:hint="cs"/>
          <w:rtl/>
        </w:rPr>
        <w:t>والنمو ف</w:t>
      </w:r>
      <w:r w:rsidR="005E69F0">
        <w:rPr>
          <w:rFonts w:hint="cs"/>
          <w:rtl/>
        </w:rPr>
        <w:t>ي</w:t>
      </w:r>
      <w:r>
        <w:rPr>
          <w:rFonts w:hint="cs"/>
          <w:rtl/>
        </w:rPr>
        <w:t xml:space="preserve"> السوق مختلط</w:t>
      </w:r>
      <w:r w:rsidR="005E69F0">
        <w:rPr>
          <w:rFonts w:hint="cs"/>
          <w:rtl/>
        </w:rPr>
        <w:t>،</w:t>
      </w:r>
      <w:r>
        <w:rPr>
          <w:rFonts w:hint="cs"/>
          <w:rtl/>
        </w:rPr>
        <w:t xml:space="preserve"> فمن جهة تزداد حصة الكتب الإلكترونية، </w:t>
      </w:r>
      <w:r w:rsidRPr="001A4F72">
        <w:rPr>
          <w:rFonts w:hint="cs"/>
          <w:rtl/>
        </w:rPr>
        <w:t xml:space="preserve">بينما </w:t>
      </w:r>
      <w:r w:rsidR="002557D4" w:rsidRPr="001A4F72">
        <w:rPr>
          <w:rFonts w:hint="cs"/>
          <w:rtl/>
        </w:rPr>
        <w:t>ي</w:t>
      </w:r>
      <w:r w:rsidRPr="001A4F72">
        <w:rPr>
          <w:rFonts w:hint="cs"/>
          <w:rtl/>
        </w:rPr>
        <w:t>نخفض</w:t>
      </w:r>
      <w:r w:rsidR="005E69F0" w:rsidRPr="001A4F72">
        <w:rPr>
          <w:rFonts w:hint="cs"/>
          <w:rtl/>
        </w:rPr>
        <w:t xml:space="preserve"> إجمالي مبيعات الكتب أو يظل </w:t>
      </w:r>
      <w:r w:rsidR="001A4F72" w:rsidRPr="001A4F72">
        <w:rPr>
          <w:rFonts w:hint="cs"/>
          <w:rtl/>
        </w:rPr>
        <w:t>كما</w:t>
      </w:r>
      <w:r w:rsidR="001A4F72">
        <w:rPr>
          <w:rFonts w:hint="cs"/>
          <w:rtl/>
        </w:rPr>
        <w:t xml:space="preserve"> هو</w:t>
      </w:r>
      <w:r w:rsidR="002557D4">
        <w:rPr>
          <w:rFonts w:hint="cs"/>
          <w:rtl/>
        </w:rPr>
        <w:t xml:space="preserve"> في البلدان المتقدمة، هذا وتتنامى المبيعات باعتدال في بعض البلدان النامية. </w:t>
      </w:r>
      <w:r w:rsidR="005E69F0">
        <w:rPr>
          <w:rFonts w:hint="cs"/>
          <w:rtl/>
        </w:rPr>
        <w:t>و</w:t>
      </w:r>
      <w:r w:rsidR="002557D4">
        <w:rPr>
          <w:rFonts w:hint="cs"/>
          <w:rtl/>
        </w:rPr>
        <w:t xml:space="preserve">إجمالا، سجل نمو الإيرادات في السوق 0% على مدار </w:t>
      </w:r>
      <w:r w:rsidR="005E69F0">
        <w:rPr>
          <w:rFonts w:hint="cs"/>
          <w:rtl/>
        </w:rPr>
        <w:t>ال</w:t>
      </w:r>
      <w:r w:rsidR="002557D4">
        <w:rPr>
          <w:rFonts w:hint="cs"/>
          <w:rtl/>
        </w:rPr>
        <w:t>خمس سنوات</w:t>
      </w:r>
      <w:r w:rsidR="005E69F0">
        <w:rPr>
          <w:rFonts w:hint="cs"/>
          <w:rtl/>
        </w:rPr>
        <w:t xml:space="preserve"> الأخيرة</w:t>
      </w:r>
      <w:r w:rsidR="002557D4">
        <w:rPr>
          <w:rFonts w:hint="cs"/>
          <w:rtl/>
        </w:rPr>
        <w:t>.</w:t>
      </w:r>
    </w:p>
    <w:p w:rsidR="00EC45F5" w:rsidRDefault="00C04D16" w:rsidP="00BF1298">
      <w:pPr>
        <w:pStyle w:val="Heading3"/>
        <w:rPr>
          <w:rtl/>
        </w:rPr>
      </w:pPr>
      <w:r>
        <w:rPr>
          <w:rFonts w:hint="cs"/>
          <w:rtl/>
        </w:rPr>
        <w:t xml:space="preserve">المحتوى </w:t>
      </w:r>
      <w:r w:rsidR="00EC45F5">
        <w:rPr>
          <w:rFonts w:hint="cs"/>
          <w:rtl/>
        </w:rPr>
        <w:t>الرقمي</w:t>
      </w:r>
    </w:p>
    <w:p w:rsidR="00EC45F5" w:rsidRDefault="00CE78E4" w:rsidP="00FD7B1A">
      <w:pPr>
        <w:pStyle w:val="NormalParaAR"/>
        <w:rPr>
          <w:rtl/>
        </w:rPr>
      </w:pPr>
      <w:r>
        <w:rPr>
          <w:rFonts w:hint="cs"/>
          <w:rtl/>
        </w:rPr>
        <w:t xml:space="preserve">أثّر التحولُ الرقمي على نشر الكتب، </w:t>
      </w:r>
      <w:r w:rsidR="00075341">
        <w:rPr>
          <w:rFonts w:hint="cs"/>
          <w:rtl/>
        </w:rPr>
        <w:t>وجاءت</w:t>
      </w:r>
      <w:r>
        <w:rPr>
          <w:rFonts w:hint="cs"/>
          <w:rtl/>
        </w:rPr>
        <w:t xml:space="preserve"> التجارة الإلكترونية في </w:t>
      </w:r>
      <w:r w:rsidR="00075341">
        <w:rPr>
          <w:rFonts w:hint="cs"/>
          <w:rtl/>
        </w:rPr>
        <w:t xml:space="preserve">مكتبات بيع </w:t>
      </w:r>
      <w:r>
        <w:rPr>
          <w:rFonts w:hint="cs"/>
          <w:rtl/>
        </w:rPr>
        <w:t>الكتب على الإنترنت</w:t>
      </w:r>
      <w:r w:rsidR="00075341">
        <w:rPr>
          <w:rFonts w:hint="cs"/>
          <w:rtl/>
        </w:rPr>
        <w:t xml:space="preserve"> مثل </w:t>
      </w:r>
      <w:r w:rsidR="00075341" w:rsidRPr="00C04D16">
        <w:rPr>
          <w:szCs w:val="22"/>
        </w:rPr>
        <w:t>www.Amazon.com</w:t>
      </w:r>
      <w:r w:rsidR="00075341">
        <w:rPr>
          <w:rFonts w:hint="cs"/>
          <w:rtl/>
        </w:rPr>
        <w:t xml:space="preserve"> ، </w:t>
      </w:r>
      <w:r w:rsidR="00FD7B1A">
        <w:rPr>
          <w:rFonts w:hint="cs"/>
          <w:rtl/>
        </w:rPr>
        <w:t>بأشد</w:t>
      </w:r>
      <w:r w:rsidR="00075341">
        <w:rPr>
          <w:rFonts w:hint="cs"/>
          <w:rtl/>
        </w:rPr>
        <w:t xml:space="preserve"> تأثير على نشر الكتب</w:t>
      </w:r>
      <w:r>
        <w:rPr>
          <w:rFonts w:hint="cs"/>
          <w:rtl/>
        </w:rPr>
        <w:t>،</w:t>
      </w:r>
      <w:r w:rsidR="00734231" w:rsidRPr="00C04D16">
        <w:rPr>
          <w:rFonts w:hint="cs"/>
          <w:rtl/>
        </w:rPr>
        <w:t xml:space="preserve"> </w:t>
      </w:r>
      <w:r w:rsidR="00075341">
        <w:rPr>
          <w:rFonts w:hint="cs"/>
          <w:rtl/>
        </w:rPr>
        <w:t xml:space="preserve">هذا </w:t>
      </w:r>
      <w:r w:rsidR="00734231" w:rsidRPr="00C04D16">
        <w:rPr>
          <w:rFonts w:hint="cs"/>
          <w:rtl/>
        </w:rPr>
        <w:t>وخفضت</w:t>
      </w:r>
      <w:r w:rsidR="00734231" w:rsidRPr="00734231">
        <w:rPr>
          <w:rFonts w:hint="cs"/>
          <w:rtl/>
        </w:rPr>
        <w:t xml:space="preserve"> المنافسة </w:t>
      </w:r>
      <w:r w:rsidR="00075341">
        <w:rPr>
          <w:rFonts w:hint="cs"/>
          <w:rtl/>
        </w:rPr>
        <w:t xml:space="preserve">في </w:t>
      </w:r>
      <w:r w:rsidR="00734231" w:rsidRPr="00734231">
        <w:rPr>
          <w:rFonts w:hint="cs"/>
          <w:rtl/>
        </w:rPr>
        <w:t>التجارة الإلكترونية من قدرة المك</w:t>
      </w:r>
      <w:r w:rsidR="00734231">
        <w:rPr>
          <w:rFonts w:hint="cs"/>
          <w:rtl/>
        </w:rPr>
        <w:t xml:space="preserve">تبات على البقاء، وخسفت بأسعار الكتب </w:t>
      </w:r>
      <w:r w:rsidR="00075341">
        <w:rPr>
          <w:rFonts w:hint="cs"/>
          <w:rtl/>
        </w:rPr>
        <w:t xml:space="preserve">الأرض </w:t>
      </w:r>
      <w:r w:rsidR="00734231">
        <w:rPr>
          <w:rFonts w:hint="cs"/>
          <w:rtl/>
        </w:rPr>
        <w:t xml:space="preserve">بنحو 40% </w:t>
      </w:r>
      <w:r w:rsidR="00075341">
        <w:rPr>
          <w:rFonts w:hint="cs"/>
          <w:rtl/>
        </w:rPr>
        <w:t>في</w:t>
      </w:r>
      <w:r w:rsidR="00734231">
        <w:rPr>
          <w:rFonts w:hint="cs"/>
          <w:rtl/>
        </w:rPr>
        <w:t xml:space="preserve"> سوق الولايات المتحدة.</w:t>
      </w:r>
    </w:p>
    <w:p w:rsidR="00734231" w:rsidRDefault="00734231" w:rsidP="001139D8">
      <w:pPr>
        <w:pStyle w:val="NormalParaAR"/>
        <w:rPr>
          <w:rtl/>
        </w:rPr>
      </w:pPr>
      <w:r>
        <w:rPr>
          <w:rFonts w:hint="cs"/>
          <w:rtl/>
        </w:rPr>
        <w:t xml:space="preserve">وتفتح الكتب الإلكترونية نافذة جديدة </w:t>
      </w:r>
      <w:r w:rsidR="00075341">
        <w:rPr>
          <w:rFonts w:hint="cs"/>
          <w:rtl/>
        </w:rPr>
        <w:t>تسمح</w:t>
      </w:r>
      <w:r>
        <w:rPr>
          <w:rFonts w:hint="cs"/>
          <w:rtl/>
        </w:rPr>
        <w:t xml:space="preserve"> </w:t>
      </w:r>
      <w:r w:rsidR="00075341">
        <w:rPr>
          <w:rFonts w:hint="cs"/>
          <w:rtl/>
        </w:rPr>
        <w:t>ل</w:t>
      </w:r>
      <w:r>
        <w:rPr>
          <w:rFonts w:hint="cs"/>
          <w:rtl/>
        </w:rPr>
        <w:t xml:space="preserve">لناشرين </w:t>
      </w:r>
      <w:r w:rsidR="00075341">
        <w:rPr>
          <w:rFonts w:hint="cs"/>
          <w:rtl/>
        </w:rPr>
        <w:t>ب</w:t>
      </w:r>
      <w:r>
        <w:rPr>
          <w:rFonts w:hint="cs"/>
          <w:rtl/>
        </w:rPr>
        <w:t xml:space="preserve">بيع النسخ الإلكترونية. </w:t>
      </w:r>
      <w:r w:rsidR="00384EA5">
        <w:rPr>
          <w:rFonts w:hint="cs"/>
          <w:rtl/>
        </w:rPr>
        <w:t xml:space="preserve">وتخفض الكتب الإلكترونية من </w:t>
      </w:r>
      <w:proofErr w:type="spellStart"/>
      <w:r w:rsidR="00384EA5">
        <w:rPr>
          <w:rFonts w:hint="cs"/>
          <w:rtl/>
        </w:rPr>
        <w:t>كلفة</w:t>
      </w:r>
      <w:r w:rsidR="001139D8">
        <w:rPr>
          <w:rFonts w:hint="cs"/>
          <w:rtl/>
        </w:rPr>
        <w:t>الكتاب</w:t>
      </w:r>
      <w:proofErr w:type="spellEnd"/>
      <w:r w:rsidR="00075341">
        <w:rPr>
          <w:rFonts w:hint="cs"/>
          <w:rtl/>
        </w:rPr>
        <w:t xml:space="preserve">، وتجعل بيع الكتب </w:t>
      </w:r>
      <w:r w:rsidR="00384EA5">
        <w:rPr>
          <w:rFonts w:hint="cs"/>
          <w:rtl/>
        </w:rPr>
        <w:t>فصل</w:t>
      </w:r>
      <w:r w:rsidR="00075341">
        <w:rPr>
          <w:rFonts w:hint="cs"/>
          <w:rtl/>
        </w:rPr>
        <w:t xml:space="preserve">ا </w:t>
      </w:r>
      <w:proofErr w:type="spellStart"/>
      <w:r w:rsidR="00075341">
        <w:rPr>
          <w:rFonts w:hint="cs"/>
          <w:rtl/>
        </w:rPr>
        <w:t>فصلا</w:t>
      </w:r>
      <w:proofErr w:type="spellEnd"/>
      <w:r w:rsidR="00384EA5">
        <w:rPr>
          <w:rFonts w:hint="cs"/>
          <w:rtl/>
        </w:rPr>
        <w:t xml:space="preserve"> مجدية م</w:t>
      </w:r>
      <w:r w:rsidR="00075341">
        <w:rPr>
          <w:rFonts w:hint="cs"/>
          <w:rtl/>
        </w:rPr>
        <w:t>اليا. وغيرت استراتيجيات التسعير</w:t>
      </w:r>
      <w:r w:rsidR="00384EA5">
        <w:rPr>
          <w:rFonts w:hint="cs"/>
          <w:rtl/>
        </w:rPr>
        <w:t xml:space="preserve"> الجديدة، ومنها خدمات الاشتراك مثل </w:t>
      </w:r>
      <w:proofErr w:type="spellStart"/>
      <w:r w:rsidR="00384EA5">
        <w:rPr>
          <w:rFonts w:hint="cs"/>
          <w:rtl/>
        </w:rPr>
        <w:t>إيزنيو</w:t>
      </w:r>
      <w:proofErr w:type="spellEnd"/>
      <w:r w:rsidR="00075341">
        <w:rPr>
          <w:rFonts w:hint="cs"/>
          <w:rtl/>
        </w:rPr>
        <w:t xml:space="preserve"> (</w:t>
      </w:r>
      <w:proofErr w:type="spellStart"/>
      <w:r w:rsidR="00075341" w:rsidRPr="00241717">
        <w:rPr>
          <w:szCs w:val="22"/>
        </w:rPr>
        <w:t>Izneo</w:t>
      </w:r>
      <w:proofErr w:type="spellEnd"/>
      <w:r w:rsidR="00075341">
        <w:rPr>
          <w:rFonts w:hint="cs"/>
          <w:rtl/>
        </w:rPr>
        <w:t>)</w:t>
      </w:r>
      <w:r w:rsidR="00075341">
        <w:rPr>
          <w:rFonts w:hint="cs"/>
          <w:szCs w:val="22"/>
          <w:rtl/>
        </w:rPr>
        <w:t xml:space="preserve"> </w:t>
      </w:r>
      <w:r w:rsidR="00384EA5">
        <w:rPr>
          <w:rFonts w:hint="cs"/>
          <w:rtl/>
        </w:rPr>
        <w:t xml:space="preserve">في فرنسا </w:t>
      </w:r>
      <w:proofErr w:type="spellStart"/>
      <w:r w:rsidR="00384EA5">
        <w:rPr>
          <w:rFonts w:hint="cs"/>
          <w:rtl/>
        </w:rPr>
        <w:t>وتولينو</w:t>
      </w:r>
      <w:proofErr w:type="spellEnd"/>
      <w:r w:rsidR="00075341">
        <w:rPr>
          <w:rFonts w:hint="cs"/>
          <w:rtl/>
        </w:rPr>
        <w:t xml:space="preserve"> (</w:t>
      </w:r>
      <w:proofErr w:type="spellStart"/>
      <w:r w:rsidR="00075341" w:rsidRPr="00241717">
        <w:rPr>
          <w:szCs w:val="22"/>
        </w:rPr>
        <w:t>Tolino</w:t>
      </w:r>
      <w:proofErr w:type="spellEnd"/>
      <w:r w:rsidR="00075341">
        <w:rPr>
          <w:rFonts w:hint="cs"/>
          <w:rtl/>
        </w:rPr>
        <w:t>)</w:t>
      </w:r>
      <w:r w:rsidR="00384EA5">
        <w:rPr>
          <w:rFonts w:hint="cs"/>
          <w:rtl/>
        </w:rPr>
        <w:t>في ألمانيا</w:t>
      </w:r>
      <w:r w:rsidR="00075341">
        <w:rPr>
          <w:rFonts w:hint="cs"/>
          <w:rtl/>
        </w:rPr>
        <w:t>،</w:t>
      </w:r>
      <w:r w:rsidR="00075341" w:rsidRPr="00075341">
        <w:rPr>
          <w:rFonts w:hint="cs"/>
          <w:rtl/>
        </w:rPr>
        <w:t xml:space="preserve"> </w:t>
      </w:r>
      <w:r w:rsidR="00075341">
        <w:rPr>
          <w:rFonts w:hint="cs"/>
          <w:rtl/>
        </w:rPr>
        <w:t>من مفهوم الملكية</w:t>
      </w:r>
    </w:p>
    <w:p w:rsidR="00384EA5" w:rsidRDefault="00384EA5" w:rsidP="00BF1298">
      <w:pPr>
        <w:pStyle w:val="NormalParaAR"/>
        <w:rPr>
          <w:rtl/>
        </w:rPr>
      </w:pPr>
      <w:r>
        <w:rPr>
          <w:rFonts w:hint="cs"/>
          <w:rtl/>
        </w:rPr>
        <w:t xml:space="preserve">وقد تخفض الطباعة حسب الطلب، </w:t>
      </w:r>
      <w:r w:rsidR="00BF1298">
        <w:rPr>
          <w:rFonts w:hint="cs"/>
          <w:rtl/>
        </w:rPr>
        <w:t>أي طباعة</w:t>
      </w:r>
      <w:r>
        <w:rPr>
          <w:rFonts w:hint="cs"/>
          <w:rtl/>
        </w:rPr>
        <w:t xml:space="preserve"> نسخ</w:t>
      </w:r>
      <w:r w:rsidR="00075341">
        <w:rPr>
          <w:rFonts w:hint="cs"/>
          <w:rtl/>
        </w:rPr>
        <w:t>ٌ</w:t>
      </w:r>
      <w:r>
        <w:rPr>
          <w:rFonts w:hint="cs"/>
          <w:rtl/>
        </w:rPr>
        <w:t xml:space="preserve"> </w:t>
      </w:r>
      <w:r w:rsidR="00EF69CA">
        <w:rPr>
          <w:rFonts w:hint="cs"/>
          <w:rtl/>
        </w:rPr>
        <w:t xml:space="preserve">من </w:t>
      </w:r>
      <w:r>
        <w:rPr>
          <w:rFonts w:hint="cs"/>
          <w:rtl/>
        </w:rPr>
        <w:t xml:space="preserve">الكتاب عند الطلب، من </w:t>
      </w:r>
      <w:r w:rsidR="00B2110D">
        <w:rPr>
          <w:rFonts w:hint="cs"/>
          <w:rtl/>
        </w:rPr>
        <w:t xml:space="preserve">تلف الكتب المطبوعة التقليدية التي </w:t>
      </w:r>
      <w:r w:rsidR="00BF1298">
        <w:rPr>
          <w:rFonts w:hint="cs"/>
          <w:rtl/>
        </w:rPr>
        <w:t>لا</w:t>
      </w:r>
      <w:r w:rsidR="00BF1298">
        <w:rPr>
          <w:rFonts w:hint="eastAsia"/>
          <w:rtl/>
        </w:rPr>
        <w:t> </w:t>
      </w:r>
      <w:r w:rsidR="00B2110D">
        <w:rPr>
          <w:rFonts w:hint="cs"/>
          <w:rtl/>
        </w:rPr>
        <w:t>تُب</w:t>
      </w:r>
      <w:r w:rsidR="00BF1298">
        <w:rPr>
          <w:rFonts w:hint="cs"/>
          <w:rtl/>
        </w:rPr>
        <w:t>ا</w:t>
      </w:r>
      <w:r w:rsidR="00B2110D">
        <w:rPr>
          <w:rFonts w:hint="cs"/>
          <w:rtl/>
        </w:rPr>
        <w:t>ع.</w:t>
      </w:r>
    </w:p>
    <w:p w:rsidR="00A061BD" w:rsidRDefault="00A061BD" w:rsidP="00A061BD">
      <w:pPr>
        <w:pStyle w:val="NormalParaAR"/>
        <w:rPr>
          <w:rtl/>
        </w:rPr>
      </w:pPr>
      <w:r>
        <w:rPr>
          <w:rFonts w:hint="cs"/>
          <w:rtl/>
        </w:rPr>
        <w:t>كما ساهمت الكتب الإلكترونية والطباعة حسب الطلب في ارتفاع في نسبة النشر الذاتي ويستطيع المؤلفون الآن أن يسوقوا كتبهم بأنفسهم ويعرضوها مباشرة على قرائهم.</w:t>
      </w:r>
    </w:p>
    <w:p w:rsidR="00B2110D" w:rsidRPr="00734231" w:rsidRDefault="00D832A2" w:rsidP="00A061BD">
      <w:pPr>
        <w:pStyle w:val="NormalParaAR"/>
        <w:rPr>
          <w:rtl/>
        </w:rPr>
      </w:pPr>
      <w:r>
        <w:rPr>
          <w:rFonts w:hint="cs"/>
          <w:rtl/>
        </w:rPr>
        <w:t xml:space="preserve">وظلت النسخ الورقية التقليدية صامدة، بخلاف </w:t>
      </w:r>
      <w:r w:rsidR="00A061BD">
        <w:rPr>
          <w:rFonts w:hint="cs"/>
          <w:rtl/>
        </w:rPr>
        <w:t>قطاعات</w:t>
      </w:r>
      <w:r>
        <w:rPr>
          <w:rFonts w:hint="cs"/>
          <w:rtl/>
        </w:rPr>
        <w:t xml:space="preserve"> أخرى من </w:t>
      </w:r>
      <w:r w:rsidR="00A061BD">
        <w:rPr>
          <w:rFonts w:hint="cs"/>
          <w:rtl/>
        </w:rPr>
        <w:t>القطاعات</w:t>
      </w:r>
      <w:r>
        <w:rPr>
          <w:rFonts w:hint="cs"/>
          <w:rtl/>
        </w:rPr>
        <w:t xml:space="preserve"> الإبداعية. ويتباط</w:t>
      </w:r>
      <w:r w:rsidR="00A061BD">
        <w:rPr>
          <w:rFonts w:hint="cs"/>
          <w:rtl/>
        </w:rPr>
        <w:t>أ</w:t>
      </w:r>
      <w:r w:rsidR="001139D8">
        <w:rPr>
          <w:rFonts w:hint="cs"/>
          <w:rtl/>
        </w:rPr>
        <w:t xml:space="preserve"> </w:t>
      </w:r>
      <w:r>
        <w:rPr>
          <w:rFonts w:hint="cs"/>
          <w:rtl/>
        </w:rPr>
        <w:t xml:space="preserve"> نمو سوق </w:t>
      </w:r>
      <w:r w:rsidR="00A061BD">
        <w:rPr>
          <w:rFonts w:hint="cs"/>
          <w:rtl/>
        </w:rPr>
        <w:t>القراء الإلكترونيين وتشير أفضليات</w:t>
      </w:r>
      <w:r>
        <w:rPr>
          <w:rFonts w:hint="cs"/>
          <w:rtl/>
        </w:rPr>
        <w:t xml:space="preserve"> المستهلك</w:t>
      </w:r>
      <w:r w:rsidR="00A061BD">
        <w:rPr>
          <w:rFonts w:hint="cs"/>
          <w:rtl/>
        </w:rPr>
        <w:t>ين</w:t>
      </w:r>
      <w:r>
        <w:rPr>
          <w:rFonts w:hint="cs"/>
          <w:rtl/>
        </w:rPr>
        <w:t xml:space="preserve"> إلى أن الكتب ال</w:t>
      </w:r>
      <w:r w:rsidR="00A061BD">
        <w:rPr>
          <w:rFonts w:hint="cs"/>
          <w:rtl/>
        </w:rPr>
        <w:t>و</w:t>
      </w:r>
      <w:r>
        <w:rPr>
          <w:rFonts w:hint="cs"/>
          <w:rtl/>
        </w:rPr>
        <w:t>رقية ستظل نموذج عمل قابل للاستمرار.</w:t>
      </w:r>
    </w:p>
    <w:p w:rsidR="00EC45F5" w:rsidRDefault="00EC45F5" w:rsidP="00BF1298">
      <w:pPr>
        <w:pStyle w:val="Heading3"/>
        <w:rPr>
          <w:rtl/>
        </w:rPr>
      </w:pPr>
      <w:r w:rsidRPr="00F2469F">
        <w:rPr>
          <w:rFonts w:hint="cs"/>
          <w:rtl/>
        </w:rPr>
        <w:lastRenderedPageBreak/>
        <w:t>النماذج الناشئة</w:t>
      </w:r>
    </w:p>
    <w:p w:rsidR="00EC45F5" w:rsidRDefault="007C6E2E" w:rsidP="001139D8">
      <w:pPr>
        <w:pStyle w:val="NormalParaAR"/>
        <w:rPr>
          <w:rtl/>
        </w:rPr>
      </w:pPr>
      <w:r>
        <w:rPr>
          <w:rFonts w:hint="cs"/>
          <w:rtl/>
        </w:rPr>
        <w:t>ينشر الموقع الإلكتروني الصيني</w:t>
      </w:r>
      <w:r>
        <w:rPr>
          <w:rFonts w:hint="eastAsia"/>
          <w:rtl/>
        </w:rPr>
        <w:t> </w:t>
      </w:r>
      <w:r>
        <w:rPr>
          <w:szCs w:val="22"/>
        </w:rPr>
        <w:t>www.</w:t>
      </w:r>
      <w:r w:rsidRPr="00241717">
        <w:rPr>
          <w:szCs w:val="22"/>
        </w:rPr>
        <w:t>Qidian.com</w:t>
      </w:r>
      <w:r>
        <w:rPr>
          <w:rFonts w:hint="cs"/>
          <w:szCs w:val="22"/>
          <w:rtl/>
        </w:rPr>
        <w:t xml:space="preserve"> </w:t>
      </w:r>
      <w:r>
        <w:rPr>
          <w:rFonts w:hint="cs"/>
          <w:rtl/>
        </w:rPr>
        <w:t xml:space="preserve"> </w:t>
      </w:r>
      <w:r w:rsidR="001139D8">
        <w:rPr>
          <w:rFonts w:hint="cs"/>
          <w:rtl/>
        </w:rPr>
        <w:t>أعمال الم</w:t>
      </w:r>
      <w:r>
        <w:rPr>
          <w:rFonts w:hint="cs"/>
          <w:rtl/>
        </w:rPr>
        <w:t>ؤلفين من الهواة والمحترفين، ويضم أكثر من مليون عم</w:t>
      </w:r>
      <w:r w:rsidR="001139D8">
        <w:rPr>
          <w:rFonts w:hint="cs"/>
          <w:rtl/>
        </w:rPr>
        <w:t>ل. وعادة ما تقدم القصص مجانا، وي</w:t>
      </w:r>
      <w:r>
        <w:rPr>
          <w:rFonts w:hint="cs"/>
          <w:rtl/>
        </w:rPr>
        <w:t xml:space="preserve">صبح </w:t>
      </w:r>
      <w:r w:rsidR="00A061BD">
        <w:rPr>
          <w:rFonts w:hint="cs"/>
          <w:rtl/>
        </w:rPr>
        <w:t xml:space="preserve">محتوى </w:t>
      </w:r>
      <w:r>
        <w:rPr>
          <w:rFonts w:hint="cs"/>
          <w:rtl/>
        </w:rPr>
        <w:t>القصص الناجحة والمؤلفين الناجحين مدفوع</w:t>
      </w:r>
      <w:r w:rsidR="00107290">
        <w:rPr>
          <w:rFonts w:hint="cs"/>
          <w:rtl/>
        </w:rPr>
        <w:t>ي</w:t>
      </w:r>
      <w:r>
        <w:rPr>
          <w:rFonts w:hint="cs"/>
          <w:rtl/>
        </w:rPr>
        <w:t xml:space="preserve"> </w:t>
      </w:r>
      <w:r w:rsidR="00A061BD">
        <w:rPr>
          <w:rFonts w:hint="cs"/>
          <w:rtl/>
        </w:rPr>
        <w:t>الأجر</w:t>
      </w:r>
      <w:r w:rsidR="00107290">
        <w:rPr>
          <w:rFonts w:hint="cs"/>
          <w:rtl/>
        </w:rPr>
        <w:t xml:space="preserve">. </w:t>
      </w:r>
      <w:r>
        <w:rPr>
          <w:rFonts w:hint="cs"/>
          <w:rtl/>
        </w:rPr>
        <w:t>و</w:t>
      </w:r>
      <w:r w:rsidR="00107290">
        <w:rPr>
          <w:rFonts w:hint="cs"/>
          <w:rtl/>
        </w:rPr>
        <w:t>يسدد القراء الرسوم بالتقسيط وهم يقرأون. وأ</w:t>
      </w:r>
      <w:r w:rsidR="00A061BD">
        <w:rPr>
          <w:rFonts w:hint="cs"/>
          <w:rtl/>
        </w:rPr>
        <w:t>ُ</w:t>
      </w:r>
      <w:r w:rsidR="00107290">
        <w:rPr>
          <w:rFonts w:hint="cs"/>
          <w:rtl/>
        </w:rPr>
        <w:t xml:space="preserve">طلق هذ الموقع الإلكتروني في 2002 </w:t>
      </w:r>
      <w:r w:rsidR="00A061BD">
        <w:rPr>
          <w:rFonts w:hint="cs"/>
          <w:rtl/>
        </w:rPr>
        <w:t>وأثرى</w:t>
      </w:r>
      <w:r w:rsidR="00107290">
        <w:rPr>
          <w:rFonts w:hint="cs"/>
          <w:rtl/>
        </w:rPr>
        <w:t xml:space="preserve"> بعض المؤلفين</w:t>
      </w:r>
      <w:r w:rsidR="00A061BD">
        <w:rPr>
          <w:rFonts w:hint="cs"/>
          <w:rtl/>
        </w:rPr>
        <w:t xml:space="preserve"> حتى أصبحوا من</w:t>
      </w:r>
      <w:r w:rsidR="00107290">
        <w:rPr>
          <w:rFonts w:hint="cs"/>
          <w:rtl/>
        </w:rPr>
        <w:t xml:space="preserve"> </w:t>
      </w:r>
      <w:r w:rsidR="00A061BD">
        <w:rPr>
          <w:rFonts w:hint="cs"/>
          <w:rtl/>
        </w:rPr>
        <w:t>ال</w:t>
      </w:r>
      <w:r w:rsidR="00107290">
        <w:rPr>
          <w:rFonts w:hint="cs"/>
          <w:rtl/>
        </w:rPr>
        <w:t>مليونيرات.</w:t>
      </w:r>
    </w:p>
    <w:p w:rsidR="007C6E2E" w:rsidRDefault="007C6E2E" w:rsidP="007C6E2E">
      <w:pPr>
        <w:pStyle w:val="NormalParaAR"/>
        <w:rPr>
          <w:rtl/>
        </w:rPr>
      </w:pPr>
    </w:p>
    <w:p w:rsidR="00A46C58" w:rsidRPr="00A46C58" w:rsidRDefault="00EC45F5" w:rsidP="00073BE5">
      <w:pPr>
        <w:pStyle w:val="EndofDocumentAR"/>
      </w:pPr>
      <w:r>
        <w:rPr>
          <w:rtl/>
        </w:rPr>
        <w:t>[</w:t>
      </w:r>
      <w:r>
        <w:rPr>
          <w:rFonts w:hint="cs"/>
          <w:rtl/>
        </w:rPr>
        <w:t>نهاية الوثيقة</w:t>
      </w:r>
      <w:r>
        <w:rPr>
          <w:rtl/>
        </w:rPr>
        <w:t>]</w:t>
      </w:r>
    </w:p>
    <w:sectPr w:rsidR="00A46C58" w:rsidRPr="00A46C58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DB" w:rsidRDefault="001F27DB">
      <w:r>
        <w:separator/>
      </w:r>
    </w:p>
  </w:endnote>
  <w:endnote w:type="continuationSeparator" w:id="0">
    <w:p w:rsidR="001F27DB" w:rsidRDefault="001F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DB" w:rsidRDefault="001F27D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F27DB" w:rsidRDefault="001F27DB" w:rsidP="009622BF">
      <w:pPr>
        <w:bidi/>
      </w:pPr>
      <w:r>
        <w:separator/>
      </w:r>
    </w:p>
  </w:footnote>
  <w:footnote w:id="1">
    <w:p w:rsidR="001F27DB" w:rsidRDefault="001F27DB" w:rsidP="00CF50BA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قطاع التسجيلات هو القطاع الذي يركز على تسجيل الموسيقي وبيعها. ويشمل تعريف قطاع الموسيقى </w:t>
      </w:r>
      <w:r w:rsidR="00CF50BA">
        <w:rPr>
          <w:rFonts w:hint="cs"/>
          <w:rtl/>
        </w:rPr>
        <w:t>الأشمل ما يلي:</w:t>
      </w:r>
      <w:r>
        <w:rPr>
          <w:rFonts w:hint="cs"/>
          <w:rtl/>
        </w:rPr>
        <w:t xml:space="preserve"> الأداء الحي، والتسويق، وطائفة من الأنشطة المرتبطة بالموسيقى.</w:t>
      </w:r>
    </w:p>
  </w:footnote>
  <w:footnote w:id="2">
    <w:p w:rsidR="001F27DB" w:rsidRDefault="001F27DB" w:rsidP="00CF50B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تعتمد جميع الأرقام على بيانات 2013 المستقاة من </w:t>
      </w:r>
      <w:r w:rsidRPr="00240741">
        <w:rPr>
          <w:rtl/>
        </w:rPr>
        <w:t xml:space="preserve">تقرير عن الموسيقى الرقمية </w:t>
      </w:r>
      <w:r>
        <w:rPr>
          <w:rFonts w:hint="cs"/>
          <w:rtl/>
        </w:rPr>
        <w:t xml:space="preserve">صادر عن </w:t>
      </w:r>
      <w:r w:rsidRPr="00240741">
        <w:rPr>
          <w:rtl/>
        </w:rPr>
        <w:t>الاتحاد الدولي لصناعة الفونوغرامات</w:t>
      </w:r>
      <w:r w:rsidRPr="00A2375C">
        <w:t xml:space="preserve">(IFPI) </w:t>
      </w:r>
      <w:r>
        <w:rPr>
          <w:rFonts w:hint="cs"/>
          <w:rtl/>
        </w:rPr>
        <w:t xml:space="preserve"> (2014)</w:t>
      </w:r>
      <w:r w:rsidRPr="009C66A3">
        <w:rPr>
          <w:rFonts w:hint="cs"/>
          <w:rtl/>
        </w:rPr>
        <w:t xml:space="preserve"> </w:t>
      </w:r>
      <w:r w:rsidR="00CF50BA">
        <w:rPr>
          <w:rFonts w:hint="cs"/>
          <w:rtl/>
        </w:rPr>
        <w:t>و</w:t>
      </w:r>
      <w:r>
        <w:rPr>
          <w:rFonts w:hint="cs"/>
          <w:rtl/>
        </w:rPr>
        <w:t>متاح على الموقع التالي</w:t>
      </w:r>
      <w:r w:rsidR="00CF50B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r w:rsidRPr="00DB6BCD">
        <w:t>http://www.ifpi.org/global-statistics.php</w:t>
      </w:r>
      <w:r>
        <w:rPr>
          <w:rFonts w:hint="cs"/>
          <w:rtl/>
        </w:rPr>
        <w:t xml:space="preserve"> </w:t>
      </w:r>
    </w:p>
  </w:footnote>
  <w:footnote w:id="3">
    <w:p w:rsidR="001F27DB" w:rsidRPr="00C04D16" w:rsidRDefault="001F27DB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2375C">
        <w:rPr>
          <w:rtl/>
        </w:rPr>
        <w:t>جمعية الفيلم الأمريكي (</w:t>
      </w:r>
      <w:r w:rsidRPr="00A2375C">
        <w:t>MPAA</w:t>
      </w:r>
      <w:r w:rsidRPr="00C04D16">
        <w:rPr>
          <w:rtl/>
        </w:rPr>
        <w:t>)</w:t>
      </w:r>
      <w:r w:rsidRPr="00C04D16">
        <w:rPr>
          <w:rFonts w:hint="cs"/>
          <w:rtl/>
        </w:rPr>
        <w:t xml:space="preserve"> إحصاءات السوق المسرحية 2014</w:t>
      </w:r>
    </w:p>
  </w:footnote>
  <w:footnote w:id="4">
    <w:p w:rsidR="001F27DB" w:rsidRPr="00C04D16" w:rsidRDefault="001F27DB" w:rsidP="00A2375C">
      <w:pPr>
        <w:pStyle w:val="FootnoteText"/>
        <w:rPr>
          <w:lang w:bidi="ar-EG"/>
        </w:rPr>
      </w:pPr>
      <w:r w:rsidRPr="00C04D16">
        <w:rPr>
          <w:rStyle w:val="FootnoteReference"/>
        </w:rPr>
        <w:footnoteRef/>
      </w:r>
      <w:r w:rsidRPr="00C04D16">
        <w:rPr>
          <w:rtl/>
        </w:rPr>
        <w:t xml:space="preserve"> معهد اليونسكو للإحصائيات</w:t>
      </w:r>
      <w:r w:rsidRPr="00C04D16">
        <w:rPr>
          <w:rFonts w:hint="cs"/>
          <w:rtl/>
        </w:rPr>
        <w:t xml:space="preserve"> (2013) الأسواق الناشئة ورقمنة صناعة الأفلام</w:t>
      </w:r>
    </w:p>
  </w:footnote>
  <w:footnote w:id="5">
    <w:p w:rsidR="001F27DB" w:rsidRPr="00C04D16" w:rsidRDefault="001F27DB" w:rsidP="009D0D1F">
      <w:pPr>
        <w:pStyle w:val="FootnoteText"/>
        <w:rPr>
          <w:lang w:bidi="ar-EG"/>
        </w:rPr>
      </w:pPr>
      <w:r w:rsidRPr="00C04D16">
        <w:rPr>
          <w:rStyle w:val="FootnoteReference"/>
        </w:rPr>
        <w:footnoteRef/>
      </w:r>
      <w:r w:rsidRPr="00C04D16">
        <w:rPr>
          <w:rtl/>
        </w:rPr>
        <w:t xml:space="preserve"> جمعية الفيلم الأمريكي (</w:t>
      </w:r>
      <w:r w:rsidRPr="00C04D16">
        <w:t>MPAA</w:t>
      </w:r>
      <w:r w:rsidRPr="00C04D16">
        <w:rPr>
          <w:rtl/>
        </w:rPr>
        <w:t>)</w:t>
      </w:r>
      <w:r w:rsidRPr="00C04D16">
        <w:rPr>
          <w:rFonts w:hint="cs"/>
          <w:rtl/>
        </w:rPr>
        <w:t xml:space="preserve"> إحصاءات السوق المسرحية 2014</w:t>
      </w:r>
    </w:p>
  </w:footnote>
  <w:footnote w:id="6">
    <w:p w:rsidR="001F27DB" w:rsidRPr="00C04D16" w:rsidRDefault="001F27DB" w:rsidP="009518D6">
      <w:pPr>
        <w:pStyle w:val="FootnoteText"/>
        <w:rPr>
          <w:lang w:bidi="ar-EG"/>
        </w:rPr>
      </w:pPr>
      <w:r w:rsidRPr="00C04D16">
        <w:rPr>
          <w:rStyle w:val="FootnoteReference"/>
        </w:rPr>
        <w:footnoteRef/>
      </w:r>
      <w:r w:rsidRPr="00C04D16">
        <w:rPr>
          <w:rtl/>
        </w:rPr>
        <w:t xml:space="preserve"> </w:t>
      </w:r>
      <w:r w:rsidRPr="00C04D16">
        <w:rPr>
          <w:rFonts w:hint="cs"/>
          <w:rtl/>
        </w:rPr>
        <w:t xml:space="preserve">مقارنة بزيادة قدرها 4% في 2013، و6% في 2012، وانخفاض قدره 4% في 2011، ونمو قدره 6% من 2006 إلى 2011. </w:t>
      </w:r>
      <w:r w:rsidRPr="00C04D16">
        <w:rPr>
          <w:rtl/>
        </w:rPr>
        <w:t>جمعية الفيلم الأمريكي (</w:t>
      </w:r>
      <w:r w:rsidRPr="00C04D16">
        <w:t>MPAA</w:t>
      </w:r>
      <w:r w:rsidRPr="00C04D16">
        <w:rPr>
          <w:rtl/>
        </w:rPr>
        <w:t>)</w:t>
      </w:r>
    </w:p>
  </w:footnote>
  <w:footnote w:id="7">
    <w:p w:rsidR="001F27DB" w:rsidRDefault="001F27DB">
      <w:pPr>
        <w:pStyle w:val="FootnoteText"/>
        <w:rPr>
          <w:lang w:bidi="ar-EG"/>
        </w:rPr>
      </w:pPr>
      <w:r w:rsidRPr="00C04D16">
        <w:rPr>
          <w:rStyle w:val="FootnoteReference"/>
        </w:rPr>
        <w:footnoteRef/>
      </w:r>
      <w:r w:rsidRPr="00C04D16">
        <w:rPr>
          <w:rtl/>
        </w:rPr>
        <w:t xml:space="preserve"> جمعية الفيلم الأمريكي (</w:t>
      </w:r>
      <w:r w:rsidRPr="00C04D16">
        <w:t>MPAA</w:t>
      </w:r>
      <w:r w:rsidRPr="00C04D16">
        <w:rPr>
          <w:rtl/>
        </w:rPr>
        <w:t>)</w:t>
      </w:r>
      <w:r w:rsidRPr="00C04D16">
        <w:rPr>
          <w:rFonts w:hint="cs"/>
          <w:rtl/>
        </w:rPr>
        <w:t xml:space="preserve"> إحصاءات السوق المسرحية 2014</w:t>
      </w:r>
    </w:p>
  </w:footnote>
  <w:footnote w:id="8">
    <w:p w:rsidR="001F27DB" w:rsidRPr="00C04D16" w:rsidRDefault="001F27DB" w:rsidP="000574F5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تقرير الترفيه المنزلي، </w:t>
      </w:r>
      <w:r>
        <w:rPr>
          <w:rFonts w:hint="cs"/>
          <w:rtl/>
          <w:lang w:bidi="ar-EG"/>
        </w:rPr>
        <w:t xml:space="preserve">الصادر </w:t>
      </w:r>
      <w:r w:rsidR="000574F5">
        <w:rPr>
          <w:rFonts w:hint="cs"/>
          <w:rtl/>
        </w:rPr>
        <w:t xml:space="preserve">مجموعة الترفيه الرقمي </w:t>
      </w:r>
      <w:r w:rsidR="000574F5">
        <w:rPr>
          <w:rFonts w:hint="cs"/>
          <w:rtl/>
          <w:lang w:bidi="ar-EG"/>
        </w:rPr>
        <w:t xml:space="preserve">عن </w:t>
      </w:r>
      <w:r w:rsidR="000574F5">
        <w:rPr>
          <w:rFonts w:hint="cs"/>
          <w:rtl/>
        </w:rPr>
        <w:t>نهاية عام 2014 بعنوان</w:t>
      </w:r>
      <w:r w:rsidR="00BF1298">
        <w:rPr>
          <w:rFonts w:hint="cs"/>
          <w:rtl/>
        </w:rPr>
        <w:t xml:space="preserve"> </w:t>
      </w:r>
      <w:r w:rsidR="000574F5">
        <w:rPr>
          <w:rFonts w:hint="cs"/>
          <w:rtl/>
        </w:rPr>
        <w:t>"</w:t>
      </w:r>
      <w:r w:rsidR="000574F5" w:rsidRPr="00C04D16">
        <w:rPr>
          <w:rFonts w:hint="cs"/>
          <w:rtl/>
        </w:rPr>
        <w:t>الإصدارات المسرحية الاستثنائية الجديدة"</w:t>
      </w:r>
      <w:r>
        <w:rPr>
          <w:rFonts w:hint="cs"/>
          <w:rtl/>
          <w:lang w:bidi="ar-EG"/>
        </w:rPr>
        <w:t xml:space="preserve"> </w:t>
      </w:r>
    </w:p>
  </w:footnote>
  <w:footnote w:id="9">
    <w:p w:rsidR="001F27DB" w:rsidRDefault="001F27DB" w:rsidP="00BF1298">
      <w:pPr>
        <w:pStyle w:val="FootnoteText"/>
        <w:rPr>
          <w:lang w:bidi="ar-EG"/>
        </w:rPr>
      </w:pPr>
      <w:r w:rsidRPr="00C04D16">
        <w:rPr>
          <w:rStyle w:val="FootnoteReference"/>
        </w:rPr>
        <w:footnoteRef/>
      </w:r>
      <w:r w:rsidRPr="00C04D16">
        <w:rPr>
          <w:rtl/>
        </w:rPr>
        <w:t xml:space="preserve"> </w:t>
      </w:r>
      <w:r w:rsidRPr="00C04D16">
        <w:rPr>
          <w:rFonts w:hint="cs"/>
          <w:rtl/>
        </w:rPr>
        <w:t xml:space="preserve">المعهد البريطاني للأفلام، </w:t>
      </w:r>
      <w:r w:rsidRPr="00C04D16">
        <w:rPr>
          <w:rtl/>
        </w:rPr>
        <w:t>ا</w:t>
      </w:r>
      <w:r w:rsidRPr="00C04D16">
        <w:rPr>
          <w:rFonts w:hint="cs"/>
          <w:rtl/>
        </w:rPr>
        <w:t>ل</w:t>
      </w:r>
      <w:r w:rsidRPr="00C04D16">
        <w:rPr>
          <w:rtl/>
        </w:rPr>
        <w:t>إحصا</w:t>
      </w:r>
      <w:r w:rsidRPr="00C04D16">
        <w:rPr>
          <w:rFonts w:hint="cs"/>
          <w:rtl/>
        </w:rPr>
        <w:t>ءات السنوية 2014</w:t>
      </w:r>
    </w:p>
  </w:footnote>
  <w:footnote w:id="10">
    <w:p w:rsidR="001F27DB" w:rsidRDefault="001F27DB" w:rsidP="007F74C2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0574F5">
        <w:rPr>
          <w:rFonts w:hint="cs"/>
          <w:rtl/>
        </w:rPr>
        <w:t xml:space="preserve">هي </w:t>
      </w:r>
      <w:r>
        <w:rPr>
          <w:rFonts w:hint="cs"/>
          <w:rtl/>
        </w:rPr>
        <w:t>عملية تصدر من خلالها الأفلام في "نوافذ" متعاقبة، لتعظيم الإيرادات، مثل السينما/المسرح، يليها الفيديو ثم التليفزيون</w:t>
      </w:r>
    </w:p>
  </w:footnote>
  <w:footnote w:id="11">
    <w:p w:rsidR="001F27DB" w:rsidRDefault="001F27DB" w:rsidP="007F74C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الأرقام مستقاة من الاتحاد الدولي للاتصالات</w:t>
      </w:r>
      <w:r w:rsidRPr="007F74C2">
        <w:rPr>
          <w:rtl/>
        </w:rPr>
        <w:t xml:space="preserve"> (</w:t>
      </w:r>
      <w:r w:rsidRPr="007F74C2">
        <w:t>ITU</w:t>
      </w:r>
      <w:r w:rsidRPr="007F74C2">
        <w:rPr>
          <w:rtl/>
        </w:rPr>
        <w:t>)</w:t>
      </w:r>
      <w:r>
        <w:rPr>
          <w:rFonts w:hint="cs"/>
          <w:rtl/>
        </w:rPr>
        <w:t xml:space="preserve"> (2013)، "قياس مجتمع المعلومات" ومتاح على</w:t>
      </w:r>
      <w:r>
        <w:rPr>
          <w:rFonts w:hint="eastAsia"/>
          <w:rtl/>
        </w:rPr>
        <w:t> </w:t>
      </w:r>
      <w:r w:rsidRPr="007F74C2">
        <w:t>http://www.itu.int/en/ITU-D/Statistics/Pages/publications/mis2013.aspx</w:t>
      </w:r>
      <w:r>
        <w:rPr>
          <w:rFonts w:hint="cs"/>
          <w:rtl/>
        </w:rPr>
        <w:t xml:space="preserve"> </w:t>
      </w:r>
    </w:p>
  </w:footnote>
  <w:footnote w:id="12">
    <w:p w:rsidR="001F27DB" w:rsidRPr="00C04D16" w:rsidRDefault="001F27DB" w:rsidP="008D3313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تقديرات منشورة في 2015 </w:t>
      </w:r>
      <w:r w:rsidRPr="00C04D16">
        <w:rPr>
          <w:rFonts w:hint="cs"/>
          <w:rtl/>
        </w:rPr>
        <w:t xml:space="preserve">في </w:t>
      </w:r>
      <w:r w:rsidRPr="00C04D16">
        <w:rPr>
          <w:rtl/>
        </w:rPr>
        <w:t xml:space="preserve">شركة "برايس </w:t>
      </w:r>
      <w:proofErr w:type="spellStart"/>
      <w:r w:rsidRPr="00C04D16">
        <w:rPr>
          <w:rtl/>
        </w:rPr>
        <w:t>وترهاوس</w:t>
      </w:r>
      <w:proofErr w:type="spellEnd"/>
      <w:r w:rsidRPr="00C04D16">
        <w:rPr>
          <w:rtl/>
        </w:rPr>
        <w:t xml:space="preserve"> كوبرز</w:t>
      </w:r>
      <w:r w:rsidRPr="00C04D16">
        <w:rPr>
          <w:rFonts w:hint="cs"/>
          <w:rtl/>
        </w:rPr>
        <w:t>"</w:t>
      </w:r>
      <w:r w:rsidRPr="00C04D16">
        <w:rPr>
          <w:rtl/>
        </w:rPr>
        <w:t xml:space="preserve"> (</w:t>
      </w:r>
      <w:r w:rsidRPr="00C04D16">
        <w:t>PWC</w:t>
      </w:r>
      <w:r w:rsidRPr="00C04D16">
        <w:rPr>
          <w:rtl/>
        </w:rPr>
        <w:t>)</w:t>
      </w:r>
      <w:r w:rsidRPr="00C04D16">
        <w:rPr>
          <w:rFonts w:hint="cs"/>
          <w:rtl/>
          <w:lang w:bidi="ar-EG"/>
        </w:rPr>
        <w:t>، "اشتراكات التليفزيون ورسوم الترخيص، لمحة عن الرؤى" 6، متاح على </w:t>
      </w:r>
      <w:r w:rsidRPr="00C04D16">
        <w:rPr>
          <w:lang w:bidi="ar-EG"/>
        </w:rPr>
        <w:t>http://www.pwc.com/gx/en/global-entertainment-media-outlook/assets/2015/tv-subscriptions-and-licence-fees-key-insights-6-tv-public-licence-fee.pdf</w:t>
      </w:r>
      <w:r w:rsidRPr="00C04D16">
        <w:rPr>
          <w:rFonts w:hint="cs"/>
          <w:rtl/>
          <w:lang w:bidi="ar-EG"/>
        </w:rPr>
        <w:t xml:space="preserve"> </w:t>
      </w:r>
    </w:p>
  </w:footnote>
  <w:footnote w:id="13">
    <w:p w:rsidR="001F27DB" w:rsidRPr="00C04D16" w:rsidRDefault="001F27DB" w:rsidP="008D3313">
      <w:pPr>
        <w:pStyle w:val="FootnoteText"/>
        <w:rPr>
          <w:lang w:bidi="ar-EG"/>
        </w:rPr>
      </w:pPr>
      <w:r w:rsidRPr="00C04D16">
        <w:rPr>
          <w:rStyle w:val="FootnoteReference"/>
        </w:rPr>
        <w:footnoteRef/>
      </w:r>
      <w:r w:rsidRPr="00C04D16">
        <w:rPr>
          <w:rtl/>
        </w:rPr>
        <w:t xml:space="preserve"> </w:t>
      </w:r>
      <w:r w:rsidRPr="00C04D16">
        <w:rPr>
          <w:rFonts w:hint="cs"/>
          <w:rtl/>
        </w:rPr>
        <w:t>الاتحاد الدولي للاتصالات</w:t>
      </w:r>
      <w:r w:rsidRPr="00C04D16">
        <w:rPr>
          <w:rtl/>
        </w:rPr>
        <w:t xml:space="preserve"> (</w:t>
      </w:r>
      <w:r w:rsidRPr="00C04D16">
        <w:t>ITU</w:t>
      </w:r>
      <w:r w:rsidRPr="00C04D16">
        <w:rPr>
          <w:rtl/>
        </w:rPr>
        <w:t>)</w:t>
      </w:r>
      <w:r w:rsidRPr="00C04D16">
        <w:rPr>
          <w:rFonts w:hint="cs"/>
          <w:rtl/>
        </w:rPr>
        <w:t>، المرجع ذاته</w:t>
      </w:r>
    </w:p>
  </w:footnote>
  <w:footnote w:id="14">
    <w:p w:rsidR="001F27DB" w:rsidRDefault="001F27DB" w:rsidP="008D3313">
      <w:pPr>
        <w:pStyle w:val="FootnoteText"/>
        <w:rPr>
          <w:lang w:bidi="ar-EG"/>
        </w:rPr>
      </w:pPr>
      <w:r w:rsidRPr="00C04D16">
        <w:rPr>
          <w:rStyle w:val="FootnoteReference"/>
        </w:rPr>
        <w:footnoteRef/>
      </w:r>
      <w:r w:rsidRPr="00C04D16">
        <w:rPr>
          <w:rtl/>
        </w:rPr>
        <w:t xml:space="preserve"> </w:t>
      </w:r>
      <w:r w:rsidRPr="00C04D16">
        <w:rPr>
          <w:rFonts w:hint="cs"/>
          <w:rtl/>
        </w:rPr>
        <w:t xml:space="preserve">احصاءات </w:t>
      </w:r>
      <w:r w:rsidRPr="00C04D16">
        <w:rPr>
          <w:rtl/>
        </w:rPr>
        <w:t xml:space="preserve">شركة "برايس </w:t>
      </w:r>
      <w:proofErr w:type="spellStart"/>
      <w:r w:rsidRPr="00C04D16">
        <w:rPr>
          <w:rtl/>
        </w:rPr>
        <w:t>وترهاوس</w:t>
      </w:r>
      <w:proofErr w:type="spellEnd"/>
      <w:r w:rsidRPr="00C04D16">
        <w:rPr>
          <w:rtl/>
        </w:rPr>
        <w:t xml:space="preserve"> كوبرز</w:t>
      </w:r>
      <w:r w:rsidRPr="00C04D16">
        <w:rPr>
          <w:rFonts w:hint="cs"/>
          <w:rtl/>
        </w:rPr>
        <w:t>"</w:t>
      </w:r>
      <w:r w:rsidRPr="00C04D16">
        <w:rPr>
          <w:rtl/>
        </w:rPr>
        <w:t xml:space="preserve"> (</w:t>
      </w:r>
      <w:r w:rsidRPr="00C04D16">
        <w:t>PWC</w:t>
      </w:r>
      <w:r w:rsidRPr="00C04D16">
        <w:rPr>
          <w:rtl/>
        </w:rPr>
        <w:t>)</w:t>
      </w:r>
      <w:r w:rsidRPr="00C04D16">
        <w:rPr>
          <w:rFonts w:hint="cs"/>
          <w:rtl/>
          <w:lang w:bidi="ar-EG"/>
        </w:rPr>
        <w:t>، وفقا لما أوردته</w:t>
      </w:r>
      <w:r>
        <w:rPr>
          <w:rFonts w:hint="cs"/>
          <w:rtl/>
          <w:lang w:bidi="ar-EG"/>
        </w:rPr>
        <w:t xml:space="preserve"> </w:t>
      </w:r>
      <w:r w:rsidRPr="008D3313">
        <w:rPr>
          <w:lang w:bidi="ar-EG"/>
        </w:rPr>
        <w:t>Statistica.com</w:t>
      </w:r>
      <w:r>
        <w:rPr>
          <w:rFonts w:hint="cs"/>
          <w:rtl/>
          <w:lang w:bidi="ar-EG"/>
        </w:rPr>
        <w:t xml:space="preserve">، إجمالي إيرادات إعلانات التليفزيون من 2012 إلى 2017، بحسب المصدر (بمليارات الدولارات الأمريكية)، تاريخ الزيارة  12 أكتوبر 2015 </w:t>
      </w:r>
      <w:r w:rsidR="00FD7B1A">
        <w:rPr>
          <w:rFonts w:hint="cs"/>
          <w:rtl/>
          <w:lang w:bidi="ar-EG"/>
        </w:rPr>
        <w:t xml:space="preserve">متاح </w:t>
      </w:r>
      <w:r>
        <w:rPr>
          <w:rFonts w:hint="cs"/>
          <w:rtl/>
          <w:lang w:bidi="ar-EG"/>
        </w:rPr>
        <w:t>على</w:t>
      </w:r>
      <w:r>
        <w:rPr>
          <w:rFonts w:hint="eastAsia"/>
          <w:rtl/>
          <w:lang w:bidi="ar-EG"/>
        </w:rPr>
        <w:t> </w:t>
      </w:r>
      <w:r w:rsidRPr="008D3313">
        <w:rPr>
          <w:lang w:bidi="ar-EG"/>
        </w:rPr>
        <w:t>http://www.statista.com/statistics/260123/global-tv-advertising-revenue-by-source</w:t>
      </w:r>
      <w:r w:rsidRPr="008D3313">
        <w:rPr>
          <w:rtl/>
          <w:lang w:bidi="ar-EG"/>
        </w:rPr>
        <w:t>/</w:t>
      </w:r>
    </w:p>
  </w:footnote>
  <w:footnote w:id="15">
    <w:p w:rsidR="001F27DB" w:rsidRDefault="001F27DB" w:rsidP="009E1666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تتراجع حصة التليفزيون من إجمالي إيرادات الإعلانات، ولكنها لاتزال تسجل معدل نمو بسيط يبلغ أقل من 5% في البلدان المتقدمة ومعدلات نمو أعلى في البلدان النامية.</w:t>
      </w:r>
    </w:p>
  </w:footnote>
  <w:footnote w:id="16">
    <w:p w:rsidR="001F27DB" w:rsidRDefault="001F27DB" w:rsidP="009010F8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E1666">
        <w:rPr>
          <w:rtl/>
        </w:rPr>
        <w:t xml:space="preserve">تقديرات منشورة في 2015 في شركة "برايس </w:t>
      </w:r>
      <w:proofErr w:type="spellStart"/>
      <w:r w:rsidRPr="009E1666">
        <w:rPr>
          <w:rtl/>
        </w:rPr>
        <w:t>وترهاوس</w:t>
      </w:r>
      <w:proofErr w:type="spellEnd"/>
      <w:r w:rsidRPr="009E1666">
        <w:rPr>
          <w:rtl/>
        </w:rPr>
        <w:t xml:space="preserve"> كوبرز" (</w:t>
      </w:r>
      <w:r w:rsidRPr="009E1666">
        <w:t>PWC</w:t>
      </w:r>
      <w:r w:rsidRPr="009E1666">
        <w:rPr>
          <w:rtl/>
        </w:rPr>
        <w:t>)</w:t>
      </w:r>
      <w:r>
        <w:rPr>
          <w:rFonts w:hint="cs"/>
          <w:rtl/>
        </w:rPr>
        <w:t xml:space="preserve"> (2015)</w:t>
      </w:r>
      <w:r w:rsidRPr="009E1666">
        <w:rPr>
          <w:rtl/>
        </w:rPr>
        <w:t>، "</w:t>
      </w:r>
      <w:r>
        <w:rPr>
          <w:rFonts w:hint="cs"/>
          <w:rtl/>
        </w:rPr>
        <w:t>إعلانات</w:t>
      </w:r>
      <w:r>
        <w:rPr>
          <w:rtl/>
        </w:rPr>
        <w:t xml:space="preserve"> التليفزيون</w:t>
      </w:r>
      <w:r>
        <w:rPr>
          <w:rFonts w:hint="cs"/>
          <w:rtl/>
        </w:rPr>
        <w:t>:</w:t>
      </w:r>
      <w:r w:rsidRPr="009E1666">
        <w:rPr>
          <w:rtl/>
        </w:rPr>
        <w:t xml:space="preserve"> لمحة </w:t>
      </w:r>
      <w:r w:rsidRPr="009C66A3">
        <w:rPr>
          <w:rtl/>
        </w:rPr>
        <w:t>عن الرؤى</w:t>
      </w:r>
      <w:r w:rsidRPr="009C66A3">
        <w:rPr>
          <w:rFonts w:hint="cs"/>
          <w:rtl/>
        </w:rPr>
        <w:t xml:space="preserve"> الأساسية</w:t>
      </w:r>
      <w:r w:rsidRPr="009C66A3">
        <w:rPr>
          <w:rtl/>
        </w:rPr>
        <w:t>"</w:t>
      </w:r>
      <w:r w:rsidRPr="009E1666">
        <w:rPr>
          <w:rtl/>
        </w:rPr>
        <w:t xml:space="preserve"> </w:t>
      </w:r>
      <w:r>
        <w:rPr>
          <w:rFonts w:hint="cs"/>
          <w:rtl/>
        </w:rPr>
        <w:t>1</w:t>
      </w:r>
      <w:r w:rsidRPr="009E1666">
        <w:rPr>
          <w:rtl/>
        </w:rPr>
        <w:t>، متاح</w:t>
      </w:r>
      <w:r>
        <w:rPr>
          <w:rFonts w:hint="cs"/>
          <w:rtl/>
        </w:rPr>
        <w:t xml:space="preserve"> على </w:t>
      </w:r>
      <w:r w:rsidRPr="009E1666">
        <w:t>https://www.pwc.com/gx/en/global-entertainment-media-outlook/assets/2015/tv-advertising-key-insights-1-global-tv-advertising.pdf</w:t>
      </w:r>
    </w:p>
  </w:footnote>
  <w:footnote w:id="17">
    <w:p w:rsidR="001F27DB" w:rsidRDefault="001F27DB" w:rsidP="009C66A3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2015 إلى 2019، </w:t>
      </w:r>
      <w:r w:rsidRPr="009E1666">
        <w:rPr>
          <w:rtl/>
        </w:rPr>
        <w:t xml:space="preserve">تقديرات منشورة في 2015 في شركة "برايس </w:t>
      </w:r>
      <w:proofErr w:type="spellStart"/>
      <w:r w:rsidRPr="009E1666">
        <w:rPr>
          <w:rtl/>
        </w:rPr>
        <w:t>وترهاوس</w:t>
      </w:r>
      <w:proofErr w:type="spellEnd"/>
      <w:r w:rsidRPr="009E1666">
        <w:rPr>
          <w:rtl/>
        </w:rPr>
        <w:t xml:space="preserve"> كوبرز" (</w:t>
      </w:r>
      <w:r w:rsidRPr="009E1666">
        <w:t>PWC</w:t>
      </w:r>
      <w:r w:rsidRPr="009E1666">
        <w:rPr>
          <w:rtl/>
        </w:rPr>
        <w:t>)</w:t>
      </w:r>
      <w:r>
        <w:rPr>
          <w:rFonts w:hint="cs"/>
          <w:rtl/>
        </w:rPr>
        <w:t xml:space="preserve"> (2015)،</w:t>
      </w:r>
      <w:r w:rsidRPr="009E1666">
        <w:rPr>
          <w:rtl/>
        </w:rPr>
        <w:t xml:space="preserve"> "إعلانات التليفزيون، لمحة عن الرؤى الأساسية" </w:t>
      </w:r>
      <w:r>
        <w:rPr>
          <w:rFonts w:hint="cs"/>
          <w:rtl/>
        </w:rPr>
        <w:t>6</w:t>
      </w:r>
      <w:r w:rsidRPr="009E1666">
        <w:rPr>
          <w:rtl/>
        </w:rPr>
        <w:t>، متاح</w:t>
      </w:r>
      <w:r>
        <w:rPr>
          <w:rFonts w:hint="cs"/>
          <w:rtl/>
        </w:rPr>
        <w:t xml:space="preserve"> على </w:t>
      </w:r>
      <w:r w:rsidRPr="009E1666">
        <w:t>http://www.pwc.com/gx/en/global-entertainment-media-outlook/assets/2015/tv-advertising-key-insights-6-brazil-china-and-india.pdf</w:t>
      </w:r>
    </w:p>
  </w:footnote>
  <w:footnote w:id="18">
    <w:p w:rsidR="001F27DB" w:rsidRPr="00C04D16" w:rsidRDefault="001F27DB" w:rsidP="009010F8">
      <w:pPr>
        <w:pStyle w:val="FootnoteText"/>
        <w:rPr>
          <w:lang w:bidi="ar-EG"/>
        </w:rPr>
      </w:pPr>
      <w:r w:rsidRPr="00C04D16">
        <w:rPr>
          <w:rStyle w:val="FootnoteReference"/>
        </w:rPr>
        <w:footnoteRef/>
      </w:r>
      <w:r w:rsidRPr="00C04D16">
        <w:rPr>
          <w:rtl/>
        </w:rPr>
        <w:t xml:space="preserve"> </w:t>
      </w:r>
      <w:proofErr w:type="spellStart"/>
      <w:r w:rsidRPr="00C04D16">
        <w:rPr>
          <w:rFonts w:hint="cs"/>
          <w:rtl/>
        </w:rPr>
        <w:t>ويشنبارت</w:t>
      </w:r>
      <w:proofErr w:type="spellEnd"/>
      <w:r w:rsidRPr="00C04D16">
        <w:rPr>
          <w:rFonts w:hint="cs"/>
          <w:rtl/>
        </w:rPr>
        <w:t xml:space="preserve">، ر. (2013)، إجمالي إحصاءات النشر، </w:t>
      </w:r>
      <w:r w:rsidRPr="00C04D16">
        <w:rPr>
          <w:rtl/>
        </w:rPr>
        <w:t>الجمعية الدولية للناشرين (</w:t>
      </w:r>
      <w:r w:rsidRPr="00C04D16">
        <w:t>IPA</w:t>
      </w:r>
      <w:r w:rsidRPr="00C04D16">
        <w:rPr>
          <w:rtl/>
        </w:rPr>
        <w:t>)</w:t>
      </w:r>
      <w:r w:rsidRPr="00C04D16">
        <w:rPr>
          <w:rFonts w:hint="cs"/>
          <w:rtl/>
        </w:rPr>
        <w:t xml:space="preserve">، 114 (12، 189)، </w:t>
      </w:r>
      <w:r w:rsidRPr="00C04D16">
        <w:t>7-046</w:t>
      </w:r>
    </w:p>
  </w:footnote>
  <w:footnote w:id="19">
    <w:p w:rsidR="001F27DB" w:rsidRPr="00C04D16" w:rsidRDefault="001F27DB" w:rsidP="009010F8">
      <w:pPr>
        <w:pStyle w:val="FootnoteText"/>
        <w:rPr>
          <w:lang w:bidi="ar-EG"/>
        </w:rPr>
      </w:pPr>
      <w:r w:rsidRPr="00C04D16">
        <w:rPr>
          <w:rStyle w:val="FootnoteReference"/>
        </w:rPr>
        <w:footnoteRef/>
      </w:r>
      <w:r w:rsidRPr="00C04D16">
        <w:rPr>
          <w:rtl/>
        </w:rPr>
        <w:t xml:space="preserve"> </w:t>
      </w:r>
      <w:proofErr w:type="spellStart"/>
      <w:r w:rsidRPr="00C04D16">
        <w:rPr>
          <w:rFonts w:hint="cs"/>
          <w:rtl/>
        </w:rPr>
        <w:t>ويشنبارت</w:t>
      </w:r>
      <w:proofErr w:type="spellEnd"/>
      <w:r w:rsidRPr="00C04D16">
        <w:rPr>
          <w:rFonts w:hint="cs"/>
          <w:rtl/>
        </w:rPr>
        <w:t>، مكرر</w:t>
      </w:r>
    </w:p>
  </w:footnote>
  <w:footnote w:id="20">
    <w:p w:rsidR="001F27DB" w:rsidRDefault="001F27DB" w:rsidP="0064026B">
      <w:pPr>
        <w:pStyle w:val="FootnoteText"/>
        <w:rPr>
          <w:lang w:bidi="ar-EG"/>
        </w:rPr>
      </w:pPr>
      <w:r w:rsidRPr="00C04D16">
        <w:rPr>
          <w:rStyle w:val="FootnoteReference"/>
        </w:rPr>
        <w:footnoteRef/>
      </w:r>
      <w:r w:rsidRPr="00C04D16">
        <w:rPr>
          <w:rtl/>
        </w:rPr>
        <w:t xml:space="preserve"> </w:t>
      </w:r>
      <w:r w:rsidRPr="00C04D16">
        <w:rPr>
          <w:rFonts w:hint="cs"/>
          <w:rtl/>
        </w:rPr>
        <w:t>سيمون، ج.-ب. و ج. دي براتو، "تحليل الإحصاءات والنظم والتنافسية في قطاعي الإعلام والمحتوى" (2012).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7DB" w:rsidRDefault="001F27DB" w:rsidP="00BF1298">
    <w:r>
      <w:t>WIPO/GDCM/GE/16/</w:t>
    </w:r>
    <w:r w:rsidR="00BF1298">
      <w:t>INF/2</w:t>
    </w:r>
  </w:p>
  <w:p w:rsidR="001F27DB" w:rsidRDefault="001F27DB" w:rsidP="00EC34BB">
    <w:r>
      <w:fldChar w:fldCharType="begin"/>
    </w:r>
    <w:r>
      <w:instrText xml:space="preserve"> PAGE  \* MERGEFORMAT </w:instrText>
    </w:r>
    <w:r>
      <w:fldChar w:fldCharType="separate"/>
    </w:r>
    <w:r w:rsidR="00A15E57">
      <w:rPr>
        <w:noProof/>
      </w:rPr>
      <w:t>7</w:t>
    </w:r>
    <w:r>
      <w:fldChar w:fldCharType="end"/>
    </w:r>
  </w:p>
  <w:p w:rsidR="001F27DB" w:rsidRDefault="001F27DB" w:rsidP="00EC34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60"/>
    <w:rsid w:val="00002CBE"/>
    <w:rsid w:val="00003232"/>
    <w:rsid w:val="000033DA"/>
    <w:rsid w:val="00005146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378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47790"/>
    <w:rsid w:val="000500C9"/>
    <w:rsid w:val="0005014C"/>
    <w:rsid w:val="000508E2"/>
    <w:rsid w:val="00050A69"/>
    <w:rsid w:val="00050C55"/>
    <w:rsid w:val="00050F28"/>
    <w:rsid w:val="00050F88"/>
    <w:rsid w:val="00053836"/>
    <w:rsid w:val="00054659"/>
    <w:rsid w:val="00055FA2"/>
    <w:rsid w:val="000571DD"/>
    <w:rsid w:val="000574F5"/>
    <w:rsid w:val="00061FF5"/>
    <w:rsid w:val="00062502"/>
    <w:rsid w:val="00063C91"/>
    <w:rsid w:val="000640E7"/>
    <w:rsid w:val="00064F60"/>
    <w:rsid w:val="00066DC7"/>
    <w:rsid w:val="0006794A"/>
    <w:rsid w:val="000679DD"/>
    <w:rsid w:val="00067B7C"/>
    <w:rsid w:val="00067F31"/>
    <w:rsid w:val="00071138"/>
    <w:rsid w:val="00073402"/>
    <w:rsid w:val="00073BE5"/>
    <w:rsid w:val="00075341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0E40"/>
    <w:rsid w:val="000E16EB"/>
    <w:rsid w:val="000E2405"/>
    <w:rsid w:val="000E591F"/>
    <w:rsid w:val="000E5A23"/>
    <w:rsid w:val="000E6045"/>
    <w:rsid w:val="000E659A"/>
    <w:rsid w:val="000E7872"/>
    <w:rsid w:val="000F0772"/>
    <w:rsid w:val="000F0BE5"/>
    <w:rsid w:val="000F0F0D"/>
    <w:rsid w:val="000F1B52"/>
    <w:rsid w:val="000F1C70"/>
    <w:rsid w:val="000F1EAA"/>
    <w:rsid w:val="000F2337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4C4"/>
    <w:rsid w:val="00104C51"/>
    <w:rsid w:val="0010597B"/>
    <w:rsid w:val="00107290"/>
    <w:rsid w:val="00110107"/>
    <w:rsid w:val="00110531"/>
    <w:rsid w:val="00110794"/>
    <w:rsid w:val="00112524"/>
    <w:rsid w:val="00113769"/>
    <w:rsid w:val="001139D8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9B3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6615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7FE"/>
    <w:rsid w:val="00165AC3"/>
    <w:rsid w:val="001665F3"/>
    <w:rsid w:val="001667B1"/>
    <w:rsid w:val="001667B6"/>
    <w:rsid w:val="001668D4"/>
    <w:rsid w:val="00166A09"/>
    <w:rsid w:val="00167809"/>
    <w:rsid w:val="00167F07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87E40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4F72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07A"/>
    <w:rsid w:val="001D0474"/>
    <w:rsid w:val="001D141D"/>
    <w:rsid w:val="001D1EBD"/>
    <w:rsid w:val="001D2184"/>
    <w:rsid w:val="001D24F3"/>
    <w:rsid w:val="001D2678"/>
    <w:rsid w:val="001D2DC4"/>
    <w:rsid w:val="001D6001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27DB"/>
    <w:rsid w:val="001F3A75"/>
    <w:rsid w:val="001F3A9D"/>
    <w:rsid w:val="001F3FDB"/>
    <w:rsid w:val="001F6545"/>
    <w:rsid w:val="001F66B5"/>
    <w:rsid w:val="001F6F36"/>
    <w:rsid w:val="001F76FD"/>
    <w:rsid w:val="002004C0"/>
    <w:rsid w:val="002008C6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62F3"/>
    <w:rsid w:val="00240741"/>
    <w:rsid w:val="002412D4"/>
    <w:rsid w:val="0024220D"/>
    <w:rsid w:val="00242BD3"/>
    <w:rsid w:val="00242C02"/>
    <w:rsid w:val="00243155"/>
    <w:rsid w:val="00247783"/>
    <w:rsid w:val="00247F0E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7D4"/>
    <w:rsid w:val="002559DA"/>
    <w:rsid w:val="00256955"/>
    <w:rsid w:val="00257448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662"/>
    <w:rsid w:val="0027520A"/>
    <w:rsid w:val="00275419"/>
    <w:rsid w:val="0027553A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008A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4EA5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2BC3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06DE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0A66"/>
    <w:rsid w:val="003F4C37"/>
    <w:rsid w:val="003F5595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4B6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27C63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1B97"/>
    <w:rsid w:val="004528EE"/>
    <w:rsid w:val="00453360"/>
    <w:rsid w:val="00455571"/>
    <w:rsid w:val="00456409"/>
    <w:rsid w:val="004569C6"/>
    <w:rsid w:val="00456ADC"/>
    <w:rsid w:val="0045768F"/>
    <w:rsid w:val="00457769"/>
    <w:rsid w:val="00461ACC"/>
    <w:rsid w:val="004627AE"/>
    <w:rsid w:val="0046298E"/>
    <w:rsid w:val="004647BB"/>
    <w:rsid w:val="0046482B"/>
    <w:rsid w:val="004648E0"/>
    <w:rsid w:val="00465C7F"/>
    <w:rsid w:val="00472043"/>
    <w:rsid w:val="00472F56"/>
    <w:rsid w:val="0047335E"/>
    <w:rsid w:val="00473CA1"/>
    <w:rsid w:val="00474645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C6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E7E0B"/>
    <w:rsid w:val="004F111D"/>
    <w:rsid w:val="004F1843"/>
    <w:rsid w:val="004F1EEC"/>
    <w:rsid w:val="004F24C8"/>
    <w:rsid w:val="004F2707"/>
    <w:rsid w:val="004F30D6"/>
    <w:rsid w:val="004F34A5"/>
    <w:rsid w:val="004F40D6"/>
    <w:rsid w:val="004F46B9"/>
    <w:rsid w:val="004F6925"/>
    <w:rsid w:val="00503AE1"/>
    <w:rsid w:val="00503CA6"/>
    <w:rsid w:val="00503FAE"/>
    <w:rsid w:val="00504DC1"/>
    <w:rsid w:val="00505332"/>
    <w:rsid w:val="00505A57"/>
    <w:rsid w:val="00505D37"/>
    <w:rsid w:val="0051027E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1D9"/>
    <w:rsid w:val="00547628"/>
    <w:rsid w:val="005479B0"/>
    <w:rsid w:val="0055147E"/>
    <w:rsid w:val="005533C3"/>
    <w:rsid w:val="00553572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695F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4E6D"/>
    <w:rsid w:val="005E5014"/>
    <w:rsid w:val="005E684F"/>
    <w:rsid w:val="005E69F0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49F"/>
    <w:rsid w:val="00614EB1"/>
    <w:rsid w:val="00614F67"/>
    <w:rsid w:val="00615277"/>
    <w:rsid w:val="00615519"/>
    <w:rsid w:val="00615CED"/>
    <w:rsid w:val="00615CFC"/>
    <w:rsid w:val="00617A92"/>
    <w:rsid w:val="00620633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26B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386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2DBA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84F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2DE0"/>
    <w:rsid w:val="006D6E46"/>
    <w:rsid w:val="006D7FA8"/>
    <w:rsid w:val="006E3764"/>
    <w:rsid w:val="006E4601"/>
    <w:rsid w:val="006E5B86"/>
    <w:rsid w:val="006E63FF"/>
    <w:rsid w:val="006E652D"/>
    <w:rsid w:val="006E7572"/>
    <w:rsid w:val="006F2F22"/>
    <w:rsid w:val="006F434A"/>
    <w:rsid w:val="006F7974"/>
    <w:rsid w:val="006F79CE"/>
    <w:rsid w:val="00700A60"/>
    <w:rsid w:val="00703293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4231"/>
    <w:rsid w:val="00735174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1BEB"/>
    <w:rsid w:val="00792F0C"/>
    <w:rsid w:val="00795460"/>
    <w:rsid w:val="00795C41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6E2E"/>
    <w:rsid w:val="007D0B7F"/>
    <w:rsid w:val="007D1266"/>
    <w:rsid w:val="007D1B94"/>
    <w:rsid w:val="007D458D"/>
    <w:rsid w:val="007D4E8C"/>
    <w:rsid w:val="007D538F"/>
    <w:rsid w:val="007D5DA7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51EA"/>
    <w:rsid w:val="007E7997"/>
    <w:rsid w:val="007E7B47"/>
    <w:rsid w:val="007F04EF"/>
    <w:rsid w:val="007F0965"/>
    <w:rsid w:val="007F342F"/>
    <w:rsid w:val="007F38D1"/>
    <w:rsid w:val="007F410A"/>
    <w:rsid w:val="007F56BB"/>
    <w:rsid w:val="007F63CE"/>
    <w:rsid w:val="007F6EA4"/>
    <w:rsid w:val="007F74C2"/>
    <w:rsid w:val="008002A5"/>
    <w:rsid w:val="0080050E"/>
    <w:rsid w:val="00801329"/>
    <w:rsid w:val="00801424"/>
    <w:rsid w:val="00801AA4"/>
    <w:rsid w:val="00801B7E"/>
    <w:rsid w:val="008021B9"/>
    <w:rsid w:val="00806B3F"/>
    <w:rsid w:val="00806E68"/>
    <w:rsid w:val="00807FC3"/>
    <w:rsid w:val="00810034"/>
    <w:rsid w:val="008114CF"/>
    <w:rsid w:val="008117CC"/>
    <w:rsid w:val="00811AB3"/>
    <w:rsid w:val="00812E8A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6C3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6D77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83"/>
    <w:rsid w:val="008C60C3"/>
    <w:rsid w:val="008C7736"/>
    <w:rsid w:val="008D0948"/>
    <w:rsid w:val="008D311C"/>
    <w:rsid w:val="008D31D2"/>
    <w:rsid w:val="008D3313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0F8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2F09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8D6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013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6A3"/>
    <w:rsid w:val="009C6F87"/>
    <w:rsid w:val="009C7166"/>
    <w:rsid w:val="009C742C"/>
    <w:rsid w:val="009D0D1F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666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1BD"/>
    <w:rsid w:val="00A06D32"/>
    <w:rsid w:val="00A07545"/>
    <w:rsid w:val="00A11D66"/>
    <w:rsid w:val="00A13947"/>
    <w:rsid w:val="00A13E2B"/>
    <w:rsid w:val="00A1562A"/>
    <w:rsid w:val="00A15901"/>
    <w:rsid w:val="00A15E57"/>
    <w:rsid w:val="00A1618E"/>
    <w:rsid w:val="00A161A1"/>
    <w:rsid w:val="00A20562"/>
    <w:rsid w:val="00A20F75"/>
    <w:rsid w:val="00A212B1"/>
    <w:rsid w:val="00A2375C"/>
    <w:rsid w:val="00A26FFF"/>
    <w:rsid w:val="00A316EC"/>
    <w:rsid w:val="00A31804"/>
    <w:rsid w:val="00A318AE"/>
    <w:rsid w:val="00A318C5"/>
    <w:rsid w:val="00A320BA"/>
    <w:rsid w:val="00A32283"/>
    <w:rsid w:val="00A32342"/>
    <w:rsid w:val="00A3258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6C58"/>
    <w:rsid w:val="00A471AB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42A"/>
    <w:rsid w:val="00A71670"/>
    <w:rsid w:val="00A72874"/>
    <w:rsid w:val="00A72E48"/>
    <w:rsid w:val="00A7359C"/>
    <w:rsid w:val="00A73616"/>
    <w:rsid w:val="00A76648"/>
    <w:rsid w:val="00A76DF7"/>
    <w:rsid w:val="00A77523"/>
    <w:rsid w:val="00A8327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4AF9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2184"/>
    <w:rsid w:val="00AD34CF"/>
    <w:rsid w:val="00AD3546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7FD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10D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445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5A1"/>
    <w:rsid w:val="00B56711"/>
    <w:rsid w:val="00B57EF2"/>
    <w:rsid w:val="00B604F3"/>
    <w:rsid w:val="00B6101C"/>
    <w:rsid w:val="00B614C5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261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63D6"/>
    <w:rsid w:val="00BC7120"/>
    <w:rsid w:val="00BC76A3"/>
    <w:rsid w:val="00BC778E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0ACA"/>
    <w:rsid w:val="00BF1298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4D16"/>
    <w:rsid w:val="00C0579D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67B5"/>
    <w:rsid w:val="00C1739F"/>
    <w:rsid w:val="00C17708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862"/>
    <w:rsid w:val="00C44DDC"/>
    <w:rsid w:val="00C4679D"/>
    <w:rsid w:val="00C5128B"/>
    <w:rsid w:val="00C51423"/>
    <w:rsid w:val="00C5294D"/>
    <w:rsid w:val="00C52F83"/>
    <w:rsid w:val="00C54C1B"/>
    <w:rsid w:val="00C54DBA"/>
    <w:rsid w:val="00C552B3"/>
    <w:rsid w:val="00C5715C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3C98"/>
    <w:rsid w:val="00C8533B"/>
    <w:rsid w:val="00C858BA"/>
    <w:rsid w:val="00C86977"/>
    <w:rsid w:val="00C905C6"/>
    <w:rsid w:val="00C916C8"/>
    <w:rsid w:val="00C9331D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737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F50"/>
    <w:rsid w:val="00CE64A5"/>
    <w:rsid w:val="00CE669E"/>
    <w:rsid w:val="00CE66B5"/>
    <w:rsid w:val="00CE6BFE"/>
    <w:rsid w:val="00CE7031"/>
    <w:rsid w:val="00CE7258"/>
    <w:rsid w:val="00CE78E4"/>
    <w:rsid w:val="00CF0B9B"/>
    <w:rsid w:val="00CF0F7C"/>
    <w:rsid w:val="00CF13B8"/>
    <w:rsid w:val="00CF285E"/>
    <w:rsid w:val="00CF3739"/>
    <w:rsid w:val="00CF50BA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2A2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6BCD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6295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8E6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60D"/>
    <w:rsid w:val="00E6598A"/>
    <w:rsid w:val="00E667A7"/>
    <w:rsid w:val="00E679B3"/>
    <w:rsid w:val="00E7076C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49E"/>
    <w:rsid w:val="00E8292A"/>
    <w:rsid w:val="00E82DE7"/>
    <w:rsid w:val="00E84116"/>
    <w:rsid w:val="00E84C5C"/>
    <w:rsid w:val="00E85533"/>
    <w:rsid w:val="00E85B79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5CC"/>
    <w:rsid w:val="00EB2857"/>
    <w:rsid w:val="00EB30B7"/>
    <w:rsid w:val="00EB3F8A"/>
    <w:rsid w:val="00EB416F"/>
    <w:rsid w:val="00EB43B9"/>
    <w:rsid w:val="00EB4482"/>
    <w:rsid w:val="00EB4C01"/>
    <w:rsid w:val="00EB4D59"/>
    <w:rsid w:val="00EB4D63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4BB"/>
    <w:rsid w:val="00EC36AD"/>
    <w:rsid w:val="00EC3BCF"/>
    <w:rsid w:val="00EC45F5"/>
    <w:rsid w:val="00EC56B1"/>
    <w:rsid w:val="00EC664F"/>
    <w:rsid w:val="00EC6749"/>
    <w:rsid w:val="00EC6DD3"/>
    <w:rsid w:val="00EC72F5"/>
    <w:rsid w:val="00EC7334"/>
    <w:rsid w:val="00ED1877"/>
    <w:rsid w:val="00ED247F"/>
    <w:rsid w:val="00ED2789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17B3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4C44"/>
    <w:rsid w:val="00EF5B34"/>
    <w:rsid w:val="00EF657C"/>
    <w:rsid w:val="00EF69CA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09E"/>
    <w:rsid w:val="00F15FCF"/>
    <w:rsid w:val="00F16613"/>
    <w:rsid w:val="00F20706"/>
    <w:rsid w:val="00F21496"/>
    <w:rsid w:val="00F21E77"/>
    <w:rsid w:val="00F2469F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1B56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40"/>
    <w:rsid w:val="00FD66A9"/>
    <w:rsid w:val="00FD6712"/>
    <w:rsid w:val="00FD6853"/>
    <w:rsid w:val="00FD6E54"/>
    <w:rsid w:val="00FD7B1A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5AAB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C41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64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F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5C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5C4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5C41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795C41"/>
    <w:rPr>
      <w:rFonts w:ascii="Arial" w:hAnsi="Arial" w:cs="Arial"/>
      <w:b/>
      <w:bCs/>
      <w:sz w:val="18"/>
    </w:rPr>
  </w:style>
  <w:style w:type="character" w:styleId="Hyperlink">
    <w:name w:val="Hyperlink"/>
    <w:basedOn w:val="DefaultParagraphFont"/>
    <w:rsid w:val="00047790"/>
    <w:rPr>
      <w:color w:val="0000FF" w:themeColor="hyperlink"/>
      <w:u w:val="single"/>
    </w:rPr>
  </w:style>
  <w:style w:type="character" w:customStyle="1" w:styleId="preferred">
    <w:name w:val="preferred"/>
    <w:basedOn w:val="DefaultParagraphFont"/>
    <w:rsid w:val="0061449F"/>
  </w:style>
  <w:style w:type="character" w:customStyle="1" w:styleId="ar">
    <w:name w:val="ar"/>
    <w:basedOn w:val="DefaultParagraphFont"/>
    <w:rsid w:val="00614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5C41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064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4F6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95C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5C4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5C41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795C41"/>
    <w:rPr>
      <w:rFonts w:ascii="Arial" w:hAnsi="Arial" w:cs="Arial"/>
      <w:b/>
      <w:bCs/>
      <w:sz w:val="18"/>
    </w:rPr>
  </w:style>
  <w:style w:type="character" w:styleId="Hyperlink">
    <w:name w:val="Hyperlink"/>
    <w:basedOn w:val="DefaultParagraphFont"/>
    <w:rsid w:val="00047790"/>
    <w:rPr>
      <w:color w:val="0000FF" w:themeColor="hyperlink"/>
      <w:u w:val="single"/>
    </w:rPr>
  </w:style>
  <w:style w:type="character" w:customStyle="1" w:styleId="preferred">
    <w:name w:val="preferred"/>
    <w:basedOn w:val="DefaultParagraphFont"/>
    <w:rsid w:val="0061449F"/>
  </w:style>
  <w:style w:type="character" w:customStyle="1" w:styleId="ar">
    <w:name w:val="ar"/>
    <w:basedOn w:val="DefaultParagraphFont"/>
    <w:rsid w:val="0061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IPO_GDCM_GE_1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4859E-BE71-4718-B4B8-3A60ED9D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WIPO_GDCM_GE_16_AR.dotx</Template>
  <TotalTime>517</TotalTime>
  <Pages>7</Pages>
  <Words>1671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WIPO/GDCM/GE/16/-- (Arabic)</vt:lpstr>
    </vt:vector>
  </TitlesOfParts>
  <Company>World Intellectual Property Organization</Company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WIPO/GDCM/GE/16/-- (Arabic)</dc:title>
  <dc:creator>Hebatallah Zohni</dc:creator>
  <cp:lastModifiedBy>AHMIDOUCH Noureddine</cp:lastModifiedBy>
  <cp:revision>118</cp:revision>
  <cp:lastPrinted>2016-04-01T13:23:00Z</cp:lastPrinted>
  <dcterms:created xsi:type="dcterms:W3CDTF">2016-03-07T14:55:00Z</dcterms:created>
  <dcterms:modified xsi:type="dcterms:W3CDTF">2016-04-01T13:23:00Z</dcterms:modified>
</cp:coreProperties>
</file>