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582A90" w:rsidTr="00582A90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582A9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39283A" w:rsidP="00582A90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582A90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582A90" w:rsidTr="00582A90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586BC5" w:rsidP="00586BC5">
            <w:pPr>
              <w:pStyle w:val="DocumentCodeAR"/>
              <w:bidi/>
              <w:rPr>
                <w:rtl/>
              </w:rPr>
            </w:pPr>
            <w:r w:rsidRPr="00586BC5">
              <w:t>WIPO/ACE/9/</w:t>
            </w:r>
            <w:bookmarkStart w:id="2" w:name="Code"/>
            <w:bookmarkEnd w:id="2"/>
            <w:r w:rsidR="00CA7FB9">
              <w:t>INF/2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D0776F">
            <w:pPr>
              <w:pStyle w:val="DocumentLanguageAR"/>
              <w:bidi/>
            </w:pPr>
            <w:r w:rsidRPr="00B6101C">
              <w:rPr>
                <w:rFonts w:hint="cs"/>
                <w:rtl/>
              </w:rPr>
              <w:t xml:space="preserve">الأصل: </w:t>
            </w:r>
            <w:r w:rsidR="00D0776F">
              <w:rPr>
                <w:rFonts w:hint="cs"/>
                <w:rtl/>
              </w:rPr>
              <w:t>بالإنكليزية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CA6A5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A6A50">
              <w:rPr>
                <w:rFonts w:hint="cs"/>
                <w:rtl/>
              </w:rPr>
              <w:t>25</w:t>
            </w:r>
            <w:r w:rsidRPr="00B6101C">
              <w:rPr>
                <w:rFonts w:hint="cs"/>
                <w:rtl/>
              </w:rPr>
              <w:t xml:space="preserve"> </w:t>
            </w:r>
            <w:r w:rsidR="00CA7FB9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822B72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822B72" w:rsidP="00470628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اللجنة الاستشارية المعنية بالإنفاذ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22B72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822B72">
        <w:rPr>
          <w:rFonts w:ascii="Cambria Math" w:hAnsi="Cambria Math" w:hint="cs"/>
          <w:rtl/>
        </w:rPr>
        <w:t>التاسعة</w:t>
      </w:r>
    </w:p>
    <w:p w:rsidR="00D61541" w:rsidRPr="00D61541" w:rsidRDefault="00D61541" w:rsidP="00822B72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822B72">
        <w:rPr>
          <w:rFonts w:hint="cs"/>
          <w:rtl/>
        </w:rPr>
        <w:t>3</w:t>
      </w:r>
      <w:r w:rsidR="00100F97">
        <w:rPr>
          <w:rFonts w:hint="cs"/>
          <w:rtl/>
        </w:rPr>
        <w:t xml:space="preserve"> إلى </w:t>
      </w:r>
      <w:r w:rsidR="00822B72">
        <w:rPr>
          <w:rFonts w:hint="cs"/>
          <w:rtl/>
        </w:rPr>
        <w:t>5</w:t>
      </w:r>
      <w:r w:rsidR="00783D11">
        <w:rPr>
          <w:rFonts w:hint="cs"/>
          <w:rtl/>
        </w:rPr>
        <w:t xml:space="preserve"> </w:t>
      </w:r>
      <w:r w:rsidR="00822B72">
        <w:rPr>
          <w:rFonts w:hint="cs"/>
          <w:rtl/>
        </w:rPr>
        <w:t xml:space="preserve">مارس </w:t>
      </w:r>
      <w:r w:rsidR="00100F97">
        <w:rPr>
          <w:rFonts w:hint="cs"/>
          <w:rtl/>
        </w:rPr>
        <w:t>201</w:t>
      </w:r>
      <w:r w:rsidR="00822B72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AB193A" w:rsidP="001436FE">
      <w:pPr>
        <w:pStyle w:val="DocumentTitleAR"/>
        <w:bidi/>
        <w:rPr>
          <w:rtl/>
        </w:rPr>
      </w:pPr>
      <w:r w:rsidRPr="00AB193A">
        <w:rPr>
          <w:rtl/>
        </w:rPr>
        <w:t>قائمة بالوثائق التحضيرية</w:t>
      </w:r>
    </w:p>
    <w:p w:rsidR="00D61541" w:rsidRDefault="00AB193A" w:rsidP="00931859">
      <w:pPr>
        <w:pStyle w:val="PreparedbyAR"/>
        <w:bidi/>
        <w:rPr>
          <w:rtl/>
        </w:rPr>
      </w:pPr>
      <w:r w:rsidRPr="00AB193A">
        <w:rPr>
          <w:rtl/>
        </w:rPr>
        <w:t>من إعداد الأمانة</w:t>
      </w:r>
    </w:p>
    <w:tbl>
      <w:tblPr>
        <w:bidiVisual/>
        <w:tblW w:w="8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6"/>
        <w:gridCol w:w="4962"/>
      </w:tblGrid>
      <w:tr w:rsidR="00D747F6" w:rsidRPr="004B2AC4" w:rsidTr="005A6299">
        <w:trPr>
          <w:trHeight w:val="733"/>
          <w:tblHeader/>
        </w:trPr>
        <w:tc>
          <w:tcPr>
            <w:tcW w:w="382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7946CF" w:rsidRPr="004B2AC4" w:rsidRDefault="007946CF" w:rsidP="00D42805">
            <w:pPr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رمز الوثيقة</w:t>
            </w:r>
          </w:p>
        </w:tc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7946CF" w:rsidRPr="004B2AC4" w:rsidRDefault="007946CF" w:rsidP="00D42805">
            <w:pPr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موضوع الوثيقة</w:t>
            </w:r>
          </w:p>
        </w:tc>
      </w:tr>
      <w:tr w:rsidR="00A111E0" w:rsidRPr="004B2AC4" w:rsidTr="005A6299">
        <w:tc>
          <w:tcPr>
            <w:tcW w:w="3826" w:type="dxa"/>
          </w:tcPr>
          <w:p w:rsidR="00A111E0" w:rsidRPr="004B2AC4" w:rsidRDefault="00A111E0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A111E0" w:rsidRPr="004B2AC4" w:rsidRDefault="00A111E0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WIPO/ACE/9/INF/1 Prov. 1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 مؤقتة بالمشاركين</w:t>
            </w:r>
          </w:p>
        </w:tc>
      </w:tr>
      <w:tr w:rsidR="00D747F6" w:rsidRPr="004B2AC4" w:rsidTr="005A6299">
        <w:trPr>
          <w:trHeight w:val="284"/>
        </w:trPr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1436FE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 xml:space="preserve">WIPO/ACE/9/INF/2 </w:t>
            </w:r>
          </w:p>
        </w:tc>
        <w:tc>
          <w:tcPr>
            <w:tcW w:w="4962" w:type="dxa"/>
          </w:tcPr>
          <w:p w:rsidR="007946CF" w:rsidRPr="004B2AC4" w:rsidRDefault="007946CF" w:rsidP="001436FE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قائمة بالوثائق التحضيرية</w:t>
            </w:r>
          </w:p>
        </w:tc>
      </w:tr>
      <w:tr w:rsidR="007B2FE7" w:rsidRPr="004B2AC4" w:rsidTr="005A6299">
        <w:tc>
          <w:tcPr>
            <w:tcW w:w="3826" w:type="dxa"/>
          </w:tcPr>
          <w:p w:rsidR="007B2FE7" w:rsidRPr="004B2AC4" w:rsidRDefault="007B2FE7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B2FE7" w:rsidRPr="004B2AC4" w:rsidRDefault="007B2FE7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WIPO/ACE/9/1 Prov.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مشروع جدول الأعمال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pStyle w:val="Footer"/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WIPO/ACE/9/2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2860"/>
                <w:tab w:val="left" w:pos="5610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أحدث أنشطة الويبو في مجال إذكاء الاحترام للملكية الفكرية</w:t>
            </w:r>
            <w:r w:rsidR="001436F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</w:t>
            </w:r>
            <w:r w:rsidR="001436FE" w:rsidRPr="00BE0A6E">
              <w:rPr>
                <w:rFonts w:ascii="Arabic Typesetting" w:hAnsi="Arabic Typesetting" w:cs="Arabic Typesetting" w:hint="cs"/>
                <w:i/>
                <w:iCs/>
                <w:sz w:val="36"/>
                <w:szCs w:val="36"/>
                <w:rtl/>
              </w:rPr>
              <w:t>وثيقة من إعداد الأمانة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2860"/>
                <w:tab w:val="left" w:pos="5610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WIPO/ACE/9/3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lang w:eastAsia="ja-JP"/>
              </w:rPr>
            </w:pPr>
            <w:r w:rsidRPr="004B2AC4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الإجراءات البديلة لتسوية المنازعات كأداة لإنفاذ حقوق الملكية الفكرية</w:t>
            </w:r>
            <w:r w:rsidRPr="004B2AC4">
              <w:rPr>
                <w:rFonts w:ascii="Arabic Typesetting" w:eastAsia="MS Mincho" w:hAnsi="Arabic Typesetting" w:cs="Arabic Typesetting"/>
                <w:sz w:val="36"/>
                <w:szCs w:val="36"/>
                <w:lang w:eastAsia="ja-JP"/>
              </w:rPr>
              <w:t xml:space="preserve"> </w:t>
            </w:r>
          </w:p>
          <w:p w:rsidR="007946CF" w:rsidRPr="004B2AC4" w:rsidRDefault="007946CF" w:rsidP="007B2FE7">
            <w:pPr>
              <w:bidi/>
              <w:spacing w:after="120" w:line="360" w:lineRule="exact"/>
              <w:rPr>
                <w:rFonts w:ascii="Arabic Typesetting" w:eastAsia="MS Mincho" w:hAnsi="Arabic Typesetting" w:cs="Arabic Typesetting"/>
                <w:iCs/>
                <w:sz w:val="36"/>
                <w:szCs w:val="36"/>
                <w:lang w:eastAsia="ja-JP"/>
              </w:rPr>
            </w:pPr>
            <w:proofErr w:type="spellStart"/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تريفور</w:t>
            </w:r>
            <w:proofErr w:type="spellEnd"/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 xml:space="preserve"> كلارك، شريك، مؤسسة </w:t>
            </w:r>
            <w:proofErr w:type="spellStart"/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ويلمرهيل</w:t>
            </w:r>
            <w:proofErr w:type="spellEnd"/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، نيويورك، الولايات المتحدة الأمريكية</w:t>
            </w:r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lang w:eastAsia="ja-JP"/>
              </w:rPr>
              <w:t>.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1436FE">
            <w:pPr>
              <w:keepNext/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lastRenderedPageBreak/>
              <w:t>WIPO/ACE/9/4</w:t>
            </w:r>
          </w:p>
        </w:tc>
        <w:tc>
          <w:tcPr>
            <w:tcW w:w="4962" w:type="dxa"/>
          </w:tcPr>
          <w:p w:rsidR="001436FE" w:rsidRDefault="007946CF" w:rsidP="001436FE">
            <w:pPr>
              <w:keepNext/>
              <w:tabs>
                <w:tab w:val="left" w:pos="2860"/>
                <w:tab w:val="left" w:pos="5610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أنشطة مركز التحكيم والوساطة التابع للمنظمة العالمية للملكية الفكرية</w:t>
            </w:r>
          </w:p>
          <w:p w:rsidR="001436FE" w:rsidRPr="00BE0A6E" w:rsidRDefault="001436FE" w:rsidP="001436FE">
            <w:pPr>
              <w:keepNext/>
              <w:tabs>
                <w:tab w:val="left" w:pos="2860"/>
                <w:tab w:val="left" w:pos="5610"/>
              </w:tabs>
              <w:bidi/>
              <w:spacing w:line="360" w:lineRule="exact"/>
              <w:rPr>
                <w:rFonts w:ascii="Arabic Typesetting" w:hAnsi="Arabic Typesetting" w:cs="Arabic Typesetting"/>
                <w:i/>
                <w:iCs/>
                <w:sz w:val="36"/>
                <w:szCs w:val="36"/>
              </w:rPr>
            </w:pPr>
            <w:r w:rsidRPr="00BE0A6E">
              <w:rPr>
                <w:rFonts w:ascii="Arabic Typesetting" w:hAnsi="Arabic Typesetting" w:cs="Arabic Typesetting" w:hint="cs"/>
                <w:i/>
                <w:iCs/>
                <w:sz w:val="36"/>
                <w:szCs w:val="36"/>
                <w:rtl/>
              </w:rPr>
              <w:t>وثيقة من إعداد الأمانة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7B2FE7">
            <w:pPr>
              <w:keepNext/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WIPO/ACE/9/5</w:t>
            </w:r>
          </w:p>
        </w:tc>
        <w:tc>
          <w:tcPr>
            <w:tcW w:w="4962" w:type="dxa"/>
          </w:tcPr>
          <w:p w:rsidR="007946CF" w:rsidRPr="004B2AC4" w:rsidRDefault="007946CF" w:rsidP="007B2FE7">
            <w:pPr>
              <w:keepNext/>
              <w:tabs>
                <w:tab w:val="left" w:pos="459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lang w:eastAsia="ja-JP"/>
              </w:rPr>
            </w:pPr>
            <w:r w:rsidRPr="004B2AC4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سبل كامبوديا البديلة لتسوية المنازعات في المرحلة التمهيدية</w:t>
            </w:r>
          </w:p>
          <w:p w:rsidR="007946CF" w:rsidRPr="004B2AC4" w:rsidRDefault="007946CF" w:rsidP="007B2FE7">
            <w:pPr>
              <w:keepNext/>
              <w:tabs>
                <w:tab w:val="left" w:pos="459"/>
              </w:tabs>
              <w:bidi/>
              <w:spacing w:after="120" w:line="360" w:lineRule="exact"/>
              <w:rPr>
                <w:rFonts w:ascii="Arabic Typesetting" w:eastAsia="MS Mincho" w:hAnsi="Arabic Typesetting" w:cs="Arabic Typesetting"/>
                <w:iCs/>
                <w:sz w:val="36"/>
                <w:szCs w:val="36"/>
                <w:lang w:eastAsia="ja-JP"/>
              </w:rPr>
            </w:pPr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أوب رادي، نائب مدير، إدارة حقوق الملكية الفكرية، وزارة التجارة، كمبوديا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WIPO/ACE/9/6</w:t>
            </w:r>
          </w:p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  <w:p w:rsidR="00D747F6" w:rsidRPr="004B2AC4" w:rsidRDefault="00D747F6" w:rsidP="00D42805">
            <w:pPr>
              <w:tabs>
                <w:tab w:val="left" w:pos="34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الآليات البديلة لتسوية المنازعات الخاصة بحق المؤلف في المكسيك</w:t>
            </w:r>
          </w:p>
          <w:p w:rsidR="007946CF" w:rsidRPr="004B2AC4" w:rsidRDefault="007946CF" w:rsidP="00D42805">
            <w:pPr>
              <w:bidi/>
              <w:spacing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 xml:space="preserve">مانويل غيرّا </w:t>
            </w:r>
            <w:proofErr w:type="spellStart"/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ثامارّو</w:t>
            </w:r>
            <w:proofErr w:type="spellEnd"/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، المدير العام للمعهد الوطني لحق المؤلف</w:t>
            </w:r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</w:rPr>
              <w:t xml:space="preserve"> (INDAUTOR)</w:t>
            </w:r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، المكسيك</w:t>
            </w:r>
          </w:p>
        </w:tc>
      </w:tr>
      <w:tr w:rsidR="006B1C6D" w:rsidRPr="004B2AC4" w:rsidTr="005A6299">
        <w:tc>
          <w:tcPr>
            <w:tcW w:w="3826" w:type="dxa"/>
          </w:tcPr>
          <w:p w:rsidR="006B1C6D" w:rsidRPr="004B2AC4" w:rsidRDefault="006B1C6D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6B1C6D" w:rsidRPr="004B2AC4" w:rsidRDefault="006B1C6D" w:rsidP="00D42805">
            <w:pPr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6B1C6D" w:rsidRPr="004B2AC4" w:rsidRDefault="006B1C6D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WIPO/ACE/9/7</w:t>
            </w:r>
          </w:p>
          <w:p w:rsidR="00D747F6" w:rsidRPr="004B2AC4" w:rsidRDefault="00D747F6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6B1C6D" w:rsidRPr="004B2AC4" w:rsidRDefault="001436FE" w:rsidP="001436FE">
            <w:pPr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436FE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التسوية البديلة لمنازعات الملكية الفكرية في جمهورية كوريا</w:t>
            </w:r>
          </w:p>
          <w:p w:rsidR="00D747F6" w:rsidRPr="004B2AC4" w:rsidRDefault="001436FE" w:rsidP="00D42805">
            <w:pPr>
              <w:bidi/>
              <w:spacing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</w:pPr>
            <w:r w:rsidRPr="001436FE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 xml:space="preserve">يانغ </w:t>
            </w:r>
            <w:proofErr w:type="spellStart"/>
            <w:r w:rsidRPr="001436FE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جيونغ</w:t>
            </w:r>
            <w:proofErr w:type="spellEnd"/>
            <w:r w:rsidRPr="001436FE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 xml:space="preserve"> هوا، نائبة مدير شعبة الشؤون المتعددة الأطراف، المكتب الكوري للملكية الفكرية</w:t>
            </w:r>
            <w:r>
              <w:rPr>
                <w:rFonts w:ascii="Arabic Typesetting" w:hAnsi="Arabic Typesetting" w:cs="Arabic Typesetting" w:hint="cs"/>
                <w:iCs/>
                <w:sz w:val="36"/>
                <w:szCs w:val="36"/>
                <w:rtl/>
              </w:rPr>
              <w:t xml:space="preserve"> (</w:t>
            </w:r>
            <w:r w:rsidRPr="001436FE">
              <w:rPr>
                <w:rFonts w:ascii="Arabic Typesetting" w:hAnsi="Arabic Typesetting" w:cs="Arabic Typesetting"/>
                <w:i/>
                <w:sz w:val="36"/>
                <w:szCs w:val="36"/>
              </w:rPr>
              <w:t>KIPO</w:t>
            </w:r>
            <w:r>
              <w:rPr>
                <w:rFonts w:ascii="Arabic Typesetting" w:hAnsi="Arabic Typesetting" w:cs="Arabic Typesetting" w:hint="cs"/>
                <w:iCs/>
                <w:sz w:val="36"/>
                <w:szCs w:val="36"/>
                <w:rtl/>
              </w:rPr>
              <w:t>)</w:t>
            </w:r>
            <w:r w:rsidRPr="001436FE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، جمهورية كوريا</w:t>
            </w:r>
          </w:p>
        </w:tc>
      </w:tr>
      <w:tr w:rsidR="006B1C6D" w:rsidRPr="004B2AC4" w:rsidTr="005A6299">
        <w:tc>
          <w:tcPr>
            <w:tcW w:w="3826" w:type="dxa"/>
          </w:tcPr>
          <w:p w:rsidR="006B1C6D" w:rsidRPr="004B2AC4" w:rsidRDefault="006B1C6D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6B1C6D" w:rsidRPr="004B2AC4" w:rsidRDefault="006B1C6D" w:rsidP="00D42805">
            <w:pPr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WIPO/ACE/9/8</w:t>
            </w:r>
          </w:p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lang w:eastAsia="ja-JP"/>
              </w:rPr>
            </w:pPr>
            <w:r w:rsidRPr="004B2AC4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أنظمة تسوية منازعات حق المؤلف والحقوق المجاورة خارج نطاق القضاء في إسبانيا – تطبيقها وأداؤها</w:t>
            </w:r>
          </w:p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 xml:space="preserve">راؤول </w:t>
            </w:r>
            <w:proofErr w:type="spellStart"/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رودريغيز</w:t>
            </w:r>
            <w:proofErr w:type="spellEnd"/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 xml:space="preserve"> بوراس، كبير المستشارين القانونيين وأمين القسم الأول للجنة الملكية الفكرية، نائب المديرية العامة للملكية الفكرية، إسبانيا</w:t>
            </w:r>
          </w:p>
        </w:tc>
      </w:tr>
      <w:tr w:rsidR="006B1C6D" w:rsidRPr="004B2AC4" w:rsidTr="005A6299">
        <w:tc>
          <w:tcPr>
            <w:tcW w:w="3826" w:type="dxa"/>
          </w:tcPr>
          <w:p w:rsidR="006B1C6D" w:rsidRPr="004B2AC4" w:rsidRDefault="006B1C6D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6B1C6D" w:rsidRPr="004B2AC4" w:rsidRDefault="006B1C6D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6B1C6D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WIPO/ACE/9/9</w:t>
            </w:r>
          </w:p>
        </w:tc>
        <w:tc>
          <w:tcPr>
            <w:tcW w:w="4962" w:type="dxa"/>
          </w:tcPr>
          <w:p w:rsidR="006B1C6D" w:rsidRPr="004B2AC4" w:rsidRDefault="006B1C6D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lang w:eastAsia="ja-JP"/>
              </w:rPr>
            </w:pPr>
            <w:r w:rsidRPr="004B2AC4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تسوية مشكلات الملكية الفكرية من خلال السبل البديلة لتسوية المنازعات</w:t>
            </w:r>
          </w:p>
          <w:p w:rsidR="007946CF" w:rsidRPr="004B2AC4" w:rsidRDefault="006B1C6D" w:rsidP="00D42805">
            <w:pPr>
              <w:bidi/>
              <w:spacing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توماس</w:t>
            </w:r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lang w:eastAsia="ja-JP"/>
              </w:rPr>
              <w:t xml:space="preserve">. </w:t>
            </w:r>
            <w:proofErr w:type="spellStart"/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بارتون</w:t>
            </w:r>
            <w:proofErr w:type="spellEnd"/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، أستاذ القانون والمدير المشارك في مركز تسوية المشكلات المتصلة بالإبداع؛ وجيمس</w:t>
            </w:r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lang w:eastAsia="ja-JP"/>
              </w:rPr>
              <w:t xml:space="preserve">. </w:t>
            </w:r>
            <w:r w:rsidRPr="004B2AC4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كوبر، أستاذ القانون والمدير المشارك في مركز تسوية المشكلات المتصلة بالإبداع، التابع لكلية حقوق غرب كاليفورنيا بالولايات المتحدة الأمريكية</w:t>
            </w:r>
          </w:p>
        </w:tc>
      </w:tr>
      <w:tr w:rsidR="006B1C6D" w:rsidRPr="004B2AC4" w:rsidTr="005A6299">
        <w:tc>
          <w:tcPr>
            <w:tcW w:w="3826" w:type="dxa"/>
          </w:tcPr>
          <w:p w:rsidR="006B1C6D" w:rsidRPr="004B2AC4" w:rsidRDefault="006B1C6D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6B1C6D" w:rsidRPr="004B2AC4" w:rsidRDefault="006B1C6D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WIPO/ACE/9/10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</w:pPr>
            <w:r w:rsidRPr="004B2AC4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ممارسات الأنظمة البديلة لتسوية منازعات الملكية الفكرية وطرق عملها</w:t>
            </w:r>
          </w:p>
          <w:p w:rsidR="006B1C6D" w:rsidRPr="00BE0A6E" w:rsidRDefault="006B1C6D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iCs/>
                <w:sz w:val="36"/>
                <w:szCs w:val="36"/>
                <w:lang w:eastAsia="ja-JP"/>
              </w:rPr>
            </w:pPr>
            <w:r w:rsidRPr="00BE0A6E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 xml:space="preserve">ميخائيل </w:t>
            </w:r>
            <w:proofErr w:type="spellStart"/>
            <w:r w:rsidRPr="00BE0A6E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غروس</w:t>
            </w:r>
            <w:proofErr w:type="spellEnd"/>
            <w:r w:rsidRPr="00BE0A6E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 xml:space="preserve">، مؤسسة </w:t>
            </w:r>
            <w:proofErr w:type="spellStart"/>
            <w:r w:rsidRPr="00BE0A6E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فراونهوفر-غيسلشافت</w:t>
            </w:r>
            <w:proofErr w:type="spellEnd"/>
            <w:r w:rsidRPr="00BE0A6E">
              <w:rPr>
                <w:rFonts w:ascii="Arabic Typesetting" w:eastAsia="MS Mincho" w:hAnsi="Arabic Typesetting" w:cs="Arabic Typesetting"/>
                <w:iCs/>
                <w:sz w:val="36"/>
                <w:szCs w:val="36"/>
                <w:rtl/>
                <w:lang w:eastAsia="ja-JP"/>
              </w:rPr>
              <w:t>، ميونخ، ألمانيا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i/>
                <w:sz w:val="36"/>
                <w:szCs w:val="36"/>
                <w:lang w:eastAsia="ja-JP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BE0A6E">
            <w:pPr>
              <w:keepNext/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lastRenderedPageBreak/>
              <w:t>WIPO/ACE/9/11</w:t>
            </w:r>
          </w:p>
        </w:tc>
        <w:tc>
          <w:tcPr>
            <w:tcW w:w="4962" w:type="dxa"/>
          </w:tcPr>
          <w:p w:rsidR="00BE0A6E" w:rsidRPr="00BE0A6E" w:rsidRDefault="00BE0A6E" w:rsidP="00BE0A6E">
            <w:pPr>
              <w:keepNext/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lang w:eastAsia="ja-JP"/>
              </w:rPr>
            </w:pPr>
            <w:r w:rsidRPr="00BE0A6E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الإجراءات والتدابير الوقائية أو التجارب الناجحة لتكملة تدابير الإنفاذ الجارية بغية الحد من حجم السلع المزورة أو المقرصنة في السوق</w:t>
            </w:r>
          </w:p>
          <w:p w:rsidR="007946CF" w:rsidRPr="00BE0A6E" w:rsidRDefault="00BE0A6E" w:rsidP="00BE0A6E">
            <w:pPr>
              <w:keepNext/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lang w:eastAsia="ja-JP"/>
              </w:rPr>
            </w:pPr>
            <w:r w:rsidRPr="00BE0A6E">
              <w:rPr>
                <w:rFonts w:ascii="Arabic Typesetting" w:eastAsia="MS Mincho" w:hAnsi="Arabic Typesetting" w:cs="Arabic Typesetting" w:hint="cs"/>
                <w:i/>
                <w:iCs/>
                <w:sz w:val="36"/>
                <w:szCs w:val="36"/>
                <w:rtl/>
                <w:lang w:eastAsia="ja-JP"/>
              </w:rPr>
              <w:t xml:space="preserve">وثيقة </w:t>
            </w:r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من إعداد الأمانة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WIPO/ACE/9/12</w:t>
            </w:r>
          </w:p>
        </w:tc>
        <w:tc>
          <w:tcPr>
            <w:tcW w:w="4962" w:type="dxa"/>
          </w:tcPr>
          <w:p w:rsidR="00BE0A6E" w:rsidRPr="00BE0A6E" w:rsidRDefault="00BE0A6E" w:rsidP="00BE0A6E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lang w:eastAsia="ja-JP"/>
              </w:rPr>
            </w:pPr>
            <w:r w:rsidRPr="00BE0A6E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تجربة كوستاريكا: المشروع الوطني من أجل "إنشاء ثقافة احترام الملكية الفكرية"</w:t>
            </w:r>
          </w:p>
          <w:p w:rsidR="007946CF" w:rsidRPr="00BE0A6E" w:rsidRDefault="00BE0A6E" w:rsidP="00BE0A6E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lang w:eastAsia="ja-JP"/>
              </w:rPr>
            </w:pPr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 xml:space="preserve">لويس </w:t>
            </w:r>
            <w:proofErr w:type="spellStart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خيمينيث</w:t>
            </w:r>
            <w:proofErr w:type="spellEnd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 xml:space="preserve"> </w:t>
            </w:r>
            <w:proofErr w:type="spellStart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سانشيث</w:t>
            </w:r>
            <w:proofErr w:type="spellEnd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 xml:space="preserve">، المدير العام لسجل كوستاريكا الوطني، وغابرييلا </w:t>
            </w:r>
            <w:proofErr w:type="spellStart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ثونييغا</w:t>
            </w:r>
            <w:proofErr w:type="spellEnd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 xml:space="preserve"> </w:t>
            </w:r>
            <w:proofErr w:type="spellStart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بيرموديث</w:t>
            </w:r>
            <w:proofErr w:type="spellEnd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، رئيسة إدارة التخطيط المؤسسي في سجل كوستاريكا الوطن</w:t>
            </w:r>
            <w:r w:rsidRPr="00BE0A6E">
              <w:rPr>
                <w:rFonts w:ascii="Arabic Typesetting" w:eastAsia="MS Mincho" w:hAnsi="Arabic Typesetting" w:cs="Arabic Typesetting" w:hint="cs"/>
                <w:i/>
                <w:iCs/>
                <w:sz w:val="36"/>
                <w:szCs w:val="36"/>
                <w:rtl/>
                <w:lang w:eastAsia="ja-JP"/>
              </w:rPr>
              <w:t>ي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lang w:eastAsia="ja-JP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WIPO/ACE/9/13</w:t>
            </w:r>
          </w:p>
        </w:tc>
        <w:tc>
          <w:tcPr>
            <w:tcW w:w="4962" w:type="dxa"/>
          </w:tcPr>
          <w:p w:rsidR="00BE0A6E" w:rsidRPr="00BE0A6E" w:rsidRDefault="00BE0A6E" w:rsidP="00BE0A6E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lang w:eastAsia="ja-JP"/>
              </w:rPr>
            </w:pPr>
            <w:r w:rsidRPr="00BE0A6E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الحملة الاجتماعية "الثقافة القانونية"</w:t>
            </w:r>
          </w:p>
          <w:p w:rsidR="00F272F7" w:rsidRPr="00BE0A6E" w:rsidRDefault="00BE0A6E" w:rsidP="00BE0A6E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lang w:eastAsia="ja-JP"/>
              </w:rPr>
            </w:pPr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مؤسسة الثقافة القانونية</w:t>
            </w:r>
            <w:r w:rsidRPr="00BE0A6E">
              <w:rPr>
                <w:rFonts w:ascii="Arabic Typesetting" w:eastAsia="MS Mincho" w:hAnsi="Arabic Typesetting" w:cs="Arabic Typesetting" w:hint="cs"/>
                <w:i/>
                <w:iCs/>
                <w:sz w:val="36"/>
                <w:szCs w:val="36"/>
                <w:rtl/>
                <w:lang w:eastAsia="ja-JP"/>
              </w:rPr>
              <w:t xml:space="preserve"> (</w:t>
            </w:r>
            <w:proofErr w:type="spellStart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lang w:eastAsia="ja-JP"/>
              </w:rPr>
              <w:t>Fundacja</w:t>
            </w:r>
            <w:proofErr w:type="spellEnd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lang w:eastAsia="ja-JP"/>
              </w:rPr>
              <w:t xml:space="preserve"> </w:t>
            </w:r>
            <w:proofErr w:type="spellStart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lang w:eastAsia="ja-JP"/>
              </w:rPr>
              <w:t>Legalna</w:t>
            </w:r>
            <w:proofErr w:type="spellEnd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lang w:eastAsia="ja-JP"/>
              </w:rPr>
              <w:t xml:space="preserve"> </w:t>
            </w:r>
            <w:proofErr w:type="spellStart"/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lang w:eastAsia="ja-JP"/>
              </w:rPr>
              <w:t>Kultura</w:t>
            </w:r>
            <w:proofErr w:type="spellEnd"/>
            <w:r w:rsidRPr="00BE0A6E">
              <w:rPr>
                <w:rFonts w:ascii="Arabic Typesetting" w:eastAsia="MS Mincho" w:hAnsi="Arabic Typesetting" w:cs="Arabic Typesetting" w:hint="cs"/>
                <w:i/>
                <w:iCs/>
                <w:sz w:val="36"/>
                <w:szCs w:val="36"/>
                <w:rtl/>
                <w:lang w:eastAsia="ja-JP"/>
              </w:rPr>
              <w:t>)</w:t>
            </w:r>
            <w:r w:rsidRPr="00BE0A6E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، بولندا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i/>
                <w:sz w:val="36"/>
                <w:szCs w:val="36"/>
                <w:lang w:eastAsia="ja-JP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WIPO/ACE/9/14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</w:pPr>
            <w:r w:rsidRPr="004B2AC4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مشروع رائد بشأن إذكاء الوعي العام بالملكية الفكرية والإنفاذ</w:t>
            </w:r>
            <w:r w:rsidR="00F272F7" w:rsidRPr="004B2AC4">
              <w:rPr>
                <w:rFonts w:ascii="Arabic Typesetting" w:eastAsia="MS Mincho" w:hAnsi="Arabic Typesetting" w:cs="Arabic Typesetting" w:hint="cs"/>
                <w:sz w:val="36"/>
                <w:szCs w:val="36"/>
                <w:rtl/>
                <w:lang w:eastAsia="ja-JP"/>
              </w:rPr>
              <w:t> </w:t>
            </w:r>
            <w:r w:rsidRPr="004B2AC4">
              <w:rPr>
                <w:rFonts w:ascii="Arabic Typesetting" w:eastAsia="MS Mincho" w:hAnsi="Arabic Typesetting" w:cs="Arabic Typesetting"/>
                <w:sz w:val="36"/>
                <w:szCs w:val="36"/>
                <w:rtl/>
                <w:lang w:eastAsia="ja-JP"/>
              </w:rPr>
              <w:t>ـ حملة تعزيز "الوعي بالملكية الفكرية ـ تعليم الملكية الفكرية ـ إنفاذ الملكية الفكرية</w:t>
            </w:r>
            <w:r w:rsidRPr="004B2AC4">
              <w:rPr>
                <w:rFonts w:ascii="Arabic Typesetting" w:eastAsia="MS Mincho" w:hAnsi="Arabic Typesetting" w:cs="Arabic Typesetting"/>
                <w:sz w:val="36"/>
                <w:szCs w:val="36"/>
                <w:lang w:eastAsia="ja-JP"/>
              </w:rPr>
              <w:t>"</w:t>
            </w:r>
          </w:p>
          <w:p w:rsidR="00F272F7" w:rsidRPr="004B2AC4" w:rsidRDefault="00F272F7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lang w:eastAsia="ja-JP"/>
              </w:rPr>
            </w:pPr>
            <w:proofErr w:type="spellStart"/>
            <w:r w:rsidRPr="004B2AC4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لوبوس</w:t>
            </w:r>
            <w:proofErr w:type="spellEnd"/>
            <w:r w:rsidRPr="004B2AC4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 xml:space="preserve"> </w:t>
            </w:r>
            <w:proofErr w:type="spellStart"/>
            <w:r w:rsidRPr="004B2AC4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كنوث</w:t>
            </w:r>
            <w:proofErr w:type="spellEnd"/>
            <w:r w:rsidRPr="004B2AC4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، مكتب الملكية الصناعية في الجمهورية السلوفاكية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WIPO/ACE/9/15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تجربة ترينيداد وتوباغو: المشروع الوطني لإذكاء الاحترام للملكية الفكرية</w:t>
            </w:r>
          </w:p>
          <w:p w:rsidR="007946CF" w:rsidRPr="004B2AC4" w:rsidRDefault="007946CF" w:rsidP="007B2FE7">
            <w:pPr>
              <w:tabs>
                <w:tab w:val="left" w:pos="357"/>
              </w:tabs>
              <w:bidi/>
              <w:spacing w:after="120"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 xml:space="preserve">ريتشارد </w:t>
            </w:r>
            <w:proofErr w:type="spellStart"/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إيكينج</w:t>
            </w:r>
            <w:proofErr w:type="spellEnd"/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، مدير الفحص التقني، مكتب الملكية الفكرية، ترينيداد وتوباغو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WIPO/ACE/9/16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جهود جامعة الدول العربية في الحد من انتهاك حقوق الملكية الفكرية ومكافحة الغش التجاري</w:t>
            </w:r>
          </w:p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مها بخيت زكي، مديرة، إدارة الملكية الفكرية والتنافسية، جامعة الدول العربية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WIPO/ACE/9/17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تقرير عن حملات مديرية حق المؤلف –</w:t>
            </w:r>
            <w:r w:rsidR="00BE0A6E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 بيرو</w:t>
            </w: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(2013)</w:t>
            </w:r>
          </w:p>
          <w:p w:rsidR="007946CF" w:rsidRPr="004B2AC4" w:rsidRDefault="00BE0A6E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BE0A6E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من إعداد المعهد الوطني للدفاع عن المنافسة وحماية الملكية الفكرية</w:t>
            </w:r>
            <w:r>
              <w:rPr>
                <w:rFonts w:ascii="Arabic Typesetting" w:hAnsi="Arabic Typesetting" w:cs="Arabic Typesetting" w:hint="cs"/>
                <w:iCs/>
                <w:sz w:val="36"/>
                <w:szCs w:val="36"/>
                <w:rtl/>
              </w:rPr>
              <w:t xml:space="preserve"> (</w:t>
            </w:r>
            <w:r w:rsidRPr="00BE0A6E">
              <w:rPr>
                <w:rFonts w:ascii="Arabic Typesetting" w:hAnsi="Arabic Typesetting" w:cs="Arabic Typesetting"/>
                <w:i/>
                <w:sz w:val="36"/>
                <w:szCs w:val="36"/>
              </w:rPr>
              <w:t>INDECOPI</w:t>
            </w:r>
            <w:r>
              <w:rPr>
                <w:rFonts w:ascii="Arabic Typesetting" w:hAnsi="Arabic Typesetting" w:cs="Arabic Typesetting" w:hint="cs"/>
                <w:iCs/>
                <w:sz w:val="36"/>
                <w:szCs w:val="36"/>
                <w:rtl/>
              </w:rPr>
              <w:t>)</w:t>
            </w:r>
            <w:r w:rsidRPr="00BE0A6E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، بيرو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5A6299">
            <w:pPr>
              <w:keepNext/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WIPO/ACE/9/18</w:t>
            </w:r>
          </w:p>
        </w:tc>
        <w:tc>
          <w:tcPr>
            <w:tcW w:w="4962" w:type="dxa"/>
          </w:tcPr>
          <w:p w:rsidR="00F272F7" w:rsidRPr="004B2AC4" w:rsidRDefault="00BE0A6E" w:rsidP="005A6299">
            <w:pPr>
              <w:keepNext/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BE0A6E">
              <w:rPr>
                <w:rFonts w:ascii="Arabic Typesetting" w:hAnsi="Arabic Typesetting" w:cs="Arabic Typesetting"/>
                <w:sz w:val="36"/>
                <w:szCs w:val="36"/>
                <w:rtl/>
              </w:rPr>
              <w:t>إجراءات وتدابير وقائية لتكملة تدابير إنفاذ القوانين، بغية تقليص حجم سوق السلع المقرصنة والمقلدة</w:t>
            </w:r>
          </w:p>
          <w:p w:rsidR="007946CF" w:rsidRPr="004B2AC4" w:rsidRDefault="007946CF" w:rsidP="005A6299">
            <w:pPr>
              <w:keepNext/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i/>
                <w:iCs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أماندا </w:t>
            </w:r>
            <w:proofErr w:type="spellStart"/>
            <w:r w:rsidRPr="004B2AC4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لوثيرينجين</w:t>
            </w:r>
            <w:proofErr w:type="spellEnd"/>
            <w:r w:rsidRPr="004B2AC4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، كبير المديرين، إنفاذ حق المؤلف والملكية الفكرية، واللجنة المعنية بالشركات والملكية الفكرية (</w:t>
            </w:r>
            <w:r w:rsidRPr="004B2AC4">
              <w:rPr>
                <w:rFonts w:ascii="Arabic Typesetting" w:hAnsi="Arabic Typesetting" w:cs="Arabic Typesetting"/>
                <w:i/>
                <w:iCs/>
                <w:sz w:val="36"/>
                <w:szCs w:val="36"/>
              </w:rPr>
              <w:t>CIPC</w:t>
            </w:r>
            <w:r w:rsidR="00BE0A6E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)، جنوب أفريقيا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WIPO/ACE/9/19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وضع نماذج عمل جديدة لتوزيع المحتوى المحمي بموجب حق المؤلف</w:t>
            </w:r>
          </w:p>
          <w:p w:rsidR="007946CF" w:rsidRPr="004B2AC4" w:rsidRDefault="007946CF" w:rsidP="00BE0A6E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المرصد الأوروبي للتعديات على حقوق الملكية الفكرية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7B2FE7">
            <w:pPr>
              <w:keepNext/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WIPO/ACE/9/20</w:t>
            </w:r>
          </w:p>
        </w:tc>
        <w:tc>
          <w:tcPr>
            <w:tcW w:w="4962" w:type="dxa"/>
          </w:tcPr>
          <w:p w:rsidR="007946CF" w:rsidRPr="004B2AC4" w:rsidRDefault="007946CF" w:rsidP="007B2FE7">
            <w:pPr>
              <w:keepNext/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الإجراءات الوقائية الجاري إعدادها من قبل المفوضية الأوروبية لاستكمال تدابير الإنفاذ الجارية بهدف تقليص حجم سوق السلع المقرصنة أو المقلدة</w:t>
            </w: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.</w:t>
            </w:r>
          </w:p>
          <w:p w:rsidR="007946CF" w:rsidRPr="004B2AC4" w:rsidRDefault="007946CF" w:rsidP="007B2FE7">
            <w:pPr>
              <w:keepNext/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 xml:space="preserve">جون </w:t>
            </w:r>
            <w:proofErr w:type="spellStart"/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برغيفن</w:t>
            </w:r>
            <w:proofErr w:type="spellEnd"/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، رئيس وحدة مكافحة التقليد والقرصنة، المديرية دال، المدير العام للخدمات والسوق الداخلية، المفوضية الأوروبية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WIPO/ACE/9/21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الإجراء الإداري والقضائي المتعلق بأعمال التعدي عبر الإنترنت: إجراء يزيد كثيرا عن مجرد الإخطار والسحب</w:t>
            </w:r>
          </w:p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 xml:space="preserve">خورخي </w:t>
            </w:r>
            <w:proofErr w:type="spellStart"/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كانسيو</w:t>
            </w:r>
            <w:proofErr w:type="spellEnd"/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 xml:space="preserve"> </w:t>
            </w:r>
            <w:proofErr w:type="spellStart"/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ميليا</w:t>
            </w:r>
            <w:proofErr w:type="spellEnd"/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، المستشار القانوني الأول والمنسق القانوني للشعبة الثانية التابعة للجنة الملكية الفكرية في الإدارة العامة للملكية الفكرية، إسبانيا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WIPO/ACE/9/22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تجربة المملكة المتحدة في التصدي لانتهاك الملكية الفكرية على شبكة الإنترنت</w:t>
            </w:r>
          </w:p>
          <w:p w:rsidR="007946CF" w:rsidRPr="004B2AC4" w:rsidRDefault="007946CF" w:rsidP="007B2FE7">
            <w:pPr>
              <w:tabs>
                <w:tab w:val="left" w:pos="357"/>
              </w:tabs>
              <w:bidi/>
              <w:spacing w:after="120" w:line="360" w:lineRule="exact"/>
              <w:rPr>
                <w:rFonts w:ascii="Arabic Typesetting" w:hAnsi="Arabic Typesetting" w:cs="Arabic Typesetting"/>
                <w:iCs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iCs/>
                <w:sz w:val="36"/>
                <w:szCs w:val="36"/>
                <w:rtl/>
              </w:rPr>
              <w:t>إليزابيث جونز، مديرية إنفاذ حق المؤلف وحقوق الملكية الفكرية، مكتب الملكية الفكرية، المملكة المتحدة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WIPO/ACE/9/23</w:t>
            </w: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>إنفاذ حقوق المصنفات السمعية البصرية بموجب القانون الاتحادي رقم 187-</w:t>
            </w: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FZ</w:t>
            </w: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المؤرخ 2 يوليو 2013 بشأن تعديلات بعض قوانين الاتحاد الروسي التشريعية الخاصة بحماية حقوق الملكية الفكرية في شبكات المعلومات والاتصالات؛ والتدابير الأخرى المتخذة لمكافحة القرصنة </w:t>
            </w:r>
            <w:r w:rsidR="00B36850" w:rsidRPr="004B2AC4"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>والتعدي على حق المؤلف</w:t>
            </w:r>
            <w:r w:rsidRPr="004B2AC4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على شبكة الإنترنت</w:t>
            </w:r>
          </w:p>
          <w:p w:rsidR="00B36850" w:rsidRPr="004B2AC4" w:rsidRDefault="00B36850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i/>
                <w:iCs/>
                <w:sz w:val="36"/>
                <w:szCs w:val="36"/>
              </w:rPr>
            </w:pPr>
            <w:proofErr w:type="spellStart"/>
            <w:r w:rsidRPr="004B2AC4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ناتاليا</w:t>
            </w:r>
            <w:proofErr w:type="spellEnd"/>
            <w:r w:rsidRPr="004B2AC4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 </w:t>
            </w:r>
            <w:proofErr w:type="spellStart"/>
            <w:r w:rsidRPr="004B2AC4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روماشوفا</w:t>
            </w:r>
            <w:proofErr w:type="spellEnd"/>
            <w:r w:rsidRPr="004B2AC4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، رئيسة إدارة القانون، وزارة الثقافة، الاتحاد الروسي</w:t>
            </w:r>
          </w:p>
        </w:tc>
      </w:tr>
      <w:tr w:rsidR="00D747F6" w:rsidRPr="004B2AC4" w:rsidTr="005A6299">
        <w:tc>
          <w:tcPr>
            <w:tcW w:w="3826" w:type="dxa"/>
          </w:tcPr>
          <w:p w:rsidR="007946CF" w:rsidRPr="004B2AC4" w:rsidRDefault="007946CF" w:rsidP="00D42805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7946CF" w:rsidRPr="004B2AC4" w:rsidRDefault="007946CF" w:rsidP="00D42805">
            <w:pPr>
              <w:tabs>
                <w:tab w:val="left" w:pos="35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</w:tr>
      <w:tr w:rsidR="00D747F6" w:rsidRPr="00D747F6" w:rsidTr="005A6299">
        <w:tc>
          <w:tcPr>
            <w:tcW w:w="3826" w:type="dxa"/>
          </w:tcPr>
          <w:p w:rsidR="007946CF" w:rsidRPr="004B2AC4" w:rsidRDefault="007946CF" w:rsidP="001E0902">
            <w:pPr>
              <w:keepNext/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4B2AC4">
              <w:rPr>
                <w:rFonts w:ascii="Arabic Typesetting" w:hAnsi="Arabic Typesetting" w:cs="Arabic Typesetting"/>
                <w:sz w:val="36"/>
                <w:szCs w:val="36"/>
              </w:rPr>
              <w:t>WIPO/ACE/9/24</w:t>
            </w:r>
          </w:p>
        </w:tc>
        <w:tc>
          <w:tcPr>
            <w:tcW w:w="4962" w:type="dxa"/>
          </w:tcPr>
          <w:p w:rsidR="004D379B" w:rsidRPr="004D379B" w:rsidRDefault="004D379B" w:rsidP="004D379B">
            <w:pPr>
              <w:keepNext/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4D379B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ممارسات مجموعة </w:t>
            </w:r>
            <w:proofErr w:type="spellStart"/>
            <w:r w:rsidRPr="004D379B">
              <w:rPr>
                <w:rFonts w:ascii="Arabic Typesetting" w:hAnsi="Arabic Typesetting" w:cs="Arabic Typesetting"/>
                <w:sz w:val="36"/>
                <w:szCs w:val="36"/>
                <w:rtl/>
              </w:rPr>
              <w:t>أليبابا</w:t>
            </w:r>
            <w:proofErr w:type="spellEnd"/>
            <w:r w:rsidRPr="004D379B">
              <w:rPr>
                <w:rFonts w:ascii="Arabic Typesetting" w:hAnsi="Arabic Typesetting" w:cs="Arabic Typesetting"/>
                <w:sz w:val="36"/>
                <w:szCs w:val="36"/>
                <w:rtl/>
              </w:rPr>
              <w:t xml:space="preserve"> في مجال حماية الملكية الفكرية وفقًا لنموذج الأعمال القائم على منصة الإنترنت</w:t>
            </w:r>
          </w:p>
          <w:p w:rsidR="003F3E28" w:rsidRPr="005A6299" w:rsidRDefault="004D379B" w:rsidP="004D379B">
            <w:pPr>
              <w:keepNext/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</w:pPr>
            <w:proofErr w:type="spellStart"/>
            <w:r w:rsidRPr="005A6299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ني</w:t>
            </w:r>
            <w:proofErr w:type="spellEnd"/>
            <w:r w:rsidRPr="005A6299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 ليانغ، مدير أول، قسم الأمن، مجموعة </w:t>
            </w:r>
            <w:proofErr w:type="spellStart"/>
            <w:r w:rsidRPr="005A6299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أليبابا</w:t>
            </w:r>
            <w:proofErr w:type="spellEnd"/>
            <w:r w:rsidR="00A65DBE" w:rsidRPr="005A6299">
              <w:rPr>
                <w:rFonts w:ascii="Arabic Typesetting" w:hAnsi="Arabic Typesetting" w:cs="Arabic Typesetting" w:hint="cs"/>
                <w:i/>
                <w:iCs/>
                <w:sz w:val="36"/>
                <w:szCs w:val="36"/>
                <w:rtl/>
              </w:rPr>
              <w:t>، الصين</w:t>
            </w:r>
          </w:p>
        </w:tc>
      </w:tr>
      <w:tr w:rsidR="00F65394" w:rsidRPr="00D747F6" w:rsidTr="005A6299">
        <w:tc>
          <w:tcPr>
            <w:tcW w:w="3826" w:type="dxa"/>
          </w:tcPr>
          <w:p w:rsidR="00F65394" w:rsidRPr="004B2AC4" w:rsidRDefault="00F65394" w:rsidP="001E0902">
            <w:pPr>
              <w:keepNext/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F65394" w:rsidRPr="004D379B" w:rsidRDefault="00F65394" w:rsidP="004D379B">
            <w:pPr>
              <w:keepNext/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1E0902" w:rsidRPr="00D747F6" w:rsidTr="005A6299">
        <w:tc>
          <w:tcPr>
            <w:tcW w:w="3826" w:type="dxa"/>
          </w:tcPr>
          <w:p w:rsidR="001E0902" w:rsidRPr="004B2AC4" w:rsidRDefault="001E0902" w:rsidP="001E0902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E0902">
              <w:rPr>
                <w:rFonts w:ascii="Arabic Typesetting" w:hAnsi="Arabic Typesetting" w:cs="Arabic Typesetting"/>
                <w:sz w:val="36"/>
                <w:szCs w:val="36"/>
              </w:rPr>
              <w:t>WIPO/ACE/9/2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5</w:t>
            </w:r>
          </w:p>
        </w:tc>
        <w:tc>
          <w:tcPr>
            <w:tcW w:w="4962" w:type="dxa"/>
          </w:tcPr>
          <w:p w:rsidR="001E0902" w:rsidRDefault="001E0902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E0902">
              <w:rPr>
                <w:rFonts w:ascii="Arabic Typesetting" w:hAnsi="Arabic Typesetting" w:cs="Arabic Typesetting"/>
                <w:sz w:val="36"/>
                <w:szCs w:val="36"/>
                <w:rtl/>
              </w:rPr>
              <w:t>اعتماد منظمة غير حكومية مراقبا مؤقتا</w:t>
            </w:r>
          </w:p>
          <w:p w:rsidR="006E3216" w:rsidRPr="006E3216" w:rsidRDefault="006E3216" w:rsidP="006E3216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</w:pPr>
            <w:r w:rsidRPr="006E3216">
              <w:rPr>
                <w:rFonts w:ascii="Arabic Typesetting" w:eastAsia="MS Mincho" w:hAnsi="Arabic Typesetting" w:cs="Arabic Typesetting" w:hint="cs"/>
                <w:i/>
                <w:iCs/>
                <w:sz w:val="36"/>
                <w:szCs w:val="36"/>
                <w:rtl/>
                <w:lang w:eastAsia="ja-JP"/>
              </w:rPr>
              <w:t xml:space="preserve">وثيقة </w:t>
            </w:r>
            <w:r w:rsidRPr="006E3216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من إعداد الأمانة</w:t>
            </w:r>
          </w:p>
        </w:tc>
      </w:tr>
      <w:tr w:rsidR="00F65394" w:rsidRPr="00D747F6" w:rsidTr="005A6299">
        <w:tc>
          <w:tcPr>
            <w:tcW w:w="3826" w:type="dxa"/>
          </w:tcPr>
          <w:p w:rsidR="00F65394" w:rsidRPr="001E0902" w:rsidRDefault="00F65394" w:rsidP="001E0902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F65394" w:rsidRPr="001E0902" w:rsidRDefault="00F65394" w:rsidP="00D42805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6E3216" w:rsidRPr="00D747F6" w:rsidTr="005A6299">
        <w:tc>
          <w:tcPr>
            <w:tcW w:w="3826" w:type="dxa"/>
          </w:tcPr>
          <w:p w:rsidR="006E3216" w:rsidRPr="004B2AC4" w:rsidRDefault="006E3216" w:rsidP="006E3216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E0902">
              <w:rPr>
                <w:rFonts w:ascii="Arabic Typesetting" w:hAnsi="Arabic Typesetting" w:cs="Arabic Typesetting"/>
                <w:sz w:val="36"/>
                <w:szCs w:val="36"/>
              </w:rPr>
              <w:t>WIPO/ACE/9/2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6</w:t>
            </w:r>
          </w:p>
        </w:tc>
        <w:tc>
          <w:tcPr>
            <w:tcW w:w="4962" w:type="dxa"/>
          </w:tcPr>
          <w:p w:rsidR="0025087F" w:rsidRPr="0025087F" w:rsidRDefault="0025087F" w:rsidP="0025087F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25087F">
              <w:rPr>
                <w:rFonts w:ascii="Arabic Typesetting" w:hAnsi="Arabic Typesetting" w:cs="Arabic Typesetting"/>
                <w:sz w:val="36"/>
                <w:szCs w:val="36"/>
                <w:rtl/>
              </w:rPr>
              <w:t>اعتبارات البحث التكنولوجي واتفاقات التسويق وتسوية المنازعات النموذجية</w:t>
            </w:r>
          </w:p>
          <w:p w:rsidR="006E3216" w:rsidRPr="0025087F" w:rsidRDefault="0025087F" w:rsidP="0025087F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</w:pPr>
            <w:r w:rsidRPr="0025087F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سابين </w:t>
            </w:r>
            <w:proofErr w:type="spellStart"/>
            <w:r w:rsidRPr="0025087F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فيهرينغير</w:t>
            </w:r>
            <w:proofErr w:type="spellEnd"/>
            <w:r w:rsidRPr="0025087F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، محام</w:t>
            </w:r>
            <w:r w:rsidRPr="0025087F">
              <w:rPr>
                <w:rFonts w:ascii="Arabic Typesetting" w:hAnsi="Arabic Typesetting" w:cs="Arabic Typesetting" w:hint="cs"/>
                <w:i/>
                <w:iCs/>
                <w:sz w:val="36"/>
                <w:szCs w:val="36"/>
                <w:rtl/>
              </w:rPr>
              <w:t>ية</w:t>
            </w:r>
            <w:r w:rsidRPr="0025087F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،</w:t>
            </w:r>
            <w:r w:rsidRPr="0025087F">
              <w:rPr>
                <w:rFonts w:ascii="Arabic Typesetting" w:hAnsi="Arabic Typesetting" w:cs="Arabic Typesetting"/>
                <w:i/>
                <w:iCs/>
                <w:sz w:val="36"/>
                <w:szCs w:val="36"/>
              </w:rPr>
              <w:t xml:space="preserve"> </w:t>
            </w:r>
            <w:r w:rsidRPr="0025087F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فيينا، النمسا</w:t>
            </w:r>
          </w:p>
        </w:tc>
      </w:tr>
      <w:tr w:rsidR="00F65394" w:rsidRPr="00D747F6" w:rsidTr="005A6299">
        <w:tc>
          <w:tcPr>
            <w:tcW w:w="3826" w:type="dxa"/>
          </w:tcPr>
          <w:p w:rsidR="00F65394" w:rsidRPr="001E0902" w:rsidRDefault="00F65394" w:rsidP="006E3216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F65394" w:rsidRPr="0025087F" w:rsidRDefault="00F65394" w:rsidP="0025087F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6E3216" w:rsidRPr="00D747F6" w:rsidTr="005A6299">
        <w:tc>
          <w:tcPr>
            <w:tcW w:w="3826" w:type="dxa"/>
          </w:tcPr>
          <w:p w:rsidR="006E3216" w:rsidRPr="004B2AC4" w:rsidRDefault="006E3216" w:rsidP="006E3216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E0902">
              <w:rPr>
                <w:rFonts w:ascii="Arabic Typesetting" w:hAnsi="Arabic Typesetting" w:cs="Arabic Typesetting"/>
                <w:sz w:val="36"/>
                <w:szCs w:val="36"/>
              </w:rPr>
              <w:t>WIPO/ACE/9/2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7</w:t>
            </w:r>
          </w:p>
        </w:tc>
        <w:tc>
          <w:tcPr>
            <w:tcW w:w="4962" w:type="dxa"/>
          </w:tcPr>
          <w:p w:rsidR="0025087F" w:rsidRPr="0025087F" w:rsidRDefault="0025087F" w:rsidP="0025087F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25087F">
              <w:rPr>
                <w:rFonts w:ascii="Arabic Typesetting" w:hAnsi="Arabic Typesetting" w:cs="Arabic Typesetting"/>
                <w:sz w:val="36"/>
                <w:szCs w:val="36"/>
                <w:rtl/>
              </w:rPr>
              <w:t>الآليات الطوعية لمعالجة الانتهاكات على شبكة الإنترنت</w:t>
            </w:r>
          </w:p>
          <w:p w:rsidR="006E3216" w:rsidRPr="0025087F" w:rsidRDefault="0025087F" w:rsidP="0025087F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</w:pPr>
            <w:r w:rsidRPr="0025087F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 xml:space="preserve">ماريان </w:t>
            </w:r>
            <w:proofErr w:type="spellStart"/>
            <w:r w:rsidRPr="0025087F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غرانت</w:t>
            </w:r>
            <w:proofErr w:type="spellEnd"/>
            <w:r w:rsidRPr="0025087F">
              <w:rPr>
                <w:rFonts w:ascii="Arabic Typesetting" w:hAnsi="Arabic Typesetting" w:cs="Arabic Typesetting"/>
                <w:i/>
                <w:iCs/>
                <w:sz w:val="36"/>
                <w:szCs w:val="36"/>
                <w:rtl/>
              </w:rPr>
              <w:t>، النائبة الأولى لرئيس الجمعية الأمريكية لقطاع الأفلام السينمائية</w:t>
            </w:r>
          </w:p>
        </w:tc>
      </w:tr>
      <w:tr w:rsidR="00CA6A50" w:rsidRPr="00D747F6" w:rsidTr="005A6299">
        <w:tc>
          <w:tcPr>
            <w:tcW w:w="3826" w:type="dxa"/>
          </w:tcPr>
          <w:p w:rsidR="00CA6A50" w:rsidRPr="001E0902" w:rsidRDefault="00CA6A50" w:rsidP="006E3216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962" w:type="dxa"/>
          </w:tcPr>
          <w:p w:rsidR="00CA6A50" w:rsidRPr="0025087F" w:rsidRDefault="00CA6A50" w:rsidP="0025087F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  <w:tr w:rsidR="00CA6A50" w:rsidRPr="00D747F6" w:rsidTr="005A6299">
        <w:tc>
          <w:tcPr>
            <w:tcW w:w="3826" w:type="dxa"/>
          </w:tcPr>
          <w:p w:rsidR="00CA6A50" w:rsidRPr="004B2AC4" w:rsidRDefault="00CA6A50" w:rsidP="00CA6A50">
            <w:pPr>
              <w:tabs>
                <w:tab w:val="left" w:pos="34"/>
              </w:tabs>
              <w:bidi/>
              <w:spacing w:line="360" w:lineRule="exact"/>
              <w:ind w:left="34"/>
              <w:rPr>
                <w:rFonts w:ascii="Arabic Typesetting" w:hAnsi="Arabic Typesetting" w:cs="Arabic Typesetting"/>
                <w:sz w:val="36"/>
                <w:szCs w:val="36"/>
              </w:rPr>
            </w:pPr>
            <w:r w:rsidRPr="001E0902">
              <w:rPr>
                <w:rFonts w:ascii="Arabic Typesetting" w:hAnsi="Arabic Typesetting" w:cs="Arabic Typesetting"/>
                <w:sz w:val="36"/>
                <w:szCs w:val="36"/>
              </w:rPr>
              <w:t>WIPO/ACE/9/2</w:t>
            </w:r>
            <w:r>
              <w:rPr>
                <w:rFonts w:ascii="Arabic Typesetting" w:hAnsi="Arabic Typesetting" w:cs="Arabic Typesetting"/>
                <w:sz w:val="36"/>
                <w:szCs w:val="36"/>
              </w:rPr>
              <w:t>8</w:t>
            </w:r>
          </w:p>
        </w:tc>
        <w:tc>
          <w:tcPr>
            <w:tcW w:w="4962" w:type="dxa"/>
          </w:tcPr>
          <w:p w:rsidR="00CA6A50" w:rsidRDefault="00CA6A50" w:rsidP="00CA6A50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  <w:t xml:space="preserve">العمل المقبل </w:t>
            </w:r>
            <w:r w:rsidRPr="00CA6A50">
              <w:rPr>
                <w:rFonts w:ascii="Arabic Typesetting" w:hAnsi="Arabic Typesetting" w:cs="Arabic Typesetting"/>
                <w:sz w:val="36"/>
                <w:szCs w:val="36"/>
                <w:rtl/>
              </w:rPr>
              <w:t>للجنة الاستشارية المعنية بالإنفاذ</w:t>
            </w:r>
          </w:p>
          <w:p w:rsidR="00CA6A50" w:rsidRPr="0025087F" w:rsidRDefault="00CA6A50" w:rsidP="00CA6A50">
            <w:pPr>
              <w:tabs>
                <w:tab w:val="left" w:pos="317"/>
              </w:tabs>
              <w:bidi/>
              <w:spacing w:line="360" w:lineRule="exact"/>
              <w:rPr>
                <w:rFonts w:ascii="Arabic Typesetting" w:hAnsi="Arabic Typesetting" w:cs="Arabic Typesetting" w:hint="cs"/>
                <w:sz w:val="36"/>
                <w:szCs w:val="36"/>
                <w:rtl/>
              </w:rPr>
            </w:pPr>
            <w:r w:rsidRPr="006E3216">
              <w:rPr>
                <w:rFonts w:ascii="Arabic Typesetting" w:eastAsia="MS Mincho" w:hAnsi="Arabic Typesetting" w:cs="Arabic Typesetting" w:hint="cs"/>
                <w:i/>
                <w:iCs/>
                <w:sz w:val="36"/>
                <w:szCs w:val="36"/>
                <w:rtl/>
                <w:lang w:eastAsia="ja-JP"/>
              </w:rPr>
              <w:t xml:space="preserve">وثيقة </w:t>
            </w:r>
            <w:r w:rsidRPr="006E3216">
              <w:rPr>
                <w:rFonts w:ascii="Arabic Typesetting" w:eastAsia="MS Mincho" w:hAnsi="Arabic Typesetting" w:cs="Arabic Typesetting"/>
                <w:i/>
                <w:iCs/>
                <w:sz w:val="36"/>
                <w:szCs w:val="36"/>
                <w:rtl/>
                <w:lang w:eastAsia="ja-JP"/>
              </w:rPr>
              <w:t>من إعداد الأمانة</w:t>
            </w:r>
          </w:p>
        </w:tc>
      </w:tr>
    </w:tbl>
    <w:p w:rsidR="00D42805" w:rsidRDefault="00D42805" w:rsidP="003F3E28">
      <w:pPr>
        <w:pStyle w:val="EndofDocumentAR"/>
        <w:rPr>
          <w:rtl/>
        </w:rPr>
      </w:pPr>
    </w:p>
    <w:p w:rsidR="00D0776F" w:rsidRDefault="003F3E28" w:rsidP="003F3E28">
      <w:pPr>
        <w:pStyle w:val="EndofDocumentAR"/>
      </w:pPr>
      <w:bookmarkStart w:id="3" w:name="_GoBack"/>
      <w:bookmarkEnd w:id="3"/>
      <w:r>
        <w:rPr>
          <w:rFonts w:hint="cs"/>
          <w:rtl/>
        </w:rPr>
        <w:t>[نهاية الوثيقة]</w:t>
      </w:r>
    </w:p>
    <w:sectPr w:rsidR="00D0776F" w:rsidSect="009E41BA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6F" w:rsidRDefault="00D0776F">
      <w:r>
        <w:separator/>
      </w:r>
    </w:p>
  </w:endnote>
  <w:endnote w:type="continuationSeparator" w:id="0">
    <w:p w:rsidR="00D0776F" w:rsidRDefault="00D0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6F" w:rsidRDefault="00D0776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0776F" w:rsidRDefault="00D0776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0D" w:rsidRDefault="00415ABD" w:rsidP="00822B72">
    <w:r>
      <w:t>WIPO/ACE/9/INF/2</w:t>
    </w:r>
  </w:p>
  <w:p w:rsidR="001C130D" w:rsidRDefault="001C130D" w:rsidP="00D61541">
    <w:r>
      <w:fldChar w:fldCharType="begin"/>
    </w:r>
    <w:r>
      <w:instrText xml:space="preserve"> PAGE  \* MERGEFORMAT </w:instrText>
    </w:r>
    <w:r>
      <w:fldChar w:fldCharType="separate"/>
    </w:r>
    <w:r w:rsidR="00690205">
      <w:rPr>
        <w:noProof/>
      </w:rPr>
      <w:t>5</w:t>
    </w:r>
    <w:r>
      <w:fldChar w:fldCharType="end"/>
    </w:r>
  </w:p>
  <w:p w:rsidR="001C130D" w:rsidRDefault="001C130D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6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06B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617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166A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36FE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459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5E8"/>
    <w:rsid w:val="0017385A"/>
    <w:rsid w:val="00175448"/>
    <w:rsid w:val="001757AF"/>
    <w:rsid w:val="00175825"/>
    <w:rsid w:val="0017666F"/>
    <w:rsid w:val="00176D64"/>
    <w:rsid w:val="00176E2C"/>
    <w:rsid w:val="00177DBF"/>
    <w:rsid w:val="00181685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30D"/>
    <w:rsid w:val="001C1620"/>
    <w:rsid w:val="001C18B2"/>
    <w:rsid w:val="001C1994"/>
    <w:rsid w:val="001C2933"/>
    <w:rsid w:val="001C5EEE"/>
    <w:rsid w:val="001C6A73"/>
    <w:rsid w:val="001C73C2"/>
    <w:rsid w:val="001D0474"/>
    <w:rsid w:val="001D0A37"/>
    <w:rsid w:val="001D141D"/>
    <w:rsid w:val="001D1C13"/>
    <w:rsid w:val="001D1EBD"/>
    <w:rsid w:val="001D2184"/>
    <w:rsid w:val="001D24F3"/>
    <w:rsid w:val="001D2678"/>
    <w:rsid w:val="001D2DC4"/>
    <w:rsid w:val="001D36F5"/>
    <w:rsid w:val="001D6A48"/>
    <w:rsid w:val="001E0902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087F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8E7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0B5D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9E5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0FE3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9E6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67"/>
    <w:rsid w:val="00390FC0"/>
    <w:rsid w:val="003911B2"/>
    <w:rsid w:val="00391AFE"/>
    <w:rsid w:val="00392705"/>
    <w:rsid w:val="0039283A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AFE"/>
    <w:rsid w:val="003F3E2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ABD"/>
    <w:rsid w:val="00417E93"/>
    <w:rsid w:val="00422A2A"/>
    <w:rsid w:val="00424BB4"/>
    <w:rsid w:val="004258CD"/>
    <w:rsid w:val="004261D2"/>
    <w:rsid w:val="004303D1"/>
    <w:rsid w:val="004335A8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628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AC4"/>
    <w:rsid w:val="004B4341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379B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671E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A5C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2A90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6BC5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299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205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C6D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0F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3216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66B"/>
    <w:rsid w:val="0073076E"/>
    <w:rsid w:val="00733416"/>
    <w:rsid w:val="0073377E"/>
    <w:rsid w:val="00733E05"/>
    <w:rsid w:val="007349A8"/>
    <w:rsid w:val="00735C8A"/>
    <w:rsid w:val="00735FE2"/>
    <w:rsid w:val="0073719A"/>
    <w:rsid w:val="00737C62"/>
    <w:rsid w:val="00737C91"/>
    <w:rsid w:val="0074130E"/>
    <w:rsid w:val="00742F70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46CF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2FE7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1F1C"/>
    <w:rsid w:val="00822136"/>
    <w:rsid w:val="00822AAF"/>
    <w:rsid w:val="00822B72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2614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BE9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80"/>
    <w:rsid w:val="009E11BD"/>
    <w:rsid w:val="009E1DF8"/>
    <w:rsid w:val="009E2C1A"/>
    <w:rsid w:val="009E2C4B"/>
    <w:rsid w:val="009E2E0C"/>
    <w:rsid w:val="009E3218"/>
    <w:rsid w:val="009E3248"/>
    <w:rsid w:val="009E3BED"/>
    <w:rsid w:val="009E41BA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0B56"/>
    <w:rsid w:val="00A111E0"/>
    <w:rsid w:val="00A13947"/>
    <w:rsid w:val="00A13E2B"/>
    <w:rsid w:val="00A1562A"/>
    <w:rsid w:val="00A15901"/>
    <w:rsid w:val="00A1618E"/>
    <w:rsid w:val="00A161A1"/>
    <w:rsid w:val="00A16A84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5DBE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1F4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193A"/>
    <w:rsid w:val="00AB246B"/>
    <w:rsid w:val="00AB2620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3991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850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1ABB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1F1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5E50"/>
    <w:rsid w:val="00BD6F5B"/>
    <w:rsid w:val="00BD7662"/>
    <w:rsid w:val="00BE05ED"/>
    <w:rsid w:val="00BE0A6E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798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C1D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6A50"/>
    <w:rsid w:val="00CA796A"/>
    <w:rsid w:val="00CA7FB9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161C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76F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2805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47F6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530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D6A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0E73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073"/>
    <w:rsid w:val="00EB7752"/>
    <w:rsid w:val="00EC0725"/>
    <w:rsid w:val="00EC0889"/>
    <w:rsid w:val="00EC0C13"/>
    <w:rsid w:val="00EC148C"/>
    <w:rsid w:val="00EC2D7D"/>
    <w:rsid w:val="00EC36AD"/>
    <w:rsid w:val="00EC3BCF"/>
    <w:rsid w:val="00EC5367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5B1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2F7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47FA"/>
    <w:rsid w:val="00F55E0E"/>
    <w:rsid w:val="00F5611D"/>
    <w:rsid w:val="00F56884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39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Endofdocument-Annex">
    <w:name w:val="[End of document - Annex]"/>
    <w:basedOn w:val="Normal"/>
    <w:rsid w:val="00D0776F"/>
    <w:pPr>
      <w:ind w:left="5534"/>
    </w:pPr>
    <w:rPr>
      <w:rFonts w:eastAsia="SimSun"/>
      <w:lang w:eastAsia="zh-CN"/>
    </w:rPr>
  </w:style>
  <w:style w:type="character" w:customStyle="1" w:styleId="FooterChar">
    <w:name w:val="Footer Char"/>
    <w:link w:val="Footer"/>
    <w:semiHidden/>
    <w:rsid w:val="00D0776F"/>
    <w:rPr>
      <w:rFonts w:ascii="Arial" w:hAnsi="Arial" w:cs="Arial"/>
      <w:sz w:val="22"/>
    </w:rPr>
  </w:style>
  <w:style w:type="paragraph" w:customStyle="1" w:styleId="Meetingtitle">
    <w:name w:val="Meeting title"/>
    <w:basedOn w:val="Normal"/>
    <w:next w:val="Normal"/>
    <w:rsid w:val="00D0776F"/>
    <w:pPr>
      <w:spacing w:line="336" w:lineRule="exact"/>
      <w:ind w:left="1021"/>
    </w:pPr>
    <w:rPr>
      <w:rFonts w:eastAsia="Batang" w:cs="Times New Roman"/>
      <w:b/>
      <w:sz w:val="28"/>
    </w:rPr>
  </w:style>
  <w:style w:type="paragraph" w:customStyle="1" w:styleId="Sessiontitle">
    <w:name w:val="Session title"/>
    <w:basedOn w:val="Meetingtitle"/>
    <w:next w:val="Meetingplacedate"/>
    <w:rsid w:val="00D0776F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D0776F"/>
    <w:pPr>
      <w:spacing w:before="0"/>
      <w:contextualSpacing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Endofdocument-Annex">
    <w:name w:val="[End of document - Annex]"/>
    <w:basedOn w:val="Normal"/>
    <w:rsid w:val="00D0776F"/>
    <w:pPr>
      <w:ind w:left="5534"/>
    </w:pPr>
    <w:rPr>
      <w:rFonts w:eastAsia="SimSun"/>
      <w:lang w:eastAsia="zh-CN"/>
    </w:rPr>
  </w:style>
  <w:style w:type="character" w:customStyle="1" w:styleId="FooterChar">
    <w:name w:val="Footer Char"/>
    <w:link w:val="Footer"/>
    <w:semiHidden/>
    <w:rsid w:val="00D0776F"/>
    <w:rPr>
      <w:rFonts w:ascii="Arial" w:hAnsi="Arial" w:cs="Arial"/>
      <w:sz w:val="22"/>
    </w:rPr>
  </w:style>
  <w:style w:type="paragraph" w:customStyle="1" w:styleId="Meetingtitle">
    <w:name w:val="Meeting title"/>
    <w:basedOn w:val="Normal"/>
    <w:next w:val="Normal"/>
    <w:rsid w:val="00D0776F"/>
    <w:pPr>
      <w:spacing w:line="336" w:lineRule="exact"/>
      <w:ind w:left="1021"/>
    </w:pPr>
    <w:rPr>
      <w:rFonts w:eastAsia="Batang" w:cs="Times New Roman"/>
      <w:b/>
      <w:sz w:val="28"/>
    </w:rPr>
  </w:style>
  <w:style w:type="paragraph" w:customStyle="1" w:styleId="Sessiontitle">
    <w:name w:val="Session title"/>
    <w:basedOn w:val="Meetingtitle"/>
    <w:next w:val="Meetingplacedate"/>
    <w:rsid w:val="00D0776F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D0776F"/>
    <w:pPr>
      <w:spacing w:before="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IPO_ACE_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WIPO_ACE_9_AR.dotx</Template>
  <TotalTime>6</TotalTime>
  <Pages>5</Pages>
  <Words>700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ACE/9/INF/2 (Arabic)</vt:lpstr>
    </vt:vector>
  </TitlesOfParts>
  <Company>World Intellectual Property Organization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ACE/9/INF/2 (Arabic)</dc:title>
  <dc:subject>قائمة بالوثائق التحضيرية</dc:subject>
  <dc:creator>من إعداد الأمانة</dc:creator>
  <cp:lastModifiedBy>ABOULHOUCINE Driss</cp:lastModifiedBy>
  <cp:revision>17</cp:revision>
  <cp:lastPrinted>2014-02-26T10:34:00Z</cp:lastPrinted>
  <dcterms:created xsi:type="dcterms:W3CDTF">2014-02-24T09:33:00Z</dcterms:created>
  <dcterms:modified xsi:type="dcterms:W3CDTF">2014-02-26T10:34:00Z</dcterms:modified>
</cp:coreProperties>
</file>