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3630FA" w:rsidP="003630FA">
            <w:pPr>
              <w:pStyle w:val="DocumentCodeAR"/>
              <w:bidi/>
              <w:rPr>
                <w:rtl/>
              </w:rPr>
            </w:pPr>
            <w:r>
              <w:t>WIPO/ACE/9</w:t>
            </w:r>
            <w:r w:rsidR="00F94C63">
              <w:t>/28</w:t>
            </w:r>
          </w:p>
        </w:tc>
      </w:tr>
      <w:tr w:rsidR="001667B6" w:rsidRPr="00582A90" w:rsidTr="00582A90">
        <w:tc>
          <w:tcPr>
            <w:tcW w:w="9571" w:type="dxa"/>
            <w:gridSpan w:val="3"/>
            <w:shd w:val="clear" w:color="auto" w:fill="auto"/>
          </w:tcPr>
          <w:p w:rsidR="001667B6" w:rsidRPr="00B6101C" w:rsidRDefault="00B6101C" w:rsidP="00F94C63">
            <w:pPr>
              <w:pStyle w:val="DocumentLanguageAR"/>
              <w:bidi/>
              <w:rPr>
                <w:rtl/>
              </w:rPr>
            </w:pPr>
            <w:r w:rsidRPr="00B6101C">
              <w:rPr>
                <w:rFonts w:hint="cs"/>
                <w:rtl/>
              </w:rPr>
              <w:t xml:space="preserve">الأصل: </w:t>
            </w:r>
            <w:r w:rsidR="00F94C63">
              <w:rPr>
                <w:rFonts w:hint="cs"/>
                <w:rtl/>
              </w:rPr>
              <w:t>بالإنكليزية</w:t>
            </w:r>
          </w:p>
        </w:tc>
      </w:tr>
      <w:tr w:rsidR="001667B6" w:rsidRPr="00582A90" w:rsidTr="00582A90">
        <w:tc>
          <w:tcPr>
            <w:tcW w:w="9571" w:type="dxa"/>
            <w:gridSpan w:val="3"/>
            <w:shd w:val="clear" w:color="auto" w:fill="auto"/>
          </w:tcPr>
          <w:p w:rsidR="001667B6" w:rsidRPr="00B6101C" w:rsidRDefault="00B6101C" w:rsidP="00F94C63">
            <w:pPr>
              <w:pStyle w:val="DocumentDateAR"/>
              <w:bidi/>
              <w:rPr>
                <w:rtl/>
              </w:rPr>
            </w:pPr>
            <w:r w:rsidRPr="00B6101C">
              <w:rPr>
                <w:rFonts w:hint="cs"/>
                <w:rtl/>
              </w:rPr>
              <w:t xml:space="preserve">التاريخ: </w:t>
            </w:r>
            <w:r w:rsidR="00F94C63">
              <w:rPr>
                <w:rFonts w:hint="cs"/>
                <w:rtl/>
              </w:rPr>
              <w:t>25</w:t>
            </w:r>
            <w:r w:rsidRPr="00B6101C">
              <w:rPr>
                <w:rFonts w:hint="cs"/>
                <w:rtl/>
              </w:rPr>
              <w:t xml:space="preserve"> </w:t>
            </w:r>
            <w:r w:rsidR="00F94C63">
              <w:rPr>
                <w:rFonts w:hint="cs"/>
                <w:rtl/>
              </w:rPr>
              <w:t>فبراير</w:t>
            </w:r>
            <w:r w:rsidRPr="00B6101C">
              <w:rPr>
                <w:rFonts w:hint="cs"/>
                <w:rtl/>
              </w:rPr>
              <w:t xml:space="preserve"> </w:t>
            </w:r>
            <w:r w:rsidR="00190B6D">
              <w:rPr>
                <w:rFonts w:hint="cs"/>
                <w:rtl/>
              </w:rPr>
              <w:t>201</w:t>
            </w:r>
            <w:r w:rsidR="00822B72">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822B72" w:rsidP="00470628">
      <w:pPr>
        <w:pStyle w:val="MeetingTitleAR"/>
        <w:bidi/>
        <w:ind w:right="550"/>
        <w:rPr>
          <w:rtl/>
        </w:rPr>
      </w:pPr>
      <w:r>
        <w:rPr>
          <w:rFonts w:hint="cs"/>
          <w:rtl/>
        </w:rPr>
        <w:t>اللجنة الاستشارية المعنية بالإنفاذ</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22B72">
      <w:pPr>
        <w:pStyle w:val="MeetingSessionAR"/>
        <w:bidi/>
        <w:rPr>
          <w:rFonts w:ascii="Cambria Math" w:hAnsi="Cambria Math"/>
          <w:rtl/>
        </w:rPr>
      </w:pPr>
      <w:r w:rsidRPr="00783D11">
        <w:rPr>
          <w:rFonts w:ascii="Cambria Math" w:hAnsi="Cambria Math"/>
          <w:rtl/>
        </w:rPr>
        <w:t xml:space="preserve">الدورة </w:t>
      </w:r>
      <w:r w:rsidR="00822B72">
        <w:rPr>
          <w:rFonts w:ascii="Cambria Math" w:hAnsi="Cambria Math" w:hint="cs"/>
          <w:rtl/>
        </w:rPr>
        <w:t>التاسعة</w:t>
      </w:r>
    </w:p>
    <w:p w:rsidR="00D61541" w:rsidRPr="00D61541" w:rsidRDefault="00D61541" w:rsidP="00822B72">
      <w:pPr>
        <w:pStyle w:val="MeetingDatesAR"/>
        <w:bidi/>
        <w:rPr>
          <w:rtl/>
        </w:rPr>
      </w:pPr>
      <w:r w:rsidRPr="00D61541">
        <w:rPr>
          <w:rFonts w:hint="cs"/>
          <w:rtl/>
        </w:rPr>
        <w:t xml:space="preserve">جنيف، من </w:t>
      </w:r>
      <w:r w:rsidR="00822B72">
        <w:rPr>
          <w:rFonts w:hint="cs"/>
          <w:rtl/>
        </w:rPr>
        <w:t>3</w:t>
      </w:r>
      <w:r w:rsidR="00100F97">
        <w:rPr>
          <w:rFonts w:hint="cs"/>
          <w:rtl/>
        </w:rPr>
        <w:t xml:space="preserve"> إلى </w:t>
      </w:r>
      <w:r w:rsidR="00822B72">
        <w:rPr>
          <w:rFonts w:hint="cs"/>
          <w:rtl/>
        </w:rPr>
        <w:t>5</w:t>
      </w:r>
      <w:r w:rsidR="00783D11">
        <w:rPr>
          <w:rFonts w:hint="cs"/>
          <w:rtl/>
        </w:rPr>
        <w:t xml:space="preserve"> </w:t>
      </w:r>
      <w:r w:rsidR="00822B72">
        <w:rPr>
          <w:rFonts w:hint="cs"/>
          <w:rtl/>
        </w:rPr>
        <w:t xml:space="preserve">مارس </w:t>
      </w:r>
      <w:r w:rsidR="00100F97">
        <w:rPr>
          <w:rFonts w:hint="cs"/>
          <w:rtl/>
        </w:rPr>
        <w:t>201</w:t>
      </w:r>
      <w:r w:rsidR="00822B72">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35DD7" w:rsidP="00FB7EC9">
      <w:pPr>
        <w:pStyle w:val="DocumentTitleAR"/>
        <w:bidi/>
        <w:rPr>
          <w:rFonts w:hint="cs"/>
          <w:rtl/>
        </w:rPr>
      </w:pPr>
      <w:r>
        <w:rPr>
          <w:rFonts w:hint="cs"/>
          <w:rtl/>
        </w:rPr>
        <w:t>العمل المقبل للجنة الاستشارية المعنية بالإنفاذ</w:t>
      </w:r>
    </w:p>
    <w:p w:rsidR="00D61541" w:rsidRDefault="00D61541" w:rsidP="00931859">
      <w:pPr>
        <w:pStyle w:val="PreparedbyAR"/>
        <w:bidi/>
        <w:rPr>
          <w:rtl/>
        </w:rPr>
      </w:pPr>
      <w:r w:rsidRPr="00D61541">
        <w:rPr>
          <w:rFonts w:hint="cs"/>
          <w:rtl/>
        </w:rPr>
        <w:t xml:space="preserve">من </w:t>
      </w:r>
      <w:r w:rsidRPr="00931859">
        <w:rPr>
          <w:rFonts w:hint="cs"/>
          <w:rtl/>
        </w:rPr>
        <w:t>إعداد</w:t>
      </w:r>
      <w:r w:rsidR="00D35DD7">
        <w:rPr>
          <w:rFonts w:hint="cs"/>
          <w:rtl/>
        </w:rPr>
        <w:t xml:space="preserve"> الأمانة</w:t>
      </w:r>
    </w:p>
    <w:p w:rsidR="00A61E61" w:rsidRDefault="00316106" w:rsidP="0037306C">
      <w:pPr>
        <w:pStyle w:val="NumberedParaAR"/>
        <w:tabs>
          <w:tab w:val="clear" w:pos="1701"/>
        </w:tabs>
        <w:ind w:left="-1"/>
        <w:rPr>
          <w:rFonts w:hint="cs"/>
        </w:rPr>
      </w:pPr>
      <w:r>
        <w:rPr>
          <w:rFonts w:hint="cs"/>
          <w:rtl/>
        </w:rPr>
        <w:t>وافقت اللجنة الاستشارية المعنية بالإنفاذ (اللجنة)، في دورتها الأولى المعقودة في عام 2003، على مبدأ اتباع نهج موضوعي في عملها، وإدراج عروض الخبراء في دوراتها.</w:t>
      </w:r>
      <w:r>
        <w:rPr>
          <w:rStyle w:val="FootnoteReference"/>
          <w:rtl/>
        </w:rPr>
        <w:footnoteReference w:id="1"/>
      </w:r>
      <w:r>
        <w:rPr>
          <w:rFonts w:hint="cs"/>
          <w:rtl/>
        </w:rPr>
        <w:t xml:space="preserve"> واتُفق </w:t>
      </w:r>
      <w:r w:rsidR="00003E50">
        <w:rPr>
          <w:rFonts w:hint="cs"/>
          <w:rtl/>
        </w:rPr>
        <w:t>على برامج العمل التالية لل</w:t>
      </w:r>
      <w:r>
        <w:rPr>
          <w:rFonts w:hint="cs"/>
          <w:rtl/>
        </w:rPr>
        <w:t>دورات اللاحقة:</w:t>
      </w:r>
    </w:p>
    <w:p w:rsidR="00316106" w:rsidRDefault="00316106" w:rsidP="00316106">
      <w:pPr>
        <w:pStyle w:val="NumberedParaAR"/>
        <w:numPr>
          <w:ilvl w:val="0"/>
          <w:numId w:val="21"/>
        </w:numPr>
        <w:rPr>
          <w:rFonts w:hint="cs"/>
        </w:rPr>
      </w:pPr>
      <w:r>
        <w:rPr>
          <w:rFonts w:hint="cs"/>
          <w:rtl/>
        </w:rPr>
        <w:t xml:space="preserve">الدورة الثانية للجنة: </w:t>
      </w:r>
      <w:r w:rsidR="00003E50">
        <w:rPr>
          <w:rFonts w:hint="cs"/>
          <w:rtl/>
        </w:rPr>
        <w:t>’</w:t>
      </w:r>
      <w:r w:rsidRPr="00316106">
        <w:rPr>
          <w:rtl/>
        </w:rPr>
        <w:t>دور السلطا</w:t>
      </w:r>
      <w:r w:rsidR="00003E50">
        <w:rPr>
          <w:rtl/>
        </w:rPr>
        <w:t>ت القضائية وشبه القضائية</w:t>
      </w:r>
      <w:r w:rsidR="00003E50">
        <w:rPr>
          <w:rFonts w:hint="cs"/>
          <w:rtl/>
        </w:rPr>
        <w:t xml:space="preserve"> </w:t>
      </w:r>
      <w:r w:rsidR="00003E50">
        <w:rPr>
          <w:rtl/>
        </w:rPr>
        <w:t>والادعاء العام</w:t>
      </w:r>
      <w:r w:rsidR="00003E50">
        <w:rPr>
          <w:rFonts w:hint="cs"/>
          <w:rtl/>
        </w:rPr>
        <w:t xml:space="preserve"> </w:t>
      </w:r>
      <w:r w:rsidRPr="00316106">
        <w:rPr>
          <w:rtl/>
        </w:rPr>
        <w:t>في أنشطة الإنفاذ (بما فيها المسائل ذات الصلة كتكاليف التقاضي</w:t>
      </w:r>
      <w:r w:rsidR="00003E50">
        <w:rPr>
          <w:rFonts w:hint="cs"/>
          <w:rtl/>
        </w:rPr>
        <w:t>)‘؛</w:t>
      </w:r>
      <w:r w:rsidR="00003E50">
        <w:rPr>
          <w:rStyle w:val="FootnoteReference"/>
          <w:rtl/>
        </w:rPr>
        <w:footnoteReference w:id="2"/>
      </w:r>
    </w:p>
    <w:p w:rsidR="00003E50" w:rsidRDefault="00003E50" w:rsidP="00B952EA">
      <w:pPr>
        <w:pStyle w:val="NumberedParaAR"/>
        <w:numPr>
          <w:ilvl w:val="0"/>
          <w:numId w:val="21"/>
        </w:numPr>
        <w:rPr>
          <w:rFonts w:hint="cs"/>
        </w:rPr>
      </w:pPr>
      <w:r>
        <w:rPr>
          <w:rFonts w:hint="cs"/>
          <w:rtl/>
        </w:rPr>
        <w:t>الدورة الثالثة للجنة: ’</w:t>
      </w:r>
      <w:r w:rsidR="00B952EA">
        <w:rPr>
          <w:rFonts w:hint="cs"/>
          <w:rtl/>
        </w:rPr>
        <w:t>ا</w:t>
      </w:r>
      <w:r w:rsidR="00B952EA" w:rsidRPr="00B952EA">
        <w:rPr>
          <w:rtl/>
        </w:rPr>
        <w:t>لتثقيف والتوعية</w:t>
      </w:r>
      <w:r w:rsidR="00703C0C">
        <w:rPr>
          <w:rFonts w:hint="cs"/>
          <w:rtl/>
        </w:rPr>
        <w:t>،</w:t>
      </w:r>
      <w:r w:rsidR="00B952EA" w:rsidRPr="00B952EA">
        <w:rPr>
          <w:rtl/>
        </w:rPr>
        <w:t xml:space="preserve"> بما في ذلك التدريب، فيما يتعلق بجميع العوامل ذات الصلة بالإنفاذ، وبصفة رئيسية تلك المشار إليها في طلبات ال</w:t>
      </w:r>
      <w:r w:rsidR="00B952EA">
        <w:rPr>
          <w:rtl/>
        </w:rPr>
        <w:t>مساعدة المقدمة من الدول الأعضاء</w:t>
      </w:r>
      <w:r>
        <w:rPr>
          <w:rFonts w:hint="cs"/>
          <w:rtl/>
        </w:rPr>
        <w:t>‘؛</w:t>
      </w:r>
      <w:r w:rsidR="00B952EA">
        <w:rPr>
          <w:rStyle w:val="FootnoteReference"/>
          <w:rtl/>
        </w:rPr>
        <w:footnoteReference w:id="3"/>
      </w:r>
    </w:p>
    <w:p w:rsidR="00B952EA" w:rsidRDefault="00B952EA" w:rsidP="00B952EA">
      <w:pPr>
        <w:pStyle w:val="NumberedParaAR"/>
        <w:numPr>
          <w:ilvl w:val="0"/>
          <w:numId w:val="21"/>
        </w:numPr>
        <w:rPr>
          <w:rFonts w:hint="cs"/>
        </w:rPr>
      </w:pPr>
      <w:r>
        <w:rPr>
          <w:rFonts w:hint="cs"/>
          <w:rtl/>
        </w:rPr>
        <w:t>الدورة الرابعة للجنة: ’</w:t>
      </w:r>
      <w:r w:rsidRPr="00B952EA">
        <w:rPr>
          <w:rtl/>
        </w:rPr>
        <w:t xml:space="preserve"> التنسيق والتعاون على المستويات الدولي والإقليمي والوطني في مجال الإنفاذ</w:t>
      </w:r>
      <w:r>
        <w:rPr>
          <w:rFonts w:hint="cs"/>
          <w:rtl/>
        </w:rPr>
        <w:t>‘؛</w:t>
      </w:r>
      <w:r>
        <w:rPr>
          <w:rStyle w:val="FootnoteReference"/>
          <w:rtl/>
        </w:rPr>
        <w:footnoteReference w:id="4"/>
      </w:r>
    </w:p>
    <w:p w:rsidR="00B952EA" w:rsidRDefault="00B952EA" w:rsidP="00B952EA">
      <w:pPr>
        <w:pStyle w:val="NumberedParaAR"/>
        <w:numPr>
          <w:ilvl w:val="0"/>
          <w:numId w:val="21"/>
        </w:numPr>
        <w:rPr>
          <w:rFonts w:hint="cs"/>
        </w:rPr>
      </w:pPr>
      <w:r>
        <w:rPr>
          <w:rFonts w:hint="cs"/>
          <w:rtl/>
        </w:rPr>
        <w:t>الدورة الخامسة للجنة: ’</w:t>
      </w:r>
      <w:r w:rsidRPr="00B952EA">
        <w:rPr>
          <w:rtl/>
        </w:rPr>
        <w:t>مساهمة أصحاب الحقوق في الإنفاذ والتكاليف التي يتحملونها في سبيله، مع وضع التوصية رقم 45 من جدول أعمال الويبو للتنمية في الاعتبار</w:t>
      </w:r>
      <w:r>
        <w:rPr>
          <w:rFonts w:hint="cs"/>
          <w:rtl/>
        </w:rPr>
        <w:t>‘؛</w:t>
      </w:r>
      <w:r>
        <w:rPr>
          <w:rStyle w:val="FootnoteReference"/>
          <w:rtl/>
        </w:rPr>
        <w:footnoteReference w:id="5"/>
      </w:r>
    </w:p>
    <w:p w:rsidR="00B952EA" w:rsidRDefault="00B952EA" w:rsidP="00977E87">
      <w:pPr>
        <w:pStyle w:val="NumberedParaAR"/>
        <w:numPr>
          <w:ilvl w:val="0"/>
          <w:numId w:val="21"/>
        </w:numPr>
        <w:rPr>
          <w:rFonts w:hint="cs"/>
        </w:rPr>
      </w:pPr>
      <w:r>
        <w:rPr>
          <w:rFonts w:hint="cs"/>
          <w:rtl/>
        </w:rPr>
        <w:lastRenderedPageBreak/>
        <w:t>الدورات السادسة والسابعة والثامنة للجنة: ’</w:t>
      </w:r>
      <w:r w:rsidRPr="00B952EA">
        <w:rPr>
          <w:rtl/>
        </w:rPr>
        <w:t>العمل، استناداً إلى الدراسة الموضوعية الواردة في الوثيقة</w:t>
      </w:r>
      <w:r w:rsidR="00977E87">
        <w:rPr>
          <w:rFonts w:hint="cs"/>
          <w:rtl/>
        </w:rPr>
        <w:t> </w:t>
      </w:r>
      <w:r w:rsidRPr="00B952EA">
        <w:t>WIPO/ACE/5/6</w:t>
      </w:r>
      <w:r w:rsidRPr="00B952EA">
        <w:rPr>
          <w:rtl/>
        </w:rPr>
        <w:t>، على تحليل ومناقشة حالات التعدي على حقوق الملكية الفكرية بكل تعقيداتها بالطلب من الأمانة القيام بما يلي:</w:t>
      </w:r>
    </w:p>
    <w:p w:rsidR="00977E87" w:rsidRDefault="00977E87" w:rsidP="00977E87">
      <w:pPr>
        <w:pStyle w:val="NumberedParaAR"/>
        <w:numPr>
          <w:ilvl w:val="0"/>
          <w:numId w:val="22"/>
        </w:numPr>
        <w:ind w:left="1133"/>
        <w:rPr>
          <w:rFonts w:hint="cs"/>
        </w:rPr>
      </w:pPr>
      <w:r w:rsidRPr="00977E87">
        <w:rPr>
          <w:rtl/>
        </w:rPr>
        <w:t>إجراء استعراض مرجعي للمنهجيات والثغرات في الدراسات الموجودة</w:t>
      </w:r>
      <w:r>
        <w:rPr>
          <w:rFonts w:hint="cs"/>
          <w:rtl/>
        </w:rPr>
        <w:t xml:space="preserve"> (الدورة السادسة فقط)؛</w:t>
      </w:r>
    </w:p>
    <w:p w:rsidR="00977E87" w:rsidRDefault="00977E87" w:rsidP="00977E87">
      <w:pPr>
        <w:pStyle w:val="NumberedParaAR"/>
        <w:numPr>
          <w:ilvl w:val="0"/>
          <w:numId w:val="22"/>
        </w:numPr>
        <w:ind w:left="1133"/>
        <w:rPr>
          <w:rFonts w:hint="cs"/>
        </w:rPr>
      </w:pPr>
      <w:r w:rsidRPr="00977E87">
        <w:rPr>
          <w:rtl/>
        </w:rPr>
        <w:t>وتحديد مختلف ضروب المخالفات ودوافع انتهاك الملكية الفكرية مع مراعاة المتغيرات الاجتماعية والاقتصادية والت</w:t>
      </w:r>
      <w:r>
        <w:rPr>
          <w:rtl/>
        </w:rPr>
        <w:t>كنولوجية ومختلف مستويات التنمية</w:t>
      </w:r>
      <w:r>
        <w:rPr>
          <w:rFonts w:hint="cs"/>
          <w:rtl/>
        </w:rPr>
        <w:t>؛</w:t>
      </w:r>
    </w:p>
    <w:p w:rsidR="00977E87" w:rsidRDefault="00977E87" w:rsidP="00977E87">
      <w:pPr>
        <w:pStyle w:val="NumberedParaAR"/>
        <w:numPr>
          <w:ilvl w:val="0"/>
          <w:numId w:val="22"/>
        </w:numPr>
        <w:ind w:left="1133"/>
        <w:rPr>
          <w:rFonts w:hint="cs"/>
        </w:rPr>
      </w:pPr>
      <w:r w:rsidRPr="00977E87">
        <w:rPr>
          <w:rtl/>
        </w:rPr>
        <w:t>وإجراء دراسات هادفة بغية صياغة منهجيات تحليلية تقيس الأثر الاجتماعي والاقتصادي والتجاري للتقليد والقرصنة على المجتمعات مع مراعاة تباين الظروف الاقتصادية والاجتماعية ومختلف مس</w:t>
      </w:r>
      <w:r>
        <w:rPr>
          <w:rtl/>
        </w:rPr>
        <w:t>تويات التنمية</w:t>
      </w:r>
      <w:r>
        <w:rPr>
          <w:rFonts w:hint="cs"/>
          <w:rtl/>
        </w:rPr>
        <w:t>؛</w:t>
      </w:r>
    </w:p>
    <w:p w:rsidR="00977E87" w:rsidRDefault="00977E87" w:rsidP="00977E87">
      <w:pPr>
        <w:pStyle w:val="NumberedParaAR"/>
        <w:numPr>
          <w:ilvl w:val="0"/>
          <w:numId w:val="22"/>
        </w:numPr>
        <w:ind w:left="1133"/>
        <w:rPr>
          <w:rFonts w:hint="cs"/>
        </w:rPr>
      </w:pPr>
      <w:r w:rsidRPr="00977E87">
        <w:rPr>
          <w:rtl/>
        </w:rPr>
        <w:t>وتحليل مختلف الجهود والنماذج البديلة وغير ذلك من الخيارات الممكنة من منظور الرفاهية الاجتماعية والاقتصادية من أجل مكافحة التقليد والقرصنة</w:t>
      </w:r>
      <w:r w:rsidR="00575EC6">
        <w:rPr>
          <w:rFonts w:hint="cs"/>
          <w:rtl/>
        </w:rPr>
        <w:t>‘.</w:t>
      </w:r>
      <w:r w:rsidR="00575EC6">
        <w:rPr>
          <w:rStyle w:val="FootnoteReference"/>
          <w:rtl/>
        </w:rPr>
        <w:footnoteReference w:id="6"/>
      </w:r>
    </w:p>
    <w:p w:rsidR="00575EC6" w:rsidRDefault="00575EC6" w:rsidP="00575EC6">
      <w:pPr>
        <w:pStyle w:val="NumberedParaAR"/>
        <w:numPr>
          <w:ilvl w:val="0"/>
          <w:numId w:val="21"/>
        </w:numPr>
        <w:rPr>
          <w:rFonts w:hint="cs"/>
        </w:rPr>
      </w:pPr>
      <w:r>
        <w:rPr>
          <w:rFonts w:hint="cs"/>
          <w:rtl/>
        </w:rPr>
        <w:t>الدورة التاسعة للجنة:</w:t>
      </w:r>
    </w:p>
    <w:p w:rsidR="00575EC6" w:rsidRDefault="00575EC6" w:rsidP="00575EC6">
      <w:pPr>
        <w:pStyle w:val="NumberedParaAR"/>
        <w:numPr>
          <w:ilvl w:val="0"/>
          <w:numId w:val="29"/>
        </w:numPr>
        <w:rPr>
          <w:rFonts w:hint="cs"/>
        </w:rPr>
      </w:pPr>
      <w:r>
        <w:rPr>
          <w:rFonts w:hint="cs"/>
          <w:rtl/>
        </w:rPr>
        <w:t>’</w:t>
      </w:r>
      <w:r w:rsidRPr="00575EC6">
        <w:rPr>
          <w:rtl/>
        </w:rPr>
        <w:t>ممارسات الأنظمة البديلة لتسوية منازعات الملكية الفكرية وطرق عملها</w:t>
      </w:r>
      <w:r>
        <w:rPr>
          <w:rFonts w:hint="cs"/>
          <w:rtl/>
        </w:rPr>
        <w:t>‘؛</w:t>
      </w:r>
    </w:p>
    <w:p w:rsidR="00575EC6" w:rsidRDefault="00FA3F17" w:rsidP="00470974">
      <w:pPr>
        <w:pStyle w:val="NumberedParaAR"/>
        <w:numPr>
          <w:ilvl w:val="0"/>
          <w:numId w:val="29"/>
        </w:numPr>
        <w:rPr>
          <w:rFonts w:hint="cs"/>
        </w:rPr>
      </w:pPr>
      <w:r>
        <w:rPr>
          <w:rFonts w:hint="cs"/>
          <w:rtl/>
        </w:rPr>
        <w:t>و</w:t>
      </w:r>
      <w:r w:rsidR="00470974" w:rsidRPr="00470974">
        <w:rPr>
          <w:rFonts w:hint="cs"/>
          <w:rtl/>
        </w:rPr>
        <w:t>الإجراءات أو التدابير الوقائية أو التجارب الناجحة لاستكمال تدابير الإنفاذ الجارية بغية تقليص حجم سوق المنتجات المقلدة أو المقرصنة</w:t>
      </w:r>
      <w:r w:rsidR="0037306C">
        <w:rPr>
          <w:rFonts w:hint="cs"/>
          <w:rtl/>
        </w:rPr>
        <w:t>‘.</w:t>
      </w:r>
      <w:r w:rsidR="0037306C">
        <w:rPr>
          <w:rStyle w:val="FootnoteReference"/>
          <w:rtl/>
        </w:rPr>
        <w:footnoteReference w:id="7"/>
      </w:r>
    </w:p>
    <w:p w:rsidR="0037306C" w:rsidRDefault="003442C1" w:rsidP="00470974">
      <w:pPr>
        <w:pStyle w:val="NumberedParaAR"/>
        <w:numPr>
          <w:ilvl w:val="0"/>
          <w:numId w:val="32"/>
        </w:numPr>
        <w:tabs>
          <w:tab w:val="clear" w:pos="1701"/>
        </w:tabs>
        <w:ind w:left="-1"/>
        <w:rPr>
          <w:rFonts w:hint="cs"/>
        </w:rPr>
      </w:pPr>
      <w:r>
        <w:rPr>
          <w:rFonts w:hint="cs"/>
          <w:rtl/>
        </w:rPr>
        <w:t>وتورد الفقرة 34 من مشروع ملخص الرئيس</w:t>
      </w:r>
      <w:r>
        <w:rPr>
          <w:rStyle w:val="FootnoteReference"/>
          <w:rtl/>
        </w:rPr>
        <w:footnoteReference w:id="8"/>
      </w:r>
      <w:r>
        <w:rPr>
          <w:rFonts w:hint="cs"/>
          <w:rtl/>
        </w:rPr>
        <w:t xml:space="preserve"> للدورة الثامنة </w:t>
      </w:r>
      <w:r w:rsidR="00470974">
        <w:rPr>
          <w:rFonts w:hint="cs"/>
          <w:rtl/>
        </w:rPr>
        <w:t xml:space="preserve">الاقتراحين اللذين </w:t>
      </w:r>
      <w:r w:rsidR="003346FE">
        <w:rPr>
          <w:rFonts w:hint="cs"/>
          <w:rtl/>
        </w:rPr>
        <w:t xml:space="preserve">لا يزالان على طاولة النقاش وهما </w:t>
      </w:r>
      <w:r w:rsidR="00470974">
        <w:rPr>
          <w:rFonts w:hint="cs"/>
          <w:rtl/>
        </w:rPr>
        <w:t>’</w:t>
      </w:r>
      <w:r w:rsidR="00470974" w:rsidRPr="00470974">
        <w:rPr>
          <w:rFonts w:hint="cs"/>
          <w:rtl/>
        </w:rPr>
        <w:t>إجراء استعراض أنشطة إذكاء الوعي كوسيلة لإذكاء الاحترام لحقوق الملكية الفكرية، ولا</w:t>
      </w:r>
      <w:r w:rsidR="00470974" w:rsidRPr="00470974">
        <w:rPr>
          <w:rFonts w:hint="eastAsia"/>
          <w:rtl/>
        </w:rPr>
        <w:t> </w:t>
      </w:r>
      <w:r w:rsidR="00470974">
        <w:rPr>
          <w:rFonts w:hint="cs"/>
          <w:rtl/>
        </w:rPr>
        <w:t>سيما في أوساط التلامذة والطلبة‘</w:t>
      </w:r>
      <w:r w:rsidR="003346FE">
        <w:rPr>
          <w:rFonts w:hint="cs"/>
          <w:rtl/>
        </w:rPr>
        <w:t xml:space="preserve"> و ’</w:t>
      </w:r>
      <w:r w:rsidR="00470974" w:rsidRPr="00470974">
        <w:rPr>
          <w:rFonts w:hint="cs"/>
          <w:rtl/>
        </w:rPr>
        <w:t xml:space="preserve">استعراض إمكانيات تكثيف المساعدة </w:t>
      </w:r>
      <w:r w:rsidR="003346FE">
        <w:rPr>
          <w:rFonts w:hint="cs"/>
          <w:rtl/>
        </w:rPr>
        <w:t xml:space="preserve">التقنية </w:t>
      </w:r>
      <w:r w:rsidR="00470974" w:rsidRPr="00470974">
        <w:rPr>
          <w:rFonts w:hint="cs"/>
          <w:rtl/>
        </w:rPr>
        <w:t>التي تقدمها الويبو في مجال الإنفاذ وتحسينها</w:t>
      </w:r>
      <w:r w:rsidR="003346FE">
        <w:rPr>
          <w:rFonts w:hint="cs"/>
          <w:rtl/>
        </w:rPr>
        <w:t>، بما في ذلك المساعدة التشريعية‘.</w:t>
      </w:r>
    </w:p>
    <w:p w:rsidR="003346FE" w:rsidRDefault="003346FE" w:rsidP="00470974">
      <w:pPr>
        <w:pStyle w:val="NumberedParaAR"/>
        <w:numPr>
          <w:ilvl w:val="0"/>
          <w:numId w:val="32"/>
        </w:numPr>
        <w:tabs>
          <w:tab w:val="clear" w:pos="1701"/>
        </w:tabs>
        <w:ind w:left="-1"/>
        <w:rPr>
          <w:rFonts w:hint="cs"/>
        </w:rPr>
      </w:pPr>
      <w:r>
        <w:rPr>
          <w:rFonts w:hint="cs"/>
          <w:rtl/>
        </w:rPr>
        <w:t xml:space="preserve">وفي 24 فبراير 2014، تلقت الأمانة اقتراحا </w:t>
      </w:r>
      <w:r w:rsidR="00FA3F17">
        <w:rPr>
          <w:rFonts w:hint="cs"/>
          <w:rtl/>
        </w:rPr>
        <w:t>مشتركا تقدمت به بولندا والمملكة المتحدة والولايات المتحدة الأمريكية بخصوص العمل المقبل للجنة، كي تنظر فيه اللجنة في دورتها التاسعة. ويرد ذلك الاقتراح في مرفق هذه الوثيقة.</w:t>
      </w:r>
    </w:p>
    <w:p w:rsidR="00FA3F17" w:rsidRDefault="00FA3F17" w:rsidP="00703C0C">
      <w:pPr>
        <w:pStyle w:val="NumberedParaAR"/>
        <w:numPr>
          <w:ilvl w:val="0"/>
          <w:numId w:val="32"/>
        </w:numPr>
        <w:tabs>
          <w:tab w:val="clear" w:pos="1701"/>
        </w:tabs>
        <w:ind w:left="-1"/>
        <w:rPr>
          <w:rFonts w:hint="cs"/>
        </w:rPr>
      </w:pPr>
      <w:r>
        <w:rPr>
          <w:rFonts w:hint="cs"/>
          <w:rtl/>
        </w:rPr>
        <w:t xml:space="preserve">ويجدر التذكير أيضا بأنّ الأمانة أعدت، لأغراض الدورة الثامنة للجنة، مجموعة من الاقتراحات المقدمة </w:t>
      </w:r>
      <w:r w:rsidR="00703C0C">
        <w:rPr>
          <w:rFonts w:hint="cs"/>
          <w:rtl/>
        </w:rPr>
        <w:t>من الدورة الثانية إلى الدورة السابعة للجنة</w:t>
      </w:r>
      <w:r w:rsidR="00703C0C">
        <w:rPr>
          <w:rFonts w:hint="cs"/>
          <w:rtl/>
        </w:rPr>
        <w:t xml:space="preserve"> بخصوص العمل المقبل</w:t>
      </w:r>
      <w:r>
        <w:rPr>
          <w:rFonts w:hint="cs"/>
          <w:rtl/>
        </w:rPr>
        <w:t xml:space="preserve">، مع تقييم غير رسمي لمدى تناول </w:t>
      </w:r>
      <w:r w:rsidR="003F2585">
        <w:rPr>
          <w:rFonts w:hint="cs"/>
          <w:rtl/>
        </w:rPr>
        <w:t>اللجنة ل</w:t>
      </w:r>
      <w:r>
        <w:rPr>
          <w:rFonts w:hint="cs"/>
          <w:rtl/>
        </w:rPr>
        <w:t xml:space="preserve">تلك الاقتراحات خلال </w:t>
      </w:r>
      <w:r w:rsidR="003F2585">
        <w:rPr>
          <w:rFonts w:hint="cs"/>
          <w:rtl/>
        </w:rPr>
        <w:t xml:space="preserve">تلك </w:t>
      </w:r>
      <w:r>
        <w:rPr>
          <w:rFonts w:hint="cs"/>
          <w:rtl/>
        </w:rPr>
        <w:t xml:space="preserve">الدورات </w:t>
      </w:r>
      <w:r w:rsidR="003F2585">
        <w:rPr>
          <w:rStyle w:val="FootnoteReference"/>
          <w:rtl/>
        </w:rPr>
        <w:footnoteReference w:id="9"/>
      </w:r>
    </w:p>
    <w:p w:rsidR="003F2585" w:rsidRDefault="003F2585" w:rsidP="003F2585">
      <w:pPr>
        <w:pStyle w:val="DecisionParaAR"/>
        <w:rPr>
          <w:rFonts w:hint="cs"/>
        </w:rPr>
      </w:pPr>
      <w:r>
        <w:rPr>
          <w:rFonts w:hint="cs"/>
          <w:rtl/>
        </w:rPr>
        <w:t>إن اللجنة مدعوة إلى الإحاطة علما بمضمون هذه الوثيقة ومرفقها.</w:t>
      </w:r>
    </w:p>
    <w:p w:rsidR="003F2585" w:rsidRDefault="003F2585" w:rsidP="003F2585">
      <w:pPr>
        <w:pStyle w:val="EndofDocumentAR"/>
        <w:rPr>
          <w:rtl/>
        </w:rPr>
        <w:sectPr w:rsidR="003F2585"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3F2585" w:rsidRPr="004F0E1C" w:rsidRDefault="004F0E1C" w:rsidP="002B067C">
      <w:pPr>
        <w:pStyle w:val="NormalParaAR"/>
        <w:rPr>
          <w:rFonts w:hint="cs"/>
          <w:u w:val="single"/>
          <w:rtl/>
        </w:rPr>
      </w:pPr>
      <w:r w:rsidRPr="004F0E1C">
        <w:rPr>
          <w:rFonts w:hint="cs"/>
          <w:u w:val="single"/>
          <w:rtl/>
        </w:rPr>
        <w:t xml:space="preserve">تخصّص </w:t>
      </w:r>
      <w:r w:rsidR="00703C0C">
        <w:rPr>
          <w:rFonts w:hint="cs"/>
          <w:u w:val="single"/>
          <w:rtl/>
        </w:rPr>
        <w:t>الجهاز</w:t>
      </w:r>
      <w:r w:rsidR="001C7728">
        <w:rPr>
          <w:rFonts w:hint="cs"/>
          <w:u w:val="single"/>
          <w:rtl/>
        </w:rPr>
        <w:t xml:space="preserve"> القضا</w:t>
      </w:r>
      <w:r w:rsidR="00703C0C">
        <w:rPr>
          <w:rFonts w:hint="cs"/>
          <w:u w:val="single"/>
          <w:rtl/>
        </w:rPr>
        <w:t>ئي</w:t>
      </w:r>
      <w:r w:rsidR="001C7728">
        <w:rPr>
          <w:rFonts w:hint="cs"/>
          <w:u w:val="single"/>
          <w:rtl/>
        </w:rPr>
        <w:t xml:space="preserve"> </w:t>
      </w:r>
      <w:r w:rsidRPr="004F0E1C">
        <w:rPr>
          <w:rFonts w:hint="cs"/>
          <w:u w:val="single"/>
          <w:rtl/>
        </w:rPr>
        <w:t>والمحاكم المتخصّصة في الملكية الفكرية</w:t>
      </w:r>
    </w:p>
    <w:p w:rsidR="004F0E1C" w:rsidRPr="004F0E1C" w:rsidRDefault="004F0E1C" w:rsidP="002B067C">
      <w:pPr>
        <w:pStyle w:val="NormalParaAR"/>
        <w:rPr>
          <w:rFonts w:hint="cs"/>
          <w:i/>
          <w:iCs/>
          <w:rtl/>
        </w:rPr>
      </w:pPr>
      <w:r w:rsidRPr="004F0E1C">
        <w:rPr>
          <w:rFonts w:hint="cs"/>
          <w:i/>
          <w:iCs/>
          <w:rtl/>
        </w:rPr>
        <w:t>اقتراح من بولندا والمملكة المتحدة والولايات المتحدة الأمريكية</w:t>
      </w:r>
    </w:p>
    <w:p w:rsidR="004F0E1C" w:rsidRDefault="006769E1" w:rsidP="00703C0C">
      <w:pPr>
        <w:pStyle w:val="NumberedParaAR"/>
        <w:numPr>
          <w:ilvl w:val="0"/>
          <w:numId w:val="33"/>
        </w:numPr>
        <w:tabs>
          <w:tab w:val="clear" w:pos="1701"/>
        </w:tabs>
        <w:spacing w:after="120"/>
        <w:ind w:left="0"/>
        <w:rPr>
          <w:rFonts w:hint="cs"/>
        </w:rPr>
      </w:pPr>
      <w:r>
        <w:rPr>
          <w:rFonts w:hint="cs"/>
          <w:rtl/>
        </w:rPr>
        <w:t>في سياق إعداد برنامج عمل للدورة العاشرة للجنة الاستشارية المعنية بالإنفاذ (اللجنة)</w:t>
      </w:r>
      <w:r w:rsidR="00703C0C">
        <w:rPr>
          <w:rFonts w:hint="cs"/>
          <w:rtl/>
        </w:rPr>
        <w:t xml:space="preserve"> تقترح </w:t>
      </w:r>
      <w:r>
        <w:rPr>
          <w:rFonts w:hint="cs"/>
          <w:rtl/>
        </w:rPr>
        <w:t>بولندا والمملكة المتح</w:t>
      </w:r>
      <w:r w:rsidR="001C7728">
        <w:rPr>
          <w:rFonts w:hint="cs"/>
          <w:rtl/>
        </w:rPr>
        <w:t xml:space="preserve">دة والولايات المتحدة الأمريكية موضوع تخصّص </w:t>
      </w:r>
      <w:r w:rsidR="00703C0C">
        <w:rPr>
          <w:rFonts w:hint="cs"/>
          <w:rtl/>
        </w:rPr>
        <w:t>الجهاز القضائي</w:t>
      </w:r>
      <w:r w:rsidR="001C7728">
        <w:rPr>
          <w:rFonts w:hint="cs"/>
          <w:rtl/>
        </w:rPr>
        <w:t xml:space="preserve"> والمحاكم المتخصّصة في الملكية الفكرية. ويُعد هذا الموضوع تكملة طبيعية لأحد مواضيع الدورة التاسعة الراهنة ألا وهو السبل البديلة لتسوية المنازعات.</w:t>
      </w:r>
    </w:p>
    <w:p w:rsidR="001C7728" w:rsidRDefault="001C7728" w:rsidP="00703C0C">
      <w:pPr>
        <w:pStyle w:val="NumberedParaAR"/>
        <w:numPr>
          <w:ilvl w:val="0"/>
          <w:numId w:val="33"/>
        </w:numPr>
        <w:tabs>
          <w:tab w:val="clear" w:pos="1701"/>
        </w:tabs>
        <w:spacing w:after="120"/>
        <w:ind w:left="0"/>
        <w:rPr>
          <w:rFonts w:hint="cs"/>
        </w:rPr>
      </w:pPr>
      <w:r>
        <w:rPr>
          <w:rFonts w:hint="cs"/>
          <w:rtl/>
        </w:rPr>
        <w:t xml:space="preserve">وقد نوقشت مسألة تخصّص </w:t>
      </w:r>
      <w:r w:rsidR="00703C0C">
        <w:rPr>
          <w:rFonts w:hint="cs"/>
          <w:rtl/>
        </w:rPr>
        <w:t>الجهاز القضائي</w:t>
      </w:r>
      <w:r>
        <w:rPr>
          <w:rFonts w:hint="cs"/>
          <w:rtl/>
        </w:rPr>
        <w:t xml:space="preserve"> والمحاكم المتخصّصة في الملكية الفكرية في عدة دورات سابقة، ممّا يثبت وجود اهتمام مطرد بهذا المجال الذي يكتسي أه</w:t>
      </w:r>
      <w:bookmarkStart w:id="2" w:name="_GoBack"/>
      <w:bookmarkEnd w:id="2"/>
      <w:r>
        <w:rPr>
          <w:rFonts w:hint="cs"/>
          <w:rtl/>
        </w:rPr>
        <w:t>مية خاصة بالنسبة إلى إنفاذ الملكية الفكرية.</w:t>
      </w:r>
    </w:p>
    <w:p w:rsidR="001C7728" w:rsidRDefault="001C7728" w:rsidP="00703C0C">
      <w:pPr>
        <w:pStyle w:val="NumberedParaAR"/>
        <w:numPr>
          <w:ilvl w:val="0"/>
          <w:numId w:val="33"/>
        </w:numPr>
        <w:tabs>
          <w:tab w:val="clear" w:pos="1701"/>
        </w:tabs>
        <w:spacing w:after="120"/>
        <w:ind w:left="0"/>
        <w:rPr>
          <w:rFonts w:hint="cs"/>
        </w:rPr>
      </w:pPr>
      <w:r>
        <w:rPr>
          <w:rFonts w:hint="cs"/>
          <w:rtl/>
        </w:rPr>
        <w:t xml:space="preserve">ولدى التحضير </w:t>
      </w:r>
      <w:r w:rsidR="005E0977">
        <w:rPr>
          <w:rFonts w:hint="cs"/>
          <w:rtl/>
        </w:rPr>
        <w:t xml:space="preserve">للاجتماع التشاوري حول الإنفاذ الذي عُقد في عام 2002، </w:t>
      </w:r>
      <w:r w:rsidR="00703C0C">
        <w:rPr>
          <w:rFonts w:hint="cs"/>
          <w:rtl/>
        </w:rPr>
        <w:t>التمست</w:t>
      </w:r>
      <w:r w:rsidR="005E0977">
        <w:rPr>
          <w:rFonts w:hint="cs"/>
          <w:rtl/>
        </w:rPr>
        <w:t xml:space="preserve"> أمانة الويبو من</w:t>
      </w:r>
      <w:r w:rsidR="00703C0C">
        <w:rPr>
          <w:rFonts w:hint="cs"/>
          <w:rtl/>
        </w:rPr>
        <w:t xml:space="preserve"> الدول الأعضاء</w:t>
      </w:r>
      <w:r w:rsidR="00A8078A">
        <w:rPr>
          <w:rFonts w:hint="cs"/>
          <w:rtl/>
        </w:rPr>
        <w:t xml:space="preserve"> </w:t>
      </w:r>
      <w:r w:rsidR="005E0977">
        <w:rPr>
          <w:rFonts w:hint="cs"/>
          <w:rtl/>
        </w:rPr>
        <w:t>"تحديد الممارسات الفعالة أو الفضلى لإنفاذ الملكية الصناعية في الدول الأعضاء، لا</w:t>
      </w:r>
      <w:r w:rsidR="005E0977">
        <w:rPr>
          <w:rFonts w:hint="eastAsia"/>
          <w:rtl/>
        </w:rPr>
        <w:t> </w:t>
      </w:r>
      <w:r w:rsidR="005E0977">
        <w:rPr>
          <w:rFonts w:hint="cs"/>
          <w:rtl/>
        </w:rPr>
        <w:t>سيما الممارسات الأقل تكلفة والأقل استهلاكا للوقت لإنفاذ الحقوق بف</w:t>
      </w:r>
      <w:r w:rsidR="00A8078A">
        <w:rPr>
          <w:rFonts w:hint="cs"/>
          <w:rtl/>
        </w:rPr>
        <w:t>ع</w:t>
      </w:r>
      <w:r w:rsidR="005E0977">
        <w:rPr>
          <w:rFonts w:hint="cs"/>
          <w:rtl/>
        </w:rPr>
        <w:t>الية" (الفقرة 4 من الوثيقة</w:t>
      </w:r>
      <w:r w:rsidR="005E0977">
        <w:rPr>
          <w:rFonts w:hint="eastAsia"/>
          <w:rtl/>
        </w:rPr>
        <w:t> </w:t>
      </w:r>
      <w:r w:rsidR="005E0977" w:rsidRPr="005E0977">
        <w:t>WIPO/CME/3</w:t>
      </w:r>
      <w:r w:rsidR="005E0977">
        <w:rPr>
          <w:rFonts w:hint="cs"/>
          <w:rtl/>
        </w:rPr>
        <w:t xml:space="preserve">؛ ومرفق الوثيقة </w:t>
      </w:r>
      <w:r w:rsidR="00A8078A" w:rsidRPr="00A8078A">
        <w:t>WIPO/ACE/1/3</w:t>
      </w:r>
      <w:r w:rsidR="00A8078A">
        <w:rPr>
          <w:rFonts w:hint="cs"/>
          <w:rtl/>
        </w:rPr>
        <w:t>). وكما جاء في تقرير الأمانة عن ذلك الاجتماع ("</w:t>
      </w:r>
      <w:r w:rsidR="00A8078A" w:rsidRPr="00A8078A">
        <w:rPr>
          <w:rtl/>
        </w:rPr>
        <w:t>مجمل القضايا المتعلقة ب</w:t>
      </w:r>
      <w:r w:rsidR="00A8078A">
        <w:rPr>
          <w:rFonts w:hint="cs"/>
          <w:rtl/>
        </w:rPr>
        <w:t>ال</w:t>
      </w:r>
      <w:r w:rsidR="00A8078A" w:rsidRPr="00A8078A">
        <w:rPr>
          <w:rtl/>
        </w:rPr>
        <w:t xml:space="preserve">صعوبات </w:t>
      </w:r>
      <w:r w:rsidR="00A8078A">
        <w:rPr>
          <w:rFonts w:hint="cs"/>
          <w:rtl/>
        </w:rPr>
        <w:t xml:space="preserve">والممارسات في مجال </w:t>
      </w:r>
      <w:r w:rsidR="00A8078A">
        <w:rPr>
          <w:rtl/>
        </w:rPr>
        <w:t>الإنفاذ</w:t>
      </w:r>
      <w:r w:rsidR="00A8078A">
        <w:rPr>
          <w:rFonts w:hint="cs"/>
          <w:rtl/>
        </w:rPr>
        <w:t>")</w:t>
      </w:r>
      <w:r w:rsidR="00A751EB">
        <w:rPr>
          <w:rFonts w:hint="cs"/>
          <w:rtl/>
        </w:rPr>
        <w:t xml:space="preserve"> أيّد عد</w:t>
      </w:r>
      <w:r w:rsidR="00703C0C">
        <w:rPr>
          <w:rFonts w:hint="cs"/>
          <w:rtl/>
        </w:rPr>
        <w:t>د</w:t>
      </w:r>
      <w:r w:rsidR="00A751EB">
        <w:rPr>
          <w:rFonts w:hint="cs"/>
          <w:rtl/>
        </w:rPr>
        <w:t xml:space="preserve"> كبير من الردود فكرة إنشاء محاكم متخصّصة في الملكية الفكرية أو</w:t>
      </w:r>
      <w:r w:rsidR="00FD41D9">
        <w:rPr>
          <w:rFonts w:hint="cs"/>
          <w:rtl/>
        </w:rPr>
        <w:t xml:space="preserve"> السعي</w:t>
      </w:r>
      <w:r w:rsidR="00A751EB">
        <w:rPr>
          <w:rFonts w:hint="cs"/>
          <w:rtl/>
        </w:rPr>
        <w:t xml:space="preserve">، بدلا من ذلك، </w:t>
      </w:r>
      <w:r w:rsidR="00FD41D9">
        <w:rPr>
          <w:rFonts w:hint="cs"/>
          <w:rtl/>
        </w:rPr>
        <w:t xml:space="preserve">إلى </w:t>
      </w:r>
      <w:r w:rsidR="00A751EB">
        <w:rPr>
          <w:rFonts w:hint="cs"/>
          <w:rtl/>
        </w:rPr>
        <w:t xml:space="preserve">ضمان تخصّص القضاة من خلال التدريب (الفقرة 70 من </w:t>
      </w:r>
      <w:r w:rsidR="00A751EB">
        <w:rPr>
          <w:rFonts w:hint="cs"/>
          <w:rtl/>
        </w:rPr>
        <w:t>الوثيقة</w:t>
      </w:r>
      <w:r w:rsidR="00A751EB">
        <w:rPr>
          <w:rFonts w:hint="eastAsia"/>
          <w:rtl/>
        </w:rPr>
        <w:t> </w:t>
      </w:r>
      <w:r w:rsidR="00A751EB" w:rsidRPr="005E0977">
        <w:t>WIPO/CME/3</w:t>
      </w:r>
      <w:r w:rsidR="00A751EB">
        <w:rPr>
          <w:rFonts w:hint="cs"/>
          <w:rtl/>
        </w:rPr>
        <w:t xml:space="preserve">؛ ومرفق الوثيقة </w:t>
      </w:r>
      <w:r w:rsidR="00A751EB" w:rsidRPr="00A8078A">
        <w:t>WIPO/ACE/1/3</w:t>
      </w:r>
      <w:r w:rsidR="00A751EB">
        <w:rPr>
          <w:rFonts w:hint="cs"/>
          <w:rtl/>
        </w:rPr>
        <w:t>).</w:t>
      </w:r>
    </w:p>
    <w:p w:rsidR="00A751EB" w:rsidRDefault="00A751EB" w:rsidP="00FD41D9">
      <w:pPr>
        <w:pStyle w:val="NumberedParaAR"/>
        <w:numPr>
          <w:ilvl w:val="0"/>
          <w:numId w:val="33"/>
        </w:numPr>
        <w:tabs>
          <w:tab w:val="clear" w:pos="1701"/>
        </w:tabs>
        <w:spacing w:after="120"/>
        <w:ind w:left="0"/>
        <w:rPr>
          <w:rFonts w:hint="cs"/>
        </w:rPr>
      </w:pPr>
      <w:r>
        <w:rPr>
          <w:rFonts w:hint="cs"/>
          <w:rtl/>
        </w:rPr>
        <w:t>وفي عام 2002، طلبت الأمانة معلومات أيضا لمساعدة اللجنة الاستشارية المعنية بإنفاذ الملكية الصناعية واللجنة الاستشارية المعنية بإدارة وإنفاذ حق المؤلف والحقوق المجاورة في شبكات المعلومات العالمية، وهما اللجنتان ال</w:t>
      </w:r>
      <w:r w:rsidR="00FD41D9">
        <w:rPr>
          <w:rFonts w:hint="cs"/>
          <w:rtl/>
        </w:rPr>
        <w:t>ل</w:t>
      </w:r>
      <w:r>
        <w:rPr>
          <w:rFonts w:hint="cs"/>
          <w:rtl/>
        </w:rPr>
        <w:t>تان انبثقت منه</w:t>
      </w:r>
      <w:r w:rsidR="00FD41D9">
        <w:rPr>
          <w:rFonts w:hint="cs"/>
          <w:rtl/>
        </w:rPr>
        <w:t>م</w:t>
      </w:r>
      <w:r>
        <w:rPr>
          <w:rFonts w:hint="cs"/>
          <w:rtl/>
        </w:rPr>
        <w:t xml:space="preserve">ا اللجنة الاستشارية المعنية بالإنفاذ، </w:t>
      </w:r>
      <w:r w:rsidR="00FD41D9">
        <w:rPr>
          <w:rFonts w:hint="cs"/>
          <w:rtl/>
        </w:rPr>
        <w:t xml:space="preserve">على </w:t>
      </w:r>
      <w:r>
        <w:rPr>
          <w:rFonts w:hint="cs"/>
          <w:rtl/>
        </w:rPr>
        <w:t>تحديد قضايا للنقاش ومجالات يبدو فيها التعاون الدولي في إطار الويبو ضروريا و</w:t>
      </w:r>
      <w:r w:rsidR="00FD41D9">
        <w:rPr>
          <w:rFonts w:hint="cs"/>
          <w:rtl/>
        </w:rPr>
        <w:t xml:space="preserve">ممكنا </w:t>
      </w:r>
      <w:r>
        <w:rPr>
          <w:rFonts w:hint="cs"/>
          <w:rtl/>
        </w:rPr>
        <w:t>على حد سواء (الفقرة 4 من الوثيقة</w:t>
      </w:r>
      <w:r w:rsidR="00080423">
        <w:rPr>
          <w:rFonts w:hint="eastAsia"/>
          <w:rtl/>
        </w:rPr>
        <w:t> </w:t>
      </w:r>
      <w:r w:rsidR="00080423" w:rsidRPr="005F2C31">
        <w:t>WIPO/CME/2 Rev.</w:t>
      </w:r>
      <w:r w:rsidR="00080423">
        <w:rPr>
          <w:rFonts w:hint="cs"/>
          <w:rtl/>
        </w:rPr>
        <w:t>)</w:t>
      </w:r>
      <w:r w:rsidR="00080423" w:rsidRPr="00080423">
        <w:rPr>
          <w:rtl/>
        </w:rPr>
        <w:t>.</w:t>
      </w:r>
      <w:r w:rsidR="00080423">
        <w:rPr>
          <w:rFonts w:hint="cs"/>
          <w:rtl/>
        </w:rPr>
        <w:t xml:space="preserve"> ويشير تقرير الأمانة إلى أن مسألة إنشاء محاكم متخصّصة أثيرت باعتبارها "حلا ممكنا للتوصل إلى اتخاذ قرارات تتسم بالفعالية من حيث التكلفة والكفاءة والاتساق" (الفقرة 19 "إنشاء محاكم متخصّصة" من </w:t>
      </w:r>
      <w:r w:rsidR="00080423">
        <w:rPr>
          <w:rFonts w:hint="cs"/>
          <w:rtl/>
        </w:rPr>
        <w:t>الوثيقة</w:t>
      </w:r>
      <w:r w:rsidR="00080423">
        <w:rPr>
          <w:rFonts w:hint="eastAsia"/>
          <w:rtl/>
        </w:rPr>
        <w:t> </w:t>
      </w:r>
      <w:r w:rsidR="00080423" w:rsidRPr="005F2C31">
        <w:t>WIPO/CME/2 Rev.</w:t>
      </w:r>
      <w:r w:rsidR="00080423">
        <w:rPr>
          <w:rFonts w:hint="cs"/>
          <w:rtl/>
        </w:rPr>
        <w:t>).</w:t>
      </w:r>
    </w:p>
    <w:p w:rsidR="00080423" w:rsidRDefault="00080423" w:rsidP="00984B9C">
      <w:pPr>
        <w:pStyle w:val="NumberedParaAR"/>
        <w:numPr>
          <w:ilvl w:val="0"/>
          <w:numId w:val="33"/>
        </w:numPr>
        <w:tabs>
          <w:tab w:val="clear" w:pos="1701"/>
        </w:tabs>
        <w:spacing w:after="120"/>
        <w:ind w:left="0"/>
        <w:rPr>
          <w:rFonts w:hint="cs"/>
        </w:rPr>
      </w:pPr>
      <w:r>
        <w:rPr>
          <w:rFonts w:hint="cs"/>
          <w:rtl/>
        </w:rPr>
        <w:t>و</w:t>
      </w:r>
      <w:r w:rsidR="005F2C31">
        <w:rPr>
          <w:rFonts w:hint="cs"/>
          <w:rtl/>
        </w:rPr>
        <w:t>أحاطت اللجنة الاستشارية المعنية بالإنفاذ، في دورتها</w:t>
      </w:r>
      <w:r>
        <w:rPr>
          <w:rFonts w:hint="cs"/>
          <w:rtl/>
        </w:rPr>
        <w:t xml:space="preserve"> الثانية </w:t>
      </w:r>
      <w:r w:rsidR="005F2C31">
        <w:rPr>
          <w:rFonts w:hint="cs"/>
          <w:rtl/>
        </w:rPr>
        <w:t xml:space="preserve">المعقودة في عام </w:t>
      </w:r>
      <w:r w:rsidR="00FD41D9">
        <w:rPr>
          <w:rFonts w:hint="cs"/>
          <w:rtl/>
        </w:rPr>
        <w:t>2004</w:t>
      </w:r>
      <w:r w:rsidR="005F2C31">
        <w:rPr>
          <w:rFonts w:hint="cs"/>
          <w:rtl/>
        </w:rPr>
        <w:t xml:space="preserve">، علما </w:t>
      </w:r>
      <w:r w:rsidR="00984B9C">
        <w:rPr>
          <w:rFonts w:hint="cs"/>
          <w:rtl/>
        </w:rPr>
        <w:t>بالدور الخاص الذي ي</w:t>
      </w:r>
      <w:r w:rsidR="005F2C31">
        <w:rPr>
          <w:rFonts w:hint="cs"/>
          <w:rtl/>
        </w:rPr>
        <w:t xml:space="preserve">ضطلع به </w:t>
      </w:r>
      <w:r w:rsidR="00984B9C">
        <w:rPr>
          <w:rFonts w:hint="cs"/>
          <w:rtl/>
        </w:rPr>
        <w:t>الجهاز القضائي</w:t>
      </w:r>
      <w:r w:rsidR="005F2C31">
        <w:rPr>
          <w:rFonts w:hint="cs"/>
          <w:rtl/>
        </w:rPr>
        <w:t xml:space="preserve"> في إنفاذ حقوق الملكية الفكرية (الفقرة 7 من الوثيقة</w:t>
      </w:r>
      <w:r w:rsidR="005F2C31">
        <w:rPr>
          <w:rFonts w:hint="eastAsia"/>
          <w:rtl/>
        </w:rPr>
        <w:t> </w:t>
      </w:r>
      <w:r w:rsidR="005F2C31" w:rsidRPr="005F2C31">
        <w:t>WIPO/ACE/2/13</w:t>
      </w:r>
      <w:r w:rsidR="005F2C31">
        <w:rPr>
          <w:rFonts w:hint="cs"/>
          <w:rtl/>
        </w:rPr>
        <w:t xml:space="preserve">). </w:t>
      </w:r>
      <w:r w:rsidR="00E0737C">
        <w:rPr>
          <w:rFonts w:hint="cs"/>
          <w:rtl/>
        </w:rPr>
        <w:t xml:space="preserve">كما </w:t>
      </w:r>
      <w:r w:rsidR="005F2C31">
        <w:rPr>
          <w:rFonts w:hint="cs"/>
          <w:rtl/>
        </w:rPr>
        <w:t xml:space="preserve">ناقشت اللجنة مسألة تخصّص </w:t>
      </w:r>
      <w:r w:rsidR="00984B9C">
        <w:rPr>
          <w:rFonts w:hint="cs"/>
          <w:rtl/>
        </w:rPr>
        <w:t>الجهاز القضائي</w:t>
      </w:r>
      <w:r w:rsidR="00930B0D">
        <w:rPr>
          <w:rFonts w:hint="cs"/>
          <w:rtl/>
        </w:rPr>
        <w:t xml:space="preserve"> و"أبدت اهتماما خاصا بمختلف السبل التي تنتهجها الدول ف</w:t>
      </w:r>
      <w:r w:rsidR="00984B9C">
        <w:rPr>
          <w:rFonts w:hint="cs"/>
          <w:rtl/>
        </w:rPr>
        <w:t>ي</w:t>
      </w:r>
      <w:r w:rsidR="00930B0D">
        <w:rPr>
          <w:rFonts w:hint="cs"/>
          <w:rtl/>
        </w:rPr>
        <w:t xml:space="preserve"> تناول هذه المسألة" </w:t>
      </w:r>
      <w:r w:rsidR="00930B0D">
        <w:rPr>
          <w:rFonts w:hint="cs"/>
          <w:rtl/>
        </w:rPr>
        <w:t xml:space="preserve">(الفقرة </w:t>
      </w:r>
      <w:r w:rsidR="00930B0D">
        <w:rPr>
          <w:rFonts w:hint="cs"/>
          <w:rtl/>
        </w:rPr>
        <w:t>8</w:t>
      </w:r>
      <w:r w:rsidR="00930B0D">
        <w:rPr>
          <w:rFonts w:hint="cs"/>
          <w:rtl/>
        </w:rPr>
        <w:t xml:space="preserve"> من الوثيقة</w:t>
      </w:r>
      <w:r w:rsidR="00930B0D">
        <w:rPr>
          <w:rFonts w:hint="eastAsia"/>
          <w:rtl/>
        </w:rPr>
        <w:t> </w:t>
      </w:r>
      <w:r w:rsidR="00930B0D" w:rsidRPr="005F2C31">
        <w:t>WIPO/ACE/2/13</w:t>
      </w:r>
      <w:r w:rsidR="00930B0D">
        <w:rPr>
          <w:rFonts w:hint="cs"/>
          <w:rtl/>
        </w:rPr>
        <w:t>)</w:t>
      </w:r>
      <w:r w:rsidR="00930B0D">
        <w:rPr>
          <w:rFonts w:hint="cs"/>
          <w:rtl/>
        </w:rPr>
        <w:t>. وناقشت بعض الدول الأعضاء ضرورة وجود جهاز ق</w:t>
      </w:r>
      <w:r w:rsidR="00984B9C">
        <w:rPr>
          <w:rFonts w:hint="cs"/>
          <w:rtl/>
        </w:rPr>
        <w:t>ضائي متخصّص</w:t>
      </w:r>
      <w:r w:rsidR="00930B0D">
        <w:rPr>
          <w:rFonts w:hint="cs"/>
          <w:rtl/>
        </w:rPr>
        <w:t xml:space="preserve"> </w:t>
      </w:r>
      <w:r w:rsidR="00930B0D" w:rsidRPr="00930B0D">
        <w:rPr>
          <w:rtl/>
        </w:rPr>
        <w:t>للبت</w:t>
      </w:r>
      <w:r w:rsidR="00930B0D">
        <w:rPr>
          <w:rFonts w:hint="cs"/>
          <w:rtl/>
        </w:rPr>
        <w:t>ّ</w:t>
      </w:r>
      <w:r w:rsidR="00930B0D" w:rsidRPr="00930B0D">
        <w:rPr>
          <w:rtl/>
        </w:rPr>
        <w:t xml:space="preserve"> في منازعات الملكية الفكرية </w:t>
      </w:r>
      <w:r w:rsidR="00E0737C">
        <w:rPr>
          <w:rFonts w:hint="cs"/>
          <w:rtl/>
        </w:rPr>
        <w:t>بكفاءة و</w:t>
      </w:r>
      <w:r w:rsidR="00E0737C">
        <w:rPr>
          <w:rtl/>
        </w:rPr>
        <w:t>بطريقة فعالة</w:t>
      </w:r>
      <w:r w:rsidR="00E0737C">
        <w:rPr>
          <w:rFonts w:hint="cs"/>
          <w:rtl/>
        </w:rPr>
        <w:t xml:space="preserve"> </w:t>
      </w:r>
      <w:r w:rsidR="00930B0D" w:rsidRPr="00930B0D">
        <w:rPr>
          <w:rtl/>
        </w:rPr>
        <w:t>من حيث التكلفة</w:t>
      </w:r>
      <w:r w:rsidR="00930B0D">
        <w:rPr>
          <w:rFonts w:hint="cs"/>
          <w:rtl/>
        </w:rPr>
        <w:t xml:space="preserve"> </w:t>
      </w:r>
      <w:r w:rsidR="00930B0D">
        <w:rPr>
          <w:rFonts w:hint="cs"/>
          <w:rtl/>
        </w:rPr>
        <w:t>(الفقرة 8 من الوثيقة</w:t>
      </w:r>
      <w:r w:rsidR="00930B0D">
        <w:rPr>
          <w:rFonts w:hint="eastAsia"/>
          <w:rtl/>
        </w:rPr>
        <w:t> </w:t>
      </w:r>
      <w:r w:rsidR="00930B0D" w:rsidRPr="005F2C31">
        <w:t>WIPO/ACE/2/13</w:t>
      </w:r>
      <w:r w:rsidR="00930B0D">
        <w:rPr>
          <w:rFonts w:hint="cs"/>
          <w:rtl/>
        </w:rPr>
        <w:t>)</w:t>
      </w:r>
      <w:r w:rsidR="00930B0D">
        <w:rPr>
          <w:rFonts w:hint="cs"/>
          <w:rtl/>
        </w:rPr>
        <w:t xml:space="preserve">. </w:t>
      </w:r>
      <w:r w:rsidR="00E0737C">
        <w:rPr>
          <w:rFonts w:hint="cs"/>
          <w:rtl/>
        </w:rPr>
        <w:t xml:space="preserve">وهناك من رأى أيضا </w:t>
      </w:r>
      <w:r w:rsidR="00E0737C" w:rsidRPr="00E0737C">
        <w:rPr>
          <w:rtl/>
        </w:rPr>
        <w:t>أن تخص</w:t>
      </w:r>
      <w:r w:rsidR="00E0737C">
        <w:rPr>
          <w:rFonts w:hint="cs"/>
          <w:rtl/>
        </w:rPr>
        <w:t>ّ</w:t>
      </w:r>
      <w:r w:rsidR="00E0737C" w:rsidRPr="00E0737C">
        <w:rPr>
          <w:rtl/>
        </w:rPr>
        <w:t xml:space="preserve">ص الجهاز القضائي </w:t>
      </w:r>
      <w:r w:rsidR="00E0737C">
        <w:rPr>
          <w:rFonts w:hint="cs"/>
          <w:rtl/>
        </w:rPr>
        <w:t>أمر يمكن تحقيقه</w:t>
      </w:r>
      <w:r w:rsidR="00E0737C" w:rsidRPr="00E0737C">
        <w:rPr>
          <w:rtl/>
        </w:rPr>
        <w:t xml:space="preserve"> بتركيز دعاوى الملكية الفكرية في إطار </w:t>
      </w:r>
      <w:r w:rsidR="00984B9C">
        <w:rPr>
          <w:rFonts w:hint="cs"/>
          <w:rtl/>
        </w:rPr>
        <w:t>هياكل</w:t>
      </w:r>
      <w:r w:rsidR="00E0737C" w:rsidRPr="00E0737C">
        <w:rPr>
          <w:rtl/>
        </w:rPr>
        <w:t xml:space="preserve"> قضائية قائمة</w:t>
      </w:r>
      <w:r w:rsidR="00E0737C">
        <w:rPr>
          <w:rFonts w:hint="cs"/>
          <w:rtl/>
        </w:rPr>
        <w:t xml:space="preserve"> </w:t>
      </w:r>
      <w:r w:rsidR="00E0737C">
        <w:rPr>
          <w:rFonts w:hint="cs"/>
          <w:rtl/>
        </w:rPr>
        <w:t>(الفقرة 8 من الوثيقة</w:t>
      </w:r>
      <w:r w:rsidR="00E0737C">
        <w:rPr>
          <w:rFonts w:hint="eastAsia"/>
          <w:rtl/>
        </w:rPr>
        <w:t> </w:t>
      </w:r>
      <w:r w:rsidR="00E0737C" w:rsidRPr="005F2C31">
        <w:t>WIPO/ACE/2/13</w:t>
      </w:r>
      <w:r w:rsidR="00E0737C">
        <w:rPr>
          <w:rFonts w:hint="cs"/>
          <w:rtl/>
        </w:rPr>
        <w:t>).</w:t>
      </w:r>
    </w:p>
    <w:p w:rsidR="00E0737C" w:rsidRDefault="00E0737C" w:rsidP="009B3FDF">
      <w:pPr>
        <w:pStyle w:val="NumberedParaAR"/>
        <w:numPr>
          <w:ilvl w:val="0"/>
          <w:numId w:val="33"/>
        </w:numPr>
        <w:tabs>
          <w:tab w:val="clear" w:pos="1701"/>
        </w:tabs>
        <w:spacing w:after="120"/>
        <w:ind w:left="0"/>
        <w:rPr>
          <w:rFonts w:hint="cs"/>
        </w:rPr>
      </w:pPr>
      <w:r>
        <w:rPr>
          <w:rFonts w:hint="cs"/>
          <w:rtl/>
        </w:rPr>
        <w:t>وفي الدورة الرابعة التي عقدتها اللجنة في عام 2007، أثيرت تساؤلات بشأن "</w:t>
      </w:r>
      <w:r w:rsidR="004A5D36">
        <w:rPr>
          <w:rFonts w:hint="cs"/>
          <w:rtl/>
        </w:rPr>
        <w:t xml:space="preserve">تخصّص الجهاز القضائي في الدعاوى الجنائية والمدنية </w:t>
      </w:r>
      <w:r w:rsidR="00DD125F">
        <w:rPr>
          <w:rFonts w:hint="cs"/>
          <w:rtl/>
        </w:rPr>
        <w:t xml:space="preserve">على حد سواء </w:t>
      </w:r>
      <w:r w:rsidR="004A5D36">
        <w:rPr>
          <w:rFonts w:hint="cs"/>
          <w:rtl/>
        </w:rPr>
        <w:t>(الفقرة 9 من الوثيقة</w:t>
      </w:r>
      <w:r w:rsidR="004A5D36">
        <w:rPr>
          <w:rFonts w:hint="eastAsia"/>
          <w:rtl/>
        </w:rPr>
        <w:t> </w:t>
      </w:r>
      <w:r w:rsidR="004A5D36" w:rsidRPr="004A5D36">
        <w:t>WIPO/ACE/4/10</w:t>
      </w:r>
      <w:r w:rsidR="004A5D36" w:rsidRPr="004A5D36">
        <w:rPr>
          <w:rFonts w:hint="cs"/>
          <w:rtl/>
        </w:rPr>
        <w:t>).</w:t>
      </w:r>
    </w:p>
    <w:p w:rsidR="004A5D36" w:rsidRDefault="004A5D36" w:rsidP="009B3FDF">
      <w:pPr>
        <w:pStyle w:val="NumberedParaAR"/>
        <w:numPr>
          <w:ilvl w:val="0"/>
          <w:numId w:val="33"/>
        </w:numPr>
        <w:tabs>
          <w:tab w:val="clear" w:pos="1701"/>
        </w:tabs>
        <w:spacing w:after="120"/>
        <w:ind w:left="0"/>
        <w:rPr>
          <w:rFonts w:hint="cs"/>
        </w:rPr>
      </w:pPr>
      <w:r>
        <w:rPr>
          <w:rFonts w:hint="cs"/>
          <w:rtl/>
        </w:rPr>
        <w:t xml:space="preserve">وأبدت الدول الأعضاء نشاطا فيما يخص إنشاء جهاز قضائي متخصّص أو استحداث محاكم متخصّصة في الملكية الفكرية. ومن شأن تلك الممارسات أن تفضي إلى فوائد كبيرة في مجال الإنفاذ منها، مثلا، تحسين كفاءة القرارات الصادرة عن الجهاز القضائي، وزيادة اتساق حصائل الدعاوى والقدرة على التنبؤ بها، وتقليص </w:t>
      </w:r>
      <w:r w:rsidR="00717E97">
        <w:rPr>
          <w:rFonts w:hint="cs"/>
          <w:rtl/>
        </w:rPr>
        <w:t>التكاليف التي تتحملها أنظمة الإنفاذ. وبناء على ذلك نرى أن الوقت مناسب كي تر</w:t>
      </w:r>
      <w:r w:rsidR="00DD125F">
        <w:rPr>
          <w:rFonts w:hint="cs"/>
          <w:rtl/>
        </w:rPr>
        <w:t>كّز اللجنة على هذا الموضوع، لأن</w:t>
      </w:r>
      <w:r w:rsidR="009B3FDF">
        <w:rPr>
          <w:rFonts w:hint="cs"/>
          <w:rtl/>
        </w:rPr>
        <w:t xml:space="preserve"> من المفيد إجراء تبادل حول جهود الدول الأعضاء في هذا المجال لأغراض الدورة العاشرة.</w:t>
      </w:r>
    </w:p>
    <w:p w:rsidR="009B3FDF" w:rsidRPr="00822B72" w:rsidRDefault="009B3FDF" w:rsidP="009B3FDF">
      <w:pPr>
        <w:pStyle w:val="EndofDocumentAR"/>
        <w:rPr>
          <w:rtl/>
        </w:rPr>
      </w:pPr>
      <w:r>
        <w:rPr>
          <w:rFonts w:hint="cs"/>
          <w:rtl/>
        </w:rPr>
        <w:t>[نهاية المرفق والوثيقة]</w:t>
      </w:r>
    </w:p>
    <w:sectPr w:rsidR="009B3FDF" w:rsidRPr="00822B72" w:rsidSect="00EB7752">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63" w:rsidRDefault="00F94C63">
      <w:r>
        <w:separator/>
      </w:r>
    </w:p>
  </w:endnote>
  <w:endnote w:type="continuationSeparator" w:id="0">
    <w:p w:rsidR="00F94C63" w:rsidRDefault="00F9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63" w:rsidRDefault="00F94C63" w:rsidP="009622BF">
      <w:pPr>
        <w:bidi/>
      </w:pPr>
      <w:bookmarkStart w:id="0" w:name="OLE_LINK1"/>
      <w:bookmarkStart w:id="1" w:name="OLE_LINK2"/>
      <w:r>
        <w:separator/>
      </w:r>
      <w:bookmarkEnd w:id="0"/>
      <w:bookmarkEnd w:id="1"/>
    </w:p>
  </w:footnote>
  <w:footnote w:type="continuationSeparator" w:id="0">
    <w:p w:rsidR="00F94C63" w:rsidRDefault="00F94C63" w:rsidP="009622BF">
      <w:pPr>
        <w:bidi/>
      </w:pPr>
      <w:r>
        <w:separator/>
      </w:r>
    </w:p>
  </w:footnote>
  <w:footnote w:id="1">
    <w:p w:rsidR="00316106" w:rsidRDefault="00316106" w:rsidP="00977E87">
      <w:pPr>
        <w:pStyle w:val="FootnoteText"/>
        <w:rPr>
          <w:rFonts w:hint="cs"/>
        </w:rPr>
      </w:pPr>
      <w:r>
        <w:rPr>
          <w:rStyle w:val="FootnoteReference"/>
        </w:rPr>
        <w:footnoteRef/>
      </w:r>
      <w:r>
        <w:rPr>
          <w:rtl/>
        </w:rPr>
        <w:t xml:space="preserve"> </w:t>
      </w:r>
      <w:r>
        <w:rPr>
          <w:rFonts w:hint="cs"/>
          <w:rtl/>
        </w:rPr>
        <w:t>الفقرة 16 من الوثيقة</w:t>
      </w:r>
      <w:r w:rsidR="00977E87">
        <w:rPr>
          <w:rFonts w:hint="eastAsia"/>
          <w:rtl/>
        </w:rPr>
        <w:t> </w:t>
      </w:r>
      <w:r w:rsidRPr="00316106">
        <w:t>WIPO/ACE/1/7 Rev.</w:t>
      </w:r>
      <w:r>
        <w:rPr>
          <w:rFonts w:hint="cs"/>
          <w:rtl/>
        </w:rPr>
        <w:t xml:space="preserve"> المتاحة على الموقع التالي: </w:t>
      </w:r>
      <w:hyperlink r:id="rId1" w:history="1">
        <w:r w:rsidRPr="00316106">
          <w:rPr>
            <w:rStyle w:val="Hyperlink"/>
          </w:rPr>
          <w:t>http://www.wipo.int/meetings/en/doc_details.jsp?doc_id=17452</w:t>
        </w:r>
      </w:hyperlink>
      <w:r>
        <w:rPr>
          <w:rFonts w:hint="cs"/>
          <w:rtl/>
        </w:rPr>
        <w:t>.</w:t>
      </w:r>
    </w:p>
  </w:footnote>
  <w:footnote w:id="2">
    <w:p w:rsidR="00003E50" w:rsidRDefault="00003E50" w:rsidP="00003E50">
      <w:pPr>
        <w:pStyle w:val="FootnoteText"/>
        <w:rPr>
          <w:rFonts w:hint="cs"/>
        </w:rPr>
      </w:pPr>
      <w:r>
        <w:rPr>
          <w:rStyle w:val="FootnoteReference"/>
        </w:rPr>
        <w:footnoteRef/>
      </w:r>
      <w:r>
        <w:rPr>
          <w:rtl/>
        </w:rPr>
        <w:t xml:space="preserve"> </w:t>
      </w:r>
      <w:r>
        <w:rPr>
          <w:rFonts w:hint="cs"/>
          <w:rtl/>
        </w:rPr>
        <w:t xml:space="preserve">وثائق الاجتماع متاحة على الموقع التالي: </w:t>
      </w:r>
      <w:hyperlink r:id="rId2" w:history="1">
        <w:r w:rsidRPr="00003E50">
          <w:rPr>
            <w:rStyle w:val="Hyperlink"/>
            <w:iCs/>
          </w:rPr>
          <w:t>http://www.wipo.int/meetings/en/d</w:t>
        </w:r>
        <w:r w:rsidRPr="00003E50">
          <w:rPr>
            <w:rStyle w:val="Hyperlink"/>
            <w:iCs/>
          </w:rPr>
          <w:t>e</w:t>
        </w:r>
        <w:r w:rsidRPr="00003E50">
          <w:rPr>
            <w:rStyle w:val="Hyperlink"/>
            <w:iCs/>
          </w:rPr>
          <w:t>tails.jsp?meeting_id=5662</w:t>
        </w:r>
      </w:hyperlink>
      <w:r>
        <w:rPr>
          <w:rFonts w:hint="cs"/>
          <w:rtl/>
        </w:rPr>
        <w:t>.</w:t>
      </w:r>
    </w:p>
  </w:footnote>
  <w:footnote w:id="3">
    <w:p w:rsidR="00B952EA" w:rsidRDefault="00B952EA" w:rsidP="00B952EA">
      <w:pPr>
        <w:pStyle w:val="FootnoteText"/>
        <w:rPr>
          <w:rFonts w:hint="cs"/>
        </w:rPr>
      </w:pPr>
      <w:r>
        <w:rPr>
          <w:rStyle w:val="FootnoteReference"/>
        </w:rPr>
        <w:footnoteRef/>
      </w:r>
      <w:r>
        <w:rPr>
          <w:rtl/>
        </w:rPr>
        <w:t xml:space="preserve"> </w:t>
      </w:r>
      <w:r>
        <w:rPr>
          <w:rFonts w:hint="cs"/>
          <w:rtl/>
        </w:rPr>
        <w:t xml:space="preserve">وثائق الاجتماع متاحة على الموقع التالي: </w:t>
      </w:r>
      <w:hyperlink r:id="rId3" w:history="1">
        <w:r w:rsidRPr="00B952EA">
          <w:rPr>
            <w:rStyle w:val="Hyperlink"/>
          </w:rPr>
          <w:t>http://www.wipo.int/meetings/en/details.jsp?meeting_id=9964</w:t>
        </w:r>
      </w:hyperlink>
      <w:r>
        <w:rPr>
          <w:rFonts w:hint="cs"/>
          <w:rtl/>
        </w:rPr>
        <w:t>.</w:t>
      </w:r>
    </w:p>
  </w:footnote>
  <w:footnote w:id="4">
    <w:p w:rsidR="00B952EA" w:rsidRDefault="00B952EA" w:rsidP="00B952EA">
      <w:pPr>
        <w:pStyle w:val="FootnoteText"/>
        <w:rPr>
          <w:rFonts w:hint="cs"/>
        </w:rPr>
      </w:pPr>
      <w:r>
        <w:rPr>
          <w:rStyle w:val="FootnoteReference"/>
        </w:rPr>
        <w:footnoteRef/>
      </w:r>
      <w:r>
        <w:rPr>
          <w:rtl/>
        </w:rPr>
        <w:t xml:space="preserve"> </w:t>
      </w:r>
      <w:r>
        <w:rPr>
          <w:rFonts w:hint="cs"/>
          <w:rtl/>
        </w:rPr>
        <w:t>وثائق الاجتماع متاحة على الموقع التالي:</w:t>
      </w:r>
      <w:r>
        <w:rPr>
          <w:rFonts w:hint="cs"/>
          <w:rtl/>
        </w:rPr>
        <w:t xml:space="preserve"> </w:t>
      </w:r>
      <w:hyperlink r:id="rId4" w:history="1">
        <w:r w:rsidRPr="00B952EA">
          <w:rPr>
            <w:rStyle w:val="Hyperlink"/>
          </w:rPr>
          <w:t>http://www.wipo.int/meetings/en/details.jsp?meeting_id=12802</w:t>
        </w:r>
      </w:hyperlink>
      <w:r>
        <w:rPr>
          <w:rFonts w:hint="cs"/>
          <w:rtl/>
        </w:rPr>
        <w:t>.</w:t>
      </w:r>
    </w:p>
  </w:footnote>
  <w:footnote w:id="5">
    <w:p w:rsidR="00B952EA" w:rsidRDefault="00B952EA" w:rsidP="00B952EA">
      <w:pPr>
        <w:pStyle w:val="FootnoteText"/>
        <w:rPr>
          <w:rFonts w:hint="cs"/>
        </w:rPr>
      </w:pPr>
      <w:r>
        <w:rPr>
          <w:rStyle w:val="FootnoteReference"/>
        </w:rPr>
        <w:footnoteRef/>
      </w:r>
      <w:r>
        <w:rPr>
          <w:rtl/>
        </w:rPr>
        <w:t xml:space="preserve"> </w:t>
      </w:r>
      <w:r>
        <w:rPr>
          <w:rFonts w:hint="cs"/>
          <w:rtl/>
        </w:rPr>
        <w:t>وثائق الاجتماع متاحة على الموقع التالي:</w:t>
      </w:r>
      <w:r>
        <w:rPr>
          <w:rFonts w:hint="cs"/>
          <w:rtl/>
        </w:rPr>
        <w:t xml:space="preserve"> </w:t>
      </w:r>
      <w:hyperlink r:id="rId5" w:history="1">
        <w:r w:rsidRPr="00B952EA">
          <w:rPr>
            <w:rStyle w:val="Hyperlink"/>
          </w:rPr>
          <w:t>http://www.wipo.int/meetings/en/details.jsp?meeting_id=17445</w:t>
        </w:r>
      </w:hyperlink>
      <w:r>
        <w:rPr>
          <w:rFonts w:hint="cs"/>
          <w:rtl/>
        </w:rPr>
        <w:t>.</w:t>
      </w:r>
    </w:p>
  </w:footnote>
  <w:footnote w:id="6">
    <w:p w:rsidR="00575EC6" w:rsidRDefault="00575EC6" w:rsidP="00575EC6">
      <w:pPr>
        <w:pStyle w:val="FootnoteText"/>
        <w:rPr>
          <w:rFonts w:hint="cs"/>
        </w:rPr>
      </w:pPr>
      <w:r>
        <w:rPr>
          <w:rStyle w:val="FootnoteReference"/>
        </w:rPr>
        <w:footnoteRef/>
      </w:r>
      <w:r>
        <w:rPr>
          <w:rtl/>
        </w:rPr>
        <w:t xml:space="preserve"> </w:t>
      </w:r>
      <w:r>
        <w:rPr>
          <w:rFonts w:hint="cs"/>
          <w:rtl/>
        </w:rPr>
        <w:t xml:space="preserve">وثائق الاجتماعات متاحة على الموقع التالي: </w:t>
      </w:r>
      <w:hyperlink r:id="rId6" w:history="1">
        <w:r w:rsidRPr="00575EC6">
          <w:rPr>
            <w:rStyle w:val="Hyperlink"/>
          </w:rPr>
          <w:t>http://www.wipo.int/meetings/en/details.jsp?meeting_id=20199</w:t>
        </w:r>
      </w:hyperlink>
      <w:r>
        <w:rPr>
          <w:rFonts w:hint="cs"/>
          <w:rtl/>
        </w:rPr>
        <w:t>.</w:t>
      </w:r>
    </w:p>
  </w:footnote>
  <w:footnote w:id="7">
    <w:p w:rsidR="0037306C" w:rsidRDefault="0037306C" w:rsidP="0037306C">
      <w:pPr>
        <w:pStyle w:val="FootnoteText"/>
        <w:rPr>
          <w:rFonts w:hint="cs"/>
        </w:rPr>
      </w:pPr>
      <w:r>
        <w:rPr>
          <w:rStyle w:val="FootnoteReference"/>
        </w:rPr>
        <w:footnoteRef/>
      </w:r>
      <w:r>
        <w:rPr>
          <w:rtl/>
        </w:rPr>
        <w:t xml:space="preserve"> </w:t>
      </w:r>
      <w:r>
        <w:rPr>
          <w:rFonts w:hint="cs"/>
          <w:rtl/>
        </w:rPr>
        <w:t xml:space="preserve">وثائق </w:t>
      </w:r>
      <w:r>
        <w:rPr>
          <w:rFonts w:hint="cs"/>
          <w:rtl/>
        </w:rPr>
        <w:t>الاجتماع</w:t>
      </w:r>
      <w:r>
        <w:rPr>
          <w:rFonts w:hint="cs"/>
          <w:rtl/>
        </w:rPr>
        <w:t xml:space="preserve"> متاحة على الموقع التالي:</w:t>
      </w:r>
      <w:r>
        <w:rPr>
          <w:rFonts w:hint="cs"/>
          <w:rtl/>
        </w:rPr>
        <w:t xml:space="preserve"> </w:t>
      </w:r>
      <w:hyperlink r:id="rId7" w:history="1">
        <w:r w:rsidRPr="0037306C">
          <w:rPr>
            <w:rStyle w:val="Hyperlink"/>
          </w:rPr>
          <w:t>http://www.wipo.int/meetin</w:t>
        </w:r>
        <w:r w:rsidRPr="0037306C">
          <w:rPr>
            <w:rStyle w:val="Hyperlink"/>
          </w:rPr>
          <w:t>g</w:t>
        </w:r>
        <w:r w:rsidRPr="0037306C">
          <w:rPr>
            <w:rStyle w:val="Hyperlink"/>
          </w:rPr>
          <w:t>s/en/details.jsp?meeting_id=30137</w:t>
        </w:r>
      </w:hyperlink>
      <w:r>
        <w:rPr>
          <w:rFonts w:hint="cs"/>
          <w:rtl/>
        </w:rPr>
        <w:t>.</w:t>
      </w:r>
    </w:p>
  </w:footnote>
  <w:footnote w:id="8">
    <w:p w:rsidR="003442C1" w:rsidRDefault="003442C1" w:rsidP="003442C1">
      <w:pPr>
        <w:pStyle w:val="FootnoteText"/>
        <w:rPr>
          <w:rFonts w:hint="cs"/>
        </w:rPr>
      </w:pPr>
      <w:r>
        <w:rPr>
          <w:rStyle w:val="FootnoteReference"/>
        </w:rPr>
        <w:footnoteRef/>
      </w:r>
      <w:r>
        <w:rPr>
          <w:rtl/>
        </w:rPr>
        <w:t xml:space="preserve"> </w:t>
      </w:r>
      <w:r>
        <w:rPr>
          <w:rFonts w:hint="cs"/>
          <w:rtl/>
        </w:rPr>
        <w:t>الوثيقة</w:t>
      </w:r>
      <w:r>
        <w:rPr>
          <w:rFonts w:hint="eastAsia"/>
          <w:rtl/>
        </w:rPr>
        <w:t> </w:t>
      </w:r>
      <w:r w:rsidRPr="003442C1">
        <w:t>WIPO/ACE/8/12 PROV.</w:t>
      </w:r>
      <w:r>
        <w:rPr>
          <w:rFonts w:hint="cs"/>
          <w:rtl/>
        </w:rPr>
        <w:t xml:space="preserve"> </w:t>
      </w:r>
      <w:proofErr w:type="spellStart"/>
      <w:r>
        <w:rPr>
          <w:rFonts w:hint="cs"/>
          <w:rtl/>
        </w:rPr>
        <w:t>المعنونة</w:t>
      </w:r>
      <w:proofErr w:type="spellEnd"/>
      <w:r>
        <w:rPr>
          <w:rFonts w:hint="cs"/>
          <w:rtl/>
        </w:rPr>
        <w:t xml:space="preserve"> "مشروع ملخص الرئيس" متاحة على الموقع التالي: </w:t>
      </w:r>
      <w:hyperlink r:id="rId8" w:history="1">
        <w:r w:rsidRPr="003442C1">
          <w:rPr>
            <w:rStyle w:val="Hyperlink"/>
          </w:rPr>
          <w:t>http://www.wipo.int/meetings/en/doc_details.jsp?doc_id=227425</w:t>
        </w:r>
      </w:hyperlink>
      <w:r w:rsidR="00470974">
        <w:rPr>
          <w:rFonts w:hint="cs"/>
          <w:rtl/>
        </w:rPr>
        <w:t>.</w:t>
      </w:r>
    </w:p>
  </w:footnote>
  <w:footnote w:id="9">
    <w:p w:rsidR="003F2585" w:rsidRDefault="003F2585" w:rsidP="003F2585">
      <w:pPr>
        <w:pStyle w:val="FootnoteText"/>
        <w:rPr>
          <w:rFonts w:hint="cs"/>
        </w:rPr>
      </w:pPr>
      <w:r>
        <w:rPr>
          <w:rStyle w:val="FootnoteReference"/>
        </w:rPr>
        <w:footnoteRef/>
      </w:r>
      <w:r>
        <w:rPr>
          <w:rtl/>
        </w:rPr>
        <w:t xml:space="preserve"> </w:t>
      </w:r>
      <w:r>
        <w:rPr>
          <w:rFonts w:hint="cs"/>
          <w:rtl/>
        </w:rPr>
        <w:t>الوثيقة</w:t>
      </w:r>
      <w:r>
        <w:rPr>
          <w:rFonts w:hint="eastAsia"/>
          <w:rtl/>
        </w:rPr>
        <w:t> </w:t>
      </w:r>
      <w:r w:rsidRPr="003F2585">
        <w:t>WIPO/ACE/8/3</w:t>
      </w:r>
      <w:r>
        <w:rPr>
          <w:rFonts w:hint="cs"/>
          <w:rtl/>
        </w:rPr>
        <w:t xml:space="preserve"> </w:t>
      </w:r>
      <w:proofErr w:type="spellStart"/>
      <w:r>
        <w:rPr>
          <w:rFonts w:hint="cs"/>
          <w:rtl/>
        </w:rPr>
        <w:t>المعنونة</w:t>
      </w:r>
      <w:proofErr w:type="spellEnd"/>
      <w:r>
        <w:rPr>
          <w:rFonts w:hint="cs"/>
          <w:rtl/>
        </w:rPr>
        <w:t xml:space="preserve"> "</w:t>
      </w:r>
      <w:r w:rsidRPr="003F2585">
        <w:rPr>
          <w:rtl/>
        </w:rPr>
        <w:t>تحليل اقتراحات العمل المقبل للجنة الاستشارية المعنية بالإنفاذ</w:t>
      </w:r>
      <w:r>
        <w:rPr>
          <w:rFonts w:hint="cs"/>
          <w:rtl/>
        </w:rPr>
        <w:t xml:space="preserve">" متاحة على الموقع التالي: </w:t>
      </w:r>
      <w:hyperlink r:id="rId9" w:history="1">
        <w:r w:rsidRPr="003F2585">
          <w:rPr>
            <w:rStyle w:val="Hyperlink"/>
          </w:rPr>
          <w:t>http://www.wipo.int/meetings/en/doc_details.js</w:t>
        </w:r>
        <w:r w:rsidRPr="003F2585">
          <w:rPr>
            <w:rStyle w:val="Hyperlink"/>
          </w:rPr>
          <w:t>p</w:t>
        </w:r>
        <w:r w:rsidRPr="003F2585">
          <w:rPr>
            <w:rStyle w:val="Hyperlink"/>
          </w:rPr>
          <w:t>?doc_id=216331</w:t>
        </w:r>
      </w:hyperlink>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A61E61" w:rsidP="00822B72">
    <w:r>
      <w:t>WIPO/</w:t>
    </w:r>
    <w:r w:rsidR="00822B72">
      <w:rPr>
        <w:lang w:val="fr-CH"/>
      </w:rPr>
      <w:t>ACE</w:t>
    </w:r>
    <w:r w:rsidR="001C130D">
      <w:t>/</w:t>
    </w:r>
    <w:r w:rsidR="00822B72">
      <w:t>9</w:t>
    </w:r>
    <w:r w:rsidR="006769E1">
      <w:t>/28</w:t>
    </w:r>
  </w:p>
  <w:p w:rsidR="001C130D" w:rsidRDefault="001C130D" w:rsidP="00D61541">
    <w:r>
      <w:fldChar w:fldCharType="begin"/>
    </w:r>
    <w:r>
      <w:instrText xml:space="preserve"> PAGE  \* MERGEFORMAT </w:instrText>
    </w:r>
    <w:r>
      <w:fldChar w:fldCharType="separate"/>
    </w:r>
    <w:r w:rsidR="007744CB">
      <w:rPr>
        <w:noProof/>
      </w:rPr>
      <w:t>2</w:t>
    </w:r>
    <w:r>
      <w:fldChar w:fldCharType="end"/>
    </w:r>
  </w:p>
  <w:p w:rsidR="001C130D" w:rsidRDefault="001C130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9E1" w:rsidRDefault="006769E1" w:rsidP="006769E1">
    <w:pPr>
      <w:pStyle w:val="Header"/>
    </w:pPr>
    <w:r>
      <w:t>WIPO/</w:t>
    </w:r>
    <w:r>
      <w:rPr>
        <w:lang w:val="fr-CH"/>
      </w:rPr>
      <w:t>ACE</w:t>
    </w:r>
    <w:r>
      <w:t>/9/28</w:t>
    </w:r>
  </w:p>
  <w:p w:rsidR="006769E1" w:rsidRDefault="006769E1" w:rsidP="006769E1">
    <w:pPr>
      <w:pStyle w:val="Header"/>
    </w:pPr>
    <w:r>
      <w:t>ANNEX</w:t>
    </w:r>
  </w:p>
  <w:p w:rsidR="006769E1" w:rsidRPr="006769E1" w:rsidRDefault="006769E1" w:rsidP="006769E1">
    <w:pPr>
      <w:pStyle w:val="Header"/>
      <w:bidi/>
      <w:jc w:val="right"/>
      <w:rPr>
        <w:rFonts w:ascii="Arabic Typesetting" w:hAnsi="Arabic Typesetting" w:cs="Arabic Typesetting"/>
        <w:sz w:val="36"/>
        <w:szCs w:val="36"/>
        <w:rtl/>
      </w:rPr>
    </w:pPr>
    <w:r w:rsidRPr="006769E1">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B57497D4"/>
    <w:lvl w:ilvl="0" w:tplc="56AA3788">
      <w:start w:val="1"/>
      <w:numFmt w:val="decimal"/>
      <w:pStyle w:val="NumberedParaAR"/>
      <w:lvlText w:val="%1."/>
      <w:lvlJc w:val="left"/>
      <w:pPr>
        <w:tabs>
          <w:tab w:val="num" w:pos="1701"/>
        </w:tabs>
        <w:ind w:left="11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4D77FD"/>
    <w:multiLevelType w:val="hybridMultilevel"/>
    <w:tmpl w:val="193C8F50"/>
    <w:lvl w:ilvl="0" w:tplc="EFE6D69E">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2"/>
    <w:lvlOverride w:ilvl="0">
      <w:startOverride w:val="1"/>
    </w:lvlOverride>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lvlOverride w:ilvl="0">
      <w:startOverride w:val="1"/>
    </w:lvlOverride>
  </w:num>
  <w:num w:numId="30">
    <w:abstractNumId w:val="12"/>
    <w:lvlOverride w:ilvl="0">
      <w:startOverride w:val="2"/>
    </w:lvlOverride>
  </w:num>
  <w:num w:numId="31">
    <w:abstractNumId w:val="12"/>
  </w:num>
  <w:num w:numId="32">
    <w:abstractNumId w:val="12"/>
    <w:lvlOverride w:ilvl="0">
      <w:startOverride w:val="2"/>
    </w:lvlOverride>
  </w:num>
  <w:num w:numId="33">
    <w:abstractNumId w:val="12"/>
    <w:lvlOverride w:ilvl="0">
      <w:startOverride w:val="1"/>
    </w:lvlOverride>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63"/>
    <w:rsid w:val="00002CBE"/>
    <w:rsid w:val="00003232"/>
    <w:rsid w:val="000033DA"/>
    <w:rsid w:val="00003E50"/>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0423"/>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604A"/>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D77"/>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C7728"/>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067C"/>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FE3"/>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106"/>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46FE"/>
    <w:rsid w:val="00335CA6"/>
    <w:rsid w:val="003365F0"/>
    <w:rsid w:val="00336C50"/>
    <w:rsid w:val="00337388"/>
    <w:rsid w:val="0034007D"/>
    <w:rsid w:val="003433E5"/>
    <w:rsid w:val="00344082"/>
    <w:rsid w:val="003442C1"/>
    <w:rsid w:val="0034582C"/>
    <w:rsid w:val="00345916"/>
    <w:rsid w:val="00345CAC"/>
    <w:rsid w:val="0034789E"/>
    <w:rsid w:val="003501DA"/>
    <w:rsid w:val="003503E2"/>
    <w:rsid w:val="00351DC1"/>
    <w:rsid w:val="003534EE"/>
    <w:rsid w:val="003600A2"/>
    <w:rsid w:val="003612D8"/>
    <w:rsid w:val="003630FA"/>
    <w:rsid w:val="003637B6"/>
    <w:rsid w:val="00363F89"/>
    <w:rsid w:val="00363FB0"/>
    <w:rsid w:val="003646D6"/>
    <w:rsid w:val="00364FC6"/>
    <w:rsid w:val="0036541D"/>
    <w:rsid w:val="00370504"/>
    <w:rsid w:val="00371814"/>
    <w:rsid w:val="00372BAE"/>
    <w:rsid w:val="00372EE9"/>
    <w:rsid w:val="0037306C"/>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2585"/>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0974"/>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5D36"/>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0E1C"/>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5EC6"/>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986"/>
    <w:rsid w:val="005C5D7B"/>
    <w:rsid w:val="005C5E29"/>
    <w:rsid w:val="005C6474"/>
    <w:rsid w:val="005C6A68"/>
    <w:rsid w:val="005D0AE3"/>
    <w:rsid w:val="005D1103"/>
    <w:rsid w:val="005D276D"/>
    <w:rsid w:val="005D5912"/>
    <w:rsid w:val="005D794C"/>
    <w:rsid w:val="005D7A9F"/>
    <w:rsid w:val="005D7AA2"/>
    <w:rsid w:val="005E0977"/>
    <w:rsid w:val="005E2154"/>
    <w:rsid w:val="005E2FC7"/>
    <w:rsid w:val="005E37B9"/>
    <w:rsid w:val="005E427F"/>
    <w:rsid w:val="005E4574"/>
    <w:rsid w:val="005E4BBE"/>
    <w:rsid w:val="005E4C97"/>
    <w:rsid w:val="005E5014"/>
    <w:rsid w:val="005E684F"/>
    <w:rsid w:val="005E77BA"/>
    <w:rsid w:val="005F0112"/>
    <w:rsid w:val="005F03E3"/>
    <w:rsid w:val="005F0829"/>
    <w:rsid w:val="005F2C31"/>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9E1"/>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C0C"/>
    <w:rsid w:val="00705027"/>
    <w:rsid w:val="00710494"/>
    <w:rsid w:val="007117BD"/>
    <w:rsid w:val="00715129"/>
    <w:rsid w:val="007154CE"/>
    <w:rsid w:val="00715B25"/>
    <w:rsid w:val="00716020"/>
    <w:rsid w:val="00717E97"/>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4CB"/>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B72"/>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B0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E87"/>
    <w:rsid w:val="00983CEA"/>
    <w:rsid w:val="00984198"/>
    <w:rsid w:val="00984B9C"/>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3FDF"/>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1E61"/>
    <w:rsid w:val="00A62C70"/>
    <w:rsid w:val="00A63982"/>
    <w:rsid w:val="00A65845"/>
    <w:rsid w:val="00A65A41"/>
    <w:rsid w:val="00A666AA"/>
    <w:rsid w:val="00A671FC"/>
    <w:rsid w:val="00A71670"/>
    <w:rsid w:val="00A72874"/>
    <w:rsid w:val="00A72E48"/>
    <w:rsid w:val="00A7359C"/>
    <w:rsid w:val="00A73616"/>
    <w:rsid w:val="00A751EB"/>
    <w:rsid w:val="00A76648"/>
    <w:rsid w:val="00A76DF7"/>
    <w:rsid w:val="00A77523"/>
    <w:rsid w:val="00A8078A"/>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52EA"/>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DD7"/>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25F"/>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0737C"/>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63"/>
    <w:rsid w:val="00F96483"/>
    <w:rsid w:val="00F9648C"/>
    <w:rsid w:val="00F96671"/>
    <w:rsid w:val="00F9680E"/>
    <w:rsid w:val="00F96E21"/>
    <w:rsid w:val="00FA00AF"/>
    <w:rsid w:val="00FA0A0A"/>
    <w:rsid w:val="00FA0C9D"/>
    <w:rsid w:val="00FA169B"/>
    <w:rsid w:val="00FA2C4B"/>
    <w:rsid w:val="00FA3F17"/>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1D9"/>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rsid w:val="00316106"/>
    <w:rPr>
      <w:color w:val="0000FF" w:themeColor="hyperlink"/>
      <w:u w:val="single"/>
    </w:rPr>
  </w:style>
  <w:style w:type="character" w:styleId="FollowedHyperlink">
    <w:name w:val="FollowedHyperlink"/>
    <w:basedOn w:val="DefaultParagraphFont"/>
    <w:rsid w:val="00316106"/>
    <w:rPr>
      <w:color w:val="800080" w:themeColor="followedHyperlink"/>
      <w:u w:val="single"/>
    </w:rPr>
  </w:style>
  <w:style w:type="character" w:customStyle="1" w:styleId="HeaderChar">
    <w:name w:val="Header Char"/>
    <w:basedOn w:val="DefaultParagraphFont"/>
    <w:link w:val="Header"/>
    <w:uiPriority w:val="99"/>
    <w:rsid w:val="006769E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rsid w:val="00316106"/>
    <w:rPr>
      <w:color w:val="0000FF" w:themeColor="hyperlink"/>
      <w:u w:val="single"/>
    </w:rPr>
  </w:style>
  <w:style w:type="character" w:styleId="FollowedHyperlink">
    <w:name w:val="FollowedHyperlink"/>
    <w:basedOn w:val="DefaultParagraphFont"/>
    <w:rsid w:val="00316106"/>
    <w:rPr>
      <w:color w:val="800080" w:themeColor="followedHyperlink"/>
      <w:u w:val="single"/>
    </w:rPr>
  </w:style>
  <w:style w:type="character" w:customStyle="1" w:styleId="HeaderChar">
    <w:name w:val="Header Char"/>
    <w:basedOn w:val="DefaultParagraphFont"/>
    <w:link w:val="Header"/>
    <w:uiPriority w:val="99"/>
    <w:rsid w:val="006769E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227425" TargetMode="External"/><Relationship Id="rId3" Type="http://schemas.openxmlformats.org/officeDocument/2006/relationships/hyperlink" Target="http://www.wipo.int/meetings/en/details.jsp?meeting_id=9964" TargetMode="External"/><Relationship Id="rId7" Type="http://schemas.openxmlformats.org/officeDocument/2006/relationships/hyperlink" Target="http://www.wipo.int/meetings/en/details.jsp?meeting_id=30137" TargetMode="External"/><Relationship Id="rId2" Type="http://schemas.openxmlformats.org/officeDocument/2006/relationships/hyperlink" Target="http://www.wipo.int/meetings/en/details.jsp?meeting_id=5662" TargetMode="External"/><Relationship Id="rId1" Type="http://schemas.openxmlformats.org/officeDocument/2006/relationships/hyperlink" Target="http://www.wipo.int/meetings/en/doc_details.jsp?doc_id=17452" TargetMode="External"/><Relationship Id="rId6" Type="http://schemas.openxmlformats.org/officeDocument/2006/relationships/hyperlink" Target="http://www.wipo.int/meetings/en/details.jsp?meeting_id=20199" TargetMode="External"/><Relationship Id="rId5" Type="http://schemas.openxmlformats.org/officeDocument/2006/relationships/hyperlink" Target="http://www.wipo.int/meetings/en/details.jsp?meeting_id=17445" TargetMode="External"/><Relationship Id="rId4" Type="http://schemas.openxmlformats.org/officeDocument/2006/relationships/hyperlink" Target="http://www.wipo.int/meetings/en/details.jsp?meeting_id=12802" TargetMode="External"/><Relationship Id="rId9" Type="http://schemas.openxmlformats.org/officeDocument/2006/relationships/hyperlink" Target="http://www.wipo.int/meetings/en/doc_details.jsp?doc_id=2163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IPO_ACE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0DECE-82ED-4371-B643-486A835D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WIPO_ACE_9_AR.dotx</Template>
  <TotalTime>264</TotalTime>
  <Pages>3</Pages>
  <Words>935</Words>
  <Characters>5094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ACE/9/28 (Arabic)</vt:lpstr>
    </vt:vector>
  </TitlesOfParts>
  <Company>World Intellectual Property Organization</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ACE/9/28 (Arabic)</dc:title>
  <dc:creator>من إعداد الأمانة</dc:creator>
  <cp:lastModifiedBy>MERZOUK Fawzi</cp:lastModifiedBy>
  <cp:revision>17</cp:revision>
  <cp:lastPrinted>2014-02-26T16:31:00Z</cp:lastPrinted>
  <dcterms:created xsi:type="dcterms:W3CDTF">2014-02-26T10:57:00Z</dcterms:created>
  <dcterms:modified xsi:type="dcterms:W3CDTF">2014-02-26T16:31:00Z</dcterms:modified>
</cp:coreProperties>
</file>