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E90F6B" w:rsidP="00050FFD">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81647" w:rsidP="00150A21">
            <w:pPr>
              <w:pStyle w:val="DocumentCodeAR"/>
              <w:bidi/>
              <w:rPr>
                <w:rtl/>
              </w:rPr>
            </w:pPr>
            <w:r>
              <w:t>LI/R</w:t>
            </w:r>
            <w:r w:rsidR="00D02E2F">
              <w:t>/</w:t>
            </w:r>
            <w:r w:rsidR="002D7D25">
              <w:t>PM</w:t>
            </w:r>
            <w:r w:rsidR="006A1137">
              <w:t>/</w:t>
            </w:r>
            <w:r w:rsidR="009A0F2F">
              <w:t>6</w:t>
            </w:r>
          </w:p>
        </w:tc>
      </w:tr>
      <w:tr w:rsidR="001667B6" w:rsidTr="00BF164F">
        <w:tc>
          <w:tcPr>
            <w:tcW w:w="9571" w:type="dxa"/>
            <w:gridSpan w:val="3"/>
          </w:tcPr>
          <w:p w:rsidR="001667B6" w:rsidRPr="00B6101C" w:rsidRDefault="00B6101C" w:rsidP="006A1137">
            <w:pPr>
              <w:pStyle w:val="DocumentLanguageAR"/>
              <w:bidi/>
              <w:rPr>
                <w:rtl/>
              </w:rPr>
            </w:pPr>
            <w:r w:rsidRPr="00B6101C">
              <w:rPr>
                <w:rFonts w:hint="cs"/>
                <w:rtl/>
              </w:rPr>
              <w:t xml:space="preserve">الأصل: </w:t>
            </w:r>
            <w:r w:rsidR="006A1137">
              <w:rPr>
                <w:rFonts w:hint="cs"/>
                <w:rtl/>
              </w:rPr>
              <w:t>بالإنكليزية</w:t>
            </w:r>
          </w:p>
        </w:tc>
      </w:tr>
      <w:tr w:rsidR="001667B6" w:rsidTr="00BF164F">
        <w:tc>
          <w:tcPr>
            <w:tcW w:w="9571" w:type="dxa"/>
            <w:gridSpan w:val="3"/>
          </w:tcPr>
          <w:p w:rsidR="001667B6" w:rsidRPr="00B6101C" w:rsidRDefault="00B6101C" w:rsidP="009A0F2F">
            <w:pPr>
              <w:pStyle w:val="DocumentDateAR"/>
              <w:bidi/>
              <w:rPr>
                <w:rtl/>
              </w:rPr>
            </w:pPr>
            <w:r w:rsidRPr="00B6101C">
              <w:rPr>
                <w:rFonts w:hint="cs"/>
                <w:rtl/>
              </w:rPr>
              <w:t xml:space="preserve">التاريخ: </w:t>
            </w:r>
            <w:r w:rsidR="009A0F2F">
              <w:rPr>
                <w:rFonts w:hint="cs"/>
                <w:rtl/>
              </w:rPr>
              <w:t>31</w:t>
            </w:r>
            <w:r w:rsidRPr="00B6101C">
              <w:rPr>
                <w:rFonts w:hint="cs"/>
                <w:rtl/>
              </w:rPr>
              <w:t xml:space="preserve"> </w:t>
            </w:r>
            <w:r w:rsidR="006A1137">
              <w:rPr>
                <w:rFonts w:hint="cs"/>
                <w:rtl/>
              </w:rPr>
              <w:t>أكتوبر</w:t>
            </w:r>
            <w:r w:rsidRPr="00B6101C">
              <w:rPr>
                <w:rFonts w:hint="cs"/>
                <w:rtl/>
              </w:rPr>
              <w:t xml:space="preserve"> </w:t>
            </w:r>
            <w:r w:rsidR="00190B6D">
              <w:rPr>
                <w:rFonts w:hint="cs"/>
                <w:rtl/>
              </w:rPr>
              <w:t>201</w:t>
            </w:r>
            <w:r w:rsidR="0048177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2D7D25" w:rsidP="00D371B5">
      <w:pPr>
        <w:pStyle w:val="MeetingTitleAR"/>
        <w:bidi/>
        <w:ind w:right="2552"/>
      </w:pPr>
      <w:r w:rsidRPr="00100F97">
        <w:rPr>
          <w:rtl/>
        </w:rPr>
        <w:t xml:space="preserve">اللجنة </w:t>
      </w:r>
      <w:r>
        <w:rPr>
          <w:rFonts w:hint="cs"/>
          <w:rtl/>
        </w:rPr>
        <w:t xml:space="preserve">التحضيرية للمؤتمر الدبلوماسي المعني </w:t>
      </w:r>
      <w:r w:rsidR="00F81647">
        <w:rPr>
          <w:rFonts w:hint="cs"/>
          <w:rtl/>
          <w:lang w:bidi="ar-EG"/>
        </w:rPr>
        <w:t>باعتماد نص مراجع</w:t>
      </w:r>
      <w:r>
        <w:rPr>
          <w:rFonts w:hint="cs"/>
          <w:rtl/>
        </w:rPr>
        <w:t xml:space="preserve"> </w:t>
      </w:r>
      <w:r w:rsidR="00F81647">
        <w:rPr>
          <w:rFonts w:hint="cs"/>
          <w:rtl/>
        </w:rPr>
        <w:t xml:space="preserve">لاتفاق لشبونة </w:t>
      </w:r>
      <w:r w:rsidR="00481775">
        <w:rPr>
          <w:rFonts w:hint="cs"/>
          <w:rtl/>
        </w:rPr>
        <w:t xml:space="preserve">بشأن </w:t>
      </w:r>
      <w:r w:rsidR="00F81647">
        <w:rPr>
          <w:rFonts w:hint="cs"/>
          <w:rtl/>
        </w:rPr>
        <w:t>تسميات المنشأ و</w:t>
      </w:r>
      <w:r w:rsidR="00D371B5">
        <w:rPr>
          <w:rFonts w:hint="cs"/>
          <w:rtl/>
          <w:lang w:bidi="ar-EG"/>
        </w:rPr>
        <w:t>ال</w:t>
      </w:r>
      <w:r w:rsidR="00F81647">
        <w:rPr>
          <w:rFonts w:hint="cs"/>
          <w:rtl/>
        </w:rPr>
        <w:t>بيانات</w:t>
      </w:r>
      <w:r w:rsidR="00F81647">
        <w:rPr>
          <w:rFonts w:cs="Times New Roman" w:hint="eastAsia"/>
          <w:rtl/>
        </w:rPr>
        <w:t> </w:t>
      </w:r>
      <w:r w:rsidR="00D371B5">
        <w:rPr>
          <w:rFonts w:hint="cs"/>
          <w:rtl/>
        </w:rPr>
        <w:t>الجغرافية</w:t>
      </w:r>
    </w:p>
    <w:p w:rsidR="001667B6" w:rsidRDefault="001667B6" w:rsidP="001667B6">
      <w:pPr>
        <w:bidi/>
        <w:spacing w:line="360" w:lineRule="exact"/>
        <w:rPr>
          <w:rFonts w:ascii="Arabic Typesetting" w:hAnsi="Arabic Typesetting" w:cs="Arabic Typesetting"/>
          <w:sz w:val="36"/>
          <w:szCs w:val="36"/>
          <w:rtl/>
        </w:rPr>
      </w:pPr>
    </w:p>
    <w:p w:rsidR="00D61541" w:rsidRPr="00D61541" w:rsidRDefault="00D61541" w:rsidP="00F81647">
      <w:pPr>
        <w:pStyle w:val="MeetingDatesAR"/>
        <w:bidi/>
        <w:rPr>
          <w:rtl/>
        </w:rPr>
      </w:pPr>
      <w:r w:rsidRPr="00D61541">
        <w:rPr>
          <w:rFonts w:hint="cs"/>
          <w:rtl/>
        </w:rPr>
        <w:t xml:space="preserve">جنيف، </w:t>
      </w:r>
      <w:r w:rsidR="00F81647">
        <w:rPr>
          <w:rFonts w:hint="cs"/>
          <w:rtl/>
        </w:rPr>
        <w:t>30</w:t>
      </w:r>
      <w:r w:rsidR="00481775">
        <w:rPr>
          <w:rFonts w:hint="cs"/>
          <w:rtl/>
        </w:rPr>
        <w:t xml:space="preserve"> و</w:t>
      </w:r>
      <w:r w:rsidR="00F81647">
        <w:rPr>
          <w:rFonts w:hint="cs"/>
          <w:rtl/>
        </w:rPr>
        <w:t>31</w:t>
      </w:r>
      <w:r w:rsidR="00481775">
        <w:rPr>
          <w:rFonts w:hint="cs"/>
          <w:rtl/>
        </w:rPr>
        <w:t xml:space="preserve"> </w:t>
      </w:r>
      <w:r w:rsidR="00F81647">
        <w:rPr>
          <w:rFonts w:hint="cs"/>
          <w:rtl/>
        </w:rPr>
        <w:t>أكتوبر</w:t>
      </w:r>
      <w:r w:rsidR="00481775">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A0F2F" w:rsidP="00FB7EC9">
      <w:pPr>
        <w:pStyle w:val="DocumentTitleAR"/>
        <w:bidi/>
        <w:rPr>
          <w:rtl/>
        </w:rPr>
      </w:pPr>
      <w:r>
        <w:rPr>
          <w:rFonts w:hint="cs"/>
          <w:rtl/>
        </w:rPr>
        <w:t>التقرير</w:t>
      </w:r>
    </w:p>
    <w:p w:rsidR="00D61541" w:rsidRDefault="00150A21" w:rsidP="00150A21">
      <w:pPr>
        <w:pStyle w:val="PreparedbyAR"/>
        <w:bidi/>
        <w:rPr>
          <w:rtl/>
        </w:rPr>
      </w:pPr>
      <w:r>
        <w:rPr>
          <w:rFonts w:hint="cs"/>
          <w:rtl/>
        </w:rPr>
        <w:t>الذي اعتمدته اللجنة التحضيرية</w:t>
      </w:r>
    </w:p>
    <w:p w:rsidR="009A0F2F" w:rsidRDefault="009A0F2F">
      <w:pPr>
        <w:rPr>
          <w:rFonts w:ascii="Arabic Typesetting" w:hAnsi="Arabic Typesetting" w:cs="Arabic Typesetting"/>
          <w:sz w:val="36"/>
          <w:szCs w:val="36"/>
          <w:rtl/>
        </w:rPr>
      </w:pPr>
      <w:r>
        <w:rPr>
          <w:rtl/>
        </w:rPr>
        <w:br w:type="page"/>
      </w:r>
    </w:p>
    <w:p w:rsidR="00B4067B" w:rsidRDefault="00B4067B" w:rsidP="005C698D">
      <w:pPr>
        <w:pStyle w:val="Heading1AR"/>
        <w:rPr>
          <w:rtl/>
        </w:rPr>
      </w:pPr>
      <w:r>
        <w:rPr>
          <w:rFonts w:hint="cs"/>
          <w:rtl/>
        </w:rPr>
        <w:lastRenderedPageBreak/>
        <w:t>أولا.</w:t>
      </w:r>
      <w:r w:rsidR="005C698D">
        <w:rPr>
          <w:rFonts w:hint="cs"/>
          <w:rtl/>
        </w:rPr>
        <w:tab/>
      </w:r>
      <w:r>
        <w:rPr>
          <w:rFonts w:hint="cs"/>
          <w:rtl/>
        </w:rPr>
        <w:t>مقدمة</w:t>
      </w:r>
    </w:p>
    <w:p w:rsidR="009A0F2F" w:rsidRPr="009A0F2F" w:rsidRDefault="009A0F2F" w:rsidP="00B4067B">
      <w:pPr>
        <w:pStyle w:val="NumberedParaAR"/>
      </w:pPr>
      <w:r w:rsidRPr="009A0F2F">
        <w:rPr>
          <w:rFonts w:hint="cs"/>
          <w:rtl/>
        </w:rPr>
        <w:t>اجتمع</w:t>
      </w:r>
      <w:r>
        <w:rPr>
          <w:rFonts w:hint="cs"/>
          <w:rtl/>
          <w:lang w:val="fr-CH"/>
        </w:rPr>
        <w:t>ت</w:t>
      </w:r>
      <w:r w:rsidRPr="009A0F2F">
        <w:rPr>
          <w:rFonts w:hint="cs"/>
          <w:rtl/>
        </w:rPr>
        <w:t xml:space="preserve"> </w:t>
      </w:r>
      <w:r w:rsidRPr="009A0F2F">
        <w:rPr>
          <w:rtl/>
        </w:rPr>
        <w:t>اللجنة التحضيرية للمؤتمر الدبلوماسي المعني باعتماد نص مراجع لاتفاق لشبونة بشأن تسميات المنشأ والبيانات الجغرافية</w:t>
      </w:r>
      <w:r w:rsidRPr="009A0F2F">
        <w:rPr>
          <w:rFonts w:hint="cs"/>
          <w:rtl/>
        </w:rPr>
        <w:t xml:space="preserve"> (المشار إليه</w:t>
      </w:r>
      <w:r>
        <w:rPr>
          <w:rFonts w:hint="cs"/>
          <w:rtl/>
        </w:rPr>
        <w:t>ا</w:t>
      </w:r>
      <w:r w:rsidRPr="009A0F2F">
        <w:rPr>
          <w:rFonts w:hint="cs"/>
          <w:rtl/>
        </w:rPr>
        <w:t xml:space="preserve"> فيما يلي بمختصر "</w:t>
      </w:r>
      <w:r>
        <w:rPr>
          <w:rFonts w:hint="cs"/>
          <w:rtl/>
        </w:rPr>
        <w:t>اللجنة التحضيرية</w:t>
      </w:r>
      <w:r w:rsidRPr="009A0F2F">
        <w:rPr>
          <w:rFonts w:hint="cs"/>
          <w:rtl/>
        </w:rPr>
        <w:t>") في</w:t>
      </w:r>
      <w:r w:rsidR="006007A0">
        <w:rPr>
          <w:rFonts w:hint="cs"/>
          <w:rtl/>
        </w:rPr>
        <w:t xml:space="preserve"> جنيف</w:t>
      </w:r>
      <w:r w:rsidRPr="009A0F2F">
        <w:rPr>
          <w:rFonts w:hint="cs"/>
          <w:rtl/>
        </w:rPr>
        <w:t xml:space="preserve"> </w:t>
      </w:r>
      <w:r w:rsidR="006007A0">
        <w:rPr>
          <w:rFonts w:hint="cs"/>
          <w:rtl/>
        </w:rPr>
        <w:t xml:space="preserve">في </w:t>
      </w:r>
      <w:r w:rsidRPr="009A0F2F">
        <w:rPr>
          <w:rFonts w:hint="cs"/>
          <w:rtl/>
        </w:rPr>
        <w:t xml:space="preserve">الفترة من </w:t>
      </w:r>
      <w:r>
        <w:rPr>
          <w:rFonts w:hint="cs"/>
          <w:rtl/>
        </w:rPr>
        <w:t>30</w:t>
      </w:r>
      <w:r w:rsidRPr="009A0F2F">
        <w:rPr>
          <w:rFonts w:hint="cs"/>
          <w:rtl/>
        </w:rPr>
        <w:t xml:space="preserve"> إلى </w:t>
      </w:r>
      <w:r>
        <w:rPr>
          <w:rFonts w:hint="cs"/>
          <w:rtl/>
        </w:rPr>
        <w:t>31</w:t>
      </w:r>
      <w:r w:rsidRPr="009A0F2F">
        <w:rPr>
          <w:rFonts w:hint="cs"/>
          <w:rtl/>
        </w:rPr>
        <w:t xml:space="preserve"> أكتوبر 2014.</w:t>
      </w:r>
    </w:p>
    <w:p w:rsidR="009A0F2F" w:rsidRPr="009A0F2F" w:rsidRDefault="009A0F2F" w:rsidP="006007A0">
      <w:pPr>
        <w:pStyle w:val="NumberedParaAR"/>
      </w:pPr>
      <w:r w:rsidRPr="009A0F2F">
        <w:rPr>
          <w:rFonts w:hint="cs"/>
          <w:rtl/>
        </w:rPr>
        <w:t xml:space="preserve">وكانت الأطراف المتعاقدة لاتحاد لشبونة التالية ممثَّلة في هذه الدورة: </w:t>
      </w:r>
      <w:r w:rsidR="006007A0" w:rsidRPr="006007A0">
        <w:rPr>
          <w:rtl/>
        </w:rPr>
        <w:t>الجزائر</w:t>
      </w:r>
      <w:r w:rsidR="006007A0">
        <w:rPr>
          <w:rtl/>
        </w:rPr>
        <w:t>،</w:t>
      </w:r>
      <w:r w:rsidR="006007A0">
        <w:rPr>
          <w:rFonts w:hint="cs"/>
          <w:rtl/>
        </w:rPr>
        <w:t xml:space="preserve"> </w:t>
      </w:r>
      <w:r w:rsidR="006007A0" w:rsidRPr="006007A0">
        <w:rPr>
          <w:rtl/>
        </w:rPr>
        <w:t>البوسنة والهرسك</w:t>
      </w:r>
      <w:r w:rsidR="006007A0">
        <w:rPr>
          <w:rtl/>
        </w:rPr>
        <w:t xml:space="preserve">، </w:t>
      </w:r>
      <w:r w:rsidR="006007A0" w:rsidRPr="006007A0">
        <w:rPr>
          <w:rtl/>
        </w:rPr>
        <w:t>بلغاريا</w:t>
      </w:r>
      <w:r w:rsidR="006007A0">
        <w:rPr>
          <w:rtl/>
        </w:rPr>
        <w:t xml:space="preserve">، </w:t>
      </w:r>
      <w:r w:rsidR="006007A0" w:rsidRPr="006007A0">
        <w:rPr>
          <w:rtl/>
        </w:rPr>
        <w:t>الكونغو</w:t>
      </w:r>
      <w:r w:rsidR="006007A0">
        <w:rPr>
          <w:rtl/>
        </w:rPr>
        <w:t xml:space="preserve">، </w:t>
      </w:r>
      <w:r w:rsidR="006007A0" w:rsidRPr="006007A0">
        <w:rPr>
          <w:rtl/>
        </w:rPr>
        <w:t>كوستاريكا</w:t>
      </w:r>
      <w:r w:rsidR="006007A0">
        <w:rPr>
          <w:rtl/>
        </w:rPr>
        <w:t xml:space="preserve">، </w:t>
      </w:r>
      <w:r w:rsidR="006007A0" w:rsidRPr="006007A0">
        <w:rPr>
          <w:rtl/>
        </w:rPr>
        <w:t>كوبا</w:t>
      </w:r>
      <w:r w:rsidR="006007A0">
        <w:rPr>
          <w:rtl/>
        </w:rPr>
        <w:t xml:space="preserve">، </w:t>
      </w:r>
      <w:r w:rsidR="006007A0" w:rsidRPr="006007A0">
        <w:rPr>
          <w:rtl/>
        </w:rPr>
        <w:t>الجمهورية التشيكية</w:t>
      </w:r>
      <w:r w:rsidR="006007A0">
        <w:rPr>
          <w:rtl/>
        </w:rPr>
        <w:t xml:space="preserve">، </w:t>
      </w:r>
      <w:r w:rsidR="006007A0" w:rsidRPr="006007A0">
        <w:rPr>
          <w:rtl/>
        </w:rPr>
        <w:t>جمهورية كوريا الشعبية الديمقراطية</w:t>
      </w:r>
      <w:r w:rsidR="006007A0">
        <w:rPr>
          <w:rtl/>
        </w:rPr>
        <w:t xml:space="preserve">، </w:t>
      </w:r>
      <w:r w:rsidR="006007A0" w:rsidRPr="006007A0">
        <w:rPr>
          <w:rtl/>
        </w:rPr>
        <w:t>فرنسا</w:t>
      </w:r>
      <w:r w:rsidR="006007A0">
        <w:rPr>
          <w:rtl/>
        </w:rPr>
        <w:t xml:space="preserve">، </w:t>
      </w:r>
      <w:r w:rsidR="006007A0" w:rsidRPr="006007A0">
        <w:rPr>
          <w:rtl/>
        </w:rPr>
        <w:t>غابون</w:t>
      </w:r>
      <w:r w:rsidR="006007A0">
        <w:rPr>
          <w:rtl/>
        </w:rPr>
        <w:t xml:space="preserve">، </w:t>
      </w:r>
      <w:r w:rsidR="006007A0" w:rsidRPr="006007A0">
        <w:rPr>
          <w:rtl/>
        </w:rPr>
        <w:t>جورجيا</w:t>
      </w:r>
      <w:r w:rsidR="006007A0">
        <w:rPr>
          <w:rtl/>
        </w:rPr>
        <w:t xml:space="preserve">، </w:t>
      </w:r>
      <w:r w:rsidR="006007A0" w:rsidRPr="006007A0">
        <w:rPr>
          <w:rtl/>
        </w:rPr>
        <w:t>هايتي</w:t>
      </w:r>
      <w:r w:rsidR="006007A0">
        <w:rPr>
          <w:rtl/>
        </w:rPr>
        <w:t xml:space="preserve">، </w:t>
      </w:r>
      <w:r w:rsidR="006007A0" w:rsidRPr="006007A0">
        <w:rPr>
          <w:rtl/>
        </w:rPr>
        <w:t>هنغاريا</w:t>
      </w:r>
      <w:r w:rsidR="006007A0">
        <w:rPr>
          <w:rtl/>
        </w:rPr>
        <w:t xml:space="preserve">، </w:t>
      </w:r>
      <w:r w:rsidR="006007A0" w:rsidRPr="006007A0">
        <w:rPr>
          <w:rtl/>
        </w:rPr>
        <w:t>إيران (جمهورية - الإسلامية)</w:t>
      </w:r>
      <w:r w:rsidR="006007A0">
        <w:rPr>
          <w:rtl/>
        </w:rPr>
        <w:t xml:space="preserve">، </w:t>
      </w:r>
      <w:r w:rsidR="006007A0" w:rsidRPr="006007A0">
        <w:rPr>
          <w:rtl/>
        </w:rPr>
        <w:t>إسرائيل</w:t>
      </w:r>
      <w:r w:rsidR="006007A0">
        <w:rPr>
          <w:rtl/>
        </w:rPr>
        <w:t xml:space="preserve">، </w:t>
      </w:r>
      <w:r w:rsidR="006007A0" w:rsidRPr="006007A0">
        <w:rPr>
          <w:rtl/>
        </w:rPr>
        <w:t>إيطاليا</w:t>
      </w:r>
      <w:r w:rsidR="006007A0">
        <w:rPr>
          <w:rtl/>
        </w:rPr>
        <w:t xml:space="preserve">، </w:t>
      </w:r>
      <w:r w:rsidR="006007A0" w:rsidRPr="006007A0">
        <w:rPr>
          <w:rtl/>
        </w:rPr>
        <w:t>المكسيك</w:t>
      </w:r>
      <w:r w:rsidR="006007A0">
        <w:rPr>
          <w:rtl/>
        </w:rPr>
        <w:t xml:space="preserve">، </w:t>
      </w:r>
      <w:r w:rsidR="006007A0" w:rsidRPr="006007A0">
        <w:rPr>
          <w:rtl/>
        </w:rPr>
        <w:t>الجبل الأسود</w:t>
      </w:r>
      <w:r w:rsidR="006007A0">
        <w:rPr>
          <w:rtl/>
        </w:rPr>
        <w:t xml:space="preserve">، </w:t>
      </w:r>
      <w:r w:rsidR="006007A0" w:rsidRPr="006007A0">
        <w:rPr>
          <w:rtl/>
        </w:rPr>
        <w:t>نيكاراغوا</w:t>
      </w:r>
      <w:r w:rsidR="006007A0">
        <w:rPr>
          <w:rtl/>
        </w:rPr>
        <w:t xml:space="preserve">، </w:t>
      </w:r>
      <w:r w:rsidR="006007A0" w:rsidRPr="006007A0">
        <w:rPr>
          <w:rtl/>
        </w:rPr>
        <w:t>بيرو</w:t>
      </w:r>
      <w:r w:rsidR="006007A0">
        <w:rPr>
          <w:rtl/>
        </w:rPr>
        <w:t xml:space="preserve">، </w:t>
      </w:r>
      <w:r w:rsidR="006007A0" w:rsidRPr="006007A0">
        <w:rPr>
          <w:rtl/>
        </w:rPr>
        <w:t>البرتغال</w:t>
      </w:r>
      <w:r w:rsidR="006007A0">
        <w:rPr>
          <w:rtl/>
        </w:rPr>
        <w:t xml:space="preserve">، </w:t>
      </w:r>
      <w:r w:rsidR="006007A0" w:rsidRPr="006007A0">
        <w:rPr>
          <w:rtl/>
        </w:rPr>
        <w:t>جمهورية مولدوفا</w:t>
      </w:r>
      <w:r w:rsidR="006007A0">
        <w:rPr>
          <w:rtl/>
        </w:rPr>
        <w:t xml:space="preserve">، </w:t>
      </w:r>
      <w:r w:rsidR="006007A0" w:rsidRPr="006007A0">
        <w:rPr>
          <w:rtl/>
        </w:rPr>
        <w:t>صربيا</w:t>
      </w:r>
      <w:r w:rsidR="006007A0">
        <w:rPr>
          <w:rtl/>
        </w:rPr>
        <w:t xml:space="preserve">، </w:t>
      </w:r>
      <w:r w:rsidR="006007A0" w:rsidRPr="006007A0">
        <w:rPr>
          <w:rtl/>
        </w:rPr>
        <w:t>سلوفاكيا</w:t>
      </w:r>
      <w:r w:rsidR="006007A0">
        <w:rPr>
          <w:rtl/>
        </w:rPr>
        <w:t xml:space="preserve">، </w:t>
      </w:r>
      <w:r w:rsidR="006007A0" w:rsidRPr="006007A0">
        <w:rPr>
          <w:rtl/>
        </w:rPr>
        <w:t>جمهورية مقدونيا اليوغوسلافية السابقة</w:t>
      </w:r>
      <w:r w:rsidR="006007A0">
        <w:rPr>
          <w:rtl/>
        </w:rPr>
        <w:t xml:space="preserve">، </w:t>
      </w:r>
      <w:r w:rsidR="006007A0" w:rsidRPr="006007A0">
        <w:rPr>
          <w:rtl/>
        </w:rPr>
        <w:t>توغو</w:t>
      </w:r>
      <w:r w:rsidR="006007A0">
        <w:rPr>
          <w:rtl/>
        </w:rPr>
        <w:t xml:space="preserve">، </w:t>
      </w:r>
      <w:r w:rsidR="006007A0" w:rsidRPr="006007A0">
        <w:rPr>
          <w:rtl/>
        </w:rPr>
        <w:t>تونس</w:t>
      </w:r>
      <w:r w:rsidR="006007A0" w:rsidRPr="006007A0">
        <w:rPr>
          <w:rFonts w:hint="cs"/>
          <w:rtl/>
        </w:rPr>
        <w:t xml:space="preserve"> </w:t>
      </w:r>
      <w:r w:rsidRPr="009A0F2F">
        <w:rPr>
          <w:rFonts w:hint="cs"/>
          <w:rtl/>
        </w:rPr>
        <w:t>(</w:t>
      </w:r>
      <w:r w:rsidR="006007A0">
        <w:rPr>
          <w:rFonts w:hint="cs"/>
          <w:rtl/>
        </w:rPr>
        <w:t>27</w:t>
      </w:r>
      <w:r w:rsidRPr="009A0F2F">
        <w:rPr>
          <w:rFonts w:hint="cs"/>
          <w:rtl/>
        </w:rPr>
        <w:t>).</w:t>
      </w:r>
    </w:p>
    <w:p w:rsidR="009A0F2F" w:rsidRPr="009A0F2F" w:rsidRDefault="009A0F2F" w:rsidP="00150A21">
      <w:pPr>
        <w:pStyle w:val="NumberedParaAR"/>
      </w:pPr>
      <w:r w:rsidRPr="009A0F2F">
        <w:rPr>
          <w:rFonts w:hint="cs"/>
          <w:rtl/>
        </w:rPr>
        <w:t xml:space="preserve">وكانت الدول التالية ممثَّلة بصفة مراقب: </w:t>
      </w:r>
      <w:r w:rsidR="006007A0" w:rsidRPr="006007A0">
        <w:rPr>
          <w:rtl/>
        </w:rPr>
        <w:t>الأرجنتين، أستراليا، جزر البهاما، بربادوس، بنن، البرازيل، الكاميرون، كندا، شيلي، كولومبيا، جزر القمر، فنلندا، ألمانيا، اليونان، الهند، العراق، اليابان، الأردن، كينيا، نيوزيلندا، عمان، بنما، باراغواي، جمهورية كوريا، رومانيا، الاتحاد الروسي، السنغال، المملكة العربية السعودية، سنغافورة، جنوب أفريقيا، إسبانيا، سويسرا، تايلند، تركيا، أوكرانيا، الولايات المتحدة الأمريكية، أوروغواي</w:t>
      </w:r>
      <w:r w:rsidRPr="009A0F2F">
        <w:rPr>
          <w:rFonts w:hint="cs"/>
          <w:rtl/>
        </w:rPr>
        <w:t> (</w:t>
      </w:r>
      <w:r w:rsidR="00150A21">
        <w:rPr>
          <w:rFonts w:hint="cs"/>
          <w:rtl/>
        </w:rPr>
        <w:t>37</w:t>
      </w:r>
      <w:r w:rsidRPr="009A0F2F">
        <w:rPr>
          <w:rFonts w:hint="cs"/>
          <w:rtl/>
        </w:rPr>
        <w:t>).</w:t>
      </w:r>
    </w:p>
    <w:p w:rsidR="009A0F2F" w:rsidRPr="009A0F2F" w:rsidRDefault="009A0F2F" w:rsidP="00150A21">
      <w:pPr>
        <w:pStyle w:val="NormalParaAR"/>
        <w:numPr>
          <w:ilvl w:val="0"/>
          <w:numId w:val="11"/>
        </w:numPr>
      </w:pPr>
      <w:r w:rsidRPr="009A0F2F">
        <w:rPr>
          <w:rFonts w:hint="cs"/>
          <w:rtl/>
        </w:rPr>
        <w:t>وشارك في هذه الدورة ممثل المنظم</w:t>
      </w:r>
      <w:r w:rsidR="00B42402">
        <w:rPr>
          <w:rFonts w:hint="cs"/>
          <w:rtl/>
        </w:rPr>
        <w:t>ة</w:t>
      </w:r>
      <w:r w:rsidRPr="009A0F2F">
        <w:rPr>
          <w:rFonts w:hint="cs"/>
          <w:rtl/>
        </w:rPr>
        <w:t xml:space="preserve"> الحكومية الدولية التالي</w:t>
      </w:r>
      <w:r w:rsidR="006007A0">
        <w:rPr>
          <w:rFonts w:hint="cs"/>
          <w:rtl/>
        </w:rPr>
        <w:t>ة ب</w:t>
      </w:r>
      <w:r w:rsidR="00150A21">
        <w:rPr>
          <w:rFonts w:hint="cs"/>
          <w:rtl/>
        </w:rPr>
        <w:t>صفة مراقب: الاتحاد الأوروبي</w:t>
      </w:r>
      <w:r w:rsidR="00496C3A">
        <w:rPr>
          <w:rFonts w:hint="cs"/>
          <w:rtl/>
        </w:rPr>
        <w:t xml:space="preserve"> </w:t>
      </w:r>
      <w:r w:rsidR="00496C3A">
        <w:t>(EU)</w:t>
      </w:r>
      <w:r w:rsidR="00150A21">
        <w:rPr>
          <w:rFonts w:hint="cs"/>
          <w:rtl/>
        </w:rPr>
        <w:t xml:space="preserve">، </w:t>
      </w:r>
      <w:r w:rsidR="00150A21">
        <w:rPr>
          <w:rtl/>
        </w:rPr>
        <w:t>مركز التجارة الدولي (</w:t>
      </w:r>
      <w:r w:rsidR="00150A21">
        <w:t>ITC</w:t>
      </w:r>
      <w:r w:rsidR="00150A21">
        <w:rPr>
          <w:rtl/>
        </w:rPr>
        <w:t>)</w:t>
      </w:r>
      <w:r w:rsidR="00150A21">
        <w:rPr>
          <w:rFonts w:hint="cs"/>
          <w:rtl/>
        </w:rPr>
        <w:t xml:space="preserve">، </w:t>
      </w:r>
      <w:r w:rsidR="00150A21">
        <w:rPr>
          <w:rtl/>
        </w:rPr>
        <w:t>المنظمة الدولية للكروم والنبيذ (</w:t>
      </w:r>
      <w:r w:rsidR="00150A21">
        <w:t>OIV</w:t>
      </w:r>
      <w:r w:rsidR="00150A21">
        <w:rPr>
          <w:rtl/>
        </w:rPr>
        <w:t>)</w:t>
      </w:r>
      <w:r w:rsidR="00150A21">
        <w:rPr>
          <w:rFonts w:hint="cs"/>
          <w:rtl/>
        </w:rPr>
        <w:t xml:space="preserve">، </w:t>
      </w:r>
      <w:r w:rsidR="00150A21">
        <w:rPr>
          <w:rtl/>
        </w:rPr>
        <w:t>الاتحاد الاقتصادي والنقدي لغرب أفريقيا (</w:t>
      </w:r>
      <w:r w:rsidR="00150A21">
        <w:t>WAEMU</w:t>
      </w:r>
      <w:r w:rsidR="00150A21">
        <w:rPr>
          <w:rtl/>
        </w:rPr>
        <w:t>)</w:t>
      </w:r>
      <w:r w:rsidR="00150A21">
        <w:rPr>
          <w:rFonts w:hint="cs"/>
          <w:rtl/>
        </w:rPr>
        <w:t>.</w:t>
      </w:r>
    </w:p>
    <w:p w:rsidR="006007A0" w:rsidRDefault="009A0F2F" w:rsidP="006007A0">
      <w:pPr>
        <w:pStyle w:val="NumberedParaAR"/>
      </w:pPr>
      <w:r w:rsidRPr="009A0F2F">
        <w:rPr>
          <w:rFonts w:hint="cs"/>
          <w:rtl/>
        </w:rPr>
        <w:t>وشارك في هذه الدورة ممثلو المنظمات الدولية غير الحكومية التالية بصفة مراقب:</w:t>
      </w:r>
      <w:r w:rsidR="006007A0" w:rsidRPr="006007A0">
        <w:rPr>
          <w:rtl/>
        </w:rPr>
        <w:t xml:space="preserve"> </w:t>
      </w:r>
      <w:r w:rsidR="006007A0" w:rsidRPr="009A0F2F">
        <w:rPr>
          <w:rtl/>
        </w:rPr>
        <w:t>جمعية الاتحادات الأوروبية للعاملين في مجال العلامات التجارية (</w:t>
      </w:r>
      <w:r w:rsidR="006007A0" w:rsidRPr="009A0F2F">
        <w:t>ECTA</w:t>
      </w:r>
      <w:r w:rsidR="006007A0" w:rsidRPr="009A0F2F">
        <w:rPr>
          <w:rtl/>
        </w:rPr>
        <w:t>)</w:t>
      </w:r>
      <w:r w:rsidR="006007A0" w:rsidRPr="009A0F2F">
        <w:rPr>
          <w:rFonts w:hint="cs"/>
          <w:rtl/>
        </w:rPr>
        <w:t>،</w:t>
      </w:r>
      <w:r w:rsidRPr="009A0F2F">
        <w:rPr>
          <w:rFonts w:hint="cs"/>
          <w:rtl/>
        </w:rPr>
        <w:t xml:space="preserve"> </w:t>
      </w:r>
      <w:r w:rsidRPr="009A0F2F">
        <w:rPr>
          <w:rtl/>
        </w:rPr>
        <w:t>جمعية مالكي العلامات التجارية الأوروبيين</w:t>
      </w:r>
      <w:r w:rsidRPr="009A0F2F">
        <w:rPr>
          <w:rFonts w:hint="cs"/>
          <w:rtl/>
        </w:rPr>
        <w:t> </w:t>
      </w:r>
      <w:r w:rsidRPr="009A0F2F">
        <w:rPr>
          <w:rtl/>
        </w:rPr>
        <w:t>(</w:t>
      </w:r>
      <w:r w:rsidRPr="009A0F2F">
        <w:t>MARQUES</w:t>
      </w:r>
      <w:r w:rsidRPr="009A0F2F">
        <w:rPr>
          <w:rtl/>
        </w:rPr>
        <w:t>)</w:t>
      </w:r>
      <w:r w:rsidRPr="009A0F2F">
        <w:rPr>
          <w:rFonts w:hint="cs"/>
          <w:rtl/>
        </w:rPr>
        <w:t>،</w:t>
      </w:r>
      <w:r w:rsidR="006007A0" w:rsidRPr="006007A0">
        <w:rPr>
          <w:rtl/>
        </w:rPr>
        <w:t xml:space="preserve"> </w:t>
      </w:r>
      <w:r w:rsidR="006007A0" w:rsidRPr="009A0F2F">
        <w:rPr>
          <w:rtl/>
        </w:rPr>
        <w:t>الجمعية الدولية لحماية الملكية الصناعية (</w:t>
      </w:r>
      <w:r w:rsidR="006007A0" w:rsidRPr="009A0F2F">
        <w:t>AIPPI</w:t>
      </w:r>
      <w:r w:rsidR="006007A0" w:rsidRPr="009A0F2F">
        <w:rPr>
          <w:rtl/>
        </w:rPr>
        <w:t>)</w:t>
      </w:r>
      <w:r w:rsidR="006007A0" w:rsidRPr="009A0F2F">
        <w:rPr>
          <w:rFonts w:hint="cs"/>
          <w:rtl/>
        </w:rPr>
        <w:t>،</w:t>
      </w:r>
      <w:r w:rsidR="006007A0" w:rsidRPr="006007A0">
        <w:rPr>
          <w:rtl/>
        </w:rPr>
        <w:t xml:space="preserve"> </w:t>
      </w:r>
      <w:r w:rsidR="006007A0" w:rsidRPr="009A0F2F">
        <w:rPr>
          <w:rtl/>
        </w:rPr>
        <w:t>مركز الدراسات الدولية للملكية الصناعية</w:t>
      </w:r>
      <w:r w:rsidR="006007A0" w:rsidRPr="009A0F2F">
        <w:rPr>
          <w:rFonts w:hint="cs"/>
          <w:rtl/>
        </w:rPr>
        <w:t> </w:t>
      </w:r>
      <w:r w:rsidR="006007A0" w:rsidRPr="009A0F2F">
        <w:rPr>
          <w:rtl/>
        </w:rPr>
        <w:t>(</w:t>
      </w:r>
      <w:r w:rsidR="006007A0" w:rsidRPr="009A0F2F">
        <w:t>CEIPI</w:t>
      </w:r>
      <w:r w:rsidR="006007A0" w:rsidRPr="009A0F2F">
        <w:rPr>
          <w:rtl/>
        </w:rPr>
        <w:t>)</w:t>
      </w:r>
      <w:r w:rsidR="006007A0" w:rsidRPr="009A0F2F">
        <w:rPr>
          <w:rFonts w:hint="cs"/>
          <w:rtl/>
        </w:rPr>
        <w:t>،</w:t>
      </w:r>
      <w:r w:rsidR="006007A0" w:rsidRPr="006007A0">
        <w:rPr>
          <w:rtl/>
        </w:rPr>
        <w:t xml:space="preserve"> </w:t>
      </w:r>
      <w:r w:rsidR="006007A0" w:rsidRPr="009A0F2F">
        <w:rPr>
          <w:rtl/>
        </w:rPr>
        <w:t>الجمعية المعنية بأسماء الأغذية العامة</w:t>
      </w:r>
      <w:r w:rsidR="006007A0" w:rsidRPr="009A0F2F">
        <w:rPr>
          <w:rFonts w:hint="cs"/>
          <w:rtl/>
        </w:rPr>
        <w:t> </w:t>
      </w:r>
      <w:r w:rsidR="006007A0" w:rsidRPr="009A0F2F">
        <w:rPr>
          <w:rtl/>
        </w:rPr>
        <w:t>(</w:t>
      </w:r>
      <w:r w:rsidR="006007A0" w:rsidRPr="009A0F2F">
        <w:t>CCFN</w:t>
      </w:r>
      <w:r w:rsidR="006007A0" w:rsidRPr="009A0F2F">
        <w:rPr>
          <w:rtl/>
        </w:rPr>
        <w:t>)</w:t>
      </w:r>
      <w:r w:rsidR="006007A0" w:rsidRPr="009A0F2F">
        <w:rPr>
          <w:rFonts w:hint="cs"/>
          <w:rtl/>
        </w:rPr>
        <w:t>،</w:t>
      </w:r>
      <w:r w:rsidR="006007A0" w:rsidRPr="006007A0">
        <w:rPr>
          <w:rtl/>
        </w:rPr>
        <w:t xml:space="preserve"> الجمعية الدولية للعلامات التجارية (</w:t>
      </w:r>
      <w:r w:rsidR="006007A0" w:rsidRPr="006007A0">
        <w:t>INTA</w:t>
      </w:r>
      <w:r w:rsidR="006007A0" w:rsidRPr="006007A0">
        <w:rPr>
          <w:rtl/>
        </w:rPr>
        <w:t>)</w:t>
      </w:r>
      <w:r w:rsidR="006007A0">
        <w:rPr>
          <w:rFonts w:hint="cs"/>
          <w:rtl/>
        </w:rPr>
        <w:t>،</w:t>
      </w:r>
      <w:r w:rsidR="006007A0" w:rsidRPr="006007A0">
        <w:rPr>
          <w:rtl/>
        </w:rPr>
        <w:t xml:space="preserve"> </w:t>
      </w:r>
      <w:r w:rsidR="006007A0" w:rsidRPr="009A0F2F">
        <w:rPr>
          <w:rtl/>
        </w:rPr>
        <w:t>المؤسسة الدولية لإيكولوجيا المعرفة (</w:t>
      </w:r>
      <w:r w:rsidR="006007A0" w:rsidRPr="009A0F2F">
        <w:t>KEI</w:t>
      </w:r>
      <w:r w:rsidR="006007A0" w:rsidRPr="009A0F2F">
        <w:rPr>
          <w:rtl/>
        </w:rPr>
        <w:t>)</w:t>
      </w:r>
      <w:r w:rsidR="006007A0" w:rsidRPr="009A0F2F">
        <w:rPr>
          <w:rFonts w:hint="cs"/>
          <w:rtl/>
        </w:rPr>
        <w:t>،</w:t>
      </w:r>
      <w:r w:rsidR="006007A0" w:rsidRPr="006007A0">
        <w:rPr>
          <w:rtl/>
        </w:rPr>
        <w:t xml:space="preserve"> </w:t>
      </w:r>
      <w:r w:rsidR="006007A0" w:rsidRPr="009A0F2F">
        <w:rPr>
          <w:rtl/>
        </w:rPr>
        <w:t>منظمة الشبكة الدولية للبيانات الجغرافية (</w:t>
      </w:r>
      <w:proofErr w:type="spellStart"/>
      <w:r w:rsidR="006007A0" w:rsidRPr="009A0F2F">
        <w:t>oriGIn</w:t>
      </w:r>
      <w:proofErr w:type="spellEnd"/>
      <w:r w:rsidR="006007A0" w:rsidRPr="009A0F2F">
        <w:rPr>
          <w:rtl/>
        </w:rPr>
        <w:t>)</w:t>
      </w:r>
      <w:r w:rsidR="006007A0" w:rsidRPr="009A0F2F">
        <w:rPr>
          <w:rFonts w:hint="cs"/>
          <w:rtl/>
        </w:rPr>
        <w:t xml:space="preserve"> (</w:t>
      </w:r>
      <w:r w:rsidR="006007A0">
        <w:rPr>
          <w:rFonts w:hint="cs"/>
          <w:rtl/>
        </w:rPr>
        <w:t>8</w:t>
      </w:r>
      <w:r w:rsidR="006007A0" w:rsidRPr="009A0F2F">
        <w:rPr>
          <w:rFonts w:hint="cs"/>
          <w:rtl/>
        </w:rPr>
        <w:t>).</w:t>
      </w:r>
    </w:p>
    <w:p w:rsidR="005C698D" w:rsidRDefault="005C698D" w:rsidP="005C698D">
      <w:pPr>
        <w:pStyle w:val="Heading1AR"/>
        <w:rPr>
          <w:rtl/>
        </w:rPr>
      </w:pPr>
      <w:r>
        <w:rPr>
          <w:rFonts w:hint="cs"/>
          <w:rtl/>
        </w:rPr>
        <w:t>ثانيا.</w:t>
      </w:r>
      <w:r>
        <w:rPr>
          <w:rFonts w:hint="cs"/>
          <w:rtl/>
        </w:rPr>
        <w:tab/>
      </w:r>
      <w:r w:rsidRPr="005C698D">
        <w:rPr>
          <w:rtl/>
        </w:rPr>
        <w:t>انتخاب الرئيس ونائبي الرئيس</w:t>
      </w:r>
    </w:p>
    <w:p w:rsidR="005C698D" w:rsidRDefault="005C698D" w:rsidP="005C698D">
      <w:pPr>
        <w:pStyle w:val="NumberedParaAR"/>
      </w:pPr>
      <w:r>
        <w:rPr>
          <w:rtl/>
        </w:rPr>
        <w:t>انتُخب السيد ميخالي فيكشور (هنغاريا) بالإجماع رئيسا</w:t>
      </w:r>
      <w:r>
        <w:rPr>
          <w:rFonts w:hint="cs"/>
          <w:rtl/>
        </w:rPr>
        <w:t xml:space="preserve">، </w:t>
      </w:r>
      <w:r>
        <w:rPr>
          <w:rtl/>
        </w:rPr>
        <w:t xml:space="preserve">والسيدة أنا غوبيشيا (جورجيا) </w:t>
      </w:r>
      <w:r>
        <w:rPr>
          <w:rFonts w:hint="cs"/>
          <w:rtl/>
        </w:rPr>
        <w:t xml:space="preserve">والسيد </w:t>
      </w:r>
      <w:r>
        <w:rPr>
          <w:rtl/>
        </w:rPr>
        <w:t>ألفريدو رندون ألغارا (المكسيك) بالإجماع نائبين للرئيس.</w:t>
      </w:r>
      <w:r>
        <w:rPr>
          <w:rFonts w:hint="cs"/>
          <w:rtl/>
        </w:rPr>
        <w:t xml:space="preserve"> </w:t>
      </w:r>
      <w:r>
        <w:rPr>
          <w:rtl/>
        </w:rPr>
        <w:t xml:space="preserve">وتولى </w:t>
      </w:r>
      <w:r>
        <w:rPr>
          <w:rFonts w:hint="cs"/>
          <w:rtl/>
        </w:rPr>
        <w:t>المستشار القانوني السيد إدوارد كواكوا (</w:t>
      </w:r>
      <w:r>
        <w:rPr>
          <w:rtl/>
        </w:rPr>
        <w:t xml:space="preserve">الويبو) دور الأمانة </w:t>
      </w:r>
      <w:r>
        <w:rPr>
          <w:rFonts w:hint="cs"/>
          <w:rtl/>
        </w:rPr>
        <w:t>للجنة التحضيرية</w:t>
      </w:r>
      <w:r>
        <w:rPr>
          <w:rtl/>
        </w:rPr>
        <w:t>.</w:t>
      </w:r>
    </w:p>
    <w:p w:rsidR="0082718D" w:rsidRPr="0082718D" w:rsidRDefault="0082718D" w:rsidP="0082718D">
      <w:pPr>
        <w:pStyle w:val="Heading1AR"/>
        <w:rPr>
          <w:rtl/>
        </w:rPr>
      </w:pPr>
      <w:r w:rsidRPr="0082718D">
        <w:rPr>
          <w:rFonts w:hint="cs"/>
          <w:rtl/>
        </w:rPr>
        <w:t>ثالثا</w:t>
      </w:r>
      <w:r>
        <w:rPr>
          <w:rFonts w:hint="cs"/>
          <w:rtl/>
          <w:lang w:val="fr-CH"/>
        </w:rPr>
        <w:t>.</w:t>
      </w:r>
      <w:r w:rsidRPr="0082718D">
        <w:rPr>
          <w:rFonts w:hint="cs"/>
          <w:rtl/>
        </w:rPr>
        <w:tab/>
        <w:t>اعتماد جدول الأعمال</w:t>
      </w:r>
    </w:p>
    <w:p w:rsidR="0082718D" w:rsidRPr="00143AA1" w:rsidRDefault="0082718D" w:rsidP="0082718D">
      <w:pPr>
        <w:pStyle w:val="NumberedParaAR"/>
      </w:pPr>
      <w:r>
        <w:rPr>
          <w:rFonts w:hint="cs"/>
          <w:rtl/>
        </w:rPr>
        <w:t xml:space="preserve">اعتُمد بالإجماع مشروع جدول الأعمال، كما هو وارد في الوثيقة </w:t>
      </w:r>
      <w:r>
        <w:t>LI/R/PM/1 Prov.4</w:t>
      </w:r>
      <w:r>
        <w:rPr>
          <w:rFonts w:hint="cs"/>
          <w:rtl/>
          <w:lang w:val="fr-CH"/>
        </w:rPr>
        <w:t>.</w:t>
      </w:r>
    </w:p>
    <w:p w:rsidR="0082718D" w:rsidRPr="00143AA1" w:rsidRDefault="0082718D" w:rsidP="0082718D">
      <w:pPr>
        <w:pStyle w:val="Heading1AR"/>
      </w:pPr>
      <w:r w:rsidRPr="0082718D">
        <w:rPr>
          <w:rFonts w:hint="cs"/>
          <w:rtl/>
        </w:rPr>
        <w:t>رابعا</w:t>
      </w:r>
      <w:r>
        <w:rPr>
          <w:rFonts w:hint="cs"/>
          <w:rtl/>
        </w:rPr>
        <w:t>.</w:t>
      </w:r>
      <w:r w:rsidRPr="0082718D">
        <w:rPr>
          <w:rFonts w:hint="cs"/>
          <w:rtl/>
        </w:rPr>
        <w:tab/>
      </w:r>
      <w:r w:rsidRPr="0082718D">
        <w:rPr>
          <w:rtl/>
        </w:rPr>
        <w:t>النظر في مشروع النظام الداخلي للمؤتمر الدبلوماسي</w:t>
      </w:r>
    </w:p>
    <w:p w:rsidR="0082718D" w:rsidRPr="00143AA1" w:rsidRDefault="0082718D" w:rsidP="0082718D">
      <w:pPr>
        <w:pStyle w:val="NumberedParaAR"/>
      </w:pPr>
      <w:r>
        <w:rPr>
          <w:rFonts w:hint="cs"/>
          <w:rtl/>
        </w:rPr>
        <w:t xml:space="preserve">استندت المناقشات إلى الوثيقتين </w:t>
      </w:r>
      <w:r>
        <w:t>LI/R/PM/2</w:t>
      </w:r>
      <w:r>
        <w:rPr>
          <w:rFonts w:hint="cs"/>
          <w:rtl/>
          <w:lang w:val="fr-CH"/>
        </w:rPr>
        <w:t xml:space="preserve"> و</w:t>
      </w:r>
      <w:r>
        <w:t>LI/R/PM/5 Rev.2</w:t>
      </w:r>
      <w:r>
        <w:rPr>
          <w:rFonts w:hint="cs"/>
          <w:rtl/>
          <w:lang w:val="fr-CH"/>
        </w:rPr>
        <w:t>.</w:t>
      </w:r>
    </w:p>
    <w:p w:rsidR="0082718D" w:rsidRDefault="0082718D" w:rsidP="0082718D">
      <w:pPr>
        <w:pStyle w:val="NumberedParaAR"/>
      </w:pPr>
      <w:r>
        <w:rPr>
          <w:rFonts w:hint="cs"/>
          <w:rtl/>
        </w:rPr>
        <w:t>والاقتراح الذي تقدّمت به دولة عضو في اتحاد لشبونة، وهي إسرائيل، إلى جانب الدول المراقبة التالية (الأرجنتين، أستراليا، بوتان، كندا، شيلي، اليابان، نيوزيلندا، بنما، جمهورية كوريا، سنغافورة، الولايات المتحدة الأمريكية، أوروغواي)، لم يحصل على الدعم من أي دولة أخرى من الدول الأعضاء في اتحاد لشبونة.</w:t>
      </w:r>
    </w:p>
    <w:p w:rsidR="0082718D" w:rsidRPr="0094551C" w:rsidRDefault="0082718D" w:rsidP="00253096">
      <w:pPr>
        <w:pStyle w:val="NumberedParaAR"/>
      </w:pPr>
      <w:r>
        <w:rPr>
          <w:rFonts w:hint="cs"/>
          <w:rtl/>
        </w:rPr>
        <w:lastRenderedPageBreak/>
        <w:t>و</w:t>
      </w:r>
      <w:r w:rsidR="00253096">
        <w:rPr>
          <w:rFonts w:hint="cs"/>
          <w:rtl/>
        </w:rPr>
        <w:t xml:space="preserve">إذ أحاطت اللجنة التحضيرية علما بالبيانات التي أدلت بها الدول الأعضاء في الويبو المشاركة في الاجتماع بصفة مراقب، فإنها </w:t>
      </w:r>
      <w:r>
        <w:rPr>
          <w:rFonts w:hint="cs"/>
          <w:rtl/>
        </w:rPr>
        <w:t>اتفقت</w:t>
      </w:r>
      <w:r w:rsidR="00253096">
        <w:rPr>
          <w:rFonts w:hint="cs"/>
          <w:rtl/>
        </w:rPr>
        <w:t>، باستثناء عضو واحد من أعضاء اتحاد لشبونة،</w:t>
      </w:r>
      <w:r>
        <w:rPr>
          <w:rFonts w:hint="cs"/>
          <w:rtl/>
          <w:lang w:val="fr-CH"/>
        </w:rPr>
        <w:t xml:space="preserve"> على إحالة مشروع النظام الداخلي للمؤتمر الدبلوماسي (الوثيقة </w:t>
      </w:r>
      <w:r>
        <w:t>LI/R/PM/2</w:t>
      </w:r>
      <w:r>
        <w:rPr>
          <w:rFonts w:hint="cs"/>
          <w:rtl/>
          <w:lang w:val="fr-CH"/>
        </w:rPr>
        <w:t>، مع التصويبات التحريرية التي أعلنت عنها الأمانة) إلى المؤتمر الدبلوماسي واتفقت على أن توصي باعتماده في المؤتمر الدبلوماسي المنعقد في جلسة عامة.</w:t>
      </w:r>
    </w:p>
    <w:p w:rsidR="0082718D" w:rsidRDefault="0082718D" w:rsidP="00937186">
      <w:pPr>
        <w:pStyle w:val="NumberedParaAR"/>
        <w:numPr>
          <w:ilvl w:val="0"/>
          <w:numId w:val="0"/>
        </w:numPr>
      </w:pPr>
      <w:r>
        <w:rPr>
          <w:rFonts w:hint="cs"/>
          <w:rtl/>
        </w:rPr>
        <w:t>وتتعلق التغييرات المذكورة بالقاعدتين 1 و29 من مشروع النظام الداخلي، وسيصبح نصهما كما يلي:</w:t>
      </w:r>
    </w:p>
    <w:p w:rsidR="0082718D" w:rsidRDefault="0082718D" w:rsidP="00152C4F">
      <w:pPr>
        <w:pStyle w:val="NumberedParaAR"/>
        <w:numPr>
          <w:ilvl w:val="0"/>
          <w:numId w:val="0"/>
        </w:numPr>
        <w:rPr>
          <w:rtl/>
        </w:rPr>
      </w:pPr>
      <w:r>
        <w:rPr>
          <w:rFonts w:hint="cs"/>
          <w:rtl/>
        </w:rPr>
        <w:t>"ال</w:t>
      </w:r>
      <w:r w:rsidR="00152C4F">
        <w:rPr>
          <w:rFonts w:hint="cs"/>
          <w:rtl/>
        </w:rPr>
        <w:t>م</w:t>
      </w:r>
      <w:r>
        <w:rPr>
          <w:rFonts w:hint="cs"/>
          <w:rtl/>
        </w:rPr>
        <w:t xml:space="preserve">ادة 1(1)  </w:t>
      </w:r>
      <w:r w:rsidRPr="00414DD1">
        <w:rPr>
          <w:rtl/>
        </w:rPr>
        <w:t xml:space="preserve">الغرض المنشود من المؤتمر الدبلوماسي المعني باعتماد </w:t>
      </w:r>
      <w:r>
        <w:rPr>
          <w:rFonts w:hint="cs"/>
          <w:rtl/>
        </w:rPr>
        <w:t xml:space="preserve">وثيقة جديدة </w:t>
      </w:r>
      <w:r w:rsidRPr="00414DD1">
        <w:rPr>
          <w:rtl/>
        </w:rPr>
        <w:t xml:space="preserve">لاتفاق لشبونة بشأن </w:t>
      </w:r>
      <w:r>
        <w:rPr>
          <w:rFonts w:hint="cs"/>
          <w:rtl/>
        </w:rPr>
        <w:t xml:space="preserve">حماية </w:t>
      </w:r>
      <w:r w:rsidRPr="00414DD1">
        <w:rPr>
          <w:rtl/>
        </w:rPr>
        <w:t xml:space="preserve">تسميات المنشأ </w:t>
      </w:r>
      <w:r>
        <w:rPr>
          <w:rFonts w:hint="cs"/>
          <w:rtl/>
        </w:rPr>
        <w:t xml:space="preserve">وتسجيلها على الصعيد الدولي </w:t>
      </w:r>
      <w:r w:rsidRPr="00414DD1">
        <w:rPr>
          <w:rtl/>
        </w:rPr>
        <w:t xml:space="preserve">(والمشار إليه فيما بعد بمصطلح "المؤتمر") هو التفاوض على </w:t>
      </w:r>
      <w:r>
        <w:rPr>
          <w:rFonts w:hint="cs"/>
          <w:rtl/>
        </w:rPr>
        <w:t xml:space="preserve">وثيقة جديدة </w:t>
      </w:r>
      <w:r w:rsidRPr="00414DD1">
        <w:rPr>
          <w:rtl/>
        </w:rPr>
        <w:t xml:space="preserve">وعلى </w:t>
      </w:r>
      <w:r>
        <w:rPr>
          <w:rFonts w:hint="cs"/>
          <w:rtl/>
        </w:rPr>
        <w:t>ال</w:t>
      </w:r>
      <w:r w:rsidRPr="00414DD1">
        <w:rPr>
          <w:rtl/>
        </w:rPr>
        <w:t xml:space="preserve">لائحة التنفيذية </w:t>
      </w:r>
      <w:r>
        <w:rPr>
          <w:rFonts w:hint="cs"/>
          <w:rtl/>
        </w:rPr>
        <w:t xml:space="preserve">لتلك الوثيقة الجديدة </w:t>
      </w:r>
      <w:r w:rsidRPr="00414DD1">
        <w:rPr>
          <w:rtl/>
        </w:rPr>
        <w:t>واعتمادهما</w:t>
      </w:r>
      <w:r>
        <w:rPr>
          <w:rFonts w:hint="cs"/>
          <w:rtl/>
        </w:rPr>
        <w:t>"</w:t>
      </w:r>
      <w:r w:rsidRPr="00414DD1">
        <w:rPr>
          <w:rtl/>
        </w:rPr>
        <w:t>.</w:t>
      </w:r>
    </w:p>
    <w:p w:rsidR="0082718D" w:rsidRDefault="0082718D" w:rsidP="00152C4F">
      <w:pPr>
        <w:pStyle w:val="NormalParaAR"/>
        <w:ind w:left="-1" w:firstLine="1"/>
        <w:rPr>
          <w:rtl/>
        </w:rPr>
      </w:pPr>
      <w:r>
        <w:rPr>
          <w:rFonts w:hint="cs"/>
          <w:rtl/>
        </w:rPr>
        <w:t>"ال</w:t>
      </w:r>
      <w:r w:rsidR="00152C4F">
        <w:rPr>
          <w:rFonts w:hint="cs"/>
          <w:rtl/>
        </w:rPr>
        <w:t>مادة</w:t>
      </w:r>
      <w:r>
        <w:rPr>
          <w:rFonts w:hint="cs"/>
          <w:rtl/>
        </w:rPr>
        <w:t xml:space="preserve"> 29</w:t>
      </w:r>
      <w:r>
        <w:rPr>
          <w:rtl/>
        </w:rPr>
        <w:t>(1)(أ)</w:t>
      </w:r>
      <w:r>
        <w:rPr>
          <w:rFonts w:hint="cs"/>
          <w:rtl/>
        </w:rPr>
        <w:t xml:space="preserve">  </w:t>
      </w:r>
      <w:r>
        <w:rPr>
          <w:rtl/>
        </w:rPr>
        <w:t xml:space="preserve">تكون </w:t>
      </w:r>
      <w:r>
        <w:rPr>
          <w:rFonts w:hint="cs"/>
          <w:rtl/>
        </w:rPr>
        <w:t xml:space="preserve">الوثيقتان </w:t>
      </w:r>
      <w:r>
        <w:t>LI/DC/3</w:t>
      </w:r>
      <w:r>
        <w:rPr>
          <w:rFonts w:hint="cs"/>
          <w:rtl/>
          <w:lang w:val="fr-CH"/>
        </w:rPr>
        <w:t xml:space="preserve"> و</w:t>
      </w:r>
      <w:r>
        <w:t>LI/DC/4</w:t>
      </w:r>
      <w:r>
        <w:rPr>
          <w:rFonts w:hint="cs"/>
          <w:rtl/>
          <w:lang w:val="fr-CH"/>
        </w:rPr>
        <w:t xml:space="preserve"> </w:t>
      </w:r>
      <w:r>
        <w:rPr>
          <w:rtl/>
        </w:rPr>
        <w:t xml:space="preserve">أساس المناقشات في المؤتمر، ويكون نص مشروع </w:t>
      </w:r>
      <w:r>
        <w:rPr>
          <w:rFonts w:hint="cs"/>
          <w:rtl/>
        </w:rPr>
        <w:t>الاتفاق</w:t>
      </w:r>
      <w:r>
        <w:rPr>
          <w:rtl/>
        </w:rPr>
        <w:t xml:space="preserve"> </w:t>
      </w:r>
      <w:r>
        <w:rPr>
          <w:rFonts w:hint="cs"/>
          <w:rtl/>
        </w:rPr>
        <w:t xml:space="preserve">ومشروع اللائحة التنفيذية </w:t>
      </w:r>
      <w:r>
        <w:rPr>
          <w:rtl/>
        </w:rPr>
        <w:t>الوارد في الوث</w:t>
      </w:r>
      <w:r>
        <w:rPr>
          <w:rFonts w:hint="cs"/>
          <w:rtl/>
        </w:rPr>
        <w:t>ي</w:t>
      </w:r>
      <w:r>
        <w:rPr>
          <w:rtl/>
        </w:rPr>
        <w:t>ق</w:t>
      </w:r>
      <w:r>
        <w:rPr>
          <w:rFonts w:hint="cs"/>
          <w:rtl/>
        </w:rPr>
        <w:t>تين المذكورتين</w:t>
      </w:r>
      <w:r>
        <w:rPr>
          <w:rtl/>
        </w:rPr>
        <w:t xml:space="preserve"> بمثابة "الاقتراح الأساسي".</w:t>
      </w:r>
    </w:p>
    <w:p w:rsidR="00253096" w:rsidRDefault="00253096" w:rsidP="00152C4F">
      <w:pPr>
        <w:pStyle w:val="NormalParaAR"/>
        <w:ind w:left="-1" w:firstLine="1"/>
        <w:rPr>
          <w:rtl/>
        </w:rPr>
      </w:pPr>
      <w:r>
        <w:rPr>
          <w:rFonts w:hint="cs"/>
          <w:rtl/>
        </w:rPr>
        <w:t>وستضاف أيضا إشارة إلى "أو مشروع اللائحة التنفيذية" في ال</w:t>
      </w:r>
      <w:r w:rsidR="00152C4F">
        <w:rPr>
          <w:rFonts w:hint="cs"/>
          <w:rtl/>
        </w:rPr>
        <w:t>مادة</w:t>
      </w:r>
      <w:r>
        <w:rPr>
          <w:rFonts w:hint="cs"/>
          <w:rtl/>
        </w:rPr>
        <w:t xml:space="preserve"> 29(1)(ب).</w:t>
      </w:r>
    </w:p>
    <w:p w:rsidR="0082718D" w:rsidRDefault="0082718D" w:rsidP="0082718D">
      <w:pPr>
        <w:pStyle w:val="NumberedParaAR"/>
        <w:rPr>
          <w:rtl/>
        </w:rPr>
      </w:pPr>
      <w:r>
        <w:rPr>
          <w:rFonts w:hint="cs"/>
          <w:rtl/>
        </w:rPr>
        <w:t>واتفقت اللجنة التحضيرية أيضا على تحديد 1 فبراير 2015 كآخر أجل لجميع الدول الأعضاء في الويبو كي تتقدّم باقتراحاتها كتابةً لإدخال أية تعديلات على الاقتراح الأساسي حول القضايا التي حدّدها فريق لشبونة العامل على أنها قضايا معلّقة. وستجمع الأمانة تلك الاقتراحات وتحيلها إلى المؤتمر الدبلوماسي على سبيل الإعلام.</w:t>
      </w:r>
    </w:p>
    <w:p w:rsidR="00937186" w:rsidRPr="00937186" w:rsidRDefault="00937186" w:rsidP="00937186">
      <w:pPr>
        <w:pStyle w:val="Heading1AR"/>
        <w:rPr>
          <w:rtl/>
        </w:rPr>
      </w:pPr>
      <w:r w:rsidRPr="00937186">
        <w:rPr>
          <w:rFonts w:hint="cs"/>
          <w:rtl/>
        </w:rPr>
        <w:t xml:space="preserve">خامسا. </w:t>
      </w:r>
      <w:r w:rsidRPr="00937186">
        <w:rPr>
          <w:rtl/>
        </w:rPr>
        <w:tab/>
      </w:r>
      <w:r w:rsidRPr="00937186">
        <w:rPr>
          <w:rFonts w:hint="cs"/>
          <w:rtl/>
        </w:rPr>
        <w:t>النظر في قائمة المدعوين إلى المؤتمر الدبلوماسي ونصوص مشروعات الدعوات</w:t>
      </w:r>
    </w:p>
    <w:p w:rsidR="00937186" w:rsidRDefault="00937186" w:rsidP="00937186">
      <w:pPr>
        <w:pStyle w:val="NumberedParaAR"/>
      </w:pPr>
      <w:r>
        <w:rPr>
          <w:rFonts w:hint="cs"/>
          <w:rtl/>
        </w:rPr>
        <w:t>استندت المناقشات إلى الوثيقة</w:t>
      </w:r>
      <w:r>
        <w:rPr>
          <w:rFonts w:hint="eastAsia"/>
          <w:rtl/>
        </w:rPr>
        <w:t> </w:t>
      </w:r>
      <w:r w:rsidRPr="0001547C">
        <w:t>LI/R/PM/3</w:t>
      </w:r>
      <w:r>
        <w:rPr>
          <w:rFonts w:hint="cs"/>
          <w:rtl/>
        </w:rPr>
        <w:t>.</w:t>
      </w:r>
    </w:p>
    <w:p w:rsidR="00937186" w:rsidRDefault="00937186" w:rsidP="00937186">
      <w:pPr>
        <w:pStyle w:val="NumberedParaAR"/>
        <w:numPr>
          <w:ilvl w:val="0"/>
          <w:numId w:val="0"/>
        </w:numPr>
        <w:rPr>
          <w:rtl/>
        </w:rPr>
      </w:pPr>
      <w:r>
        <w:rPr>
          <w:rFonts w:hint="cs"/>
          <w:rtl/>
        </w:rPr>
        <w:t>ووافقت اللجنة التحضيرية على الاقتراح الوارد في الوثيقة</w:t>
      </w:r>
      <w:r>
        <w:rPr>
          <w:rFonts w:hint="eastAsia"/>
          <w:rtl/>
        </w:rPr>
        <w:t> </w:t>
      </w:r>
      <w:r w:rsidRPr="0001547C">
        <w:t>LI/R/PM/3</w:t>
      </w:r>
      <w:r>
        <w:rPr>
          <w:rFonts w:hint="cs"/>
          <w:rtl/>
        </w:rPr>
        <w:t>، مع إدخال التعديلات التالية.</w:t>
      </w:r>
    </w:p>
    <w:p w:rsidR="00937186" w:rsidRDefault="00937186" w:rsidP="00937186">
      <w:pPr>
        <w:pStyle w:val="NumberedParaAR"/>
        <w:numPr>
          <w:ilvl w:val="0"/>
          <w:numId w:val="0"/>
        </w:numPr>
        <w:rPr>
          <w:rtl/>
        </w:rPr>
      </w:pPr>
      <w:r>
        <w:rPr>
          <w:rFonts w:hint="cs"/>
          <w:rtl/>
        </w:rPr>
        <w:t>المرفق الأول: استبدال "رومانيا" بــ "هنغاريا" في قائمة الدول المقترح دعوتها بصفة وفود أعضاء.</w:t>
      </w:r>
    </w:p>
    <w:p w:rsidR="00937186" w:rsidRDefault="00937186" w:rsidP="00937186">
      <w:pPr>
        <w:pStyle w:val="NumberedParaAR"/>
        <w:numPr>
          <w:ilvl w:val="0"/>
          <w:numId w:val="0"/>
        </w:numPr>
        <w:rPr>
          <w:rtl/>
        </w:rPr>
      </w:pPr>
      <w:r>
        <w:rPr>
          <w:rFonts w:hint="cs"/>
          <w:rtl/>
        </w:rPr>
        <w:t>المرفق الثالث: استبدال "هنغاريا" بــ "رومانيا" في قائمة الدول المقترح دعوتها بصفة وفود مراقبة.</w:t>
      </w:r>
    </w:p>
    <w:p w:rsidR="00937186" w:rsidRDefault="00253096" w:rsidP="00253096">
      <w:pPr>
        <w:pStyle w:val="NumberedParaAR"/>
        <w:numPr>
          <w:ilvl w:val="0"/>
          <w:numId w:val="0"/>
        </w:numPr>
        <w:rPr>
          <w:rtl/>
        </w:rPr>
      </w:pPr>
      <w:r>
        <w:rPr>
          <w:rFonts w:hint="cs"/>
          <w:rtl/>
        </w:rPr>
        <w:t>المرفقات من</w:t>
      </w:r>
      <w:r w:rsidR="00937186">
        <w:rPr>
          <w:rFonts w:hint="cs"/>
          <w:rtl/>
        </w:rPr>
        <w:t xml:space="preserve"> الثاني </w:t>
      </w:r>
      <w:r>
        <w:rPr>
          <w:rFonts w:hint="cs"/>
          <w:rtl/>
        </w:rPr>
        <w:t>إلى الخامس</w:t>
      </w:r>
      <w:r w:rsidR="00937186">
        <w:rPr>
          <w:rFonts w:hint="cs"/>
          <w:rtl/>
        </w:rPr>
        <w:t>: استبدال عبارة "النص المراجع لاتفاق لشبونة بشأن تسميات المنشأ والبيانات الجغرافية"، حيثما تظهر، بعبارة "وثيقة جديدة لاتفاق لشبونة بشأن حماية تسميات المنشأ وتسجيلها على الصعيد الدولي."</w:t>
      </w:r>
    </w:p>
    <w:p w:rsidR="00937186" w:rsidRPr="00937186" w:rsidRDefault="00937186" w:rsidP="00937186">
      <w:pPr>
        <w:pStyle w:val="Heading1AR"/>
        <w:rPr>
          <w:rtl/>
        </w:rPr>
      </w:pPr>
      <w:r w:rsidRPr="00937186">
        <w:rPr>
          <w:rFonts w:hint="cs"/>
          <w:rtl/>
        </w:rPr>
        <w:t>سادسا</w:t>
      </w:r>
      <w:r w:rsidRPr="00937186">
        <w:rPr>
          <w:rtl/>
        </w:rPr>
        <w:tab/>
      </w:r>
      <w:r w:rsidRPr="00937186">
        <w:rPr>
          <w:rFonts w:hint="cs"/>
          <w:rtl/>
        </w:rPr>
        <w:t>النظر في جدول أعمال المؤتمر الدبلوماسي وموعده ومكان انعقاده وغير ذلك من المسائل التنظيمية ذات الصلة</w:t>
      </w:r>
    </w:p>
    <w:p w:rsidR="00937186" w:rsidRDefault="00253096" w:rsidP="00253096">
      <w:pPr>
        <w:pStyle w:val="NumberedParaAR"/>
      </w:pPr>
      <w:r>
        <w:rPr>
          <w:rFonts w:hint="cs"/>
          <w:rtl/>
        </w:rPr>
        <w:t xml:space="preserve">وأحاطت </w:t>
      </w:r>
      <w:r w:rsidR="00937186">
        <w:rPr>
          <w:rFonts w:hint="cs"/>
          <w:rtl/>
        </w:rPr>
        <w:t xml:space="preserve">اللجنة التحضيرية </w:t>
      </w:r>
      <w:r>
        <w:rPr>
          <w:rFonts w:hint="cs"/>
          <w:rtl/>
        </w:rPr>
        <w:t>علما ب</w:t>
      </w:r>
      <w:r w:rsidR="00937186">
        <w:rPr>
          <w:rFonts w:hint="cs"/>
          <w:rtl/>
        </w:rPr>
        <w:t>سحب عرض حكومة البرتغال استضافة المؤتمر الدبلوماسي في مدينة لشبونة بالبرتغال، وقبلت ذلك السحب. واتفقت اللجنة التحضيرية على أن يُعقد المؤتمر الدبلوماسي في جنيف في قاعة المؤتمرات الجديدة للويبو في الفترة من 11 إلى 21 مايو 2015.</w:t>
      </w:r>
    </w:p>
    <w:p w:rsidR="00937186" w:rsidRDefault="00937186" w:rsidP="00937186">
      <w:pPr>
        <w:pStyle w:val="NumberedParaAR"/>
      </w:pPr>
      <w:r>
        <w:rPr>
          <w:rFonts w:hint="cs"/>
          <w:rtl/>
        </w:rPr>
        <w:t>ووافقت اللجنة التحضيرية على مشروع جدول أعمال المؤتمر الدبلوماسي.</w:t>
      </w:r>
    </w:p>
    <w:p w:rsidR="00937186" w:rsidRPr="00937186" w:rsidRDefault="00937186" w:rsidP="00937186">
      <w:pPr>
        <w:pStyle w:val="Heading1AR"/>
        <w:rPr>
          <w:rtl/>
        </w:rPr>
      </w:pPr>
      <w:r w:rsidRPr="00937186">
        <w:rPr>
          <w:rFonts w:hint="cs"/>
          <w:rtl/>
        </w:rPr>
        <w:lastRenderedPageBreak/>
        <w:t>سابعا</w:t>
      </w:r>
      <w:r w:rsidRPr="00937186">
        <w:rPr>
          <w:rtl/>
        </w:rPr>
        <w:tab/>
      </w:r>
      <w:r w:rsidRPr="00937186">
        <w:rPr>
          <w:rFonts w:hint="cs"/>
          <w:rtl/>
        </w:rPr>
        <w:t xml:space="preserve"> اعتماد التقرير</w:t>
      </w:r>
    </w:p>
    <w:p w:rsidR="00937186" w:rsidRDefault="00937186" w:rsidP="00C742D7">
      <w:pPr>
        <w:pStyle w:val="NumberedParaAR"/>
        <w:spacing w:after="480"/>
      </w:pPr>
      <w:r>
        <w:rPr>
          <w:rFonts w:hint="cs"/>
          <w:rtl/>
        </w:rPr>
        <w:t>اعتمدت الوفود، بالإجماع، مشروع التقرير. واتفقت اللجنة التحضيرية كذلك على أن تعد الأمانة محضرا حرفيا لمداولاتها. وسيُنشر المحضر الحرفي على موقع الويبو الإلكتروني قبل 1 ديسمبر 2014. وس</w:t>
      </w:r>
      <w:r w:rsidR="00C742D7">
        <w:rPr>
          <w:rFonts w:hint="cs"/>
          <w:rtl/>
        </w:rPr>
        <w:t>ي</w:t>
      </w:r>
      <w:r>
        <w:rPr>
          <w:rFonts w:hint="cs"/>
          <w:rtl/>
        </w:rPr>
        <w:t xml:space="preserve">ُمنح الدول الأعضاء </w:t>
      </w:r>
      <w:r w:rsidR="00C742D7">
        <w:rPr>
          <w:rFonts w:hint="cs"/>
          <w:rtl/>
        </w:rPr>
        <w:t xml:space="preserve">والمراقبون </w:t>
      </w:r>
      <w:r>
        <w:rPr>
          <w:rFonts w:hint="cs"/>
          <w:rtl/>
        </w:rPr>
        <w:t xml:space="preserve">فترة أقصاها 1 يناير 2015 لتقديم </w:t>
      </w:r>
      <w:r w:rsidR="00C742D7">
        <w:rPr>
          <w:rFonts w:hint="cs"/>
          <w:rtl/>
        </w:rPr>
        <w:t>أ</w:t>
      </w:r>
      <w:r>
        <w:rPr>
          <w:rFonts w:hint="cs"/>
          <w:rtl/>
        </w:rPr>
        <w:t>ية تعليقات على المحضر الحرفي.</w:t>
      </w:r>
    </w:p>
    <w:p w:rsidR="00937186" w:rsidRPr="007F38D1" w:rsidRDefault="00937186" w:rsidP="00937186">
      <w:pPr>
        <w:pStyle w:val="EndofDocumentAR"/>
      </w:pPr>
      <w:r>
        <w:rPr>
          <w:rFonts w:hint="cs"/>
          <w:rtl/>
        </w:rPr>
        <w:t>[نهاية الوثيقة]</w:t>
      </w:r>
    </w:p>
    <w:p w:rsidR="0082718D" w:rsidRDefault="0082718D" w:rsidP="00937186">
      <w:pPr>
        <w:pStyle w:val="NumberedParaAR"/>
        <w:numPr>
          <w:ilvl w:val="0"/>
          <w:numId w:val="0"/>
        </w:numPr>
      </w:pPr>
    </w:p>
    <w:sectPr w:rsidR="0082718D" w:rsidSect="009A0F2F">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37" w:rsidRDefault="006A1137">
      <w:r>
        <w:separator/>
      </w:r>
    </w:p>
  </w:endnote>
  <w:endnote w:type="continuationSeparator" w:id="0">
    <w:p w:rsidR="006A1137" w:rsidRDefault="006A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37" w:rsidRDefault="006A1137" w:rsidP="009622BF">
      <w:pPr>
        <w:bidi/>
      </w:pPr>
      <w:bookmarkStart w:id="0" w:name="OLE_LINK1"/>
      <w:bookmarkStart w:id="1" w:name="OLE_LINK2"/>
      <w:r>
        <w:separator/>
      </w:r>
      <w:bookmarkEnd w:id="0"/>
      <w:bookmarkEnd w:id="1"/>
    </w:p>
  </w:footnote>
  <w:footnote w:type="continuationSeparator" w:id="0">
    <w:p w:rsidR="006A1137" w:rsidRDefault="006A113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0A" w:rsidRDefault="009A0F2F" w:rsidP="00150A21">
    <w:r>
      <w:t>LI/R/PM/6</w:t>
    </w:r>
  </w:p>
  <w:p w:rsidR="0032500A" w:rsidRDefault="0032500A" w:rsidP="00D61541">
    <w:r>
      <w:fldChar w:fldCharType="begin"/>
    </w:r>
    <w:r>
      <w:instrText xml:space="preserve"> PAGE   \* MERGEFORMAT </w:instrText>
    </w:r>
    <w:r>
      <w:fldChar w:fldCharType="separate"/>
    </w:r>
    <w:r w:rsidR="00A9587B">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3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C4C"/>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2E7"/>
    <w:rsid w:val="000438A8"/>
    <w:rsid w:val="00044AC0"/>
    <w:rsid w:val="00045B68"/>
    <w:rsid w:val="00045E69"/>
    <w:rsid w:val="00046EDC"/>
    <w:rsid w:val="00047497"/>
    <w:rsid w:val="000500C9"/>
    <w:rsid w:val="0005014C"/>
    <w:rsid w:val="000508E2"/>
    <w:rsid w:val="00050A69"/>
    <w:rsid w:val="00050C55"/>
    <w:rsid w:val="00050F28"/>
    <w:rsid w:val="00050FFD"/>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96ABF"/>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48F"/>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949"/>
    <w:rsid w:val="00131E8F"/>
    <w:rsid w:val="00135C24"/>
    <w:rsid w:val="00136389"/>
    <w:rsid w:val="00136A1A"/>
    <w:rsid w:val="00136A96"/>
    <w:rsid w:val="001376B6"/>
    <w:rsid w:val="00140A35"/>
    <w:rsid w:val="00142F4D"/>
    <w:rsid w:val="00143428"/>
    <w:rsid w:val="0014412C"/>
    <w:rsid w:val="00144713"/>
    <w:rsid w:val="00144CC3"/>
    <w:rsid w:val="0015009D"/>
    <w:rsid w:val="00150A21"/>
    <w:rsid w:val="001519FB"/>
    <w:rsid w:val="00151B18"/>
    <w:rsid w:val="00151BF2"/>
    <w:rsid w:val="00151C68"/>
    <w:rsid w:val="001520DD"/>
    <w:rsid w:val="00152374"/>
    <w:rsid w:val="00152C4F"/>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DD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096"/>
    <w:rsid w:val="00253210"/>
    <w:rsid w:val="0025353E"/>
    <w:rsid w:val="00253DE1"/>
    <w:rsid w:val="0025425F"/>
    <w:rsid w:val="00254468"/>
    <w:rsid w:val="00254DE4"/>
    <w:rsid w:val="002559DA"/>
    <w:rsid w:val="00256955"/>
    <w:rsid w:val="0026071A"/>
    <w:rsid w:val="00261B27"/>
    <w:rsid w:val="00262B5A"/>
    <w:rsid w:val="002648AD"/>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3A91"/>
    <w:rsid w:val="002D4807"/>
    <w:rsid w:val="002D5DDC"/>
    <w:rsid w:val="002D5F16"/>
    <w:rsid w:val="002D62F1"/>
    <w:rsid w:val="002D6FD8"/>
    <w:rsid w:val="002D727B"/>
    <w:rsid w:val="002D7D25"/>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00A"/>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52A"/>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6F3A"/>
    <w:rsid w:val="004303D1"/>
    <w:rsid w:val="00433C0A"/>
    <w:rsid w:val="004349FA"/>
    <w:rsid w:val="004406BD"/>
    <w:rsid w:val="00442FBE"/>
    <w:rsid w:val="004433B1"/>
    <w:rsid w:val="00443571"/>
    <w:rsid w:val="004444E3"/>
    <w:rsid w:val="004447FD"/>
    <w:rsid w:val="00445032"/>
    <w:rsid w:val="004450CB"/>
    <w:rsid w:val="004458F2"/>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775"/>
    <w:rsid w:val="00481F5F"/>
    <w:rsid w:val="004821D0"/>
    <w:rsid w:val="00482CB2"/>
    <w:rsid w:val="00483D06"/>
    <w:rsid w:val="00485A4A"/>
    <w:rsid w:val="00485CF7"/>
    <w:rsid w:val="004862C2"/>
    <w:rsid w:val="004863F7"/>
    <w:rsid w:val="00486FFC"/>
    <w:rsid w:val="004904CB"/>
    <w:rsid w:val="00490ED4"/>
    <w:rsid w:val="00491B91"/>
    <w:rsid w:val="00491C21"/>
    <w:rsid w:val="00491C66"/>
    <w:rsid w:val="004935D6"/>
    <w:rsid w:val="00494195"/>
    <w:rsid w:val="004945FB"/>
    <w:rsid w:val="00496C3A"/>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535"/>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B43"/>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7700E"/>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98D"/>
    <w:rsid w:val="005C6A68"/>
    <w:rsid w:val="005D0AE3"/>
    <w:rsid w:val="005D1103"/>
    <w:rsid w:val="005D276D"/>
    <w:rsid w:val="005D5912"/>
    <w:rsid w:val="005D6519"/>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7A0"/>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4AB"/>
    <w:rsid w:val="006746AC"/>
    <w:rsid w:val="0067571B"/>
    <w:rsid w:val="00675E37"/>
    <w:rsid w:val="0067663E"/>
    <w:rsid w:val="00676CE7"/>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137"/>
    <w:rsid w:val="006A20FB"/>
    <w:rsid w:val="006A339D"/>
    <w:rsid w:val="006A4462"/>
    <w:rsid w:val="006A589D"/>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1F93"/>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0B4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975"/>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18D"/>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80E"/>
    <w:rsid w:val="00851ADD"/>
    <w:rsid w:val="00855CA6"/>
    <w:rsid w:val="00860323"/>
    <w:rsid w:val="00860F4F"/>
    <w:rsid w:val="008610B9"/>
    <w:rsid w:val="00862656"/>
    <w:rsid w:val="00863013"/>
    <w:rsid w:val="00863F67"/>
    <w:rsid w:val="0086483A"/>
    <w:rsid w:val="0087049C"/>
    <w:rsid w:val="00870711"/>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186"/>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6750B"/>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6C0E"/>
    <w:rsid w:val="009975CA"/>
    <w:rsid w:val="009A0C15"/>
    <w:rsid w:val="009A0F2F"/>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316B"/>
    <w:rsid w:val="009C4B2C"/>
    <w:rsid w:val="009C4CB3"/>
    <w:rsid w:val="009C4F15"/>
    <w:rsid w:val="009C511C"/>
    <w:rsid w:val="009C5416"/>
    <w:rsid w:val="009C587B"/>
    <w:rsid w:val="009C64C5"/>
    <w:rsid w:val="009C673E"/>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687F"/>
    <w:rsid w:val="00A20562"/>
    <w:rsid w:val="00A20F75"/>
    <w:rsid w:val="00A212B1"/>
    <w:rsid w:val="00A23B6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587B"/>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59F9"/>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4C8F"/>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067B"/>
    <w:rsid w:val="00B42402"/>
    <w:rsid w:val="00B44049"/>
    <w:rsid w:val="00B44318"/>
    <w:rsid w:val="00B44C4B"/>
    <w:rsid w:val="00B477CB"/>
    <w:rsid w:val="00B508A7"/>
    <w:rsid w:val="00B52081"/>
    <w:rsid w:val="00B52695"/>
    <w:rsid w:val="00B526FB"/>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26D"/>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285"/>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137"/>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135"/>
    <w:rsid w:val="00C01804"/>
    <w:rsid w:val="00C026BC"/>
    <w:rsid w:val="00C02AD4"/>
    <w:rsid w:val="00C03869"/>
    <w:rsid w:val="00C07988"/>
    <w:rsid w:val="00C07C5E"/>
    <w:rsid w:val="00C10068"/>
    <w:rsid w:val="00C10AC5"/>
    <w:rsid w:val="00C12370"/>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D7"/>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0F37"/>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BE1"/>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A02"/>
    <w:rsid w:val="00CF5CA5"/>
    <w:rsid w:val="00CF658A"/>
    <w:rsid w:val="00CF66B6"/>
    <w:rsid w:val="00D007D6"/>
    <w:rsid w:val="00D01A9F"/>
    <w:rsid w:val="00D01CED"/>
    <w:rsid w:val="00D01E38"/>
    <w:rsid w:val="00D022B5"/>
    <w:rsid w:val="00D02E2F"/>
    <w:rsid w:val="00D039B5"/>
    <w:rsid w:val="00D04AA9"/>
    <w:rsid w:val="00D04F76"/>
    <w:rsid w:val="00D053D2"/>
    <w:rsid w:val="00D05D4C"/>
    <w:rsid w:val="00D07D07"/>
    <w:rsid w:val="00D10F87"/>
    <w:rsid w:val="00D1149D"/>
    <w:rsid w:val="00D11B8E"/>
    <w:rsid w:val="00D11D8D"/>
    <w:rsid w:val="00D12B12"/>
    <w:rsid w:val="00D12DD7"/>
    <w:rsid w:val="00D13A8C"/>
    <w:rsid w:val="00D149E1"/>
    <w:rsid w:val="00D14A44"/>
    <w:rsid w:val="00D153FE"/>
    <w:rsid w:val="00D15BCC"/>
    <w:rsid w:val="00D1628F"/>
    <w:rsid w:val="00D16433"/>
    <w:rsid w:val="00D21D89"/>
    <w:rsid w:val="00D22522"/>
    <w:rsid w:val="00D22657"/>
    <w:rsid w:val="00D228DF"/>
    <w:rsid w:val="00D23557"/>
    <w:rsid w:val="00D2427F"/>
    <w:rsid w:val="00D24BB7"/>
    <w:rsid w:val="00D2506D"/>
    <w:rsid w:val="00D263AE"/>
    <w:rsid w:val="00D27855"/>
    <w:rsid w:val="00D27E5A"/>
    <w:rsid w:val="00D30912"/>
    <w:rsid w:val="00D31021"/>
    <w:rsid w:val="00D329B9"/>
    <w:rsid w:val="00D33412"/>
    <w:rsid w:val="00D3482C"/>
    <w:rsid w:val="00D3664C"/>
    <w:rsid w:val="00D3683A"/>
    <w:rsid w:val="00D371B5"/>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477"/>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F6B"/>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2E8"/>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279C6"/>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647"/>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297"/>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32500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32500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من إعداد الأمانة</dc:creator>
  <cp:lastModifiedBy>COUSIN Raquel</cp:lastModifiedBy>
  <cp:revision>2</cp:revision>
  <cp:lastPrinted>2014-11-04T07:54:00Z</cp:lastPrinted>
  <dcterms:created xsi:type="dcterms:W3CDTF">2014-11-04T09:28:00Z</dcterms:created>
  <dcterms:modified xsi:type="dcterms:W3CDTF">2014-11-04T09:28:00Z</dcterms:modified>
</cp:coreProperties>
</file>