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0221B0" w:rsidP="000221B0">
      <w:pPr>
        <w:bidi w:val="0"/>
        <w:rPr>
          <w:rFonts w:ascii="Arial Black" w:hAnsi="Arial Black"/>
          <w:caps/>
          <w:sz w:val="15"/>
          <w:szCs w:val="15"/>
        </w:rPr>
      </w:pPr>
      <w:proofErr w:type="spellStart"/>
      <w:r>
        <w:rPr>
          <w:rFonts w:ascii="Arial Black" w:hAnsi="Arial Black"/>
          <w:caps/>
          <w:sz w:val="15"/>
          <w:szCs w:val="15"/>
          <w:lang w:val="fr-CH"/>
        </w:rPr>
        <w:t>cdip</w:t>
      </w:r>
      <w:proofErr w:type="spellEnd"/>
      <w:r w:rsidR="00573870">
        <w:rPr>
          <w:rFonts w:ascii="Arial Black" w:hAnsi="Arial Black"/>
          <w:caps/>
          <w:sz w:val="15"/>
          <w:szCs w:val="15"/>
        </w:rPr>
        <w:t>/28/INF/8</w:t>
      </w:r>
    </w:p>
    <w:p w:rsidR="008B2CC1" w:rsidRPr="00794807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0" w:name="Original"/>
      <w:r w:rsidRP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79480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5A1404" w:rsidP="0057387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 w:rsidRPr="001C79D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4</w:t>
      </w:r>
      <w:bookmarkStart w:id="2" w:name="_GoBack"/>
      <w:bookmarkEnd w:id="2"/>
      <w:r w:rsidRPr="001C79D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مايو 2022</w:t>
      </w:r>
    </w:p>
    <w:bookmarkEnd w:id="1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516C1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الثامنة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516C1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16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مايو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D67EAE" w:rsidRDefault="00573870" w:rsidP="00573870"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bidi="ar-SY"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  <w:lang w:bidi="ar-SY"/>
        </w:rPr>
        <w:t>لمحة عامة عن</w:t>
      </w:r>
      <w:r w:rsidR="00D14D28">
        <w:rPr>
          <w:rFonts w:asciiTheme="minorHAnsi" w:hAnsiTheme="minorHAnsi" w:hint="cs"/>
          <w:caps/>
          <w:sz w:val="28"/>
          <w:szCs w:val="24"/>
          <w:rtl/>
          <w:lang w:bidi="ar-SY"/>
        </w:rPr>
        <w:t xml:space="preserve"> </w:t>
      </w:r>
      <w:r>
        <w:rPr>
          <w:rFonts w:asciiTheme="minorHAnsi" w:hAnsiTheme="minorHAnsi" w:hint="cs"/>
          <w:caps/>
          <w:sz w:val="28"/>
          <w:szCs w:val="24"/>
          <w:rtl/>
          <w:lang w:bidi="ar-SY"/>
        </w:rPr>
        <w:t xml:space="preserve">دليل </w:t>
      </w:r>
      <w:proofErr w:type="spellStart"/>
      <w:r>
        <w:rPr>
          <w:rFonts w:asciiTheme="minorHAnsi" w:hAnsiTheme="minorHAnsi" w:hint="cs"/>
          <w:caps/>
          <w:sz w:val="28"/>
          <w:szCs w:val="24"/>
          <w:rtl/>
          <w:lang w:bidi="ar-SY"/>
        </w:rPr>
        <w:t>الويبو</w:t>
      </w:r>
      <w:proofErr w:type="spellEnd"/>
      <w:r>
        <w:rPr>
          <w:rFonts w:asciiTheme="minorHAnsi" w:hAnsiTheme="minorHAnsi" w:hint="cs"/>
          <w:caps/>
          <w:sz w:val="28"/>
          <w:szCs w:val="24"/>
          <w:rtl/>
          <w:lang w:bidi="ar-SY"/>
        </w:rPr>
        <w:t xml:space="preserve"> بشأن العقود الرئيسية في مجال تطبيقات الأجهزة المحمولة </w:t>
      </w:r>
      <w:r>
        <w:rPr>
          <w:rFonts w:asciiTheme="minorHAnsi" w:hAnsiTheme="minorHAnsi"/>
          <w:caps/>
          <w:sz w:val="28"/>
          <w:szCs w:val="24"/>
          <w:rtl/>
          <w:lang w:bidi="ar-SY"/>
        </w:rPr>
        <w:t>–</w:t>
      </w:r>
      <w:r>
        <w:rPr>
          <w:rFonts w:asciiTheme="minorHAnsi" w:hAnsiTheme="minorHAnsi" w:hint="cs"/>
          <w:caps/>
          <w:sz w:val="28"/>
          <w:szCs w:val="24"/>
          <w:rtl/>
          <w:lang w:bidi="ar-SY"/>
        </w:rPr>
        <w:t xml:space="preserve"> رؤية من منظور المطورين </w:t>
      </w:r>
    </w:p>
    <w:p w:rsidR="002928D3" w:rsidRDefault="004B68DB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372C0F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C7657B" w:rsidRDefault="004B68DB" w:rsidP="004253B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يتضمن مرفق هذه الوثيقة </w:t>
      </w:r>
      <w:r w:rsidR="00D14D28">
        <w:rPr>
          <w:rFonts w:hint="cs"/>
          <w:rtl/>
          <w:lang w:bidi="ar-EG"/>
        </w:rPr>
        <w:t xml:space="preserve">لمحة عامة عن </w:t>
      </w:r>
      <w:r w:rsidR="004253BE">
        <w:rPr>
          <w:rFonts w:hint="cs"/>
          <w:rtl/>
          <w:lang w:bidi="ar-SY"/>
        </w:rPr>
        <w:t>"</w:t>
      </w:r>
      <w:r w:rsidR="00D14D28">
        <w:rPr>
          <w:rFonts w:hint="cs"/>
          <w:rtl/>
          <w:lang w:bidi="ar-EG"/>
        </w:rPr>
        <w:t xml:space="preserve">دليل </w:t>
      </w:r>
      <w:proofErr w:type="spellStart"/>
      <w:r w:rsidR="00573870">
        <w:rPr>
          <w:rFonts w:hint="cs"/>
          <w:rtl/>
          <w:lang w:bidi="ar-EG"/>
        </w:rPr>
        <w:t>الويبو</w:t>
      </w:r>
      <w:proofErr w:type="spellEnd"/>
      <w:r w:rsidR="00573870">
        <w:rPr>
          <w:rFonts w:hint="cs"/>
          <w:rtl/>
          <w:lang w:bidi="ar-EG"/>
        </w:rPr>
        <w:t xml:space="preserve"> بشأن العقود الرئيسية في مجال تطبيقات الأجهزة المحمولة </w:t>
      </w:r>
      <w:r w:rsidR="00573870">
        <w:rPr>
          <w:rtl/>
          <w:lang w:bidi="ar-EG"/>
        </w:rPr>
        <w:t>–</w:t>
      </w:r>
      <w:r w:rsidR="00573870">
        <w:rPr>
          <w:rFonts w:hint="cs"/>
          <w:rtl/>
          <w:lang w:bidi="ar-EG"/>
        </w:rPr>
        <w:t xml:space="preserve"> رؤية من منظور المطورين</w:t>
      </w:r>
      <w:r w:rsidR="004253BE">
        <w:rPr>
          <w:rFonts w:hint="cs"/>
          <w:rtl/>
          <w:lang w:bidi="ar-EG"/>
        </w:rPr>
        <w:t>"</w:t>
      </w:r>
      <w:r w:rsidR="00573870">
        <w:rPr>
          <w:rFonts w:hint="cs"/>
          <w:rtl/>
          <w:lang w:bidi="ar-EG"/>
        </w:rPr>
        <w:t xml:space="preserve">، </w:t>
      </w:r>
      <w:r w:rsidR="004253BE">
        <w:rPr>
          <w:rFonts w:hint="cs"/>
          <w:rtl/>
          <w:lang w:bidi="ar-SY"/>
        </w:rPr>
        <w:t xml:space="preserve">والذي وضع </w:t>
      </w:r>
      <w:r w:rsidR="002851FE">
        <w:rPr>
          <w:rFonts w:hint="cs"/>
          <w:rtl/>
          <w:lang w:bidi="ar-SY"/>
        </w:rPr>
        <w:t>في</w:t>
      </w:r>
      <w:r w:rsidR="00573870">
        <w:rPr>
          <w:rFonts w:hint="cs"/>
          <w:rtl/>
          <w:lang w:bidi="ar-EG"/>
        </w:rPr>
        <w:t xml:space="preserve"> إطار مشروع تعزيز استخدام الملكية الفكرية في قطاع البرمجيات </w:t>
      </w:r>
      <w:r w:rsidR="00C7657B">
        <w:rPr>
          <w:rFonts w:hint="cs"/>
          <w:rtl/>
          <w:lang w:bidi="ar-SY"/>
        </w:rPr>
        <w:t xml:space="preserve">(الوثيقة </w:t>
      </w:r>
      <w:proofErr w:type="spellStart"/>
      <w:r w:rsidR="00C7657B">
        <w:rPr>
          <w:lang w:val="fr-CH" w:bidi="ar-SY"/>
        </w:rPr>
        <w:t>CDIP</w:t>
      </w:r>
      <w:proofErr w:type="spellEnd"/>
      <w:r w:rsidR="00C7657B">
        <w:rPr>
          <w:lang w:val="fr-CH" w:bidi="ar-SY"/>
        </w:rPr>
        <w:t>/22/8</w:t>
      </w:r>
      <w:r w:rsidR="00C7657B">
        <w:rPr>
          <w:rFonts w:hint="cs"/>
          <w:rtl/>
          <w:lang w:val="fr-CH" w:bidi="ar-SY"/>
        </w:rPr>
        <w:t>).</w:t>
      </w:r>
    </w:p>
    <w:p w:rsidR="003815EF" w:rsidRDefault="00C7657B" w:rsidP="002851F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وأعد</w:t>
      </w:r>
      <w:r w:rsidR="004253BE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 هذا الكتّيب السيد أندرو </w:t>
      </w:r>
      <w:proofErr w:type="spellStart"/>
      <w:r>
        <w:rPr>
          <w:rFonts w:hint="cs"/>
          <w:rtl/>
          <w:lang w:bidi="ar-EG"/>
        </w:rPr>
        <w:t>كاتز</w:t>
      </w:r>
      <w:proofErr w:type="spellEnd"/>
      <w:r>
        <w:rPr>
          <w:rFonts w:hint="cs"/>
          <w:rtl/>
          <w:lang w:bidi="ar-EG"/>
        </w:rPr>
        <w:t xml:space="preserve">، مسؤول تنفيذي ورئيس </w:t>
      </w:r>
      <w:r w:rsidR="003815EF">
        <w:rPr>
          <w:rFonts w:hint="cs"/>
          <w:rtl/>
          <w:lang w:bidi="ar-EG"/>
        </w:rPr>
        <w:t xml:space="preserve">قسم التكنولوجيا في </w:t>
      </w:r>
      <w:r w:rsidR="002851FE">
        <w:rPr>
          <w:rFonts w:hint="cs"/>
          <w:rtl/>
          <w:lang w:bidi="ar-EG"/>
        </w:rPr>
        <w:t>شراكة</w:t>
      </w:r>
      <w:r w:rsidR="003815EF">
        <w:rPr>
          <w:rFonts w:hint="cs"/>
          <w:rtl/>
          <w:lang w:bidi="ar-EG"/>
        </w:rPr>
        <w:t xml:space="preserve"> </w:t>
      </w:r>
      <w:proofErr w:type="spellStart"/>
      <w:r w:rsidR="002851FE">
        <w:rPr>
          <w:lang w:bidi="ar-EG"/>
        </w:rPr>
        <w:t>Moorcrofts</w:t>
      </w:r>
      <w:proofErr w:type="spellEnd"/>
      <w:r w:rsidR="002851FE">
        <w:rPr>
          <w:rFonts w:hint="cs"/>
          <w:rtl/>
          <w:lang w:bidi="ar-EG"/>
        </w:rPr>
        <w:t xml:space="preserve"> المحدودة المسؤولية والرئيس التنفيذي</w:t>
      </w:r>
      <w:r w:rsidR="003815EF">
        <w:rPr>
          <w:rFonts w:hint="cs"/>
          <w:rtl/>
          <w:lang w:bidi="ar-EG"/>
        </w:rPr>
        <w:t xml:space="preserve"> لشركة </w:t>
      </w:r>
      <w:proofErr w:type="spellStart"/>
      <w:r w:rsidR="003815EF" w:rsidRPr="002851FE">
        <w:rPr>
          <w:lang w:val="fr-CH" w:bidi="ar-EG"/>
        </w:rPr>
        <w:t>Orcro</w:t>
      </w:r>
      <w:proofErr w:type="spellEnd"/>
      <w:r w:rsidR="003815EF" w:rsidRPr="002851FE">
        <w:rPr>
          <w:rFonts w:hint="cs"/>
          <w:rtl/>
          <w:lang w:val="fr-CH" w:bidi="ar-SY"/>
        </w:rPr>
        <w:t xml:space="preserve"> المحدودة، والسيدة </w:t>
      </w:r>
      <w:proofErr w:type="spellStart"/>
      <w:r w:rsidR="003815EF" w:rsidRPr="002851FE">
        <w:rPr>
          <w:rFonts w:hint="cs"/>
          <w:rtl/>
          <w:lang w:val="fr-CH" w:bidi="ar-SY"/>
        </w:rPr>
        <w:t>أوشا</w:t>
      </w:r>
      <w:proofErr w:type="spellEnd"/>
      <w:r w:rsidR="003815EF" w:rsidRPr="002851FE">
        <w:rPr>
          <w:rFonts w:hint="cs"/>
          <w:rtl/>
          <w:lang w:val="fr-CH" w:bidi="ar-SY"/>
        </w:rPr>
        <w:t xml:space="preserve"> </w:t>
      </w:r>
      <w:proofErr w:type="spellStart"/>
      <w:r w:rsidR="003815EF" w:rsidRPr="002851FE">
        <w:rPr>
          <w:rFonts w:hint="cs"/>
          <w:rtl/>
          <w:lang w:val="fr-CH" w:bidi="ar-SY"/>
        </w:rPr>
        <w:t>غونيس</w:t>
      </w:r>
      <w:proofErr w:type="spellEnd"/>
      <w:r w:rsidR="003815EF" w:rsidRPr="002851FE">
        <w:rPr>
          <w:rFonts w:hint="cs"/>
          <w:rtl/>
          <w:lang w:val="fr-CH" w:bidi="ar-SY"/>
        </w:rPr>
        <w:t xml:space="preserve">، </w:t>
      </w:r>
      <w:r w:rsidR="003815EF" w:rsidRPr="002851FE">
        <w:rPr>
          <w:rtl/>
          <w:lang w:val="fr-CH" w:bidi="ar-SY"/>
        </w:rPr>
        <w:t xml:space="preserve">محامية </w:t>
      </w:r>
      <w:r w:rsidR="003815EF" w:rsidRPr="002851FE">
        <w:rPr>
          <w:rFonts w:hint="cs"/>
          <w:rtl/>
          <w:lang w:val="fr-CH" w:bidi="ar-SY"/>
        </w:rPr>
        <w:t>م</w:t>
      </w:r>
      <w:r w:rsidR="003815EF" w:rsidRPr="002851FE">
        <w:rPr>
          <w:rtl/>
          <w:lang w:val="fr-CH" w:bidi="ar-SY"/>
        </w:rPr>
        <w:t>ساعدة في قسم التكنولوجيا في</w:t>
      </w:r>
      <w:r w:rsidR="003815EF" w:rsidRPr="002851FE">
        <w:rPr>
          <w:rFonts w:hint="cs"/>
          <w:rtl/>
          <w:lang w:val="fr-CH" w:bidi="ar-SY"/>
        </w:rPr>
        <w:t xml:space="preserve"> </w:t>
      </w:r>
      <w:proofErr w:type="spellStart"/>
      <w:r w:rsidR="003815EF" w:rsidRPr="002851FE">
        <w:rPr>
          <w:lang w:val="fr-CH" w:bidi="ar-SY"/>
        </w:rPr>
        <w:t>Moorcrofts</w:t>
      </w:r>
      <w:proofErr w:type="spellEnd"/>
      <w:r w:rsidR="003815EF" w:rsidRPr="002851FE">
        <w:rPr>
          <w:rtl/>
          <w:lang w:val="fr-CH" w:bidi="ar-SY"/>
        </w:rPr>
        <w:t>.</w:t>
      </w:r>
    </w:p>
    <w:p w:rsidR="00794807" w:rsidRPr="00794807" w:rsidRDefault="00794807" w:rsidP="00794807">
      <w:pPr>
        <w:pStyle w:val="ONUMA"/>
        <w:ind w:left="5530"/>
        <w:rPr>
          <w:i/>
          <w:iCs/>
          <w:lang w:bidi="ar-EG"/>
        </w:rPr>
      </w:pPr>
      <w:r w:rsidRPr="00794807">
        <w:rPr>
          <w:i/>
          <w:iCs/>
          <w:rtl/>
          <w:lang w:bidi="ar-EG"/>
        </w:rPr>
        <w:t>إن لجنة التنمية مدعوة إلى الإحاطة علماً بالمعلومات الواردة في مرفق هذه الوثيقة.</w:t>
      </w:r>
    </w:p>
    <w:p w:rsidR="004253BE" w:rsidRDefault="004253BE" w:rsidP="00794807">
      <w:pPr>
        <w:pStyle w:val="Endofdocument-Annex"/>
        <w:rPr>
          <w:rtl/>
          <w:lang w:bidi="ar-EG"/>
        </w:rPr>
      </w:pPr>
    </w:p>
    <w:p w:rsidR="004253BE" w:rsidRDefault="004253BE" w:rsidP="00794807">
      <w:pPr>
        <w:pStyle w:val="Endofdocument-Annex"/>
        <w:rPr>
          <w:rtl/>
          <w:lang w:bidi="ar-EG"/>
        </w:rPr>
      </w:pPr>
    </w:p>
    <w:p w:rsidR="004253BE" w:rsidRDefault="004253BE" w:rsidP="00794807">
      <w:pPr>
        <w:pStyle w:val="Endofdocument-Annex"/>
        <w:rPr>
          <w:rtl/>
          <w:lang w:bidi="ar-EG"/>
        </w:rPr>
      </w:pPr>
    </w:p>
    <w:p w:rsidR="00794807" w:rsidRDefault="00372C0F" w:rsidP="00794807">
      <w:pPr>
        <w:pStyle w:val="Endofdocument-Annex"/>
        <w:rPr>
          <w:rtl/>
          <w:lang w:bidi="ar-EG"/>
        </w:rPr>
        <w:sectPr w:rsidR="00794807" w:rsidSect="00CC3E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  <w:lang w:bidi="ar-EG"/>
        </w:rPr>
        <w:t>[</w:t>
      </w:r>
      <w:r w:rsidR="00794807" w:rsidRPr="00794807">
        <w:rPr>
          <w:rtl/>
          <w:lang w:bidi="ar-EG"/>
        </w:rPr>
        <w:t>يلي ذلك المرفق</w:t>
      </w:r>
      <w:r>
        <w:rPr>
          <w:rFonts w:hint="cs"/>
          <w:rtl/>
          <w:lang w:bidi="ar-EG"/>
        </w:rPr>
        <w:t>]</w:t>
      </w:r>
    </w:p>
    <w:p w:rsidR="00372C0F" w:rsidRPr="004B68DB" w:rsidRDefault="00571401" w:rsidP="00571401">
      <w:pPr>
        <w:pStyle w:val="Heading1"/>
        <w:jc w:val="center"/>
        <w:rPr>
          <w:sz w:val="24"/>
          <w:szCs w:val="24"/>
          <w:u w:val="single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لمحة عامة عن دليل </w:t>
      </w:r>
      <w:proofErr w:type="spellStart"/>
      <w:r>
        <w:rPr>
          <w:rFonts w:hint="cs"/>
          <w:rtl/>
          <w:lang w:bidi="ar-EG"/>
        </w:rPr>
        <w:t>الويبو</w:t>
      </w:r>
      <w:proofErr w:type="spellEnd"/>
      <w:r>
        <w:rPr>
          <w:rFonts w:hint="cs"/>
          <w:rtl/>
          <w:lang w:bidi="ar-EG"/>
        </w:rPr>
        <w:t xml:space="preserve"> بشأن العقود الرئيسية في مجال تطبيقات الأجهزة المحمولة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رؤية من منظور المطورين</w:t>
      </w:r>
    </w:p>
    <w:p w:rsidR="00571401" w:rsidRDefault="002851FE" w:rsidP="00AE6BA6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أصبح</w:t>
      </w:r>
      <w:r>
        <w:rPr>
          <w:rtl/>
          <w:lang w:bidi="ar-EG"/>
        </w:rPr>
        <w:t xml:space="preserve"> تطوير التطبيقات الإبداعية </w:t>
      </w:r>
      <w:r w:rsidR="00571401">
        <w:rPr>
          <w:rtl/>
          <w:lang w:bidi="ar-EG"/>
        </w:rPr>
        <w:t>ظاهرة عالمية</w:t>
      </w:r>
      <w:r>
        <w:rPr>
          <w:rFonts w:hint="cs"/>
          <w:rtl/>
          <w:lang w:bidi="ar-EG"/>
        </w:rPr>
        <w:t>،</w:t>
      </w:r>
      <w:r w:rsidR="00571401">
        <w:rPr>
          <w:rtl/>
          <w:lang w:bidi="ar-EG"/>
        </w:rPr>
        <w:t xml:space="preserve"> مع</w:t>
      </w:r>
      <w:r>
        <w:rPr>
          <w:rFonts w:hint="cs"/>
          <w:rtl/>
          <w:lang w:bidi="ar-EG"/>
        </w:rPr>
        <w:t xml:space="preserve"> نمو</w:t>
      </w:r>
      <w:r w:rsidR="00571401">
        <w:rPr>
          <w:rtl/>
          <w:lang w:bidi="ar-EG"/>
        </w:rPr>
        <w:t xml:space="preserve"> قيمة اقتصاد تطبيقات الأجهزة المحمولة المتسارع </w:t>
      </w:r>
      <w:r>
        <w:rPr>
          <w:rFonts w:hint="cs"/>
          <w:rtl/>
          <w:lang w:bidi="ar-EG"/>
        </w:rPr>
        <w:t>و</w:t>
      </w:r>
      <w:r w:rsidR="00571401">
        <w:rPr>
          <w:rtl/>
          <w:lang w:bidi="ar-EG"/>
        </w:rPr>
        <w:t xml:space="preserve">المستمر. لذلك، من الضروري أن </w:t>
      </w:r>
      <w:r>
        <w:rPr>
          <w:rFonts w:hint="cs"/>
          <w:rtl/>
          <w:lang w:bidi="ar-EG"/>
        </w:rPr>
        <w:t>تحترم</w:t>
      </w:r>
      <w:r w:rsidR="00571401">
        <w:rPr>
          <w:rtl/>
          <w:lang w:bidi="ar-EG"/>
        </w:rPr>
        <w:t xml:space="preserve"> الشركات الأطر القانونية</w:t>
      </w:r>
      <w:r>
        <w:rPr>
          <w:rFonts w:hint="cs"/>
          <w:rtl/>
          <w:lang w:bidi="ar-EG"/>
        </w:rPr>
        <w:t xml:space="preserve"> </w:t>
      </w:r>
      <w:r w:rsidR="00571401">
        <w:rPr>
          <w:rtl/>
          <w:lang w:bidi="ar-EG"/>
        </w:rPr>
        <w:t xml:space="preserve">التي تختلف </w:t>
      </w:r>
      <w:r>
        <w:rPr>
          <w:rFonts w:hint="cs"/>
          <w:rtl/>
          <w:lang w:bidi="ar-EG"/>
        </w:rPr>
        <w:t>باختلاف الولايات القضائية التي</w:t>
      </w:r>
      <w:r w:rsidR="00571401">
        <w:rPr>
          <w:rtl/>
          <w:lang w:bidi="ar-EG"/>
        </w:rPr>
        <w:t xml:space="preserve"> تعمل فيها، </w:t>
      </w:r>
      <w:r w:rsidR="00AE6BA6">
        <w:rPr>
          <w:rFonts w:hint="cs"/>
          <w:rtl/>
          <w:lang w:bidi="ar-EG"/>
        </w:rPr>
        <w:t>فالمشكلات</w:t>
      </w:r>
      <w:r w:rsidR="00571401">
        <w:rPr>
          <w:rtl/>
          <w:lang w:bidi="ar-EG"/>
        </w:rPr>
        <w:t xml:space="preserve"> التي تنش</w:t>
      </w:r>
      <w:r>
        <w:rPr>
          <w:rtl/>
          <w:lang w:bidi="ar-EG"/>
        </w:rPr>
        <w:t>أ</w:t>
      </w:r>
      <w:r>
        <w:rPr>
          <w:rFonts w:hint="cs"/>
          <w:rtl/>
          <w:lang w:bidi="ar-EG"/>
        </w:rPr>
        <w:t xml:space="preserve"> في حالة عدم</w:t>
      </w:r>
      <w:r w:rsidR="0057140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معالجة</w:t>
      </w:r>
      <w:r w:rsidR="00571401">
        <w:rPr>
          <w:rtl/>
          <w:lang w:bidi="ar-EG"/>
        </w:rPr>
        <w:t xml:space="preserve"> هذه القضايا </w:t>
      </w:r>
      <w:r>
        <w:rPr>
          <w:rFonts w:hint="cs"/>
          <w:rtl/>
          <w:lang w:bidi="ar-EG"/>
        </w:rPr>
        <w:t>على قدم المساواة</w:t>
      </w:r>
      <w:r w:rsidR="00AE6BA6">
        <w:rPr>
          <w:rFonts w:hint="cs"/>
          <w:rtl/>
          <w:lang w:bidi="ar-EG"/>
        </w:rPr>
        <w:t>،</w:t>
      </w:r>
      <w:r w:rsidR="00571401">
        <w:rPr>
          <w:rtl/>
          <w:lang w:bidi="ar-EG"/>
        </w:rPr>
        <w:t xml:space="preserve"> لها تداعيات مالية </w:t>
      </w:r>
      <w:r>
        <w:rPr>
          <w:rFonts w:hint="cs"/>
          <w:rtl/>
          <w:lang w:bidi="ar-EG"/>
        </w:rPr>
        <w:t>كبيرة</w:t>
      </w:r>
      <w:r w:rsidR="00571401">
        <w:rPr>
          <w:rtl/>
          <w:lang w:bidi="ar-EG"/>
        </w:rPr>
        <w:t>.</w:t>
      </w:r>
    </w:p>
    <w:p w:rsidR="00571401" w:rsidRDefault="002851FE" w:rsidP="00AE6BA6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لا يمكن </w:t>
      </w:r>
      <w:r w:rsidR="00571401">
        <w:rPr>
          <w:rtl/>
          <w:lang w:bidi="ar-EG"/>
        </w:rPr>
        <w:t>تسويق تطبيقات الأجهزة المحمولة</w:t>
      </w:r>
      <w:r>
        <w:rPr>
          <w:rFonts w:hint="cs"/>
          <w:rtl/>
          <w:lang w:bidi="ar-EG"/>
        </w:rPr>
        <w:t xml:space="preserve"> على نحو فعال</w:t>
      </w:r>
      <w:r w:rsidR="00571401">
        <w:rPr>
          <w:rtl/>
          <w:lang w:bidi="ar-EG"/>
        </w:rPr>
        <w:t xml:space="preserve"> إلا </w:t>
      </w:r>
      <w:r>
        <w:rPr>
          <w:rFonts w:hint="cs"/>
          <w:rtl/>
          <w:lang w:bidi="ar-EG"/>
        </w:rPr>
        <w:t>بموجب</w:t>
      </w:r>
      <w:r>
        <w:rPr>
          <w:rtl/>
          <w:lang w:bidi="ar-EG"/>
        </w:rPr>
        <w:t xml:space="preserve"> إطار عمل </w:t>
      </w:r>
      <w:r w:rsidR="00AE6BA6">
        <w:rPr>
          <w:rFonts w:hint="cs"/>
          <w:rtl/>
          <w:lang w:bidi="ar-EG"/>
        </w:rPr>
        <w:t>يتعلق</w:t>
      </w:r>
      <w:r>
        <w:rPr>
          <w:rFonts w:hint="cs"/>
          <w:rtl/>
          <w:lang w:bidi="ar-EG"/>
        </w:rPr>
        <w:t xml:space="preserve"> بمختلف </w:t>
      </w:r>
      <w:r>
        <w:rPr>
          <w:rtl/>
          <w:lang w:bidi="ar-EG"/>
        </w:rPr>
        <w:t>حقوق الملكية الفكرية</w:t>
      </w:r>
      <w:r>
        <w:rPr>
          <w:rFonts w:hint="cs"/>
          <w:rtl/>
          <w:lang w:bidi="ar-EG"/>
        </w:rPr>
        <w:t>،</w:t>
      </w:r>
      <w:r w:rsidR="00571401">
        <w:rPr>
          <w:rtl/>
          <w:lang w:bidi="ar-EG"/>
        </w:rPr>
        <w:t xml:space="preserve"> والتي تمس جميع جوانب التطبيق، من </w:t>
      </w:r>
      <w:r w:rsidR="00AE6BA6">
        <w:rPr>
          <w:rFonts w:hint="cs"/>
          <w:rtl/>
          <w:lang w:bidi="ar-EG"/>
        </w:rPr>
        <w:t>البرمجية</w:t>
      </w:r>
      <w:r w:rsidR="00571401">
        <w:rPr>
          <w:rtl/>
          <w:lang w:bidi="ar-EG"/>
        </w:rPr>
        <w:t xml:space="preserve"> إلى المحتوى الذي </w:t>
      </w:r>
      <w:r w:rsidR="00D309C7">
        <w:rPr>
          <w:rFonts w:hint="cs"/>
          <w:rtl/>
          <w:lang w:bidi="ar-EG"/>
        </w:rPr>
        <w:t>ينطوي</w:t>
      </w:r>
      <w:r w:rsidR="00571401">
        <w:rPr>
          <w:rtl/>
          <w:lang w:bidi="ar-EG"/>
        </w:rPr>
        <w:t xml:space="preserve"> عليه. </w:t>
      </w:r>
      <w:r w:rsidR="00D309C7">
        <w:rPr>
          <w:rFonts w:hint="cs"/>
          <w:rtl/>
          <w:lang w:bidi="ar-EG"/>
        </w:rPr>
        <w:t>و</w:t>
      </w:r>
      <w:r w:rsidR="00571401">
        <w:rPr>
          <w:rtl/>
          <w:lang w:bidi="ar-EG"/>
        </w:rPr>
        <w:t xml:space="preserve">يوفر هذا </w:t>
      </w:r>
      <w:r w:rsidR="00AE6BA6">
        <w:rPr>
          <w:rFonts w:hint="cs"/>
          <w:rtl/>
          <w:lang w:bidi="ar-EG"/>
        </w:rPr>
        <w:t>الدليل</w:t>
      </w:r>
      <w:r w:rsidR="00571401">
        <w:rPr>
          <w:rtl/>
          <w:lang w:bidi="ar-EG"/>
        </w:rPr>
        <w:t xml:space="preserve"> السياق اللازم للمطورين لفهم أطر الملكية الفكرية المعمول بها</w:t>
      </w:r>
      <w:r w:rsidR="00571401">
        <w:rPr>
          <w:rFonts w:hint="cs"/>
          <w:rtl/>
          <w:lang w:bidi="ar-EG"/>
        </w:rPr>
        <w:t xml:space="preserve">، </w:t>
      </w:r>
      <w:r w:rsidR="00AE6BA6">
        <w:rPr>
          <w:rtl/>
          <w:lang w:bidi="ar-EG"/>
        </w:rPr>
        <w:t>وفهم مخاطر ا</w:t>
      </w:r>
      <w:r w:rsidR="00571401">
        <w:rPr>
          <w:rtl/>
          <w:lang w:bidi="ar-EG"/>
        </w:rPr>
        <w:t>نتهاك</w:t>
      </w:r>
      <w:r w:rsidR="00AE6BA6">
        <w:rPr>
          <w:rFonts w:hint="cs"/>
          <w:rtl/>
          <w:lang w:bidi="ar-EG"/>
        </w:rPr>
        <w:t xml:space="preserve"> حقوق الملكية الفكرية</w:t>
      </w:r>
      <w:r w:rsidR="00571401">
        <w:rPr>
          <w:rtl/>
          <w:lang w:bidi="ar-EG"/>
        </w:rPr>
        <w:t xml:space="preserve"> المحتمل، ونطاق الحماية المتاحة</w:t>
      </w:r>
      <w:r w:rsidR="00D309C7">
        <w:rPr>
          <w:rFonts w:hint="cs"/>
          <w:rtl/>
          <w:lang w:bidi="ar-SY"/>
        </w:rPr>
        <w:t>،</w:t>
      </w:r>
      <w:r w:rsidR="00571401">
        <w:rPr>
          <w:rtl/>
          <w:lang w:bidi="ar-EG"/>
        </w:rPr>
        <w:t xml:space="preserve"> وإمكانية تطبيق التراخيص المناسبة والهياكل التعاقدية.</w:t>
      </w:r>
    </w:p>
    <w:p w:rsidR="00571401" w:rsidRDefault="00D309C7" w:rsidP="00AE6BA6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571401">
        <w:rPr>
          <w:rtl/>
          <w:lang w:bidi="ar-EG"/>
        </w:rPr>
        <w:t xml:space="preserve">يهدف هذا </w:t>
      </w:r>
      <w:r w:rsidR="00AE6BA6">
        <w:rPr>
          <w:rFonts w:hint="cs"/>
          <w:rtl/>
          <w:lang w:bidi="ar-EG"/>
        </w:rPr>
        <w:t>الدليل</w:t>
      </w:r>
      <w:r w:rsidR="00571401">
        <w:rPr>
          <w:rtl/>
          <w:lang w:bidi="ar-EG"/>
        </w:rPr>
        <w:t xml:space="preserve"> إلى استكمال مواد </w:t>
      </w:r>
      <w:proofErr w:type="spellStart"/>
      <w:r w:rsidR="00571401">
        <w:rPr>
          <w:rtl/>
          <w:lang w:bidi="ar-EG"/>
        </w:rPr>
        <w:t>الويبو</w:t>
      </w:r>
      <w:proofErr w:type="spellEnd"/>
      <w:r w:rsidR="00571401">
        <w:rPr>
          <w:rtl/>
          <w:lang w:bidi="ar-EG"/>
        </w:rPr>
        <w:t xml:space="preserve"> الأخرى المتعلقة بتطبيقات </w:t>
      </w:r>
      <w:r>
        <w:rPr>
          <w:rFonts w:hint="cs"/>
          <w:rtl/>
          <w:lang w:bidi="ar-EG"/>
        </w:rPr>
        <w:t>الأجهزة</w:t>
      </w:r>
      <w:r w:rsidR="00571401">
        <w:rPr>
          <w:rtl/>
          <w:lang w:bidi="ar-EG"/>
        </w:rPr>
        <w:t xml:space="preserve"> المحمول</w:t>
      </w:r>
      <w:r w:rsidR="00AE6BA6">
        <w:rPr>
          <w:rFonts w:hint="cs"/>
          <w:rtl/>
          <w:lang w:bidi="ar-EG"/>
        </w:rPr>
        <w:t>ة</w:t>
      </w:r>
      <w:r w:rsidR="00571401">
        <w:rPr>
          <w:rtl/>
          <w:lang w:bidi="ar-EG"/>
        </w:rPr>
        <w:t xml:space="preserve"> وحقوق الملكية الفكرية. </w:t>
      </w:r>
      <w:r>
        <w:rPr>
          <w:rFonts w:hint="cs"/>
          <w:rtl/>
          <w:lang w:bidi="ar-EG"/>
        </w:rPr>
        <w:t>و</w:t>
      </w:r>
      <w:r w:rsidR="00571401">
        <w:rPr>
          <w:rtl/>
          <w:lang w:bidi="ar-EG"/>
        </w:rPr>
        <w:t>يوفر أداة عملية لمساعدة شريحة معينة من قطاع سوق تطبيقات الأجهزة ا</w:t>
      </w:r>
      <w:r>
        <w:rPr>
          <w:rtl/>
          <w:lang w:bidi="ar-EG"/>
        </w:rPr>
        <w:t>لمحمولة</w:t>
      </w:r>
      <w:r>
        <w:rPr>
          <w:rFonts w:hint="cs"/>
          <w:rtl/>
          <w:lang w:bidi="ar-EG"/>
        </w:rPr>
        <w:t>، أي</w:t>
      </w:r>
      <w:r w:rsidR="00571401">
        <w:rPr>
          <w:rtl/>
          <w:lang w:bidi="ar-EG"/>
        </w:rPr>
        <w:t xml:space="preserve"> مؤسسات مطوري التطبيقات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من خلال </w:t>
      </w:r>
      <w:r w:rsidR="00AE6BA6">
        <w:rPr>
          <w:rFonts w:hint="cs"/>
          <w:rtl/>
          <w:lang w:bidi="ar-EG"/>
        </w:rPr>
        <w:t>تنبيهها إلى</w:t>
      </w:r>
      <w:r w:rsidR="00571401">
        <w:rPr>
          <w:rtl/>
          <w:lang w:bidi="ar-EG"/>
        </w:rPr>
        <w:t xml:space="preserve"> </w:t>
      </w:r>
      <w:r w:rsidR="00AE6BA6">
        <w:rPr>
          <w:rFonts w:hint="cs"/>
          <w:rtl/>
          <w:lang w:bidi="ar-EG"/>
        </w:rPr>
        <w:t>القضايا</w:t>
      </w:r>
      <w:r w:rsidR="00571401">
        <w:rPr>
          <w:rtl/>
          <w:lang w:bidi="ar-EG"/>
        </w:rPr>
        <w:t xml:space="preserve"> التي يجب معالجتها في </w:t>
      </w:r>
      <w:r>
        <w:rPr>
          <w:rFonts w:hint="cs"/>
          <w:rtl/>
          <w:lang w:bidi="ar-EG"/>
        </w:rPr>
        <w:t>مختلف مراحل</w:t>
      </w:r>
      <w:r w:rsidR="00571401">
        <w:rPr>
          <w:rtl/>
          <w:lang w:bidi="ar-EG"/>
        </w:rPr>
        <w:t xml:space="preserve"> دورة حياة تطبيقات الأجهزة المحمولة. </w:t>
      </w:r>
      <w:r>
        <w:rPr>
          <w:rFonts w:hint="cs"/>
          <w:rtl/>
          <w:lang w:bidi="ar-EG"/>
        </w:rPr>
        <w:t>و</w:t>
      </w:r>
      <w:r w:rsidR="00571401">
        <w:rPr>
          <w:rtl/>
          <w:lang w:bidi="ar-EG"/>
        </w:rPr>
        <w:t>يسلط</w:t>
      </w:r>
      <w:r w:rsidR="00AE6BA6">
        <w:rPr>
          <w:rFonts w:hint="cs"/>
          <w:rtl/>
          <w:lang w:bidi="ar-EG"/>
        </w:rPr>
        <w:t xml:space="preserve"> الدليل</w:t>
      </w:r>
      <w:r w:rsidR="00571401">
        <w:rPr>
          <w:rtl/>
          <w:lang w:bidi="ar-EG"/>
        </w:rPr>
        <w:t xml:space="preserve"> الضوء على مجالات </w:t>
      </w:r>
      <w:r w:rsidR="00AE6BA6">
        <w:rPr>
          <w:rFonts w:hint="cs"/>
          <w:rtl/>
          <w:lang w:bidi="ar-EG"/>
        </w:rPr>
        <w:t>المشكلات</w:t>
      </w:r>
      <w:r w:rsidR="00571401">
        <w:rPr>
          <w:rtl/>
          <w:lang w:bidi="ar-EG"/>
        </w:rPr>
        <w:t xml:space="preserve"> ال</w:t>
      </w:r>
      <w:r w:rsidR="00AE6BA6">
        <w:rPr>
          <w:rtl/>
          <w:lang w:bidi="ar-EG"/>
        </w:rPr>
        <w:t xml:space="preserve">محتملة التي يمكن حلها من خلال </w:t>
      </w:r>
      <w:r w:rsidR="00AE6BA6">
        <w:rPr>
          <w:rFonts w:hint="cs"/>
          <w:rtl/>
          <w:lang w:bidi="ar-EG"/>
        </w:rPr>
        <w:t>ال</w:t>
      </w:r>
      <w:r w:rsidR="00571401">
        <w:rPr>
          <w:rtl/>
          <w:lang w:bidi="ar-EG"/>
        </w:rPr>
        <w:t xml:space="preserve">عقود </w:t>
      </w:r>
      <w:r w:rsidR="00AE6BA6">
        <w:rPr>
          <w:rFonts w:hint="cs"/>
          <w:rtl/>
          <w:lang w:bidi="ar-EG"/>
        </w:rPr>
        <w:t>الفعالة</w:t>
      </w:r>
      <w:r w:rsidR="00AE6BA6">
        <w:rPr>
          <w:rtl/>
          <w:lang w:bidi="ar-EG"/>
        </w:rPr>
        <w:t xml:space="preserve"> و</w:t>
      </w:r>
      <w:r w:rsidR="00AE6BA6">
        <w:rPr>
          <w:rFonts w:hint="cs"/>
          <w:rtl/>
          <w:lang w:bidi="ar-EG"/>
        </w:rPr>
        <w:t>غيرها من اله</w:t>
      </w:r>
      <w:r w:rsidR="00AE6BA6">
        <w:rPr>
          <w:rtl/>
          <w:lang w:bidi="ar-EG"/>
        </w:rPr>
        <w:t xml:space="preserve">ياكل </w:t>
      </w:r>
      <w:r w:rsidR="00AE6BA6">
        <w:rPr>
          <w:rFonts w:hint="cs"/>
          <w:rtl/>
          <w:lang w:bidi="ar-EG"/>
        </w:rPr>
        <w:t>ال</w:t>
      </w:r>
      <w:r w:rsidR="00571401">
        <w:rPr>
          <w:rtl/>
          <w:lang w:bidi="ar-EG"/>
        </w:rPr>
        <w:t>قانونية.</w:t>
      </w:r>
    </w:p>
    <w:p w:rsidR="00571401" w:rsidRDefault="00D309C7" w:rsidP="00AE6BA6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 xml:space="preserve">وقد </w:t>
      </w:r>
      <w:r w:rsidR="00571401">
        <w:rPr>
          <w:rtl/>
          <w:lang w:bidi="ar-EG"/>
        </w:rPr>
        <w:t xml:space="preserve">اعتمد </w:t>
      </w:r>
      <w:r w:rsidR="00AE6BA6">
        <w:rPr>
          <w:rFonts w:hint="cs"/>
          <w:rtl/>
          <w:lang w:bidi="ar-EG"/>
        </w:rPr>
        <w:t>الدليل</w:t>
      </w:r>
      <w:r w:rsidR="0057140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نهجاً عملياً</w:t>
      </w:r>
      <w:r w:rsidR="00571401">
        <w:rPr>
          <w:rtl/>
          <w:lang w:bidi="ar-EG"/>
        </w:rPr>
        <w:t xml:space="preserve"> ينعكس في هيكله على النحو التالي:</w:t>
      </w:r>
    </w:p>
    <w:p w:rsidR="00571401" w:rsidRDefault="00AE6BA6" w:rsidP="00AE6BA6">
      <w:pPr>
        <w:pStyle w:val="BodyText"/>
        <w:ind w:firstLine="562"/>
        <w:rPr>
          <w:rtl/>
          <w:lang w:bidi="ar-EG"/>
        </w:rPr>
      </w:pPr>
      <w:r>
        <w:rPr>
          <w:rFonts w:hint="cs"/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 w:rsidR="001C409A">
        <w:rPr>
          <w:rFonts w:hint="cs"/>
          <w:rtl/>
          <w:lang w:bidi="ar-EG"/>
        </w:rPr>
        <w:t>إرساء أسس</w:t>
      </w:r>
      <w:r w:rsidR="00571401">
        <w:rPr>
          <w:rtl/>
          <w:lang w:bidi="ar-EG"/>
        </w:rPr>
        <w:t xml:space="preserve"> النجاح </w:t>
      </w:r>
      <w:r w:rsidR="001C409A">
        <w:rPr>
          <w:rFonts w:hint="cs"/>
          <w:rtl/>
          <w:lang w:bidi="ar-EG"/>
        </w:rPr>
        <w:t>في مجال</w:t>
      </w:r>
      <w:r w:rsidR="00571401">
        <w:rPr>
          <w:rtl/>
          <w:lang w:bidi="ar-EG"/>
        </w:rPr>
        <w:t xml:space="preserve"> تطبيقات الأجهزة المحمولة من خلال </w:t>
      </w:r>
      <w:r w:rsidR="001C409A">
        <w:rPr>
          <w:rFonts w:hint="cs"/>
          <w:rtl/>
          <w:lang w:bidi="ar-EG"/>
        </w:rPr>
        <w:t xml:space="preserve">اتخاذ </w:t>
      </w:r>
      <w:r w:rsidR="00571401">
        <w:rPr>
          <w:rtl/>
          <w:lang w:bidi="ar-EG"/>
        </w:rPr>
        <w:t>الخطوات الأولية الحاسمة التالية:</w:t>
      </w:r>
    </w:p>
    <w:p w:rsidR="00571401" w:rsidRDefault="00571401" w:rsidP="00AE6BA6">
      <w:pPr>
        <w:pStyle w:val="BodyText"/>
        <w:numPr>
          <w:ilvl w:val="0"/>
          <w:numId w:val="12"/>
        </w:numPr>
        <w:spacing w:after="0"/>
        <w:ind w:left="922"/>
        <w:rPr>
          <w:rtl/>
          <w:lang w:bidi="ar-EG"/>
        </w:rPr>
      </w:pPr>
      <w:r>
        <w:rPr>
          <w:rtl/>
          <w:lang w:bidi="ar-EG"/>
        </w:rPr>
        <w:t xml:space="preserve">فهم </w:t>
      </w:r>
      <w:r>
        <w:rPr>
          <w:rFonts w:hint="cs"/>
          <w:rtl/>
          <w:lang w:bidi="ar-EG"/>
        </w:rPr>
        <w:t>الملكية الفكرية</w:t>
      </w:r>
      <w:r w:rsidR="001C409A">
        <w:rPr>
          <w:rFonts w:hint="cs"/>
          <w:rtl/>
          <w:lang w:bidi="ar-EG"/>
        </w:rPr>
        <w:t>، لاسيما فيما يتعلق ب</w:t>
      </w:r>
      <w:r>
        <w:rPr>
          <w:rtl/>
          <w:lang w:bidi="ar-EG"/>
        </w:rPr>
        <w:t>تطبيقها في سياق تطبيقات الأجهزة المحمولة؛</w:t>
      </w:r>
    </w:p>
    <w:p w:rsidR="00571401" w:rsidRDefault="00571401" w:rsidP="00AE6BA6">
      <w:pPr>
        <w:pStyle w:val="BodyText"/>
        <w:numPr>
          <w:ilvl w:val="0"/>
          <w:numId w:val="12"/>
        </w:numPr>
        <w:spacing w:after="0"/>
        <w:ind w:left="922"/>
        <w:rPr>
          <w:rtl/>
          <w:lang w:bidi="ar-EG"/>
        </w:rPr>
      </w:pPr>
      <w:r>
        <w:rPr>
          <w:rtl/>
          <w:lang w:bidi="ar-EG"/>
        </w:rPr>
        <w:t xml:space="preserve">فهم دورة حياة التطبيق عالية المستوى للمساعدة في تحديد </w:t>
      </w:r>
      <w:r w:rsidR="00AE6BA6">
        <w:rPr>
          <w:rFonts w:hint="cs"/>
          <w:rtl/>
          <w:lang w:bidi="ar-EG"/>
        </w:rPr>
        <w:t>القضايا</w:t>
      </w:r>
      <w:r>
        <w:rPr>
          <w:rtl/>
          <w:lang w:bidi="ar-EG"/>
        </w:rPr>
        <w:t xml:space="preserve"> ومعالجتها مع تقدم التطبيق خلال المراحل الرئيسية؛</w:t>
      </w:r>
    </w:p>
    <w:p w:rsidR="00571401" w:rsidRDefault="00571401" w:rsidP="00571401">
      <w:pPr>
        <w:pStyle w:val="BodyText"/>
        <w:numPr>
          <w:ilvl w:val="0"/>
          <w:numId w:val="12"/>
        </w:numPr>
        <w:rPr>
          <w:rtl/>
          <w:lang w:bidi="ar-EG"/>
        </w:rPr>
      </w:pPr>
      <w:r>
        <w:rPr>
          <w:rtl/>
          <w:lang w:bidi="ar-EG"/>
        </w:rPr>
        <w:t>فهم تكوين التطبيق من منظور العقود والملكية الفكرية.</w:t>
      </w:r>
    </w:p>
    <w:p w:rsidR="00571401" w:rsidRDefault="00AE6BA6" w:rsidP="00571401">
      <w:pPr>
        <w:pStyle w:val="BodyText"/>
        <w:ind w:firstLine="567"/>
        <w:rPr>
          <w:rtl/>
          <w:lang w:bidi="ar-EG"/>
        </w:rPr>
      </w:pPr>
      <w:r>
        <w:rPr>
          <w:rtl/>
          <w:lang w:bidi="ar-EG"/>
        </w:rPr>
        <w:t>(ب)</w:t>
      </w:r>
      <w:r>
        <w:rPr>
          <w:rtl/>
          <w:lang w:bidi="ar-EG"/>
        </w:rPr>
        <w:tab/>
      </w:r>
      <w:r w:rsidR="00571401">
        <w:rPr>
          <w:rtl/>
          <w:lang w:bidi="ar-EG"/>
        </w:rPr>
        <w:t>الأدوات:</w:t>
      </w:r>
    </w:p>
    <w:p w:rsidR="00571401" w:rsidRDefault="001C409A" w:rsidP="00AE6BA6">
      <w:pPr>
        <w:pStyle w:val="BodyText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تتمثل</w:t>
      </w:r>
      <w:r w:rsidR="00AE6BA6">
        <w:rPr>
          <w:rFonts w:hint="cs"/>
          <w:rtl/>
          <w:lang w:bidi="ar-EG"/>
        </w:rPr>
        <w:t xml:space="preserve"> الأدوات</w:t>
      </w:r>
      <w:r>
        <w:rPr>
          <w:rFonts w:hint="cs"/>
          <w:rtl/>
          <w:lang w:bidi="ar-EG"/>
        </w:rPr>
        <w:t xml:space="preserve"> في</w:t>
      </w:r>
      <w:r>
        <w:rPr>
          <w:rtl/>
          <w:lang w:bidi="ar-EG"/>
        </w:rPr>
        <w:t xml:space="preserve"> العقود و/</w:t>
      </w:r>
      <w:r w:rsidR="00571401">
        <w:rPr>
          <w:rtl/>
          <w:lang w:bidi="ar-EG"/>
        </w:rPr>
        <w:t xml:space="preserve">أو </w:t>
      </w:r>
      <w:r>
        <w:rPr>
          <w:rFonts w:hint="cs"/>
          <w:rtl/>
          <w:lang w:bidi="ar-EG"/>
        </w:rPr>
        <w:t>المسائل</w:t>
      </w:r>
      <w:r w:rsidR="00571401">
        <w:rPr>
          <w:rtl/>
          <w:lang w:bidi="ar-EG"/>
        </w:rPr>
        <w:t xml:space="preserve"> القانونية التي تنشأ </w:t>
      </w:r>
      <w:r>
        <w:rPr>
          <w:rFonts w:hint="cs"/>
          <w:rtl/>
          <w:lang w:bidi="ar-EG"/>
        </w:rPr>
        <w:t>في</w:t>
      </w:r>
      <w:r w:rsidR="00571401">
        <w:rPr>
          <w:rtl/>
          <w:lang w:bidi="ar-EG"/>
        </w:rPr>
        <w:t xml:space="preserve"> كل مرحلة من مراحل دورة حياة التطبيق. </w:t>
      </w:r>
      <w:r>
        <w:rPr>
          <w:rFonts w:hint="cs"/>
          <w:rtl/>
          <w:lang w:bidi="ar-EG"/>
        </w:rPr>
        <w:t>ويوجه</w:t>
      </w:r>
      <w:r w:rsidR="00571401">
        <w:rPr>
          <w:rtl/>
          <w:lang w:bidi="ar-EG"/>
        </w:rPr>
        <w:t xml:space="preserve"> تنبيه المطورين إلى حقيقة أن بعض </w:t>
      </w:r>
      <w:r w:rsidR="00AE6BA6">
        <w:rPr>
          <w:rFonts w:hint="cs"/>
          <w:rtl/>
          <w:lang w:bidi="ar-EG"/>
        </w:rPr>
        <w:t>القضايا</w:t>
      </w:r>
      <w:r w:rsidR="00571401">
        <w:rPr>
          <w:rtl/>
          <w:lang w:bidi="ar-EG"/>
        </w:rPr>
        <w:t xml:space="preserve">، مثل </w:t>
      </w:r>
      <w:r w:rsidR="00571401">
        <w:rPr>
          <w:rFonts w:hint="cs"/>
          <w:rtl/>
          <w:lang w:bidi="ar-EG"/>
        </w:rPr>
        <w:t>الملكية الفكرية</w:t>
      </w:r>
      <w:r w:rsidR="00571401">
        <w:rPr>
          <w:rtl/>
          <w:lang w:bidi="ar-EG"/>
        </w:rPr>
        <w:t xml:space="preserve"> وحماية البيانات </w:t>
      </w:r>
      <w:r>
        <w:rPr>
          <w:rFonts w:hint="cs"/>
          <w:rtl/>
          <w:lang w:bidi="ar-EG"/>
        </w:rPr>
        <w:t>قد</w:t>
      </w:r>
      <w:r w:rsidR="00571401">
        <w:rPr>
          <w:rtl/>
          <w:lang w:bidi="ar-EG"/>
        </w:rPr>
        <w:t xml:space="preserve"> تظهر </w:t>
      </w:r>
      <w:r>
        <w:rPr>
          <w:rFonts w:hint="cs"/>
          <w:rtl/>
          <w:lang w:bidi="ar-EG"/>
        </w:rPr>
        <w:t>طوال</w:t>
      </w:r>
      <w:r>
        <w:rPr>
          <w:rtl/>
          <w:lang w:bidi="ar-EG"/>
        </w:rPr>
        <w:t xml:space="preserve"> دورة </w:t>
      </w:r>
      <w:r w:rsidR="00571401">
        <w:rPr>
          <w:rtl/>
          <w:lang w:bidi="ar-EG"/>
        </w:rPr>
        <w:t xml:space="preserve">حياة </w:t>
      </w:r>
      <w:r>
        <w:rPr>
          <w:rFonts w:hint="cs"/>
          <w:rtl/>
          <w:lang w:bidi="ar-EG"/>
        </w:rPr>
        <w:t>ال</w:t>
      </w:r>
      <w:r w:rsidR="00571401">
        <w:rPr>
          <w:rtl/>
          <w:lang w:bidi="ar-EG"/>
        </w:rPr>
        <w:t>تطبيق.</w:t>
      </w:r>
    </w:p>
    <w:p w:rsidR="00571401" w:rsidRDefault="00571401" w:rsidP="00571401">
      <w:pPr>
        <w:pStyle w:val="BodyText"/>
        <w:ind w:firstLine="567"/>
        <w:rPr>
          <w:rtl/>
          <w:lang w:bidi="ar-EG"/>
        </w:rPr>
      </w:pPr>
      <w:r>
        <w:rPr>
          <w:rtl/>
          <w:lang w:bidi="ar-EG"/>
        </w:rPr>
        <w:t>(ج) النجاح</w:t>
      </w:r>
    </w:p>
    <w:p w:rsidR="00571401" w:rsidRDefault="00571401" w:rsidP="00AE6BA6">
      <w:pPr>
        <w:pStyle w:val="BodyText"/>
        <w:ind w:left="567"/>
        <w:rPr>
          <w:rtl/>
          <w:lang w:bidi="ar-EG"/>
        </w:rPr>
      </w:pPr>
      <w:r>
        <w:rPr>
          <w:rtl/>
          <w:lang w:bidi="ar-EG"/>
        </w:rPr>
        <w:t xml:space="preserve">وصفة النجاح المقترحة في هذا </w:t>
      </w:r>
      <w:r w:rsidR="00AE6BA6">
        <w:rPr>
          <w:rFonts w:hint="cs"/>
          <w:rtl/>
          <w:lang w:bidi="ar-EG"/>
        </w:rPr>
        <w:t>الدليل</w:t>
      </w:r>
      <w:r>
        <w:rPr>
          <w:rtl/>
          <w:lang w:bidi="ar-EG"/>
        </w:rPr>
        <w:t xml:space="preserve"> واضحة ومباشرة. </w:t>
      </w:r>
      <w:r w:rsidR="00E0358F">
        <w:rPr>
          <w:rFonts w:hint="cs"/>
          <w:rtl/>
          <w:lang w:bidi="ar-EG"/>
        </w:rPr>
        <w:t>ف</w:t>
      </w:r>
      <w:r>
        <w:rPr>
          <w:rtl/>
          <w:lang w:bidi="ar-EG"/>
        </w:rPr>
        <w:t xml:space="preserve">إذا كان المطورون مجهزين بالمعرفة الأساسية اللازمة </w:t>
      </w:r>
      <w:r w:rsidR="001C409A">
        <w:rPr>
          <w:rFonts w:hint="cs"/>
          <w:rtl/>
          <w:lang w:bidi="ar-EG"/>
        </w:rPr>
        <w:t>واستعانوا</w:t>
      </w:r>
      <w:r>
        <w:rPr>
          <w:rtl/>
          <w:lang w:bidi="ar-EG"/>
        </w:rPr>
        <w:t xml:space="preserve"> </w:t>
      </w:r>
      <w:r w:rsidR="001C409A">
        <w:rPr>
          <w:rFonts w:hint="cs"/>
          <w:rtl/>
          <w:lang w:bidi="ar-EG"/>
        </w:rPr>
        <w:t>ب</w:t>
      </w:r>
      <w:r>
        <w:rPr>
          <w:rtl/>
          <w:lang w:bidi="ar-EG"/>
        </w:rPr>
        <w:t>الأدوات المطلوبة</w:t>
      </w:r>
      <w:r w:rsidR="001C409A">
        <w:rPr>
          <w:rtl/>
          <w:lang w:bidi="ar-EG"/>
        </w:rPr>
        <w:t>، فسيكون تطبيقهم ناجح</w:t>
      </w:r>
      <w:r w:rsidR="001C409A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. </w:t>
      </w:r>
      <w:r w:rsidR="001C409A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إذا ساءت الأمور (وهو أمر لا مفر منه في بعض الأحيان على الرغم من جميع الأدوات)، يوصي </w:t>
      </w:r>
      <w:r w:rsidR="00AE6BA6">
        <w:rPr>
          <w:rFonts w:hint="cs"/>
          <w:rtl/>
          <w:lang w:bidi="ar-EG"/>
        </w:rPr>
        <w:t>الدليل</w:t>
      </w:r>
      <w:r>
        <w:rPr>
          <w:rtl/>
          <w:lang w:bidi="ar-EG"/>
        </w:rPr>
        <w:t xml:space="preserve"> باستخدام أدوات </w:t>
      </w:r>
      <w:proofErr w:type="spellStart"/>
      <w:r>
        <w:rPr>
          <w:rtl/>
          <w:lang w:bidi="ar-EG"/>
        </w:rPr>
        <w:t>الويبو</w:t>
      </w:r>
      <w:proofErr w:type="spellEnd"/>
      <w:r>
        <w:rPr>
          <w:rtl/>
          <w:lang w:bidi="ar-EG"/>
        </w:rPr>
        <w:t xml:space="preserve"> الأخرى، مثل </w:t>
      </w:r>
      <w:r w:rsidR="00AE6BA6">
        <w:rPr>
          <w:rFonts w:hint="cs"/>
          <w:rtl/>
          <w:lang w:bidi="ar-EG"/>
        </w:rPr>
        <w:t>السبل</w:t>
      </w:r>
      <w:r>
        <w:rPr>
          <w:rtl/>
          <w:lang w:bidi="ar-EG"/>
        </w:rPr>
        <w:t xml:space="preserve"> البديلة لتسوية المنازعات.</w:t>
      </w:r>
    </w:p>
    <w:p w:rsidR="00571401" w:rsidRDefault="00E0358F" w:rsidP="00C039DF">
      <w:pPr>
        <w:pStyle w:val="BodyText"/>
        <w:rPr>
          <w:rtl/>
          <w:lang w:bidi="ar"/>
        </w:rPr>
      </w:pPr>
      <w:r>
        <w:rPr>
          <w:rFonts w:hint="cs"/>
          <w:rtl/>
          <w:lang w:bidi="ar-EG"/>
        </w:rPr>
        <w:t>وبالنظر إلى</w:t>
      </w:r>
      <w:r w:rsidR="00571401">
        <w:rPr>
          <w:rFonts w:hint="cs"/>
          <w:rtl/>
        </w:rPr>
        <w:t xml:space="preserve"> الهيكل أعلاه</w:t>
      </w:r>
      <w:r w:rsidR="00571401" w:rsidRPr="00571401">
        <w:rPr>
          <w:rFonts w:hint="cs"/>
          <w:rtl/>
        </w:rPr>
        <w:t xml:space="preserve">، </w:t>
      </w:r>
      <w:r>
        <w:rPr>
          <w:rFonts w:hint="cs"/>
          <w:rtl/>
        </w:rPr>
        <w:t>يعرض</w:t>
      </w:r>
      <w:r w:rsidR="00571401" w:rsidRPr="00571401">
        <w:rPr>
          <w:rFonts w:hint="cs"/>
          <w:rtl/>
        </w:rPr>
        <w:t xml:space="preserve"> الفصل 1 </w:t>
      </w:r>
      <w:r>
        <w:rPr>
          <w:rFonts w:hint="cs"/>
          <w:rtl/>
        </w:rPr>
        <w:t xml:space="preserve">لمحة عامة عن </w:t>
      </w:r>
      <w:r w:rsidR="00571401">
        <w:rPr>
          <w:rFonts w:hint="cs"/>
          <w:rtl/>
          <w:lang w:bidi="ar-EG"/>
        </w:rPr>
        <w:t>الملكية الفكرية</w:t>
      </w:r>
      <w:r w:rsidR="00AE6BA6">
        <w:rPr>
          <w:rFonts w:hint="cs"/>
          <w:rtl/>
        </w:rPr>
        <w:t xml:space="preserve">، </w:t>
      </w:r>
      <w:r w:rsidR="00571401" w:rsidRPr="00571401">
        <w:rPr>
          <w:rFonts w:hint="cs"/>
          <w:rtl/>
        </w:rPr>
        <w:t xml:space="preserve">التي </w:t>
      </w:r>
      <w:r>
        <w:rPr>
          <w:rFonts w:hint="cs"/>
          <w:rtl/>
        </w:rPr>
        <w:t>تؤدي دوراً</w:t>
      </w:r>
      <w:r w:rsidR="00571401" w:rsidRPr="00571401">
        <w:rPr>
          <w:rFonts w:hint="cs"/>
          <w:rtl/>
        </w:rPr>
        <w:t xml:space="preserve"> في تطوير </w:t>
      </w:r>
      <w:r>
        <w:rPr>
          <w:rFonts w:hint="cs"/>
          <w:rtl/>
        </w:rPr>
        <w:t>تطبيقات الأجهزة المحمولة</w:t>
      </w:r>
      <w:r w:rsidR="00AE6BA6" w:rsidRPr="00AE6BA6">
        <w:rPr>
          <w:rFonts w:hint="cs"/>
          <w:rtl/>
        </w:rPr>
        <w:t xml:space="preserve"> </w:t>
      </w:r>
      <w:r w:rsidR="00AE6BA6" w:rsidRPr="00571401">
        <w:rPr>
          <w:rFonts w:hint="cs"/>
          <w:rtl/>
        </w:rPr>
        <w:t>وا</w:t>
      </w:r>
      <w:r w:rsidR="00AE6BA6">
        <w:rPr>
          <w:rFonts w:hint="cs"/>
          <w:rtl/>
        </w:rPr>
        <w:t>ستخدامها</w:t>
      </w:r>
      <w:r>
        <w:rPr>
          <w:rFonts w:hint="cs"/>
          <w:rtl/>
        </w:rPr>
        <w:t xml:space="preserve">، ومختلف المخاطر التي ينبغي </w:t>
      </w:r>
      <w:r w:rsidR="00571401" w:rsidRPr="00571401">
        <w:rPr>
          <w:rFonts w:hint="cs"/>
          <w:rtl/>
        </w:rPr>
        <w:t xml:space="preserve">أن </w:t>
      </w:r>
      <w:r>
        <w:rPr>
          <w:rFonts w:hint="cs"/>
          <w:rtl/>
        </w:rPr>
        <w:t>يدركها</w:t>
      </w:r>
      <w:r w:rsidR="00571401" w:rsidRPr="0057140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المطورون </w:t>
      </w:r>
      <w:r w:rsidR="00571401" w:rsidRPr="00571401">
        <w:rPr>
          <w:rFonts w:hint="cs"/>
          <w:rtl/>
        </w:rPr>
        <w:t xml:space="preserve">طوال دورة حياة </w:t>
      </w:r>
      <w:r>
        <w:rPr>
          <w:rFonts w:hint="cs"/>
          <w:rtl/>
        </w:rPr>
        <w:t>ال</w:t>
      </w:r>
      <w:r w:rsidR="00571401" w:rsidRPr="00571401">
        <w:rPr>
          <w:rFonts w:hint="cs"/>
          <w:rtl/>
        </w:rPr>
        <w:t xml:space="preserve">تطبيق. </w:t>
      </w:r>
      <w:r>
        <w:rPr>
          <w:rFonts w:hint="cs"/>
          <w:rtl/>
        </w:rPr>
        <w:t>كما يشير الفصل إلى</w:t>
      </w:r>
      <w:r w:rsidR="00571401" w:rsidRPr="00571401">
        <w:rPr>
          <w:rFonts w:hint="cs"/>
          <w:rtl/>
        </w:rPr>
        <w:t xml:space="preserve"> أن المطورين </w:t>
      </w:r>
      <w:r w:rsidR="00AE6BA6">
        <w:rPr>
          <w:rFonts w:hint="cs"/>
          <w:rtl/>
        </w:rPr>
        <w:t>لا بد أن يفكروا</w:t>
      </w:r>
      <w:r w:rsidR="00571401" w:rsidRPr="00571401">
        <w:rPr>
          <w:rFonts w:hint="cs"/>
          <w:rtl/>
        </w:rPr>
        <w:t xml:space="preserve"> في </w:t>
      </w:r>
      <w:r w:rsidR="00571401">
        <w:rPr>
          <w:rFonts w:hint="cs"/>
          <w:rtl/>
          <w:lang w:bidi="ar-EG"/>
        </w:rPr>
        <w:t>الملكية الفكرية</w:t>
      </w:r>
      <w:r>
        <w:rPr>
          <w:rFonts w:hint="cs"/>
          <w:rtl/>
          <w:lang w:bidi="ar-EG"/>
        </w:rPr>
        <w:t>،</w:t>
      </w:r>
      <w:r w:rsidR="00571401">
        <w:rPr>
          <w:rtl/>
          <w:lang w:bidi="ar-EG"/>
        </w:rPr>
        <w:t xml:space="preserve"> </w:t>
      </w:r>
      <w:r w:rsidR="00571401" w:rsidRPr="00571401">
        <w:rPr>
          <w:rFonts w:hint="cs"/>
          <w:rtl/>
        </w:rPr>
        <w:t>ليس فقط من حيث برنامج الكمبيوتر</w:t>
      </w:r>
      <w:r>
        <w:rPr>
          <w:rFonts w:hint="cs"/>
          <w:rtl/>
        </w:rPr>
        <w:t>،</w:t>
      </w:r>
      <w:r w:rsidR="00571401" w:rsidRPr="00571401">
        <w:rPr>
          <w:rFonts w:hint="cs"/>
          <w:rtl/>
        </w:rPr>
        <w:t xml:space="preserve"> </w:t>
      </w:r>
      <w:r>
        <w:rPr>
          <w:rFonts w:hint="cs"/>
          <w:rtl/>
        </w:rPr>
        <w:t>بل أيضاً</w:t>
      </w:r>
      <w:r w:rsidR="00571401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 حيث </w:t>
      </w:r>
      <w:r w:rsidR="00AE6BA6">
        <w:rPr>
          <w:rFonts w:hint="cs"/>
          <w:rtl/>
        </w:rPr>
        <w:t>ال</w:t>
      </w:r>
      <w:r w:rsidR="00571401" w:rsidRPr="00AE6BA6">
        <w:rPr>
          <w:rFonts w:hint="cs"/>
          <w:rtl/>
        </w:rPr>
        <w:t>جوانب</w:t>
      </w:r>
      <w:r w:rsidR="00571401">
        <w:rPr>
          <w:rFonts w:hint="cs"/>
          <w:rtl/>
        </w:rPr>
        <w:t xml:space="preserve"> </w:t>
      </w:r>
      <w:r>
        <w:rPr>
          <w:rFonts w:hint="cs"/>
          <w:rtl/>
        </w:rPr>
        <w:t>الأخرى</w:t>
      </w:r>
      <w:r w:rsidR="00AE6BA6">
        <w:rPr>
          <w:rFonts w:hint="cs"/>
          <w:rtl/>
        </w:rPr>
        <w:t xml:space="preserve"> للتطبيق</w:t>
      </w:r>
      <w:r w:rsidR="00571401" w:rsidRPr="00571401">
        <w:rPr>
          <w:rFonts w:hint="cs"/>
          <w:rtl/>
        </w:rPr>
        <w:t>، مثل الصور والنصوص والصوت</w:t>
      </w:r>
      <w:r w:rsidR="00571401">
        <w:rPr>
          <w:rFonts w:hint="cs"/>
          <w:rtl/>
        </w:rPr>
        <w:t xml:space="preserve"> والفيديو وتصميم </w:t>
      </w:r>
      <w:r>
        <w:rPr>
          <w:rFonts w:hint="cs"/>
          <w:rtl/>
        </w:rPr>
        <w:t>الأيقونات</w:t>
      </w:r>
      <w:r w:rsidR="00571401" w:rsidRPr="00571401">
        <w:rPr>
          <w:rFonts w:hint="cs"/>
          <w:rtl/>
        </w:rPr>
        <w:t>، وكلها قد تكون محمي</w:t>
      </w:r>
      <w:r w:rsidR="00571401">
        <w:rPr>
          <w:rFonts w:hint="cs"/>
          <w:rtl/>
        </w:rPr>
        <w:t xml:space="preserve">ة ومرخصة بشكل منفصل. </w:t>
      </w:r>
      <w:r>
        <w:rPr>
          <w:rFonts w:hint="cs"/>
          <w:rtl/>
        </w:rPr>
        <w:t>ووفقاً</w:t>
      </w:r>
      <w:r w:rsidR="00571401">
        <w:rPr>
          <w:rFonts w:hint="cs"/>
          <w:rtl/>
        </w:rPr>
        <w:t xml:space="preserve"> لذلك</w:t>
      </w:r>
      <w:r w:rsidR="00AE6BA6">
        <w:rPr>
          <w:rFonts w:hint="cs"/>
          <w:rtl/>
        </w:rPr>
        <w:t>، يناقش الفصل حق</w:t>
      </w:r>
      <w:r w:rsidR="00571401" w:rsidRPr="00571401">
        <w:rPr>
          <w:rFonts w:hint="cs"/>
          <w:rtl/>
        </w:rPr>
        <w:t xml:space="preserve"> </w:t>
      </w:r>
      <w:r>
        <w:rPr>
          <w:rFonts w:hint="cs"/>
          <w:rtl/>
        </w:rPr>
        <w:t>المؤلف</w:t>
      </w:r>
      <w:r w:rsidR="00571401" w:rsidRPr="00571401">
        <w:rPr>
          <w:rFonts w:hint="cs"/>
          <w:rtl/>
        </w:rPr>
        <w:t xml:space="preserve"> و</w:t>
      </w:r>
      <w:r>
        <w:rPr>
          <w:rFonts w:hint="cs"/>
          <w:rtl/>
        </w:rPr>
        <w:t>ال</w:t>
      </w:r>
      <w:r w:rsidR="00571401" w:rsidRPr="00571401">
        <w:rPr>
          <w:rFonts w:hint="cs"/>
          <w:rtl/>
        </w:rPr>
        <w:t xml:space="preserve">براءات والعلامات التجارية </w:t>
      </w:r>
      <w:r w:rsidR="00CA1046">
        <w:rPr>
          <w:rFonts w:hint="cs"/>
          <w:rtl/>
        </w:rPr>
        <w:t>وحقوق التصاميم</w:t>
      </w:r>
      <w:r w:rsidR="00571401" w:rsidRPr="00571401">
        <w:rPr>
          <w:rFonts w:hint="cs"/>
          <w:rtl/>
        </w:rPr>
        <w:t xml:space="preserve">. </w:t>
      </w:r>
      <w:r w:rsidR="00CA1046">
        <w:rPr>
          <w:rFonts w:hint="cs"/>
          <w:rtl/>
        </w:rPr>
        <w:t>و</w:t>
      </w:r>
      <w:r w:rsidR="00571401" w:rsidRPr="00571401">
        <w:rPr>
          <w:rFonts w:hint="cs"/>
          <w:rtl/>
        </w:rPr>
        <w:t xml:space="preserve">يقدم دورة حياة مبسطة </w:t>
      </w:r>
      <w:r w:rsidR="00C0722B">
        <w:rPr>
          <w:rFonts w:hint="cs"/>
          <w:rtl/>
        </w:rPr>
        <w:t xml:space="preserve">لتطبيقات الأجهزة المحمولة </w:t>
      </w:r>
      <w:r w:rsidR="00C0722B">
        <w:rPr>
          <w:rFonts w:hint="cs"/>
          <w:rtl/>
          <w:lang w:bidi="ar-SY"/>
        </w:rPr>
        <w:t>لتسهيل</w:t>
      </w:r>
      <w:r w:rsidR="00C0722B">
        <w:rPr>
          <w:rFonts w:hint="cs"/>
          <w:rtl/>
        </w:rPr>
        <w:t xml:space="preserve"> </w:t>
      </w:r>
      <w:r w:rsidR="00571401" w:rsidRPr="00571401">
        <w:rPr>
          <w:rFonts w:hint="cs"/>
          <w:rtl/>
        </w:rPr>
        <w:t>تصور</w:t>
      </w:r>
      <w:r w:rsidR="00C0722B">
        <w:rPr>
          <w:rFonts w:hint="cs"/>
          <w:rtl/>
        </w:rPr>
        <w:t xml:space="preserve"> </w:t>
      </w:r>
      <w:r w:rsidR="00C039DF">
        <w:rPr>
          <w:rFonts w:hint="cs"/>
          <w:rtl/>
        </w:rPr>
        <w:t>القضايا</w:t>
      </w:r>
      <w:r w:rsidR="00571401" w:rsidRPr="00571401">
        <w:rPr>
          <w:rFonts w:hint="cs"/>
          <w:rtl/>
        </w:rPr>
        <w:t xml:space="preserve"> التي تظهر في كل مرحلة وعبر جميع المراحل.</w:t>
      </w:r>
      <w:r w:rsidR="00571401" w:rsidRPr="00571401">
        <w:rPr>
          <w:rFonts w:hint="cs"/>
          <w:rtl/>
          <w:lang w:bidi="ar"/>
        </w:rPr>
        <w:t xml:space="preserve"> </w:t>
      </w:r>
    </w:p>
    <w:p w:rsidR="00571401" w:rsidRDefault="00C0722B" w:rsidP="00C039DF">
      <w:pPr>
        <w:pStyle w:val="BodyText"/>
        <w:rPr>
          <w:rtl/>
          <w:lang w:bidi="ar"/>
        </w:rPr>
      </w:pPr>
      <w:r>
        <w:rPr>
          <w:rFonts w:hint="cs"/>
          <w:rtl/>
        </w:rPr>
        <w:t xml:space="preserve">ويتناول </w:t>
      </w:r>
      <w:r w:rsidR="00571401" w:rsidRPr="00571401">
        <w:rPr>
          <w:rFonts w:hint="cs"/>
          <w:rtl/>
        </w:rPr>
        <w:t xml:space="preserve">الفصل 2 </w:t>
      </w:r>
      <w:r>
        <w:rPr>
          <w:rFonts w:hint="cs"/>
          <w:rtl/>
        </w:rPr>
        <w:t>اتفاقات عدم الإفصاح. وغالباً</w:t>
      </w:r>
      <w:r w:rsidR="00571401" w:rsidRPr="00571401">
        <w:rPr>
          <w:rFonts w:hint="cs"/>
          <w:rtl/>
        </w:rPr>
        <w:t xml:space="preserve"> ما يكون تخطيط البرامج الجديدة وإط</w:t>
      </w:r>
      <w:r w:rsidR="00571401">
        <w:rPr>
          <w:rFonts w:hint="cs"/>
          <w:rtl/>
        </w:rPr>
        <w:t xml:space="preserve">لاقها </w:t>
      </w:r>
      <w:r>
        <w:rPr>
          <w:rFonts w:hint="cs"/>
          <w:rtl/>
        </w:rPr>
        <w:t>نشاطاً حساساً</w:t>
      </w:r>
      <w:r w:rsidR="00571401">
        <w:rPr>
          <w:rFonts w:hint="cs"/>
          <w:rtl/>
        </w:rPr>
        <w:t xml:space="preserve">. </w:t>
      </w:r>
      <w:r>
        <w:rPr>
          <w:rFonts w:hint="cs"/>
          <w:rtl/>
        </w:rPr>
        <w:t>ولهذا السبب</w:t>
      </w:r>
      <w:r w:rsidR="00571401" w:rsidRPr="00571401">
        <w:rPr>
          <w:rFonts w:hint="cs"/>
          <w:rtl/>
        </w:rPr>
        <w:t xml:space="preserve"> تُستخدم </w:t>
      </w:r>
      <w:r w:rsidR="00995903">
        <w:rPr>
          <w:rFonts w:hint="cs"/>
          <w:rtl/>
          <w:lang w:bidi="ar-SY"/>
        </w:rPr>
        <w:t>مبادئ السرية</w:t>
      </w:r>
      <w:r>
        <w:rPr>
          <w:rFonts w:hint="cs"/>
          <w:rtl/>
        </w:rPr>
        <w:t xml:space="preserve"> </w:t>
      </w:r>
      <w:r w:rsidR="00571401" w:rsidRPr="00571401">
        <w:rPr>
          <w:rFonts w:hint="cs"/>
          <w:rtl/>
        </w:rPr>
        <w:t xml:space="preserve">أو </w:t>
      </w:r>
      <w:r w:rsidR="00995903">
        <w:rPr>
          <w:rFonts w:hint="cs"/>
          <w:rtl/>
        </w:rPr>
        <w:t>اتفاقات عدم الإفصاح</w:t>
      </w:r>
      <w:r w:rsidR="00995903" w:rsidRPr="00571401">
        <w:rPr>
          <w:rFonts w:hint="cs"/>
          <w:rtl/>
        </w:rPr>
        <w:t xml:space="preserve"> </w:t>
      </w:r>
      <w:r w:rsidR="00571401" w:rsidRPr="00571401">
        <w:rPr>
          <w:rFonts w:hint="cs"/>
          <w:rtl/>
        </w:rPr>
        <w:t xml:space="preserve">على نطاق واسع في صناعة تطوير البرمجيات. </w:t>
      </w:r>
      <w:r w:rsidR="00995903">
        <w:rPr>
          <w:rFonts w:hint="cs"/>
          <w:rtl/>
        </w:rPr>
        <w:t>ويمكن أن تكون اتفاقا</w:t>
      </w:r>
      <w:r w:rsidR="00571401" w:rsidRPr="00571401">
        <w:rPr>
          <w:rFonts w:hint="cs"/>
          <w:rtl/>
        </w:rPr>
        <w:t xml:space="preserve">ت عدم </w:t>
      </w:r>
      <w:r w:rsidR="00995903">
        <w:rPr>
          <w:rFonts w:hint="cs"/>
          <w:rtl/>
        </w:rPr>
        <w:t>الإفصاح</w:t>
      </w:r>
      <w:r w:rsidR="00571401" w:rsidRPr="00571401">
        <w:rPr>
          <w:rFonts w:hint="cs"/>
          <w:rtl/>
        </w:rPr>
        <w:t xml:space="preserve"> مفيدة ل</w:t>
      </w:r>
      <w:r w:rsidR="00995903">
        <w:rPr>
          <w:rFonts w:hint="cs"/>
          <w:rtl/>
        </w:rPr>
        <w:t>مجموعة متنوعة من الأغراض</w:t>
      </w:r>
      <w:r w:rsidR="00C039DF">
        <w:rPr>
          <w:rFonts w:hint="cs"/>
          <w:rtl/>
        </w:rPr>
        <w:t xml:space="preserve"> منها</w:t>
      </w:r>
      <w:r w:rsidR="00995903">
        <w:rPr>
          <w:rFonts w:hint="cs"/>
          <w:rtl/>
        </w:rPr>
        <w:t xml:space="preserve"> حماية </w:t>
      </w:r>
      <w:r w:rsidR="00571401" w:rsidRPr="00571401">
        <w:rPr>
          <w:rFonts w:hint="cs"/>
          <w:rtl/>
        </w:rPr>
        <w:t>الأسرار التج</w:t>
      </w:r>
      <w:r w:rsidR="00571401">
        <w:rPr>
          <w:rFonts w:hint="cs"/>
          <w:rtl/>
        </w:rPr>
        <w:t>ارية</w:t>
      </w:r>
      <w:r w:rsidR="00571401" w:rsidRPr="00571401">
        <w:rPr>
          <w:rFonts w:hint="cs"/>
          <w:rtl/>
        </w:rPr>
        <w:t>، وحما</w:t>
      </w:r>
      <w:r w:rsidR="00571401">
        <w:rPr>
          <w:rFonts w:hint="cs"/>
          <w:rtl/>
        </w:rPr>
        <w:t xml:space="preserve">ية المعلومات السرية </w:t>
      </w:r>
      <w:r w:rsidR="00C039DF">
        <w:rPr>
          <w:rFonts w:hint="cs"/>
          <w:rtl/>
        </w:rPr>
        <w:t xml:space="preserve">المتبادلة </w:t>
      </w:r>
      <w:r w:rsidR="00571401">
        <w:rPr>
          <w:rFonts w:hint="cs"/>
          <w:rtl/>
        </w:rPr>
        <w:t>بين الأطراف</w:t>
      </w:r>
      <w:r w:rsidR="00571401" w:rsidRPr="00571401">
        <w:rPr>
          <w:rFonts w:hint="cs"/>
          <w:rtl/>
        </w:rPr>
        <w:t>، وتقليل المخاطر عند العمل مع متخصصين خارجيين (</w:t>
      </w:r>
      <w:r w:rsidR="00995903">
        <w:rPr>
          <w:rFonts w:hint="cs"/>
          <w:rtl/>
        </w:rPr>
        <w:t>متعاقدين ووكالات خ</w:t>
      </w:r>
      <w:r w:rsidR="00571401">
        <w:rPr>
          <w:rFonts w:hint="cs"/>
          <w:rtl/>
        </w:rPr>
        <w:t>ارجية)</w:t>
      </w:r>
      <w:r w:rsidR="00571401" w:rsidRPr="00571401">
        <w:rPr>
          <w:rFonts w:hint="cs"/>
          <w:rtl/>
        </w:rPr>
        <w:t xml:space="preserve">، والسماح </w:t>
      </w:r>
      <w:r w:rsidR="00571401">
        <w:rPr>
          <w:rFonts w:hint="cs"/>
          <w:rtl/>
        </w:rPr>
        <w:t>للمطورين بالعمل "</w:t>
      </w:r>
      <w:r w:rsidR="00995903">
        <w:rPr>
          <w:rFonts w:hint="cs"/>
          <w:rtl/>
        </w:rPr>
        <w:t>بشكل سرّي</w:t>
      </w:r>
      <w:r w:rsidR="00571401">
        <w:rPr>
          <w:rFonts w:hint="cs"/>
          <w:rtl/>
        </w:rPr>
        <w:t>"</w:t>
      </w:r>
      <w:r w:rsidR="00C039DF">
        <w:rPr>
          <w:rFonts w:hint="cs"/>
          <w:rtl/>
        </w:rPr>
        <w:t xml:space="preserve"> في </w:t>
      </w:r>
      <w:r w:rsidR="00571401" w:rsidRPr="00571401">
        <w:rPr>
          <w:rFonts w:hint="cs"/>
          <w:rtl/>
        </w:rPr>
        <w:t xml:space="preserve">أثناء </w:t>
      </w:r>
      <w:r w:rsidR="00995903">
        <w:rPr>
          <w:rFonts w:hint="cs"/>
          <w:rtl/>
        </w:rPr>
        <w:t>تطوير التطبيقات</w:t>
      </w:r>
      <w:r w:rsidR="00571401" w:rsidRPr="00571401">
        <w:rPr>
          <w:rFonts w:hint="cs"/>
          <w:rtl/>
        </w:rPr>
        <w:t xml:space="preserve">. </w:t>
      </w:r>
      <w:r w:rsidR="00C039DF">
        <w:rPr>
          <w:rFonts w:hint="cs"/>
          <w:rtl/>
        </w:rPr>
        <w:t>ويعرض</w:t>
      </w:r>
      <w:r w:rsidR="00571401" w:rsidRPr="00571401">
        <w:rPr>
          <w:rFonts w:hint="cs"/>
          <w:rtl/>
        </w:rPr>
        <w:t xml:space="preserve"> الفصل بعد ذلك تفاصيل بعض البنود </w:t>
      </w:r>
      <w:r w:rsidR="00C039DF">
        <w:rPr>
          <w:rFonts w:hint="cs"/>
          <w:rtl/>
        </w:rPr>
        <w:t>الرئيسية</w:t>
      </w:r>
      <w:r w:rsidR="00571401" w:rsidRPr="00571401">
        <w:rPr>
          <w:rFonts w:hint="cs"/>
          <w:rtl/>
        </w:rPr>
        <w:t xml:space="preserve"> المطلوبة</w:t>
      </w:r>
      <w:r w:rsidR="00995903">
        <w:rPr>
          <w:rFonts w:hint="cs"/>
          <w:rtl/>
        </w:rPr>
        <w:t xml:space="preserve"> في اتفاق عدم الإفصاح</w:t>
      </w:r>
      <w:r w:rsidR="00571401" w:rsidRPr="00571401">
        <w:rPr>
          <w:rFonts w:hint="cs"/>
          <w:rtl/>
        </w:rPr>
        <w:t>.</w:t>
      </w:r>
      <w:r w:rsidR="00571401" w:rsidRPr="00571401">
        <w:rPr>
          <w:rFonts w:hint="cs"/>
          <w:rtl/>
          <w:lang w:bidi="ar"/>
        </w:rPr>
        <w:t xml:space="preserve"> </w:t>
      </w:r>
    </w:p>
    <w:p w:rsidR="00571401" w:rsidRDefault="00995903" w:rsidP="00C039DF">
      <w:pPr>
        <w:pStyle w:val="BodyText"/>
        <w:rPr>
          <w:rtl/>
          <w:lang w:bidi="ar"/>
        </w:rPr>
      </w:pPr>
      <w:r>
        <w:rPr>
          <w:rFonts w:hint="cs"/>
          <w:rtl/>
        </w:rPr>
        <w:lastRenderedPageBreak/>
        <w:t xml:space="preserve">ويتناول الفصل 3 أهمية </w:t>
      </w:r>
      <w:r w:rsidR="00571401" w:rsidRPr="00571401">
        <w:rPr>
          <w:rFonts w:hint="cs"/>
          <w:rtl/>
        </w:rPr>
        <w:t xml:space="preserve">فهم آليات </w:t>
      </w:r>
      <w:r w:rsidR="00165756">
        <w:rPr>
          <w:rFonts w:hint="cs"/>
          <w:rtl/>
        </w:rPr>
        <w:t>التنازل عن</w:t>
      </w:r>
      <w:r w:rsidR="00571401" w:rsidRPr="00571401">
        <w:rPr>
          <w:rFonts w:hint="cs"/>
          <w:rtl/>
        </w:rPr>
        <w:t xml:space="preserve"> الملكية الفكرية والترخيص </w:t>
      </w:r>
      <w:r w:rsidRPr="00571401">
        <w:rPr>
          <w:rFonts w:hint="cs"/>
          <w:rtl/>
        </w:rPr>
        <w:t>والتمييز بين</w:t>
      </w:r>
      <w:r>
        <w:rPr>
          <w:rFonts w:hint="cs"/>
          <w:rtl/>
        </w:rPr>
        <w:t>هما</w:t>
      </w:r>
      <w:r w:rsidRPr="00571401">
        <w:rPr>
          <w:rFonts w:hint="cs"/>
          <w:rtl/>
        </w:rPr>
        <w:t xml:space="preserve"> </w:t>
      </w:r>
      <w:r w:rsidR="00571401" w:rsidRPr="00571401">
        <w:rPr>
          <w:rFonts w:hint="cs"/>
          <w:rtl/>
        </w:rPr>
        <w:t xml:space="preserve">في تحديد </w:t>
      </w:r>
      <w:r w:rsidR="00C039DF">
        <w:rPr>
          <w:rFonts w:hint="cs"/>
          <w:rtl/>
        </w:rPr>
        <w:t>صاحب</w:t>
      </w:r>
      <w:r w:rsidR="00571401" w:rsidRPr="00571401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571401" w:rsidRPr="00571401">
        <w:rPr>
          <w:rFonts w:hint="cs"/>
          <w:rtl/>
        </w:rPr>
        <w:t xml:space="preserve">لملكية الفكرية </w:t>
      </w:r>
      <w:r>
        <w:rPr>
          <w:rFonts w:hint="cs"/>
          <w:rtl/>
        </w:rPr>
        <w:t>المستحدثة</w:t>
      </w:r>
      <w:r w:rsidR="00571401" w:rsidRPr="00571401">
        <w:rPr>
          <w:rFonts w:hint="cs"/>
          <w:rtl/>
        </w:rPr>
        <w:t xml:space="preserve"> </w:t>
      </w:r>
      <w:r>
        <w:rPr>
          <w:rFonts w:hint="cs"/>
          <w:rtl/>
        </w:rPr>
        <w:t xml:space="preserve">وكيف ينبغي </w:t>
      </w:r>
      <w:r w:rsidRPr="00165756">
        <w:rPr>
          <w:rFonts w:hint="cs"/>
          <w:rtl/>
        </w:rPr>
        <w:t>استخدامها</w:t>
      </w:r>
      <w:r w:rsidR="00571401" w:rsidRPr="00571401">
        <w:rPr>
          <w:rFonts w:hint="cs"/>
          <w:rtl/>
        </w:rPr>
        <w:t xml:space="preserve">. </w:t>
      </w:r>
      <w:r w:rsidR="00C039DF">
        <w:rPr>
          <w:rFonts w:hint="cs"/>
          <w:rtl/>
        </w:rPr>
        <w:t>وسبب ذلك هو أن</w:t>
      </w:r>
      <w:r w:rsidR="00571401" w:rsidRPr="00571401">
        <w:rPr>
          <w:rFonts w:hint="cs"/>
          <w:rtl/>
        </w:rPr>
        <w:t xml:space="preserve"> المطورين </w:t>
      </w:r>
      <w:r>
        <w:rPr>
          <w:rFonts w:hint="cs"/>
          <w:rtl/>
        </w:rPr>
        <w:t>غالباً</w:t>
      </w:r>
      <w:r w:rsidR="00571401" w:rsidRPr="00571401">
        <w:rPr>
          <w:rFonts w:hint="cs"/>
          <w:rtl/>
        </w:rPr>
        <w:t xml:space="preserve"> ما </w:t>
      </w:r>
      <w:r w:rsidR="00C039DF">
        <w:rPr>
          <w:rFonts w:hint="cs"/>
          <w:rtl/>
        </w:rPr>
        <w:t>يستعينون</w:t>
      </w:r>
      <w:r w:rsidR="00571401" w:rsidRPr="00571401">
        <w:rPr>
          <w:rFonts w:hint="cs"/>
          <w:rtl/>
        </w:rPr>
        <w:t xml:space="preserve"> </w:t>
      </w:r>
      <w:r w:rsidR="00C039DF">
        <w:rPr>
          <w:rFonts w:hint="cs"/>
          <w:rtl/>
        </w:rPr>
        <w:t>ب</w:t>
      </w:r>
      <w:r w:rsidR="00571401" w:rsidRPr="00571401">
        <w:rPr>
          <w:rFonts w:hint="cs"/>
          <w:rtl/>
        </w:rPr>
        <w:t xml:space="preserve">موظفيهم الداخليين للعمل على التطبيقات ولكن قد يضطرون </w:t>
      </w:r>
      <w:r>
        <w:rPr>
          <w:rFonts w:hint="cs"/>
          <w:rtl/>
        </w:rPr>
        <w:t>أيضاً</w:t>
      </w:r>
      <w:r w:rsidR="00165756">
        <w:rPr>
          <w:rFonts w:hint="cs"/>
          <w:rtl/>
        </w:rPr>
        <w:t xml:space="preserve"> إلى الاستعانة بمصادر خارجية</w:t>
      </w:r>
      <w:r w:rsidR="00165756">
        <w:rPr>
          <w:rFonts w:hint="cs"/>
          <w:rtl/>
          <w:lang w:bidi="ar-SY"/>
        </w:rPr>
        <w:t xml:space="preserve">- </w:t>
      </w:r>
      <w:r w:rsidRPr="00571401">
        <w:rPr>
          <w:rFonts w:hint="cs"/>
          <w:rtl/>
        </w:rPr>
        <w:t>أفراد أو وكالات متخصصة</w:t>
      </w:r>
      <w:r w:rsidR="00165756">
        <w:rPr>
          <w:rFonts w:hint="cs"/>
          <w:rtl/>
        </w:rPr>
        <w:t>-</w:t>
      </w:r>
      <w:r w:rsidRPr="00571401">
        <w:rPr>
          <w:rFonts w:hint="cs"/>
          <w:rtl/>
        </w:rPr>
        <w:t xml:space="preserve"> </w:t>
      </w:r>
      <w:r>
        <w:rPr>
          <w:rFonts w:hint="cs"/>
          <w:rtl/>
        </w:rPr>
        <w:t>فيما يتعلق ب</w:t>
      </w:r>
      <w:r w:rsidR="00571401" w:rsidRPr="00571401">
        <w:rPr>
          <w:rFonts w:hint="cs"/>
          <w:rtl/>
        </w:rPr>
        <w:t>عناصر</w:t>
      </w:r>
      <w:r>
        <w:rPr>
          <w:rFonts w:hint="cs"/>
          <w:rtl/>
        </w:rPr>
        <w:t xml:space="preserve"> معينة من</w:t>
      </w:r>
      <w:r w:rsidR="00165756">
        <w:rPr>
          <w:rFonts w:hint="cs"/>
          <w:rtl/>
        </w:rPr>
        <w:t xml:space="preserve"> تطوير التطبيقات، </w:t>
      </w:r>
      <w:r w:rsidR="00571401" w:rsidRPr="00571401">
        <w:rPr>
          <w:rFonts w:hint="cs"/>
          <w:rtl/>
        </w:rPr>
        <w:t xml:space="preserve">ربما لتغطية </w:t>
      </w:r>
      <w:r w:rsidR="00C039DF">
        <w:rPr>
          <w:rFonts w:hint="cs"/>
          <w:rtl/>
        </w:rPr>
        <w:t>الحاجة إلى</w:t>
      </w:r>
      <w:r w:rsidR="00165756">
        <w:rPr>
          <w:rFonts w:hint="cs"/>
          <w:rtl/>
        </w:rPr>
        <w:t xml:space="preserve"> </w:t>
      </w:r>
      <w:r w:rsidR="00571401" w:rsidRPr="00571401">
        <w:rPr>
          <w:rFonts w:hint="cs"/>
          <w:rtl/>
        </w:rPr>
        <w:t xml:space="preserve">موظفين إضافيين أو </w:t>
      </w:r>
      <w:r w:rsidR="00C039DF">
        <w:rPr>
          <w:rFonts w:hint="cs"/>
          <w:rtl/>
        </w:rPr>
        <w:t xml:space="preserve">إلى </w:t>
      </w:r>
      <w:r w:rsidR="00571401" w:rsidRPr="00571401">
        <w:rPr>
          <w:rFonts w:hint="cs"/>
          <w:rtl/>
        </w:rPr>
        <w:t xml:space="preserve">مدخلات </w:t>
      </w:r>
      <w:r w:rsidR="00165756">
        <w:rPr>
          <w:rFonts w:hint="cs"/>
          <w:rtl/>
        </w:rPr>
        <w:t>تقنية</w:t>
      </w:r>
      <w:r w:rsidR="00571401" w:rsidRPr="00571401">
        <w:rPr>
          <w:rFonts w:hint="cs"/>
          <w:rtl/>
        </w:rPr>
        <w:t xml:space="preserve"> أو إبد</w:t>
      </w:r>
      <w:r w:rsidR="00571401">
        <w:rPr>
          <w:rFonts w:hint="cs"/>
          <w:rtl/>
        </w:rPr>
        <w:t xml:space="preserve">اعية. </w:t>
      </w:r>
      <w:r w:rsidR="00165756">
        <w:rPr>
          <w:rFonts w:hint="cs"/>
          <w:rtl/>
        </w:rPr>
        <w:t>و</w:t>
      </w:r>
      <w:r w:rsidR="00571401">
        <w:rPr>
          <w:rFonts w:hint="cs"/>
          <w:rtl/>
        </w:rPr>
        <w:t>في معظم الولايات القضائية</w:t>
      </w:r>
      <w:r w:rsidR="00571401" w:rsidRPr="00571401">
        <w:rPr>
          <w:rFonts w:hint="cs"/>
          <w:rtl/>
        </w:rPr>
        <w:t xml:space="preserve">، عندما </w:t>
      </w:r>
      <w:r w:rsidR="00165756">
        <w:rPr>
          <w:rFonts w:hint="cs"/>
          <w:rtl/>
        </w:rPr>
        <w:t>تقوم</w:t>
      </w:r>
      <w:r w:rsidR="00571401" w:rsidRPr="00571401">
        <w:rPr>
          <w:rFonts w:hint="cs"/>
          <w:rtl/>
        </w:rPr>
        <w:t xml:space="preserve"> وكالة </w:t>
      </w:r>
      <w:r w:rsidR="00165756">
        <w:rPr>
          <w:rFonts w:hint="cs"/>
          <w:rtl/>
        </w:rPr>
        <w:t>ب</w:t>
      </w:r>
      <w:r w:rsidR="00C039DF">
        <w:rPr>
          <w:rFonts w:hint="cs"/>
          <w:rtl/>
        </w:rPr>
        <w:t>تطوير جزء من برمجية ا</w:t>
      </w:r>
      <w:r w:rsidR="00571401">
        <w:rPr>
          <w:rFonts w:hint="cs"/>
          <w:rtl/>
        </w:rPr>
        <w:t xml:space="preserve">لتطبيق </w:t>
      </w:r>
      <w:r w:rsidR="00165756">
        <w:rPr>
          <w:rFonts w:hint="cs"/>
          <w:rtl/>
        </w:rPr>
        <w:t xml:space="preserve">نيابة </w:t>
      </w:r>
      <w:r w:rsidR="00571401">
        <w:rPr>
          <w:rFonts w:hint="cs"/>
          <w:rtl/>
        </w:rPr>
        <w:t xml:space="preserve">عن </w:t>
      </w:r>
      <w:r w:rsidR="00C039DF">
        <w:rPr>
          <w:rFonts w:hint="cs"/>
          <w:rtl/>
        </w:rPr>
        <w:t>ال</w:t>
      </w:r>
      <w:r w:rsidR="00571401">
        <w:rPr>
          <w:rFonts w:hint="cs"/>
          <w:rtl/>
        </w:rPr>
        <w:t>مطور، فإن الوكالة</w:t>
      </w:r>
      <w:r w:rsidR="00C039DF">
        <w:rPr>
          <w:rFonts w:hint="cs"/>
          <w:rtl/>
        </w:rPr>
        <w:t xml:space="preserve"> -تلقائياً-  هي صاحبة</w:t>
      </w:r>
      <w:r w:rsidR="00165756">
        <w:rPr>
          <w:rFonts w:hint="cs"/>
          <w:rtl/>
        </w:rPr>
        <w:t xml:space="preserve"> </w:t>
      </w:r>
      <w:r w:rsidR="00571401">
        <w:rPr>
          <w:rFonts w:hint="cs"/>
          <w:rtl/>
          <w:lang w:bidi="ar-EG"/>
        </w:rPr>
        <w:t>الملكية الفكرية</w:t>
      </w:r>
      <w:r w:rsidR="00571401">
        <w:rPr>
          <w:rtl/>
          <w:lang w:bidi="ar-EG"/>
        </w:rPr>
        <w:t xml:space="preserve"> </w:t>
      </w:r>
      <w:r w:rsidR="00165756">
        <w:rPr>
          <w:rFonts w:hint="cs"/>
          <w:rtl/>
        </w:rPr>
        <w:t>في هذا العمل</w:t>
      </w:r>
      <w:r w:rsidR="00C039DF" w:rsidRPr="00C039DF">
        <w:rPr>
          <w:rFonts w:hint="cs"/>
          <w:rtl/>
        </w:rPr>
        <w:t xml:space="preserve"> </w:t>
      </w:r>
      <w:r w:rsidR="00C039DF">
        <w:rPr>
          <w:rFonts w:hint="cs"/>
          <w:rtl/>
        </w:rPr>
        <w:t>وليس المطور</w:t>
      </w:r>
      <w:r w:rsidR="00571401" w:rsidRPr="00571401">
        <w:rPr>
          <w:rFonts w:hint="cs"/>
          <w:rtl/>
        </w:rPr>
        <w:t xml:space="preserve">. </w:t>
      </w:r>
      <w:r w:rsidR="00165756">
        <w:rPr>
          <w:rFonts w:hint="cs"/>
          <w:rtl/>
        </w:rPr>
        <w:t>ويناقش هذا الفصل أيضاً</w:t>
      </w:r>
      <w:r w:rsidR="00571401" w:rsidRPr="00571401">
        <w:rPr>
          <w:rFonts w:hint="cs"/>
          <w:rtl/>
        </w:rPr>
        <w:t xml:space="preserve"> البنود الرئيسية التي تشكل </w:t>
      </w:r>
      <w:r w:rsidR="00165756">
        <w:rPr>
          <w:rFonts w:hint="cs"/>
          <w:rtl/>
        </w:rPr>
        <w:t>جزءاً من اتفاق</w:t>
      </w:r>
      <w:r w:rsidR="00C039DF">
        <w:rPr>
          <w:rFonts w:hint="cs"/>
          <w:rtl/>
        </w:rPr>
        <w:t>ات</w:t>
      </w:r>
      <w:r w:rsidR="00571401" w:rsidRPr="00571401">
        <w:rPr>
          <w:rFonts w:hint="cs"/>
          <w:rtl/>
        </w:rPr>
        <w:t xml:space="preserve"> التنازل.</w:t>
      </w:r>
      <w:r w:rsidR="00571401" w:rsidRPr="00571401">
        <w:rPr>
          <w:rFonts w:hint="cs"/>
          <w:rtl/>
          <w:lang w:bidi="ar"/>
        </w:rPr>
        <w:t xml:space="preserve"> </w:t>
      </w:r>
    </w:p>
    <w:p w:rsidR="00571401" w:rsidRDefault="00165756" w:rsidP="00C039DF">
      <w:pPr>
        <w:pStyle w:val="BodyText"/>
        <w:rPr>
          <w:rtl/>
        </w:rPr>
      </w:pPr>
      <w:r>
        <w:rPr>
          <w:rFonts w:hint="cs"/>
          <w:rtl/>
          <w:lang w:bidi="ar"/>
        </w:rPr>
        <w:t>ويناقش</w:t>
      </w:r>
      <w:r w:rsidR="00571401" w:rsidRPr="00571401">
        <w:rPr>
          <w:rFonts w:hint="cs"/>
          <w:rtl/>
        </w:rPr>
        <w:t xml:space="preserve"> الفصل 4 </w:t>
      </w:r>
      <w:r>
        <w:rPr>
          <w:rFonts w:hint="cs"/>
          <w:rtl/>
        </w:rPr>
        <w:t>بمزيد من التفصيل اتفاقات</w:t>
      </w:r>
      <w:r w:rsidR="00571401">
        <w:rPr>
          <w:rFonts w:hint="cs"/>
          <w:rtl/>
        </w:rPr>
        <w:t xml:space="preserve"> تطوير تطبيقات الأجهزة المحمولة</w:t>
      </w:r>
      <w:r>
        <w:rPr>
          <w:rFonts w:hint="cs"/>
          <w:rtl/>
        </w:rPr>
        <w:t>، والتي يمكنها أيضاً</w:t>
      </w:r>
      <w:r w:rsidR="00571401" w:rsidRPr="00571401">
        <w:rPr>
          <w:rFonts w:hint="cs"/>
          <w:rtl/>
        </w:rPr>
        <w:t xml:space="preserve"> </w:t>
      </w:r>
      <w:r w:rsidR="007A339B">
        <w:rPr>
          <w:rFonts w:hint="cs"/>
          <w:rtl/>
        </w:rPr>
        <w:t>أن تتناول مسألة التنازل التي يعالجها</w:t>
      </w:r>
      <w:r w:rsidR="00571401" w:rsidRPr="00571401">
        <w:rPr>
          <w:rFonts w:hint="cs"/>
          <w:rtl/>
        </w:rPr>
        <w:t xml:space="preserve"> الفصل 3. وتشمل الاعتبارات الأخرى التي </w:t>
      </w:r>
      <w:r w:rsidR="007A339B">
        <w:rPr>
          <w:rFonts w:hint="cs"/>
          <w:rtl/>
        </w:rPr>
        <w:t>ناقشها</w:t>
      </w:r>
      <w:r w:rsidR="00571401" w:rsidRPr="00571401">
        <w:rPr>
          <w:rFonts w:hint="cs"/>
          <w:rtl/>
        </w:rPr>
        <w:t xml:space="preserve"> هذا الفصل أهمية</w:t>
      </w:r>
      <w:r w:rsidR="007A339B">
        <w:rPr>
          <w:rFonts w:hint="cs"/>
          <w:rtl/>
        </w:rPr>
        <w:t xml:space="preserve"> توخي</w:t>
      </w:r>
      <w:r w:rsidR="00571401" w:rsidRPr="00571401">
        <w:rPr>
          <w:rFonts w:hint="cs"/>
          <w:rtl/>
        </w:rPr>
        <w:t xml:space="preserve"> ا</w:t>
      </w:r>
      <w:r w:rsidR="00571401">
        <w:rPr>
          <w:rFonts w:hint="cs"/>
          <w:rtl/>
        </w:rPr>
        <w:t>لعناية الواجبة عند اختيار وكالة</w:t>
      </w:r>
      <w:r w:rsidR="00571401" w:rsidRPr="00571401">
        <w:rPr>
          <w:rFonts w:hint="cs"/>
          <w:rtl/>
        </w:rPr>
        <w:t xml:space="preserve">، مما يتطلب من الوكالة المشاركة في تطوير </w:t>
      </w:r>
      <w:r w:rsidR="007A339B">
        <w:rPr>
          <w:rFonts w:hint="cs"/>
          <w:rtl/>
        </w:rPr>
        <w:t>البرمجية</w:t>
      </w:r>
      <w:r w:rsidR="00571401">
        <w:rPr>
          <w:rFonts w:hint="cs"/>
          <w:rtl/>
        </w:rPr>
        <w:t xml:space="preserve"> توفير قائمة مواد </w:t>
      </w:r>
      <w:r w:rsidR="007A339B">
        <w:rPr>
          <w:rFonts w:hint="cs"/>
          <w:rtl/>
        </w:rPr>
        <w:t>البرمجية</w:t>
      </w:r>
      <w:r w:rsidR="00571401" w:rsidRPr="00571401">
        <w:rPr>
          <w:rFonts w:hint="cs"/>
          <w:rtl/>
        </w:rPr>
        <w:t xml:space="preserve">، </w:t>
      </w:r>
      <w:r w:rsidR="00571401">
        <w:rPr>
          <w:rFonts w:hint="cs"/>
          <w:rtl/>
        </w:rPr>
        <w:t>وهي قائمة شاملة بمكونات التطبيق</w:t>
      </w:r>
      <w:r w:rsidR="00571401" w:rsidRPr="00571401">
        <w:rPr>
          <w:rFonts w:hint="cs"/>
          <w:rtl/>
        </w:rPr>
        <w:t xml:space="preserve">، </w:t>
      </w:r>
      <w:r w:rsidR="007A339B">
        <w:rPr>
          <w:rFonts w:hint="cs"/>
          <w:rtl/>
        </w:rPr>
        <w:t>وفهم</w:t>
      </w:r>
      <w:r w:rsidR="00C039DF">
        <w:rPr>
          <w:rFonts w:hint="cs"/>
          <w:rtl/>
        </w:rPr>
        <w:t>ٍ</w:t>
      </w:r>
      <w:r w:rsidR="00571401" w:rsidRPr="00571401">
        <w:rPr>
          <w:rFonts w:hint="cs"/>
          <w:rtl/>
        </w:rPr>
        <w:t xml:space="preserve"> </w:t>
      </w:r>
      <w:r w:rsidR="007A339B">
        <w:rPr>
          <w:rFonts w:hint="cs"/>
          <w:rtl/>
        </w:rPr>
        <w:t>ل</w:t>
      </w:r>
      <w:r w:rsidR="00571401" w:rsidRPr="00571401">
        <w:rPr>
          <w:rFonts w:hint="cs"/>
          <w:rtl/>
        </w:rPr>
        <w:t xml:space="preserve">تكوين التطبيق </w:t>
      </w:r>
      <w:r w:rsidR="007A339B">
        <w:rPr>
          <w:rFonts w:hint="cs"/>
          <w:rtl/>
        </w:rPr>
        <w:t>وال</w:t>
      </w:r>
      <w:r w:rsidR="00571401" w:rsidRPr="00571401">
        <w:rPr>
          <w:rFonts w:hint="cs"/>
          <w:rtl/>
        </w:rPr>
        <w:t xml:space="preserve">استخدام </w:t>
      </w:r>
      <w:r w:rsidR="007A339B">
        <w:rPr>
          <w:rFonts w:hint="cs"/>
          <w:rtl/>
        </w:rPr>
        <w:t>المحتمل لبرمجية</w:t>
      </w:r>
      <w:r w:rsidR="00C039DF">
        <w:rPr>
          <w:rFonts w:hint="cs"/>
          <w:rtl/>
        </w:rPr>
        <w:t xml:space="preserve"> وكالة أو برمجية طرف خارجي </w:t>
      </w:r>
      <w:r w:rsidR="00571401" w:rsidRPr="00571401">
        <w:rPr>
          <w:rFonts w:hint="cs"/>
          <w:rtl/>
        </w:rPr>
        <w:t xml:space="preserve">أو </w:t>
      </w:r>
      <w:r w:rsidR="007A339B">
        <w:rPr>
          <w:rFonts w:hint="cs"/>
          <w:rtl/>
        </w:rPr>
        <w:t>برمجية</w:t>
      </w:r>
      <w:r w:rsidR="00571401" w:rsidRPr="00571401">
        <w:rPr>
          <w:rFonts w:hint="cs"/>
          <w:rtl/>
        </w:rPr>
        <w:t xml:space="preserve"> مفتوح</w:t>
      </w:r>
      <w:r w:rsidR="007A339B">
        <w:rPr>
          <w:rFonts w:hint="cs"/>
          <w:rtl/>
        </w:rPr>
        <w:t>ة</w:t>
      </w:r>
      <w:r w:rsidR="00571401" w:rsidRPr="00571401">
        <w:rPr>
          <w:rFonts w:hint="cs"/>
          <w:rtl/>
        </w:rPr>
        <w:t xml:space="preserve"> المصدر. </w:t>
      </w:r>
      <w:r w:rsidR="007A339B">
        <w:rPr>
          <w:rFonts w:hint="cs"/>
          <w:rtl/>
        </w:rPr>
        <w:t>ويعرض الفصل أيضاً</w:t>
      </w:r>
      <w:r w:rsidR="00571401" w:rsidRPr="00571401">
        <w:rPr>
          <w:rFonts w:hint="cs"/>
          <w:rtl/>
        </w:rPr>
        <w:t xml:space="preserve"> الشروط التي </w:t>
      </w:r>
      <w:r w:rsidR="00C039DF">
        <w:rPr>
          <w:rFonts w:hint="cs"/>
          <w:rtl/>
        </w:rPr>
        <w:t>تُوفر</w:t>
      </w:r>
      <w:r w:rsidR="007A339B">
        <w:rPr>
          <w:rFonts w:hint="cs"/>
          <w:rtl/>
        </w:rPr>
        <w:t xml:space="preserve"> بموجبها البرمجيات </w:t>
      </w:r>
      <w:r w:rsidR="00571401" w:rsidRPr="00571401">
        <w:rPr>
          <w:rFonts w:hint="cs"/>
          <w:rtl/>
        </w:rPr>
        <w:t>ومتطلبات الامتثال في حالة تراخيص</w:t>
      </w:r>
      <w:r w:rsidR="007A339B">
        <w:rPr>
          <w:rFonts w:hint="cs"/>
          <w:rtl/>
        </w:rPr>
        <w:t xml:space="preserve"> البرمجيات</w:t>
      </w:r>
      <w:r w:rsidR="00571401" w:rsidRPr="00571401">
        <w:rPr>
          <w:rFonts w:hint="cs"/>
          <w:rtl/>
        </w:rPr>
        <w:t xml:space="preserve"> </w:t>
      </w:r>
      <w:r w:rsidR="007A339B">
        <w:rPr>
          <w:rFonts w:hint="cs"/>
          <w:rtl/>
        </w:rPr>
        <w:t>مفتوحة المصدر</w:t>
      </w:r>
      <w:r w:rsidR="00571401" w:rsidRPr="00571401">
        <w:rPr>
          <w:rFonts w:hint="cs"/>
          <w:rtl/>
        </w:rPr>
        <w:t xml:space="preserve">. </w:t>
      </w:r>
      <w:r w:rsidR="007A339B">
        <w:rPr>
          <w:rFonts w:hint="cs"/>
          <w:rtl/>
        </w:rPr>
        <w:t xml:space="preserve">ثم يعرض </w:t>
      </w:r>
      <w:r w:rsidR="00571401" w:rsidRPr="00571401">
        <w:rPr>
          <w:rFonts w:hint="cs"/>
          <w:rtl/>
        </w:rPr>
        <w:t xml:space="preserve">الفصل </w:t>
      </w:r>
      <w:r w:rsidR="007A339B">
        <w:rPr>
          <w:rFonts w:hint="cs"/>
          <w:rtl/>
        </w:rPr>
        <w:t>تفاصيل البنود الرئيسية في اتفاق</w:t>
      </w:r>
      <w:r w:rsidR="00571401" w:rsidRPr="00571401">
        <w:rPr>
          <w:rFonts w:hint="cs"/>
          <w:rtl/>
        </w:rPr>
        <w:t>ات تطوير البرمجيات.</w:t>
      </w:r>
    </w:p>
    <w:p w:rsidR="00571401" w:rsidRDefault="007A339B" w:rsidP="00590C12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يناقش الفصل 5 اتفاق</w:t>
      </w:r>
      <w:r w:rsidR="00571401">
        <w:rPr>
          <w:rtl/>
        </w:rPr>
        <w:t xml:space="preserve">ات </w:t>
      </w:r>
      <w:r>
        <w:rPr>
          <w:rFonts w:hint="cs"/>
          <w:rtl/>
        </w:rPr>
        <w:t>موردي</w:t>
      </w:r>
      <w:r w:rsidR="00571401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خدم</w:t>
      </w:r>
      <w:r>
        <w:rPr>
          <w:rFonts w:hint="cs"/>
          <w:rtl/>
        </w:rPr>
        <w:t>ات الخارجيين</w:t>
      </w:r>
      <w:r w:rsidR="00571401">
        <w:rPr>
          <w:rtl/>
        </w:rPr>
        <w:t xml:space="preserve">. </w:t>
      </w:r>
      <w:r>
        <w:rPr>
          <w:rFonts w:hint="cs"/>
          <w:rtl/>
        </w:rPr>
        <w:t>و</w:t>
      </w:r>
      <w:r w:rsidR="00571401">
        <w:rPr>
          <w:rtl/>
        </w:rPr>
        <w:t>قد تتطلب التطبيقات التكامل مع الخدمات الأخرى لإثراء وظائفها</w:t>
      </w:r>
      <w:r w:rsidR="00571401">
        <w:rPr>
          <w:rFonts w:hint="cs"/>
          <w:rtl/>
        </w:rPr>
        <w:t>،</w:t>
      </w:r>
      <w:r w:rsidR="00571401">
        <w:rPr>
          <w:rtl/>
        </w:rPr>
        <w:t xml:space="preserve"> بدلاً من إنشاء مثل هذه الخدمات من البداية. </w:t>
      </w:r>
      <w:r>
        <w:rPr>
          <w:rFonts w:hint="cs"/>
          <w:rtl/>
        </w:rPr>
        <w:t>و</w:t>
      </w:r>
      <w:r w:rsidR="00571401">
        <w:rPr>
          <w:rtl/>
        </w:rPr>
        <w:t xml:space="preserve">تشمل الأمثلة </w:t>
      </w:r>
      <w:r>
        <w:rPr>
          <w:rFonts w:hint="cs"/>
          <w:rtl/>
        </w:rPr>
        <w:t>الأكثر شيوعاً</w:t>
      </w:r>
      <w:r w:rsidR="00571401">
        <w:rPr>
          <w:rtl/>
        </w:rPr>
        <w:t xml:space="preserve"> خدمات الدفع وموجزات بيانات الجهات الخارجية ووسائل التواصل الاجتماعي، مثل </w:t>
      </w:r>
      <w:r w:rsidR="00571401">
        <w:t>Facebook</w:t>
      </w:r>
      <w:r w:rsidR="00571401">
        <w:rPr>
          <w:rtl/>
        </w:rPr>
        <w:t xml:space="preserve"> </w:t>
      </w:r>
      <w:proofErr w:type="gramStart"/>
      <w:r w:rsidR="00571401">
        <w:rPr>
          <w:rtl/>
        </w:rPr>
        <w:t xml:space="preserve">و </w:t>
      </w:r>
      <w:r w:rsidR="00571401">
        <w:t>Google</w:t>
      </w:r>
      <w:proofErr w:type="gramEnd"/>
      <w:r w:rsidR="00571401">
        <w:t xml:space="preserve"> Maps</w:t>
      </w:r>
      <w:r w:rsidR="00571401">
        <w:rPr>
          <w:rtl/>
        </w:rPr>
        <w:t xml:space="preserve">. </w:t>
      </w:r>
      <w:r>
        <w:rPr>
          <w:rFonts w:hint="cs"/>
          <w:rtl/>
        </w:rPr>
        <w:t>وي</w:t>
      </w:r>
      <w:r>
        <w:rPr>
          <w:rtl/>
        </w:rPr>
        <w:t>تحق</w:t>
      </w:r>
      <w:r w:rsidR="00571401">
        <w:rPr>
          <w:rtl/>
        </w:rPr>
        <w:t>ق هذا التكامل</w:t>
      </w:r>
      <w:r w:rsidR="00590C12">
        <w:rPr>
          <w:rtl/>
        </w:rPr>
        <w:t xml:space="preserve"> من خلال واجهات برمجة التطبيقات</w:t>
      </w:r>
      <w:r w:rsidR="00590C12">
        <w:rPr>
          <w:rFonts w:hint="cs"/>
          <w:rtl/>
        </w:rPr>
        <w:t>. وي</w:t>
      </w:r>
      <w:r w:rsidR="00571401">
        <w:rPr>
          <w:rtl/>
        </w:rPr>
        <w:t xml:space="preserve">ناقش الفصل </w:t>
      </w:r>
      <w:r w:rsidR="00590C12">
        <w:rPr>
          <w:rFonts w:hint="cs"/>
          <w:rtl/>
        </w:rPr>
        <w:t xml:space="preserve">أيضاً </w:t>
      </w:r>
      <w:r w:rsidR="00571401">
        <w:rPr>
          <w:rtl/>
        </w:rPr>
        <w:t>الاعتبارات</w:t>
      </w:r>
      <w:r w:rsidR="00C039DF">
        <w:rPr>
          <w:rFonts w:hint="cs"/>
          <w:rtl/>
        </w:rPr>
        <w:t xml:space="preserve"> التي ينبغي مراعاتها</w:t>
      </w:r>
      <w:r w:rsidR="00571401">
        <w:rPr>
          <w:rtl/>
        </w:rPr>
        <w:t xml:space="preserve"> عند اختيار </w:t>
      </w:r>
      <w:r w:rsidR="00590C12">
        <w:rPr>
          <w:rFonts w:hint="cs"/>
          <w:rtl/>
        </w:rPr>
        <w:t>مورد</w:t>
      </w:r>
      <w:r w:rsidR="00571401">
        <w:rPr>
          <w:rtl/>
        </w:rPr>
        <w:t xml:space="preserve"> </w:t>
      </w:r>
      <w:r w:rsidR="00590C12">
        <w:rPr>
          <w:rFonts w:hint="cs"/>
          <w:rtl/>
        </w:rPr>
        <w:t>الخدمة الخارجي</w:t>
      </w:r>
      <w:r w:rsidR="00C039DF">
        <w:rPr>
          <w:rFonts w:hint="cs"/>
          <w:rtl/>
        </w:rPr>
        <w:t>،</w:t>
      </w:r>
      <w:r w:rsidR="00571401">
        <w:rPr>
          <w:rtl/>
        </w:rPr>
        <w:t xml:space="preserve"> ويحدد البنود الرئيسية التي يجب الانتباه إليها عند مراجعة مثل هذه العقود والتفاوض بشأنها، حيثما أمكن ذلك.</w:t>
      </w:r>
    </w:p>
    <w:p w:rsidR="00571401" w:rsidRDefault="00590C12" w:rsidP="00590C12">
      <w:pPr>
        <w:pStyle w:val="BodyText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يتناول الفصل 6 اتفاق</w:t>
      </w:r>
      <w:r w:rsidR="00571401">
        <w:rPr>
          <w:rtl/>
        </w:rPr>
        <w:t xml:space="preserve">ات التوزيع مع متجر التطبيقات. </w:t>
      </w:r>
      <w:r>
        <w:rPr>
          <w:rFonts w:hint="cs"/>
          <w:rtl/>
        </w:rPr>
        <w:t>و</w:t>
      </w:r>
      <w:r w:rsidR="00571401">
        <w:rPr>
          <w:rtl/>
        </w:rPr>
        <w:t>من المسل</w:t>
      </w:r>
      <w:r>
        <w:rPr>
          <w:rFonts w:hint="cs"/>
          <w:rtl/>
        </w:rPr>
        <w:t>ّ</w:t>
      </w:r>
      <w:r w:rsidR="00571401">
        <w:rPr>
          <w:rtl/>
        </w:rPr>
        <w:t xml:space="preserve">م به في هذا الفصل أن التفاوض على شروط هذه الاتفاقات قد يكون </w:t>
      </w:r>
      <w:r>
        <w:rPr>
          <w:rFonts w:hint="cs"/>
          <w:rtl/>
        </w:rPr>
        <w:t>صعباً</w:t>
      </w:r>
      <w:r w:rsidR="00571401">
        <w:rPr>
          <w:rtl/>
        </w:rPr>
        <w:t xml:space="preserve"> للغاية. ومع ذلك، يوصي الفصل بالمجالات الرئيسية لشروط توزيع متجر التطبيقات التي </w:t>
      </w:r>
      <w:r>
        <w:rPr>
          <w:rFonts w:hint="cs"/>
          <w:rtl/>
        </w:rPr>
        <w:t>ينبغي أن يدركها</w:t>
      </w:r>
      <w:r w:rsidR="00571401">
        <w:rPr>
          <w:rtl/>
        </w:rPr>
        <w:t xml:space="preserve"> المطورون قبل اختيار متجر التطبيقات.</w:t>
      </w:r>
    </w:p>
    <w:p w:rsidR="00571401" w:rsidRDefault="00590C12" w:rsidP="004E0BF4">
      <w:pPr>
        <w:pStyle w:val="BodyText"/>
        <w:rPr>
          <w:rtl/>
        </w:rPr>
      </w:pPr>
      <w:r>
        <w:rPr>
          <w:rFonts w:hint="cs"/>
          <w:rtl/>
        </w:rPr>
        <w:t xml:space="preserve">ويتناول </w:t>
      </w:r>
      <w:r w:rsidR="00571401">
        <w:rPr>
          <w:rtl/>
        </w:rPr>
        <w:t xml:space="preserve">الفصل 7 </w:t>
      </w:r>
      <w:r>
        <w:rPr>
          <w:rtl/>
        </w:rPr>
        <w:t>اتفاق</w:t>
      </w:r>
      <w:r w:rsidR="00571401">
        <w:rPr>
          <w:rtl/>
        </w:rPr>
        <w:t>ات الإعلان</w:t>
      </w:r>
      <w:r>
        <w:rPr>
          <w:rFonts w:hint="cs"/>
          <w:rtl/>
        </w:rPr>
        <w:t>ات</w:t>
      </w:r>
      <w:r w:rsidR="00C039DF">
        <w:rPr>
          <w:rFonts w:hint="cs"/>
          <w:rtl/>
        </w:rPr>
        <w:t xml:space="preserve"> والدعايات</w:t>
      </w:r>
      <w:r w:rsidR="004E0BF4">
        <w:rPr>
          <w:rtl/>
        </w:rPr>
        <w:t>.</w:t>
      </w:r>
      <w:r w:rsidR="004E0BF4">
        <w:rPr>
          <w:rFonts w:hint="cs"/>
          <w:rtl/>
        </w:rPr>
        <w:t xml:space="preserve"> فالإعلان عن</w:t>
      </w:r>
      <w:r w:rsidR="00571401">
        <w:rPr>
          <w:rtl/>
        </w:rPr>
        <w:t xml:space="preserve"> تطبيقات الأجهزة المحمولة</w:t>
      </w:r>
      <w:r w:rsidR="004E0BF4">
        <w:rPr>
          <w:rFonts w:hint="cs"/>
          <w:rtl/>
        </w:rPr>
        <w:t xml:space="preserve"> يجري</w:t>
      </w:r>
      <w:r w:rsidR="00571401">
        <w:rPr>
          <w:rtl/>
        </w:rPr>
        <w:t xml:space="preserve"> من خلال شبكات الإعلانات</w:t>
      </w:r>
      <w:r>
        <w:rPr>
          <w:rtl/>
        </w:rPr>
        <w:t>، والتي تميل أ</w:t>
      </w:r>
      <w:r>
        <w:rPr>
          <w:rFonts w:hint="cs"/>
          <w:rtl/>
        </w:rPr>
        <w:t>يضاً</w:t>
      </w:r>
      <w:r w:rsidR="00571401">
        <w:rPr>
          <w:rtl/>
        </w:rPr>
        <w:t xml:space="preserve"> إلى </w:t>
      </w:r>
      <w:r w:rsidR="004E0BF4">
        <w:rPr>
          <w:rFonts w:hint="cs"/>
          <w:rtl/>
        </w:rPr>
        <w:t>العمل وفق شروطها المعتادة</w:t>
      </w:r>
      <w:r w:rsidR="00571401">
        <w:rPr>
          <w:rtl/>
        </w:rPr>
        <w:t xml:space="preserve">. </w:t>
      </w:r>
      <w:r>
        <w:rPr>
          <w:rFonts w:hint="cs"/>
          <w:rtl/>
        </w:rPr>
        <w:t>و</w:t>
      </w:r>
      <w:r w:rsidR="00571401">
        <w:rPr>
          <w:rtl/>
        </w:rPr>
        <w:t>يسل</w:t>
      </w:r>
      <w:r w:rsidR="004E0BF4">
        <w:rPr>
          <w:rFonts w:hint="cs"/>
          <w:rtl/>
        </w:rPr>
        <w:t>ّ</w:t>
      </w:r>
      <w:r w:rsidR="00571401">
        <w:rPr>
          <w:rtl/>
        </w:rPr>
        <w:t xml:space="preserve">ط الفصل الضوء على </w:t>
      </w:r>
      <w:r w:rsidR="004E0BF4">
        <w:rPr>
          <w:rFonts w:hint="cs"/>
          <w:rtl/>
        </w:rPr>
        <w:t>ضرورة</w:t>
      </w:r>
      <w:r w:rsidR="00571401">
        <w:rPr>
          <w:rtl/>
        </w:rPr>
        <w:t xml:space="preserve"> أن تقدم شبكة الإعلان</w:t>
      </w:r>
      <w:r>
        <w:rPr>
          <w:rtl/>
        </w:rPr>
        <w:t xml:space="preserve">ات إعلانات مناسبة </w:t>
      </w:r>
      <w:r>
        <w:rPr>
          <w:rFonts w:hint="cs"/>
          <w:rtl/>
        </w:rPr>
        <w:t xml:space="preserve">تتكيف مع </w:t>
      </w:r>
      <w:r w:rsidR="00571401">
        <w:rPr>
          <w:rtl/>
        </w:rPr>
        <w:t xml:space="preserve">تطبيق المطور، ولا سيما الفئات العمرية </w:t>
      </w:r>
      <w:r w:rsidR="004E0BF4">
        <w:rPr>
          <w:rFonts w:hint="cs"/>
          <w:rtl/>
        </w:rPr>
        <w:t>والولايات</w:t>
      </w:r>
      <w:r w:rsidR="00571401">
        <w:rPr>
          <w:rtl/>
        </w:rPr>
        <w:t xml:space="preserve"> القضائية المستهدفة. </w:t>
      </w:r>
      <w:r>
        <w:rPr>
          <w:rFonts w:hint="cs"/>
          <w:rtl/>
        </w:rPr>
        <w:t>و</w:t>
      </w:r>
      <w:r w:rsidR="00571401">
        <w:rPr>
          <w:rtl/>
        </w:rPr>
        <w:t xml:space="preserve">لن تؤثر الإعلانات غير الملائمة فقط على الإيرادات </w:t>
      </w:r>
      <w:r>
        <w:rPr>
          <w:rFonts w:hint="cs"/>
          <w:rtl/>
        </w:rPr>
        <w:t>بل قد</w:t>
      </w:r>
      <w:r>
        <w:rPr>
          <w:rtl/>
        </w:rPr>
        <w:t xml:space="preserve"> تولد علاقات عامة سيئة</w:t>
      </w:r>
      <w:r>
        <w:rPr>
          <w:rFonts w:hint="cs"/>
          <w:rtl/>
        </w:rPr>
        <w:t xml:space="preserve">، وقد </w:t>
      </w:r>
      <w:r w:rsidR="00571401">
        <w:rPr>
          <w:rtl/>
        </w:rPr>
        <w:t xml:space="preserve">تتسبب </w:t>
      </w:r>
      <w:r>
        <w:rPr>
          <w:rFonts w:hint="cs"/>
          <w:rtl/>
        </w:rPr>
        <w:t>أيضاً</w:t>
      </w:r>
      <w:r w:rsidR="00571401">
        <w:rPr>
          <w:rtl/>
        </w:rPr>
        <w:t xml:space="preserve"> في قيام متجر التطبيقات بإزالة التطبيق المعني. </w:t>
      </w:r>
      <w:r>
        <w:rPr>
          <w:rFonts w:hint="cs"/>
          <w:rtl/>
        </w:rPr>
        <w:t>و</w:t>
      </w:r>
      <w:r w:rsidR="00571401">
        <w:rPr>
          <w:rtl/>
        </w:rPr>
        <w:t xml:space="preserve">كما هو الحال مع الفصول السابقة، يتعمق هذا الفصل في البنود الرئيسية </w:t>
      </w:r>
      <w:r>
        <w:rPr>
          <w:rFonts w:hint="cs"/>
          <w:rtl/>
        </w:rPr>
        <w:t>لشروط الإعلان</w:t>
      </w:r>
      <w:r w:rsidR="00571401">
        <w:rPr>
          <w:rtl/>
        </w:rPr>
        <w:t xml:space="preserve"> التي </w:t>
      </w:r>
      <w:r>
        <w:rPr>
          <w:rFonts w:hint="cs"/>
          <w:rtl/>
        </w:rPr>
        <w:t>ينبغي</w:t>
      </w:r>
      <w:r w:rsidR="00571401">
        <w:rPr>
          <w:rtl/>
        </w:rPr>
        <w:t xml:space="preserve"> أن يكون المطورون على دراية بها.</w:t>
      </w:r>
    </w:p>
    <w:p w:rsidR="00571401" w:rsidRDefault="00590C12" w:rsidP="004E0BF4">
      <w:pPr>
        <w:pStyle w:val="BodyText"/>
        <w:rPr>
          <w:rtl/>
        </w:rPr>
      </w:pPr>
      <w:r>
        <w:rPr>
          <w:rFonts w:hint="cs"/>
          <w:rtl/>
        </w:rPr>
        <w:t>و</w:t>
      </w:r>
      <w:r w:rsidR="00571401">
        <w:rPr>
          <w:rtl/>
        </w:rPr>
        <w:t>يشرح الفصل 8 ما تغطي</w:t>
      </w:r>
      <w:r>
        <w:rPr>
          <w:rFonts w:hint="cs"/>
          <w:rtl/>
        </w:rPr>
        <w:t>ه</w:t>
      </w:r>
      <w:r>
        <w:rPr>
          <w:rtl/>
        </w:rPr>
        <w:t xml:space="preserve"> اتفاقات ترخيص المستخدم النهائي</w:t>
      </w:r>
      <w:r w:rsidR="00571401">
        <w:rPr>
          <w:rtl/>
        </w:rPr>
        <w:t xml:space="preserve"> وأهميتها فيما يتعلق بتوضيح الحقوق التي </w:t>
      </w:r>
      <w:r>
        <w:rPr>
          <w:rFonts w:hint="cs"/>
          <w:rtl/>
        </w:rPr>
        <w:t>يتمتع بها</w:t>
      </w:r>
      <w:r w:rsidR="00571401">
        <w:rPr>
          <w:rtl/>
        </w:rPr>
        <w:t xml:space="preserve"> المستخدم النهائي والقيود</w:t>
      </w:r>
      <w:r>
        <w:rPr>
          <w:rtl/>
        </w:rPr>
        <w:t xml:space="preserve"> التي يخضع لها</w:t>
      </w:r>
      <w:r>
        <w:rPr>
          <w:rFonts w:hint="cs"/>
          <w:rtl/>
        </w:rPr>
        <w:t xml:space="preserve">، ومناقشة قضايا </w:t>
      </w:r>
      <w:r w:rsidR="004E0BF4">
        <w:rPr>
          <w:rFonts w:hint="cs"/>
          <w:rtl/>
        </w:rPr>
        <w:t>مثل</w:t>
      </w:r>
      <w:r>
        <w:rPr>
          <w:rFonts w:hint="cs"/>
          <w:rtl/>
        </w:rPr>
        <w:t xml:space="preserve"> </w:t>
      </w:r>
      <w:r w:rsidR="00571401">
        <w:rPr>
          <w:rtl/>
        </w:rPr>
        <w:t xml:space="preserve">مسؤولية المطورين. </w:t>
      </w:r>
      <w:r>
        <w:rPr>
          <w:rFonts w:hint="cs"/>
          <w:rtl/>
        </w:rPr>
        <w:t>و</w:t>
      </w:r>
      <w:r w:rsidR="00571401">
        <w:rPr>
          <w:rtl/>
        </w:rPr>
        <w:t>تشمل الاعتبارات الرئيسية</w:t>
      </w:r>
      <w:r w:rsidR="004E0BF4">
        <w:rPr>
          <w:rFonts w:hint="cs"/>
          <w:rtl/>
        </w:rPr>
        <w:t xml:space="preserve"> التي ينبغي مراعاتها</w:t>
      </w:r>
      <w:r w:rsidR="00571401">
        <w:rPr>
          <w:rtl/>
        </w:rPr>
        <w:t xml:space="preserve"> الانتباه إلى أي متطلبات محددة لقوانين المستهلك المحلية. </w:t>
      </w:r>
      <w:r w:rsidR="004153C6">
        <w:rPr>
          <w:rFonts w:hint="cs"/>
          <w:rtl/>
        </w:rPr>
        <w:t>و</w:t>
      </w:r>
      <w:r w:rsidR="00571401">
        <w:rPr>
          <w:rtl/>
        </w:rPr>
        <w:t>يناقش</w:t>
      </w:r>
      <w:r w:rsidR="004153C6">
        <w:rPr>
          <w:rFonts w:hint="cs"/>
          <w:rtl/>
        </w:rPr>
        <w:t xml:space="preserve"> الفصل أيضاً</w:t>
      </w:r>
      <w:r w:rsidR="00571401">
        <w:rPr>
          <w:rtl/>
        </w:rPr>
        <w:t xml:space="preserve"> البنود الرئيسية التي عادة ما </w:t>
      </w:r>
      <w:r w:rsidR="004153C6">
        <w:rPr>
          <w:rFonts w:hint="cs"/>
          <w:rtl/>
        </w:rPr>
        <w:t>تغطيها</w:t>
      </w:r>
      <w:r w:rsidR="004153C6">
        <w:rPr>
          <w:rtl/>
        </w:rPr>
        <w:t xml:space="preserve"> اتفاقات ترخيص المستخدم النهائي</w:t>
      </w:r>
      <w:r w:rsidR="004153C6">
        <w:rPr>
          <w:rFonts w:hint="cs"/>
          <w:rtl/>
        </w:rPr>
        <w:t>.</w:t>
      </w:r>
    </w:p>
    <w:p w:rsidR="00571401" w:rsidRDefault="004153C6" w:rsidP="004E0BF4">
      <w:pPr>
        <w:pStyle w:val="BodyText"/>
        <w:rPr>
          <w:rtl/>
        </w:rPr>
      </w:pPr>
      <w:r>
        <w:rPr>
          <w:rFonts w:hint="cs"/>
          <w:rtl/>
        </w:rPr>
        <w:t>و</w:t>
      </w:r>
      <w:r w:rsidR="00571401">
        <w:rPr>
          <w:rtl/>
        </w:rPr>
        <w:t xml:space="preserve">يوضح الفصل 9 بالتفصيل تعقيد النظام </w:t>
      </w:r>
      <w:r w:rsidR="004E0BF4">
        <w:rPr>
          <w:rFonts w:hint="cs"/>
          <w:rtl/>
        </w:rPr>
        <w:t>الإيكولوجي</w:t>
      </w:r>
      <w:r>
        <w:rPr>
          <w:rFonts w:hint="cs"/>
          <w:rtl/>
        </w:rPr>
        <w:t xml:space="preserve"> </w:t>
      </w:r>
      <w:r w:rsidR="004E0BF4">
        <w:rPr>
          <w:rFonts w:hint="cs"/>
          <w:rtl/>
        </w:rPr>
        <w:t>للأجهزة المحمولة</w:t>
      </w:r>
      <w:r w:rsidR="00571401">
        <w:rPr>
          <w:rtl/>
        </w:rPr>
        <w:t xml:space="preserve"> وكيف تجعل</w:t>
      </w:r>
      <w:r>
        <w:rPr>
          <w:rFonts w:hint="cs"/>
          <w:rtl/>
        </w:rPr>
        <w:t>ه</w:t>
      </w:r>
      <w:r w:rsidR="00571401">
        <w:rPr>
          <w:rtl/>
        </w:rPr>
        <w:t xml:space="preserve"> خصائص الأجهزة المحمولة عرضة لانتهاكات خصوصية البيانات. </w:t>
      </w:r>
      <w:r>
        <w:rPr>
          <w:rFonts w:hint="cs"/>
          <w:rtl/>
        </w:rPr>
        <w:t>و</w:t>
      </w:r>
      <w:r w:rsidR="00571401">
        <w:rPr>
          <w:rtl/>
        </w:rPr>
        <w:t>تختلف قوانين</w:t>
      </w:r>
      <w:r>
        <w:rPr>
          <w:rtl/>
        </w:rPr>
        <w:t xml:space="preserve"> خصوصية البيانات من بلد إلى آخر</w:t>
      </w:r>
      <w:r>
        <w:rPr>
          <w:rFonts w:hint="cs"/>
          <w:rtl/>
        </w:rPr>
        <w:t xml:space="preserve">، حيث تميل </w:t>
      </w:r>
      <w:r w:rsidR="00571401">
        <w:rPr>
          <w:rtl/>
        </w:rPr>
        <w:t>مبادرات معينة مثل اللائحة الأوروبية العامة لحماية البيانات (</w:t>
      </w:r>
      <w:proofErr w:type="spellStart"/>
      <w:r w:rsidR="00571401">
        <w:t>GDPR</w:t>
      </w:r>
      <w:proofErr w:type="spellEnd"/>
      <w:r>
        <w:rPr>
          <w:rtl/>
        </w:rPr>
        <w:t>)</w:t>
      </w:r>
      <w:r w:rsidR="00571401">
        <w:rPr>
          <w:rtl/>
        </w:rPr>
        <w:t xml:space="preserve"> إلى أن تمتد على نطاق أوسع من أوروبا</w:t>
      </w:r>
      <w:r>
        <w:rPr>
          <w:rtl/>
        </w:rPr>
        <w:t xml:space="preserve">، </w:t>
      </w:r>
      <w:r>
        <w:rPr>
          <w:rFonts w:hint="cs"/>
          <w:rtl/>
        </w:rPr>
        <w:t>لذلك،</w:t>
      </w:r>
      <w:r w:rsidR="00571401">
        <w:rPr>
          <w:rtl/>
        </w:rPr>
        <w:t xml:space="preserve"> من الضروري للمطورين خارج المنطقة الاقتصادية الأوروبية أن يكونوا على دراية</w:t>
      </w:r>
      <w:r>
        <w:rPr>
          <w:rFonts w:hint="cs"/>
          <w:rtl/>
        </w:rPr>
        <w:t xml:space="preserve"> ب</w:t>
      </w:r>
      <w:r w:rsidR="00571401">
        <w:rPr>
          <w:rtl/>
        </w:rPr>
        <w:t>متطلبات</w:t>
      </w:r>
      <w:r>
        <w:rPr>
          <w:rFonts w:hint="cs"/>
          <w:rtl/>
        </w:rPr>
        <w:t>ها ال</w:t>
      </w:r>
      <w:r w:rsidR="00571401">
        <w:rPr>
          <w:rtl/>
        </w:rPr>
        <w:t xml:space="preserve">صارمة نوعا ما. </w:t>
      </w:r>
      <w:r>
        <w:rPr>
          <w:rFonts w:hint="cs"/>
          <w:rtl/>
        </w:rPr>
        <w:t>ويغطي</w:t>
      </w:r>
      <w:r w:rsidR="00571401">
        <w:rPr>
          <w:rtl/>
        </w:rPr>
        <w:t xml:space="preserve"> الفصل</w:t>
      </w:r>
      <w:r>
        <w:rPr>
          <w:rFonts w:hint="cs"/>
          <w:rtl/>
        </w:rPr>
        <w:t xml:space="preserve"> بعد ذلك</w:t>
      </w:r>
      <w:r w:rsidR="00571401">
        <w:rPr>
          <w:rtl/>
        </w:rPr>
        <w:t xml:space="preserve"> بإيجاز بعض الجوانب الرئيسية لهذا التشريع والوثائق الأساسية التي قد تكون مطلوبة للتنفيذ. </w:t>
      </w:r>
      <w:r>
        <w:rPr>
          <w:rFonts w:hint="cs"/>
          <w:rtl/>
        </w:rPr>
        <w:t>وتُقدّم</w:t>
      </w:r>
      <w:r w:rsidR="00571401">
        <w:rPr>
          <w:rtl/>
        </w:rPr>
        <w:t xml:space="preserve"> بعض الاعتبارات الخاصة عند التعامل مع أنواع معينة من البيانات الحساسة. </w:t>
      </w:r>
      <w:r>
        <w:rPr>
          <w:rFonts w:hint="cs"/>
          <w:rtl/>
        </w:rPr>
        <w:t>ويُذكّر</w:t>
      </w:r>
      <w:r>
        <w:rPr>
          <w:rtl/>
        </w:rPr>
        <w:t xml:space="preserve"> المطور</w:t>
      </w:r>
      <w:r>
        <w:rPr>
          <w:rFonts w:hint="cs"/>
          <w:rtl/>
        </w:rPr>
        <w:t>و</w:t>
      </w:r>
      <w:r w:rsidR="00571401">
        <w:rPr>
          <w:rtl/>
        </w:rPr>
        <w:t xml:space="preserve">ن </w:t>
      </w:r>
      <w:r>
        <w:rPr>
          <w:rFonts w:hint="cs"/>
          <w:rtl/>
        </w:rPr>
        <w:t>بأن من واجبهم</w:t>
      </w:r>
      <w:r w:rsidR="00571401">
        <w:rPr>
          <w:rtl/>
        </w:rPr>
        <w:t xml:space="preserve"> الامتثال للتشريعات المحلية الخاصة بهم.</w:t>
      </w:r>
    </w:p>
    <w:p w:rsidR="00571401" w:rsidRDefault="004153C6" w:rsidP="004E0BF4">
      <w:pPr>
        <w:pStyle w:val="BodyText"/>
        <w:rPr>
          <w:rtl/>
        </w:rPr>
      </w:pPr>
      <w:r>
        <w:rPr>
          <w:rFonts w:hint="cs"/>
          <w:rtl/>
        </w:rPr>
        <w:t xml:space="preserve">وأخيراً، يحتوي </w:t>
      </w:r>
      <w:r w:rsidR="004E0BF4">
        <w:rPr>
          <w:rFonts w:hint="cs"/>
          <w:rtl/>
        </w:rPr>
        <w:t>الدليل</w:t>
      </w:r>
      <w:r>
        <w:rPr>
          <w:rFonts w:hint="cs"/>
          <w:rtl/>
        </w:rPr>
        <w:t xml:space="preserve"> على </w:t>
      </w:r>
      <w:r>
        <w:rPr>
          <w:rtl/>
        </w:rPr>
        <w:t xml:space="preserve">مذكرة </w:t>
      </w:r>
      <w:r w:rsidR="00571401">
        <w:rPr>
          <w:rtl/>
        </w:rPr>
        <w:t xml:space="preserve">ختامية </w:t>
      </w:r>
      <w:r>
        <w:rPr>
          <w:rFonts w:hint="cs"/>
          <w:rtl/>
        </w:rPr>
        <w:t xml:space="preserve">وهي </w:t>
      </w:r>
      <w:r w:rsidR="00571401">
        <w:rPr>
          <w:rtl/>
        </w:rPr>
        <w:t xml:space="preserve">عبارة عن ملخص يؤكد الحاجة إلى فهم العناصر الأساسية لتطبيقات الأجهزة المحمولة قبل تنفيذ الأدوات من أجل تحقيق النجاح. كما تشجع المذكرة الختامية على الاستفادة من مختلف الموارد التي </w:t>
      </w:r>
      <w:proofErr w:type="spellStart"/>
      <w:r>
        <w:rPr>
          <w:rFonts w:hint="cs"/>
          <w:rtl/>
        </w:rPr>
        <w:t>تتيحها</w:t>
      </w:r>
      <w:proofErr w:type="spellEnd"/>
      <w:r w:rsidR="00571401">
        <w:rPr>
          <w:rtl/>
        </w:rPr>
        <w:t xml:space="preserve"> </w:t>
      </w:r>
      <w:proofErr w:type="spellStart"/>
      <w:r w:rsidR="00571401">
        <w:rPr>
          <w:rtl/>
        </w:rPr>
        <w:t>الويبو</w:t>
      </w:r>
      <w:proofErr w:type="spellEnd"/>
      <w:r w:rsidR="00571401">
        <w:rPr>
          <w:rtl/>
        </w:rPr>
        <w:t xml:space="preserve"> وتوصي المطورين بما يلي:</w:t>
      </w:r>
    </w:p>
    <w:p w:rsidR="00571401" w:rsidRDefault="00571401" w:rsidP="004153C6">
      <w:pPr>
        <w:pStyle w:val="BodyText"/>
        <w:numPr>
          <w:ilvl w:val="0"/>
          <w:numId w:val="10"/>
        </w:numPr>
        <w:rPr>
          <w:rtl/>
        </w:rPr>
      </w:pPr>
      <w:r>
        <w:rPr>
          <w:rtl/>
        </w:rPr>
        <w:t xml:space="preserve">التعرف على حقوق الملكية الفكرية الخاصة بتطبيقات </w:t>
      </w:r>
      <w:r w:rsidR="004153C6">
        <w:rPr>
          <w:rFonts w:hint="cs"/>
          <w:rtl/>
        </w:rPr>
        <w:t>الأجهزة</w:t>
      </w:r>
      <w:r>
        <w:rPr>
          <w:rtl/>
        </w:rPr>
        <w:t xml:space="preserve"> المحمول ومتطلبات قو</w:t>
      </w:r>
      <w:r w:rsidR="004153C6">
        <w:rPr>
          <w:rtl/>
        </w:rPr>
        <w:t>انين حماية البيانات المعمول بها</w:t>
      </w:r>
      <w:r w:rsidR="004153C6">
        <w:rPr>
          <w:rFonts w:hint="cs"/>
          <w:rtl/>
        </w:rPr>
        <w:t>؛</w:t>
      </w:r>
    </w:p>
    <w:p w:rsidR="00571401" w:rsidRDefault="004153C6" w:rsidP="004153C6">
      <w:pPr>
        <w:pStyle w:val="BodyText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الدراسة المتعمقة</w:t>
      </w:r>
      <w:r w:rsidR="00571401">
        <w:rPr>
          <w:rtl/>
        </w:rPr>
        <w:t xml:space="preserve"> (على الأقل) </w:t>
      </w:r>
      <w:r>
        <w:rPr>
          <w:rFonts w:hint="cs"/>
          <w:rtl/>
        </w:rPr>
        <w:t>للقضايا</w:t>
      </w:r>
      <w:r w:rsidR="00571401">
        <w:rPr>
          <w:rtl/>
        </w:rPr>
        <w:t xml:space="preserve"> الرئيسية التي ستظهر طوال دورة حياة التطبيق. </w:t>
      </w:r>
      <w:r>
        <w:rPr>
          <w:rFonts w:hint="cs"/>
          <w:rtl/>
        </w:rPr>
        <w:t>وطلب</w:t>
      </w:r>
      <w:r w:rsidR="00571401">
        <w:rPr>
          <w:rtl/>
        </w:rPr>
        <w:t xml:space="preserve"> المشو</w:t>
      </w:r>
      <w:r>
        <w:rPr>
          <w:rtl/>
        </w:rPr>
        <w:t>رة القانونية في المراحل المبكرة</w:t>
      </w:r>
      <w:r>
        <w:rPr>
          <w:rFonts w:hint="cs"/>
          <w:rtl/>
        </w:rPr>
        <w:t xml:space="preserve"> من تطوير التطبيق؛</w:t>
      </w:r>
    </w:p>
    <w:p w:rsidR="00571401" w:rsidRDefault="00571401" w:rsidP="00571401">
      <w:pPr>
        <w:pStyle w:val="BodyText"/>
        <w:numPr>
          <w:ilvl w:val="0"/>
          <w:numId w:val="10"/>
        </w:numPr>
        <w:rPr>
          <w:rtl/>
        </w:rPr>
      </w:pPr>
      <w:r>
        <w:rPr>
          <w:rtl/>
        </w:rPr>
        <w:t>ح</w:t>
      </w:r>
      <w:r w:rsidR="004153C6">
        <w:rPr>
          <w:rtl/>
        </w:rPr>
        <w:t>ماية الملكية الفكرية الخاصة بهم</w:t>
      </w:r>
      <w:r w:rsidR="004153C6">
        <w:rPr>
          <w:rFonts w:hint="cs"/>
          <w:rtl/>
        </w:rPr>
        <w:t>؛</w:t>
      </w:r>
    </w:p>
    <w:p w:rsidR="00571401" w:rsidRDefault="004E0BF4" w:rsidP="004153C6">
      <w:pPr>
        <w:pStyle w:val="BodyText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إيلاء</w:t>
      </w:r>
      <w:r w:rsidR="00571401">
        <w:rPr>
          <w:rtl/>
        </w:rPr>
        <w:t xml:space="preserve"> العناية الواجبة الأساسية عند التعامل مع أطراف </w:t>
      </w:r>
      <w:r w:rsidR="004153C6">
        <w:rPr>
          <w:rFonts w:hint="cs"/>
          <w:rtl/>
        </w:rPr>
        <w:t>خارجية؛</w:t>
      </w:r>
    </w:p>
    <w:p w:rsidR="00571401" w:rsidRPr="00571401" w:rsidRDefault="00571401" w:rsidP="004153C6">
      <w:pPr>
        <w:pStyle w:val="BodyText"/>
        <w:numPr>
          <w:ilvl w:val="0"/>
          <w:numId w:val="10"/>
        </w:numPr>
      </w:pPr>
      <w:r>
        <w:rPr>
          <w:rtl/>
        </w:rPr>
        <w:t xml:space="preserve">بعد دراسة </w:t>
      </w:r>
      <w:r w:rsidR="004153C6">
        <w:rPr>
          <w:rFonts w:hint="cs"/>
          <w:rtl/>
        </w:rPr>
        <w:t>متأنية</w:t>
      </w:r>
      <w:r>
        <w:rPr>
          <w:rtl/>
        </w:rPr>
        <w:t xml:space="preserve">، </w:t>
      </w:r>
      <w:r w:rsidR="004153C6">
        <w:rPr>
          <w:rFonts w:hint="cs"/>
          <w:rtl/>
        </w:rPr>
        <w:t>إبرام</w:t>
      </w:r>
      <w:r>
        <w:rPr>
          <w:rtl/>
        </w:rPr>
        <w:t xml:space="preserve"> العقود اللازمة حتى تكون </w:t>
      </w:r>
      <w:r w:rsidR="004153C6">
        <w:rPr>
          <w:rFonts w:hint="cs"/>
          <w:rtl/>
        </w:rPr>
        <w:t>الاتفاقات</w:t>
      </w:r>
      <w:r>
        <w:rPr>
          <w:rtl/>
        </w:rPr>
        <w:t xml:space="preserve"> واضحة وتفي بالتوقعات </w:t>
      </w:r>
      <w:r w:rsidR="004153C6">
        <w:rPr>
          <w:rFonts w:hint="cs"/>
          <w:rtl/>
        </w:rPr>
        <w:t>وتقلل من</w:t>
      </w:r>
      <w:r>
        <w:rPr>
          <w:rtl/>
        </w:rPr>
        <w:t xml:space="preserve"> مخاطر النزاعات</w:t>
      </w:r>
      <w:r w:rsidR="004153C6">
        <w:rPr>
          <w:rFonts w:hint="cs"/>
          <w:rtl/>
        </w:rPr>
        <w:t xml:space="preserve"> الطويلة والمكلفة</w:t>
      </w:r>
      <w:r>
        <w:rPr>
          <w:rtl/>
        </w:rPr>
        <w:t>.</w:t>
      </w:r>
    </w:p>
    <w:p w:rsidR="00571401" w:rsidRPr="00571401" w:rsidRDefault="00571401" w:rsidP="00571401">
      <w:pPr>
        <w:pStyle w:val="BodyText"/>
        <w:rPr>
          <w:rtl/>
          <w:lang w:bidi="ar-EG"/>
        </w:rPr>
      </w:pPr>
    </w:p>
    <w:p w:rsidR="008E51C9" w:rsidRDefault="00571401" w:rsidP="00571401">
      <w:pPr>
        <w:pStyle w:val="Endofdocument-Annex"/>
        <w:rPr>
          <w:lang w:bidi="ar-EG"/>
        </w:rPr>
      </w:pPr>
      <w:r>
        <w:rPr>
          <w:rtl/>
          <w:lang w:bidi="ar-EG"/>
        </w:rPr>
        <w:t xml:space="preserve"> </w:t>
      </w:r>
      <w:r w:rsidR="00794807">
        <w:rPr>
          <w:rtl/>
          <w:lang w:bidi="ar-EG"/>
        </w:rPr>
        <w:t>[نهاية المرفق والوثيقة]</w:t>
      </w:r>
    </w:p>
    <w:sectPr w:rsidR="008E51C9" w:rsidSect="00D01DAE">
      <w:headerReference w:type="first" r:id="rId18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C3" w:rsidRDefault="005437C3">
      <w:r>
        <w:separator/>
      </w:r>
    </w:p>
  </w:endnote>
  <w:endnote w:type="continuationSeparator" w:id="0">
    <w:p w:rsidR="005437C3" w:rsidRDefault="005437C3" w:rsidP="003B38C1">
      <w:r>
        <w:separator/>
      </w:r>
    </w:p>
    <w:p w:rsidR="005437C3" w:rsidRPr="003B38C1" w:rsidRDefault="005437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37C3" w:rsidRPr="003B38C1" w:rsidRDefault="005437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04" w:rsidRDefault="005A1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04" w:rsidRDefault="005A1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04" w:rsidRDefault="005A1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C3" w:rsidRDefault="005437C3">
      <w:r>
        <w:separator/>
      </w:r>
    </w:p>
  </w:footnote>
  <w:footnote w:type="continuationSeparator" w:id="0">
    <w:p w:rsidR="005437C3" w:rsidRDefault="005437C3" w:rsidP="008B60B2">
      <w:r>
        <w:separator/>
      </w:r>
    </w:p>
    <w:p w:rsidR="005437C3" w:rsidRPr="00ED77FB" w:rsidRDefault="005437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37C3" w:rsidRPr="00ED77FB" w:rsidRDefault="005437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04" w:rsidRDefault="005A1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A31B9" w:rsidP="00516C18">
    <w:pPr>
      <w:bidi w:val="0"/>
      <w:rPr>
        <w:lang w:val="fr-CH"/>
      </w:rPr>
    </w:pPr>
    <w:r w:rsidRPr="00E571B4">
      <w:t>CDIP/2</w:t>
    </w:r>
    <w:r w:rsidR="00516C18">
      <w:t>8</w:t>
    </w:r>
    <w:r w:rsidR="003E11FB">
      <w:t>/</w:t>
    </w:r>
    <w:proofErr w:type="spellStart"/>
    <w:r w:rsidR="00DA505F">
      <w:rPr>
        <w:lang w:val="fr-CH"/>
      </w:rPr>
      <w:t>INF</w:t>
    </w:r>
    <w:proofErr w:type="spellEnd"/>
    <w:r w:rsidR="00DA505F">
      <w:rPr>
        <w:lang w:val="fr-CH"/>
      </w:rPr>
      <w:t>/</w:t>
    </w:r>
    <w:r w:rsidR="00DA505F">
      <w:rPr>
        <w:rFonts w:hint="cs"/>
        <w:rtl/>
        <w:lang w:val="fr-CH"/>
      </w:rPr>
      <w:t>8</w:t>
    </w:r>
  </w:p>
  <w:p w:rsidR="003E11FB" w:rsidRPr="003E11FB" w:rsidRDefault="004B6E52" w:rsidP="003E11FB">
    <w:pPr>
      <w:bidi w:val="0"/>
      <w:rPr>
        <w:lang w:val="fr-CH"/>
      </w:rPr>
    </w:pPr>
    <w:proofErr w:type="spellStart"/>
    <w:r>
      <w:rPr>
        <w:lang w:val="fr-CH"/>
      </w:rPr>
      <w:t>Annex</w:t>
    </w:r>
    <w:proofErr w:type="spellEnd"/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5A1404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04" w:rsidRDefault="005A14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CC" w:rsidRPr="004B68DB" w:rsidRDefault="004B68DB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rtl/>
        <w:lang w:val="fr-CH" w:eastAsia="en-US" w:bidi="ar-SY"/>
      </w:rPr>
    </w:pPr>
    <w:r>
      <w:rPr>
        <w:rFonts w:eastAsia="Arial" w:cs="Arial"/>
        <w:lang w:eastAsia="en-US"/>
      </w:rPr>
      <w:t>CDIP/28/INF/</w:t>
    </w:r>
    <w:r w:rsidR="003815EF">
      <w:rPr>
        <w:rFonts w:eastAsia="Arial" w:cs="Arial" w:hint="cs"/>
        <w:rtl/>
        <w:lang w:val="fr-CH" w:eastAsia="en-US"/>
      </w:rPr>
      <w:t>8</w:t>
    </w:r>
  </w:p>
  <w:p w:rsidR="006850CC" w:rsidRPr="008E51C9" w:rsidRDefault="008E51C9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lang w:val="fr-CH" w:eastAsia="en-US" w:bidi="ar-SY"/>
      </w:rPr>
    </w:pPr>
    <w:r>
      <w:rPr>
        <w:rFonts w:eastAsia="Arial" w:cs="Arial"/>
        <w:lang w:eastAsia="en-US"/>
      </w:rPr>
      <w:t>ANNEX</w:t>
    </w:r>
  </w:p>
  <w:p w:rsidR="006850CC" w:rsidRPr="006850CC" w:rsidRDefault="006850CC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asciiTheme="minorHAnsi" w:eastAsia="Arial" w:hAnsiTheme="minorHAnsi" w:cstheme="minorHAnsi"/>
        <w:rtl/>
        <w:lang w:eastAsia="en-US"/>
      </w:rPr>
    </w:pPr>
    <w:r w:rsidRPr="006850CC">
      <w:rPr>
        <w:rFonts w:asciiTheme="minorHAnsi" w:eastAsia="Arial" w:hAnsiTheme="minorHAnsi" w:cstheme="minorHAnsi"/>
        <w:rtl/>
        <w:lang w:eastAsia="en-US"/>
      </w:rPr>
      <w:t>المرفق</w:t>
    </w:r>
  </w:p>
  <w:p w:rsidR="006850CC" w:rsidRDefault="00D01DAE" w:rsidP="006850CC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rtl/>
        <w:lang w:eastAsia="en-US"/>
      </w:rPr>
    </w:pPr>
    <w:r w:rsidRPr="00D01DAE">
      <w:rPr>
        <w:rFonts w:eastAsia="Arial" w:cs="Arial"/>
        <w:lang w:eastAsia="en-US"/>
      </w:rPr>
      <w:fldChar w:fldCharType="begin"/>
    </w:r>
    <w:r w:rsidRPr="00D01DAE">
      <w:rPr>
        <w:rFonts w:eastAsia="Arial" w:cs="Arial"/>
        <w:lang w:eastAsia="en-US"/>
      </w:rPr>
      <w:instrText xml:space="preserve"> PAGE   \* MERGEFORMAT </w:instrText>
    </w:r>
    <w:r w:rsidRPr="00D01DAE">
      <w:rPr>
        <w:rFonts w:eastAsia="Arial" w:cs="Arial"/>
        <w:lang w:eastAsia="en-US"/>
      </w:rPr>
      <w:fldChar w:fldCharType="separate"/>
    </w:r>
    <w:r w:rsidR="005A1404">
      <w:rPr>
        <w:rFonts w:eastAsia="Arial" w:cs="Arial"/>
        <w:noProof/>
        <w:lang w:eastAsia="en-US"/>
      </w:rPr>
      <w:t>1</w:t>
    </w:r>
    <w:r w:rsidRPr="00D01DAE">
      <w:rPr>
        <w:rFonts w:eastAsia="Arial" w:cs="Arial"/>
        <w:noProof/>
        <w:lang w:eastAsia="en-US"/>
      </w:rPr>
      <w:fldChar w:fldCharType="end"/>
    </w:r>
  </w:p>
  <w:p w:rsidR="00D01DAE" w:rsidRPr="006850CC" w:rsidRDefault="00D01DAE" w:rsidP="00D01DAE">
    <w:pPr>
      <w:widowControl w:val="0"/>
      <w:tabs>
        <w:tab w:val="center" w:pos="4536"/>
        <w:tab w:val="right" w:pos="9072"/>
      </w:tabs>
      <w:autoSpaceDE w:val="0"/>
      <w:autoSpaceDN w:val="0"/>
      <w:bidi w:val="0"/>
      <w:rPr>
        <w:rFonts w:eastAsia="Arial" w:cs="Arial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F3282"/>
    <w:multiLevelType w:val="hybridMultilevel"/>
    <w:tmpl w:val="A57C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096010E"/>
    <w:multiLevelType w:val="hybridMultilevel"/>
    <w:tmpl w:val="3BDAAE74"/>
    <w:lvl w:ilvl="0" w:tplc="88EC30B8">
      <w:numFmt w:val="bullet"/>
      <w:lvlText w:val="•"/>
      <w:lvlJc w:val="left"/>
      <w:pPr>
        <w:ind w:left="128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86BDF"/>
    <w:multiLevelType w:val="hybridMultilevel"/>
    <w:tmpl w:val="8BA47FD6"/>
    <w:lvl w:ilvl="0" w:tplc="846474A0">
      <w:numFmt w:val="bullet"/>
      <w:lvlText w:val="-"/>
      <w:lvlJc w:val="left"/>
      <w:pPr>
        <w:ind w:left="92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ED4ADA"/>
    <w:multiLevelType w:val="hybridMultilevel"/>
    <w:tmpl w:val="93361064"/>
    <w:lvl w:ilvl="0" w:tplc="88EC30B8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2" w15:restartNumberingAfterBreak="0">
    <w:nsid w:val="64625CB3"/>
    <w:multiLevelType w:val="hybridMultilevel"/>
    <w:tmpl w:val="E9BA0BDE"/>
    <w:lvl w:ilvl="0" w:tplc="2EB2CD50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21B0"/>
    <w:rsid w:val="000235C6"/>
    <w:rsid w:val="00043CAA"/>
    <w:rsid w:val="00056816"/>
    <w:rsid w:val="00075432"/>
    <w:rsid w:val="000968ED"/>
    <w:rsid w:val="000A2E6B"/>
    <w:rsid w:val="000A3D97"/>
    <w:rsid w:val="000E0F93"/>
    <w:rsid w:val="000F5E56"/>
    <w:rsid w:val="001218A5"/>
    <w:rsid w:val="001362EE"/>
    <w:rsid w:val="001406E1"/>
    <w:rsid w:val="00155D8A"/>
    <w:rsid w:val="001647D5"/>
    <w:rsid w:val="00165756"/>
    <w:rsid w:val="001832A6"/>
    <w:rsid w:val="001863CC"/>
    <w:rsid w:val="0019592A"/>
    <w:rsid w:val="001C409A"/>
    <w:rsid w:val="001D4107"/>
    <w:rsid w:val="001E4A3F"/>
    <w:rsid w:val="00201D0F"/>
    <w:rsid w:val="00203D24"/>
    <w:rsid w:val="00210D5F"/>
    <w:rsid w:val="0021217E"/>
    <w:rsid w:val="002326AB"/>
    <w:rsid w:val="00235E78"/>
    <w:rsid w:val="00243430"/>
    <w:rsid w:val="002634C4"/>
    <w:rsid w:val="002851FE"/>
    <w:rsid w:val="002928D3"/>
    <w:rsid w:val="002A6F03"/>
    <w:rsid w:val="002F1FE6"/>
    <w:rsid w:val="002F4E68"/>
    <w:rsid w:val="00312F7F"/>
    <w:rsid w:val="00361450"/>
    <w:rsid w:val="003673CF"/>
    <w:rsid w:val="00372C0F"/>
    <w:rsid w:val="003815EF"/>
    <w:rsid w:val="003845C1"/>
    <w:rsid w:val="003A6F89"/>
    <w:rsid w:val="003B355C"/>
    <w:rsid w:val="003B38C1"/>
    <w:rsid w:val="003B3EBE"/>
    <w:rsid w:val="003C34E9"/>
    <w:rsid w:val="003E11FB"/>
    <w:rsid w:val="004153C6"/>
    <w:rsid w:val="00420CEA"/>
    <w:rsid w:val="00423E3E"/>
    <w:rsid w:val="004253BE"/>
    <w:rsid w:val="00427AF4"/>
    <w:rsid w:val="004415CA"/>
    <w:rsid w:val="004647DA"/>
    <w:rsid w:val="00474062"/>
    <w:rsid w:val="004741B0"/>
    <w:rsid w:val="004742BA"/>
    <w:rsid w:val="00477D6B"/>
    <w:rsid w:val="004B68DB"/>
    <w:rsid w:val="004B6E52"/>
    <w:rsid w:val="004E0BF4"/>
    <w:rsid w:val="0050074C"/>
    <w:rsid w:val="005019FF"/>
    <w:rsid w:val="00516C18"/>
    <w:rsid w:val="0053057A"/>
    <w:rsid w:val="005417B0"/>
    <w:rsid w:val="005437C3"/>
    <w:rsid w:val="005515F4"/>
    <w:rsid w:val="00556076"/>
    <w:rsid w:val="00560A29"/>
    <w:rsid w:val="00571401"/>
    <w:rsid w:val="00573870"/>
    <w:rsid w:val="005739A5"/>
    <w:rsid w:val="00590C12"/>
    <w:rsid w:val="005A1404"/>
    <w:rsid w:val="005C6649"/>
    <w:rsid w:val="005E7B89"/>
    <w:rsid w:val="00605827"/>
    <w:rsid w:val="00646050"/>
    <w:rsid w:val="006713CA"/>
    <w:rsid w:val="00676C5C"/>
    <w:rsid w:val="006850CC"/>
    <w:rsid w:val="006B5C12"/>
    <w:rsid w:val="00704A5E"/>
    <w:rsid w:val="00720EFD"/>
    <w:rsid w:val="007854AF"/>
    <w:rsid w:val="0079161C"/>
    <w:rsid w:val="00793A7C"/>
    <w:rsid w:val="00794807"/>
    <w:rsid w:val="007A339B"/>
    <w:rsid w:val="007A398A"/>
    <w:rsid w:val="007C353E"/>
    <w:rsid w:val="007C4902"/>
    <w:rsid w:val="007D1613"/>
    <w:rsid w:val="007D29B7"/>
    <w:rsid w:val="007E4C0E"/>
    <w:rsid w:val="00877037"/>
    <w:rsid w:val="008A134B"/>
    <w:rsid w:val="008B2CC1"/>
    <w:rsid w:val="008B60B2"/>
    <w:rsid w:val="008E3E51"/>
    <w:rsid w:val="008E51C9"/>
    <w:rsid w:val="0090731E"/>
    <w:rsid w:val="00916EE2"/>
    <w:rsid w:val="00966A22"/>
    <w:rsid w:val="0096722F"/>
    <w:rsid w:val="00980843"/>
    <w:rsid w:val="009872EF"/>
    <w:rsid w:val="00995903"/>
    <w:rsid w:val="009B0855"/>
    <w:rsid w:val="009E2791"/>
    <w:rsid w:val="009E3F6F"/>
    <w:rsid w:val="009E4E84"/>
    <w:rsid w:val="009F499F"/>
    <w:rsid w:val="00A24761"/>
    <w:rsid w:val="00A2667D"/>
    <w:rsid w:val="00A37342"/>
    <w:rsid w:val="00A42DAF"/>
    <w:rsid w:val="00A45BD8"/>
    <w:rsid w:val="00A50882"/>
    <w:rsid w:val="00A869B7"/>
    <w:rsid w:val="00A90F0A"/>
    <w:rsid w:val="00AC205C"/>
    <w:rsid w:val="00AE6BA6"/>
    <w:rsid w:val="00AF0A6B"/>
    <w:rsid w:val="00AF1E31"/>
    <w:rsid w:val="00B05A69"/>
    <w:rsid w:val="00B2664E"/>
    <w:rsid w:val="00B42CA9"/>
    <w:rsid w:val="00B51FF7"/>
    <w:rsid w:val="00B52B02"/>
    <w:rsid w:val="00B7395C"/>
    <w:rsid w:val="00B75281"/>
    <w:rsid w:val="00B92F1F"/>
    <w:rsid w:val="00B9734B"/>
    <w:rsid w:val="00BA30E2"/>
    <w:rsid w:val="00BE0441"/>
    <w:rsid w:val="00BE38C2"/>
    <w:rsid w:val="00C039DF"/>
    <w:rsid w:val="00C0722B"/>
    <w:rsid w:val="00C11BFE"/>
    <w:rsid w:val="00C5068F"/>
    <w:rsid w:val="00C758F6"/>
    <w:rsid w:val="00C7657B"/>
    <w:rsid w:val="00C86D74"/>
    <w:rsid w:val="00CA1046"/>
    <w:rsid w:val="00CA66E7"/>
    <w:rsid w:val="00CB3DBA"/>
    <w:rsid w:val="00CC3E2D"/>
    <w:rsid w:val="00CD04F1"/>
    <w:rsid w:val="00CE19F8"/>
    <w:rsid w:val="00CF681A"/>
    <w:rsid w:val="00D01DAE"/>
    <w:rsid w:val="00D03064"/>
    <w:rsid w:val="00D07C78"/>
    <w:rsid w:val="00D14D28"/>
    <w:rsid w:val="00D27334"/>
    <w:rsid w:val="00D309C7"/>
    <w:rsid w:val="00D34091"/>
    <w:rsid w:val="00D4197F"/>
    <w:rsid w:val="00D45252"/>
    <w:rsid w:val="00D45514"/>
    <w:rsid w:val="00D60B2C"/>
    <w:rsid w:val="00D67EAE"/>
    <w:rsid w:val="00D71B4D"/>
    <w:rsid w:val="00D75327"/>
    <w:rsid w:val="00D90B96"/>
    <w:rsid w:val="00D93D55"/>
    <w:rsid w:val="00D9598E"/>
    <w:rsid w:val="00DA04ED"/>
    <w:rsid w:val="00DA1055"/>
    <w:rsid w:val="00DA31B9"/>
    <w:rsid w:val="00DA505F"/>
    <w:rsid w:val="00DB3551"/>
    <w:rsid w:val="00DD7B7F"/>
    <w:rsid w:val="00E0358F"/>
    <w:rsid w:val="00E15015"/>
    <w:rsid w:val="00E319DF"/>
    <w:rsid w:val="00E335FE"/>
    <w:rsid w:val="00E571B4"/>
    <w:rsid w:val="00E62166"/>
    <w:rsid w:val="00E66CC5"/>
    <w:rsid w:val="00E704D4"/>
    <w:rsid w:val="00EA7D6E"/>
    <w:rsid w:val="00EB0513"/>
    <w:rsid w:val="00EB2F76"/>
    <w:rsid w:val="00EB6F85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C33063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94807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semiHidden/>
    <w:unhideWhenUsed/>
    <w:rsid w:val="004B68DB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3E11F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0074C"/>
    <w:rPr>
      <w:color w:val="800080" w:themeColor="followedHyperlink"/>
      <w:u w:val="single"/>
    </w:rPr>
  </w:style>
  <w:style w:type="character" w:customStyle="1" w:styleId="q4iawc">
    <w:name w:val="q4iawc"/>
    <w:basedOn w:val="DefaultParagraphFont"/>
    <w:rsid w:val="00571401"/>
  </w:style>
  <w:style w:type="character" w:styleId="CommentReference">
    <w:name w:val="annotation reference"/>
    <w:basedOn w:val="DefaultParagraphFont"/>
    <w:semiHidden/>
    <w:unhideWhenUsed/>
    <w:rsid w:val="004153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3C6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3C6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153C6"/>
    <w:rPr>
      <w:rFonts w:ascii="Arial" w:eastAsia="SimSun" w:hAnsi="Arial" w:cs="Calibri"/>
      <w:b/>
      <w:bCs/>
      <w:sz w:val="18"/>
      <w:szCs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1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53C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8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2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EA95-645C-42C6-85D6-85490BE2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1336</Words>
  <Characters>7205</Characters>
  <Application>Microsoft Office Word</Application>
  <DocSecurity>0</DocSecurity>
  <Lines>104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AHMIDOUCH Noureddine</dc:creator>
  <cp:keywords>FOR OFFICIAL USE ONLY</cp:keywords>
  <cp:lastModifiedBy>ESTEVES DOS SANTOS Anabela</cp:lastModifiedBy>
  <cp:revision>11</cp:revision>
  <cp:lastPrinted>2022-05-03T13:48:00Z</cp:lastPrinted>
  <dcterms:created xsi:type="dcterms:W3CDTF">2022-05-03T07:26:00Z</dcterms:created>
  <dcterms:modified xsi:type="dcterms:W3CDTF">2022-05-04T07:39:00Z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bb048a18-a789-4f63-915e-ab71865a58a6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