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0C79E" w14:textId="77777777" w:rsidR="003F7284" w:rsidRPr="00C50A61" w:rsidRDefault="003F7284" w:rsidP="003F7284">
      <w:pPr>
        <w:widowControl w:val="0"/>
        <w:bidi w:val="0"/>
        <w:rPr>
          <w:rFonts w:ascii="Arial Bold" w:hAnsi="Arial Bold" w:cs="Arial" w:hint="eastAsia"/>
          <w:b/>
          <w:noProof/>
          <w:sz w:val="40"/>
          <w:szCs w:val="40"/>
          <w:rtl/>
          <w:lang w:eastAsia="zh-CN"/>
        </w:rPr>
      </w:pPr>
      <w:bookmarkStart w:id="2" w:name="_GoBack"/>
      <w:bookmarkEnd w:id="2"/>
      <w:r w:rsidRPr="00C50A61">
        <w:rPr>
          <w:rFonts w:ascii="Arial Bold" w:hAnsi="Arial Bold" w:cs="Arial"/>
          <w:b/>
          <w:noProof/>
          <w:sz w:val="40"/>
          <w:szCs w:val="40"/>
          <w:lang w:eastAsia="zh-CN"/>
        </w:rPr>
        <w:t>A</w:t>
      </w:r>
    </w:p>
    <w:p w14:paraId="4806C1FA" w14:textId="77777777" w:rsidR="003F7284" w:rsidRPr="003F7284" w:rsidRDefault="003F7284" w:rsidP="0037358C">
      <w:pPr>
        <w:spacing w:after="120"/>
        <w:ind w:left="4535"/>
        <w:rPr>
          <w:rtl/>
        </w:rPr>
      </w:pPr>
      <w:r w:rsidRPr="003F7284">
        <w:rPr>
          <w:noProof/>
        </w:rPr>
        <w:drawing>
          <wp:inline distT="0" distB="0" distL="0" distR="0" wp14:anchorId="1699FA53" wp14:editId="2C250883">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464C7BE5" w14:textId="630F5987" w:rsidR="003F7284" w:rsidRPr="00F54409" w:rsidRDefault="00057082" w:rsidP="003C2AFB">
      <w:pPr>
        <w:pBdr>
          <w:top w:val="single" w:sz="4" w:space="10" w:color="auto"/>
        </w:pBdr>
        <w:bidi w:val="0"/>
        <w:rPr>
          <w:rFonts w:ascii="Arial Black" w:hAnsi="Arial Black" w:cs="Arial"/>
          <w:b/>
          <w:caps/>
          <w:noProof/>
          <w:sz w:val="16"/>
          <w:szCs w:val="16"/>
          <w:rtl/>
          <w:lang w:eastAsia="zh-CN"/>
        </w:rPr>
      </w:pPr>
      <w:bookmarkStart w:id="3" w:name="Code2"/>
      <w:r>
        <w:rPr>
          <w:rFonts w:ascii="Arial Black" w:hAnsi="Arial Black" w:cs="Arial"/>
          <w:b/>
          <w:caps/>
          <w:noProof/>
          <w:sz w:val="16"/>
          <w:szCs w:val="16"/>
          <w:lang w:eastAsia="zh-CN"/>
        </w:rPr>
        <w:t>CDIP/</w:t>
      </w:r>
      <w:r w:rsidR="001E5546">
        <w:rPr>
          <w:rFonts w:ascii="Arial Black" w:hAnsi="Arial Black" w:cs="Arial"/>
          <w:b/>
          <w:caps/>
          <w:noProof/>
          <w:sz w:val="16"/>
          <w:szCs w:val="16"/>
          <w:lang w:eastAsia="zh-CN"/>
        </w:rPr>
        <w:t>2</w:t>
      </w:r>
      <w:r w:rsidR="00BA5D39">
        <w:rPr>
          <w:rFonts w:ascii="Arial Black" w:hAnsi="Arial Black" w:cs="Arial"/>
          <w:b/>
          <w:caps/>
          <w:noProof/>
          <w:sz w:val="16"/>
          <w:szCs w:val="16"/>
          <w:lang w:eastAsia="zh-CN"/>
        </w:rPr>
        <w:t>5</w:t>
      </w:r>
      <w:r>
        <w:rPr>
          <w:rFonts w:ascii="Arial Black" w:hAnsi="Arial Black" w:cs="Arial"/>
          <w:b/>
          <w:caps/>
          <w:noProof/>
          <w:sz w:val="16"/>
          <w:szCs w:val="16"/>
          <w:lang w:eastAsia="zh-CN"/>
        </w:rPr>
        <w:t>/</w:t>
      </w:r>
      <w:r w:rsidR="003C2AFB" w:rsidRPr="003C2AFB">
        <w:rPr>
          <w:rFonts w:ascii="Arial Black" w:hAnsi="Arial Black" w:cs="Arial"/>
          <w:b/>
          <w:caps/>
          <w:noProof/>
          <w:sz w:val="16"/>
          <w:szCs w:val="16"/>
          <w:lang w:eastAsia="zh-CN"/>
        </w:rPr>
        <w:t>INF/5</w:t>
      </w:r>
    </w:p>
    <w:bookmarkEnd w:id="3"/>
    <w:p w14:paraId="7F39E57E" w14:textId="52F6F5C8" w:rsidR="003F7284" w:rsidRPr="00257767" w:rsidRDefault="003F7284" w:rsidP="005D79F6">
      <w:pPr>
        <w:jc w:val="right"/>
        <w:rPr>
          <w:rFonts w:eastAsiaTheme="minorEastAsia"/>
          <w:b/>
          <w:bCs/>
          <w:sz w:val="30"/>
          <w:szCs w:val="30"/>
          <w:rtl/>
          <w:lang w:val="fr-CH" w:eastAsia="zh-CN" w:bidi="ar-SY"/>
        </w:rPr>
      </w:pPr>
      <w:r w:rsidRPr="00BB6440">
        <w:rPr>
          <w:b/>
          <w:bCs/>
          <w:sz w:val="30"/>
          <w:szCs w:val="30"/>
          <w:rtl/>
        </w:rPr>
        <w:t xml:space="preserve">الأصل: </w:t>
      </w:r>
      <w:r w:rsidR="00257767">
        <w:rPr>
          <w:rFonts w:eastAsiaTheme="minorEastAsia" w:hint="cs"/>
          <w:b/>
          <w:bCs/>
          <w:sz w:val="30"/>
          <w:szCs w:val="30"/>
          <w:rtl/>
          <w:lang w:val="fr-CH" w:eastAsia="zh-CN" w:bidi="ar-SY"/>
        </w:rPr>
        <w:t>بالإنكليزية</w:t>
      </w:r>
    </w:p>
    <w:p w14:paraId="6B2602CA" w14:textId="3ACCA35B"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7D13B4">
        <w:rPr>
          <w:rFonts w:hint="cs"/>
          <w:b/>
          <w:bCs/>
          <w:sz w:val="30"/>
          <w:szCs w:val="30"/>
          <w:rtl/>
        </w:rPr>
        <w:t>3 أبريل 2020</w:t>
      </w:r>
    </w:p>
    <w:p w14:paraId="2C45EE81" w14:textId="77777777"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14:paraId="11DB8CBA" w14:textId="77777777" w:rsidR="002E7810" w:rsidRPr="002E7810" w:rsidRDefault="00057082" w:rsidP="00BA5D3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A5D39">
        <w:rPr>
          <w:rFonts w:ascii="Arial Black" w:hAnsi="Arial Black" w:cs="PT Bold Heading" w:hint="cs"/>
          <w:sz w:val="30"/>
          <w:szCs w:val="30"/>
          <w:rtl/>
        </w:rPr>
        <w:t>الخامسة</w:t>
      </w:r>
      <w:r w:rsidR="001E5546">
        <w:rPr>
          <w:rFonts w:ascii="Arial Black" w:hAnsi="Arial Black" w:cs="PT Bold Heading" w:hint="cs"/>
          <w:sz w:val="30"/>
          <w:szCs w:val="30"/>
          <w:rtl/>
        </w:rPr>
        <w:t xml:space="preserve"> </w:t>
      </w:r>
      <w:r>
        <w:rPr>
          <w:rFonts w:ascii="Arial Black" w:hAnsi="Arial Black" w:cs="PT Bold Heading" w:hint="eastAsia"/>
          <w:sz w:val="30"/>
          <w:szCs w:val="30"/>
          <w:rtl/>
        </w:rPr>
        <w:t>والعشرون</w:t>
      </w:r>
    </w:p>
    <w:p w14:paraId="2EB28873" w14:textId="0A1E7F52" w:rsidR="002E7810" w:rsidRPr="002E7810" w:rsidRDefault="001E5546" w:rsidP="00BA5D39">
      <w:pPr>
        <w:spacing w:line="600" w:lineRule="auto"/>
        <w:rPr>
          <w:b/>
          <w:bCs/>
        </w:rPr>
      </w:pPr>
      <w:r>
        <w:rPr>
          <w:b/>
          <w:bCs/>
          <w:rtl/>
        </w:rPr>
        <w:t>جنيف، م</w:t>
      </w:r>
      <w:r>
        <w:rPr>
          <w:rFonts w:hint="cs"/>
          <w:b/>
          <w:bCs/>
          <w:rtl/>
        </w:rPr>
        <w:t xml:space="preserve">ن </w:t>
      </w:r>
      <w:r w:rsidR="00B053E9">
        <w:rPr>
          <w:rFonts w:hint="cs"/>
          <w:b/>
          <w:bCs/>
          <w:rtl/>
        </w:rPr>
        <w:t>18</w:t>
      </w:r>
      <w:r>
        <w:rPr>
          <w:rFonts w:hint="cs"/>
          <w:b/>
          <w:bCs/>
          <w:rtl/>
        </w:rPr>
        <w:t xml:space="preserve"> </w:t>
      </w:r>
      <w:r>
        <w:rPr>
          <w:b/>
          <w:bCs/>
          <w:rtl/>
        </w:rPr>
        <w:t xml:space="preserve">إلى </w:t>
      </w:r>
      <w:r w:rsidR="00B053E9">
        <w:rPr>
          <w:rFonts w:hint="cs"/>
          <w:b/>
          <w:bCs/>
          <w:rtl/>
        </w:rPr>
        <w:t>22</w:t>
      </w:r>
      <w:r>
        <w:rPr>
          <w:b/>
          <w:bCs/>
          <w:rtl/>
        </w:rPr>
        <w:t xml:space="preserve"> </w:t>
      </w:r>
      <w:r w:rsidR="00BA5D39">
        <w:rPr>
          <w:rFonts w:hint="cs"/>
          <w:b/>
          <w:bCs/>
          <w:rtl/>
        </w:rPr>
        <w:t>مايو</w:t>
      </w:r>
      <w:r>
        <w:rPr>
          <w:b/>
          <w:bCs/>
          <w:rtl/>
        </w:rPr>
        <w:t xml:space="preserve"> </w:t>
      </w:r>
      <w:r w:rsidR="00BA5D39">
        <w:rPr>
          <w:rFonts w:hint="cs"/>
          <w:b/>
          <w:bCs/>
          <w:rtl/>
        </w:rPr>
        <w:t>2020</w:t>
      </w:r>
    </w:p>
    <w:p w14:paraId="12296531" w14:textId="26CEBE8E" w:rsidR="002E7810" w:rsidRPr="00B053E9" w:rsidRDefault="00862581" w:rsidP="00874721">
      <w:pPr>
        <w:rPr>
          <w:rFonts w:ascii="Arial Black" w:hAnsi="Arial Black" w:cs="PT Bold Heading"/>
          <w:sz w:val="26"/>
          <w:szCs w:val="26"/>
          <w:rtl/>
        </w:rPr>
      </w:pPr>
      <w:r>
        <w:rPr>
          <w:rFonts w:ascii="Arial Black" w:hAnsi="Arial Black" w:cs="PT Bold Heading" w:hint="cs"/>
          <w:sz w:val="26"/>
          <w:szCs w:val="26"/>
          <w:rtl/>
        </w:rPr>
        <w:t>عرض</w:t>
      </w:r>
      <w:r w:rsidR="00F27B09">
        <w:rPr>
          <w:rFonts w:ascii="Arial Black" w:hAnsi="Arial Black" w:cs="PT Bold Heading" w:hint="cs"/>
          <w:sz w:val="26"/>
          <w:szCs w:val="26"/>
          <w:rtl/>
        </w:rPr>
        <w:t xml:space="preserve"> عام </w:t>
      </w:r>
      <w:r>
        <w:rPr>
          <w:rFonts w:ascii="Arial Black" w:hAnsi="Arial Black" w:cs="PT Bold Heading" w:hint="cs"/>
          <w:sz w:val="26"/>
          <w:szCs w:val="26"/>
          <w:rtl/>
        </w:rPr>
        <w:t>ل</w:t>
      </w:r>
      <w:r w:rsidR="003E5CED">
        <w:rPr>
          <w:rFonts w:ascii="Arial Black" w:hAnsi="Arial Black" w:cs="PT Bold Heading" w:hint="cs"/>
          <w:sz w:val="26"/>
          <w:szCs w:val="26"/>
          <w:rtl/>
        </w:rPr>
        <w:t xml:space="preserve">دليل </w:t>
      </w:r>
      <w:r w:rsidR="00F27B09" w:rsidRPr="00F27B09">
        <w:rPr>
          <w:rFonts w:ascii="Arial Black" w:hAnsi="Arial Black" w:cs="PT Bold Heading"/>
          <w:sz w:val="26"/>
          <w:szCs w:val="26"/>
          <w:rtl/>
        </w:rPr>
        <w:t>استخدام الاختراعات التي آلت إلى الملك العام: دليلٌ للمخترعين وروّاد الأعمال</w:t>
      </w:r>
    </w:p>
    <w:p w14:paraId="591BD23B" w14:textId="1577E7D9" w:rsidR="003F7284" w:rsidRPr="00BB6440" w:rsidRDefault="003F7284" w:rsidP="00720226">
      <w:pPr>
        <w:spacing w:before="200" w:after="960"/>
        <w:rPr>
          <w:i/>
          <w:iCs/>
          <w:rtl/>
        </w:rPr>
      </w:pPr>
      <w:r w:rsidRPr="00BB6440">
        <w:rPr>
          <w:i/>
          <w:iCs/>
          <w:rtl/>
        </w:rPr>
        <w:t>من إعداد</w:t>
      </w:r>
      <w:r w:rsidR="005D79F6" w:rsidRPr="00BB6440">
        <w:rPr>
          <w:rFonts w:hint="cs"/>
          <w:i/>
          <w:iCs/>
          <w:rtl/>
        </w:rPr>
        <w:t xml:space="preserve"> </w:t>
      </w:r>
      <w:r w:rsidR="001073F0">
        <w:rPr>
          <w:rFonts w:hint="cs"/>
          <w:i/>
          <w:iCs/>
          <w:rtl/>
        </w:rPr>
        <w:t xml:space="preserve">السيد </w:t>
      </w:r>
      <w:r w:rsidR="001073F0" w:rsidRPr="001073F0">
        <w:rPr>
          <w:i/>
          <w:iCs/>
          <w:rtl/>
        </w:rPr>
        <w:t>جيمس ج.كونلي</w:t>
      </w:r>
      <w:r w:rsidR="001073F0">
        <w:rPr>
          <w:rFonts w:hint="cs"/>
          <w:i/>
          <w:iCs/>
          <w:rtl/>
        </w:rPr>
        <w:t>،</w:t>
      </w:r>
      <w:r w:rsidR="0041196C">
        <w:rPr>
          <w:rFonts w:hint="cs"/>
          <w:i/>
          <w:iCs/>
          <w:rtl/>
          <w:lang w:val="fr-CH" w:eastAsia="zh-CN" w:bidi="ar-SY"/>
        </w:rPr>
        <w:t xml:space="preserve"> </w:t>
      </w:r>
      <w:r w:rsidR="001073F0" w:rsidRPr="001073F0">
        <w:rPr>
          <w:i/>
          <w:iCs/>
          <w:rtl/>
        </w:rPr>
        <w:t>الخبير المتخصص الأساسي</w:t>
      </w:r>
      <w:r w:rsidR="001073F0">
        <w:rPr>
          <w:rFonts w:hint="cs"/>
          <w:i/>
          <w:iCs/>
          <w:rtl/>
        </w:rPr>
        <w:t xml:space="preserve">، والسيد </w:t>
      </w:r>
      <w:r w:rsidR="004E78FA" w:rsidRPr="004E78FA">
        <w:rPr>
          <w:i/>
          <w:iCs/>
          <w:rtl/>
        </w:rPr>
        <w:t>ڤاسيليوس ڤلاهاكيس</w:t>
      </w:r>
      <w:r w:rsidR="001073F0">
        <w:rPr>
          <w:rFonts w:hint="cs"/>
          <w:i/>
          <w:iCs/>
          <w:rtl/>
        </w:rPr>
        <w:t>،</w:t>
      </w:r>
      <w:r w:rsidR="004E78FA">
        <w:rPr>
          <w:rFonts w:hint="cs"/>
          <w:i/>
          <w:iCs/>
          <w:rtl/>
        </w:rPr>
        <w:t xml:space="preserve"> </w:t>
      </w:r>
      <w:r w:rsidR="004E78FA" w:rsidRPr="004E78FA">
        <w:rPr>
          <w:i/>
          <w:iCs/>
          <w:rtl/>
        </w:rPr>
        <w:t>خبير</w:t>
      </w:r>
      <w:r w:rsidR="004E78FA">
        <w:rPr>
          <w:rFonts w:hint="cs"/>
          <w:i/>
          <w:iCs/>
          <w:rtl/>
        </w:rPr>
        <w:t xml:space="preserve"> </w:t>
      </w:r>
      <w:r w:rsidR="004E78FA" w:rsidRPr="004E78FA">
        <w:rPr>
          <w:i/>
          <w:iCs/>
          <w:rtl/>
        </w:rPr>
        <w:t>متخصص مُساعِد</w:t>
      </w:r>
      <w:r w:rsidR="004E78FA">
        <w:rPr>
          <w:rFonts w:hint="cs"/>
          <w:i/>
          <w:iCs/>
          <w:rtl/>
        </w:rPr>
        <w:t>،</w:t>
      </w:r>
      <w:r w:rsidR="00720226">
        <w:rPr>
          <w:rFonts w:hint="cs"/>
          <w:i/>
          <w:iCs/>
          <w:rtl/>
        </w:rPr>
        <w:t xml:space="preserve"> وساعدهما في </w:t>
      </w:r>
      <w:r w:rsidR="00622764">
        <w:rPr>
          <w:rFonts w:hint="cs"/>
          <w:i/>
          <w:iCs/>
          <w:rtl/>
        </w:rPr>
        <w:t>التحرير السيدتان</w:t>
      </w:r>
      <w:r w:rsidR="00720226">
        <w:rPr>
          <w:rFonts w:hint="cs"/>
          <w:i/>
          <w:iCs/>
          <w:rtl/>
        </w:rPr>
        <w:t xml:space="preserve"> </w:t>
      </w:r>
      <w:r w:rsidR="00720226" w:rsidRPr="00720226">
        <w:rPr>
          <w:i/>
          <w:iCs/>
          <w:rtl/>
        </w:rPr>
        <w:t>كومال باجراشاريا</w:t>
      </w:r>
      <w:r w:rsidR="00720226">
        <w:rPr>
          <w:rFonts w:hint="cs"/>
          <w:i/>
          <w:iCs/>
          <w:rtl/>
        </w:rPr>
        <w:t xml:space="preserve"> و</w:t>
      </w:r>
      <w:r w:rsidR="00720226" w:rsidRPr="00720226">
        <w:rPr>
          <w:i/>
          <w:iCs/>
          <w:rtl/>
        </w:rPr>
        <w:t>ليا سبيسر</w:t>
      </w:r>
      <w:r w:rsidR="00720226">
        <w:rPr>
          <w:rFonts w:hint="cs"/>
          <w:i/>
          <w:iCs/>
          <w:rtl/>
        </w:rPr>
        <w:t>.</w:t>
      </w:r>
    </w:p>
    <w:p w14:paraId="1B5CFB93" w14:textId="03C30EA4" w:rsidR="00E3612C" w:rsidRDefault="003E5CED" w:rsidP="003E5CED">
      <w:pPr>
        <w:pStyle w:val="ONUMA"/>
      </w:pPr>
      <w:r>
        <w:rPr>
          <w:rFonts w:hint="cs"/>
          <w:rtl/>
        </w:rPr>
        <w:t xml:space="preserve">يتضمن مرفق هذه الوثيقة </w:t>
      </w:r>
      <w:r w:rsidR="00862581">
        <w:rPr>
          <w:rFonts w:hint="cs"/>
          <w:rtl/>
        </w:rPr>
        <w:t>عرض</w:t>
      </w:r>
      <w:r w:rsidR="0041196C">
        <w:rPr>
          <w:rFonts w:hint="cs"/>
          <w:rtl/>
        </w:rPr>
        <w:t>اً</w:t>
      </w:r>
      <w:r w:rsidR="00862581">
        <w:rPr>
          <w:rFonts w:hint="cs"/>
          <w:rtl/>
        </w:rPr>
        <w:t xml:space="preserve"> عام</w:t>
      </w:r>
      <w:r w:rsidR="0041196C">
        <w:rPr>
          <w:rFonts w:hint="cs"/>
          <w:rtl/>
        </w:rPr>
        <w:t>اً</w:t>
      </w:r>
      <w:r w:rsidR="00862581">
        <w:rPr>
          <w:rFonts w:hint="cs"/>
          <w:rtl/>
        </w:rPr>
        <w:t xml:space="preserve"> ل</w:t>
      </w:r>
      <w:r w:rsidRPr="003E5CED">
        <w:rPr>
          <w:rtl/>
        </w:rPr>
        <w:t>دليل استخدام الاختراعات التي آلت إلى الملك العام: دليلٌ للمخترعين وروّاد الأعمال</w:t>
      </w:r>
      <w:r>
        <w:rPr>
          <w:rFonts w:hint="cs"/>
          <w:rtl/>
        </w:rPr>
        <w:t xml:space="preserve">، الذي أُعد في سياق مشروع </w:t>
      </w:r>
      <w:r w:rsidRPr="003E5CED">
        <w:t>"</w:t>
      </w:r>
      <w:r w:rsidRPr="003E5CED">
        <w:rPr>
          <w:rtl/>
        </w:rPr>
        <w:t>استخدام المعلومات الموجودة في الملك العام لأغراض التنمية الاقتصادية</w:t>
      </w:r>
      <w:r w:rsidRPr="003E5CED">
        <w:t>"</w:t>
      </w:r>
      <w:r>
        <w:rPr>
          <w:rFonts w:hint="cs"/>
          <w:rtl/>
        </w:rPr>
        <w:t xml:space="preserve"> (الوثيقة </w:t>
      </w:r>
      <w:r w:rsidRPr="003E5CED">
        <w:t>CDIP/16/4 Rev.</w:t>
      </w:r>
      <w:r>
        <w:rPr>
          <w:rFonts w:hint="cs"/>
          <w:rtl/>
        </w:rPr>
        <w:t>).</w:t>
      </w:r>
      <w:r w:rsidR="00BA6E7B">
        <w:rPr>
          <w:rFonts w:hint="cs"/>
          <w:rtl/>
        </w:rPr>
        <w:t xml:space="preserve"> ويقدم</w:t>
      </w:r>
      <w:r w:rsidR="00EC3D67">
        <w:rPr>
          <w:rFonts w:hint="cs"/>
          <w:rtl/>
        </w:rPr>
        <w:t xml:space="preserve"> العرض العام </w:t>
      </w:r>
      <w:r w:rsidR="00BA6E7B">
        <w:rPr>
          <w:rFonts w:hint="cs"/>
          <w:rtl/>
        </w:rPr>
        <w:t xml:space="preserve">وصفاً </w:t>
      </w:r>
      <w:r w:rsidR="0041196C">
        <w:rPr>
          <w:rFonts w:hint="cs"/>
          <w:rtl/>
        </w:rPr>
        <w:t>لهدف</w:t>
      </w:r>
      <w:r w:rsidR="00EC3D67">
        <w:rPr>
          <w:rFonts w:hint="cs"/>
          <w:rtl/>
        </w:rPr>
        <w:t xml:space="preserve"> الدليل وإطار</w:t>
      </w:r>
      <w:r w:rsidR="00BA6E7B">
        <w:rPr>
          <w:rFonts w:hint="cs"/>
          <w:rtl/>
        </w:rPr>
        <w:t>ه</w:t>
      </w:r>
      <w:r w:rsidR="0041196C">
        <w:rPr>
          <w:rFonts w:hint="cs"/>
          <w:rtl/>
        </w:rPr>
        <w:t xml:space="preserve">، </w:t>
      </w:r>
      <w:r w:rsidR="00EC3D67">
        <w:rPr>
          <w:rFonts w:hint="cs"/>
          <w:rtl/>
        </w:rPr>
        <w:t xml:space="preserve">ويحدد </w:t>
      </w:r>
      <w:r w:rsidR="0041196C">
        <w:rPr>
          <w:rFonts w:hint="cs"/>
          <w:rtl/>
        </w:rPr>
        <w:t xml:space="preserve">كذلك </w:t>
      </w:r>
      <w:r w:rsidR="00EC3D67">
        <w:rPr>
          <w:rFonts w:hint="cs"/>
          <w:rtl/>
        </w:rPr>
        <w:t>نطاق</w:t>
      </w:r>
      <w:r w:rsidR="0041196C">
        <w:rPr>
          <w:rFonts w:hint="cs"/>
          <w:rtl/>
        </w:rPr>
        <w:t xml:space="preserve"> الدليل</w:t>
      </w:r>
      <w:r w:rsidR="00EC3D67">
        <w:rPr>
          <w:rFonts w:hint="cs"/>
          <w:rtl/>
        </w:rPr>
        <w:t>.</w:t>
      </w:r>
    </w:p>
    <w:p w14:paraId="5A49F1E1" w14:textId="3AA6BCDF" w:rsidR="00B8234E" w:rsidRPr="00BF6818" w:rsidRDefault="00B8234E" w:rsidP="00B8234E">
      <w:pPr>
        <w:pStyle w:val="ONUMA"/>
        <w:ind w:left="5527"/>
        <w:rPr>
          <w:i/>
          <w:iCs/>
          <w:rtl/>
        </w:rPr>
      </w:pPr>
      <w:r w:rsidRPr="00BF6818">
        <w:rPr>
          <w:rFonts w:hint="cs"/>
          <w:i/>
          <w:iCs/>
          <w:rtl/>
        </w:rPr>
        <w:t xml:space="preserve">إن لجنة التنمية مدعوة إلى الإحاطة علماً </w:t>
      </w:r>
      <w:r w:rsidRPr="00BF6818">
        <w:rPr>
          <w:rFonts w:hint="cs"/>
          <w:i/>
          <w:iCs/>
          <w:rtl/>
        </w:rPr>
        <w:lastRenderedPageBreak/>
        <w:t>بالمعلومات الواردة في مرفق هذه الوثيقة.</w:t>
      </w:r>
    </w:p>
    <w:p w14:paraId="29ED902A" w14:textId="77777777" w:rsidR="00B8234E" w:rsidRDefault="00B8234E" w:rsidP="00B8234E">
      <w:pPr>
        <w:pStyle w:val="Endofdocument-Annex"/>
        <w:rPr>
          <w:rtl/>
        </w:rPr>
        <w:sectPr w:rsidR="00B8234E" w:rsidSect="007A0162">
          <w:headerReference w:type="even" r:id="rId9"/>
          <w:headerReference w:type="default" r:id="rId10"/>
          <w:headerReference w:type="first" r:id="rId11"/>
          <w:pgSz w:w="11907" w:h="16840" w:code="9"/>
          <w:pgMar w:top="567" w:right="1418" w:bottom="1418" w:left="1134" w:header="510" w:footer="1021" w:gutter="0"/>
          <w:cols w:space="720"/>
          <w:titlePg/>
          <w:docGrid w:linePitch="490"/>
        </w:sectPr>
      </w:pPr>
      <w:r>
        <w:rPr>
          <w:rFonts w:hint="cs"/>
          <w:rtl/>
        </w:rPr>
        <w:t>[يلي ذلك المرفق]</w:t>
      </w:r>
    </w:p>
    <w:p w14:paraId="07AC2C67" w14:textId="4DEADC03" w:rsidR="000D7E81" w:rsidRPr="00B8234E" w:rsidRDefault="00B8234E" w:rsidP="00B8234E">
      <w:pPr>
        <w:pStyle w:val="BodyText"/>
        <w:rPr>
          <w:b/>
          <w:bCs/>
          <w:sz w:val="40"/>
          <w:szCs w:val="40"/>
          <w:rtl/>
        </w:rPr>
      </w:pPr>
      <w:r w:rsidRPr="00B8234E">
        <w:rPr>
          <w:b/>
          <w:bCs/>
          <w:sz w:val="40"/>
          <w:szCs w:val="40"/>
          <w:rtl/>
          <w:lang w:bidi="ar-SA"/>
        </w:rPr>
        <w:lastRenderedPageBreak/>
        <w:t>دليل استخدام الاختراعات التي آلت إلى الملك العام: دليلٌ للمخترعين وروّاد الأعمال</w:t>
      </w:r>
      <w:r w:rsidR="003E687E">
        <w:rPr>
          <w:rStyle w:val="FootnoteReference"/>
          <w:b/>
          <w:bCs/>
          <w:rtl/>
          <w:lang w:bidi="ar-SA"/>
        </w:rPr>
        <w:footnoteReference w:id="1"/>
      </w:r>
    </w:p>
    <w:p w14:paraId="733014C7" w14:textId="11B8303D" w:rsidR="00BA5D39" w:rsidRDefault="00B8472C" w:rsidP="000D7E81">
      <w:pPr>
        <w:pStyle w:val="BodyText"/>
        <w:rPr>
          <w:b/>
          <w:bCs/>
          <w:rtl/>
        </w:rPr>
      </w:pPr>
      <w:r w:rsidRPr="00B8472C">
        <w:rPr>
          <w:rFonts w:hint="cs"/>
          <w:b/>
          <w:bCs/>
          <w:rtl/>
        </w:rPr>
        <w:t>عرض عام للدليل</w:t>
      </w:r>
    </w:p>
    <w:p w14:paraId="5672F417" w14:textId="740AE086" w:rsidR="003E687E" w:rsidRPr="003E687E" w:rsidRDefault="003E687E" w:rsidP="003E687E">
      <w:pPr>
        <w:pStyle w:val="BodyText"/>
      </w:pPr>
      <w:r>
        <w:rPr>
          <w:rFonts w:hint="cs"/>
          <w:rtl/>
        </w:rPr>
        <w:t>تكمن الغاية من الدليل في مساعدة المخترعين ورواد</w:t>
      </w:r>
      <w:r w:rsidR="00AA2E86">
        <w:rPr>
          <w:rFonts w:hint="cs"/>
          <w:rtl/>
        </w:rPr>
        <w:t xml:space="preserve"> الأعمال</w:t>
      </w:r>
      <w:r>
        <w:rPr>
          <w:rFonts w:hint="cs"/>
          <w:rtl/>
        </w:rPr>
        <w:t xml:space="preserve"> </w:t>
      </w:r>
      <w:r w:rsidRPr="003E687E">
        <w:rPr>
          <w:rtl/>
          <w:lang w:bidi="ar-SA"/>
        </w:rPr>
        <w:t>على الوصول إلى المعلومات والمعارف والتكنولوجيات الموجودة في الملك العام، والانتفاع بها في الاختراع والابتكار وإعداد المنتجات في بلدهم. ووجود المعلومات أو المعارف أو التكنولوجيات في الملك العام يعني أنها ليست مشمولة بحقوق ملكية، بل يجوز لأي شخص النفاذ إليها دون قيود. ويُركِّز هذا الدليل على المعلومات والتكنولوجيات المُفصح عنها في وثائق البراءات. ونعني بوثائق البراءات تلك البراءات المنشورة وطلبات البراءات بالإضافة إلى المعلومات الرسمية الأخرى المتاحة للجميع بشأن البراءات الممنوحة وغير المبتوت فيها، مثل المعلومات المتاحة من خلال مكاتب البراءات أو المحاكم. وأما العملية التي تتحول بها الاختراعات والابتكارات إلى منتجاتٍ أو خدماتٍ أو كلتيهما فتُسمى "استحداث منتجات جديدة"، وهي عملية منضبطة ومُحدَّدة تتضمّن مجموعةً من المهام والخطوات والقرارات الحاسمة التي تستخدمها منظمة أو فرد لتحويل أفكار مبدئية إلى منتجاتٍ وخدماتٍ قابلةٍ للبيع.</w:t>
      </w:r>
    </w:p>
    <w:p w14:paraId="46B2396A" w14:textId="4DB3E908" w:rsidR="00C77D44" w:rsidRPr="00C77D44" w:rsidRDefault="00BA6E7B" w:rsidP="00C77D44">
      <w:pPr>
        <w:pStyle w:val="BodyText"/>
      </w:pPr>
      <w:r w:rsidRPr="00BA6E7B">
        <w:rPr>
          <w:rtl/>
          <w:lang w:bidi="ar-SA"/>
        </w:rPr>
        <w:t xml:space="preserve">ويوضح هذا الدليل كيف يمكن استخدام المعلومات المُفصَح عنها في وثائق البراءات أو دمج هذه </w:t>
      </w:r>
      <w:r w:rsidRPr="00BA6E7B">
        <w:rPr>
          <w:rtl/>
          <w:lang w:bidi="ar-SA"/>
        </w:rPr>
        <w:lastRenderedPageBreak/>
        <w:t>المعلومات في منتجات جديدة، وتعزيز عمليات إعداد هذه المنتجات</w:t>
      </w:r>
      <w:r>
        <w:rPr>
          <w:rFonts w:hint="cs"/>
          <w:rtl/>
          <w:lang w:bidi="ar-SA"/>
        </w:rPr>
        <w:t>.</w:t>
      </w:r>
      <w:r w:rsidR="00C77D44">
        <w:rPr>
          <w:rFonts w:hint="cs"/>
          <w:rtl/>
          <w:lang w:bidi="ar-SA"/>
        </w:rPr>
        <w:t xml:space="preserve"> </w:t>
      </w:r>
      <w:r w:rsidR="00C77D44" w:rsidRPr="00C77D44">
        <w:rPr>
          <w:rtl/>
          <w:lang w:bidi="ar-SA"/>
        </w:rPr>
        <w:t>ويهدف الدليل إلى مساعدتك على دمج المعلومات والمعارف التي آلت إلى الملك العام دمجاً فعالاً في عملية تصميم المنتج وإعداده. ويمكن أن يساعدك استخدام المعارف المندرجة في الملك العام إلى جانب المفاهيم المُوضَّحة في الدليل على اتخاذ قرارات إدارية أكثر استنارة. وسوف يؤدي ذلك إلى تعظيم الاستفادة مما يُستثمر من وقت ومال في إدخال تحسينات على المنتجات والخدمات لإضافة قيمة إلى منتجات المخترعين ورواد الأعمال وخدماتهم، مع تقليل مخاطر انتهاك حقوق الملكية الفكرية للغير إلى أدنى حد ممكن.</w:t>
      </w:r>
      <w:r w:rsidR="00C77D44" w:rsidRPr="00C77D44">
        <w:rPr>
          <w:rFonts w:eastAsia="Calibri"/>
          <w:rtl/>
          <w:lang w:eastAsia="ar"/>
        </w:rPr>
        <w:t xml:space="preserve"> </w:t>
      </w:r>
      <w:r w:rsidR="00C77D44" w:rsidRPr="00C77D44">
        <w:rPr>
          <w:rtl/>
        </w:rPr>
        <w:t>ويهدف هذا الدليل، بوجه عام، إلى إحاط</w:t>
      </w:r>
      <w:r w:rsidR="00C77D44">
        <w:rPr>
          <w:rFonts w:hint="cs"/>
          <w:rtl/>
        </w:rPr>
        <w:t>ة القارئ</w:t>
      </w:r>
      <w:r w:rsidR="00C77D44" w:rsidRPr="00C77D44">
        <w:rPr>
          <w:rtl/>
        </w:rPr>
        <w:t xml:space="preserve"> علماً ب</w:t>
      </w:r>
      <w:r w:rsidR="00C77D44">
        <w:rPr>
          <w:rFonts w:hint="cs"/>
          <w:rtl/>
        </w:rPr>
        <w:t>ال</w:t>
      </w:r>
      <w:r w:rsidR="00C77D44" w:rsidRPr="00C77D44">
        <w:rPr>
          <w:rtl/>
        </w:rPr>
        <w:t>كثير من الموارد المتعلقة بالبراءات التي يمكن الاستعانة بها على اتخاذ قرارات مناسبة بشأن اختراعٍ ما وإمكاناته السوقية المستقبلية</w:t>
      </w:r>
      <w:r w:rsidR="00C77D44">
        <w:rPr>
          <w:rFonts w:hint="cs"/>
          <w:rtl/>
        </w:rPr>
        <w:t xml:space="preserve">، ويهدف </w:t>
      </w:r>
      <w:r w:rsidR="0041196C">
        <w:rPr>
          <w:rFonts w:hint="cs"/>
          <w:rtl/>
        </w:rPr>
        <w:t xml:space="preserve">الدليل </w:t>
      </w:r>
      <w:r w:rsidR="00C77D44">
        <w:rPr>
          <w:rFonts w:hint="cs"/>
          <w:rtl/>
        </w:rPr>
        <w:t xml:space="preserve">كذلك إلى </w:t>
      </w:r>
      <w:r w:rsidR="00C77D44" w:rsidRPr="00C77D44">
        <w:rPr>
          <w:rtl/>
          <w:lang w:bidi="ar-SA"/>
        </w:rPr>
        <w:t>أن يكون بمثابة نقطة انطلاق موثوق بها للإبحار في عالم معلومات وثائق البراءات المتاحة لعامة الناس.</w:t>
      </w:r>
    </w:p>
    <w:p w14:paraId="621F5199" w14:textId="7D8B8D7E" w:rsidR="008766F8" w:rsidRPr="00C77D44" w:rsidRDefault="00C77D44" w:rsidP="00C77D44">
      <w:pPr>
        <w:pStyle w:val="BodyText"/>
        <w:rPr>
          <w:b/>
          <w:bCs/>
          <w:rtl/>
        </w:rPr>
      </w:pPr>
      <w:r w:rsidRPr="00C77D44">
        <w:rPr>
          <w:rFonts w:hint="cs"/>
          <w:b/>
          <w:bCs/>
          <w:rtl/>
        </w:rPr>
        <w:t>إطار الدليل</w:t>
      </w:r>
    </w:p>
    <w:p w14:paraId="512043D9" w14:textId="1D995F9D" w:rsidR="008766F8" w:rsidRDefault="006E7E4D" w:rsidP="006E7E4D">
      <w:pPr>
        <w:pStyle w:val="BodyText"/>
        <w:rPr>
          <w:b/>
          <w:rtl/>
          <w:lang w:bidi="ar-SA"/>
        </w:rPr>
      </w:pPr>
      <w:r w:rsidRPr="006E7E4D">
        <w:rPr>
          <w:b/>
          <w:rtl/>
          <w:lang w:bidi="ar-SA"/>
        </w:rPr>
        <w:t>يمكن استخدام المعلومات والمعارف الواردة في البراءات المنشورة وطلبات البراءات بالإضافة إلى غيرها من المعارف التي آلت إلى الملك العام للمساعدة على تصوُّر مفهوم منتَجٍ ما و/أو تنقيح ذلك المفهوم و/أو صياغته في شكل ما، وحماية فكرة المنتج، ورسم مسارٍ يُفضي به إلى الجدوى التجارية.</w:t>
      </w:r>
      <w:r>
        <w:rPr>
          <w:rFonts w:hint="cs"/>
          <w:b/>
          <w:rtl/>
          <w:lang w:bidi="ar-SA"/>
        </w:rPr>
        <w:t xml:space="preserve"> وإطار الدليل هو كالآتي:</w:t>
      </w:r>
    </w:p>
    <w:p w14:paraId="1E0DE11D" w14:textId="620BE96D" w:rsidR="006E7E4D" w:rsidRDefault="006E7E4D" w:rsidP="006E7E4D">
      <w:pPr>
        <w:pStyle w:val="BodyText"/>
        <w:rPr>
          <w:rtl/>
        </w:rPr>
      </w:pPr>
      <w:r w:rsidRPr="006E7E4D">
        <w:rPr>
          <w:bCs/>
          <w:rtl/>
          <w:lang w:bidi="ar-SA"/>
        </w:rPr>
        <w:t>استخدام ما يوجد في البراءات من معارف آلت إلى الملك العام لوضع تصوُّر لسمات ووظائف المنتَج أو الخدمة أو كليهما</w:t>
      </w:r>
      <w:r>
        <w:rPr>
          <w:rFonts w:hint="cs"/>
          <w:bCs/>
          <w:rtl/>
          <w:lang w:bidi="ar-SA"/>
        </w:rPr>
        <w:t xml:space="preserve">: </w:t>
      </w:r>
      <w:r w:rsidRPr="006E7E4D">
        <w:rPr>
          <w:rtl/>
        </w:rPr>
        <w:t xml:space="preserve">يمكن رسم تصوُّر </w:t>
      </w:r>
      <w:r w:rsidRPr="006E7E4D">
        <w:rPr>
          <w:rtl/>
        </w:rPr>
        <w:lastRenderedPageBreak/>
        <w:t>لمنتَج أو خدمة أو كليهما باستخدام ما آل إلى الملك العام من معارف مُفصَح عنها في البراءات وطلبات البراءات لفحص السمات والوظائف التي يشتمل عليها المنتج.</w:t>
      </w:r>
    </w:p>
    <w:p w14:paraId="42D6041B" w14:textId="77777777" w:rsidR="006E7E4D" w:rsidRPr="006E7E4D" w:rsidRDefault="006E7E4D" w:rsidP="006E7E4D">
      <w:pPr>
        <w:pStyle w:val="BodyText"/>
      </w:pPr>
      <w:r w:rsidRPr="006E7E4D">
        <w:rPr>
          <w:rtl/>
          <w:lang w:bidi="ar-SA"/>
        </w:rPr>
        <w:t>ويمكن للمخترع أو المبتكر في بداية توصله إلى فكرة منتج ما أن يستفيد من المعلومات والمعارف التي آلت إلى الملك العام في:</w:t>
      </w:r>
    </w:p>
    <w:p w14:paraId="52E64082" w14:textId="77777777" w:rsidR="00EA1F46" w:rsidRPr="00EA1F46" w:rsidRDefault="00EA1F46" w:rsidP="00EA1F46">
      <w:pPr>
        <w:pStyle w:val="BodyText"/>
        <w:numPr>
          <w:ilvl w:val="0"/>
          <w:numId w:val="45"/>
        </w:numPr>
      </w:pPr>
      <w:r w:rsidRPr="00EA1F46">
        <w:rPr>
          <w:rtl/>
          <w:lang w:bidi="ar-SA"/>
        </w:rPr>
        <w:t>اكتساب رؤى ثاقبة وأفكار نيرة لمفهوم منتجه أو خدمته من المعارف الابتكارية المُفصح عنها في وثائق البراءات التي تشبه مفهوم منتجه أو خدمته.</w:t>
      </w:r>
    </w:p>
    <w:p w14:paraId="66459BF5" w14:textId="77777777" w:rsidR="00EA1F46" w:rsidRPr="00EA1F46" w:rsidRDefault="00EA1F46" w:rsidP="00EA1F46">
      <w:pPr>
        <w:pStyle w:val="BodyText"/>
        <w:numPr>
          <w:ilvl w:val="0"/>
          <w:numId w:val="45"/>
        </w:numPr>
      </w:pPr>
      <w:r w:rsidRPr="00EA1F46">
        <w:rPr>
          <w:rtl/>
          <w:lang w:bidi="ar-SA"/>
        </w:rPr>
        <w:t>استغلال التكنولوجيات والمعارف الابتكارية التي قد لا تكون محمية بموجب براءة واحدة أو أكثر من البراءات القابلة للإنفاذ في بلده أو في بلدان أخرى.</w:t>
      </w:r>
    </w:p>
    <w:p w14:paraId="177CF2F4" w14:textId="77777777" w:rsidR="00EA1F46" w:rsidRPr="00EA1F46" w:rsidRDefault="00EA1F46" w:rsidP="00EA1F46">
      <w:pPr>
        <w:pStyle w:val="BodyText"/>
        <w:numPr>
          <w:ilvl w:val="1"/>
          <w:numId w:val="45"/>
        </w:numPr>
      </w:pPr>
      <w:r w:rsidRPr="00EA1F46">
        <w:rPr>
          <w:rtl/>
          <w:lang w:bidi="ar-SA"/>
        </w:rPr>
        <w:t>ترقُّب الموعد أو البلد الذي سيصبح فيه اختراعٌ مُفصحٌ عنه في براءة قابلة للإنفاذ متاحاً للاستخدام كما يتضح من تاريخ إيداع طلب البراءة وفترة الحماية المنصوص عليها في قوانين البراءات ولوائحها بتلك الولاية القضائية.</w:t>
      </w:r>
    </w:p>
    <w:p w14:paraId="2F81322A" w14:textId="77777777" w:rsidR="00EA1F46" w:rsidRPr="00EA1F46" w:rsidRDefault="00EA1F46" w:rsidP="00EA1F46">
      <w:pPr>
        <w:pStyle w:val="BodyText"/>
        <w:numPr>
          <w:ilvl w:val="1"/>
          <w:numId w:val="45"/>
        </w:numPr>
      </w:pPr>
      <w:r w:rsidRPr="00EA1F46">
        <w:rPr>
          <w:rtl/>
          <w:lang w:bidi="ar-SA"/>
        </w:rPr>
        <w:t>معرفة ما أُفصِح عنه في قسم المراجع بوثيقة البراءة من براءات أخرى لا تنتمي إلى نفس مجال الاستخدام ولكنها قد تتيح فرصة للاطلاع على التطبيقات المُماثِلة لتكنولوجياتها.</w:t>
      </w:r>
    </w:p>
    <w:p w14:paraId="0A6E3F97" w14:textId="77777777" w:rsidR="00EA1F46" w:rsidRPr="00EA1F46" w:rsidRDefault="00EA1F46" w:rsidP="00EA1F46">
      <w:pPr>
        <w:pStyle w:val="BodyText"/>
        <w:numPr>
          <w:ilvl w:val="1"/>
          <w:numId w:val="45"/>
        </w:numPr>
      </w:pPr>
      <w:r w:rsidRPr="00EA1F46">
        <w:rPr>
          <w:rtl/>
          <w:lang w:bidi="ar-SA"/>
        </w:rPr>
        <w:t xml:space="preserve">الاستعانة بإحصاءات البراءات وأُسر البراءات على تقييم استخدامات </w:t>
      </w:r>
      <w:r w:rsidRPr="00EA1F46">
        <w:rPr>
          <w:rtl/>
          <w:lang w:bidi="ar-SA"/>
        </w:rPr>
        <w:lastRenderedPageBreak/>
        <w:t>تكنولوجيا ما قد تؤثر تأثيراً مباشراً في المنتج الخاص بالمخترع أو المبتكر.</w:t>
      </w:r>
    </w:p>
    <w:p w14:paraId="7E06E538" w14:textId="428A3E86" w:rsidR="006E7E4D" w:rsidRPr="006E7E4D" w:rsidRDefault="00EA1F46" w:rsidP="00EA1F46">
      <w:pPr>
        <w:pStyle w:val="BodyText"/>
        <w:numPr>
          <w:ilvl w:val="1"/>
          <w:numId w:val="45"/>
        </w:numPr>
        <w:rPr>
          <w:rtl/>
        </w:rPr>
      </w:pPr>
      <w:r w:rsidRPr="00EA1F46">
        <w:rPr>
          <w:rtl/>
          <w:lang w:bidi="ar-SA"/>
        </w:rPr>
        <w:t>المساعدة على تحديد الجدوى المحتملة للمنتج أو الخدمة اللذين يجري وضع تصور لهما من حيث المستخدمين النهائيين والأسواق المستهدفة وما إلى ذلك مما أُفصح عنه في قسم "معلومات أساسية عن الاختراع" في البراءة أو طلب البراءة أو وثائق البراءات الأخرى.</w:t>
      </w:r>
    </w:p>
    <w:p w14:paraId="370CA7EC" w14:textId="597107E1" w:rsidR="00EA1F46" w:rsidRDefault="00EA1F46" w:rsidP="00EA1F46">
      <w:pPr>
        <w:pStyle w:val="BodyText"/>
        <w:bidi w:val="0"/>
        <w:jc w:val="right"/>
        <w:rPr>
          <w:rStyle w:val="Bold"/>
          <w:rFonts w:ascii="Arabic Typesetting" w:eastAsia="SimSun" w:hAnsi="Arabic Typesetting" w:cs="Arabic Typesetting"/>
          <w:b w:val="0"/>
          <w:rtl/>
        </w:rPr>
      </w:pPr>
      <w:r w:rsidRPr="00EA1F46">
        <w:rPr>
          <w:rStyle w:val="Bold"/>
          <w:rFonts w:ascii="Arabic Typesetting" w:eastAsia="SimSun" w:hAnsi="Arabic Typesetting" w:cs="Arabic Typesetting"/>
          <w:bCs/>
          <w:rtl/>
        </w:rPr>
        <w:t>الانتفاع خلال عملية استحداث منتجات جديدة بما يوجد في وثائق البراءات وفي الوثائق غير المتعلقة بالبراءات من معارف آلت إلى الملك العام</w:t>
      </w:r>
      <w:r w:rsidRPr="00EA1F46">
        <w:rPr>
          <w:rStyle w:val="Bold"/>
          <w:rFonts w:ascii="Arabic Typesetting" w:eastAsia="SimSun" w:hAnsi="Arabic Typesetting" w:cs="Arabic Typesetting" w:hint="cs"/>
          <w:bCs/>
          <w:rtl/>
        </w:rPr>
        <w:t xml:space="preserve">: </w:t>
      </w:r>
      <w:r w:rsidRPr="00EA1F46">
        <w:rPr>
          <w:rStyle w:val="Bold"/>
          <w:rFonts w:ascii="Arabic Typesetting" w:eastAsia="SimSun" w:hAnsi="Arabic Typesetting" w:cs="Arabic Typesetting"/>
          <w:b w:val="0"/>
          <w:rtl/>
        </w:rPr>
        <w:t>يمكن دعم عمليات استحداث منتجات جديدة بالمعلومات المفيدة المتعلقة بالأعمال التجارية التي أُفصِح عنها في وثائق البراءات والوثائق غير المتعلقة بالبراءات التي تصف تكنولوجيات مشابهة.</w:t>
      </w:r>
    </w:p>
    <w:p w14:paraId="39DE2DDE" w14:textId="2868E37A" w:rsidR="00EA1F46" w:rsidRPr="00EA1F46" w:rsidRDefault="00EA1F46" w:rsidP="00EA1F46">
      <w:pPr>
        <w:pStyle w:val="BodyText"/>
        <w:rPr>
          <w:b/>
        </w:rPr>
      </w:pPr>
      <w:r>
        <w:rPr>
          <w:rFonts w:hint="cs"/>
          <w:b/>
          <w:rtl/>
          <w:lang w:bidi="ar-SA"/>
        </w:rPr>
        <w:t>و</w:t>
      </w:r>
      <w:r w:rsidRPr="00EA1F46">
        <w:rPr>
          <w:b/>
          <w:rtl/>
          <w:lang w:bidi="ar-SA"/>
        </w:rPr>
        <w:t>يمكن للمخترع أو المبتكر الذي لديه مفهوم مُحدَّد الملامح لمنتج جديد أو خدمة جديدة أو كليهما أن يسعى إلى الحصول على ما آل إلى الملك العام من معلومات البراءات ومعارفها من أجل:</w:t>
      </w:r>
    </w:p>
    <w:p w14:paraId="1B926E20" w14:textId="77777777" w:rsidR="00EA1F46" w:rsidRPr="00EA1F46" w:rsidRDefault="00EA1F46" w:rsidP="00EA1F46">
      <w:pPr>
        <w:pStyle w:val="BodyText"/>
        <w:numPr>
          <w:ilvl w:val="0"/>
          <w:numId w:val="46"/>
        </w:numPr>
      </w:pPr>
      <w:r w:rsidRPr="00EA1F46">
        <w:rPr>
          <w:rtl/>
          <w:lang w:bidi="ar-SA"/>
        </w:rPr>
        <w:t>الاستعانة بها على تقدير الجدوى التجارية لمفهومه وقيمة هذا المفهوم من خلال استعراض محفظة البراءات الخاصة بالمنتجات أو الخدمات المعروفة المشابهة.</w:t>
      </w:r>
    </w:p>
    <w:p w14:paraId="5B97783F" w14:textId="77777777" w:rsidR="00EA1F46" w:rsidRPr="00EA1F46" w:rsidRDefault="00EA1F46" w:rsidP="00EA1F46">
      <w:pPr>
        <w:pStyle w:val="BodyText"/>
        <w:numPr>
          <w:ilvl w:val="0"/>
          <w:numId w:val="46"/>
        </w:numPr>
      </w:pPr>
      <w:r w:rsidRPr="00EA1F46">
        <w:rPr>
          <w:rtl/>
          <w:lang w:bidi="ar-SA"/>
        </w:rPr>
        <w:t>تحديد ما إذا كانت المنتجات أو الخدمات أو كلتاهما جديدة على منطقة ما أم مألوفةً فيها من خلال البحث عن البراءات أو طلبات البراءات أو تقارير البحث الخاصة بمنتجات أو خدمات مشابهة.</w:t>
      </w:r>
    </w:p>
    <w:p w14:paraId="5CECF2AF" w14:textId="77777777" w:rsidR="00EA1F46" w:rsidRPr="00EA1F46" w:rsidRDefault="00EA1F46" w:rsidP="00EA1F46">
      <w:pPr>
        <w:pStyle w:val="BodyText"/>
        <w:numPr>
          <w:ilvl w:val="0"/>
          <w:numId w:val="46"/>
        </w:numPr>
      </w:pPr>
      <w:r w:rsidRPr="00EA1F46">
        <w:rPr>
          <w:rtl/>
          <w:lang w:bidi="ar-SA"/>
        </w:rPr>
        <w:lastRenderedPageBreak/>
        <w:t>تجنُّب انتهاك البراءات القابلة للإنفاذ والإجراءات القانونية التقييدية اللاحقة.</w:t>
      </w:r>
    </w:p>
    <w:p w14:paraId="09270FB3" w14:textId="77777777" w:rsidR="00EA1F46" w:rsidRPr="00EA1F46" w:rsidRDefault="00EA1F46" w:rsidP="00EA1F46">
      <w:pPr>
        <w:pStyle w:val="BodyText"/>
        <w:numPr>
          <w:ilvl w:val="0"/>
          <w:numId w:val="46"/>
        </w:numPr>
      </w:pPr>
      <w:r w:rsidRPr="00EA1F46">
        <w:rPr>
          <w:rtl/>
          <w:lang w:bidi="ar-SA"/>
        </w:rPr>
        <w:t>جمع معلومات استخبارية عن التكنولوجيات باستخدام الأنشطة المبتكرة المُفصَح عنها الخاصة بالمنافسين الذين يقدمون منتجات أو خدمات تكميلية.</w:t>
      </w:r>
    </w:p>
    <w:p w14:paraId="3A91FDA0" w14:textId="77777777" w:rsidR="00EA1F46" w:rsidRPr="00EA1F46" w:rsidRDefault="00EA1F46" w:rsidP="00EA1F46">
      <w:pPr>
        <w:pStyle w:val="BodyText"/>
        <w:numPr>
          <w:ilvl w:val="0"/>
          <w:numId w:val="46"/>
        </w:numPr>
      </w:pPr>
      <w:r w:rsidRPr="00EA1F46">
        <w:rPr>
          <w:rtl/>
          <w:lang w:bidi="ar-SA"/>
        </w:rPr>
        <w:t>العثور على موظفين محتملين ذوي خبرة من خلال استعراض المخترعين أو المُتنازَل لهم في البراءات وطلبات البراءات الخاصة بالتكنولوجيات ذات الصلة.</w:t>
      </w:r>
    </w:p>
    <w:p w14:paraId="0DBBB46D" w14:textId="77777777" w:rsidR="00EA1F46" w:rsidRPr="00EA1F46" w:rsidRDefault="00EA1F46" w:rsidP="00EA1F46">
      <w:pPr>
        <w:pStyle w:val="BodyText"/>
        <w:numPr>
          <w:ilvl w:val="0"/>
          <w:numId w:val="46"/>
        </w:numPr>
      </w:pPr>
      <w:r w:rsidRPr="00EA1F46">
        <w:rPr>
          <w:rtl/>
          <w:lang w:bidi="ar-SA"/>
        </w:rPr>
        <w:t>دراسة تاريخ الملاحقات القضائية للبراءات ذات الأهمية الممنوحة لتكنولوجيات مشابهة من أجل الحصول على معلومات يستفيد منها المخترع أو المبتكر في الملاحقة القضائية لبراءاته.</w:t>
      </w:r>
    </w:p>
    <w:p w14:paraId="75057024" w14:textId="77777777" w:rsidR="00EA1F46" w:rsidRPr="00EA1F46" w:rsidRDefault="00EA1F46" w:rsidP="00EA1F46">
      <w:pPr>
        <w:pStyle w:val="BodyText"/>
        <w:numPr>
          <w:ilvl w:val="0"/>
          <w:numId w:val="46"/>
        </w:numPr>
      </w:pPr>
      <w:r w:rsidRPr="00EA1F46">
        <w:rPr>
          <w:rtl/>
          <w:lang w:bidi="ar-SA"/>
        </w:rPr>
        <w:t>السعي إلى الحصول على ترخيص أو إقامة شراكة أو إجراء عمليات دمج أو استحواذ من خلال تحديد مالكي التكنولوجيا المعنية التي حصلت على براءة أو التي يُنتظر حصولها على براءة.</w:t>
      </w:r>
    </w:p>
    <w:p w14:paraId="6CAC1E45" w14:textId="77777777" w:rsidR="00EA1F46" w:rsidRPr="00EA1F46" w:rsidRDefault="00EA1F46" w:rsidP="00EA1F46">
      <w:pPr>
        <w:pStyle w:val="BodyText"/>
        <w:numPr>
          <w:ilvl w:val="0"/>
          <w:numId w:val="46"/>
        </w:numPr>
      </w:pPr>
      <w:r w:rsidRPr="00EA1F46">
        <w:rPr>
          <w:rtl/>
          <w:lang w:bidi="ar-SA"/>
        </w:rPr>
        <w:t>جمع معلومات استخبارية عن المنافسين من خلال استقصاء أنشطة إيداع طلبات البراءات المرتبطة بمنتجات أو خدمات بديلة.</w:t>
      </w:r>
    </w:p>
    <w:p w14:paraId="22122D63" w14:textId="77777777" w:rsidR="00EA1F46" w:rsidRPr="00EA1F46" w:rsidRDefault="00EA1F46" w:rsidP="00EA1F46">
      <w:pPr>
        <w:pStyle w:val="BodyText"/>
        <w:numPr>
          <w:ilvl w:val="0"/>
          <w:numId w:val="46"/>
        </w:numPr>
      </w:pPr>
      <w:r w:rsidRPr="00EA1F46">
        <w:rPr>
          <w:rtl/>
          <w:lang w:bidi="ar-SA"/>
        </w:rPr>
        <w:t>اكتشاف التوجّهات المُستجدّة التي تُفضي إلى فرص سوقية جديدة في المجالات التكنولوجية من خلال استكشاف ما يقوم به الآخرون من أنشطة متعلقة بالبراءات.</w:t>
      </w:r>
    </w:p>
    <w:p w14:paraId="5BDAC771" w14:textId="4D249131" w:rsidR="006F6396" w:rsidRDefault="00EA1F46" w:rsidP="006F6396">
      <w:pPr>
        <w:pStyle w:val="BodyText"/>
        <w:numPr>
          <w:ilvl w:val="0"/>
          <w:numId w:val="46"/>
        </w:numPr>
        <w:rPr>
          <w:rtl/>
        </w:rPr>
      </w:pPr>
      <w:r w:rsidRPr="00EA1F46">
        <w:rPr>
          <w:rtl/>
          <w:lang w:bidi="ar-SA"/>
        </w:rPr>
        <w:t>خلق فرص ابتكارية وسوقية عن طريق تسجيل براءات مشابهة لبراءات حالية.</w:t>
      </w:r>
    </w:p>
    <w:p w14:paraId="662BAEA9" w14:textId="35F38FA7" w:rsidR="006F6396" w:rsidRDefault="006F6396" w:rsidP="00996B15">
      <w:pPr>
        <w:spacing w:before="200"/>
      </w:pPr>
      <w:r>
        <w:rPr>
          <w:rtl/>
          <w:lang w:eastAsia="ar"/>
        </w:rPr>
        <w:lastRenderedPageBreak/>
        <w:t>وينقسم هذا الدليل إلى ثلاث وحدات قائمة بذاتها تستعرض وتستكشف إمكانية تطبيق المعلومات المُستقاة من الاختراعات التي آلت إلى الملك العام. وهذه الوحدات هي:</w:t>
      </w:r>
    </w:p>
    <w:p w14:paraId="7F4D69C0" w14:textId="482BC3A2" w:rsidR="00C77D44" w:rsidRDefault="00753960" w:rsidP="006F6396">
      <w:pPr>
        <w:pStyle w:val="BodyText"/>
        <w:rPr>
          <w:rtl/>
        </w:rPr>
      </w:pPr>
      <w:r w:rsidRPr="00753960">
        <w:rPr>
          <w:rFonts w:hint="cs"/>
          <w:b/>
          <w:bCs/>
          <w:rtl/>
        </w:rPr>
        <w:t>الوحدة</w:t>
      </w:r>
      <w:r>
        <w:rPr>
          <w:rFonts w:hint="cs"/>
          <w:rtl/>
        </w:rPr>
        <w:t xml:space="preserve"> </w:t>
      </w:r>
      <w:r w:rsidRPr="00753960">
        <w:rPr>
          <w:rFonts w:hint="cs"/>
          <w:b/>
          <w:bCs/>
          <w:rtl/>
        </w:rPr>
        <w:t>الأولى</w:t>
      </w:r>
    </w:p>
    <w:p w14:paraId="403B5D4C" w14:textId="2F985762" w:rsidR="006E647B" w:rsidRDefault="006E647B" w:rsidP="006E647B">
      <w:pPr>
        <w:pStyle w:val="BodyText"/>
        <w:numPr>
          <w:ilvl w:val="0"/>
          <w:numId w:val="47"/>
        </w:numPr>
        <w:rPr>
          <w:b/>
          <w:lang w:bidi="ar-SA"/>
        </w:rPr>
      </w:pPr>
      <w:r w:rsidRPr="006E647B">
        <w:rPr>
          <w:b/>
          <w:rtl/>
          <w:lang w:bidi="ar-SA"/>
        </w:rPr>
        <w:t>استعراض اختلاف الملك العام باختلاف المكان والزمان، مع التركيز على:</w:t>
      </w:r>
    </w:p>
    <w:p w14:paraId="025D0D38" w14:textId="4B7CF254" w:rsidR="006E647B" w:rsidRDefault="006E647B" w:rsidP="006E647B">
      <w:pPr>
        <w:pStyle w:val="BodyText"/>
        <w:numPr>
          <w:ilvl w:val="1"/>
          <w:numId w:val="47"/>
        </w:numPr>
        <w:rPr>
          <w:b/>
          <w:lang w:bidi="ar-SA"/>
        </w:rPr>
      </w:pPr>
      <w:r w:rsidRPr="006E647B">
        <w:rPr>
          <w:b/>
          <w:rtl/>
          <w:lang w:bidi="ar-SA"/>
        </w:rPr>
        <w:t>الملك العام في البلدان النامية وأقل البلدان نمواً</w:t>
      </w:r>
    </w:p>
    <w:p w14:paraId="13694F0B" w14:textId="6697DDA9" w:rsidR="006E647B" w:rsidRPr="006E647B" w:rsidRDefault="006E647B" w:rsidP="00996B15">
      <w:pPr>
        <w:pStyle w:val="BodyText"/>
        <w:numPr>
          <w:ilvl w:val="1"/>
          <w:numId w:val="47"/>
        </w:numPr>
        <w:spacing w:before="0"/>
        <w:rPr>
          <w:b/>
          <w:rtl/>
          <w:lang w:bidi="ar-SA"/>
        </w:rPr>
      </w:pPr>
      <w:r w:rsidRPr="006E647B">
        <w:rPr>
          <w:b/>
          <w:rtl/>
          <w:lang w:bidi="ar-SA"/>
        </w:rPr>
        <w:t>والعلاقة بين البراءات والملك العام</w:t>
      </w:r>
    </w:p>
    <w:p w14:paraId="3450793A" w14:textId="511954FB" w:rsidR="00753960" w:rsidRDefault="00753960" w:rsidP="006F6396">
      <w:pPr>
        <w:pStyle w:val="BodyText"/>
        <w:rPr>
          <w:rtl/>
        </w:rPr>
      </w:pPr>
      <w:r w:rsidRPr="00753960">
        <w:rPr>
          <w:rFonts w:hint="cs"/>
          <w:b/>
          <w:bCs/>
          <w:rtl/>
        </w:rPr>
        <w:t>الوحدة</w:t>
      </w:r>
      <w:r>
        <w:rPr>
          <w:rFonts w:hint="cs"/>
          <w:rtl/>
        </w:rPr>
        <w:t xml:space="preserve"> </w:t>
      </w:r>
      <w:r w:rsidRPr="00753960">
        <w:rPr>
          <w:rFonts w:hint="cs"/>
          <w:b/>
          <w:bCs/>
          <w:rtl/>
        </w:rPr>
        <w:t>الثانية</w:t>
      </w:r>
    </w:p>
    <w:p w14:paraId="53DE0CB4" w14:textId="26177CB4" w:rsidR="00753960" w:rsidRDefault="00FD1FD8" w:rsidP="00FD1FD8">
      <w:pPr>
        <w:pStyle w:val="BodyText"/>
        <w:numPr>
          <w:ilvl w:val="0"/>
          <w:numId w:val="48"/>
        </w:numPr>
        <w:rPr>
          <w:rtl/>
        </w:rPr>
      </w:pPr>
      <w:r w:rsidRPr="00FD1FD8">
        <w:rPr>
          <w:b/>
          <w:rtl/>
          <w:lang w:bidi="ar-SA"/>
        </w:rPr>
        <w:t>استكشاف ما يوجد في البراءات من معارف آلت إلى الملك العام، والعلاقة بين البراءات وحقوق الملكية الفكرية الأخرى، والانتفاع بالرؤى المكتسبة في إيجاد فرص للاستفادة من الاختراعات الموجودة والمعارف المندرجة في الملك العام من أجل تيسير نجاح الأعمال التجارية.</w:t>
      </w:r>
    </w:p>
    <w:p w14:paraId="02680C8E" w14:textId="4A699F84" w:rsidR="00753960" w:rsidRPr="00753960" w:rsidRDefault="00753960" w:rsidP="00996B15">
      <w:pPr>
        <w:pStyle w:val="BodyText"/>
        <w:keepNext/>
        <w:keepLines/>
        <w:rPr>
          <w:b/>
          <w:bCs/>
          <w:rtl/>
        </w:rPr>
      </w:pPr>
      <w:r w:rsidRPr="00753960">
        <w:rPr>
          <w:rFonts w:hint="cs"/>
          <w:b/>
          <w:bCs/>
          <w:rtl/>
        </w:rPr>
        <w:t>الوحدة الثالثة</w:t>
      </w:r>
    </w:p>
    <w:p w14:paraId="5A829531" w14:textId="36794E95" w:rsidR="00EA1F46" w:rsidRDefault="00FD1FD8" w:rsidP="00FD1FD8">
      <w:pPr>
        <w:pStyle w:val="BodyText"/>
        <w:numPr>
          <w:ilvl w:val="0"/>
          <w:numId w:val="48"/>
        </w:numPr>
        <w:rPr>
          <w:rtl/>
        </w:rPr>
      </w:pPr>
      <w:r w:rsidRPr="00FD1FD8">
        <w:rPr>
          <w:b/>
          <w:rtl/>
          <w:lang w:bidi="ar-SA"/>
        </w:rPr>
        <w:t>الانتفاع بالمعارف التي آلت إلى الملك العام ودمجها في عمليات استحداث المنتجات، بدءاً من تصوُّر الفكرة، ومروراً بتحليلها وتصميمها واختبارها وطرحها في الأسواق، ووصولاً إلى مرحلة تحليل ما بعد الطرح من أجل التحسين المستمر.</w:t>
      </w:r>
    </w:p>
    <w:p w14:paraId="2D4BFB8A" w14:textId="5251FD8E" w:rsidR="00FD1FD8" w:rsidRPr="003F1162" w:rsidRDefault="008F4D8E" w:rsidP="000D7E81">
      <w:pPr>
        <w:pStyle w:val="BodyText"/>
        <w:rPr>
          <w:b/>
          <w:bCs/>
          <w:rtl/>
        </w:rPr>
      </w:pPr>
      <w:r w:rsidRPr="003F1162">
        <w:rPr>
          <w:rFonts w:hint="cs"/>
          <w:b/>
          <w:bCs/>
          <w:rtl/>
        </w:rPr>
        <w:t xml:space="preserve">اعتبارات </w:t>
      </w:r>
      <w:r w:rsidR="003F1162" w:rsidRPr="003F1162">
        <w:rPr>
          <w:rFonts w:hint="cs"/>
          <w:b/>
          <w:bCs/>
          <w:rtl/>
        </w:rPr>
        <w:t>استخدام الدليل</w:t>
      </w:r>
    </w:p>
    <w:p w14:paraId="4FA9C36B" w14:textId="768BF419" w:rsidR="00AA5E14" w:rsidRPr="00AA5E14" w:rsidRDefault="00866198" w:rsidP="00AA5E14">
      <w:pPr>
        <w:pStyle w:val="BodyText"/>
      </w:pPr>
      <w:r w:rsidRPr="00866198">
        <w:rPr>
          <w:rFonts w:hint="cs"/>
          <w:b/>
          <w:bCs/>
          <w:rtl/>
          <w:lang w:bidi="ar-SA"/>
        </w:rPr>
        <w:t xml:space="preserve">المهارات: </w:t>
      </w:r>
      <w:r w:rsidR="005243EC" w:rsidRPr="005243EC">
        <w:rPr>
          <w:rtl/>
          <w:lang w:bidi="ar-SA"/>
        </w:rPr>
        <w:t xml:space="preserve">هذا الدليل مُوجَّه إلى الباحثين، والمخترعين، ورواد الأعمال، والمؤسسات والأفراد المعنيين بنقل التكنولوجيا، ومديري برامج </w:t>
      </w:r>
      <w:r w:rsidR="005243EC" w:rsidRPr="005243EC">
        <w:rPr>
          <w:rtl/>
          <w:lang w:bidi="ar-SA"/>
        </w:rPr>
        <w:lastRenderedPageBreak/>
        <w:t>البحوث الحكومية وغير الربحية، ومطوّري المنتجات.</w:t>
      </w:r>
      <w:r w:rsidR="005243EC">
        <w:rPr>
          <w:rFonts w:hint="cs"/>
          <w:rtl/>
          <w:lang w:bidi="ar-SA"/>
        </w:rPr>
        <w:t xml:space="preserve"> </w:t>
      </w:r>
      <w:r w:rsidR="00E12140" w:rsidRPr="00E12140">
        <w:rPr>
          <w:rtl/>
          <w:lang w:bidi="ar-SA"/>
        </w:rPr>
        <w:t>و</w:t>
      </w:r>
      <w:r w:rsidR="00E12140">
        <w:rPr>
          <w:rFonts w:hint="cs"/>
          <w:rtl/>
          <w:lang w:bidi="ar-SA"/>
        </w:rPr>
        <w:t xml:space="preserve">على وجه الخصوص، </w:t>
      </w:r>
      <w:r w:rsidR="00E12140" w:rsidRPr="00E12140">
        <w:rPr>
          <w:rtl/>
          <w:lang w:bidi="ar-SA"/>
        </w:rPr>
        <w:t xml:space="preserve">سيكون </w:t>
      </w:r>
      <w:r w:rsidR="00905AAE">
        <w:rPr>
          <w:rFonts w:hint="cs"/>
          <w:rtl/>
          <w:lang w:bidi="ar-SA"/>
        </w:rPr>
        <w:t xml:space="preserve">الدليل </w:t>
      </w:r>
      <w:r w:rsidR="00E12140" w:rsidRPr="00E12140">
        <w:rPr>
          <w:rtl/>
          <w:lang w:bidi="ar-SA"/>
        </w:rPr>
        <w:t>مفيداً جداً</w:t>
      </w:r>
      <w:r w:rsidR="00E12140">
        <w:rPr>
          <w:rFonts w:hint="cs"/>
          <w:rtl/>
          <w:lang w:bidi="ar-SA"/>
        </w:rPr>
        <w:t xml:space="preserve"> بالنسبة إلى موظفي </w:t>
      </w:r>
      <w:r w:rsidR="00E12140" w:rsidRPr="00E12140">
        <w:rPr>
          <w:rtl/>
          <w:lang w:bidi="ar-SA"/>
        </w:rPr>
        <w:t>مراكز دعم التكنولوجيا والابتكار</w:t>
      </w:r>
      <w:r w:rsidR="00E12140">
        <w:rPr>
          <w:rFonts w:hint="cs"/>
          <w:rtl/>
          <w:lang w:bidi="ar-SA"/>
        </w:rPr>
        <w:t xml:space="preserve"> حول العالم</w:t>
      </w:r>
      <w:r w:rsidR="00905AAE">
        <w:rPr>
          <w:rFonts w:hint="cs"/>
          <w:rtl/>
          <w:lang w:bidi="ar-SA"/>
        </w:rPr>
        <w:t xml:space="preserve"> فيما يخص </w:t>
      </w:r>
      <w:r w:rsidR="00E12140">
        <w:rPr>
          <w:rFonts w:hint="cs"/>
          <w:rtl/>
          <w:lang w:bidi="ar-SA"/>
        </w:rPr>
        <w:t xml:space="preserve">مساعدة </w:t>
      </w:r>
      <w:r w:rsidR="00905AAE" w:rsidRPr="00905AAE">
        <w:rPr>
          <w:rtl/>
          <w:lang w:bidi="ar-SA"/>
        </w:rPr>
        <w:t xml:space="preserve">المخترعين/المبتكرين </w:t>
      </w:r>
      <w:r w:rsidR="00E12140">
        <w:rPr>
          <w:rFonts w:hint="cs"/>
          <w:rtl/>
          <w:lang w:bidi="ar-SA"/>
        </w:rPr>
        <w:t>الباحثين عن توجيه بشأن تطوير أفكارهم الإبداعية.</w:t>
      </w:r>
      <w:r w:rsidR="00905AAE">
        <w:rPr>
          <w:rFonts w:hint="cs"/>
          <w:rtl/>
          <w:lang w:bidi="ar-SA"/>
        </w:rPr>
        <w:t xml:space="preserve"> </w:t>
      </w:r>
      <w:r w:rsidR="00E76221" w:rsidRPr="00E76221">
        <w:rPr>
          <w:rtl/>
        </w:rPr>
        <w:t>وقد أنشأت الويبو مراكز لدعم التكنولوجيا والابتكار في هذه البلدان من أجل إمداد المخترعين/المبتكرين بالمعلومات التكنولوجية المناسبة المُستقاة من موارد البراءات والموارد غير المتعلقة بالبراءات إلى جانب تقديم خدمات لتطوير مساعيهم الابتكارية وإدارتها.</w:t>
      </w:r>
      <w:r w:rsidR="00722C53">
        <w:rPr>
          <w:rFonts w:hint="cs"/>
          <w:rtl/>
        </w:rPr>
        <w:t xml:space="preserve"> </w:t>
      </w:r>
      <w:r w:rsidR="00AA5E14" w:rsidRPr="00AA5E14">
        <w:rPr>
          <w:rtl/>
          <w:lang w:bidi="ar-SA"/>
        </w:rPr>
        <w:t>ويُفترض في جميع قُرّاء هذا الدليل الكرام أن يكونوا على قدر من الفهم للملكية الفكرية وقابليتها للتطبيق في سياقات تجارية، وأن تكون لديهم معرفة عملية أساسية بأدوات الإدارة.</w:t>
      </w:r>
    </w:p>
    <w:p w14:paraId="455048D9" w14:textId="77777777" w:rsidR="00323F02" w:rsidRPr="00323F02" w:rsidRDefault="00866198" w:rsidP="00323F02">
      <w:pPr>
        <w:pStyle w:val="BodyText"/>
      </w:pPr>
      <w:r w:rsidRPr="00866198">
        <w:rPr>
          <w:rFonts w:hint="cs"/>
          <w:b/>
          <w:bCs/>
          <w:rtl/>
        </w:rPr>
        <w:t xml:space="preserve">التدريب: </w:t>
      </w:r>
      <w:r>
        <w:rPr>
          <w:rFonts w:hint="cs"/>
          <w:rtl/>
        </w:rPr>
        <w:t>تبدأ كل وحدة بقائمة لنقاط التعلم التي تلخص المعارف والمهارات التي ينبغي أن يكون القارئ قد اكتسبها بعد الانتهاء من الوحدة.</w:t>
      </w:r>
      <w:r w:rsidR="00323F02">
        <w:rPr>
          <w:rFonts w:hint="cs"/>
          <w:rtl/>
        </w:rPr>
        <w:t xml:space="preserve"> </w:t>
      </w:r>
      <w:r w:rsidR="00323F02" w:rsidRPr="00323F02">
        <w:rPr>
          <w:rtl/>
          <w:lang w:bidi="ar-SA"/>
        </w:rPr>
        <w:t xml:space="preserve">ويتّبع الدليلُ منهجية عامة تُركِّز على الإجراءات المتسلسلة وتستخدم مخططات انسيابية منطقية ورسوماً بيانية مشروحة لمساعدتك على الانتفاع بما ورد في وثائق البراءات والوثائق غير المتعلقة بالبراءات من معارف آلت إلى الملك العام. ويستند محتوى الوحدات الأولى والثانية والثالثة في المقام الأول إلى هذه المنهجية التي تُركِّز على الإجراءات المتسلسلة. وقد كُتبت هذه الأقسام من أجل المخترعين ورواد الأعمال والمبتكرين ومَن على شاكلتهم ممن سيستفيدون من استخدام المعارف المندرجة في الملك العام عبر شتى مراحل إعداد المنتج لحماية أفكارهم أو لتطبيق هذه المعارف لتيسير </w:t>
      </w:r>
      <w:r w:rsidR="00323F02" w:rsidRPr="00323F02">
        <w:rPr>
          <w:rtl/>
          <w:lang w:bidi="ar-SA"/>
        </w:rPr>
        <w:lastRenderedPageBreak/>
        <w:t>الاستغلال التجاري الناجح. وأما السياقات أو الأمثلة التعليمية التي وضعها في الأصل مبتكرون من البلدان النامية وأقل البلدان نمواً (الوحدة الثالثة) فإنها تستعرض كيفية استخدام المعلومات التي آلت إلى الملك العام وكيفية دمجها في عملية اتخاذ القرارات المتعلقة بإعداد المنتجات.</w:t>
      </w:r>
    </w:p>
    <w:p w14:paraId="03D6F9E1" w14:textId="6311F358" w:rsidR="0068530D" w:rsidRDefault="00323F02" w:rsidP="000858FC">
      <w:pPr>
        <w:pStyle w:val="BodyText"/>
        <w:rPr>
          <w:rtl/>
          <w:lang w:bidi="ar-SA"/>
        </w:rPr>
      </w:pPr>
      <w:r w:rsidRPr="0041196C">
        <w:rPr>
          <w:rFonts w:hint="cs"/>
          <w:b/>
          <w:bCs/>
          <w:rtl/>
        </w:rPr>
        <w:t>حدود الدليل:</w:t>
      </w:r>
      <w:r>
        <w:rPr>
          <w:rFonts w:hint="cs"/>
          <w:rtl/>
        </w:rPr>
        <w:t xml:space="preserve"> </w:t>
      </w:r>
      <w:r w:rsidRPr="00323F02">
        <w:rPr>
          <w:rtl/>
          <w:lang w:bidi="ar-SA"/>
        </w:rPr>
        <w:t>هذا الدليل ليس مدخلاً رسمياً ولا شاملاً إلى استحداث المنتجات.</w:t>
      </w:r>
      <w:r>
        <w:rPr>
          <w:rFonts w:hint="cs"/>
          <w:rtl/>
          <w:lang w:bidi="ar-SA"/>
        </w:rPr>
        <w:t xml:space="preserve"> </w:t>
      </w:r>
      <w:r w:rsidRPr="00323F02">
        <w:rPr>
          <w:rtl/>
          <w:lang w:bidi="ar-SA"/>
        </w:rPr>
        <w:t xml:space="preserve">بل هو دليل </w:t>
      </w:r>
      <w:r>
        <w:rPr>
          <w:rFonts w:hint="cs"/>
          <w:rtl/>
          <w:lang w:bidi="ar-SA"/>
        </w:rPr>
        <w:t xml:space="preserve">للمخترعين </w:t>
      </w:r>
      <w:r w:rsidRPr="00323F02">
        <w:rPr>
          <w:rtl/>
          <w:lang w:bidi="ar-SA"/>
        </w:rPr>
        <w:t>بشأن كيفية استخدام المعلومات والمعارف التي آلت إلى الملك العام لتحسين اتخاذ القرارات في عمليات استحداث المنتجات</w:t>
      </w:r>
      <w:r>
        <w:rPr>
          <w:rFonts w:hint="cs"/>
          <w:rtl/>
          <w:lang w:bidi="ar-SA"/>
        </w:rPr>
        <w:t xml:space="preserve">. وعلى نحو مماثل، </w:t>
      </w:r>
      <w:r w:rsidR="00161A32" w:rsidRPr="00161A32">
        <w:rPr>
          <w:rtl/>
        </w:rPr>
        <w:t>لا يقدم الدليل وصفاً شاملاً لكل ما يندرج ضمن الملك العام. فقد وُضِع ليكون مُلحَقاً يعزز الإحاطة علماً بإمكانات وقيود المعارف والمعلومات التي آلت إلى الملك العام التي تساعد على تحديد وتقييم القدرات التكنولوجية داخل شركة أو مشروع وتكون مفيدة في إعداد المنتجات. كما أن المعرفة التي اكتسبها مُقدمو خدمات مراكز دعم التكنولوجيا والابتكار ونقل التكنولوجيا وغيرها من الخدمات من خلال هذا الدليل ينبغي مشاركتها مع المخترعين والمبتكرين والمديرين الذين يلتمسون دعمهم وتوجيههم.</w:t>
      </w:r>
    </w:p>
    <w:p w14:paraId="7BC42BF8" w14:textId="4DF307AF" w:rsidR="00B12FBD" w:rsidRPr="008766F8" w:rsidRDefault="00B12FBD" w:rsidP="0068530D">
      <w:pPr>
        <w:pStyle w:val="Endofdocument-Annex"/>
        <w:rPr>
          <w:rtl/>
        </w:rPr>
      </w:pPr>
      <w:r>
        <w:rPr>
          <w:rFonts w:hint="cs"/>
          <w:rtl/>
        </w:rPr>
        <w:t>[نهاية المرفق والوثيقة]</w:t>
      </w:r>
    </w:p>
    <w:sectPr w:rsidR="00B12FBD" w:rsidRPr="008766F8" w:rsidSect="0041196C">
      <w:headerReference w:type="even" r:id="rId12"/>
      <w:headerReference w:type="default" r:id="rId13"/>
      <w:footerReference w:type="even" r:id="rId14"/>
      <w:footerReference w:type="default" r:id="rId15"/>
      <w:headerReference w:type="first" r:id="rId16"/>
      <w:footerReference w:type="first" r:id="rId17"/>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80F27" w14:textId="77777777" w:rsidR="00566C21" w:rsidRDefault="00566C21">
      <w:r>
        <w:separator/>
      </w:r>
    </w:p>
  </w:endnote>
  <w:endnote w:type="continuationSeparator" w:id="0">
    <w:p w14:paraId="4671AF79" w14:textId="77777777" w:rsidR="00566C21" w:rsidRDefault="0056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C8DB" w14:textId="77777777" w:rsidR="007A0162" w:rsidRDefault="007A0162" w:rsidP="007A0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C7D1" w14:textId="2966CFE7" w:rsidR="007A0162" w:rsidRDefault="007A0162">
    <w:pPr>
      <w:pStyle w:val="Footer"/>
    </w:pPr>
    <w:r>
      <w:rPr>
        <w:noProof/>
      </w:rPr>
      <mc:AlternateContent>
        <mc:Choice Requires="wps">
          <w:drawing>
            <wp:anchor distT="558800" distB="0" distL="114300" distR="114300" simplePos="0" relativeHeight="251663360" behindDoc="0" locked="0" layoutInCell="0" allowOverlap="1" wp14:anchorId="68428C55" wp14:editId="5EA9563F">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E5EB3" w14:textId="04F8B96B" w:rsidR="007A0162" w:rsidRDefault="007A0162" w:rsidP="007A0162">
                          <w:pPr>
                            <w:jc w:val="center"/>
                          </w:pPr>
                          <w:r w:rsidRPr="007A016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428C55"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2D9E5EB3" w14:textId="04F8B96B" w:rsidR="007A0162" w:rsidRDefault="007A0162" w:rsidP="007A0162">
                    <w:pPr>
                      <w:jc w:val="center"/>
                    </w:pPr>
                    <w:r w:rsidRPr="007A016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41385" w14:textId="0C56015C" w:rsidR="007A0162" w:rsidRDefault="007A0162">
    <w:pPr>
      <w:pStyle w:val="Footer"/>
    </w:pPr>
    <w:r>
      <w:rPr>
        <w:noProof/>
      </w:rPr>
      <mc:AlternateContent>
        <mc:Choice Requires="wps">
          <w:drawing>
            <wp:anchor distT="558800" distB="0" distL="114300" distR="114300" simplePos="0" relativeHeight="251662336" behindDoc="0" locked="0" layoutInCell="0" allowOverlap="1" wp14:anchorId="5A7EE86F" wp14:editId="419878E3">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E7DD76" w14:textId="3FE8C6B5" w:rsidR="007A0162" w:rsidRDefault="007A0162" w:rsidP="007A0162">
                          <w:pPr>
                            <w:jc w:val="center"/>
                          </w:pPr>
                          <w:r w:rsidRPr="007A016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7EE86F"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wr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TX2wr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46E7DD76" w14:textId="3FE8C6B5" w:rsidR="007A0162" w:rsidRDefault="007A0162" w:rsidP="007A0162">
                    <w:pPr>
                      <w:jc w:val="center"/>
                    </w:pPr>
                    <w:r w:rsidRPr="007A016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8A1B7" w14:textId="77777777" w:rsidR="00566C21" w:rsidRDefault="00566C21" w:rsidP="009622BF">
      <w:bookmarkStart w:id="0" w:name="OLE_LINK1"/>
      <w:bookmarkStart w:id="1" w:name="OLE_LINK2"/>
      <w:r>
        <w:separator/>
      </w:r>
      <w:bookmarkEnd w:id="0"/>
      <w:bookmarkEnd w:id="1"/>
    </w:p>
  </w:footnote>
  <w:footnote w:type="continuationSeparator" w:id="0">
    <w:p w14:paraId="610DA39A" w14:textId="77777777" w:rsidR="00566C21" w:rsidRDefault="00566C21" w:rsidP="009622BF">
      <w:r>
        <w:separator/>
      </w:r>
    </w:p>
  </w:footnote>
  <w:footnote w:id="1">
    <w:p w14:paraId="460737E1" w14:textId="0C9EE008" w:rsidR="003E687E" w:rsidRDefault="003E687E" w:rsidP="003E687E">
      <w:pPr>
        <w:pStyle w:val="FootnoteText"/>
        <w:rPr>
          <w:lang w:bidi="ar-SY"/>
        </w:rPr>
      </w:pPr>
      <w:r>
        <w:rPr>
          <w:rStyle w:val="FootnoteReference"/>
        </w:rPr>
        <w:footnoteRef/>
      </w:r>
      <w:r>
        <w:rPr>
          <w:rtl/>
        </w:rPr>
        <w:t xml:space="preserve"> </w:t>
      </w:r>
      <w:r>
        <w:rPr>
          <w:rFonts w:hint="cs"/>
          <w:rtl/>
        </w:rPr>
        <w:t xml:space="preserve">سيتاح الدليل الكامل في الرابط التالي: </w:t>
      </w:r>
      <w:hyperlink r:id="rId1" w:history="1">
        <w:r w:rsidRPr="003E687E">
          <w:rPr>
            <w:rStyle w:val="Hyperlink"/>
          </w:rPr>
          <w:t>https://www.wipo.int/ip-development/ar/agenda/work_undertaken.html</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8A9F7" w14:textId="78A50FD8" w:rsidR="007A0162" w:rsidRDefault="007A0162" w:rsidP="007A0162">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61312" behindDoc="0" locked="0" layoutInCell="0" allowOverlap="1" wp14:anchorId="6F5DC814" wp14:editId="1D0AADA0">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28AC91" w14:textId="6ED5313E" w:rsidR="007A0162" w:rsidRDefault="007A0162" w:rsidP="007A0162">
                          <w:pPr>
                            <w:jc w:val="center"/>
                          </w:pPr>
                          <w:r w:rsidRPr="007A016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5DC814"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7128AC91" w14:textId="6ED5313E" w:rsidR="007A0162" w:rsidRDefault="007A0162" w:rsidP="007A0162">
                    <w:pPr>
                      <w:jc w:val="center"/>
                    </w:pPr>
                    <w:r w:rsidRPr="007A0162">
                      <w:rPr>
                        <w:color w:val="000000"/>
                        <w:sz w:val="17"/>
                      </w:rPr>
                      <w:t>WIPO FOR OFFICIAL USE ONLY</w:t>
                    </w:r>
                  </w:p>
                </w:txbxContent>
              </v:textbox>
              <w10:wrap anchorx="margin" anchory="margin"/>
            </v:shape>
          </w:pict>
        </mc:Fallback>
      </mc:AlternateContent>
    </w:r>
    <w:r>
      <w:rPr>
        <w:rFonts w:ascii="Arial" w:hAnsi="Arial" w:cs="Arial"/>
        <w:noProof/>
        <w:sz w:val="22"/>
        <w:szCs w:val="22"/>
      </w:rPr>
      <mc:AlternateContent>
        <mc:Choice Requires="wps">
          <w:drawing>
            <wp:anchor distT="558800" distB="0" distL="114300" distR="114300" simplePos="0" relativeHeight="251660288" behindDoc="0" locked="0" layoutInCell="0" allowOverlap="1" wp14:anchorId="2C200AFA" wp14:editId="18D3AF5F">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42624" w14:textId="788704EF" w:rsidR="007A0162" w:rsidRDefault="007A0162" w:rsidP="007A0162">
                          <w:pPr>
                            <w:jc w:val="center"/>
                          </w:pPr>
                          <w:r w:rsidRPr="007A016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200AFA"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58942624" w14:textId="788704EF" w:rsidR="007A0162" w:rsidRDefault="007A0162" w:rsidP="007A0162">
                    <w:pPr>
                      <w:jc w:val="center"/>
                    </w:pPr>
                    <w:r w:rsidRPr="007A0162">
                      <w:rPr>
                        <w:color w:val="000000"/>
                        <w:sz w:val="17"/>
                      </w:rPr>
                      <w:t>WIPO FOR OFFICIAL USE ONLY</w:t>
                    </w:r>
                  </w:p>
                </w:txbxContent>
              </v:textbox>
              <w10:wrap anchorx="margin" anchory="margin"/>
            </v:shape>
          </w:pict>
        </mc:Fallback>
      </mc:AlternateContent>
    </w:r>
    <w:r>
      <w:rPr>
        <w:rFonts w:ascii="Arial" w:hAnsi="Arial" w:cs="Arial"/>
        <w:sz w:val="22"/>
        <w:szCs w:val="22"/>
      </w:rPr>
      <w:t>CDIP/25/INF/5</w:t>
    </w:r>
  </w:p>
  <w:p w14:paraId="523D4784" w14:textId="77777777" w:rsidR="007A0162" w:rsidRPr="0041196C" w:rsidRDefault="007A0162" w:rsidP="007A0162">
    <w:pPr>
      <w:bidi w:val="0"/>
      <w:rPr>
        <w:rFonts w:ascii="Arial" w:hAnsi="Arial" w:cs="Arial"/>
        <w:sz w:val="22"/>
        <w:szCs w:val="22"/>
        <w:lang w:val="en-GB"/>
      </w:rPr>
    </w:pPr>
    <w:r>
      <w:rPr>
        <w:rFonts w:ascii="Arial" w:hAnsi="Arial" w:cs="Arial"/>
        <w:sz w:val="22"/>
        <w:szCs w:val="22"/>
        <w:lang w:val="en-GB"/>
      </w:rPr>
      <w:t>Annex</w:t>
    </w:r>
  </w:p>
  <w:p w14:paraId="13ED642E" w14:textId="5A72EDC3" w:rsidR="007A0162" w:rsidRPr="00C50A61" w:rsidRDefault="007A0162" w:rsidP="007A0162">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D1691">
      <w:rPr>
        <w:rFonts w:ascii="Arial" w:hAnsi="Arial" w:cs="Arial"/>
        <w:noProof/>
        <w:sz w:val="22"/>
        <w:szCs w:val="22"/>
        <w:lang w:bidi="ar-EG"/>
      </w:rPr>
      <w:t>2</w:t>
    </w:r>
    <w:r w:rsidRPr="00C50A61">
      <w:rPr>
        <w:rFonts w:ascii="Arial" w:hAnsi="Arial" w:cs="Arial"/>
        <w:sz w:val="22"/>
        <w:szCs w:val="22"/>
      </w:rPr>
      <w:fldChar w:fldCharType="end"/>
    </w:r>
  </w:p>
  <w:p w14:paraId="1528E84B" w14:textId="77777777" w:rsidR="007A0162" w:rsidRPr="00C50A61" w:rsidRDefault="007A0162" w:rsidP="007A0162">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8DFD" w14:textId="1D98A52B" w:rsidR="001E5546" w:rsidRDefault="001E5546" w:rsidP="00BA5D39">
    <w:pPr>
      <w:bidi w:val="0"/>
      <w:rPr>
        <w:rFonts w:ascii="Arial" w:hAnsi="Arial" w:cs="Arial"/>
        <w:sz w:val="22"/>
        <w:szCs w:val="22"/>
        <w:rtl/>
      </w:rPr>
    </w:pPr>
    <w:bookmarkStart w:id="4" w:name="Code3"/>
    <w:bookmarkEnd w:id="4"/>
    <w:r>
      <w:rPr>
        <w:rFonts w:ascii="Arial" w:hAnsi="Arial" w:cs="Arial"/>
        <w:sz w:val="22"/>
        <w:szCs w:val="22"/>
      </w:rPr>
      <w:t>CDIP/2</w:t>
    </w:r>
    <w:r w:rsidR="00BA5D39">
      <w:rPr>
        <w:rFonts w:ascii="Arial" w:hAnsi="Arial" w:cs="Arial"/>
        <w:sz w:val="22"/>
        <w:szCs w:val="22"/>
      </w:rPr>
      <w:t>5</w:t>
    </w:r>
    <w:r>
      <w:rPr>
        <w:rFonts w:ascii="Arial" w:hAnsi="Arial" w:cs="Arial"/>
        <w:sz w:val="22"/>
        <w:szCs w:val="22"/>
      </w:rPr>
      <w:t>/</w:t>
    </w:r>
    <w:r w:rsidR="0041196C">
      <w:rPr>
        <w:rFonts w:ascii="Arial" w:hAnsi="Arial" w:cs="Arial"/>
        <w:sz w:val="22"/>
        <w:szCs w:val="22"/>
      </w:rPr>
      <w:t>INF/5</w:t>
    </w:r>
  </w:p>
  <w:p w14:paraId="6884BD9A" w14:textId="34747242" w:rsidR="0041196C" w:rsidRPr="0041196C" w:rsidRDefault="0041196C" w:rsidP="0041196C">
    <w:pPr>
      <w:bidi w:val="0"/>
      <w:rPr>
        <w:rFonts w:ascii="Arial" w:hAnsi="Arial" w:cs="Arial"/>
        <w:sz w:val="22"/>
        <w:szCs w:val="22"/>
        <w:lang w:val="en-GB"/>
      </w:rPr>
    </w:pPr>
    <w:r>
      <w:rPr>
        <w:rFonts w:ascii="Arial" w:hAnsi="Arial" w:cs="Arial"/>
        <w:sz w:val="22"/>
        <w:szCs w:val="22"/>
        <w:lang w:val="en-GB"/>
      </w:rPr>
      <w:t>Annex</w:t>
    </w:r>
  </w:p>
  <w:p w14:paraId="1563CAA0" w14:textId="350DF495"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7A0162">
      <w:rPr>
        <w:rFonts w:ascii="Arial" w:hAnsi="Arial" w:cs="Arial"/>
        <w:noProof/>
        <w:sz w:val="22"/>
        <w:szCs w:val="22"/>
        <w:lang w:bidi="ar-EG"/>
      </w:rPr>
      <w:t>2</w:t>
    </w:r>
    <w:r w:rsidRPr="00C50A61">
      <w:rPr>
        <w:rFonts w:ascii="Arial" w:hAnsi="Arial" w:cs="Arial"/>
        <w:sz w:val="22"/>
        <w:szCs w:val="22"/>
      </w:rPr>
      <w:fldChar w:fldCharType="end"/>
    </w:r>
  </w:p>
  <w:p w14:paraId="306119F1" w14:textId="77777777" w:rsidR="004C495B" w:rsidRPr="00C50A61" w:rsidRDefault="004C495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59C9A" w14:textId="49D78BA1" w:rsidR="007A0162" w:rsidRDefault="007A0162">
    <w:pPr>
      <w:pStyle w:val="Header"/>
    </w:pPr>
    <w:r>
      <w:rPr>
        <w:noProof/>
      </w:rPr>
      <mc:AlternateContent>
        <mc:Choice Requires="wps">
          <w:drawing>
            <wp:anchor distT="558800" distB="0" distL="114300" distR="114300" simplePos="0" relativeHeight="251659264" behindDoc="0" locked="0" layoutInCell="0" allowOverlap="1" wp14:anchorId="6D147102" wp14:editId="355A9E54">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90DDE" w14:textId="03CF1170" w:rsidR="007A0162" w:rsidRDefault="007A0162" w:rsidP="007A0162">
                          <w:pPr>
                            <w:jc w:val="center"/>
                          </w:pPr>
                          <w:r w:rsidRPr="007A016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147102"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23D90DDE" w14:textId="03CF1170" w:rsidR="007A0162" w:rsidRDefault="007A0162" w:rsidP="007A0162">
                    <w:pPr>
                      <w:jc w:val="center"/>
                    </w:pPr>
                    <w:r w:rsidRPr="007A0162">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30EC" w14:textId="12CAF8F4" w:rsidR="007A0162" w:rsidRDefault="007A0162" w:rsidP="007A0162">
    <w:pPr>
      <w:bidi w:val="0"/>
      <w:rPr>
        <w:rFonts w:ascii="Arial" w:hAnsi="Arial" w:cs="Arial"/>
        <w:sz w:val="22"/>
        <w:szCs w:val="22"/>
        <w:rtl/>
      </w:rPr>
    </w:pPr>
    <w:r>
      <w:rPr>
        <w:rFonts w:ascii="Arial" w:hAnsi="Arial" w:cs="Arial"/>
        <w:noProof/>
        <w:sz w:val="22"/>
        <w:szCs w:val="22"/>
      </w:rPr>
      <mc:AlternateContent>
        <mc:Choice Requires="wps">
          <w:drawing>
            <wp:anchor distT="558800" distB="0" distL="114300" distR="114300" simplePos="0" relativeHeight="251664384" behindDoc="0" locked="0" layoutInCell="0" allowOverlap="1" wp14:anchorId="0FBD5D78" wp14:editId="6EDC115E">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47198" w14:textId="54EDFCA9" w:rsidR="007A0162" w:rsidRDefault="007A0162" w:rsidP="007A0162">
                          <w:pPr>
                            <w:jc w:val="center"/>
                          </w:pPr>
                          <w:r w:rsidRPr="007A016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BD5D78" id="_x0000_t202" coordsize="21600,21600" o:spt="202" path="m,l,21600r21600,l21600,xe">
              <v:stroke joinstyle="miter"/>
              <v:path gradientshapeok="t" o:connecttype="rect"/>
            </v:shapetype>
            <v:shape id="TITUSE2footer" o:spid="_x0000_s1029"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Bp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3q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9mBp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78C47198" w14:textId="54EDFCA9" w:rsidR="007A0162" w:rsidRDefault="007A0162" w:rsidP="007A0162">
                    <w:pPr>
                      <w:jc w:val="center"/>
                    </w:pPr>
                    <w:r w:rsidRPr="007A0162">
                      <w:rPr>
                        <w:color w:val="000000"/>
                        <w:sz w:val="17"/>
                      </w:rPr>
                      <w:t>WIPO FOR OFFICIAL USE ONLY</w:t>
                    </w:r>
                  </w:p>
                </w:txbxContent>
              </v:textbox>
              <w10:wrap anchorx="margin" anchory="margin"/>
            </v:shape>
          </w:pict>
        </mc:Fallback>
      </mc:AlternateContent>
    </w:r>
    <w:r>
      <w:rPr>
        <w:rFonts w:ascii="Arial" w:hAnsi="Arial" w:cs="Arial"/>
        <w:sz w:val="22"/>
        <w:szCs w:val="22"/>
      </w:rPr>
      <w:t>CDIP/25/INF/5</w:t>
    </w:r>
  </w:p>
  <w:p w14:paraId="28F4A148" w14:textId="77777777" w:rsidR="007A0162" w:rsidRPr="0041196C" w:rsidRDefault="007A0162" w:rsidP="007A0162">
    <w:pPr>
      <w:bidi w:val="0"/>
      <w:rPr>
        <w:rFonts w:ascii="Arial" w:hAnsi="Arial" w:cs="Arial"/>
        <w:sz w:val="22"/>
        <w:szCs w:val="22"/>
        <w:lang w:val="en-GB"/>
      </w:rPr>
    </w:pPr>
    <w:r>
      <w:rPr>
        <w:rFonts w:ascii="Arial" w:hAnsi="Arial" w:cs="Arial"/>
        <w:sz w:val="22"/>
        <w:szCs w:val="22"/>
        <w:lang w:val="en-GB"/>
      </w:rPr>
      <w:t>Annex</w:t>
    </w:r>
  </w:p>
  <w:p w14:paraId="4BDC0EF0" w14:textId="7BCC518A" w:rsidR="007A0162" w:rsidRPr="00C50A61" w:rsidRDefault="007A0162" w:rsidP="007A0162">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D1691">
      <w:rPr>
        <w:rFonts w:ascii="Arial" w:hAnsi="Arial" w:cs="Arial"/>
        <w:noProof/>
        <w:sz w:val="22"/>
        <w:szCs w:val="22"/>
        <w:lang w:bidi="ar-EG"/>
      </w:rPr>
      <w:t>8</w:t>
    </w:r>
    <w:r w:rsidRPr="00C50A61">
      <w:rPr>
        <w:rFonts w:ascii="Arial" w:hAnsi="Arial" w:cs="Arial"/>
        <w:sz w:val="22"/>
        <w:szCs w:val="22"/>
      </w:rPr>
      <w:fldChar w:fldCharType="end"/>
    </w:r>
  </w:p>
  <w:p w14:paraId="5435E77A" w14:textId="77777777" w:rsidR="007A0162" w:rsidRPr="00C50A61" w:rsidRDefault="007A0162" w:rsidP="007A0162">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DAF8" w14:textId="77777777" w:rsidR="007A0162" w:rsidRDefault="007A0162" w:rsidP="00BA5D39">
    <w:pPr>
      <w:bidi w:val="0"/>
      <w:rPr>
        <w:rFonts w:ascii="Arial" w:hAnsi="Arial" w:cs="Arial"/>
        <w:sz w:val="22"/>
        <w:szCs w:val="22"/>
        <w:rtl/>
      </w:rPr>
    </w:pPr>
    <w:r>
      <w:rPr>
        <w:rFonts w:ascii="Arial" w:hAnsi="Arial" w:cs="Arial"/>
        <w:sz w:val="22"/>
        <w:szCs w:val="22"/>
      </w:rPr>
      <w:t>CDIP/25/INF/5</w:t>
    </w:r>
  </w:p>
  <w:p w14:paraId="0D965C39" w14:textId="77777777" w:rsidR="007A0162" w:rsidRPr="0041196C" w:rsidRDefault="007A0162" w:rsidP="0041196C">
    <w:pPr>
      <w:bidi w:val="0"/>
      <w:rPr>
        <w:rFonts w:ascii="Arial" w:hAnsi="Arial" w:cs="Arial"/>
        <w:sz w:val="22"/>
        <w:szCs w:val="22"/>
        <w:lang w:val="en-GB"/>
      </w:rPr>
    </w:pPr>
    <w:r>
      <w:rPr>
        <w:rFonts w:ascii="Arial" w:hAnsi="Arial" w:cs="Arial"/>
        <w:sz w:val="22"/>
        <w:szCs w:val="22"/>
        <w:lang w:val="en-GB"/>
      </w:rPr>
      <w:t>Annex</w:t>
    </w:r>
  </w:p>
  <w:p w14:paraId="5C5CC18F" w14:textId="30436F3E" w:rsidR="007A0162" w:rsidRPr="00C50A61" w:rsidRDefault="007A0162"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D1691">
      <w:rPr>
        <w:rFonts w:ascii="Arial" w:hAnsi="Arial" w:cs="Arial"/>
        <w:noProof/>
        <w:sz w:val="22"/>
        <w:szCs w:val="22"/>
        <w:lang w:bidi="ar-EG"/>
      </w:rPr>
      <w:t>7</w:t>
    </w:r>
    <w:r w:rsidRPr="00C50A61">
      <w:rPr>
        <w:rFonts w:ascii="Arial" w:hAnsi="Arial" w:cs="Arial"/>
        <w:sz w:val="22"/>
        <w:szCs w:val="22"/>
      </w:rPr>
      <w:fldChar w:fldCharType="end"/>
    </w:r>
  </w:p>
  <w:p w14:paraId="6D7A7665" w14:textId="77777777" w:rsidR="007A0162" w:rsidRPr="00C50A61" w:rsidRDefault="007A0162" w:rsidP="0023693F">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EE4BD" w14:textId="77777777" w:rsidR="00B8234E" w:rsidRPr="00B8234E" w:rsidRDefault="00B8234E" w:rsidP="00B8234E">
    <w:pPr>
      <w:pStyle w:val="Header"/>
      <w:bidi w:val="0"/>
      <w:rPr>
        <w:rFonts w:asciiTheme="minorBidi" w:hAnsiTheme="minorBidi" w:cstheme="minorBidi"/>
        <w:sz w:val="22"/>
        <w:szCs w:val="22"/>
      </w:rPr>
    </w:pPr>
    <w:r w:rsidRPr="00B8234E">
      <w:rPr>
        <w:rFonts w:asciiTheme="minorBidi" w:hAnsiTheme="minorBidi" w:cstheme="minorBidi"/>
        <w:sz w:val="22"/>
        <w:szCs w:val="22"/>
      </w:rPr>
      <w:t>CDIP/25/INF/5</w:t>
    </w:r>
  </w:p>
  <w:p w14:paraId="01B9CEE7" w14:textId="77777777" w:rsidR="00B8234E" w:rsidRPr="00B8234E" w:rsidRDefault="00B8234E" w:rsidP="00B8234E">
    <w:pPr>
      <w:pStyle w:val="Header"/>
      <w:bidi w:val="0"/>
      <w:rPr>
        <w:rFonts w:asciiTheme="minorBidi" w:hAnsiTheme="minorBidi" w:cstheme="minorBidi"/>
      </w:rPr>
    </w:pPr>
    <w:r w:rsidRPr="00B8234E">
      <w:rPr>
        <w:rFonts w:asciiTheme="minorBidi" w:hAnsiTheme="minorBidi" w:cstheme="minorBidi"/>
        <w:sz w:val="22"/>
        <w:szCs w:val="22"/>
      </w:rPr>
      <w:t>ANNEX</w:t>
    </w:r>
  </w:p>
  <w:p w14:paraId="1010C7BA" w14:textId="2C3150F3" w:rsidR="00B8234E" w:rsidRPr="00B8234E" w:rsidRDefault="00B8234E" w:rsidP="00B8234E">
    <w:pPr>
      <w:pStyle w:val="Header"/>
      <w:bidi w:val="0"/>
      <w:rPr>
        <w:rtl/>
        <w:lang w:val="fr-CH" w:eastAsia="zh-CN" w:bidi="ar-SY"/>
      </w:rPr>
    </w:pPr>
    <w:r>
      <w:rPr>
        <w:rFonts w:hint="cs"/>
        <w:rtl/>
        <w:lang w:val="fr-CH" w:eastAsia="zh-CN" w:bidi="ar-SY"/>
      </w:rPr>
      <w:t>المرفق</w:t>
    </w:r>
  </w:p>
  <w:p w14:paraId="66C05CBE" w14:textId="77777777" w:rsidR="00B8234E" w:rsidRDefault="00B8234E" w:rsidP="00B8234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2963923"/>
    <w:multiLevelType w:val="hybridMultilevel"/>
    <w:tmpl w:val="DA8E3C36"/>
    <w:lvl w:ilvl="0" w:tplc="A81A5AF8">
      <w:numFmt w:val="bullet"/>
      <w:lvlText w:val="-"/>
      <w:lvlJc w:val="left"/>
      <w:pPr>
        <w:ind w:left="720" w:hanging="360"/>
      </w:pPr>
      <w:rPr>
        <w:rFonts w:ascii="Arial" w:eastAsia="SimSun" w:hAnsi="Arial" w:cs="Arial" w:hint="default"/>
      </w:rPr>
    </w:lvl>
    <w:lvl w:ilvl="1" w:tplc="4EA0A642">
      <w:start w:val="1"/>
      <w:numFmt w:val="bullet"/>
      <w:lvlText w:val="-"/>
      <w:lvlJc w:val="left"/>
      <w:pPr>
        <w:ind w:left="1440" w:hanging="360"/>
      </w:pPr>
      <w:rPr>
        <w:rFonts w:ascii="Courier New" w:hAnsi="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15:restartNumberingAfterBreak="0">
    <w:nsid w:val="25EF05A0"/>
    <w:multiLevelType w:val="hybridMultilevel"/>
    <w:tmpl w:val="069E523E"/>
    <w:lvl w:ilvl="0" w:tplc="A81A5AF8">
      <w:numFmt w:val="bullet"/>
      <w:lvlText w:val="-"/>
      <w:lvlJc w:val="left"/>
      <w:pPr>
        <w:ind w:left="720" w:hanging="360"/>
      </w:pPr>
      <w:rPr>
        <w:rFonts w:ascii="Arial" w:eastAsia="SimSu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87545BC"/>
    <w:multiLevelType w:val="hybridMultilevel"/>
    <w:tmpl w:val="6D2E1EE2"/>
    <w:lvl w:ilvl="0" w:tplc="A81A5AF8">
      <w:numFmt w:val="bullet"/>
      <w:lvlText w:val="-"/>
      <w:lvlJc w:val="left"/>
      <w:pPr>
        <w:ind w:left="720" w:hanging="360"/>
      </w:pPr>
      <w:rPr>
        <w:rFonts w:ascii="Arial" w:eastAsia="SimSu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4"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5"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7" w15:restartNumberingAfterBreak="0">
    <w:nsid w:val="40763238"/>
    <w:multiLevelType w:val="hybridMultilevel"/>
    <w:tmpl w:val="614884E8"/>
    <w:lvl w:ilvl="0" w:tplc="A81A5AF8">
      <w:numFmt w:val="bullet"/>
      <w:lvlText w:val="-"/>
      <w:lvlJc w:val="left"/>
      <w:pPr>
        <w:ind w:left="720" w:hanging="360"/>
      </w:pPr>
      <w:rPr>
        <w:rFonts w:ascii="Arial" w:eastAsia="SimSun" w:hAnsi="Arial" w:cs="Arial" w:hint="default"/>
      </w:rPr>
    </w:lvl>
    <w:lvl w:ilvl="1" w:tplc="4EA0A642">
      <w:start w:val="1"/>
      <w:numFmt w:val="bullet"/>
      <w:lvlText w:val="-"/>
      <w:lvlJc w:val="left"/>
      <w:pPr>
        <w:ind w:left="1440" w:hanging="360"/>
      </w:pPr>
      <w:rPr>
        <w:rFonts w:ascii="Courier New" w:hAnsi="Courier New" w:hint="default"/>
      </w:rPr>
    </w:lvl>
    <w:lvl w:ilvl="2" w:tplc="10000005" w:tentative="1">
      <w:start w:val="1"/>
      <w:numFmt w:val="bullet"/>
      <w:lvlText w:val=""/>
      <w:lvlJc w:val="left"/>
      <w:pPr>
        <w:ind w:left="2160" w:hanging="360"/>
      </w:pPr>
      <w:rPr>
        <w:rFonts w:ascii="Wingdings" w:hAnsi="Wingdings" w:cs="Wingdings" w:hint="default"/>
      </w:rPr>
    </w:lvl>
    <w:lvl w:ilvl="3" w:tplc="10000001" w:tentative="1">
      <w:start w:val="1"/>
      <w:numFmt w:val="bullet"/>
      <w:lvlText w:val=""/>
      <w:lvlJc w:val="left"/>
      <w:pPr>
        <w:ind w:left="2880" w:hanging="360"/>
      </w:pPr>
      <w:rPr>
        <w:rFonts w:ascii="Symbol" w:hAnsi="Symbol" w:cs="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cs="Wingdings" w:hint="default"/>
      </w:rPr>
    </w:lvl>
    <w:lvl w:ilvl="6" w:tplc="10000001" w:tentative="1">
      <w:start w:val="1"/>
      <w:numFmt w:val="bullet"/>
      <w:lvlText w:val=""/>
      <w:lvlJc w:val="left"/>
      <w:pPr>
        <w:ind w:left="5040" w:hanging="360"/>
      </w:pPr>
      <w:rPr>
        <w:rFonts w:ascii="Symbol" w:hAnsi="Symbol" w:cs="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0"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1"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3"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4"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5"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7"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8"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9"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0"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2"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8"/>
  </w:num>
  <w:num w:numId="3">
    <w:abstractNumId w:val="15"/>
  </w:num>
  <w:num w:numId="4">
    <w:abstractNumId w:val="40"/>
  </w:num>
  <w:num w:numId="5">
    <w:abstractNumId w:val="8"/>
  </w:num>
  <w:num w:numId="6">
    <w:abstractNumId w:val="41"/>
  </w:num>
  <w:num w:numId="7">
    <w:abstractNumId w:val="23"/>
  </w:num>
  <w:num w:numId="8">
    <w:abstractNumId w:val="39"/>
  </w:num>
  <w:num w:numId="9">
    <w:abstractNumId w:val="35"/>
  </w:num>
  <w:num w:numId="10">
    <w:abstractNumId w:val="42"/>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6"/>
  </w:num>
  <w:num w:numId="22">
    <w:abstractNumId w:val="26"/>
  </w:num>
  <w:num w:numId="23">
    <w:abstractNumId w:val="12"/>
  </w:num>
  <w:num w:numId="24">
    <w:abstractNumId w:val="11"/>
  </w:num>
  <w:num w:numId="25">
    <w:abstractNumId w:val="11"/>
  </w:num>
  <w:num w:numId="26">
    <w:abstractNumId w:val="11"/>
  </w:num>
  <w:num w:numId="27">
    <w:abstractNumId w:val="11"/>
  </w:num>
  <w:num w:numId="28">
    <w:abstractNumId w:val="18"/>
  </w:num>
  <w:num w:numId="29">
    <w:abstractNumId w:val="11"/>
  </w:num>
  <w:num w:numId="30">
    <w:abstractNumId w:val="33"/>
  </w:num>
  <w:num w:numId="31">
    <w:abstractNumId w:val="24"/>
  </w:num>
  <w:num w:numId="32">
    <w:abstractNumId w:val="30"/>
  </w:num>
  <w:num w:numId="33">
    <w:abstractNumId w:val="38"/>
  </w:num>
  <w:num w:numId="34">
    <w:abstractNumId w:val="13"/>
  </w:num>
  <w:num w:numId="35">
    <w:abstractNumId w:val="37"/>
  </w:num>
  <w:num w:numId="36">
    <w:abstractNumId w:val="29"/>
  </w:num>
  <w:num w:numId="37">
    <w:abstractNumId w:val="36"/>
  </w:num>
  <w:num w:numId="38">
    <w:abstractNumId w:val="17"/>
  </w:num>
  <w:num w:numId="39">
    <w:abstractNumId w:val="32"/>
  </w:num>
  <w:num w:numId="40">
    <w:abstractNumId w:val="31"/>
  </w:num>
  <w:num w:numId="41">
    <w:abstractNumId w:val="19"/>
  </w:num>
  <w:num w:numId="42">
    <w:abstractNumId w:val="10"/>
  </w:num>
  <w:num w:numId="43">
    <w:abstractNumId w:val="25"/>
  </w:num>
  <w:num w:numId="44">
    <w:abstractNumId w:val="34"/>
  </w:num>
  <w:num w:numId="45">
    <w:abstractNumId w:val="14"/>
  </w:num>
  <w:num w:numId="46">
    <w:abstractNumId w:val="21"/>
  </w:num>
  <w:num w:numId="47">
    <w:abstractNumId w:val="2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7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8F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EDC"/>
    <w:rsid w:val="000D0C07"/>
    <w:rsid w:val="000D0C7C"/>
    <w:rsid w:val="000D1A1D"/>
    <w:rsid w:val="000D5FB7"/>
    <w:rsid w:val="000D7E81"/>
    <w:rsid w:val="000E06A5"/>
    <w:rsid w:val="000E16EB"/>
    <w:rsid w:val="000E3B7C"/>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073F0"/>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A32"/>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691"/>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2C4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37836"/>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57767"/>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0DB3"/>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3F0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2AFB"/>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7D0"/>
    <w:rsid w:val="003E1A49"/>
    <w:rsid w:val="003E2D01"/>
    <w:rsid w:val="003E330E"/>
    <w:rsid w:val="003E3AE3"/>
    <w:rsid w:val="003E5733"/>
    <w:rsid w:val="003E5CED"/>
    <w:rsid w:val="003E5E27"/>
    <w:rsid w:val="003E687E"/>
    <w:rsid w:val="003E6FD2"/>
    <w:rsid w:val="003E788F"/>
    <w:rsid w:val="003E7A97"/>
    <w:rsid w:val="003E7D3A"/>
    <w:rsid w:val="003F0950"/>
    <w:rsid w:val="003F09C9"/>
    <w:rsid w:val="003F1162"/>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196C"/>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E78FA"/>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3EC"/>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6C21"/>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AB5"/>
    <w:rsid w:val="005C7BC2"/>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764"/>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3D91"/>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530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4C0"/>
    <w:rsid w:val="006D0636"/>
    <w:rsid w:val="006D06DC"/>
    <w:rsid w:val="006D6E46"/>
    <w:rsid w:val="006D7FA8"/>
    <w:rsid w:val="006E4601"/>
    <w:rsid w:val="006E5B86"/>
    <w:rsid w:val="006E63FF"/>
    <w:rsid w:val="006E647B"/>
    <w:rsid w:val="006E652D"/>
    <w:rsid w:val="006E6753"/>
    <w:rsid w:val="006E7572"/>
    <w:rsid w:val="006E7E4D"/>
    <w:rsid w:val="006F2F22"/>
    <w:rsid w:val="006F434A"/>
    <w:rsid w:val="006F4DF6"/>
    <w:rsid w:val="006F639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226"/>
    <w:rsid w:val="00720860"/>
    <w:rsid w:val="00721087"/>
    <w:rsid w:val="00721530"/>
    <w:rsid w:val="00722C53"/>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960"/>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162"/>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3B4"/>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14F"/>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581"/>
    <w:rsid w:val="00862656"/>
    <w:rsid w:val="00863013"/>
    <w:rsid w:val="00863F67"/>
    <w:rsid w:val="0086483A"/>
    <w:rsid w:val="00866198"/>
    <w:rsid w:val="0087049C"/>
    <w:rsid w:val="00870AAD"/>
    <w:rsid w:val="00870EDE"/>
    <w:rsid w:val="00871DA0"/>
    <w:rsid w:val="00872030"/>
    <w:rsid w:val="00873973"/>
    <w:rsid w:val="00874721"/>
    <w:rsid w:val="0087564A"/>
    <w:rsid w:val="00875C28"/>
    <w:rsid w:val="00875E75"/>
    <w:rsid w:val="0087658F"/>
    <w:rsid w:val="008766F8"/>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4D8E"/>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AAE"/>
    <w:rsid w:val="00905BC5"/>
    <w:rsid w:val="009064AA"/>
    <w:rsid w:val="00912257"/>
    <w:rsid w:val="00913495"/>
    <w:rsid w:val="00913874"/>
    <w:rsid w:val="009163CC"/>
    <w:rsid w:val="0091674C"/>
    <w:rsid w:val="00916862"/>
    <w:rsid w:val="00916B2A"/>
    <w:rsid w:val="00916D96"/>
    <w:rsid w:val="009174F7"/>
    <w:rsid w:val="00917E76"/>
    <w:rsid w:val="00920167"/>
    <w:rsid w:val="00920E2B"/>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6B15"/>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2E86"/>
    <w:rsid w:val="00AA30F6"/>
    <w:rsid w:val="00AA334D"/>
    <w:rsid w:val="00AA37B1"/>
    <w:rsid w:val="00AA47B8"/>
    <w:rsid w:val="00AA550A"/>
    <w:rsid w:val="00AA5E14"/>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53E9"/>
    <w:rsid w:val="00B0620B"/>
    <w:rsid w:val="00B072A3"/>
    <w:rsid w:val="00B07FCD"/>
    <w:rsid w:val="00B1149C"/>
    <w:rsid w:val="00B11F60"/>
    <w:rsid w:val="00B121EF"/>
    <w:rsid w:val="00B127AA"/>
    <w:rsid w:val="00B12FBD"/>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34E"/>
    <w:rsid w:val="00B827E6"/>
    <w:rsid w:val="00B82A28"/>
    <w:rsid w:val="00B82B8D"/>
    <w:rsid w:val="00B82C97"/>
    <w:rsid w:val="00B8472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5D39"/>
    <w:rsid w:val="00BA6205"/>
    <w:rsid w:val="00BA6CE5"/>
    <w:rsid w:val="00BA6E7B"/>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BF6818"/>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77D44"/>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2140"/>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221"/>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1F46"/>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3D67"/>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27B09"/>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1FD8"/>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CD1A58"/>
  <w15:docId w15:val="{C9556925-C17C-415B-9A35-7C8C5B0F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SimSu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UnresolvedMention">
    <w:name w:val="Unresolved Mention"/>
    <w:basedOn w:val="DefaultParagraphFont"/>
    <w:uiPriority w:val="99"/>
    <w:semiHidden/>
    <w:unhideWhenUsed/>
    <w:rsid w:val="003E687E"/>
    <w:rPr>
      <w:color w:val="605E5C"/>
      <w:shd w:val="clear" w:color="auto" w:fill="E1DFDD"/>
    </w:rPr>
  </w:style>
  <w:style w:type="paragraph" w:customStyle="1" w:styleId="Tabletext">
    <w:name w:val="Table text"/>
    <w:basedOn w:val="Normal"/>
    <w:qFormat/>
    <w:rsid w:val="00EA1F46"/>
    <w:pPr>
      <w:bidi w:val="0"/>
    </w:pPr>
    <w:rPr>
      <w:rFonts w:ascii="Times New Roman" w:eastAsiaTheme="minorEastAsia" w:hAnsi="Times New Roman" w:cs="Times New Roman"/>
      <w:bCs/>
      <w:sz w:val="24"/>
      <w:szCs w:val="24"/>
      <w:lang w:eastAsia="ar-SA"/>
    </w:rPr>
  </w:style>
  <w:style w:type="character" w:customStyle="1" w:styleId="Bold">
    <w:name w:val="Bold"/>
    <w:uiPriority w:val="1"/>
    <w:qFormat/>
    <w:rsid w:val="00EA1F46"/>
    <w:rPr>
      <w:rFonts w:ascii="Calibri" w:eastAsia="Calibri" w:hAnsi="Calibri" w:cs="Arial" w:hint="default"/>
      <w:b/>
      <w:bCs w:val="0"/>
    </w:rPr>
  </w:style>
  <w:style w:type="table" w:customStyle="1" w:styleId="WIPOtable">
    <w:name w:val="WIPO table"/>
    <w:basedOn w:val="TableNormal"/>
    <w:uiPriority w:val="99"/>
    <w:rsid w:val="00EA1F46"/>
    <w:rPr>
      <w:rFonts w:ascii="Times New Roman" w:eastAsiaTheme="minorEastAsia" w:hAnsi="Times New Roman" w:cstheme="minorBidi"/>
      <w:sz w:val="24"/>
      <w:szCs w:val="22"/>
      <w:lang w:eastAsia="ar-S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Pr>
  </w:style>
  <w:style w:type="paragraph" w:styleId="ListParagraph">
    <w:name w:val="List Paragraph"/>
    <w:basedOn w:val="Normal"/>
    <w:uiPriority w:val="34"/>
    <w:qFormat/>
    <w:rsid w:val="006F6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470">
      <w:bodyDiv w:val="1"/>
      <w:marLeft w:val="0"/>
      <w:marRight w:val="0"/>
      <w:marTop w:val="0"/>
      <w:marBottom w:val="0"/>
      <w:divBdr>
        <w:top w:val="none" w:sz="0" w:space="0" w:color="auto"/>
        <w:left w:val="none" w:sz="0" w:space="0" w:color="auto"/>
        <w:bottom w:val="none" w:sz="0" w:space="0" w:color="auto"/>
        <w:right w:val="none" w:sz="0" w:space="0" w:color="auto"/>
      </w:divBdr>
    </w:div>
    <w:div w:id="86387016">
      <w:bodyDiv w:val="1"/>
      <w:marLeft w:val="0"/>
      <w:marRight w:val="0"/>
      <w:marTop w:val="0"/>
      <w:marBottom w:val="0"/>
      <w:divBdr>
        <w:top w:val="none" w:sz="0" w:space="0" w:color="auto"/>
        <w:left w:val="none" w:sz="0" w:space="0" w:color="auto"/>
        <w:bottom w:val="none" w:sz="0" w:space="0" w:color="auto"/>
        <w:right w:val="none" w:sz="0" w:space="0" w:color="auto"/>
      </w:divBdr>
    </w:div>
    <w:div w:id="100683590">
      <w:bodyDiv w:val="1"/>
      <w:marLeft w:val="0"/>
      <w:marRight w:val="0"/>
      <w:marTop w:val="0"/>
      <w:marBottom w:val="0"/>
      <w:divBdr>
        <w:top w:val="none" w:sz="0" w:space="0" w:color="auto"/>
        <w:left w:val="none" w:sz="0" w:space="0" w:color="auto"/>
        <w:bottom w:val="none" w:sz="0" w:space="0" w:color="auto"/>
        <w:right w:val="none" w:sz="0" w:space="0" w:color="auto"/>
      </w:divBdr>
    </w:div>
    <w:div w:id="210849599">
      <w:bodyDiv w:val="1"/>
      <w:marLeft w:val="0"/>
      <w:marRight w:val="0"/>
      <w:marTop w:val="0"/>
      <w:marBottom w:val="0"/>
      <w:divBdr>
        <w:top w:val="none" w:sz="0" w:space="0" w:color="auto"/>
        <w:left w:val="none" w:sz="0" w:space="0" w:color="auto"/>
        <w:bottom w:val="none" w:sz="0" w:space="0" w:color="auto"/>
        <w:right w:val="none" w:sz="0" w:space="0" w:color="auto"/>
      </w:divBdr>
    </w:div>
    <w:div w:id="397675481">
      <w:bodyDiv w:val="1"/>
      <w:marLeft w:val="0"/>
      <w:marRight w:val="0"/>
      <w:marTop w:val="0"/>
      <w:marBottom w:val="0"/>
      <w:divBdr>
        <w:top w:val="none" w:sz="0" w:space="0" w:color="auto"/>
        <w:left w:val="none" w:sz="0" w:space="0" w:color="auto"/>
        <w:bottom w:val="none" w:sz="0" w:space="0" w:color="auto"/>
        <w:right w:val="none" w:sz="0" w:space="0" w:color="auto"/>
      </w:divBdr>
    </w:div>
    <w:div w:id="463930388">
      <w:bodyDiv w:val="1"/>
      <w:marLeft w:val="0"/>
      <w:marRight w:val="0"/>
      <w:marTop w:val="0"/>
      <w:marBottom w:val="0"/>
      <w:divBdr>
        <w:top w:val="none" w:sz="0" w:space="0" w:color="auto"/>
        <w:left w:val="none" w:sz="0" w:space="0" w:color="auto"/>
        <w:bottom w:val="none" w:sz="0" w:space="0" w:color="auto"/>
        <w:right w:val="none" w:sz="0" w:space="0" w:color="auto"/>
      </w:divBdr>
    </w:div>
    <w:div w:id="544365648">
      <w:bodyDiv w:val="1"/>
      <w:marLeft w:val="0"/>
      <w:marRight w:val="0"/>
      <w:marTop w:val="0"/>
      <w:marBottom w:val="0"/>
      <w:divBdr>
        <w:top w:val="none" w:sz="0" w:space="0" w:color="auto"/>
        <w:left w:val="none" w:sz="0" w:space="0" w:color="auto"/>
        <w:bottom w:val="none" w:sz="0" w:space="0" w:color="auto"/>
        <w:right w:val="none" w:sz="0" w:space="0" w:color="auto"/>
      </w:divBdr>
    </w:div>
    <w:div w:id="950669261">
      <w:bodyDiv w:val="1"/>
      <w:marLeft w:val="0"/>
      <w:marRight w:val="0"/>
      <w:marTop w:val="0"/>
      <w:marBottom w:val="0"/>
      <w:divBdr>
        <w:top w:val="none" w:sz="0" w:space="0" w:color="auto"/>
        <w:left w:val="none" w:sz="0" w:space="0" w:color="auto"/>
        <w:bottom w:val="none" w:sz="0" w:space="0" w:color="auto"/>
        <w:right w:val="none" w:sz="0" w:space="0" w:color="auto"/>
      </w:divBdr>
    </w:div>
    <w:div w:id="1016421082">
      <w:bodyDiv w:val="1"/>
      <w:marLeft w:val="0"/>
      <w:marRight w:val="0"/>
      <w:marTop w:val="0"/>
      <w:marBottom w:val="0"/>
      <w:divBdr>
        <w:top w:val="none" w:sz="0" w:space="0" w:color="auto"/>
        <w:left w:val="none" w:sz="0" w:space="0" w:color="auto"/>
        <w:bottom w:val="none" w:sz="0" w:space="0" w:color="auto"/>
        <w:right w:val="none" w:sz="0" w:space="0" w:color="auto"/>
      </w:divBdr>
    </w:div>
    <w:div w:id="1019695794">
      <w:bodyDiv w:val="1"/>
      <w:marLeft w:val="0"/>
      <w:marRight w:val="0"/>
      <w:marTop w:val="0"/>
      <w:marBottom w:val="0"/>
      <w:divBdr>
        <w:top w:val="none" w:sz="0" w:space="0" w:color="auto"/>
        <w:left w:val="none" w:sz="0" w:space="0" w:color="auto"/>
        <w:bottom w:val="none" w:sz="0" w:space="0" w:color="auto"/>
        <w:right w:val="none" w:sz="0" w:space="0" w:color="auto"/>
      </w:divBdr>
    </w:div>
    <w:div w:id="1025786080">
      <w:bodyDiv w:val="1"/>
      <w:marLeft w:val="0"/>
      <w:marRight w:val="0"/>
      <w:marTop w:val="0"/>
      <w:marBottom w:val="0"/>
      <w:divBdr>
        <w:top w:val="none" w:sz="0" w:space="0" w:color="auto"/>
        <w:left w:val="none" w:sz="0" w:space="0" w:color="auto"/>
        <w:bottom w:val="none" w:sz="0" w:space="0" w:color="auto"/>
        <w:right w:val="none" w:sz="0" w:space="0" w:color="auto"/>
      </w:divBdr>
    </w:div>
    <w:div w:id="1091895874">
      <w:bodyDiv w:val="1"/>
      <w:marLeft w:val="0"/>
      <w:marRight w:val="0"/>
      <w:marTop w:val="0"/>
      <w:marBottom w:val="0"/>
      <w:divBdr>
        <w:top w:val="none" w:sz="0" w:space="0" w:color="auto"/>
        <w:left w:val="none" w:sz="0" w:space="0" w:color="auto"/>
        <w:bottom w:val="none" w:sz="0" w:space="0" w:color="auto"/>
        <w:right w:val="none" w:sz="0" w:space="0" w:color="auto"/>
      </w:divBdr>
    </w:div>
    <w:div w:id="1176071835">
      <w:bodyDiv w:val="1"/>
      <w:marLeft w:val="0"/>
      <w:marRight w:val="0"/>
      <w:marTop w:val="0"/>
      <w:marBottom w:val="0"/>
      <w:divBdr>
        <w:top w:val="none" w:sz="0" w:space="0" w:color="auto"/>
        <w:left w:val="none" w:sz="0" w:space="0" w:color="auto"/>
        <w:bottom w:val="none" w:sz="0" w:space="0" w:color="auto"/>
        <w:right w:val="none" w:sz="0" w:space="0" w:color="auto"/>
      </w:divBdr>
    </w:div>
    <w:div w:id="1281716823">
      <w:bodyDiv w:val="1"/>
      <w:marLeft w:val="0"/>
      <w:marRight w:val="0"/>
      <w:marTop w:val="0"/>
      <w:marBottom w:val="0"/>
      <w:divBdr>
        <w:top w:val="none" w:sz="0" w:space="0" w:color="auto"/>
        <w:left w:val="none" w:sz="0" w:space="0" w:color="auto"/>
        <w:bottom w:val="none" w:sz="0" w:space="0" w:color="auto"/>
        <w:right w:val="none" w:sz="0" w:space="0" w:color="auto"/>
      </w:divBdr>
    </w:div>
    <w:div w:id="1417896679">
      <w:bodyDiv w:val="1"/>
      <w:marLeft w:val="0"/>
      <w:marRight w:val="0"/>
      <w:marTop w:val="0"/>
      <w:marBottom w:val="0"/>
      <w:divBdr>
        <w:top w:val="none" w:sz="0" w:space="0" w:color="auto"/>
        <w:left w:val="none" w:sz="0" w:space="0" w:color="auto"/>
        <w:bottom w:val="none" w:sz="0" w:space="0" w:color="auto"/>
        <w:right w:val="none" w:sz="0" w:space="0" w:color="auto"/>
      </w:divBdr>
    </w:div>
    <w:div w:id="1449618458">
      <w:bodyDiv w:val="1"/>
      <w:marLeft w:val="0"/>
      <w:marRight w:val="0"/>
      <w:marTop w:val="0"/>
      <w:marBottom w:val="0"/>
      <w:divBdr>
        <w:top w:val="none" w:sz="0" w:space="0" w:color="auto"/>
        <w:left w:val="none" w:sz="0" w:space="0" w:color="auto"/>
        <w:bottom w:val="none" w:sz="0" w:space="0" w:color="auto"/>
        <w:right w:val="none" w:sz="0" w:space="0" w:color="auto"/>
      </w:divBdr>
    </w:div>
    <w:div w:id="1551921218">
      <w:bodyDiv w:val="1"/>
      <w:marLeft w:val="0"/>
      <w:marRight w:val="0"/>
      <w:marTop w:val="0"/>
      <w:marBottom w:val="0"/>
      <w:divBdr>
        <w:top w:val="none" w:sz="0" w:space="0" w:color="auto"/>
        <w:left w:val="none" w:sz="0" w:space="0" w:color="auto"/>
        <w:bottom w:val="none" w:sz="0" w:space="0" w:color="auto"/>
        <w:right w:val="none" w:sz="0" w:space="0" w:color="auto"/>
      </w:divBdr>
    </w:div>
    <w:div w:id="1566716586">
      <w:bodyDiv w:val="1"/>
      <w:marLeft w:val="0"/>
      <w:marRight w:val="0"/>
      <w:marTop w:val="0"/>
      <w:marBottom w:val="0"/>
      <w:divBdr>
        <w:top w:val="none" w:sz="0" w:space="0" w:color="auto"/>
        <w:left w:val="none" w:sz="0" w:space="0" w:color="auto"/>
        <w:bottom w:val="none" w:sz="0" w:space="0" w:color="auto"/>
        <w:right w:val="none" w:sz="0" w:space="0" w:color="auto"/>
      </w:divBdr>
    </w:div>
    <w:div w:id="1571772479">
      <w:bodyDiv w:val="1"/>
      <w:marLeft w:val="0"/>
      <w:marRight w:val="0"/>
      <w:marTop w:val="0"/>
      <w:marBottom w:val="0"/>
      <w:divBdr>
        <w:top w:val="none" w:sz="0" w:space="0" w:color="auto"/>
        <w:left w:val="none" w:sz="0" w:space="0" w:color="auto"/>
        <w:bottom w:val="none" w:sz="0" w:space="0" w:color="auto"/>
        <w:right w:val="none" w:sz="0" w:space="0" w:color="auto"/>
      </w:divBdr>
    </w:div>
    <w:div w:id="1725567515">
      <w:bodyDiv w:val="1"/>
      <w:marLeft w:val="0"/>
      <w:marRight w:val="0"/>
      <w:marTop w:val="0"/>
      <w:marBottom w:val="0"/>
      <w:divBdr>
        <w:top w:val="none" w:sz="0" w:space="0" w:color="auto"/>
        <w:left w:val="none" w:sz="0" w:space="0" w:color="auto"/>
        <w:bottom w:val="none" w:sz="0" w:space="0" w:color="auto"/>
        <w:right w:val="none" w:sz="0" w:space="0" w:color="auto"/>
      </w:divBdr>
    </w:div>
    <w:div w:id="1755860040">
      <w:bodyDiv w:val="1"/>
      <w:marLeft w:val="0"/>
      <w:marRight w:val="0"/>
      <w:marTop w:val="0"/>
      <w:marBottom w:val="0"/>
      <w:divBdr>
        <w:top w:val="none" w:sz="0" w:space="0" w:color="auto"/>
        <w:left w:val="none" w:sz="0" w:space="0" w:color="auto"/>
        <w:bottom w:val="none" w:sz="0" w:space="0" w:color="auto"/>
        <w:right w:val="none" w:sz="0" w:space="0" w:color="auto"/>
      </w:divBdr>
    </w:div>
    <w:div w:id="1904947742">
      <w:bodyDiv w:val="1"/>
      <w:marLeft w:val="0"/>
      <w:marRight w:val="0"/>
      <w:marTop w:val="0"/>
      <w:marBottom w:val="0"/>
      <w:divBdr>
        <w:top w:val="none" w:sz="0" w:space="0" w:color="auto"/>
        <w:left w:val="none" w:sz="0" w:space="0" w:color="auto"/>
        <w:bottom w:val="none" w:sz="0" w:space="0" w:color="auto"/>
        <w:right w:val="none" w:sz="0" w:space="0" w:color="auto"/>
      </w:divBdr>
    </w:div>
    <w:div w:id="1980764274">
      <w:bodyDiv w:val="1"/>
      <w:marLeft w:val="0"/>
      <w:marRight w:val="0"/>
      <w:marTop w:val="0"/>
      <w:marBottom w:val="0"/>
      <w:divBdr>
        <w:top w:val="none" w:sz="0" w:space="0" w:color="auto"/>
        <w:left w:val="none" w:sz="0" w:space="0" w:color="auto"/>
        <w:bottom w:val="none" w:sz="0" w:space="0" w:color="auto"/>
        <w:right w:val="none" w:sz="0" w:space="0" w:color="auto"/>
      </w:divBdr>
    </w:div>
    <w:div w:id="2073111588">
      <w:bodyDiv w:val="1"/>
      <w:marLeft w:val="0"/>
      <w:marRight w:val="0"/>
      <w:marTop w:val="0"/>
      <w:marBottom w:val="0"/>
      <w:divBdr>
        <w:top w:val="none" w:sz="0" w:space="0" w:color="auto"/>
        <w:left w:val="none" w:sz="0" w:space="0" w:color="auto"/>
        <w:bottom w:val="none" w:sz="0" w:space="0" w:color="auto"/>
        <w:right w:val="none" w:sz="0" w:space="0" w:color="auto"/>
      </w:divBdr>
    </w:div>
    <w:div w:id="2104721348">
      <w:bodyDiv w:val="1"/>
      <w:marLeft w:val="0"/>
      <w:marRight w:val="0"/>
      <w:marTop w:val="0"/>
      <w:marBottom w:val="0"/>
      <w:divBdr>
        <w:top w:val="none" w:sz="0" w:space="0" w:color="auto"/>
        <w:left w:val="none" w:sz="0" w:space="0" w:color="auto"/>
        <w:bottom w:val="none" w:sz="0" w:space="0" w:color="auto"/>
        <w:right w:val="none" w:sz="0" w:space="0" w:color="auto"/>
      </w:divBdr>
    </w:div>
    <w:div w:id="2144346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ar/agenda/work_undertak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hmad\WIPO\Accessible%20Templates\CDIP_25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672E-5A2A-4CBC-AD10-FFF3A4A4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CDIP_25_AR</Template>
  <TotalTime>0</TotalTime>
  <Pages>10</Pages>
  <Words>1514</Words>
  <Characters>8084</Characters>
  <Application>Microsoft Office Word</Application>
  <DocSecurity>0</DocSecurity>
  <Lines>265</Lines>
  <Paragraphs>52</Paragraphs>
  <ScaleCrop>false</ScaleCrop>
  <HeadingPairs>
    <vt:vector size="2" baseType="variant">
      <vt:variant>
        <vt:lpstr>Title</vt:lpstr>
      </vt:variant>
      <vt:variant>
        <vt:i4>1</vt:i4>
      </vt:variant>
    </vt:vector>
  </HeadingPairs>
  <TitlesOfParts>
    <vt:vector size="1" baseType="lpstr">
      <vt:lpstr>CDIP/25/ (Arabic)</vt:lpstr>
    </vt:vector>
  </TitlesOfParts>
  <Company>World Intellectual Property Organization</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 (Arabic)</dc:title>
  <dc:creator>Ahmad Endani</dc:creator>
  <cp:keywords>FOR OFFICIAL USE ONLY</cp:keywords>
  <cp:lastModifiedBy>ESTEVES DOS SANTOS Anabela</cp:lastModifiedBy>
  <cp:revision>2</cp:revision>
  <cp:lastPrinted>2020-04-22T10:01:00Z</cp:lastPrinted>
  <dcterms:created xsi:type="dcterms:W3CDTF">2020-04-27T12:39:00Z</dcterms:created>
  <dcterms:modified xsi:type="dcterms:W3CDTF">2020-04-27T12:39:00Z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0744c362-6ed4-49cb-83b0-a9ed7a85fa74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