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E56077" w:rsidRDefault="00057082" w:rsidP="00BA5D39">
      <w:pPr>
        <w:pBdr>
          <w:top w:val="single" w:sz="4" w:space="10" w:color="auto"/>
        </w:pBdr>
        <w:bidi w:val="0"/>
        <w:rPr>
          <w:rFonts w:ascii="Arial Black" w:eastAsia="SimSun" w:hAnsi="Arial Black" w:cs="Arial"/>
          <w:b/>
          <w:caps/>
          <w:noProof/>
          <w:sz w:val="16"/>
          <w:szCs w:val="16"/>
          <w:lang w:val="fr-CH"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w:t>
      </w:r>
      <w:r w:rsidR="00BA5D39">
        <w:rPr>
          <w:rFonts w:ascii="Arial Black" w:eastAsia="SimSun" w:hAnsi="Arial Black" w:cs="Arial"/>
          <w:b/>
          <w:caps/>
          <w:noProof/>
          <w:sz w:val="16"/>
          <w:szCs w:val="16"/>
          <w:lang w:eastAsia="zh-CN"/>
        </w:rPr>
        <w:t>5</w:t>
      </w:r>
      <w:r>
        <w:rPr>
          <w:rFonts w:ascii="Arial Black" w:eastAsia="SimSun" w:hAnsi="Arial Black" w:cs="Arial"/>
          <w:b/>
          <w:caps/>
          <w:noProof/>
          <w:sz w:val="16"/>
          <w:szCs w:val="16"/>
          <w:lang w:eastAsia="zh-CN"/>
        </w:rPr>
        <w:t>/</w:t>
      </w:r>
      <w:r w:rsidR="00E56077">
        <w:rPr>
          <w:rFonts w:ascii="Arial Black" w:eastAsia="SimSun" w:hAnsi="Arial Black" w:cs="Arial"/>
          <w:b/>
          <w:caps/>
          <w:noProof/>
          <w:sz w:val="16"/>
          <w:szCs w:val="16"/>
          <w:lang w:val="fr-CH" w:eastAsia="zh-CN"/>
        </w:rPr>
        <w:t>INF/4</w:t>
      </w:r>
    </w:p>
    <w:bookmarkEnd w:id="3"/>
    <w:p w:rsidR="003F7284" w:rsidRPr="00BB6440" w:rsidRDefault="003F7284" w:rsidP="005D79F6">
      <w:pPr>
        <w:jc w:val="right"/>
        <w:rPr>
          <w:b/>
          <w:bCs/>
          <w:sz w:val="30"/>
          <w:szCs w:val="30"/>
          <w:rtl/>
        </w:rPr>
      </w:pPr>
      <w:r w:rsidRPr="00BB6440">
        <w:rPr>
          <w:b/>
          <w:bCs/>
          <w:sz w:val="30"/>
          <w:szCs w:val="30"/>
          <w:rtl/>
        </w:rPr>
        <w:t>الأصل:</w:t>
      </w:r>
      <w:r w:rsidR="00E56077">
        <w:rPr>
          <w:rFonts w:hint="cs"/>
          <w:b/>
          <w:bCs/>
          <w:sz w:val="30"/>
          <w:szCs w:val="30"/>
          <w:rtl/>
        </w:rPr>
        <w:t xml:space="preserve"> بالإنكليزية</w:t>
      </w:r>
      <w:r w:rsidRPr="00BB6440">
        <w:rPr>
          <w:b/>
          <w:bCs/>
          <w:sz w:val="30"/>
          <w:szCs w:val="30"/>
          <w:rtl/>
        </w:rPr>
        <w:t xml:space="preserve"> </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E56077">
        <w:rPr>
          <w:rFonts w:hint="cs"/>
          <w:b/>
          <w:bCs/>
          <w:sz w:val="30"/>
          <w:szCs w:val="30"/>
          <w:rtl/>
        </w:rPr>
        <w:t>3 أبريل 2020</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BA5D3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A5D39">
        <w:rPr>
          <w:rFonts w:ascii="Arial Black" w:hAnsi="Arial Black" w:cs="PT Bold Heading" w:hint="cs"/>
          <w:sz w:val="30"/>
          <w:szCs w:val="30"/>
          <w:rtl/>
        </w:rPr>
        <w:t>الخامسة</w:t>
      </w:r>
      <w:r w:rsidR="001E5546">
        <w:rPr>
          <w:rFonts w:ascii="Arial Black" w:hAnsi="Arial Black" w:cs="PT Bold Heading" w:hint="cs"/>
          <w:sz w:val="30"/>
          <w:szCs w:val="30"/>
          <w:rtl/>
        </w:rPr>
        <w:t xml:space="preserve"> </w:t>
      </w:r>
      <w:r>
        <w:rPr>
          <w:rFonts w:ascii="Arial Black" w:hAnsi="Arial Black" w:cs="PT Bold Heading" w:hint="eastAsia"/>
          <w:sz w:val="30"/>
          <w:szCs w:val="30"/>
          <w:rtl/>
        </w:rPr>
        <w:t>والعشرون</w:t>
      </w:r>
    </w:p>
    <w:p w:rsidR="002E7810" w:rsidRPr="002E7810" w:rsidRDefault="001E5546" w:rsidP="00BA5D39">
      <w:pPr>
        <w:spacing w:line="600" w:lineRule="auto"/>
        <w:rPr>
          <w:b/>
          <w:bCs/>
        </w:rPr>
      </w:pPr>
      <w:r>
        <w:rPr>
          <w:b/>
          <w:bCs/>
          <w:rtl/>
        </w:rPr>
        <w:t>جنيف، م</w:t>
      </w:r>
      <w:r>
        <w:rPr>
          <w:rFonts w:hint="cs"/>
          <w:b/>
          <w:bCs/>
          <w:rtl/>
        </w:rPr>
        <w:t xml:space="preserve">ن </w:t>
      </w:r>
      <w:r w:rsidR="00B053E9">
        <w:rPr>
          <w:rFonts w:hint="cs"/>
          <w:b/>
          <w:bCs/>
          <w:rtl/>
        </w:rPr>
        <w:t>18</w:t>
      </w:r>
      <w:r>
        <w:rPr>
          <w:rFonts w:hint="cs"/>
          <w:b/>
          <w:bCs/>
          <w:rtl/>
        </w:rPr>
        <w:t xml:space="preserve"> </w:t>
      </w:r>
      <w:r>
        <w:rPr>
          <w:b/>
          <w:bCs/>
          <w:rtl/>
        </w:rPr>
        <w:t xml:space="preserve">إلى </w:t>
      </w:r>
      <w:r w:rsidR="00B053E9">
        <w:rPr>
          <w:rFonts w:hint="cs"/>
          <w:b/>
          <w:bCs/>
          <w:rtl/>
        </w:rPr>
        <w:t>22</w:t>
      </w:r>
      <w:r>
        <w:rPr>
          <w:b/>
          <w:bCs/>
          <w:rtl/>
        </w:rPr>
        <w:t xml:space="preserve"> </w:t>
      </w:r>
      <w:r w:rsidR="00BA5D39">
        <w:rPr>
          <w:rFonts w:hint="cs"/>
          <w:b/>
          <w:bCs/>
          <w:rtl/>
        </w:rPr>
        <w:t>مايو</w:t>
      </w:r>
      <w:r>
        <w:rPr>
          <w:b/>
          <w:bCs/>
          <w:rtl/>
        </w:rPr>
        <w:t xml:space="preserve"> </w:t>
      </w:r>
      <w:r w:rsidR="00BA5D39">
        <w:rPr>
          <w:rFonts w:hint="cs"/>
          <w:b/>
          <w:bCs/>
          <w:rtl/>
        </w:rPr>
        <w:t>2020</w:t>
      </w:r>
    </w:p>
    <w:p w:rsidR="002E7810" w:rsidRPr="00B053E9" w:rsidRDefault="004C4D1B" w:rsidP="00874721">
      <w:pPr>
        <w:rPr>
          <w:rFonts w:ascii="Arial Black" w:hAnsi="Arial Black" w:cs="PT Bold Heading"/>
          <w:sz w:val="26"/>
          <w:szCs w:val="26"/>
          <w:rtl/>
        </w:rPr>
      </w:pPr>
      <w:r>
        <w:rPr>
          <w:rFonts w:ascii="Arial Black" w:hAnsi="Arial Black" w:cs="PT Bold Heading" w:hint="cs"/>
          <w:sz w:val="26"/>
          <w:szCs w:val="26"/>
          <w:rtl/>
        </w:rPr>
        <w:t>لمحة</w:t>
      </w:r>
      <w:r w:rsidR="00E56077">
        <w:rPr>
          <w:rFonts w:ascii="Arial Black" w:hAnsi="Arial Black" w:cs="PT Bold Heading" w:hint="cs"/>
          <w:sz w:val="26"/>
          <w:szCs w:val="26"/>
          <w:rtl/>
        </w:rPr>
        <w:t xml:space="preserve"> عامة عن دليل تحديد الاختراعات المندرجة ضمن الملك العام: </w:t>
      </w:r>
      <w:r>
        <w:rPr>
          <w:rFonts w:ascii="Arial Black" w:hAnsi="Arial Black" w:cs="PT Bold Heading" w:hint="cs"/>
          <w:sz w:val="26"/>
          <w:szCs w:val="26"/>
          <w:rtl/>
        </w:rPr>
        <w:t xml:space="preserve">دليل </w:t>
      </w:r>
      <w:r w:rsidR="00E56077">
        <w:rPr>
          <w:rFonts w:ascii="Arial Black" w:hAnsi="Arial Black" w:cs="PT Bold Heading" w:hint="cs"/>
          <w:sz w:val="26"/>
          <w:szCs w:val="26"/>
          <w:rtl/>
        </w:rPr>
        <w:t>للمخترعين ورواد الأعمال</w:t>
      </w:r>
    </w:p>
    <w:p w:rsidR="003F7284" w:rsidRDefault="00E56077" w:rsidP="00874721">
      <w:pPr>
        <w:spacing w:before="200" w:after="960"/>
        <w:rPr>
          <w:i/>
          <w:iCs/>
          <w:rtl/>
          <w:lang w:val="fr-CH"/>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lang w:val="fr-CH"/>
        </w:rPr>
        <w:t>السيدة دونا</w:t>
      </w:r>
      <w:r w:rsidR="004C4D1B">
        <w:rPr>
          <w:rFonts w:hint="cs"/>
          <w:i/>
          <w:iCs/>
          <w:rtl/>
          <w:lang w:val="fr-CH"/>
        </w:rPr>
        <w:t xml:space="preserve"> أو.</w:t>
      </w:r>
      <w:r>
        <w:rPr>
          <w:rFonts w:hint="cs"/>
          <w:i/>
          <w:iCs/>
          <w:rtl/>
          <w:lang w:val="fr-CH"/>
        </w:rPr>
        <w:t xml:space="preserve"> بيردو، خبيرة </w:t>
      </w:r>
      <w:r w:rsidR="004C4D1B">
        <w:rPr>
          <w:rFonts w:hint="cs"/>
          <w:i/>
          <w:iCs/>
          <w:rtl/>
          <w:lang w:val="fr-CH"/>
        </w:rPr>
        <w:t xml:space="preserve">متخصصة </w:t>
      </w:r>
      <w:r>
        <w:rPr>
          <w:rFonts w:hint="cs"/>
          <w:i/>
          <w:iCs/>
          <w:rtl/>
          <w:lang w:val="fr-CH"/>
        </w:rPr>
        <w:t xml:space="preserve">رئيسية، والسيدة روزا مبويا، والسيدة ساراسيجا بادمانابان، والسيد </w:t>
      </w:r>
      <w:r w:rsidR="004C4D1B">
        <w:rPr>
          <w:rFonts w:hint="cs"/>
          <w:i/>
          <w:iCs/>
          <w:rtl/>
          <w:lang w:val="fr-CH"/>
        </w:rPr>
        <w:t>إزاك</w:t>
      </w:r>
      <w:r>
        <w:rPr>
          <w:rFonts w:hint="cs"/>
          <w:i/>
          <w:iCs/>
          <w:rtl/>
          <w:lang w:val="fr-CH"/>
        </w:rPr>
        <w:t xml:space="preserve"> روت</w:t>
      </w:r>
      <w:r w:rsidR="004C4D1B">
        <w:rPr>
          <w:rFonts w:hint="cs"/>
          <w:i/>
          <w:iCs/>
          <w:rtl/>
          <w:lang w:val="fr-CH"/>
        </w:rPr>
        <w:t>ينب</w:t>
      </w:r>
      <w:r>
        <w:rPr>
          <w:rFonts w:hint="cs"/>
          <w:i/>
          <w:iCs/>
          <w:rtl/>
          <w:lang w:val="fr-CH"/>
        </w:rPr>
        <w:t xml:space="preserve">رغ، خبراء متخصصون </w:t>
      </w:r>
      <w:r w:rsidR="004C4D1B">
        <w:rPr>
          <w:rFonts w:hint="cs"/>
          <w:i/>
          <w:iCs/>
          <w:rtl/>
          <w:lang w:val="fr-CH"/>
        </w:rPr>
        <w:t>معاونون</w:t>
      </w:r>
      <w:r>
        <w:rPr>
          <w:rFonts w:hint="cs"/>
          <w:i/>
          <w:iCs/>
          <w:rtl/>
          <w:lang w:val="fr-CH"/>
        </w:rPr>
        <w:t>.</w:t>
      </w:r>
    </w:p>
    <w:p w:rsidR="00E56077" w:rsidRDefault="00E56077" w:rsidP="00E56077">
      <w:pPr>
        <w:pStyle w:val="ONUMA"/>
        <w:rPr>
          <w:lang w:val="fr-CH"/>
        </w:rPr>
      </w:pPr>
      <w:r>
        <w:rPr>
          <w:rFonts w:hint="cs"/>
          <w:rtl/>
          <w:lang w:val="fr-CH"/>
        </w:rPr>
        <w:t xml:space="preserve">يتضمن مرفق هذه الوثيقة </w:t>
      </w:r>
      <w:r w:rsidR="004C4D1B">
        <w:rPr>
          <w:rFonts w:hint="cs"/>
          <w:rtl/>
          <w:lang w:val="fr-CH"/>
        </w:rPr>
        <w:t>لمحة</w:t>
      </w:r>
      <w:r>
        <w:rPr>
          <w:rFonts w:hint="cs"/>
          <w:rtl/>
          <w:lang w:val="fr-CH"/>
        </w:rPr>
        <w:t xml:space="preserve"> عامة </w:t>
      </w:r>
      <w:r w:rsidR="004C4D1B">
        <w:rPr>
          <w:rFonts w:hint="cs"/>
          <w:rtl/>
          <w:lang w:val="fr-CH"/>
        </w:rPr>
        <w:t>عن</w:t>
      </w:r>
      <w:r>
        <w:rPr>
          <w:rFonts w:hint="cs"/>
          <w:rtl/>
          <w:lang w:val="fr-CH"/>
        </w:rPr>
        <w:t xml:space="preserve"> </w:t>
      </w:r>
      <w:r w:rsidR="004C4D1B">
        <w:rPr>
          <w:rFonts w:hint="cs"/>
          <w:rtl/>
          <w:lang w:val="fr-CH"/>
        </w:rPr>
        <w:t>"</w:t>
      </w:r>
      <w:r>
        <w:rPr>
          <w:rFonts w:hint="cs"/>
          <w:rtl/>
          <w:lang w:val="fr-CH"/>
        </w:rPr>
        <w:t xml:space="preserve">دليل تحديد الاختراعات المندرجة ضمن الملك العام: </w:t>
      </w:r>
      <w:r w:rsidR="004C4D1B">
        <w:rPr>
          <w:rFonts w:hint="cs"/>
          <w:rtl/>
          <w:lang w:val="fr-CH"/>
        </w:rPr>
        <w:t xml:space="preserve">دليل </w:t>
      </w:r>
      <w:r>
        <w:rPr>
          <w:rFonts w:hint="cs"/>
          <w:rtl/>
          <w:lang w:val="fr-CH"/>
        </w:rPr>
        <w:t>للمخترعين ورجال الأعمال</w:t>
      </w:r>
      <w:r w:rsidR="004C4D1B">
        <w:rPr>
          <w:rFonts w:hint="cs"/>
          <w:rtl/>
          <w:lang w:val="fr-CH"/>
        </w:rPr>
        <w:t>"</w:t>
      </w:r>
      <w:r>
        <w:rPr>
          <w:rFonts w:hint="cs"/>
          <w:rtl/>
          <w:lang w:val="fr-CH"/>
        </w:rPr>
        <w:t xml:space="preserve">، الذي أُعدّ في سياق مشروع استخدام المعلومات الموجودة في الملك العام لأغراض التنمية الاقتصادية (الوثيقة </w:t>
      </w:r>
      <w:r>
        <w:rPr>
          <w:lang w:val="fr-CH"/>
        </w:rPr>
        <w:t>CDIP/16/4 Rev</w:t>
      </w:r>
      <w:r w:rsidR="004C4D1B">
        <w:rPr>
          <w:lang w:val="fr-CH"/>
        </w:rPr>
        <w:t>.</w:t>
      </w:r>
      <w:r>
        <w:rPr>
          <w:rFonts w:hint="cs"/>
          <w:rtl/>
          <w:lang w:val="fr-CH"/>
        </w:rPr>
        <w:t>). و</w:t>
      </w:r>
      <w:r w:rsidR="004C4D1B">
        <w:rPr>
          <w:rFonts w:hint="cs"/>
          <w:rtl/>
          <w:lang w:val="fr-CH"/>
        </w:rPr>
        <w:t>ت</w:t>
      </w:r>
      <w:r>
        <w:rPr>
          <w:rFonts w:hint="cs"/>
          <w:rtl/>
          <w:lang w:val="fr-CH"/>
        </w:rPr>
        <w:t>قدم هذ</w:t>
      </w:r>
      <w:r w:rsidR="004C4D1B">
        <w:rPr>
          <w:rFonts w:hint="cs"/>
          <w:rtl/>
          <w:lang w:val="fr-CH"/>
        </w:rPr>
        <w:t xml:space="preserve">ه اللمحة </w:t>
      </w:r>
      <w:r>
        <w:rPr>
          <w:rFonts w:hint="cs"/>
          <w:rtl/>
          <w:lang w:val="fr-CH"/>
        </w:rPr>
        <w:t>العام</w:t>
      </w:r>
      <w:r w:rsidR="004C4D1B">
        <w:rPr>
          <w:rFonts w:hint="cs"/>
          <w:rtl/>
          <w:lang w:val="fr-CH"/>
        </w:rPr>
        <w:t>ة</w:t>
      </w:r>
      <w:r>
        <w:rPr>
          <w:rFonts w:hint="cs"/>
          <w:rtl/>
          <w:lang w:val="fr-CH"/>
        </w:rPr>
        <w:t xml:space="preserve"> وصفاً لغرض الدليل والمفاهيم الأساسية المستخدمة في</w:t>
      </w:r>
      <w:r w:rsidR="004C4D1B">
        <w:rPr>
          <w:rFonts w:hint="cs"/>
          <w:rtl/>
          <w:lang w:val="fr-CH"/>
        </w:rPr>
        <w:t>ه</w:t>
      </w:r>
      <w:r>
        <w:rPr>
          <w:rFonts w:hint="cs"/>
          <w:rtl/>
          <w:lang w:val="fr-CH"/>
        </w:rPr>
        <w:t xml:space="preserve">، كما </w:t>
      </w:r>
      <w:r w:rsidR="004C4D1B">
        <w:rPr>
          <w:rFonts w:hint="cs"/>
          <w:rtl/>
          <w:lang w:val="fr-CH"/>
        </w:rPr>
        <w:t>ت</w:t>
      </w:r>
      <w:r>
        <w:rPr>
          <w:rFonts w:hint="cs"/>
          <w:rtl/>
          <w:lang w:val="fr-CH"/>
        </w:rPr>
        <w:t xml:space="preserve">قدم وصفاً لنهج التدريب وأدواته لاستخدامه </w:t>
      </w:r>
      <w:r w:rsidR="004C4D1B">
        <w:rPr>
          <w:rFonts w:hint="cs"/>
          <w:rtl/>
          <w:lang w:val="fr-CH"/>
        </w:rPr>
        <w:t>على نحو فعال</w:t>
      </w:r>
      <w:r>
        <w:rPr>
          <w:rFonts w:hint="cs"/>
          <w:rtl/>
          <w:lang w:val="fr-CH"/>
        </w:rPr>
        <w:t>.</w:t>
      </w:r>
    </w:p>
    <w:p w:rsidR="00E56077" w:rsidRDefault="00E56077" w:rsidP="00E56077">
      <w:pPr>
        <w:pStyle w:val="Decision"/>
        <w:rPr>
          <w:lang w:val="fr-CH"/>
        </w:rPr>
      </w:pPr>
      <w:r>
        <w:rPr>
          <w:rFonts w:hint="cs"/>
          <w:rtl/>
          <w:lang w:val="fr-CH"/>
        </w:rPr>
        <w:t>إن اللجنة مدعوة إلى الإحاطة علماً بالمعلومات الواردة في مرفق هذه الوثيقة.</w:t>
      </w:r>
    </w:p>
    <w:p w:rsidR="004C4D1B" w:rsidRDefault="004C4D1B" w:rsidP="004C4D1B">
      <w:pPr>
        <w:pStyle w:val="Decision"/>
        <w:numPr>
          <w:ilvl w:val="0"/>
          <w:numId w:val="0"/>
        </w:numPr>
        <w:ind w:left="5534"/>
        <w:rPr>
          <w:lang w:val="fr-CH"/>
        </w:rPr>
      </w:pPr>
    </w:p>
    <w:p w:rsidR="00E56077" w:rsidRDefault="00E56077" w:rsidP="00E56077">
      <w:pPr>
        <w:pStyle w:val="Endofdocument-Annex"/>
        <w:rPr>
          <w:rtl/>
          <w:lang w:val="fr-CH"/>
        </w:rPr>
        <w:sectPr w:rsidR="00E56077" w:rsidSect="00EB7752">
          <w:headerReference w:type="default" r:id="rId9"/>
          <w:headerReference w:type="first" r:id="rId10"/>
          <w:pgSz w:w="11907" w:h="16840" w:code="9"/>
          <w:pgMar w:top="567" w:right="1418" w:bottom="1418" w:left="1134" w:header="510" w:footer="1021" w:gutter="0"/>
          <w:cols w:space="720"/>
          <w:titlePg/>
          <w:docGrid w:linePitch="299"/>
        </w:sectPr>
      </w:pPr>
      <w:r w:rsidRPr="00E56077">
        <w:rPr>
          <w:rtl/>
          <w:lang w:val="fr-CH"/>
        </w:rPr>
        <w:lastRenderedPageBreak/>
        <w:t>[يلي ذلك المرفق]</w:t>
      </w:r>
    </w:p>
    <w:p w:rsidR="00E56077" w:rsidRPr="00DB70ED" w:rsidRDefault="00E56077" w:rsidP="00DB70ED">
      <w:pPr>
        <w:pStyle w:val="Heading2"/>
        <w:rPr>
          <w:rFonts w:ascii="Calibri" w:eastAsia="Calibri" w:hAnsi="Calibri" w:cs="Arial"/>
          <w:sz w:val="24"/>
          <w:szCs w:val="24"/>
          <w:lang w:val="fr-FR"/>
        </w:rPr>
      </w:pPr>
      <w:bookmarkStart w:id="5" w:name="_Toc22405922"/>
      <w:bookmarkStart w:id="6" w:name="_Toc28270419"/>
      <w:r w:rsidRPr="00DB70ED">
        <w:rPr>
          <w:rFonts w:hint="cs"/>
          <w:sz w:val="44"/>
          <w:szCs w:val="44"/>
          <w:rtl/>
          <w:lang w:val="fr-CH" w:eastAsia="fr-FR"/>
        </w:rPr>
        <w:lastRenderedPageBreak/>
        <w:t xml:space="preserve">دليل </w:t>
      </w:r>
      <w:r w:rsidRPr="00DB70ED">
        <w:rPr>
          <w:sz w:val="44"/>
          <w:szCs w:val="44"/>
          <w:rtl/>
          <w:lang w:eastAsia="fr-FR" w:bidi="ar-MA"/>
        </w:rPr>
        <w:t xml:space="preserve">تحديد الاختراعات المندرجة ضمن الملك العام: </w:t>
      </w:r>
      <w:r w:rsidR="004C4D1B" w:rsidRPr="00DB70ED">
        <w:rPr>
          <w:rFonts w:hint="cs"/>
          <w:sz w:val="44"/>
          <w:szCs w:val="44"/>
          <w:rtl/>
          <w:lang w:eastAsia="fr-FR" w:bidi="ar-MA"/>
        </w:rPr>
        <w:t xml:space="preserve">دليل </w:t>
      </w:r>
      <w:r w:rsidRPr="00DB70ED">
        <w:rPr>
          <w:sz w:val="44"/>
          <w:szCs w:val="44"/>
          <w:rtl/>
          <w:lang w:eastAsia="fr-FR" w:bidi="ar-MA"/>
        </w:rPr>
        <w:t>للمخترعين ورواد الأعمال</w:t>
      </w:r>
      <w:r w:rsidRPr="00DB70ED">
        <w:rPr>
          <w:rStyle w:val="FootnoteReference"/>
          <w:sz w:val="40"/>
          <w:szCs w:val="40"/>
          <w:rtl/>
          <w:lang w:eastAsia="fr-FR" w:bidi="ar-MA"/>
        </w:rPr>
        <w:footnoteReference w:id="1"/>
      </w:r>
    </w:p>
    <w:p w:rsidR="00E56077" w:rsidRPr="00600D1A" w:rsidRDefault="004C4D1B" w:rsidP="00DB70ED">
      <w:pPr>
        <w:pStyle w:val="Heading2"/>
        <w:rPr>
          <w:rFonts w:ascii="Calibri" w:eastAsia="Calibri" w:hAnsi="Calibri" w:cs="Arial"/>
          <w:sz w:val="22"/>
          <w:szCs w:val="22"/>
          <w:lang w:val="fr-FR"/>
        </w:rPr>
      </w:pPr>
      <w:r>
        <w:rPr>
          <w:rFonts w:hint="cs"/>
          <w:rtl/>
          <w:lang w:eastAsia="fr-FR" w:bidi="ar-MA"/>
        </w:rPr>
        <w:t>لمحة عامة</w:t>
      </w:r>
      <w:r w:rsidR="00E56077">
        <w:rPr>
          <w:rFonts w:hint="cs"/>
          <w:rtl/>
          <w:lang w:eastAsia="fr-FR" w:bidi="ar-MA"/>
        </w:rPr>
        <w:t xml:space="preserve"> عن</w:t>
      </w:r>
      <w:r w:rsidR="00E56077" w:rsidRPr="00600D1A">
        <w:rPr>
          <w:rtl/>
          <w:lang w:eastAsia="fr-FR" w:bidi="ar-MA"/>
        </w:rPr>
        <w:t xml:space="preserve"> </w:t>
      </w:r>
      <w:r w:rsidR="00E56077">
        <w:rPr>
          <w:rFonts w:hint="cs"/>
          <w:rtl/>
          <w:lang w:eastAsia="fr-FR" w:bidi="ar-MA"/>
        </w:rPr>
        <w:t>ال</w:t>
      </w:r>
      <w:r w:rsidR="00E56077" w:rsidRPr="00600D1A">
        <w:rPr>
          <w:rtl/>
          <w:lang w:eastAsia="fr-FR" w:bidi="ar-MA"/>
        </w:rPr>
        <w:t xml:space="preserve">دليل </w:t>
      </w:r>
      <w:bookmarkEnd w:id="5"/>
      <w:bookmarkEnd w:id="6"/>
    </w:p>
    <w:p w:rsidR="00E56077" w:rsidRPr="00757C74" w:rsidRDefault="00E56077" w:rsidP="00E56077">
      <w:pPr>
        <w:suppressAutoHyphens/>
        <w:autoSpaceDN w:val="0"/>
        <w:spacing w:before="200"/>
        <w:jc w:val="both"/>
        <w:textAlignment w:val="baseline"/>
        <w:rPr>
          <w:rFonts w:ascii="Calibri" w:eastAsia="Calibri" w:hAnsi="Calibri" w:cs="Arial"/>
          <w:sz w:val="22"/>
          <w:szCs w:val="22"/>
          <w:rtl/>
          <w:lang w:val="fr-CH"/>
        </w:rPr>
      </w:pPr>
      <w:r w:rsidRPr="00600D1A">
        <w:rPr>
          <w:rtl/>
          <w:lang w:eastAsia="fr-FR" w:bidi="ar-MA"/>
        </w:rPr>
        <w:t xml:space="preserve">إن الغرض من هذا الدليل هو </w:t>
      </w:r>
      <w:r w:rsidR="00757C74">
        <w:rPr>
          <w:rFonts w:hint="cs"/>
          <w:rtl/>
          <w:lang w:eastAsia="fr-FR" w:bidi="ar-MA"/>
        </w:rPr>
        <w:t>المساعدة</w:t>
      </w:r>
      <w:r w:rsidRPr="00600D1A">
        <w:rPr>
          <w:rtl/>
          <w:lang w:eastAsia="fr-FR" w:bidi="ar-MA"/>
        </w:rPr>
        <w:t xml:space="preserve"> </w:t>
      </w:r>
      <w:r w:rsidR="00757C74">
        <w:rPr>
          <w:rFonts w:hint="cs"/>
          <w:rtl/>
          <w:lang w:eastAsia="fr-FR" w:bidi="ar-MA"/>
        </w:rPr>
        <w:t xml:space="preserve">على تحديد </w:t>
      </w:r>
      <w:r w:rsidRPr="00600D1A">
        <w:rPr>
          <w:rtl/>
          <w:lang w:eastAsia="fr-FR" w:bidi="ar-MA"/>
        </w:rPr>
        <w:t>ما إن كان</w:t>
      </w:r>
      <w:r w:rsidR="004C4D1B">
        <w:rPr>
          <w:rFonts w:hint="cs"/>
          <w:rtl/>
          <w:lang w:eastAsia="fr-FR" w:bidi="ar-MA"/>
        </w:rPr>
        <w:t>ت</w:t>
      </w:r>
      <w:r w:rsidRPr="00600D1A">
        <w:rPr>
          <w:rtl/>
          <w:lang w:eastAsia="fr-FR" w:bidi="ar-MA"/>
        </w:rPr>
        <w:t xml:space="preserve"> اختراع</w:t>
      </w:r>
      <w:r w:rsidR="004C4D1B">
        <w:rPr>
          <w:rFonts w:hint="cs"/>
          <w:rtl/>
          <w:lang w:eastAsia="fr-FR" w:bidi="ar-MA"/>
        </w:rPr>
        <w:t>ات</w:t>
      </w:r>
      <w:r w:rsidRPr="00600D1A">
        <w:rPr>
          <w:rtl/>
          <w:lang w:eastAsia="fr-FR" w:bidi="ar-MA"/>
        </w:rPr>
        <w:t xml:space="preserve"> معي</w:t>
      </w:r>
      <w:r w:rsidR="004C4D1B">
        <w:rPr>
          <w:rFonts w:hint="cs"/>
          <w:rtl/>
          <w:lang w:eastAsia="fr-FR" w:bidi="ar-MA"/>
        </w:rPr>
        <w:t>ّ</w:t>
      </w:r>
      <w:r w:rsidRPr="00600D1A">
        <w:rPr>
          <w:rtl/>
          <w:lang w:eastAsia="fr-FR" w:bidi="ar-MA"/>
        </w:rPr>
        <w:t>ن</w:t>
      </w:r>
      <w:r w:rsidR="004C4D1B">
        <w:rPr>
          <w:rFonts w:hint="cs"/>
          <w:rtl/>
          <w:lang w:eastAsia="fr-FR" w:bidi="ar-MA"/>
        </w:rPr>
        <w:t>ة</w:t>
      </w:r>
      <w:r w:rsidRPr="00600D1A">
        <w:rPr>
          <w:rtl/>
          <w:lang w:eastAsia="fr-FR" w:bidi="ar-MA"/>
        </w:rPr>
        <w:t xml:space="preserve"> </w:t>
      </w:r>
      <w:r w:rsidR="004C4D1B">
        <w:rPr>
          <w:rFonts w:hint="cs"/>
          <w:rtl/>
          <w:lang w:eastAsia="fr-FR" w:bidi="ar-MA"/>
        </w:rPr>
        <w:t>محمية بموجب</w:t>
      </w:r>
      <w:r w:rsidRPr="00600D1A">
        <w:rPr>
          <w:rtl/>
          <w:lang w:eastAsia="fr-FR" w:bidi="ar-MA"/>
        </w:rPr>
        <w:t xml:space="preserve"> براء</w:t>
      </w:r>
      <w:r w:rsidR="004C4D1B">
        <w:rPr>
          <w:rFonts w:hint="cs"/>
          <w:rtl/>
          <w:lang w:eastAsia="fr-FR" w:bidi="ar-MA"/>
        </w:rPr>
        <w:t>ات</w:t>
      </w:r>
      <w:r w:rsidRPr="00600D1A">
        <w:rPr>
          <w:rtl/>
          <w:lang w:eastAsia="fr-FR" w:bidi="ar-MA"/>
        </w:rPr>
        <w:t xml:space="preserve"> نافذة، أم أنه</w:t>
      </w:r>
      <w:r w:rsidR="004C4D1B">
        <w:rPr>
          <w:rFonts w:hint="cs"/>
          <w:rtl/>
          <w:lang w:eastAsia="fr-FR" w:bidi="ar-MA"/>
        </w:rPr>
        <w:t>ا</w:t>
      </w:r>
      <w:r w:rsidRPr="00600D1A">
        <w:rPr>
          <w:rtl/>
          <w:lang w:eastAsia="fr-FR" w:bidi="ar-MA"/>
        </w:rPr>
        <w:t xml:space="preserve"> </w:t>
      </w:r>
      <w:r w:rsidR="004C4D1B">
        <w:rPr>
          <w:rFonts w:hint="cs"/>
          <w:rtl/>
          <w:lang w:eastAsia="fr-FR" w:bidi="ar-MA"/>
        </w:rPr>
        <w:t>ت</w:t>
      </w:r>
      <w:r w:rsidRPr="00600D1A">
        <w:rPr>
          <w:rtl/>
          <w:lang w:eastAsia="fr-FR" w:bidi="ar-MA"/>
        </w:rPr>
        <w:t xml:space="preserve">ندرج ضمن الملك العام. </w:t>
      </w:r>
      <w:r w:rsidR="004C4D1B">
        <w:rPr>
          <w:rFonts w:hint="cs"/>
          <w:rtl/>
          <w:lang w:eastAsia="fr-FR" w:bidi="ar-MA"/>
        </w:rPr>
        <w:t>ويشرح</w:t>
      </w:r>
      <w:r w:rsidR="00757C74">
        <w:rPr>
          <w:rFonts w:hint="cs"/>
          <w:rtl/>
          <w:lang w:eastAsia="fr-FR" w:bidi="ar-MA"/>
        </w:rPr>
        <w:t xml:space="preserve"> الدليل </w:t>
      </w:r>
      <w:r w:rsidRPr="00600D1A">
        <w:rPr>
          <w:rtl/>
          <w:lang w:eastAsia="fr-FR" w:bidi="ar-MA"/>
        </w:rPr>
        <w:t xml:space="preserve">الخطوات </w:t>
      </w:r>
      <w:r w:rsidR="004C4D1B">
        <w:rPr>
          <w:rFonts w:hint="cs"/>
          <w:rtl/>
          <w:lang w:eastAsia="fr-FR" w:bidi="ar-MA"/>
        </w:rPr>
        <w:t>التي ينطوي</w:t>
      </w:r>
      <w:r w:rsidRPr="00600D1A">
        <w:rPr>
          <w:rtl/>
          <w:lang w:eastAsia="fr-FR" w:bidi="ar-MA"/>
        </w:rPr>
        <w:t xml:space="preserve"> عل</w:t>
      </w:r>
      <w:r w:rsidR="004C4D1B">
        <w:rPr>
          <w:rFonts w:hint="cs"/>
          <w:rtl/>
          <w:lang w:eastAsia="fr-FR" w:bidi="ar-MA"/>
        </w:rPr>
        <w:t>يها</w:t>
      </w:r>
      <w:r w:rsidRPr="00600D1A">
        <w:rPr>
          <w:rtl/>
          <w:lang w:eastAsia="fr-FR" w:bidi="ar-MA"/>
        </w:rPr>
        <w:t xml:space="preserve"> تحديد ذلك ويوفر </w:t>
      </w:r>
      <w:r w:rsidR="004C4D1B">
        <w:rPr>
          <w:rFonts w:hint="cs"/>
          <w:rtl/>
          <w:lang w:eastAsia="fr-FR" w:bidi="ar-MA"/>
        </w:rPr>
        <w:t>ال</w:t>
      </w:r>
      <w:r w:rsidRPr="00600D1A">
        <w:rPr>
          <w:rtl/>
          <w:lang w:eastAsia="fr-FR" w:bidi="ar-MA"/>
        </w:rPr>
        <w:t>تدريب و</w:t>
      </w:r>
      <w:r w:rsidR="004C4D1B">
        <w:rPr>
          <w:rFonts w:hint="cs"/>
          <w:rtl/>
          <w:lang w:eastAsia="fr-FR" w:bidi="ar-MA"/>
        </w:rPr>
        <w:t>ال</w:t>
      </w:r>
      <w:r w:rsidRPr="00600D1A">
        <w:rPr>
          <w:rtl/>
          <w:lang w:eastAsia="fr-FR" w:bidi="ar-MA"/>
        </w:rPr>
        <w:t xml:space="preserve">أدوات </w:t>
      </w:r>
      <w:r w:rsidR="004C4D1B">
        <w:rPr>
          <w:rFonts w:hint="cs"/>
          <w:rtl/>
          <w:lang w:eastAsia="fr-FR" w:bidi="ar-MA"/>
        </w:rPr>
        <w:t xml:space="preserve">اللازمة </w:t>
      </w:r>
      <w:r w:rsidRPr="00600D1A">
        <w:rPr>
          <w:rtl/>
          <w:lang w:eastAsia="fr-FR" w:bidi="ar-MA"/>
        </w:rPr>
        <w:t xml:space="preserve">في كل خطوة. </w:t>
      </w:r>
    </w:p>
    <w:p w:rsidR="00E56077" w:rsidRPr="00600D1A" w:rsidRDefault="00E56077" w:rsidP="00E56077">
      <w:pPr>
        <w:suppressAutoHyphens/>
        <w:autoSpaceDN w:val="0"/>
        <w:spacing w:before="200"/>
        <w:jc w:val="both"/>
        <w:textAlignment w:val="baseline"/>
        <w:rPr>
          <w:rFonts w:ascii="Calibri" w:eastAsia="Calibri" w:hAnsi="Calibri" w:cs="Arial"/>
          <w:sz w:val="22"/>
          <w:szCs w:val="22"/>
          <w:lang w:val="fr-FR"/>
        </w:rPr>
      </w:pPr>
      <w:r w:rsidRPr="00600D1A">
        <w:rPr>
          <w:rtl/>
          <w:lang w:eastAsia="fr-FR" w:bidi="ar-MA"/>
        </w:rPr>
        <w:t xml:space="preserve">وبما أن حقوق البراءات تقتصر على النطاق الوطني فقط ومدتها محدودة، فإن الدليل </w:t>
      </w:r>
      <w:r w:rsidR="00757C74">
        <w:rPr>
          <w:rFonts w:hint="cs"/>
          <w:rtl/>
          <w:lang w:eastAsia="fr-FR" w:bidi="ar-MA"/>
        </w:rPr>
        <w:t xml:space="preserve">يعرض </w:t>
      </w:r>
      <w:r w:rsidRPr="00600D1A">
        <w:rPr>
          <w:rtl/>
          <w:lang w:eastAsia="fr-FR" w:bidi="ar-MA"/>
        </w:rPr>
        <w:t xml:space="preserve">سبل تنفيذ هذه الخطوات </w:t>
      </w:r>
      <w:r w:rsidR="00757C74">
        <w:rPr>
          <w:rFonts w:hint="cs"/>
          <w:rtl/>
          <w:lang w:eastAsia="fr-FR" w:bidi="ar-MA"/>
        </w:rPr>
        <w:t>باستخدام</w:t>
      </w:r>
      <w:r w:rsidRPr="00600D1A">
        <w:rPr>
          <w:rtl/>
          <w:lang w:eastAsia="fr-FR" w:bidi="ar-MA"/>
        </w:rPr>
        <w:t xml:space="preserve"> وصف تقني كامل لاختراع معين</w:t>
      </w:r>
      <w:r w:rsidR="004C4D1B">
        <w:rPr>
          <w:rFonts w:hint="cs"/>
          <w:rtl/>
          <w:lang w:eastAsia="fr-FR" w:bidi="ar-MA"/>
        </w:rPr>
        <w:t>،</w:t>
      </w:r>
      <w:r w:rsidRPr="00600D1A">
        <w:rPr>
          <w:rtl/>
          <w:lang w:eastAsia="fr-FR" w:bidi="ar-MA"/>
        </w:rPr>
        <w:t xml:space="preserve"> مع إرفاقه بمعلومات </w:t>
      </w:r>
      <w:r w:rsidR="004C4D1B">
        <w:rPr>
          <w:rFonts w:hint="cs"/>
          <w:rtl/>
          <w:lang w:eastAsia="fr-FR" w:bidi="ar-MA"/>
        </w:rPr>
        <w:t>عن</w:t>
      </w:r>
      <w:r w:rsidRPr="00600D1A">
        <w:rPr>
          <w:rtl/>
          <w:lang w:eastAsia="fr-FR" w:bidi="ar-MA"/>
        </w:rPr>
        <w:t xml:space="preserve"> البلدان التي يمكن أن ي</w:t>
      </w:r>
      <w:r w:rsidR="004C4D1B">
        <w:rPr>
          <w:rFonts w:hint="cs"/>
          <w:rtl/>
          <w:lang w:eastAsia="fr-FR" w:bidi="ar-MA"/>
        </w:rPr>
        <w:t>ُ</w:t>
      </w:r>
      <w:r w:rsidRPr="00600D1A">
        <w:rPr>
          <w:rtl/>
          <w:lang w:eastAsia="fr-FR" w:bidi="ar-MA"/>
        </w:rPr>
        <w:t xml:space="preserve">ستخدم فيها والإطار الزمني لذلك الاستخدام. </w:t>
      </w:r>
      <w:r w:rsidR="00757C74">
        <w:rPr>
          <w:rFonts w:hint="cs"/>
          <w:rtl/>
          <w:lang w:eastAsia="fr-FR" w:bidi="ar-MA"/>
        </w:rPr>
        <w:t xml:space="preserve">ويبرز </w:t>
      </w:r>
      <w:r w:rsidRPr="00600D1A">
        <w:rPr>
          <w:rtl/>
          <w:lang w:eastAsia="fr-FR" w:bidi="ar-MA"/>
        </w:rPr>
        <w:t>الدليل أيضا</w:t>
      </w:r>
      <w:r w:rsidR="00757C74">
        <w:rPr>
          <w:rFonts w:hint="cs"/>
          <w:rtl/>
          <w:lang w:eastAsia="fr-FR" w:bidi="ar-MA"/>
        </w:rPr>
        <w:t>ً</w:t>
      </w:r>
      <w:r w:rsidRPr="00600D1A">
        <w:rPr>
          <w:rtl/>
          <w:lang w:eastAsia="fr-FR" w:bidi="ar-MA"/>
        </w:rPr>
        <w:t xml:space="preserve"> القيود والمخاطر </w:t>
      </w:r>
      <w:r w:rsidR="00757C74">
        <w:rPr>
          <w:rFonts w:hint="cs"/>
          <w:rtl/>
          <w:lang w:eastAsia="fr-FR" w:bidi="ar-MA"/>
        </w:rPr>
        <w:t>ذات الصلة</w:t>
      </w:r>
      <w:r w:rsidRPr="00600D1A">
        <w:rPr>
          <w:rtl/>
          <w:lang w:eastAsia="fr-FR" w:bidi="ar-MA"/>
        </w:rPr>
        <w:t xml:space="preserve"> </w:t>
      </w:r>
      <w:r w:rsidR="00757C74">
        <w:rPr>
          <w:rFonts w:hint="cs"/>
          <w:rtl/>
          <w:lang w:eastAsia="fr-FR" w:bidi="ar-MA"/>
        </w:rPr>
        <w:t>ب</w:t>
      </w:r>
      <w:r w:rsidRPr="00600D1A">
        <w:rPr>
          <w:rtl/>
          <w:lang w:eastAsia="fr-FR" w:bidi="ar-MA"/>
        </w:rPr>
        <w:t xml:space="preserve">كل خطوة. </w:t>
      </w:r>
    </w:p>
    <w:p w:rsidR="00E56077" w:rsidRPr="00600D1A" w:rsidRDefault="00E56077" w:rsidP="00DB70ED">
      <w:pPr>
        <w:pStyle w:val="Heading2"/>
        <w:rPr>
          <w:rFonts w:ascii="Calibri" w:eastAsia="Calibri" w:hAnsi="Calibri" w:cs="Arial"/>
          <w:sz w:val="22"/>
          <w:szCs w:val="22"/>
          <w:lang w:val="fr-FR"/>
        </w:rPr>
      </w:pPr>
      <w:bookmarkStart w:id="7" w:name="_Toc22405923"/>
      <w:bookmarkStart w:id="8" w:name="_Toc28270420"/>
      <w:r w:rsidRPr="00600D1A">
        <w:rPr>
          <w:rtl/>
          <w:lang w:eastAsia="fr-FR" w:bidi="ar-MA"/>
        </w:rPr>
        <w:t>المفاهيم الأساسية المستخدمة في هذا الدليل</w:t>
      </w:r>
      <w:bookmarkEnd w:id="7"/>
      <w:bookmarkEnd w:id="8"/>
    </w:p>
    <w:p w:rsidR="00E56077" w:rsidRDefault="00E56077" w:rsidP="00E56077">
      <w:pPr>
        <w:suppressAutoHyphens/>
        <w:autoSpaceDN w:val="0"/>
        <w:spacing w:before="200"/>
        <w:jc w:val="both"/>
        <w:textAlignment w:val="baseline"/>
        <w:rPr>
          <w:rtl/>
          <w:lang w:eastAsia="fr-FR" w:bidi="ar-MA"/>
        </w:rPr>
      </w:pPr>
      <w:r w:rsidRPr="00600D1A">
        <w:rPr>
          <w:rtl/>
          <w:lang w:eastAsia="fr-FR" w:bidi="ar-MA"/>
        </w:rPr>
        <w:t>ي</w:t>
      </w:r>
      <w:r w:rsidR="004C4D1B">
        <w:rPr>
          <w:rFonts w:hint="cs"/>
          <w:rtl/>
          <w:lang w:eastAsia="fr-FR" w:bidi="ar-MA"/>
        </w:rPr>
        <w:t>ُ</w:t>
      </w:r>
      <w:r w:rsidRPr="00600D1A">
        <w:rPr>
          <w:rtl/>
          <w:lang w:eastAsia="fr-FR" w:bidi="ar-MA"/>
        </w:rPr>
        <w:t>عر</w:t>
      </w:r>
      <w:r w:rsidR="004C4D1B">
        <w:rPr>
          <w:rFonts w:hint="cs"/>
          <w:rtl/>
          <w:lang w:eastAsia="fr-FR" w:bidi="ar-MA"/>
        </w:rPr>
        <w:t>ّ</w:t>
      </w:r>
      <w:r w:rsidRPr="00600D1A">
        <w:rPr>
          <w:rtl/>
          <w:lang w:eastAsia="fr-FR" w:bidi="ar-MA"/>
        </w:rPr>
        <w:t>ف الدليل الاختراع والبراءة والملك العام</w:t>
      </w:r>
      <w:r w:rsidR="00757C74">
        <w:rPr>
          <w:rFonts w:hint="cs"/>
          <w:rtl/>
          <w:lang w:eastAsia="fr-FR" w:bidi="ar-MA"/>
        </w:rPr>
        <w:t xml:space="preserve"> (الوحدة الأولى)</w:t>
      </w:r>
      <w:r w:rsidRPr="00600D1A">
        <w:rPr>
          <w:rtl/>
          <w:lang w:eastAsia="fr-FR" w:bidi="ar-MA"/>
        </w:rPr>
        <w:t xml:space="preserve"> على النحو التالي:</w:t>
      </w:r>
    </w:p>
    <w:p w:rsidR="004C4D1B" w:rsidRDefault="004C4D1B" w:rsidP="004C4D1B">
      <w:pPr>
        <w:pStyle w:val="BodyText"/>
        <w:rPr>
          <w:rtl/>
          <w:lang w:eastAsia="fr-FR" w:bidi="ar-MA"/>
        </w:rPr>
      </w:pPr>
      <w:r w:rsidRPr="004C4D1B">
        <w:rPr>
          <w:rFonts w:hint="cs"/>
          <w:b/>
          <w:bCs/>
          <w:rtl/>
          <w:lang w:eastAsia="fr-FR"/>
        </w:rPr>
        <w:t>الاختراع</w:t>
      </w:r>
      <w:r>
        <w:rPr>
          <w:rFonts w:hint="cs"/>
          <w:rtl/>
          <w:lang w:eastAsia="fr-FR"/>
        </w:rPr>
        <w:t xml:space="preserve">: </w:t>
      </w:r>
      <w:r w:rsidRPr="00600D1A">
        <w:rPr>
          <w:rtl/>
          <w:lang w:eastAsia="fr-FR" w:bidi="ar-MA"/>
        </w:rPr>
        <w:t xml:space="preserve">هو منتج أو عملية تتيح </w:t>
      </w:r>
      <w:r>
        <w:rPr>
          <w:rFonts w:hint="cs"/>
          <w:rtl/>
          <w:lang w:eastAsia="fr-FR" w:bidi="ar-MA"/>
        </w:rPr>
        <w:t>نهجاً</w:t>
      </w:r>
      <w:r w:rsidRPr="00600D1A">
        <w:rPr>
          <w:rtl/>
          <w:lang w:eastAsia="fr-FR" w:bidi="ar-MA"/>
        </w:rPr>
        <w:t xml:space="preserve"> جديد</w:t>
      </w:r>
      <w:r>
        <w:rPr>
          <w:rFonts w:hint="cs"/>
          <w:rtl/>
          <w:lang w:eastAsia="fr-FR" w:bidi="ar-MA"/>
        </w:rPr>
        <w:t xml:space="preserve">اً </w:t>
      </w:r>
      <w:r w:rsidRPr="00600D1A">
        <w:rPr>
          <w:rtl/>
          <w:lang w:eastAsia="fr-FR" w:bidi="ar-MA"/>
        </w:rPr>
        <w:t>لإنجاز عمل ما</w:t>
      </w:r>
      <w:r>
        <w:rPr>
          <w:rFonts w:hint="cs"/>
          <w:rtl/>
          <w:lang w:eastAsia="fr-FR" w:bidi="ar-MA"/>
        </w:rPr>
        <w:t xml:space="preserve">، </w:t>
      </w:r>
      <w:r w:rsidRPr="00600D1A">
        <w:rPr>
          <w:rtl/>
          <w:lang w:eastAsia="fr-FR" w:bidi="ar-MA"/>
        </w:rPr>
        <w:t>أو تقدم حلا</w:t>
      </w:r>
      <w:r>
        <w:rPr>
          <w:rFonts w:hint="cs"/>
          <w:rtl/>
          <w:lang w:eastAsia="fr-FR" w:bidi="ar-MA"/>
        </w:rPr>
        <w:t>ً</w:t>
      </w:r>
      <w:r w:rsidRPr="00600D1A">
        <w:rPr>
          <w:rtl/>
          <w:lang w:eastAsia="fr-FR" w:bidi="ar-MA"/>
        </w:rPr>
        <w:t xml:space="preserve"> تقنيا</w:t>
      </w:r>
      <w:r>
        <w:rPr>
          <w:rFonts w:hint="cs"/>
          <w:rtl/>
          <w:lang w:eastAsia="fr-FR" w:bidi="ar-MA"/>
        </w:rPr>
        <w:t>ً</w:t>
      </w:r>
      <w:r w:rsidRPr="00600D1A">
        <w:rPr>
          <w:rtl/>
          <w:lang w:eastAsia="fr-FR" w:bidi="ar-MA"/>
        </w:rPr>
        <w:t xml:space="preserve"> جديدا</w:t>
      </w:r>
      <w:r>
        <w:rPr>
          <w:rFonts w:hint="cs"/>
          <w:rtl/>
          <w:lang w:eastAsia="fr-FR" w:bidi="ar-MA"/>
        </w:rPr>
        <w:t>ً</w:t>
      </w:r>
      <w:r w:rsidRPr="00600D1A">
        <w:rPr>
          <w:rtl/>
          <w:lang w:eastAsia="fr-FR" w:bidi="ar-MA"/>
        </w:rPr>
        <w:t xml:space="preserve"> لمشكلة ما. </w:t>
      </w:r>
      <w:r>
        <w:rPr>
          <w:rFonts w:hint="cs"/>
          <w:rtl/>
          <w:lang w:eastAsia="fr-FR" w:bidi="ar-MA"/>
        </w:rPr>
        <w:t>ول</w:t>
      </w:r>
      <w:r w:rsidRPr="00600D1A">
        <w:rPr>
          <w:rtl/>
          <w:lang w:eastAsia="fr-FR" w:bidi="ar-MA"/>
        </w:rPr>
        <w:t xml:space="preserve">لاختراع ميزة واحدة أو أكثر تساهم في الحصول على أثر تقني </w:t>
      </w:r>
      <w:r>
        <w:rPr>
          <w:rFonts w:hint="cs"/>
          <w:rtl/>
          <w:lang w:eastAsia="fr-FR" w:bidi="ar-MA"/>
        </w:rPr>
        <w:t>يوفر النهج الجديد</w:t>
      </w:r>
      <w:r w:rsidRPr="00600D1A">
        <w:rPr>
          <w:rtl/>
          <w:lang w:eastAsia="fr-FR" w:bidi="ar-MA"/>
        </w:rPr>
        <w:t xml:space="preserve"> لإنجاز </w:t>
      </w:r>
      <w:r>
        <w:rPr>
          <w:rFonts w:hint="cs"/>
          <w:rtl/>
          <w:lang w:eastAsia="fr-FR" w:bidi="ar-MA"/>
        </w:rPr>
        <w:t>ال</w:t>
      </w:r>
      <w:r w:rsidRPr="00600D1A">
        <w:rPr>
          <w:rtl/>
          <w:lang w:eastAsia="fr-FR" w:bidi="ar-MA"/>
        </w:rPr>
        <w:t xml:space="preserve">عمل ما أو </w:t>
      </w:r>
      <w:r>
        <w:rPr>
          <w:rFonts w:hint="cs"/>
          <w:rtl/>
          <w:lang w:eastAsia="fr-FR" w:bidi="ar-MA"/>
        </w:rPr>
        <w:t>ال</w:t>
      </w:r>
      <w:r w:rsidRPr="00600D1A">
        <w:rPr>
          <w:rtl/>
          <w:lang w:eastAsia="fr-FR" w:bidi="ar-MA"/>
        </w:rPr>
        <w:t xml:space="preserve">حل </w:t>
      </w:r>
      <w:r>
        <w:rPr>
          <w:rFonts w:hint="cs"/>
          <w:rtl/>
          <w:lang w:eastAsia="fr-FR" w:bidi="ar-MA"/>
        </w:rPr>
        <w:t>ال</w:t>
      </w:r>
      <w:r w:rsidRPr="00600D1A">
        <w:rPr>
          <w:rtl/>
          <w:lang w:eastAsia="fr-FR" w:bidi="ar-MA"/>
        </w:rPr>
        <w:t xml:space="preserve">تقني </w:t>
      </w:r>
      <w:r>
        <w:rPr>
          <w:rFonts w:hint="cs"/>
          <w:rtl/>
          <w:lang w:eastAsia="fr-FR" w:bidi="ar-MA"/>
        </w:rPr>
        <w:t>ل</w:t>
      </w:r>
      <w:r w:rsidRPr="00600D1A">
        <w:rPr>
          <w:rtl/>
          <w:lang w:eastAsia="fr-FR" w:bidi="ar-MA"/>
        </w:rPr>
        <w:t>لمشكلة.</w:t>
      </w:r>
    </w:p>
    <w:p w:rsidR="004C4D1B" w:rsidRDefault="004C4D1B" w:rsidP="004C4D1B">
      <w:pPr>
        <w:pStyle w:val="BodyText"/>
        <w:rPr>
          <w:rtl/>
          <w:lang w:eastAsia="fr-FR"/>
        </w:rPr>
      </w:pPr>
      <w:r w:rsidRPr="004C4D1B">
        <w:rPr>
          <w:rFonts w:hint="cs"/>
          <w:b/>
          <w:bCs/>
          <w:rtl/>
          <w:lang w:eastAsia="fr-FR"/>
        </w:rPr>
        <w:t>الاختراع المحمي ب</w:t>
      </w:r>
      <w:r w:rsidR="000E5418">
        <w:rPr>
          <w:rFonts w:hint="cs"/>
          <w:b/>
          <w:bCs/>
          <w:rtl/>
          <w:lang w:eastAsia="fr-FR"/>
        </w:rPr>
        <w:t xml:space="preserve">موجب </w:t>
      </w:r>
      <w:r w:rsidRPr="004C4D1B">
        <w:rPr>
          <w:rFonts w:hint="cs"/>
          <w:b/>
          <w:bCs/>
          <w:rtl/>
          <w:lang w:eastAsia="fr-FR"/>
        </w:rPr>
        <w:t>براءة</w:t>
      </w:r>
      <w:r>
        <w:rPr>
          <w:rFonts w:hint="cs"/>
          <w:rtl/>
          <w:lang w:eastAsia="fr-FR"/>
        </w:rPr>
        <w:t>: تمنح البراءة الحقوق في الاختراع المحمي بموجبها. وهذه الحقوق:</w:t>
      </w:r>
    </w:p>
    <w:p w:rsidR="004C4D1B" w:rsidRDefault="004C4D1B" w:rsidP="005775CA">
      <w:pPr>
        <w:pStyle w:val="ListParagraph"/>
        <w:numPr>
          <w:ilvl w:val="0"/>
          <w:numId w:val="2"/>
        </w:numPr>
        <w:suppressAutoHyphens/>
        <w:autoSpaceDN w:val="0"/>
        <w:ind w:left="782" w:hanging="357"/>
        <w:jc w:val="both"/>
        <w:textAlignment w:val="baseline"/>
        <w:rPr>
          <w:lang w:eastAsia="fr-FR"/>
        </w:rPr>
      </w:pPr>
      <w:r>
        <w:rPr>
          <w:rFonts w:hint="cs"/>
          <w:rtl/>
          <w:lang w:eastAsia="fr-FR"/>
        </w:rPr>
        <w:t>تحددها مطالبات البراءة؛</w:t>
      </w:r>
    </w:p>
    <w:p w:rsidR="004C4D1B" w:rsidRDefault="004C4D1B" w:rsidP="005775CA">
      <w:pPr>
        <w:pStyle w:val="ListParagraph"/>
        <w:numPr>
          <w:ilvl w:val="0"/>
          <w:numId w:val="2"/>
        </w:numPr>
        <w:suppressAutoHyphens/>
        <w:autoSpaceDN w:val="0"/>
        <w:ind w:left="782" w:hanging="357"/>
        <w:jc w:val="both"/>
        <w:textAlignment w:val="baseline"/>
        <w:rPr>
          <w:lang w:eastAsia="fr-FR"/>
        </w:rPr>
      </w:pPr>
      <w:r>
        <w:rPr>
          <w:rFonts w:hint="cs"/>
          <w:rtl/>
          <w:lang w:eastAsia="fr-FR"/>
        </w:rPr>
        <w:t>سارية في البلد الذي منح البراءة؛</w:t>
      </w:r>
    </w:p>
    <w:p w:rsidR="004C4D1B" w:rsidRDefault="004C4D1B" w:rsidP="005775CA">
      <w:pPr>
        <w:pStyle w:val="ListParagraph"/>
        <w:numPr>
          <w:ilvl w:val="0"/>
          <w:numId w:val="2"/>
        </w:numPr>
        <w:suppressAutoHyphens/>
        <w:autoSpaceDN w:val="0"/>
        <w:ind w:left="782" w:hanging="357"/>
        <w:jc w:val="both"/>
        <w:textAlignment w:val="baseline"/>
        <w:rPr>
          <w:lang w:eastAsia="fr-FR"/>
        </w:rPr>
      </w:pPr>
      <w:r>
        <w:rPr>
          <w:rFonts w:hint="cs"/>
          <w:rtl/>
          <w:lang w:eastAsia="fr-FR"/>
        </w:rPr>
        <w:t>نافذة لفترة محدودة من الزمن.</w:t>
      </w:r>
    </w:p>
    <w:p w:rsidR="004C4D1B" w:rsidRDefault="004C4D1B" w:rsidP="000E5418">
      <w:pPr>
        <w:suppressAutoHyphens/>
        <w:autoSpaceDN w:val="0"/>
        <w:jc w:val="both"/>
        <w:textAlignment w:val="baseline"/>
        <w:rPr>
          <w:rtl/>
          <w:lang w:eastAsia="fr-FR"/>
        </w:rPr>
      </w:pPr>
      <w:r>
        <w:rPr>
          <w:rFonts w:hint="cs"/>
          <w:rtl/>
          <w:lang w:eastAsia="fr-FR"/>
        </w:rPr>
        <w:t xml:space="preserve">وتمنح البراءة لصاحبها الحق في إيقاف الآخرين أو منعهم من </w:t>
      </w:r>
      <w:r w:rsidR="000E5418">
        <w:rPr>
          <w:rFonts w:hint="cs"/>
          <w:rtl/>
          <w:lang w:eastAsia="fr-FR"/>
        </w:rPr>
        <w:t>استخدام</w:t>
      </w:r>
      <w:r>
        <w:rPr>
          <w:rFonts w:hint="cs"/>
          <w:rtl/>
          <w:lang w:eastAsia="fr-FR"/>
        </w:rPr>
        <w:t xml:space="preserve"> الاختراع المحمي ب</w:t>
      </w:r>
      <w:r w:rsidR="000E5418">
        <w:rPr>
          <w:rFonts w:hint="cs"/>
          <w:rtl/>
          <w:lang w:eastAsia="fr-FR"/>
        </w:rPr>
        <w:t xml:space="preserve">موجب </w:t>
      </w:r>
      <w:r>
        <w:rPr>
          <w:rFonts w:hint="cs"/>
          <w:rtl/>
          <w:lang w:eastAsia="fr-FR"/>
        </w:rPr>
        <w:t>براءة دون موافقته في البلد الذي مُنحت فيه البراءة، في أي وقت كان ما دامت البراءة نافذة.</w:t>
      </w:r>
    </w:p>
    <w:p w:rsidR="000E5418" w:rsidRDefault="000E5418" w:rsidP="004C4D1B">
      <w:pPr>
        <w:suppressAutoHyphens/>
        <w:autoSpaceDN w:val="0"/>
        <w:spacing w:before="200"/>
        <w:jc w:val="both"/>
        <w:textAlignment w:val="baseline"/>
        <w:rPr>
          <w:rtl/>
          <w:lang w:eastAsia="fr-FR"/>
        </w:rPr>
      </w:pPr>
      <w:r w:rsidRPr="00FA5281">
        <w:rPr>
          <w:rFonts w:hint="cs"/>
          <w:b/>
          <w:bCs/>
          <w:rtl/>
          <w:lang w:eastAsia="fr-FR"/>
        </w:rPr>
        <w:t>ويمكن حماية اختراع ب</w:t>
      </w:r>
      <w:r>
        <w:rPr>
          <w:rFonts w:hint="cs"/>
          <w:b/>
          <w:bCs/>
          <w:rtl/>
          <w:lang w:eastAsia="fr-FR"/>
        </w:rPr>
        <w:t xml:space="preserve">موجب </w:t>
      </w:r>
      <w:r w:rsidRPr="00FA5281">
        <w:rPr>
          <w:rFonts w:hint="cs"/>
          <w:b/>
          <w:bCs/>
          <w:rtl/>
          <w:lang w:eastAsia="fr-FR"/>
        </w:rPr>
        <w:t>براءات متعددة</w:t>
      </w:r>
      <w:r>
        <w:rPr>
          <w:rFonts w:hint="cs"/>
          <w:rtl/>
          <w:lang w:eastAsia="fr-FR"/>
        </w:rPr>
        <w:t>. على سبيل المثال، قد تحمي براءة سابقة ميزة واحدة من الاختراع، أو ميزات متعددة منه. ويمكن حماية اختراع بموجب براءات متعددة، بحيث يحمي كل منها ميزة مختلفة أو مجموعة من الميزات التي يحتويها الموضوع.</w:t>
      </w:r>
    </w:p>
    <w:p w:rsidR="000E5418" w:rsidRDefault="000E5418" w:rsidP="000E5418">
      <w:pPr>
        <w:suppressAutoHyphens/>
        <w:autoSpaceDN w:val="0"/>
        <w:spacing w:before="200"/>
        <w:jc w:val="both"/>
        <w:textAlignment w:val="baseline"/>
        <w:rPr>
          <w:rtl/>
          <w:lang w:eastAsia="fr-FR"/>
        </w:rPr>
      </w:pPr>
      <w:r w:rsidRPr="00FA5281">
        <w:rPr>
          <w:rFonts w:hint="cs"/>
          <w:b/>
          <w:bCs/>
          <w:rtl/>
          <w:lang w:eastAsia="fr-FR"/>
        </w:rPr>
        <w:t>الاختراع المندرج ضمن الملك العام</w:t>
      </w:r>
      <w:r>
        <w:rPr>
          <w:rFonts w:hint="cs"/>
          <w:rtl/>
          <w:lang w:eastAsia="fr-FR"/>
        </w:rPr>
        <w:t>: الاختراع المندرج ضمن الملك العام هو:</w:t>
      </w:r>
    </w:p>
    <w:p w:rsidR="000E5418" w:rsidRPr="000E5418" w:rsidRDefault="000E5418" w:rsidP="005775CA">
      <w:pPr>
        <w:pStyle w:val="ListBullet"/>
        <w:numPr>
          <w:ilvl w:val="0"/>
          <w:numId w:val="13"/>
        </w:numPr>
        <w:spacing w:before="0"/>
        <w:ind w:left="714" w:hanging="357"/>
      </w:pPr>
      <w:r w:rsidRPr="000E5418">
        <w:rPr>
          <w:rFonts w:hint="cs"/>
          <w:rtl/>
        </w:rPr>
        <w:t>اختراع مكشوف عنه للجمهور؛</w:t>
      </w:r>
    </w:p>
    <w:p w:rsidR="000E5418" w:rsidRPr="000E5418" w:rsidRDefault="000E5418" w:rsidP="005775CA">
      <w:pPr>
        <w:pStyle w:val="ListBullet"/>
        <w:numPr>
          <w:ilvl w:val="0"/>
          <w:numId w:val="13"/>
        </w:numPr>
        <w:spacing w:before="0"/>
        <w:ind w:left="714" w:hanging="357"/>
        <w:rPr>
          <w:rtl/>
        </w:rPr>
      </w:pPr>
      <w:r w:rsidRPr="000E5418">
        <w:rPr>
          <w:rFonts w:hint="cs"/>
          <w:rtl/>
        </w:rPr>
        <w:t>لا تغطيه أي حقوق براءات نافذة؛</w:t>
      </w:r>
    </w:p>
    <w:p w:rsidR="000E5418" w:rsidRPr="000E5418" w:rsidRDefault="000E5418" w:rsidP="000E5418">
      <w:pPr>
        <w:pStyle w:val="BodyText"/>
        <w:spacing w:before="0"/>
        <w:rPr>
          <w:rFonts w:eastAsia="MS Mincho"/>
          <w:rtl/>
        </w:rPr>
      </w:pPr>
      <w:r>
        <w:rPr>
          <w:rFonts w:hint="cs"/>
          <w:rtl/>
          <w:lang w:eastAsia="fr-FR"/>
        </w:rPr>
        <w:t xml:space="preserve">ويمكن أن </w:t>
      </w:r>
      <w:r w:rsidRPr="000E5418">
        <w:rPr>
          <w:rFonts w:eastAsia="MS Mincho"/>
          <w:rtl/>
        </w:rPr>
        <w:t>لأي شخص</w:t>
      </w:r>
      <w:r w:rsidRPr="00600D1A">
        <w:rPr>
          <w:rtl/>
        </w:rPr>
        <w:t xml:space="preserve"> </w:t>
      </w:r>
      <w:r w:rsidRPr="000E5418">
        <w:rPr>
          <w:rFonts w:eastAsia="MS Mincho"/>
          <w:rtl/>
        </w:rPr>
        <w:t>استخدام هذا الاختراع بحرية في بلد معين وفي وقت محدد، دون الوقوع عرضة للتعدي على البراءة</w:t>
      </w:r>
      <w:r w:rsidRPr="000E5418">
        <w:rPr>
          <w:rFonts w:eastAsia="MS Mincho" w:hint="cs"/>
          <w:rtl/>
        </w:rPr>
        <w:t>.</w:t>
      </w:r>
    </w:p>
    <w:p w:rsidR="000E5418" w:rsidRDefault="000E5418" w:rsidP="00E56077">
      <w:pPr>
        <w:suppressAutoHyphens/>
        <w:autoSpaceDN w:val="0"/>
        <w:jc w:val="both"/>
        <w:textAlignment w:val="baseline"/>
        <w:rPr>
          <w:rtl/>
          <w:lang w:eastAsia="fr-FR" w:bidi="ar-EG"/>
        </w:rPr>
      </w:pPr>
    </w:p>
    <w:p w:rsidR="000E5418" w:rsidRPr="000E5418" w:rsidRDefault="000E5418" w:rsidP="000E5418">
      <w:pPr>
        <w:pStyle w:val="BodyText"/>
        <w:rPr>
          <w:rFonts w:eastAsia="MS Mincho"/>
          <w:rtl/>
          <w:lang w:bidi="ar-SA"/>
        </w:rPr>
      </w:pPr>
      <w:r w:rsidRPr="00EE5007">
        <w:rPr>
          <w:rFonts w:eastAsia="MS Mincho" w:hint="cs"/>
          <w:b/>
          <w:bCs/>
          <w:rtl/>
        </w:rPr>
        <w:t>وبما أنه يمكن حماية اختراع ب</w:t>
      </w:r>
      <w:r>
        <w:rPr>
          <w:rFonts w:eastAsia="MS Mincho" w:hint="cs"/>
          <w:b/>
          <w:bCs/>
          <w:rtl/>
        </w:rPr>
        <w:t xml:space="preserve">موجب </w:t>
      </w:r>
      <w:r w:rsidRPr="00EE5007">
        <w:rPr>
          <w:rFonts w:eastAsia="MS Mincho" w:hint="cs"/>
          <w:b/>
          <w:bCs/>
          <w:rtl/>
        </w:rPr>
        <w:t>براءات متعددة</w:t>
      </w:r>
      <w:r>
        <w:rPr>
          <w:rFonts w:eastAsia="MS Mincho" w:hint="cs"/>
          <w:rtl/>
        </w:rPr>
        <w:t xml:space="preserve">، فإن تحديد ما إذا كان اختراع مندرجاً ضمن الملك العام، </w:t>
      </w:r>
      <w:r w:rsidRPr="00600D1A">
        <w:rPr>
          <w:rFonts w:eastAsia="MS Mincho"/>
          <w:rtl/>
        </w:rPr>
        <w:t xml:space="preserve">في بلد معين أثناء إطار زمني محدد، يتطلب البحث في وثائق البراءات المنشورة وتحليلها لمعرفة ما إذا كانت هناك </w:t>
      </w:r>
      <w:r w:rsidRPr="000E5418">
        <w:rPr>
          <w:rFonts w:eastAsia="MS Mincho"/>
          <w:i/>
          <w:iCs/>
          <w:rtl/>
        </w:rPr>
        <w:t>أي</w:t>
      </w:r>
      <w:r w:rsidRPr="00600D1A">
        <w:rPr>
          <w:rFonts w:eastAsia="MS Mincho"/>
          <w:rtl/>
        </w:rPr>
        <w:t xml:space="preserve"> براءات نافذة تحتوي على مطالبات قد تحمي الاختراع ككل، أو تحمي ميزة من ميزاته.</w:t>
      </w:r>
    </w:p>
    <w:p w:rsidR="00E56077" w:rsidRDefault="00E56077" w:rsidP="000E5418">
      <w:pPr>
        <w:pStyle w:val="BodyText"/>
        <w:rPr>
          <w:rtl/>
          <w:lang w:eastAsia="fr-FR" w:bidi="ar-MA"/>
        </w:rPr>
      </w:pPr>
      <w:r w:rsidRPr="00600D1A">
        <w:rPr>
          <w:rtl/>
          <w:lang w:eastAsia="fr-FR" w:bidi="ar-MA"/>
        </w:rPr>
        <w:t xml:space="preserve">وباستخدام هذا الإطار المفاهيمي، </w:t>
      </w:r>
      <w:r w:rsidR="00EE5007">
        <w:rPr>
          <w:rFonts w:hint="cs"/>
          <w:rtl/>
          <w:lang w:eastAsia="fr-FR" w:bidi="ar-MA"/>
        </w:rPr>
        <w:t>يقد</w:t>
      </w:r>
      <w:r w:rsidR="000E5418">
        <w:rPr>
          <w:rFonts w:hint="cs"/>
          <w:rtl/>
          <w:lang w:eastAsia="fr-FR" w:bidi="ar-MA"/>
        </w:rPr>
        <w:t>ّ</w:t>
      </w:r>
      <w:r w:rsidR="00EE5007">
        <w:rPr>
          <w:rFonts w:hint="cs"/>
          <w:rtl/>
          <w:lang w:eastAsia="fr-FR" w:bidi="ar-MA"/>
        </w:rPr>
        <w:t>م</w:t>
      </w:r>
      <w:r w:rsidRPr="00600D1A">
        <w:rPr>
          <w:rtl/>
          <w:lang w:eastAsia="fr-FR" w:bidi="ar-MA"/>
        </w:rPr>
        <w:t xml:space="preserve"> الدليل عملية من ثلاث مراحل </w:t>
      </w:r>
      <w:r w:rsidR="00EE5007">
        <w:rPr>
          <w:rFonts w:hint="cs"/>
          <w:rtl/>
          <w:lang w:eastAsia="fr-FR" w:bidi="ar-MA"/>
        </w:rPr>
        <w:t>ل</w:t>
      </w:r>
      <w:r w:rsidRPr="00600D1A">
        <w:rPr>
          <w:rtl/>
          <w:lang w:eastAsia="fr-FR" w:bidi="ar-MA"/>
        </w:rPr>
        <w:t xml:space="preserve">لبحث في وثائق البراءات المنشورة وتحليلها </w:t>
      </w:r>
      <w:r w:rsidR="00EE5007">
        <w:rPr>
          <w:rFonts w:hint="cs"/>
          <w:rtl/>
          <w:lang w:eastAsia="fr-FR" w:bidi="ar-MA"/>
        </w:rPr>
        <w:t xml:space="preserve">باستخدام </w:t>
      </w:r>
      <w:r w:rsidRPr="00520788">
        <w:rPr>
          <w:rtl/>
          <w:lang w:eastAsia="fr-FR" w:bidi="ar-MA"/>
        </w:rPr>
        <w:t>أدوات تحدد حرية التصرف.</w:t>
      </w:r>
      <w:r w:rsidRPr="00600D1A">
        <w:rPr>
          <w:rtl/>
          <w:lang w:eastAsia="fr-FR" w:bidi="ar-MA"/>
        </w:rPr>
        <w:t xml:space="preserve"> </w:t>
      </w:r>
    </w:p>
    <w:p w:rsidR="000E5418" w:rsidRPr="00600D1A" w:rsidRDefault="000E5418" w:rsidP="000E5418">
      <w:pPr>
        <w:pStyle w:val="Heading3"/>
        <w:rPr>
          <w:rFonts w:ascii="Calibri" w:eastAsia="Calibri" w:hAnsi="Calibri" w:cs="Arial"/>
          <w:sz w:val="22"/>
          <w:szCs w:val="22"/>
          <w:lang w:val="fr-FR"/>
        </w:rPr>
      </w:pPr>
      <w:r w:rsidRPr="00600D1A">
        <w:rPr>
          <w:rFonts w:eastAsia="MS Mincho"/>
          <w:b/>
          <w:bCs/>
          <w:rtl/>
          <w:lang w:val="fr-FR" w:bidi="ar-MA"/>
        </w:rPr>
        <w:t>الوصف</w:t>
      </w:r>
      <w:r>
        <w:rPr>
          <w:rFonts w:eastAsia="MS Mincho" w:hint="cs"/>
          <w:b/>
          <w:bCs/>
          <w:rtl/>
          <w:lang w:val="fr-FR" w:bidi="ar-MA"/>
        </w:rPr>
        <w:t xml:space="preserve"> </w:t>
      </w:r>
      <w:r w:rsidRPr="00EE5007">
        <w:rPr>
          <w:rFonts w:eastAsia="MS Mincho" w:hint="cs"/>
          <w:rtl/>
          <w:lang w:val="fr-FR" w:bidi="ar-MA"/>
        </w:rPr>
        <w:t>(الوحدة الثانية)</w:t>
      </w:r>
    </w:p>
    <w:p w:rsidR="000E5418" w:rsidRPr="00EE5007" w:rsidRDefault="000E5418" w:rsidP="005775CA">
      <w:pPr>
        <w:pStyle w:val="ListBullet"/>
        <w:numPr>
          <w:ilvl w:val="0"/>
          <w:numId w:val="14"/>
        </w:numPr>
        <w:spacing w:before="0"/>
        <w:ind w:hanging="357"/>
        <w:rPr>
          <w:rFonts w:ascii="Calibri" w:eastAsia="Calibri" w:hAnsi="Calibri" w:cs="Arial"/>
          <w:sz w:val="22"/>
          <w:szCs w:val="22"/>
          <w:lang w:val="fr-FR"/>
        </w:rPr>
      </w:pPr>
      <w:r w:rsidRPr="00EE5007">
        <w:rPr>
          <w:rFonts w:eastAsia="MS Mincho"/>
          <w:rtl/>
        </w:rPr>
        <w:t>جمع المعلومات حول الاختراع:</w:t>
      </w:r>
    </w:p>
    <w:p w:rsidR="000E5418" w:rsidRPr="00600D1A" w:rsidRDefault="000E5418" w:rsidP="005775CA">
      <w:pPr>
        <w:pStyle w:val="ListBullet"/>
        <w:numPr>
          <w:ilvl w:val="0"/>
          <w:numId w:val="15"/>
        </w:numPr>
        <w:spacing w:before="0"/>
        <w:ind w:hanging="357"/>
        <w:rPr>
          <w:rFonts w:ascii="Calibri" w:eastAsia="Calibri" w:hAnsi="Calibri" w:cs="Arial"/>
          <w:sz w:val="22"/>
          <w:szCs w:val="22"/>
          <w:lang w:val="fr-FR"/>
        </w:rPr>
      </w:pPr>
      <w:r w:rsidRPr="00600D1A">
        <w:rPr>
          <w:rFonts w:eastAsia="MS Mincho"/>
          <w:rtl/>
        </w:rPr>
        <w:t xml:space="preserve">ما هي طبيعة الاختراع وماذا يخطط </w:t>
      </w:r>
      <w:r>
        <w:rPr>
          <w:rFonts w:eastAsia="MS Mincho" w:hint="cs"/>
          <w:rtl/>
        </w:rPr>
        <w:t>المخترع</w:t>
      </w:r>
      <w:r w:rsidRPr="00600D1A">
        <w:rPr>
          <w:rFonts w:eastAsia="MS Mincho"/>
          <w:rtl/>
        </w:rPr>
        <w:t xml:space="preserve"> أن يفعل به؟</w:t>
      </w:r>
    </w:p>
    <w:p w:rsidR="000E5418" w:rsidRPr="00600D1A" w:rsidRDefault="000E5418" w:rsidP="005775CA">
      <w:pPr>
        <w:pStyle w:val="ListBullet"/>
        <w:numPr>
          <w:ilvl w:val="0"/>
          <w:numId w:val="15"/>
        </w:numPr>
        <w:spacing w:before="0"/>
        <w:ind w:hanging="357"/>
        <w:rPr>
          <w:rFonts w:ascii="Calibri" w:eastAsia="Calibri" w:hAnsi="Calibri" w:cs="Arial"/>
          <w:sz w:val="22"/>
          <w:szCs w:val="22"/>
          <w:lang w:val="fr-FR"/>
        </w:rPr>
      </w:pPr>
      <w:r>
        <w:rPr>
          <w:rFonts w:eastAsia="MS Mincho" w:hint="cs"/>
          <w:rtl/>
        </w:rPr>
        <w:t>أين</w:t>
      </w:r>
      <w:r w:rsidRPr="00600D1A">
        <w:rPr>
          <w:rFonts w:eastAsia="MS Mincho"/>
          <w:rtl/>
        </w:rPr>
        <w:t xml:space="preserve"> يخطط </w:t>
      </w:r>
      <w:r>
        <w:rPr>
          <w:rFonts w:eastAsia="MS Mincho" w:hint="cs"/>
          <w:rtl/>
        </w:rPr>
        <w:t>المخترع</w:t>
      </w:r>
      <w:r w:rsidRPr="00600D1A">
        <w:rPr>
          <w:rFonts w:eastAsia="MS Mincho"/>
          <w:rtl/>
        </w:rPr>
        <w:t xml:space="preserve"> </w:t>
      </w:r>
      <w:r>
        <w:rPr>
          <w:rFonts w:eastAsia="MS Mincho" w:hint="cs"/>
          <w:rtl/>
        </w:rPr>
        <w:t>استخدام</w:t>
      </w:r>
      <w:r w:rsidRPr="00600D1A">
        <w:rPr>
          <w:rFonts w:eastAsia="MS Mincho"/>
          <w:rtl/>
        </w:rPr>
        <w:t xml:space="preserve"> الاختراع؟</w:t>
      </w:r>
    </w:p>
    <w:p w:rsidR="000E5418" w:rsidRPr="00600D1A" w:rsidRDefault="000E5418" w:rsidP="005775CA">
      <w:pPr>
        <w:pStyle w:val="ListBullet"/>
        <w:numPr>
          <w:ilvl w:val="0"/>
          <w:numId w:val="15"/>
        </w:numPr>
        <w:spacing w:before="0"/>
        <w:ind w:hanging="357"/>
        <w:rPr>
          <w:rFonts w:ascii="Calibri" w:eastAsia="Calibri" w:hAnsi="Calibri" w:cs="Arial"/>
          <w:sz w:val="22"/>
          <w:szCs w:val="22"/>
          <w:lang w:val="fr-FR"/>
        </w:rPr>
      </w:pPr>
      <w:r w:rsidRPr="00600D1A">
        <w:rPr>
          <w:rFonts w:eastAsia="MS Mincho"/>
          <w:rtl/>
        </w:rPr>
        <w:t xml:space="preserve">متى يخطط </w:t>
      </w:r>
      <w:r>
        <w:rPr>
          <w:rFonts w:eastAsia="MS Mincho" w:hint="cs"/>
          <w:rtl/>
        </w:rPr>
        <w:t>المخترع</w:t>
      </w:r>
      <w:r w:rsidRPr="00600D1A">
        <w:rPr>
          <w:rFonts w:eastAsia="MS Mincho"/>
          <w:rtl/>
        </w:rPr>
        <w:t xml:space="preserve"> </w:t>
      </w:r>
      <w:r>
        <w:rPr>
          <w:rFonts w:eastAsia="MS Mincho" w:hint="cs"/>
          <w:rtl/>
        </w:rPr>
        <w:t>استخدام</w:t>
      </w:r>
      <w:r w:rsidRPr="00600D1A">
        <w:rPr>
          <w:rFonts w:eastAsia="MS Mincho"/>
          <w:rtl/>
        </w:rPr>
        <w:t xml:space="preserve"> الاختراع؟</w:t>
      </w:r>
    </w:p>
    <w:p w:rsidR="000E5418" w:rsidRPr="000E5418" w:rsidRDefault="000E5418" w:rsidP="005775CA">
      <w:pPr>
        <w:pStyle w:val="ListBullet"/>
        <w:numPr>
          <w:ilvl w:val="0"/>
          <w:numId w:val="14"/>
        </w:numPr>
        <w:spacing w:before="0"/>
        <w:ind w:hanging="357"/>
        <w:rPr>
          <w:rFonts w:ascii="Calibri" w:eastAsia="Calibri" w:hAnsi="Calibri" w:cs="Arial"/>
          <w:sz w:val="22"/>
          <w:szCs w:val="22"/>
          <w:lang w:val="fr-FR"/>
        </w:rPr>
      </w:pPr>
      <w:r w:rsidRPr="00C63D2E">
        <w:rPr>
          <w:rFonts w:eastAsia="MS Mincho"/>
          <w:rtl/>
        </w:rPr>
        <w:t xml:space="preserve">وصف الاختراع </w:t>
      </w:r>
      <w:r w:rsidRPr="00C63D2E">
        <w:rPr>
          <w:rFonts w:eastAsia="MS Mincho" w:hint="cs"/>
          <w:rtl/>
        </w:rPr>
        <w:t>و</w:t>
      </w:r>
      <w:r w:rsidRPr="00C63D2E">
        <w:rPr>
          <w:rFonts w:eastAsia="MS Mincho"/>
          <w:rtl/>
        </w:rPr>
        <w:t>استخدامه</w:t>
      </w:r>
      <w:r w:rsidRPr="00C63D2E">
        <w:rPr>
          <w:rFonts w:eastAsia="MS Mincho" w:hint="cs"/>
          <w:rtl/>
        </w:rPr>
        <w:t xml:space="preserve"> المخطط له</w:t>
      </w:r>
      <w:r w:rsidRPr="00C63D2E">
        <w:rPr>
          <w:rFonts w:eastAsia="MS Mincho"/>
          <w:rtl/>
        </w:rPr>
        <w:t>.</w:t>
      </w:r>
    </w:p>
    <w:p w:rsidR="000E5418" w:rsidRPr="00EE5007" w:rsidRDefault="000E5418" w:rsidP="000E5418">
      <w:pPr>
        <w:pStyle w:val="Heading3"/>
        <w:rPr>
          <w:rFonts w:ascii="Calibri" w:eastAsia="Calibri" w:hAnsi="Calibri" w:cs="Arial"/>
          <w:sz w:val="22"/>
          <w:szCs w:val="22"/>
          <w:lang w:val="fr-FR"/>
        </w:rPr>
      </w:pPr>
      <w:r w:rsidRPr="00600D1A">
        <w:rPr>
          <w:rFonts w:eastAsia="MS Mincho"/>
          <w:b/>
          <w:bCs/>
          <w:rtl/>
        </w:rPr>
        <w:t xml:space="preserve">البحث </w:t>
      </w:r>
      <w:r w:rsidRPr="00EE5007">
        <w:rPr>
          <w:rFonts w:eastAsia="MS Mincho"/>
          <w:rtl/>
        </w:rPr>
        <w:t xml:space="preserve">(الوحدة </w:t>
      </w:r>
      <w:r w:rsidRPr="00EE5007">
        <w:rPr>
          <w:rFonts w:eastAsia="MS Mincho" w:hint="cs"/>
          <w:rtl/>
        </w:rPr>
        <w:t>الثالثة)</w:t>
      </w:r>
    </w:p>
    <w:p w:rsidR="000E5418" w:rsidRPr="00600D1A" w:rsidRDefault="000E5418" w:rsidP="005775CA">
      <w:pPr>
        <w:pStyle w:val="ListBullet"/>
        <w:numPr>
          <w:ilvl w:val="0"/>
          <w:numId w:val="16"/>
        </w:numPr>
        <w:spacing w:before="0"/>
        <w:ind w:left="714" w:hanging="357"/>
        <w:rPr>
          <w:rFonts w:ascii="Calibri" w:eastAsia="Calibri" w:hAnsi="Calibri" w:cs="Arial"/>
          <w:sz w:val="22"/>
          <w:szCs w:val="22"/>
          <w:lang w:val="fr-FR"/>
        </w:rPr>
      </w:pPr>
      <w:r w:rsidRPr="00600D1A">
        <w:rPr>
          <w:rFonts w:eastAsia="MS Mincho"/>
          <w:rtl/>
        </w:rPr>
        <w:t>تفكيك الاختراع إلى أجزاء وتحديد الميزات التي سيُبحث فيها.</w:t>
      </w:r>
    </w:p>
    <w:p w:rsidR="000E5418" w:rsidRPr="00600D1A" w:rsidRDefault="000E5418" w:rsidP="005775CA">
      <w:pPr>
        <w:pStyle w:val="ListBullet"/>
        <w:numPr>
          <w:ilvl w:val="0"/>
          <w:numId w:val="16"/>
        </w:numPr>
        <w:spacing w:before="0"/>
        <w:ind w:left="714" w:hanging="357"/>
        <w:rPr>
          <w:rFonts w:ascii="Calibri" w:eastAsia="Calibri" w:hAnsi="Calibri" w:cs="Arial"/>
          <w:sz w:val="22"/>
          <w:szCs w:val="22"/>
          <w:lang w:val="fr-FR"/>
        </w:rPr>
      </w:pPr>
      <w:r w:rsidRPr="000E5418">
        <w:rPr>
          <w:rFonts w:eastAsia="MS Mincho"/>
          <w:rtl/>
        </w:rPr>
        <w:t>تحديد معام</w:t>
      </w:r>
      <w:r w:rsidRPr="000E5418">
        <w:rPr>
          <w:rFonts w:eastAsia="MS Mincho" w:hint="cs"/>
          <w:rtl/>
        </w:rPr>
        <w:t>ِ</w:t>
      </w:r>
      <w:r w:rsidRPr="000E5418">
        <w:rPr>
          <w:rFonts w:eastAsia="MS Mincho"/>
          <w:rtl/>
        </w:rPr>
        <w:t xml:space="preserve">لات </w:t>
      </w:r>
      <w:r w:rsidRPr="00600D1A">
        <w:rPr>
          <w:rFonts w:eastAsia="MS Mincho"/>
          <w:rtl/>
        </w:rPr>
        <w:t>البحث</w:t>
      </w:r>
      <w:r w:rsidRPr="000E5418">
        <w:rPr>
          <w:rFonts w:eastAsia="MS Mincho"/>
          <w:rtl/>
        </w:rPr>
        <w:t xml:space="preserve"> وموارد</w:t>
      </w:r>
      <w:r>
        <w:rPr>
          <w:rFonts w:eastAsia="MS Mincho" w:hint="cs"/>
          <w:rtl/>
        </w:rPr>
        <w:t>ه</w:t>
      </w:r>
      <w:r w:rsidRPr="00600D1A">
        <w:rPr>
          <w:rFonts w:eastAsia="MS Mincho"/>
          <w:rtl/>
        </w:rPr>
        <w:t>: الكلمات الرئيسية؛ رموز تصنيف البراءات؛ قواعد البيانات؛ البلدان؛ السنة (السنوات)؛ اللغة (اللغات).</w:t>
      </w:r>
    </w:p>
    <w:p w:rsidR="000E5418" w:rsidRPr="000E5418" w:rsidRDefault="000E5418" w:rsidP="005775CA">
      <w:pPr>
        <w:pStyle w:val="ListBullet"/>
        <w:numPr>
          <w:ilvl w:val="0"/>
          <w:numId w:val="16"/>
        </w:numPr>
        <w:spacing w:before="0"/>
        <w:ind w:left="714" w:hanging="357"/>
        <w:rPr>
          <w:rFonts w:ascii="Calibri" w:eastAsia="Calibri" w:hAnsi="Calibri" w:cs="Arial"/>
          <w:sz w:val="22"/>
          <w:szCs w:val="22"/>
          <w:lang w:val="fr-FR"/>
        </w:rPr>
      </w:pPr>
      <w:r w:rsidRPr="00600D1A">
        <w:rPr>
          <w:rFonts w:eastAsia="MS Mincho"/>
          <w:rtl/>
        </w:rPr>
        <w:t>البحث عن وثائق البراءات التي تضم مطالبات قد تغطي الاختراع أو إحدى ميزاته الأساسية، وتحديد الوثائق التي قد تكون ذات صلة من أجل تحليلها</w:t>
      </w:r>
      <w:r>
        <w:rPr>
          <w:rFonts w:eastAsia="MS Mincho" w:hint="cs"/>
          <w:rtl/>
        </w:rPr>
        <w:t>.</w:t>
      </w:r>
    </w:p>
    <w:p w:rsidR="000E5418" w:rsidRPr="00600D1A" w:rsidRDefault="000E5418" w:rsidP="000E5418">
      <w:pPr>
        <w:pStyle w:val="Heading3"/>
        <w:rPr>
          <w:rFonts w:ascii="Calibri" w:eastAsia="Calibri" w:hAnsi="Calibri" w:cs="Arial"/>
          <w:sz w:val="22"/>
          <w:szCs w:val="22"/>
          <w:lang w:val="fr-FR"/>
        </w:rPr>
      </w:pPr>
      <w:r w:rsidRPr="00600D1A">
        <w:rPr>
          <w:rFonts w:eastAsia="MS Mincho"/>
          <w:b/>
          <w:bCs/>
          <w:rtl/>
        </w:rPr>
        <w:t>التحليل</w:t>
      </w:r>
      <w:r>
        <w:rPr>
          <w:rFonts w:eastAsia="MS Mincho" w:hint="cs"/>
          <w:b/>
          <w:bCs/>
          <w:rtl/>
        </w:rPr>
        <w:t xml:space="preserve"> </w:t>
      </w:r>
      <w:r w:rsidRPr="00C63D2E">
        <w:rPr>
          <w:rFonts w:eastAsia="MS Mincho"/>
          <w:rtl/>
        </w:rPr>
        <w:t xml:space="preserve">(الوحدة </w:t>
      </w:r>
      <w:r w:rsidRPr="00C63D2E">
        <w:rPr>
          <w:rFonts w:eastAsia="MS Mincho" w:hint="cs"/>
          <w:rtl/>
        </w:rPr>
        <w:t>الرابعة)</w:t>
      </w:r>
    </w:p>
    <w:p w:rsidR="000E5418" w:rsidRPr="00600D1A" w:rsidRDefault="000E5418" w:rsidP="005775CA">
      <w:pPr>
        <w:pStyle w:val="ListBullet"/>
        <w:numPr>
          <w:ilvl w:val="0"/>
          <w:numId w:val="17"/>
        </w:numPr>
        <w:spacing w:before="0"/>
        <w:ind w:hanging="357"/>
        <w:rPr>
          <w:rFonts w:ascii="Calibri" w:eastAsia="Calibri" w:hAnsi="Calibri" w:cs="Arial"/>
          <w:sz w:val="22"/>
          <w:szCs w:val="22"/>
          <w:lang w:val="fr-FR"/>
        </w:rPr>
      </w:pPr>
      <w:r w:rsidRPr="00600D1A">
        <w:rPr>
          <w:rFonts w:eastAsia="MS Mincho"/>
          <w:rtl/>
        </w:rPr>
        <w:t>تحليل كل وثيقة من وثائق البراءة التي قد تكون ذات صلة بالاختراع:</w:t>
      </w:r>
    </w:p>
    <w:p w:rsidR="000E5418" w:rsidRPr="000E5418" w:rsidRDefault="000E5418" w:rsidP="005775CA">
      <w:pPr>
        <w:pStyle w:val="ListBullet"/>
        <w:numPr>
          <w:ilvl w:val="0"/>
          <w:numId w:val="18"/>
        </w:numPr>
        <w:spacing w:before="0"/>
        <w:ind w:hanging="357"/>
        <w:rPr>
          <w:rFonts w:ascii="Calibri" w:eastAsia="Calibri" w:hAnsi="Calibri" w:cs="Arial"/>
          <w:sz w:val="22"/>
          <w:szCs w:val="22"/>
          <w:lang w:val="fr-FR"/>
        </w:rPr>
      </w:pPr>
      <w:r w:rsidRPr="00600D1A">
        <w:rPr>
          <w:rFonts w:eastAsia="MS Mincho"/>
          <w:rtl/>
        </w:rPr>
        <w:t>تحليل المطالبات لتحديد نطاق حقوق البراءات. هل يمكن تفسير المطالبة بطريقة يُفهم منها أنها تغطي الاختراع ككل أو إحدى ميزاته الأساسية؟</w:t>
      </w:r>
    </w:p>
    <w:p w:rsidR="000E5418" w:rsidRPr="008D2835" w:rsidRDefault="000E5418" w:rsidP="005775CA">
      <w:pPr>
        <w:pStyle w:val="ListBullet"/>
        <w:numPr>
          <w:ilvl w:val="0"/>
          <w:numId w:val="18"/>
        </w:numPr>
        <w:spacing w:before="0"/>
        <w:ind w:hanging="357"/>
        <w:rPr>
          <w:rFonts w:ascii="Calibri" w:eastAsia="Calibri" w:hAnsi="Calibri" w:cs="Arial"/>
          <w:sz w:val="22"/>
          <w:szCs w:val="22"/>
          <w:lang w:val="fr-FR"/>
        </w:rPr>
      </w:pPr>
      <w:r w:rsidRPr="000E5418">
        <w:rPr>
          <w:rFonts w:eastAsia="MS Mincho"/>
          <w:rtl/>
        </w:rPr>
        <w:t xml:space="preserve">تحديد الوضعية القانونية لكل براءة تم تحليلها. هل تزال نافذة؟ إذا كان الأمر كذلك، ففي أي مكان لا تزال نافذة وإلى متى؟ </w:t>
      </w:r>
      <w:r w:rsidR="008D2835">
        <w:rPr>
          <w:rFonts w:eastAsia="MS Mincho" w:hint="cs"/>
          <w:rtl/>
        </w:rPr>
        <w:t>و</w:t>
      </w:r>
      <w:r w:rsidRPr="000E5418">
        <w:rPr>
          <w:rFonts w:eastAsia="MS Mincho"/>
          <w:rtl/>
        </w:rPr>
        <w:t>إذا لم يكن الأمر كذلك، هل انتهت صلاحيتها أم تم التخلي عنها أو إبطالها أو التنازل عنها أو إلغاؤها؟ هل وضعها القانوني غامض أم غير محدد؟</w:t>
      </w:r>
    </w:p>
    <w:p w:rsidR="00DB70ED" w:rsidRPr="00C63D2E" w:rsidRDefault="00E56077" w:rsidP="00DB70ED">
      <w:pPr>
        <w:pStyle w:val="BodyText"/>
        <w:rPr>
          <w:lang w:eastAsia="fr-FR"/>
        </w:rPr>
      </w:pPr>
      <w:r w:rsidRPr="00600D1A">
        <w:rPr>
          <w:rtl/>
          <w:lang w:eastAsia="fr-FR"/>
        </w:rPr>
        <w:t xml:space="preserve">وتشمل النتائج التي يُحتمل </w:t>
      </w:r>
      <w:r>
        <w:rPr>
          <w:rFonts w:hint="cs"/>
          <w:rtl/>
          <w:lang w:eastAsia="fr-FR"/>
        </w:rPr>
        <w:t>استخلاصها</w:t>
      </w:r>
      <w:r w:rsidRPr="00600D1A">
        <w:rPr>
          <w:rtl/>
          <w:lang w:eastAsia="fr-FR"/>
        </w:rPr>
        <w:t xml:space="preserve"> من إجراء التحليل</w:t>
      </w:r>
      <w:r w:rsidRPr="00600D1A">
        <w:rPr>
          <w:rtl/>
        </w:rPr>
        <w:t xml:space="preserve"> </w:t>
      </w:r>
      <w:r w:rsidRPr="00600D1A">
        <w:rPr>
          <w:rtl/>
          <w:lang w:eastAsia="fr-FR"/>
        </w:rPr>
        <w:t xml:space="preserve">غير الرسمي الذي يحدد حرية التصرف باستخدام الأدوات </w:t>
      </w:r>
      <w:r w:rsidR="00C63D2E">
        <w:rPr>
          <w:rFonts w:hint="cs"/>
          <w:rtl/>
          <w:lang w:eastAsia="fr-FR"/>
        </w:rPr>
        <w:t>التي يقدمها</w:t>
      </w:r>
      <w:r w:rsidRPr="00600D1A">
        <w:rPr>
          <w:rtl/>
          <w:lang w:eastAsia="fr-FR"/>
        </w:rPr>
        <w:t xml:space="preserve"> الدليل ما يلي:</w:t>
      </w:r>
    </w:p>
    <w:p w:rsidR="00E56077" w:rsidRPr="00600D1A" w:rsidRDefault="00E56077" w:rsidP="005775CA">
      <w:pPr>
        <w:pStyle w:val="ListBullet"/>
        <w:numPr>
          <w:ilvl w:val="0"/>
          <w:numId w:val="19"/>
        </w:numPr>
        <w:spacing w:before="0"/>
        <w:ind w:left="714" w:hanging="357"/>
        <w:rPr>
          <w:rFonts w:ascii="Calibri" w:eastAsia="Calibri" w:hAnsi="Calibri" w:cs="Arial"/>
          <w:sz w:val="22"/>
          <w:szCs w:val="22"/>
          <w:lang w:val="fr-FR"/>
        </w:rPr>
      </w:pPr>
      <w:bookmarkStart w:id="9" w:name="_Hlk21801929"/>
      <w:r w:rsidRPr="00600D1A">
        <w:rPr>
          <w:rtl/>
          <w:lang w:eastAsia="fr-FR" w:bidi="ar-MA"/>
        </w:rPr>
        <w:t>وجود براءات سارية النفاذ تحتوي على مطالبات يمكن تفسيرها بطريقة يُفهم منها أنها تغطي الاختراع ككل أو إحدى ميزاته الأساسية، في بلد معين لمدة زمنية محددة</w:t>
      </w:r>
    </w:p>
    <w:bookmarkEnd w:id="9"/>
    <w:p w:rsidR="00E56077" w:rsidRPr="00600D1A" w:rsidRDefault="00E56077" w:rsidP="005775CA">
      <w:pPr>
        <w:pStyle w:val="ListBullet"/>
        <w:numPr>
          <w:ilvl w:val="0"/>
          <w:numId w:val="19"/>
        </w:numPr>
        <w:spacing w:before="0"/>
        <w:ind w:left="714" w:hanging="357"/>
        <w:rPr>
          <w:rFonts w:ascii="Calibri" w:eastAsia="Calibri" w:hAnsi="Calibri" w:cs="Arial"/>
          <w:sz w:val="22"/>
          <w:szCs w:val="22"/>
          <w:lang w:val="fr-FR"/>
        </w:rPr>
      </w:pPr>
      <w:r w:rsidRPr="00600D1A">
        <w:rPr>
          <w:rtl/>
          <w:lang w:eastAsia="fr-FR" w:bidi="ar-MA"/>
        </w:rPr>
        <w:t xml:space="preserve">عدم وجود براءات سارية النفاذ تحتوي على مطالبات يمكن تفسيرها بطريقة يُفهم منها أنها تغطي الاختراع ككل أو إحدى ميزاته الأساسية، في بلد معين لمدة زمنية محددة. </w:t>
      </w:r>
    </w:p>
    <w:p w:rsidR="000E5418" w:rsidRPr="000E5418" w:rsidRDefault="00DB70ED" w:rsidP="005775CA">
      <w:pPr>
        <w:pStyle w:val="ListBullet"/>
        <w:numPr>
          <w:ilvl w:val="0"/>
          <w:numId w:val="19"/>
        </w:numPr>
        <w:spacing w:before="0"/>
        <w:ind w:left="714" w:hanging="357"/>
        <w:rPr>
          <w:rFonts w:ascii="Calibri" w:eastAsia="Calibri" w:hAnsi="Calibri" w:cs="Arial"/>
          <w:sz w:val="22"/>
          <w:szCs w:val="22"/>
          <w:lang w:val="fr-FR"/>
        </w:rPr>
      </w:pPr>
      <w:r>
        <w:rPr>
          <w:rFonts w:hint="cs"/>
          <w:rtl/>
          <w:lang w:eastAsia="fr-FR" w:bidi="ar-MA"/>
        </w:rPr>
        <w:t>استحالة</w:t>
      </w:r>
      <w:r w:rsidR="00E56077" w:rsidRPr="00600D1A">
        <w:rPr>
          <w:rtl/>
          <w:lang w:eastAsia="fr-FR" w:bidi="ar-MA"/>
        </w:rPr>
        <w:t xml:space="preserve"> اتخاذ قرار نهائي بهذا الشأن.</w:t>
      </w:r>
    </w:p>
    <w:p w:rsidR="00C63D2E" w:rsidRPr="00C63D2E" w:rsidRDefault="00C63D2E" w:rsidP="00DB70ED">
      <w:pPr>
        <w:pStyle w:val="BodyText"/>
        <w:rPr>
          <w:rFonts w:eastAsia="Calibri"/>
          <w:rtl/>
          <w:lang w:val="fr-CH"/>
        </w:rPr>
      </w:pPr>
      <w:r>
        <w:rPr>
          <w:rFonts w:eastAsia="Calibri" w:hint="cs"/>
          <w:rtl/>
          <w:lang w:val="fr-FR"/>
        </w:rPr>
        <w:t>وت</w:t>
      </w:r>
      <w:r w:rsidRPr="00C63D2E">
        <w:rPr>
          <w:rFonts w:eastAsia="Calibri"/>
          <w:rtl/>
          <w:lang w:val="fr-FR"/>
        </w:rPr>
        <w:t xml:space="preserve">عرض الوحدة الخامسة الحدود والمخاطر المرتبطة بعملية تحديد </w:t>
      </w:r>
      <w:r>
        <w:rPr>
          <w:rFonts w:eastAsia="Calibri" w:hint="cs"/>
          <w:rtl/>
          <w:lang w:val="fr-FR"/>
        </w:rPr>
        <w:t>حرية التصرف</w:t>
      </w:r>
      <w:r w:rsidRPr="00C63D2E">
        <w:rPr>
          <w:rFonts w:eastAsia="Calibri"/>
          <w:rtl/>
          <w:lang w:val="fr-FR"/>
        </w:rPr>
        <w:t xml:space="preserve"> وتقترح استراتيجيات إدارة المخاطر لتقليل المخاطر في كل مرحلة من العملية.</w:t>
      </w:r>
    </w:p>
    <w:p w:rsidR="00E56077" w:rsidRPr="00600D1A" w:rsidRDefault="00E56077" w:rsidP="00E56077">
      <w:pPr>
        <w:keepNext/>
        <w:suppressAutoHyphens/>
        <w:autoSpaceDN w:val="0"/>
        <w:spacing w:before="200"/>
        <w:textAlignment w:val="baseline"/>
        <w:outlineLvl w:val="1"/>
        <w:rPr>
          <w:rFonts w:ascii="Calibri" w:eastAsia="Calibri" w:hAnsi="Calibri" w:cs="Arial"/>
          <w:sz w:val="22"/>
          <w:szCs w:val="22"/>
          <w:lang w:val="fr-FR"/>
        </w:rPr>
      </w:pPr>
      <w:bookmarkStart w:id="10" w:name="_Toc22405924"/>
      <w:bookmarkStart w:id="11" w:name="_Toc28270421"/>
      <w:r w:rsidRPr="00DB70ED">
        <w:rPr>
          <w:rStyle w:val="Heading2Char"/>
          <w:rtl/>
        </w:rPr>
        <w:t>استخدام الدليل: المهارات والتدريب والأدوات</w:t>
      </w:r>
      <w:r w:rsidRPr="00600D1A">
        <w:rPr>
          <w:b/>
          <w:bCs/>
          <w:sz w:val="40"/>
          <w:szCs w:val="40"/>
          <w:rtl/>
          <w:lang w:eastAsia="fr-FR" w:bidi="ar-MA"/>
        </w:rPr>
        <w:t xml:space="preserve"> والاستراتيجيات</w:t>
      </w:r>
      <w:bookmarkEnd w:id="10"/>
      <w:bookmarkEnd w:id="11"/>
    </w:p>
    <w:p w:rsidR="00E56077" w:rsidRPr="00DB70ED" w:rsidRDefault="00E56077" w:rsidP="00DB70ED">
      <w:pPr>
        <w:pStyle w:val="BodyText"/>
        <w:rPr>
          <w:lang w:eastAsia="fr-FR"/>
        </w:rPr>
      </w:pPr>
      <w:r w:rsidRPr="00600D1A">
        <w:rPr>
          <w:b/>
          <w:bCs/>
          <w:rtl/>
          <w:lang w:eastAsia="fr-FR"/>
        </w:rPr>
        <w:t>المهارات</w:t>
      </w:r>
      <w:r w:rsidR="00DB70ED">
        <w:rPr>
          <w:rFonts w:hint="cs"/>
          <w:b/>
          <w:bCs/>
          <w:rtl/>
          <w:lang w:eastAsia="fr-FR"/>
        </w:rPr>
        <w:t>:</w:t>
      </w:r>
      <w:r w:rsidRPr="00600D1A">
        <w:rPr>
          <w:rtl/>
          <w:lang w:eastAsia="fr-FR"/>
        </w:rPr>
        <w:t xml:space="preserve"> </w:t>
      </w:r>
      <w:r w:rsidRPr="00DB70ED">
        <w:rPr>
          <w:rtl/>
          <w:lang w:eastAsia="fr-FR"/>
        </w:rPr>
        <w:t xml:space="preserve">ينطلق </w:t>
      </w:r>
      <w:r w:rsidR="00DB70ED" w:rsidRPr="00DB70ED">
        <w:rPr>
          <w:rtl/>
          <w:lang w:eastAsia="fr-FR"/>
        </w:rPr>
        <w:t>الدليل</w:t>
      </w:r>
      <w:r w:rsidRPr="00DB70ED">
        <w:rPr>
          <w:rtl/>
          <w:lang w:eastAsia="fr-FR"/>
        </w:rPr>
        <w:t xml:space="preserve"> من مبدأ </w:t>
      </w:r>
      <w:r w:rsidR="00DB70ED" w:rsidRPr="00DB70ED">
        <w:rPr>
          <w:rtl/>
          <w:lang w:eastAsia="fr-FR"/>
        </w:rPr>
        <w:t>أن القُرّاء</w:t>
      </w:r>
      <w:r w:rsidRPr="00DB70ED">
        <w:rPr>
          <w:rtl/>
          <w:lang w:eastAsia="fr-FR"/>
        </w:rPr>
        <w:t xml:space="preserve"> </w:t>
      </w:r>
      <w:r w:rsidR="00DB70ED" w:rsidRPr="00DB70ED">
        <w:rPr>
          <w:rtl/>
          <w:lang w:eastAsia="fr-FR"/>
        </w:rPr>
        <w:t>لديهم أصلاً</w:t>
      </w:r>
      <w:r w:rsidRPr="00DB70ED">
        <w:rPr>
          <w:rtl/>
          <w:lang w:eastAsia="fr-FR"/>
        </w:rPr>
        <w:t xml:space="preserve"> </w:t>
      </w:r>
      <w:r w:rsidR="00DB70ED" w:rsidRPr="00DB70ED">
        <w:rPr>
          <w:rtl/>
          <w:lang w:eastAsia="fr-FR"/>
        </w:rPr>
        <w:t>م</w:t>
      </w:r>
      <w:r w:rsidRPr="00DB70ED">
        <w:rPr>
          <w:rtl/>
          <w:lang w:eastAsia="fr-FR"/>
        </w:rPr>
        <w:t>عرف</w:t>
      </w:r>
      <w:r w:rsidR="00DB70ED" w:rsidRPr="00DB70ED">
        <w:rPr>
          <w:rtl/>
          <w:lang w:eastAsia="fr-FR"/>
        </w:rPr>
        <w:t>ة جيدة</w:t>
      </w:r>
      <w:r w:rsidRPr="00DB70ED">
        <w:rPr>
          <w:rtl/>
          <w:lang w:eastAsia="fr-FR"/>
        </w:rPr>
        <w:t xml:space="preserve"> </w:t>
      </w:r>
      <w:r w:rsidR="00DB70ED" w:rsidRPr="00DB70ED">
        <w:rPr>
          <w:rtl/>
          <w:lang w:eastAsia="fr-FR"/>
        </w:rPr>
        <w:t>ب</w:t>
      </w:r>
      <w:r w:rsidRPr="00DB70ED">
        <w:rPr>
          <w:rtl/>
          <w:lang w:eastAsia="fr-FR"/>
        </w:rPr>
        <w:t>الملكية الفكرية، وقواعد بيانات البراءات، ومهارات البحث عن معلومات البراءات، بما في ذلك:</w:t>
      </w:r>
      <w:r w:rsidR="00C63D2E" w:rsidRPr="00DB70ED">
        <w:rPr>
          <w:rFonts w:eastAsia="Calibri"/>
          <w:rtl/>
          <w:lang w:val="fr-FR"/>
        </w:rPr>
        <w:t xml:space="preserve"> </w:t>
      </w:r>
      <w:r w:rsidRPr="00DB70ED">
        <w:rPr>
          <w:rtl/>
          <w:lang w:eastAsia="fr-FR"/>
        </w:rPr>
        <w:t>معارف أساسية عن الملكية الفكرية وحقوقها</w:t>
      </w:r>
      <w:r w:rsidR="00C63D2E" w:rsidRPr="00DB70ED">
        <w:rPr>
          <w:rtl/>
          <w:lang w:eastAsia="fr-FR"/>
        </w:rPr>
        <w:t xml:space="preserve">؛ </w:t>
      </w:r>
      <w:r w:rsidR="00DB70ED" w:rsidRPr="00DB70ED">
        <w:rPr>
          <w:rtl/>
          <w:lang w:eastAsia="fr-FR"/>
        </w:rPr>
        <w:t>و</w:t>
      </w:r>
      <w:r w:rsidRPr="00DB70ED">
        <w:rPr>
          <w:rtl/>
          <w:lang w:eastAsia="fr-FR"/>
        </w:rPr>
        <w:t xml:space="preserve">معارف أساسية عن البراءات وأنظمتها، </w:t>
      </w:r>
      <w:r w:rsidR="00DB70ED" w:rsidRPr="00DB70ED">
        <w:rPr>
          <w:rtl/>
          <w:lang w:eastAsia="fr-FR"/>
        </w:rPr>
        <w:t xml:space="preserve">والتي تشمل </w:t>
      </w:r>
      <w:r w:rsidR="00C63D2E" w:rsidRPr="00DB70ED">
        <w:rPr>
          <w:rtl/>
          <w:lang w:eastAsia="fr-FR"/>
        </w:rPr>
        <w:t>ع</w:t>
      </w:r>
      <w:r w:rsidRPr="00DB70ED">
        <w:rPr>
          <w:rtl/>
          <w:lang w:eastAsia="fr-FR"/>
        </w:rPr>
        <w:t>ملية إيداع طلبات البراءات وملاحقتها قضائيا</w:t>
      </w:r>
      <w:r w:rsidR="00DB70ED" w:rsidRPr="00DB70ED">
        <w:rPr>
          <w:rtl/>
          <w:lang w:eastAsia="fr-FR"/>
        </w:rPr>
        <w:t>ً</w:t>
      </w:r>
      <w:r w:rsidR="00DB70ED" w:rsidRPr="00DB70ED">
        <w:rPr>
          <w:rFonts w:eastAsia="Calibri"/>
          <w:rtl/>
          <w:lang w:val="fr-FR"/>
        </w:rPr>
        <w:t>،</w:t>
      </w:r>
      <w:r w:rsidR="00C63D2E" w:rsidRPr="00DB70ED">
        <w:rPr>
          <w:rFonts w:eastAsia="Calibri"/>
          <w:rtl/>
          <w:lang w:val="fr-FR"/>
        </w:rPr>
        <w:t xml:space="preserve"> </w:t>
      </w:r>
      <w:r w:rsidR="00DB70ED" w:rsidRPr="00DB70ED">
        <w:rPr>
          <w:rtl/>
          <w:lang w:eastAsia="fr-FR"/>
        </w:rPr>
        <w:t>ووظيفة مطالبات</w:t>
      </w:r>
      <w:r w:rsidRPr="00DB70ED">
        <w:rPr>
          <w:rtl/>
          <w:lang w:eastAsia="fr-FR"/>
        </w:rPr>
        <w:t xml:space="preserve"> البراءات</w:t>
      </w:r>
      <w:r w:rsidRPr="00DB70ED">
        <w:rPr>
          <w:rtl/>
        </w:rPr>
        <w:t xml:space="preserve"> </w:t>
      </w:r>
      <w:r w:rsidRPr="00DB70ED">
        <w:rPr>
          <w:rtl/>
          <w:lang w:eastAsia="fr-FR"/>
        </w:rPr>
        <w:t>والغرض منها</w:t>
      </w:r>
      <w:r w:rsidR="00C63D2E" w:rsidRPr="00DB70ED">
        <w:rPr>
          <w:rFonts w:eastAsia="Calibri"/>
          <w:rtl/>
          <w:lang w:val="fr-FR"/>
        </w:rPr>
        <w:t>، و</w:t>
      </w:r>
      <w:r w:rsidRPr="00DB70ED">
        <w:rPr>
          <w:rtl/>
          <w:lang w:eastAsia="fr-FR"/>
        </w:rPr>
        <w:t>معارف أساسية عن نظم البراءات الوطنية والدولية</w:t>
      </w:r>
      <w:r w:rsidR="00DB70ED">
        <w:rPr>
          <w:rFonts w:eastAsia="Calibri" w:hint="cs"/>
          <w:rtl/>
          <w:lang w:val="fr-FR"/>
        </w:rPr>
        <w:t>؛</w:t>
      </w:r>
      <w:r w:rsidR="00C63D2E" w:rsidRPr="00DB70ED">
        <w:rPr>
          <w:rFonts w:eastAsia="Calibri"/>
          <w:rtl/>
          <w:lang w:val="fr-FR"/>
        </w:rPr>
        <w:t xml:space="preserve"> </w:t>
      </w:r>
      <w:r w:rsidR="001F288A">
        <w:rPr>
          <w:rFonts w:eastAsia="Calibri" w:hint="cs"/>
          <w:rtl/>
          <w:lang w:val="fr-FR"/>
        </w:rPr>
        <w:t>و</w:t>
      </w:r>
      <w:r w:rsidRPr="00DB70ED">
        <w:rPr>
          <w:rtl/>
          <w:lang w:eastAsia="fr-FR"/>
        </w:rPr>
        <w:t>معارف أساسية للبحث في البراءات، بما في ذلك</w:t>
      </w:r>
      <w:r w:rsidR="00C63D2E" w:rsidRPr="00DB70ED">
        <w:rPr>
          <w:rtl/>
          <w:lang w:eastAsia="fr-FR"/>
        </w:rPr>
        <w:t xml:space="preserve"> </w:t>
      </w:r>
      <w:r w:rsidRPr="00DB70ED">
        <w:rPr>
          <w:rtl/>
          <w:lang w:eastAsia="fr-FR"/>
        </w:rPr>
        <w:t>استخدام الكلمات الرئيسية وأنظمة تصنيف البراءات ومعام</w:t>
      </w:r>
      <w:r w:rsidR="001F288A">
        <w:rPr>
          <w:rFonts w:hint="cs"/>
          <w:rtl/>
          <w:lang w:eastAsia="fr-FR"/>
        </w:rPr>
        <w:t>ِ</w:t>
      </w:r>
      <w:r w:rsidRPr="00DB70ED">
        <w:rPr>
          <w:rtl/>
          <w:lang w:eastAsia="fr-FR"/>
        </w:rPr>
        <w:t>لات البحث</w:t>
      </w:r>
      <w:r w:rsidR="00C63D2E" w:rsidRPr="00DB70ED">
        <w:rPr>
          <w:rFonts w:eastAsia="Calibri"/>
          <w:rtl/>
          <w:lang w:val="fr-FR"/>
        </w:rPr>
        <w:t xml:space="preserve"> </w:t>
      </w:r>
      <w:r w:rsidR="001F288A">
        <w:rPr>
          <w:rFonts w:eastAsia="Calibri" w:hint="cs"/>
          <w:rtl/>
          <w:lang w:val="fr-FR"/>
        </w:rPr>
        <w:t>و</w:t>
      </w:r>
      <w:r w:rsidRPr="00DB70ED">
        <w:rPr>
          <w:rtl/>
          <w:lang w:eastAsia="fr-FR"/>
        </w:rPr>
        <w:t>القدرة على تقييم واختيار قواعد البيانات بناءً على احتياجات البحث</w:t>
      </w:r>
      <w:r w:rsidR="00C63D2E" w:rsidRPr="001F288A">
        <w:rPr>
          <w:rFonts w:eastAsia="Calibri"/>
          <w:rtl/>
          <w:lang w:val="fr-FR"/>
        </w:rPr>
        <w:t xml:space="preserve"> </w:t>
      </w:r>
      <w:r w:rsidR="001F288A" w:rsidRPr="001F288A">
        <w:rPr>
          <w:rFonts w:eastAsia="Calibri"/>
          <w:rtl/>
          <w:lang w:val="fr-FR"/>
        </w:rPr>
        <w:t>و</w:t>
      </w:r>
      <w:r w:rsidRPr="001F288A">
        <w:rPr>
          <w:rtl/>
          <w:lang w:eastAsia="fr-FR"/>
        </w:rPr>
        <w:t>جمع</w:t>
      </w:r>
      <w:r w:rsidRPr="00600D1A">
        <w:rPr>
          <w:rtl/>
          <w:lang w:eastAsia="fr-FR"/>
        </w:rPr>
        <w:t xml:space="preserve"> نتائج البحث</w:t>
      </w:r>
      <w:r w:rsidR="001F288A">
        <w:rPr>
          <w:rFonts w:hint="cs"/>
          <w:rtl/>
          <w:lang w:eastAsia="fr-FR"/>
        </w:rPr>
        <w:t xml:space="preserve"> وتنظيمها</w:t>
      </w:r>
      <w:r w:rsidRPr="00600D1A">
        <w:rPr>
          <w:rtl/>
          <w:lang w:eastAsia="fr-FR"/>
        </w:rPr>
        <w:t>.</w:t>
      </w:r>
    </w:p>
    <w:p w:rsidR="00E56077" w:rsidRPr="00C760A6" w:rsidRDefault="00E56077" w:rsidP="00C760A6">
      <w:pPr>
        <w:pStyle w:val="BodyText"/>
        <w:rPr>
          <w:rFonts w:ascii="Calibri" w:eastAsia="Calibri" w:hAnsi="Calibri" w:cs="Arial"/>
          <w:sz w:val="22"/>
          <w:szCs w:val="22"/>
          <w:rtl/>
          <w:lang w:val="fr-CH" w:bidi="ar-SA"/>
        </w:rPr>
      </w:pPr>
      <w:r w:rsidRPr="00600D1A">
        <w:rPr>
          <w:b/>
          <w:bCs/>
          <w:rtl/>
          <w:lang w:eastAsia="fr-FR"/>
        </w:rPr>
        <w:t>التدريب</w:t>
      </w:r>
      <w:r w:rsidR="001F288A">
        <w:rPr>
          <w:rFonts w:hint="cs"/>
          <w:b/>
          <w:bCs/>
          <w:rtl/>
          <w:lang w:eastAsia="fr-FR"/>
        </w:rPr>
        <w:t>:</w:t>
      </w:r>
      <w:r w:rsidRPr="00600D1A">
        <w:rPr>
          <w:rtl/>
          <w:lang w:eastAsia="fr-FR"/>
        </w:rPr>
        <w:t xml:space="preserve"> تُفتتح كل وحدة في الدليل بقائمة من نقاط التعلم التي تلخص المعارف والمهارات التي يجب أن </w:t>
      </w:r>
      <w:r w:rsidR="001F288A">
        <w:rPr>
          <w:rFonts w:hint="cs"/>
          <w:rtl/>
          <w:lang w:eastAsia="fr-FR"/>
        </w:rPr>
        <w:t>ي</w:t>
      </w:r>
      <w:r w:rsidRPr="00600D1A">
        <w:rPr>
          <w:rtl/>
          <w:lang w:eastAsia="fr-FR"/>
        </w:rPr>
        <w:t>كون</w:t>
      </w:r>
      <w:r w:rsidR="001F288A">
        <w:rPr>
          <w:rFonts w:hint="cs"/>
          <w:rtl/>
          <w:lang w:eastAsia="fr-FR"/>
        </w:rPr>
        <w:t xml:space="preserve"> القُرّاء</w:t>
      </w:r>
      <w:r w:rsidRPr="00600D1A">
        <w:rPr>
          <w:rtl/>
          <w:lang w:eastAsia="fr-FR"/>
        </w:rPr>
        <w:t xml:space="preserve"> قد اكتسب</w:t>
      </w:r>
      <w:r w:rsidR="001F288A">
        <w:rPr>
          <w:rFonts w:hint="cs"/>
          <w:rtl/>
          <w:lang w:eastAsia="fr-FR"/>
        </w:rPr>
        <w:t>وه</w:t>
      </w:r>
      <w:r w:rsidRPr="00600D1A">
        <w:rPr>
          <w:rtl/>
          <w:lang w:eastAsia="fr-FR"/>
        </w:rPr>
        <w:t xml:space="preserve">ا بعد الانتهاء من دراسة الوحدة. ويقدم الدليل توضيحات مفصلة للمبادئ التي تقوم عليها كل خطوة والعملية المتبعة فيها، وأمثلة تعليمية تبين لك كيفية تنفيذ </w:t>
      </w:r>
      <w:r w:rsidR="001F288A">
        <w:rPr>
          <w:rFonts w:hint="cs"/>
          <w:rtl/>
          <w:lang w:eastAsia="fr-FR"/>
        </w:rPr>
        <w:t>تلك</w:t>
      </w:r>
      <w:r w:rsidRPr="00600D1A">
        <w:rPr>
          <w:rtl/>
          <w:lang w:eastAsia="fr-FR"/>
        </w:rPr>
        <w:t xml:space="preserve"> الخطوات. </w:t>
      </w:r>
      <w:r w:rsidR="001F288A">
        <w:rPr>
          <w:rFonts w:hint="cs"/>
          <w:rtl/>
          <w:lang w:eastAsia="fr-FR"/>
        </w:rPr>
        <w:t>ويهدف</w:t>
      </w:r>
      <w:r w:rsidRPr="00600D1A">
        <w:rPr>
          <w:rtl/>
          <w:lang w:eastAsia="fr-FR"/>
        </w:rPr>
        <w:t xml:space="preserve"> هذا التدريب</w:t>
      </w:r>
      <w:r w:rsidR="001F288A">
        <w:rPr>
          <w:rFonts w:hint="cs"/>
          <w:rtl/>
          <w:lang w:eastAsia="fr-FR"/>
        </w:rPr>
        <w:t xml:space="preserve"> إلى تزويد القُرّاء</w:t>
      </w:r>
      <w:r w:rsidRPr="00600D1A">
        <w:rPr>
          <w:rtl/>
          <w:lang w:eastAsia="fr-FR"/>
        </w:rPr>
        <w:t xml:space="preserve"> </w:t>
      </w:r>
      <w:r w:rsidR="001F288A">
        <w:rPr>
          <w:rFonts w:hint="cs"/>
          <w:rtl/>
          <w:lang w:eastAsia="fr-FR"/>
        </w:rPr>
        <w:t>ب</w:t>
      </w:r>
      <w:r w:rsidRPr="00600D1A">
        <w:rPr>
          <w:rtl/>
          <w:lang w:eastAsia="fr-FR"/>
        </w:rPr>
        <w:t xml:space="preserve">مهارات احترافية </w:t>
      </w:r>
      <w:r w:rsidR="001F288A">
        <w:rPr>
          <w:rFonts w:hint="cs"/>
          <w:rtl/>
          <w:lang w:eastAsia="fr-FR"/>
        </w:rPr>
        <w:t>ل</w:t>
      </w:r>
      <w:r w:rsidRPr="00600D1A">
        <w:rPr>
          <w:rtl/>
          <w:lang w:eastAsia="fr-FR"/>
        </w:rPr>
        <w:t>تنفيذ مشاريع</w:t>
      </w:r>
      <w:r w:rsidR="001F288A">
        <w:rPr>
          <w:rFonts w:hint="cs"/>
          <w:rtl/>
          <w:lang w:eastAsia="fr-FR"/>
        </w:rPr>
        <w:t>هم</w:t>
      </w:r>
      <w:r w:rsidRPr="00600D1A">
        <w:rPr>
          <w:rtl/>
          <w:lang w:eastAsia="fr-FR"/>
        </w:rPr>
        <w:t xml:space="preserve"> الخاصة باستخدام الأدوات التي تحدد حرية التصرف</w:t>
      </w:r>
      <w:r w:rsidR="001F288A">
        <w:rPr>
          <w:rFonts w:hint="cs"/>
          <w:rtl/>
          <w:lang w:eastAsia="fr-FR"/>
        </w:rPr>
        <w:t>، مما يساهم في تعزيز مهارات البحث والتحليل الخاصة بالبراءات</w:t>
      </w:r>
      <w:r w:rsidRPr="00600D1A">
        <w:rPr>
          <w:rtl/>
          <w:lang w:eastAsia="fr-FR"/>
        </w:rPr>
        <w:t>. ويتيح الدليل أيضًا تدريبا</w:t>
      </w:r>
      <w:r w:rsidR="00C760A6">
        <w:rPr>
          <w:rFonts w:hint="cs"/>
          <w:rtl/>
          <w:lang w:eastAsia="fr-FR"/>
        </w:rPr>
        <w:t>ً</w:t>
      </w:r>
      <w:r w:rsidRPr="00600D1A">
        <w:rPr>
          <w:rtl/>
          <w:lang w:eastAsia="fr-FR"/>
        </w:rPr>
        <w:t xml:space="preserve"> قي</w:t>
      </w:r>
      <w:r w:rsidR="00C760A6">
        <w:rPr>
          <w:rFonts w:hint="cs"/>
          <w:rtl/>
          <w:lang w:eastAsia="fr-FR"/>
        </w:rPr>
        <w:t>ّماً</w:t>
      </w:r>
      <w:r w:rsidRPr="00600D1A">
        <w:rPr>
          <w:rtl/>
          <w:lang w:eastAsia="fr-FR"/>
        </w:rPr>
        <w:t xml:space="preserve"> </w:t>
      </w:r>
      <w:r w:rsidR="00C760A6">
        <w:rPr>
          <w:rFonts w:hint="cs"/>
          <w:rtl/>
          <w:lang w:eastAsia="fr-FR"/>
        </w:rPr>
        <w:t>للمساعدة</w:t>
      </w:r>
      <w:r w:rsidRPr="00600D1A">
        <w:rPr>
          <w:rtl/>
          <w:lang w:eastAsia="fr-FR"/>
        </w:rPr>
        <w:t xml:space="preserve"> في فهم القيود والأخطاء والمخاطر المحتملة </w:t>
      </w:r>
      <w:r w:rsidR="00C760A6">
        <w:rPr>
          <w:rFonts w:hint="cs"/>
          <w:rtl/>
          <w:lang w:eastAsia="fr-FR"/>
        </w:rPr>
        <w:t>المرتبطة</w:t>
      </w:r>
      <w:r w:rsidRPr="00600D1A">
        <w:rPr>
          <w:rtl/>
          <w:lang w:eastAsia="fr-FR"/>
        </w:rPr>
        <w:t xml:space="preserve"> </w:t>
      </w:r>
      <w:r w:rsidR="00C760A6">
        <w:rPr>
          <w:rFonts w:hint="cs"/>
          <w:rtl/>
          <w:lang w:eastAsia="fr-FR"/>
        </w:rPr>
        <w:t>بتلك</w:t>
      </w:r>
      <w:r w:rsidRPr="00600D1A">
        <w:rPr>
          <w:rtl/>
          <w:lang w:eastAsia="fr-FR"/>
        </w:rPr>
        <w:t xml:space="preserve"> العملية، و</w:t>
      </w:r>
      <w:r w:rsidR="00C760A6">
        <w:rPr>
          <w:rFonts w:hint="cs"/>
          <w:rtl/>
          <w:lang w:eastAsia="fr-FR"/>
        </w:rPr>
        <w:t xml:space="preserve">اتخاذ </w:t>
      </w:r>
      <w:r w:rsidRPr="00600D1A">
        <w:rPr>
          <w:rtl/>
          <w:lang w:eastAsia="fr-FR"/>
        </w:rPr>
        <w:t>خطوات لإدارة هذه المخاطر</w:t>
      </w:r>
      <w:r w:rsidR="00C760A6">
        <w:rPr>
          <w:rFonts w:hint="cs"/>
          <w:rtl/>
          <w:lang w:eastAsia="fr-FR"/>
        </w:rPr>
        <w:t>، ويساعد على معالجة المفاهيم الخاطئة الشائعة حول حقوق البراءات والملك العام.</w:t>
      </w:r>
    </w:p>
    <w:p w:rsidR="00E56077" w:rsidRPr="00C760A6" w:rsidRDefault="00E56077" w:rsidP="00C760A6">
      <w:pPr>
        <w:pStyle w:val="BodyText"/>
        <w:rPr>
          <w:rFonts w:eastAsia="Calibri"/>
        </w:rPr>
      </w:pPr>
      <w:r w:rsidRPr="00C760A6">
        <w:rPr>
          <w:b/>
          <w:bCs/>
          <w:rtl/>
        </w:rPr>
        <w:t>الأدوات</w:t>
      </w:r>
      <w:r w:rsidR="00C760A6" w:rsidRPr="00C760A6">
        <w:rPr>
          <w:rFonts w:hint="cs"/>
          <w:rtl/>
        </w:rPr>
        <w:t>:</w:t>
      </w:r>
      <w:r w:rsidRPr="00C760A6">
        <w:rPr>
          <w:rtl/>
        </w:rPr>
        <w:t xml:space="preserve"> </w:t>
      </w:r>
      <w:r w:rsidR="00C760A6" w:rsidRPr="00C760A6">
        <w:rPr>
          <w:rFonts w:hint="cs"/>
          <w:rtl/>
        </w:rPr>
        <w:t xml:space="preserve">يحتوي الدليل على عدد من </w:t>
      </w:r>
      <w:r w:rsidRPr="00C760A6">
        <w:rPr>
          <w:rtl/>
        </w:rPr>
        <w:t xml:space="preserve">الأدوات العملية </w:t>
      </w:r>
      <w:r w:rsidR="00C760A6" w:rsidRPr="00C760A6">
        <w:rPr>
          <w:rFonts w:hint="cs"/>
          <w:rtl/>
        </w:rPr>
        <w:t>(</w:t>
      </w:r>
      <w:r w:rsidRPr="00C760A6">
        <w:rPr>
          <w:rtl/>
        </w:rPr>
        <w:t>المرفقات</w:t>
      </w:r>
      <w:r w:rsidR="00C760A6" w:rsidRPr="00C760A6">
        <w:rPr>
          <w:rFonts w:hint="cs"/>
          <w:rtl/>
        </w:rPr>
        <w:t xml:space="preserve">) </w:t>
      </w:r>
      <w:r w:rsidRPr="00C760A6">
        <w:rPr>
          <w:rtl/>
        </w:rPr>
        <w:t>لاستخدام الدليل بشكل فعال</w:t>
      </w:r>
      <w:r w:rsidR="00C760A6" w:rsidRPr="00C760A6">
        <w:rPr>
          <w:rFonts w:hint="cs"/>
          <w:rtl/>
        </w:rPr>
        <w:t xml:space="preserve">، بما في ذلك </w:t>
      </w:r>
      <w:bookmarkStart w:id="12" w:name="_Hlk28177214"/>
      <w:r w:rsidRPr="00C760A6">
        <w:rPr>
          <w:rtl/>
        </w:rPr>
        <w:t xml:space="preserve">قوائم مرجعية </w:t>
      </w:r>
      <w:bookmarkEnd w:id="12"/>
      <w:r w:rsidRPr="00C760A6">
        <w:rPr>
          <w:rtl/>
        </w:rPr>
        <w:t xml:space="preserve">شاملة </w:t>
      </w:r>
      <w:r w:rsidR="00C760A6" w:rsidRPr="00C760A6">
        <w:rPr>
          <w:rFonts w:hint="cs"/>
          <w:rtl/>
        </w:rPr>
        <w:t>ل</w:t>
      </w:r>
      <w:r w:rsidRPr="00C760A6">
        <w:rPr>
          <w:rtl/>
        </w:rPr>
        <w:t xml:space="preserve">لوحدة </w:t>
      </w:r>
      <w:r w:rsidR="00C760A6" w:rsidRPr="00C760A6">
        <w:rPr>
          <w:rFonts w:hint="cs"/>
          <w:rtl/>
        </w:rPr>
        <w:t>الثانية</w:t>
      </w:r>
      <w:r w:rsidRPr="00C760A6">
        <w:rPr>
          <w:rtl/>
        </w:rPr>
        <w:t xml:space="preserve"> (جمع المعلومات) </w:t>
      </w:r>
      <w:bookmarkStart w:id="13" w:name="_Hlk21882247"/>
      <w:r w:rsidRPr="00C760A6">
        <w:rPr>
          <w:rtl/>
        </w:rPr>
        <w:t xml:space="preserve">والوحدة </w:t>
      </w:r>
      <w:r w:rsidR="00C760A6" w:rsidRPr="00C760A6">
        <w:rPr>
          <w:rFonts w:hint="cs"/>
          <w:rtl/>
        </w:rPr>
        <w:t>الثالثة</w:t>
      </w:r>
      <w:r w:rsidRPr="00C760A6">
        <w:rPr>
          <w:rtl/>
        </w:rPr>
        <w:t xml:space="preserve"> (البحث في حرية التصرف) والوحدة </w:t>
      </w:r>
      <w:r w:rsidR="00C760A6" w:rsidRPr="00C760A6">
        <w:rPr>
          <w:rFonts w:hint="cs"/>
          <w:rtl/>
        </w:rPr>
        <w:t>الرابعة</w:t>
      </w:r>
      <w:r w:rsidRPr="00C760A6">
        <w:rPr>
          <w:rtl/>
        </w:rPr>
        <w:t xml:space="preserve"> (تحليل حرية التصرف)</w:t>
      </w:r>
      <w:r w:rsidR="00C760A6" w:rsidRPr="00C760A6">
        <w:rPr>
          <w:rFonts w:hint="cs"/>
          <w:rtl/>
        </w:rPr>
        <w:t>؛</w:t>
      </w:r>
      <w:bookmarkEnd w:id="13"/>
      <w:r w:rsidR="00C760A6" w:rsidRPr="00C760A6">
        <w:rPr>
          <w:rFonts w:hint="cs"/>
          <w:rtl/>
        </w:rPr>
        <w:t xml:space="preserve"> و</w:t>
      </w:r>
      <w:r w:rsidRPr="00C760A6">
        <w:rPr>
          <w:rtl/>
        </w:rPr>
        <w:t>نماذج صياغة التقارير وجد</w:t>
      </w:r>
      <w:r w:rsidR="00C760A6" w:rsidRPr="00C760A6">
        <w:rPr>
          <w:rFonts w:hint="cs"/>
          <w:rtl/>
        </w:rPr>
        <w:t>اول</w:t>
      </w:r>
      <w:r w:rsidRPr="00C760A6">
        <w:rPr>
          <w:rtl/>
        </w:rPr>
        <w:t xml:space="preserve"> المطالبات </w:t>
      </w:r>
      <w:r w:rsidR="00C760A6" w:rsidRPr="00C760A6">
        <w:rPr>
          <w:rFonts w:hint="cs"/>
          <w:rtl/>
        </w:rPr>
        <w:t xml:space="preserve">لتوفير </w:t>
      </w:r>
      <w:r w:rsidRPr="00C760A6">
        <w:rPr>
          <w:rtl/>
        </w:rPr>
        <w:t xml:space="preserve">هيكل </w:t>
      </w:r>
      <w:r w:rsidR="00C760A6" w:rsidRPr="00C760A6">
        <w:rPr>
          <w:rFonts w:hint="cs"/>
          <w:rtl/>
        </w:rPr>
        <w:t>و</w:t>
      </w:r>
      <w:r w:rsidRPr="00C760A6">
        <w:rPr>
          <w:rtl/>
        </w:rPr>
        <w:t xml:space="preserve">إرشادات لتنفيذ الإجراءات المحددة وتوليد منتجات العمل </w:t>
      </w:r>
      <w:r w:rsidR="00C760A6" w:rsidRPr="00C760A6">
        <w:rPr>
          <w:rFonts w:hint="cs"/>
          <w:rtl/>
        </w:rPr>
        <w:t>لكل مرحلة من مراحل العملية؛ و</w:t>
      </w:r>
      <w:r w:rsidRPr="00C760A6">
        <w:rPr>
          <w:rtl/>
        </w:rPr>
        <w:t>قائمة بالأدوات والموارد الإضافية التي قد تكون مفيدة، مثل منشورات الويبو والأدوات</w:t>
      </w:r>
      <w:r w:rsidR="00C760A6" w:rsidRPr="00C760A6">
        <w:rPr>
          <w:rFonts w:hint="cs"/>
          <w:rtl/>
        </w:rPr>
        <w:t xml:space="preserve"> </w:t>
      </w:r>
      <w:r w:rsidRPr="00C760A6">
        <w:rPr>
          <w:rtl/>
        </w:rPr>
        <w:t xml:space="preserve">والمواد التدريبية </w:t>
      </w:r>
      <w:r w:rsidR="00C760A6" w:rsidRPr="00C760A6">
        <w:rPr>
          <w:rFonts w:hint="cs"/>
          <w:rtl/>
        </w:rPr>
        <w:t>الإلكترونية</w:t>
      </w:r>
      <w:r w:rsidRPr="00C760A6">
        <w:rPr>
          <w:rtl/>
        </w:rPr>
        <w:t>.</w:t>
      </w:r>
    </w:p>
    <w:p w:rsidR="00E56077" w:rsidRDefault="00E56077" w:rsidP="00E56077">
      <w:pPr>
        <w:suppressAutoHyphens/>
        <w:autoSpaceDN w:val="0"/>
        <w:spacing w:before="200"/>
        <w:textAlignment w:val="baseline"/>
        <w:rPr>
          <w:rtl/>
          <w:lang w:eastAsia="fr-FR" w:bidi="ar-MA"/>
        </w:rPr>
      </w:pPr>
      <w:r w:rsidRPr="00600D1A">
        <w:rPr>
          <w:b/>
          <w:bCs/>
          <w:rtl/>
          <w:lang w:eastAsia="fr-FR" w:bidi="ar-MA"/>
        </w:rPr>
        <w:t>الاستراتيجيات.</w:t>
      </w:r>
      <w:r w:rsidRPr="00600D1A">
        <w:rPr>
          <w:rtl/>
          <w:lang w:eastAsia="fr-FR" w:bidi="ar-MA"/>
        </w:rPr>
        <w:t xml:space="preserve"> يمكن </w:t>
      </w:r>
      <w:r w:rsidR="00C760A6">
        <w:rPr>
          <w:rFonts w:hint="cs"/>
          <w:rtl/>
          <w:lang w:eastAsia="fr-FR" w:bidi="ar-MA"/>
        </w:rPr>
        <w:t>للقُرّاء اختيار كيفية ا</w:t>
      </w:r>
      <w:r w:rsidRPr="00600D1A">
        <w:rPr>
          <w:rtl/>
          <w:lang w:eastAsia="fr-FR" w:bidi="ar-MA"/>
        </w:rPr>
        <w:t>لتعامل مع الدليل وفق</w:t>
      </w:r>
      <w:r w:rsidR="00C760A6">
        <w:rPr>
          <w:rFonts w:hint="cs"/>
          <w:rtl/>
          <w:lang w:eastAsia="fr-FR" w:bidi="ar-MA"/>
        </w:rPr>
        <w:t>اً</w:t>
      </w:r>
      <w:r w:rsidRPr="00600D1A">
        <w:rPr>
          <w:rtl/>
          <w:lang w:eastAsia="fr-FR" w:bidi="ar-MA"/>
        </w:rPr>
        <w:t xml:space="preserve"> لمهارات</w:t>
      </w:r>
      <w:r w:rsidR="00C760A6">
        <w:rPr>
          <w:rFonts w:hint="cs"/>
          <w:rtl/>
          <w:lang w:eastAsia="fr-FR" w:bidi="ar-MA"/>
        </w:rPr>
        <w:t>هم</w:t>
      </w:r>
      <w:r w:rsidRPr="00600D1A">
        <w:rPr>
          <w:rtl/>
          <w:lang w:eastAsia="fr-FR" w:bidi="ar-MA"/>
        </w:rPr>
        <w:t xml:space="preserve"> واحتياجات</w:t>
      </w:r>
      <w:r w:rsidR="00C760A6">
        <w:rPr>
          <w:rFonts w:hint="cs"/>
          <w:rtl/>
          <w:lang w:eastAsia="fr-FR" w:bidi="ar-MA"/>
        </w:rPr>
        <w:t>هم</w:t>
      </w:r>
      <w:r w:rsidRPr="00600D1A">
        <w:rPr>
          <w:rtl/>
          <w:lang w:eastAsia="fr-FR" w:bidi="ar-MA"/>
        </w:rPr>
        <w:t xml:space="preserve"> واهتمامات</w:t>
      </w:r>
      <w:r w:rsidR="00C760A6">
        <w:rPr>
          <w:rFonts w:hint="cs"/>
          <w:rtl/>
          <w:lang w:eastAsia="fr-FR" w:bidi="ar-MA"/>
        </w:rPr>
        <w:t>هم</w:t>
      </w:r>
      <w:r w:rsidRPr="00600D1A">
        <w:rPr>
          <w:rtl/>
          <w:lang w:eastAsia="fr-FR" w:bidi="ar-MA"/>
        </w:rPr>
        <w:t>. ونظر</w:t>
      </w:r>
      <w:r w:rsidR="00C760A6">
        <w:rPr>
          <w:rFonts w:hint="cs"/>
          <w:rtl/>
          <w:lang w:eastAsia="fr-FR" w:bidi="ar-MA"/>
        </w:rPr>
        <w:t>اً</w:t>
      </w:r>
      <w:r w:rsidRPr="00600D1A">
        <w:rPr>
          <w:rtl/>
          <w:lang w:eastAsia="fr-FR" w:bidi="ar-MA"/>
        </w:rPr>
        <w:t xml:space="preserve"> </w:t>
      </w:r>
      <w:r w:rsidR="00C760A6">
        <w:rPr>
          <w:rFonts w:hint="cs"/>
          <w:rtl/>
          <w:lang w:eastAsia="fr-FR" w:bidi="ar-MA"/>
        </w:rPr>
        <w:t>للكم الهائل</w:t>
      </w:r>
      <w:r w:rsidRPr="00600D1A">
        <w:rPr>
          <w:rtl/>
          <w:lang w:eastAsia="fr-FR" w:bidi="ar-MA"/>
        </w:rPr>
        <w:t xml:space="preserve"> من المعلومات المفصلة الواردة، </w:t>
      </w:r>
      <w:r w:rsidR="00C760A6">
        <w:rPr>
          <w:rFonts w:hint="cs"/>
          <w:rtl/>
          <w:lang w:eastAsia="fr-FR" w:bidi="ar-MA"/>
        </w:rPr>
        <w:t>يقترح الدليل</w:t>
      </w:r>
      <w:r w:rsidRPr="00600D1A">
        <w:rPr>
          <w:rtl/>
          <w:lang w:eastAsia="fr-FR" w:bidi="ar-MA"/>
        </w:rPr>
        <w:t xml:space="preserve"> استراتيجيات</w:t>
      </w:r>
      <w:r w:rsidR="00C760A6">
        <w:rPr>
          <w:rFonts w:hint="cs"/>
          <w:rtl/>
          <w:lang w:eastAsia="fr-FR" w:bidi="ar-MA"/>
        </w:rPr>
        <w:t xml:space="preserve"> للإلمام </w:t>
      </w:r>
      <w:r w:rsidR="005D235D">
        <w:rPr>
          <w:rFonts w:hint="cs"/>
          <w:rtl/>
          <w:lang w:eastAsia="fr-FR" w:bidi="ar-MA"/>
        </w:rPr>
        <w:t>بمحتواه ولاستخدامه لتنفيذ مشروع ما</w:t>
      </w:r>
      <w:r w:rsidRPr="00600D1A">
        <w:rPr>
          <w:rtl/>
          <w:lang w:eastAsia="fr-FR" w:bidi="ar-MA"/>
        </w:rPr>
        <w:t>.</w:t>
      </w:r>
    </w:p>
    <w:p w:rsidR="005D235D" w:rsidRPr="00600D1A" w:rsidRDefault="005D235D" w:rsidP="00E56077">
      <w:pPr>
        <w:suppressAutoHyphens/>
        <w:autoSpaceDN w:val="0"/>
        <w:spacing w:before="200"/>
        <w:textAlignment w:val="baseline"/>
        <w:rPr>
          <w:rFonts w:ascii="Calibri" w:eastAsia="Calibri" w:hAnsi="Calibri" w:cs="Arial"/>
          <w:sz w:val="22"/>
          <w:szCs w:val="22"/>
          <w:lang w:val="fr-FR" w:bidi="ar-MA"/>
        </w:rPr>
      </w:pPr>
    </w:p>
    <w:p w:rsidR="00575A13" w:rsidRDefault="00575A13" w:rsidP="00575A13">
      <w:pPr>
        <w:pStyle w:val="EndofDocumentAR"/>
        <w:rPr>
          <w:rtl/>
        </w:rPr>
      </w:pPr>
      <w:r>
        <w:rPr>
          <w:rFonts w:hint="cs"/>
          <w:rtl/>
        </w:rPr>
        <w:t>[نهاية المرفق والوثيقة]</w:t>
      </w:r>
    </w:p>
    <w:p w:rsidR="00C41AE0" w:rsidRPr="00E56077" w:rsidRDefault="00C41AE0" w:rsidP="00575A13">
      <w:pPr>
        <w:pStyle w:val="Endofdocument-Annex"/>
        <w:rPr>
          <w:rtl/>
          <w:lang w:val="fr-FR"/>
        </w:rPr>
      </w:pPr>
    </w:p>
    <w:p w:rsidR="000D7E81" w:rsidRDefault="000D7E81" w:rsidP="000D7E81">
      <w:pPr>
        <w:pStyle w:val="BodyText"/>
        <w:rPr>
          <w:rtl/>
        </w:rPr>
      </w:pPr>
    </w:p>
    <w:p w:rsidR="00BA5D39" w:rsidRPr="000D7E81" w:rsidRDefault="00BA5D39" w:rsidP="000D7E81">
      <w:pPr>
        <w:pStyle w:val="BodyText"/>
        <w:rPr>
          <w:rtl/>
        </w:rPr>
      </w:pPr>
    </w:p>
    <w:sectPr w:rsidR="00BA5D39" w:rsidRPr="000D7E81" w:rsidSect="005C0F5E">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CA" w:rsidRDefault="005775CA">
      <w:r>
        <w:separator/>
      </w:r>
    </w:p>
  </w:endnote>
  <w:endnote w:type="continuationSeparator" w:id="0">
    <w:p w:rsidR="005775CA" w:rsidRDefault="0057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CA" w:rsidRDefault="005775CA" w:rsidP="009622BF">
      <w:bookmarkStart w:id="0" w:name="OLE_LINK1"/>
      <w:bookmarkStart w:id="1" w:name="OLE_LINK2"/>
      <w:r>
        <w:separator/>
      </w:r>
      <w:bookmarkEnd w:id="0"/>
      <w:bookmarkEnd w:id="1"/>
    </w:p>
  </w:footnote>
  <w:footnote w:type="continuationSeparator" w:id="0">
    <w:p w:rsidR="005775CA" w:rsidRDefault="005775CA" w:rsidP="009622BF">
      <w:r>
        <w:separator/>
      </w:r>
    </w:p>
  </w:footnote>
  <w:footnote w:id="1">
    <w:p w:rsidR="00E56077" w:rsidRPr="00E56077" w:rsidRDefault="00E56077" w:rsidP="00E56077">
      <w:pPr>
        <w:rPr>
          <w:sz w:val="24"/>
          <w:szCs w:val="24"/>
          <w:lang w:val="fr-FR" w:eastAsia="fr-FR"/>
        </w:rPr>
      </w:pPr>
      <w:r>
        <w:rPr>
          <w:rStyle w:val="FootnoteReference"/>
        </w:rPr>
        <w:footnoteRef/>
      </w:r>
      <w:r>
        <w:rPr>
          <w:rtl/>
        </w:rPr>
        <w:t xml:space="preserve"> </w:t>
      </w:r>
      <w:r>
        <w:rPr>
          <w:rFonts w:hint="cs"/>
          <w:rtl/>
        </w:rPr>
        <w:t xml:space="preserve">سيُتاح الدليل الكامل على الرابط التالي: </w:t>
      </w:r>
      <w:hyperlink r:id="rId1" w:history="1">
        <w:r w:rsidRPr="00E56077">
          <w:rPr>
            <w:color w:val="0000FF"/>
            <w:sz w:val="28"/>
            <w:szCs w:val="28"/>
            <w:u w:val="single"/>
            <w:lang w:val="fr-FR" w:eastAsia="fr-FR"/>
          </w:rPr>
          <w:t>https://www.wipo.int/ip-development/ar/agenda/work_undertaken.html</w:t>
        </w:r>
      </w:hyperlink>
    </w:p>
    <w:p w:rsidR="00E56077" w:rsidRPr="00E56077" w:rsidRDefault="00E56077">
      <w:pPr>
        <w:pStyle w:val="FootnoteText"/>
        <w:rPr>
          <w:lang w:val="fr-FR" w:bidi="ar-S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46" w:rsidRDefault="001E5546" w:rsidP="00BA5D39">
    <w:pPr>
      <w:bidi w:val="0"/>
      <w:rPr>
        <w:rFonts w:ascii="Arial" w:hAnsi="Arial" w:cs="Arial"/>
        <w:sz w:val="22"/>
        <w:szCs w:val="22"/>
      </w:rPr>
    </w:pPr>
    <w:bookmarkStart w:id="4" w:name="Code3"/>
    <w:bookmarkEnd w:id="4"/>
    <w:r>
      <w:rPr>
        <w:rFonts w:ascii="Arial" w:hAnsi="Arial" w:cs="Arial"/>
        <w:sz w:val="22"/>
        <w:szCs w:val="22"/>
      </w:rPr>
      <w:t>CDIP/2</w:t>
    </w:r>
    <w:r w:rsidR="00BA5D39">
      <w:rPr>
        <w:rFonts w:ascii="Arial" w:hAnsi="Arial" w:cs="Arial"/>
        <w:sz w:val="22"/>
        <w:szCs w:val="22"/>
      </w:rPr>
      <w:t>5</w:t>
    </w:r>
    <w:r>
      <w:rPr>
        <w:rFonts w:ascii="Arial" w:hAnsi="Arial" w:cs="Arial"/>
        <w:sz w:val="22"/>
        <w:szCs w:val="22"/>
      </w:rPr>
      <w:t>/</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77C91">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077" w:rsidRPr="00E56077" w:rsidRDefault="00E56077" w:rsidP="00E56077">
    <w:pPr>
      <w:pStyle w:val="Header"/>
      <w:jc w:val="right"/>
      <w:rPr>
        <w:rtl/>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D1B" w:rsidRDefault="004C4D1B" w:rsidP="00BA5D39">
    <w:pPr>
      <w:bidi w:val="0"/>
      <w:rPr>
        <w:rFonts w:ascii="Arial" w:hAnsi="Arial" w:cs="Arial"/>
        <w:sz w:val="22"/>
        <w:szCs w:val="22"/>
        <w:lang w:val="fr-CH"/>
      </w:rPr>
    </w:pPr>
    <w:r>
      <w:rPr>
        <w:rFonts w:ascii="Arial" w:hAnsi="Arial" w:cs="Arial"/>
        <w:sz w:val="22"/>
        <w:szCs w:val="22"/>
      </w:rPr>
      <w:t>CDIP/25/</w:t>
    </w:r>
    <w:r>
      <w:rPr>
        <w:rFonts w:ascii="Arial" w:hAnsi="Arial" w:cs="Arial"/>
        <w:sz w:val="22"/>
        <w:szCs w:val="22"/>
        <w:lang w:val="fr-CH"/>
      </w:rPr>
      <w:t>INF/4</w:t>
    </w:r>
  </w:p>
  <w:p w:rsidR="004C4D1B" w:rsidRPr="004C4D1B" w:rsidRDefault="004C4D1B" w:rsidP="004C4D1B">
    <w:pPr>
      <w:bidi w:val="0"/>
      <w:rPr>
        <w:rFonts w:ascii="Arial" w:hAnsi="Arial" w:cs="Arial"/>
        <w:sz w:val="22"/>
        <w:szCs w:val="22"/>
        <w:lang w:val="fr-CH"/>
      </w:rPr>
    </w:pPr>
    <w:r>
      <w:rPr>
        <w:rFonts w:ascii="Arial" w:hAnsi="Arial" w:cs="Arial"/>
        <w:sz w:val="22"/>
        <w:szCs w:val="22"/>
        <w:lang w:val="fr-CH"/>
      </w:rPr>
      <w:t>Annex</w:t>
    </w:r>
  </w:p>
  <w:p w:rsidR="004C4D1B" w:rsidRDefault="005C0F5E" w:rsidP="0023693F">
    <w:pPr>
      <w:bidi w:val="0"/>
      <w:rPr>
        <w:rFonts w:ascii="Arial" w:hAnsi="Arial" w:cs="Arial"/>
        <w:sz w:val="22"/>
        <w:szCs w:val="22"/>
      </w:rPr>
    </w:pPr>
    <w:r w:rsidRPr="005C0F5E">
      <w:rPr>
        <w:rFonts w:ascii="Arial" w:hAnsi="Arial" w:cs="Arial"/>
        <w:sz w:val="22"/>
        <w:szCs w:val="22"/>
      </w:rPr>
      <w:fldChar w:fldCharType="begin"/>
    </w:r>
    <w:r w:rsidRPr="005C0F5E">
      <w:rPr>
        <w:rFonts w:ascii="Arial" w:hAnsi="Arial" w:cs="Arial"/>
        <w:sz w:val="22"/>
        <w:szCs w:val="22"/>
      </w:rPr>
      <w:instrText xml:space="preserve"> PAGE   \* MERGEFORMAT </w:instrText>
    </w:r>
    <w:r w:rsidRPr="005C0F5E">
      <w:rPr>
        <w:rFonts w:ascii="Arial" w:hAnsi="Arial" w:cs="Arial"/>
        <w:sz w:val="22"/>
        <w:szCs w:val="22"/>
      </w:rPr>
      <w:fldChar w:fldCharType="separate"/>
    </w:r>
    <w:r w:rsidR="00FA5555">
      <w:rPr>
        <w:rFonts w:ascii="Arial" w:hAnsi="Arial" w:cs="Arial"/>
        <w:noProof/>
        <w:sz w:val="22"/>
        <w:szCs w:val="22"/>
      </w:rPr>
      <w:t>3</w:t>
    </w:r>
    <w:r w:rsidRPr="005C0F5E">
      <w:rPr>
        <w:rFonts w:ascii="Arial" w:hAnsi="Arial" w:cs="Arial"/>
        <w:noProof/>
        <w:sz w:val="22"/>
        <w:szCs w:val="22"/>
      </w:rPr>
      <w:fldChar w:fldCharType="end"/>
    </w:r>
  </w:p>
  <w:p w:rsidR="005C0F5E" w:rsidRPr="00C50A61" w:rsidRDefault="005C0F5E" w:rsidP="005C0F5E">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077" w:rsidRPr="00E56077" w:rsidRDefault="00E56077" w:rsidP="00E56077">
    <w:pPr>
      <w:pStyle w:val="Header"/>
      <w:bidi w:val="0"/>
      <w:rPr>
        <w:rFonts w:asciiTheme="minorBidi" w:hAnsiTheme="minorBidi" w:cstheme="minorBidi"/>
        <w:sz w:val="22"/>
        <w:szCs w:val="22"/>
        <w:lang w:val="fr-CH"/>
      </w:rPr>
    </w:pPr>
    <w:r w:rsidRPr="00E56077">
      <w:rPr>
        <w:rFonts w:asciiTheme="minorBidi" w:hAnsiTheme="minorBidi" w:cstheme="minorBidi"/>
        <w:sz w:val="22"/>
        <w:szCs w:val="22"/>
        <w:lang w:val="fr-CH"/>
      </w:rPr>
      <w:t>CDIP/25/INF/4</w:t>
    </w:r>
  </w:p>
  <w:p w:rsidR="00E56077" w:rsidRPr="00E56077" w:rsidRDefault="00E56077" w:rsidP="00E56077">
    <w:pPr>
      <w:pStyle w:val="Header"/>
      <w:bidi w:val="0"/>
      <w:rPr>
        <w:rFonts w:asciiTheme="minorBidi" w:hAnsiTheme="minorBidi" w:cstheme="minorBidi"/>
        <w:sz w:val="22"/>
        <w:szCs w:val="22"/>
        <w:lang w:val="fr-CH"/>
      </w:rPr>
    </w:pPr>
    <w:r w:rsidRPr="00E56077">
      <w:rPr>
        <w:rFonts w:asciiTheme="minorBidi" w:hAnsiTheme="minorBidi" w:cstheme="minorBidi"/>
        <w:sz w:val="22"/>
        <w:szCs w:val="22"/>
        <w:lang w:val="fr-CH"/>
      </w:rPr>
      <w:t>ANNEX</w:t>
    </w:r>
  </w:p>
  <w:p w:rsidR="00E56077" w:rsidRPr="00E56077" w:rsidRDefault="00E56077" w:rsidP="00E56077">
    <w:pPr>
      <w:pStyle w:val="Header"/>
      <w:jc w:val="right"/>
      <w:rPr>
        <w:rtl/>
        <w:lang w:val="fr-CH"/>
      </w:rPr>
    </w:pPr>
    <w:r>
      <w:rPr>
        <w:rFonts w:hint="cs"/>
        <w:rtl/>
        <w:lang w:val="fr-CH"/>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DDE8C51E"/>
    <w:lvl w:ilvl="0">
      <w:numFmt w:val="bullet"/>
      <w:lvlText w:val="-"/>
      <w:lvlJc w:val="left"/>
      <w:pPr>
        <w:ind w:left="786" w:hanging="360"/>
      </w:pPr>
      <w:rPr>
        <w:rFonts w:ascii="Arabic Typesetting" w:eastAsia="Times New Roman" w:hAnsi="Arabic Typesetting" w:cs="Arabic Typesetting"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23AB117E"/>
    <w:multiLevelType w:val="hybridMultilevel"/>
    <w:tmpl w:val="73064816"/>
    <w:lvl w:ilvl="0" w:tplc="DDE8C51E">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BE5035"/>
    <w:multiLevelType w:val="hybridMultilevel"/>
    <w:tmpl w:val="A776DEE2"/>
    <w:lvl w:ilvl="0" w:tplc="734211A4">
      <w:numFmt w:val="bullet"/>
      <w:lvlText w:val="-"/>
      <w:lvlJc w:val="left"/>
      <w:pPr>
        <w:ind w:left="1211" w:hanging="360"/>
      </w:pPr>
      <w:rPr>
        <w:rFonts w:ascii="Arial" w:eastAsia="SimSu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15:restartNumberingAfterBreak="0">
    <w:nsid w:val="2DFA7F82"/>
    <w:multiLevelType w:val="hybridMultilevel"/>
    <w:tmpl w:val="E9BA074A"/>
    <w:lvl w:ilvl="0" w:tplc="734211A4">
      <w:numFmt w:val="bullet"/>
      <w:lvlText w:val="-"/>
      <w:lvlJc w:val="left"/>
      <w:pPr>
        <w:ind w:left="1211" w:hanging="360"/>
      </w:pPr>
      <w:rPr>
        <w:rFonts w:ascii="Arial" w:eastAsia="SimSu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15:restartNumberingAfterBreak="0">
    <w:nsid w:val="37BD0CCE"/>
    <w:multiLevelType w:val="hybridMultilevel"/>
    <w:tmpl w:val="F3D028D2"/>
    <w:lvl w:ilvl="0" w:tplc="DDE8C51E">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847BD5"/>
    <w:multiLevelType w:val="hybridMultilevel"/>
    <w:tmpl w:val="E4705E0A"/>
    <w:lvl w:ilvl="0" w:tplc="DDE8C51E">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794F13"/>
    <w:multiLevelType w:val="hybridMultilevel"/>
    <w:tmpl w:val="8B1C34AA"/>
    <w:lvl w:ilvl="0" w:tplc="DDE8C51E">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7" w15:restartNumberingAfterBreak="0">
    <w:nsid w:val="643927C0"/>
    <w:multiLevelType w:val="hybridMultilevel"/>
    <w:tmpl w:val="3D5A03AC"/>
    <w:lvl w:ilvl="0" w:tplc="DDE8C51E">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6"/>
  </w:num>
  <w:num w:numId="13">
    <w:abstractNumId w:val="15"/>
  </w:num>
  <w:num w:numId="14">
    <w:abstractNumId w:val="17"/>
  </w:num>
  <w:num w:numId="15">
    <w:abstractNumId w:val="12"/>
  </w:num>
  <w:num w:numId="16">
    <w:abstractNumId w:val="14"/>
  </w:num>
  <w:num w:numId="17">
    <w:abstractNumId w:val="13"/>
  </w:num>
  <w:num w:numId="18">
    <w:abstractNumId w:val="11"/>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F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4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3CF6"/>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288A"/>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4D1B"/>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5A13"/>
    <w:rsid w:val="00576319"/>
    <w:rsid w:val="0057648C"/>
    <w:rsid w:val="00576AF3"/>
    <w:rsid w:val="005775CA"/>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0F5E"/>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35D"/>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4C0"/>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57C74"/>
    <w:rsid w:val="0076281A"/>
    <w:rsid w:val="00762ADE"/>
    <w:rsid w:val="0076365D"/>
    <w:rsid w:val="007642DC"/>
    <w:rsid w:val="007660E6"/>
    <w:rsid w:val="007661A9"/>
    <w:rsid w:val="007662C0"/>
    <w:rsid w:val="0076742F"/>
    <w:rsid w:val="00767712"/>
    <w:rsid w:val="007679FF"/>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835"/>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77C91"/>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3E9"/>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5D39"/>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3D2E"/>
    <w:rsid w:val="00C668DE"/>
    <w:rsid w:val="00C7044F"/>
    <w:rsid w:val="00C71881"/>
    <w:rsid w:val="00C720F8"/>
    <w:rsid w:val="00C7294B"/>
    <w:rsid w:val="00C75139"/>
    <w:rsid w:val="00C7525C"/>
    <w:rsid w:val="00C760A6"/>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0ED"/>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2014"/>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077"/>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5007"/>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281"/>
    <w:rsid w:val="00FA5555"/>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2AF"/>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2E8DD4D-4DFD-6541-A36E-7A911D25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spacing w:before="200"/>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FA5281"/>
    <w:pPr>
      <w:ind w:left="720"/>
      <w:contextualSpacing/>
    </w:pPr>
  </w:style>
  <w:style w:type="paragraph" w:customStyle="1" w:styleId="EndofDocumentAR">
    <w:name w:val="End_of_Document_AR"/>
    <w:basedOn w:val="Normal"/>
    <w:next w:val="Normal"/>
    <w:rsid w:val="00575A13"/>
    <w:pPr>
      <w:spacing w:after="240" w:line="360" w:lineRule="exact"/>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3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ar/agenda/work_underta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F367-8330-4956-988E-C936576C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5656</Characters>
  <Application>Microsoft Office Word</Application>
  <DocSecurity>4</DocSecurity>
  <Lines>126</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CDIP/25/ (Arabic)</vt:lpstr>
      <vt:lpstr>CDIP/25/ (Arabic)</vt:lpstr>
    </vt:vector>
  </TitlesOfParts>
  <Company>World Intellectual Property Organization</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 (Arabic)</dc:title>
  <dc:creator>rose de sable</dc:creator>
  <cp:keywords>FOR OFFICIAL USE ONLY</cp:keywords>
  <cp:lastModifiedBy>ESTEVES DOS SANTOS Anabela</cp:lastModifiedBy>
  <cp:revision>2</cp:revision>
  <cp:lastPrinted>2020-04-21T08:22:00Z</cp:lastPrinted>
  <dcterms:created xsi:type="dcterms:W3CDTF">2020-04-21T12:31:00Z</dcterms:created>
  <dcterms:modified xsi:type="dcterms:W3CDTF">2020-04-21T12:31:00Z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39cdf818-25b7-4281-9f49-7b92c38e5a6d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