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057082" w:rsidP="00B053E9">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CDIP/</w:t>
      </w:r>
      <w:r w:rsidR="001E5546">
        <w:rPr>
          <w:rFonts w:ascii="Arial Black" w:eastAsia="SimSun" w:hAnsi="Arial Black" w:cs="Arial"/>
          <w:b/>
          <w:caps/>
          <w:noProof/>
          <w:sz w:val="16"/>
          <w:szCs w:val="16"/>
          <w:lang w:eastAsia="zh-CN"/>
        </w:rPr>
        <w:t>2</w:t>
      </w:r>
      <w:r w:rsidR="00B053E9">
        <w:rPr>
          <w:rFonts w:ascii="Arial Black" w:eastAsia="SimSun" w:hAnsi="Arial Black" w:cs="Arial"/>
          <w:b/>
          <w:caps/>
          <w:noProof/>
          <w:sz w:val="16"/>
          <w:szCs w:val="16"/>
          <w:lang w:eastAsia="zh-CN"/>
        </w:rPr>
        <w:t>4</w:t>
      </w:r>
      <w:r>
        <w:rPr>
          <w:rFonts w:ascii="Arial Black" w:eastAsia="SimSun" w:hAnsi="Arial Black" w:cs="Arial"/>
          <w:b/>
          <w:caps/>
          <w:noProof/>
          <w:sz w:val="16"/>
          <w:szCs w:val="16"/>
          <w:lang w:eastAsia="zh-CN"/>
        </w:rPr>
        <w:t>/</w:t>
      </w:r>
      <w:r w:rsidR="00326C21">
        <w:rPr>
          <w:rFonts w:ascii="Arial Black" w:eastAsia="SimSun" w:hAnsi="Arial Black" w:cs="Arial"/>
          <w:b/>
          <w:caps/>
          <w:noProof/>
          <w:sz w:val="16"/>
          <w:szCs w:val="16"/>
          <w:lang w:eastAsia="zh-CN"/>
        </w:rPr>
        <w:t>3</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326C21">
        <w:rPr>
          <w:rFonts w:hint="cs"/>
          <w:b/>
          <w:bCs/>
          <w:sz w:val="30"/>
          <w:szCs w:val="30"/>
          <w:rtl/>
        </w:rPr>
        <w:t>بالإنكليزية</w:t>
      </w:r>
    </w:p>
    <w:p w:rsidR="003F7284" w:rsidRPr="00326C21" w:rsidRDefault="003F7284" w:rsidP="007B272D">
      <w:pPr>
        <w:spacing w:line="720" w:lineRule="auto"/>
        <w:jc w:val="right"/>
        <w:rPr>
          <w:b/>
          <w:bCs/>
          <w:sz w:val="30"/>
          <w:szCs w:val="30"/>
          <w:rtl/>
          <w:lang w:val="pl-PL" w:bidi="ar-TN"/>
        </w:rPr>
      </w:pPr>
      <w:r w:rsidRPr="00BB6440">
        <w:rPr>
          <w:b/>
          <w:bCs/>
          <w:sz w:val="30"/>
          <w:szCs w:val="30"/>
          <w:rtl/>
        </w:rPr>
        <w:t>التاريخ:</w:t>
      </w:r>
      <w:r w:rsidR="005D79F6" w:rsidRPr="00BB6440">
        <w:rPr>
          <w:b/>
          <w:bCs/>
          <w:sz w:val="30"/>
          <w:szCs w:val="30"/>
          <w:rtl/>
        </w:rPr>
        <w:t xml:space="preserve"> </w:t>
      </w:r>
      <w:r w:rsidR="007B272D">
        <w:rPr>
          <w:b/>
          <w:bCs/>
          <w:sz w:val="30"/>
          <w:szCs w:val="30"/>
          <w:lang w:val="pl-PL" w:bidi="ar-TN"/>
        </w:rPr>
        <w:t>1</w:t>
      </w:r>
      <w:r w:rsidR="00326C21">
        <w:rPr>
          <w:rFonts w:hint="cs"/>
          <w:b/>
          <w:bCs/>
          <w:sz w:val="30"/>
          <w:szCs w:val="30"/>
          <w:rtl/>
          <w:lang w:val="pl-PL" w:bidi="ar-TN"/>
        </w:rPr>
        <w:t xml:space="preserve"> </w:t>
      </w:r>
      <w:r w:rsidR="003E73D1">
        <w:rPr>
          <w:rFonts w:hint="cs"/>
          <w:b/>
          <w:bCs/>
          <w:sz w:val="30"/>
          <w:szCs w:val="30"/>
          <w:rtl/>
          <w:lang w:val="fr-FR"/>
        </w:rPr>
        <w:t>سبتمبر</w:t>
      </w:r>
      <w:r w:rsidR="00326C21">
        <w:rPr>
          <w:rFonts w:hint="cs"/>
          <w:b/>
          <w:bCs/>
          <w:sz w:val="30"/>
          <w:szCs w:val="30"/>
          <w:rtl/>
          <w:lang w:val="pl-PL" w:bidi="ar-TN"/>
        </w:rPr>
        <w:t xml:space="preserve"> 2019</w:t>
      </w:r>
    </w:p>
    <w:p w:rsidR="002E7810" w:rsidRPr="00FD6D15" w:rsidRDefault="00057082" w:rsidP="009B7572">
      <w:pPr>
        <w:pStyle w:val="Heading1"/>
        <w:spacing w:after="600" w:line="240" w:lineRule="auto"/>
        <w:rPr>
          <w:rtl/>
        </w:rPr>
      </w:pPr>
      <w:r>
        <w:rPr>
          <w:rFonts w:hint="eastAsia"/>
          <w:rtl/>
        </w:rPr>
        <w:t>اللجنة</w:t>
      </w:r>
      <w:r>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rsidR="002E7810" w:rsidRPr="002E7810" w:rsidRDefault="00057082" w:rsidP="00B053E9">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B053E9">
        <w:rPr>
          <w:rFonts w:ascii="Arial Black" w:hAnsi="Arial Black" w:cs="PT Bold Heading" w:hint="cs"/>
          <w:sz w:val="30"/>
          <w:szCs w:val="30"/>
          <w:rtl/>
        </w:rPr>
        <w:t>الرابعة</w:t>
      </w:r>
      <w:r w:rsidR="001E5546">
        <w:rPr>
          <w:rFonts w:ascii="Arial Black" w:hAnsi="Arial Black" w:cs="PT Bold Heading" w:hint="cs"/>
          <w:sz w:val="30"/>
          <w:szCs w:val="30"/>
          <w:rtl/>
        </w:rPr>
        <w:t xml:space="preserve"> </w:t>
      </w:r>
      <w:r>
        <w:rPr>
          <w:rFonts w:ascii="Arial Black" w:hAnsi="Arial Black" w:cs="PT Bold Heading" w:hint="eastAsia"/>
          <w:sz w:val="30"/>
          <w:szCs w:val="30"/>
          <w:rtl/>
        </w:rPr>
        <w:t>والعشرون</w:t>
      </w:r>
    </w:p>
    <w:p w:rsidR="00326C21" w:rsidRPr="001C50C5" w:rsidRDefault="00326C21" w:rsidP="00326C21">
      <w:pPr>
        <w:spacing w:line="600" w:lineRule="auto"/>
        <w:rPr>
          <w:b/>
          <w:bCs/>
          <w:rtl/>
        </w:rPr>
      </w:pPr>
      <w:r w:rsidRPr="001C50C5">
        <w:rPr>
          <w:b/>
          <w:bCs/>
          <w:rtl/>
        </w:rPr>
        <w:t xml:space="preserve">جنيف، من </w:t>
      </w:r>
      <w:r>
        <w:rPr>
          <w:rFonts w:hint="cs"/>
          <w:b/>
          <w:bCs/>
          <w:rtl/>
        </w:rPr>
        <w:t>18 إ</w:t>
      </w:r>
      <w:r w:rsidRPr="001C50C5">
        <w:rPr>
          <w:b/>
          <w:bCs/>
          <w:rtl/>
        </w:rPr>
        <w:t xml:space="preserve">لى </w:t>
      </w:r>
      <w:r>
        <w:rPr>
          <w:rFonts w:hint="cs"/>
          <w:b/>
          <w:bCs/>
          <w:rtl/>
        </w:rPr>
        <w:t>22</w:t>
      </w:r>
      <w:r w:rsidRPr="001C50C5">
        <w:rPr>
          <w:b/>
          <w:bCs/>
          <w:rtl/>
        </w:rPr>
        <w:t xml:space="preserve"> نوفمبر 201</w:t>
      </w:r>
      <w:r>
        <w:rPr>
          <w:rFonts w:hint="cs"/>
          <w:b/>
          <w:bCs/>
          <w:rtl/>
        </w:rPr>
        <w:t>9</w:t>
      </w:r>
    </w:p>
    <w:p w:rsidR="00326C21" w:rsidRPr="001C50C5" w:rsidRDefault="00326C21" w:rsidP="00326C21">
      <w:pPr>
        <w:rPr>
          <w:rFonts w:ascii="Arial Black" w:hAnsi="Arial Black" w:cs="PT Bold Heading"/>
          <w:sz w:val="26"/>
          <w:szCs w:val="26"/>
          <w:rtl/>
        </w:rPr>
      </w:pPr>
      <w:r w:rsidRPr="001C50C5">
        <w:rPr>
          <w:rFonts w:ascii="Arial Black" w:hAnsi="Arial Black" w:cs="PT Bold Heading"/>
          <w:sz w:val="26"/>
          <w:szCs w:val="26"/>
          <w:rtl/>
        </w:rPr>
        <w:t xml:space="preserve">تقرير </w:t>
      </w:r>
      <w:r w:rsidR="00A454A7">
        <w:rPr>
          <w:rFonts w:ascii="Arial Black" w:hAnsi="Arial Black" w:cs="PT Bold Heading" w:hint="cs"/>
          <w:sz w:val="26"/>
          <w:szCs w:val="26"/>
          <w:rtl/>
        </w:rPr>
        <w:t xml:space="preserve">الإنجاز حول </w:t>
      </w:r>
      <w:r w:rsidR="00A454A7" w:rsidRPr="00A454A7">
        <w:rPr>
          <w:rFonts w:ascii="Arial Black" w:hAnsi="Arial Black" w:cs="PT Bold Heading"/>
          <w:sz w:val="26"/>
          <w:szCs w:val="26"/>
          <w:rtl/>
        </w:rPr>
        <w:t>مشروع استخدام المعلومات الموجودة في الملك العام لأغراض التنمية الاقتصادية</w:t>
      </w:r>
    </w:p>
    <w:p w:rsidR="00326C21" w:rsidRPr="001C50C5" w:rsidRDefault="00326C21" w:rsidP="00326C21">
      <w:pPr>
        <w:spacing w:before="200" w:after="960"/>
        <w:rPr>
          <w:i/>
          <w:iCs/>
          <w:rtl/>
          <w:lang w:val="fr-CH"/>
        </w:rPr>
      </w:pPr>
      <w:r w:rsidRPr="001C50C5">
        <w:rPr>
          <w:i/>
          <w:iCs/>
          <w:rtl/>
        </w:rPr>
        <w:t>من إعداد</w:t>
      </w:r>
      <w:r w:rsidRPr="001C50C5">
        <w:rPr>
          <w:rFonts w:hint="cs"/>
          <w:i/>
          <w:iCs/>
          <w:rtl/>
        </w:rPr>
        <w:t xml:space="preserve"> الأمانة</w:t>
      </w:r>
    </w:p>
    <w:p w:rsidR="00326C21" w:rsidRPr="001C50C5" w:rsidRDefault="00A454A7" w:rsidP="00A454A7">
      <w:pPr>
        <w:pStyle w:val="ONUMA"/>
        <w:rPr>
          <w:lang w:bidi="ar-EG"/>
        </w:rPr>
      </w:pPr>
      <w:r>
        <w:rPr>
          <w:rFonts w:hint="cs"/>
          <w:rtl/>
        </w:rPr>
        <w:t>ي</w:t>
      </w:r>
      <w:r w:rsidR="00326C21" w:rsidRPr="001C50C5">
        <w:rPr>
          <w:rtl/>
        </w:rPr>
        <w:t>تضمن مرفق</w:t>
      </w:r>
      <w:r>
        <w:rPr>
          <w:rFonts w:hint="cs"/>
          <w:rtl/>
        </w:rPr>
        <w:t xml:space="preserve"> </w:t>
      </w:r>
      <w:r w:rsidR="00326C21" w:rsidRPr="001C50C5">
        <w:rPr>
          <w:rtl/>
        </w:rPr>
        <w:t xml:space="preserve">هذه الوثيقة </w:t>
      </w:r>
      <w:r>
        <w:rPr>
          <w:rFonts w:hint="cs"/>
          <w:rtl/>
        </w:rPr>
        <w:t xml:space="preserve">تقرير الإنجاز حول </w:t>
      </w:r>
      <w:r w:rsidRPr="00A454A7">
        <w:rPr>
          <w:rtl/>
        </w:rPr>
        <w:t>مشروع استخدام</w:t>
      </w:r>
      <w:r w:rsidR="00326C21" w:rsidRPr="001C50C5">
        <w:rPr>
          <w:rtl/>
          <w:lang w:bidi="ar-EG"/>
        </w:rPr>
        <w:t xml:space="preserve"> المعلومات الموجودة في الملك العام لأغراض التنمية الاقتصادية</w:t>
      </w:r>
      <w:r>
        <w:rPr>
          <w:rFonts w:hint="cs"/>
          <w:rtl/>
          <w:lang w:bidi="ar-EG"/>
        </w:rPr>
        <w:t>، وهو أحد مشاريع جدول أعمال التنمية. ويغطي التقرير كامل فترة تنفيذ المشروع، أي من أكتوبر 2016 إلى يونيو 2019.</w:t>
      </w:r>
    </w:p>
    <w:p w:rsidR="00326C21" w:rsidRPr="001C50C5" w:rsidRDefault="00326C21" w:rsidP="00326C21">
      <w:pPr>
        <w:pStyle w:val="Decision"/>
      </w:pPr>
      <w:r w:rsidRPr="001C50C5">
        <w:rPr>
          <w:rtl/>
        </w:rPr>
        <w:t>إن اللجنة المعنية بالتنمية والملكية الفكرية مدعوة إلى الإحاطة علماً بالمعلومات الواردة في مرفق هذه</w:t>
      </w:r>
      <w:r w:rsidR="00A454A7">
        <w:rPr>
          <w:rFonts w:hint="cs"/>
          <w:rtl/>
        </w:rPr>
        <w:t xml:space="preserve"> </w:t>
      </w:r>
      <w:r w:rsidRPr="001C50C5">
        <w:rPr>
          <w:rtl/>
        </w:rPr>
        <w:t>الوثيقة.</w:t>
      </w:r>
    </w:p>
    <w:p w:rsidR="00326C21" w:rsidRPr="001C50C5" w:rsidRDefault="00326C21" w:rsidP="00326C21">
      <w:pPr>
        <w:spacing w:before="200"/>
        <w:ind w:left="5534"/>
        <w:rPr>
          <w:rtl/>
        </w:rPr>
      </w:pPr>
      <w:r w:rsidRPr="001C50C5">
        <w:rPr>
          <w:rtl/>
        </w:rPr>
        <w:t>[</w:t>
      </w:r>
      <w:r w:rsidR="00A454A7">
        <w:rPr>
          <w:rFonts w:hint="cs"/>
          <w:rtl/>
        </w:rPr>
        <w:t>ي</w:t>
      </w:r>
      <w:r w:rsidRPr="001C50C5">
        <w:rPr>
          <w:rtl/>
        </w:rPr>
        <w:t>لي ذلك</w:t>
      </w:r>
      <w:r w:rsidR="003E73D1">
        <w:rPr>
          <w:rFonts w:hint="cs"/>
          <w:rtl/>
        </w:rPr>
        <w:t xml:space="preserve"> المرفق</w:t>
      </w:r>
      <w:r w:rsidRPr="001C50C5">
        <w:rPr>
          <w:rtl/>
        </w:rPr>
        <w:t>]</w:t>
      </w:r>
    </w:p>
    <w:p w:rsidR="00326C21" w:rsidRPr="001C50C5" w:rsidRDefault="00326C21" w:rsidP="00326C21">
      <w:pPr>
        <w:rPr>
          <w:rtl/>
        </w:rPr>
        <w:sectPr w:rsidR="00326C21" w:rsidRPr="001C50C5" w:rsidSect="000A2DA6">
          <w:headerReference w:type="even" r:id="rId9"/>
          <w:headerReference w:type="default" r:id="rId10"/>
          <w:footerReference w:type="even" r:id="rId11"/>
          <w:footerReference w:type="default" r:id="rId12"/>
          <w:headerReference w:type="first" r:id="rId13"/>
          <w:pgSz w:w="11907" w:h="16840" w:code="9"/>
          <w:pgMar w:top="567" w:right="1418" w:bottom="1418" w:left="1134" w:header="510" w:footer="1021" w:gutter="0"/>
          <w:cols w:space="720"/>
          <w:titlePg/>
          <w:docGrid w:linePitch="490"/>
        </w:sectPr>
      </w:pPr>
    </w:p>
    <w:tbl>
      <w:tblPr>
        <w:bidiVisual/>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326C21" w:rsidRPr="001C50C5" w:rsidTr="00A454A7">
        <w:trPr>
          <w:trHeight w:val="440"/>
        </w:trPr>
        <w:tc>
          <w:tcPr>
            <w:tcW w:w="9288" w:type="dxa"/>
            <w:gridSpan w:val="2"/>
            <w:shd w:val="clear" w:color="auto" w:fill="auto"/>
            <w:vAlign w:val="center"/>
          </w:tcPr>
          <w:p w:rsidR="00326C21" w:rsidRPr="001B7AF9" w:rsidRDefault="00326C21" w:rsidP="00A454A7">
            <w:pPr>
              <w:rPr>
                <w:b/>
                <w:i/>
                <w:sz w:val="40"/>
                <w:szCs w:val="40"/>
              </w:rPr>
            </w:pPr>
            <w:r w:rsidRPr="001B7AF9">
              <w:rPr>
                <w:rFonts w:hint="cs"/>
                <w:b/>
                <w:i/>
                <w:sz w:val="40"/>
                <w:szCs w:val="40"/>
                <w:rtl/>
              </w:rPr>
              <w:lastRenderedPageBreak/>
              <w:t>ملخص المشروع</w:t>
            </w:r>
          </w:p>
        </w:tc>
      </w:tr>
      <w:tr w:rsidR="00326C21" w:rsidRPr="001C50C5" w:rsidTr="00A454A7">
        <w:trPr>
          <w:trHeight w:val="496"/>
        </w:trPr>
        <w:tc>
          <w:tcPr>
            <w:tcW w:w="2376" w:type="dxa"/>
            <w:shd w:val="clear" w:color="auto" w:fill="auto"/>
          </w:tcPr>
          <w:p w:rsidR="00326C21" w:rsidRPr="001B7AF9" w:rsidRDefault="00326C21" w:rsidP="00A454A7">
            <w:pPr>
              <w:rPr>
                <w:b/>
                <w:u w:val="single"/>
              </w:rPr>
            </w:pPr>
            <w:r w:rsidRPr="001B7AF9">
              <w:rPr>
                <w:b/>
                <w:u w:val="single"/>
                <w:rtl/>
              </w:rPr>
              <w:t>رمز المشروع</w:t>
            </w:r>
          </w:p>
        </w:tc>
        <w:tc>
          <w:tcPr>
            <w:tcW w:w="6912" w:type="dxa"/>
            <w:shd w:val="clear" w:color="auto" w:fill="auto"/>
            <w:vAlign w:val="center"/>
          </w:tcPr>
          <w:p w:rsidR="00326C21" w:rsidRPr="002D025D" w:rsidRDefault="00381DCA" w:rsidP="00A454A7">
            <w:r w:rsidRPr="00381DCA">
              <w:t>DA_16_20_03</w:t>
            </w:r>
          </w:p>
        </w:tc>
      </w:tr>
      <w:tr w:rsidR="00326C21" w:rsidRPr="001C50C5" w:rsidTr="00A454A7">
        <w:trPr>
          <w:trHeight w:val="404"/>
        </w:trPr>
        <w:tc>
          <w:tcPr>
            <w:tcW w:w="2376" w:type="dxa"/>
            <w:shd w:val="clear" w:color="auto" w:fill="auto"/>
          </w:tcPr>
          <w:p w:rsidR="00326C21" w:rsidRPr="001B7AF9" w:rsidRDefault="00326C21" w:rsidP="00A454A7">
            <w:pPr>
              <w:rPr>
                <w:b/>
                <w:u w:val="single"/>
              </w:rPr>
            </w:pPr>
            <w:r w:rsidRPr="001B7AF9">
              <w:rPr>
                <w:rFonts w:hint="cs"/>
                <w:b/>
                <w:u w:val="single"/>
                <w:rtl/>
              </w:rPr>
              <w:t>العنوان</w:t>
            </w:r>
          </w:p>
          <w:p w:rsidR="00326C21" w:rsidRPr="001C50C5" w:rsidRDefault="00326C21" w:rsidP="00A454A7"/>
        </w:tc>
        <w:tc>
          <w:tcPr>
            <w:tcW w:w="6912" w:type="dxa"/>
            <w:shd w:val="clear" w:color="auto" w:fill="auto"/>
            <w:vAlign w:val="center"/>
          </w:tcPr>
          <w:p w:rsidR="00326C21" w:rsidRPr="001A1A30" w:rsidRDefault="00381DCA" w:rsidP="00A454A7">
            <w:r w:rsidRPr="00A454A7">
              <w:rPr>
                <w:rtl/>
              </w:rPr>
              <w:t>استخدام</w:t>
            </w:r>
            <w:r w:rsidRPr="001C50C5">
              <w:rPr>
                <w:rtl/>
                <w:lang w:bidi="ar-EG"/>
              </w:rPr>
              <w:t xml:space="preserve"> المعلومات الموجودة في الملك العام لأغراض التنمية الاقتصادية</w:t>
            </w:r>
            <w:r w:rsidR="00326C21" w:rsidRPr="001A1A30">
              <w:rPr>
                <w:rtl/>
              </w:rPr>
              <w:t>.</w:t>
            </w:r>
          </w:p>
          <w:p w:rsidR="00326C21" w:rsidRPr="001C50C5" w:rsidRDefault="00326C21" w:rsidP="00A454A7">
            <w:pPr>
              <w:rPr>
                <w:i/>
              </w:rPr>
            </w:pPr>
          </w:p>
        </w:tc>
      </w:tr>
      <w:tr w:rsidR="00326C21" w:rsidRPr="001C50C5" w:rsidTr="00A454A7">
        <w:trPr>
          <w:trHeight w:val="704"/>
        </w:trPr>
        <w:tc>
          <w:tcPr>
            <w:tcW w:w="2376" w:type="dxa"/>
            <w:shd w:val="clear" w:color="auto" w:fill="auto"/>
          </w:tcPr>
          <w:p w:rsidR="00326C21" w:rsidRPr="00117E13" w:rsidRDefault="00326C21" w:rsidP="00A454A7">
            <w:pPr>
              <w:rPr>
                <w:b/>
                <w:u w:val="single"/>
                <w:rtl/>
                <w:lang w:val="pl-PL" w:bidi="ar-TN"/>
              </w:rPr>
            </w:pPr>
            <w:r w:rsidRPr="001B7AF9">
              <w:rPr>
                <w:b/>
                <w:u w:val="single"/>
                <w:rtl/>
              </w:rPr>
              <w:t xml:space="preserve">توصيات </w:t>
            </w:r>
            <w:r w:rsidR="00117E13">
              <w:rPr>
                <w:rFonts w:hint="cs"/>
                <w:b/>
                <w:u w:val="single"/>
                <w:rtl/>
                <w:lang w:val="pl-PL" w:bidi="ar-TN"/>
              </w:rPr>
              <w:t>أجندة التنمية</w:t>
            </w:r>
          </w:p>
        </w:tc>
        <w:tc>
          <w:tcPr>
            <w:tcW w:w="6912" w:type="dxa"/>
            <w:shd w:val="clear" w:color="auto" w:fill="auto"/>
          </w:tcPr>
          <w:p w:rsidR="00381DCA" w:rsidRDefault="00381DCA" w:rsidP="00381DCA">
            <w:pPr>
              <w:rPr>
                <w:rtl/>
              </w:rPr>
            </w:pPr>
            <w:r>
              <w:rPr>
                <w:rtl/>
              </w:rPr>
              <w:t>التوصية 16: أخذ حماية الملك العام بعين الاعتبار عند وضع القواعد والمعايير في سياق الويبو والتعمق في تحليل العواقب والمنافع الناتجة عن ملك عام غزير ومفتوح.</w:t>
            </w:r>
          </w:p>
          <w:p w:rsidR="00326C21" w:rsidRDefault="00381DCA" w:rsidP="00381DCA">
            <w:pPr>
              <w:rPr>
                <w:rtl/>
              </w:rPr>
            </w:pPr>
            <w:r>
              <w:rPr>
                <w:rtl/>
              </w:rPr>
              <w:t>التوصية 20: النهوض بأنشطة وضع القواعد والمعايير المرتبطة بالملكية الفكرية والداعمة لملك عام متين في الدول الأعضاء في الويبو، بما في ذلك إمكانية إعداد مبادئ توجيهية بإمكانها أن تساعد الدول الأعضاء المهتمة بالموضوع على تحديد المواد التي آلت إلى الملك العام وفقا لأنظمتها القانونية.</w:t>
            </w:r>
          </w:p>
          <w:p w:rsidR="00117E13" w:rsidRPr="001C50C5" w:rsidRDefault="00117E13" w:rsidP="00381DCA">
            <w:pPr>
              <w:rPr>
                <w:i/>
                <w:lang w:val="en"/>
              </w:rPr>
            </w:pPr>
          </w:p>
        </w:tc>
      </w:tr>
      <w:tr w:rsidR="00326C21" w:rsidRPr="001C50C5" w:rsidTr="00A454A7">
        <w:tc>
          <w:tcPr>
            <w:tcW w:w="2376" w:type="dxa"/>
            <w:shd w:val="clear" w:color="auto" w:fill="auto"/>
          </w:tcPr>
          <w:p w:rsidR="00326C21" w:rsidRPr="001B7AF9" w:rsidRDefault="00326C21" w:rsidP="00A454A7">
            <w:pPr>
              <w:rPr>
                <w:b/>
                <w:u w:val="single"/>
              </w:rPr>
            </w:pPr>
            <w:r w:rsidRPr="001B7AF9">
              <w:rPr>
                <w:b/>
                <w:u w:val="single"/>
                <w:rtl/>
              </w:rPr>
              <w:t>ميزانية المشروع</w:t>
            </w:r>
          </w:p>
          <w:p w:rsidR="00326C21" w:rsidRPr="001B7AF9" w:rsidRDefault="00326C21" w:rsidP="00A454A7">
            <w:pPr>
              <w:rPr>
                <w:b/>
                <w:u w:val="single"/>
              </w:rPr>
            </w:pPr>
          </w:p>
        </w:tc>
        <w:tc>
          <w:tcPr>
            <w:tcW w:w="6912" w:type="dxa"/>
            <w:shd w:val="clear" w:color="auto" w:fill="auto"/>
          </w:tcPr>
          <w:p w:rsidR="00381DCA" w:rsidRDefault="00381DCA" w:rsidP="00381DCA">
            <w:pPr>
              <w:rPr>
                <w:rtl/>
              </w:rPr>
            </w:pPr>
            <w:r>
              <w:rPr>
                <w:rFonts w:hint="cs"/>
                <w:rtl/>
              </w:rPr>
              <w:t>ال</w:t>
            </w:r>
            <w:r>
              <w:rPr>
                <w:rtl/>
              </w:rPr>
              <w:t xml:space="preserve">تكاليف </w:t>
            </w:r>
            <w:r>
              <w:rPr>
                <w:rFonts w:hint="cs"/>
                <w:rtl/>
              </w:rPr>
              <w:t xml:space="preserve">بخلاف </w:t>
            </w:r>
            <w:r>
              <w:rPr>
                <w:rtl/>
              </w:rPr>
              <w:t xml:space="preserve">الموظفين: </w:t>
            </w:r>
            <w:r>
              <w:rPr>
                <w:rFonts w:hint="cs"/>
                <w:rtl/>
              </w:rPr>
              <w:t>300,000</w:t>
            </w:r>
            <w:r>
              <w:rPr>
                <w:rtl/>
              </w:rPr>
              <w:t xml:space="preserve"> فرنك سويسري (2016-2017)</w:t>
            </w:r>
            <w:r>
              <w:rPr>
                <w:rFonts w:hint="cs"/>
                <w:rtl/>
              </w:rPr>
              <w:t xml:space="preserve"> و 200,000 </w:t>
            </w:r>
            <w:r>
              <w:rPr>
                <w:rtl/>
              </w:rPr>
              <w:t>فرنك سويسري (2018</w:t>
            </w:r>
            <w:r>
              <w:rPr>
                <w:rFonts w:hint="cs"/>
                <w:rtl/>
              </w:rPr>
              <w:t>-2019</w:t>
            </w:r>
            <w:r>
              <w:rPr>
                <w:rtl/>
              </w:rPr>
              <w:t>)*</w:t>
            </w:r>
          </w:p>
          <w:p w:rsidR="00326C21" w:rsidRDefault="00381DCA" w:rsidP="00381DCA">
            <w:pPr>
              <w:rPr>
                <w:rtl/>
              </w:rPr>
            </w:pPr>
            <w:r>
              <w:rPr>
                <w:rtl/>
              </w:rPr>
              <w:t xml:space="preserve">تكاليف الموظفين: </w:t>
            </w:r>
            <w:r>
              <w:rPr>
                <w:rFonts w:hint="cs"/>
                <w:rtl/>
              </w:rPr>
              <w:t>150,000</w:t>
            </w:r>
            <w:r>
              <w:rPr>
                <w:rtl/>
              </w:rPr>
              <w:t xml:space="preserve"> فرنك سويسري (2016-2017)</w:t>
            </w:r>
            <w:r>
              <w:rPr>
                <w:rFonts w:hint="cs"/>
                <w:rtl/>
              </w:rPr>
              <w:t xml:space="preserve"> و150,000</w:t>
            </w:r>
            <w:r>
              <w:rPr>
                <w:rtl/>
              </w:rPr>
              <w:t xml:space="preserve"> فرنك سويسري (2018</w:t>
            </w:r>
            <w:r>
              <w:rPr>
                <w:rFonts w:hint="cs"/>
                <w:rtl/>
              </w:rPr>
              <w:t>-2019</w:t>
            </w:r>
            <w:r>
              <w:rPr>
                <w:rtl/>
              </w:rPr>
              <w:t>)*</w:t>
            </w:r>
          </w:p>
          <w:p w:rsidR="00381DCA" w:rsidRDefault="00381DCA" w:rsidP="00381DCA">
            <w:pPr>
              <w:rPr>
                <w:rtl/>
              </w:rPr>
            </w:pPr>
            <w:r>
              <w:rPr>
                <w:rFonts w:hint="cs"/>
                <w:rtl/>
              </w:rPr>
              <w:t>أعيد تخصيص 50,000 من التكاليف بخلاف الموظفين إلى تكاليف الموظفين في 2018-2019، ومدّدت فترة تنفيذ المشروع ستة أشهر، بعد أن أقرته الدول الأعضاء في الدورة الثانية والعشرين للجنة المعنية بالتنمية والملكية الفكرية.</w:t>
            </w:r>
          </w:p>
          <w:p w:rsidR="00117E13" w:rsidRPr="001C50C5" w:rsidRDefault="00117E13" w:rsidP="00381DCA"/>
        </w:tc>
      </w:tr>
      <w:tr w:rsidR="00326C21" w:rsidRPr="001C50C5" w:rsidTr="00A454A7">
        <w:trPr>
          <w:trHeight w:val="704"/>
        </w:trPr>
        <w:tc>
          <w:tcPr>
            <w:tcW w:w="2376" w:type="dxa"/>
            <w:shd w:val="clear" w:color="auto" w:fill="auto"/>
          </w:tcPr>
          <w:p w:rsidR="00326C21" w:rsidRPr="001B7AF9" w:rsidRDefault="00326C21" w:rsidP="00A454A7">
            <w:pPr>
              <w:rPr>
                <w:b/>
                <w:u w:val="single"/>
              </w:rPr>
            </w:pPr>
            <w:r w:rsidRPr="001B7AF9">
              <w:rPr>
                <w:b/>
                <w:u w:val="single"/>
                <w:rtl/>
              </w:rPr>
              <w:t>مدة المشروع</w:t>
            </w:r>
          </w:p>
          <w:p w:rsidR="00326C21" w:rsidRPr="001B7AF9" w:rsidRDefault="00326C21" w:rsidP="00A454A7">
            <w:pPr>
              <w:rPr>
                <w:b/>
                <w:u w:val="single"/>
              </w:rPr>
            </w:pPr>
          </w:p>
        </w:tc>
        <w:tc>
          <w:tcPr>
            <w:tcW w:w="6912" w:type="dxa"/>
            <w:shd w:val="clear" w:color="auto" w:fill="auto"/>
          </w:tcPr>
          <w:p w:rsidR="00326C21" w:rsidRDefault="00F93561" w:rsidP="00A454A7">
            <w:pPr>
              <w:rPr>
                <w:rtl/>
              </w:rPr>
            </w:pPr>
            <w:r>
              <w:rPr>
                <w:rFonts w:hint="cs"/>
                <w:rtl/>
              </w:rPr>
              <w:t>36</w:t>
            </w:r>
            <w:r w:rsidR="00326C21" w:rsidRPr="001C50C5">
              <w:rPr>
                <w:rtl/>
              </w:rPr>
              <w:t xml:space="preserve"> شهر</w:t>
            </w:r>
            <w:r w:rsidR="00326C21" w:rsidRPr="001C50C5">
              <w:rPr>
                <w:rFonts w:hint="cs"/>
                <w:rtl/>
              </w:rPr>
              <w:t>ا</w:t>
            </w:r>
          </w:p>
          <w:p w:rsidR="00117E13" w:rsidRPr="001C50C5" w:rsidRDefault="00117E13" w:rsidP="00A454A7">
            <w:pPr>
              <w:rPr>
                <w:rtl/>
              </w:rPr>
            </w:pPr>
          </w:p>
        </w:tc>
      </w:tr>
      <w:tr w:rsidR="00326C21" w:rsidRPr="001C50C5" w:rsidTr="00A454A7">
        <w:trPr>
          <w:trHeight w:val="704"/>
        </w:trPr>
        <w:tc>
          <w:tcPr>
            <w:tcW w:w="2376" w:type="dxa"/>
            <w:shd w:val="clear" w:color="auto" w:fill="auto"/>
          </w:tcPr>
          <w:p w:rsidR="00326C21" w:rsidRPr="001B7AF9" w:rsidRDefault="00326C21" w:rsidP="00A454A7">
            <w:pPr>
              <w:rPr>
                <w:b/>
                <w:u w:val="single"/>
              </w:rPr>
            </w:pPr>
            <w:r w:rsidRPr="001B7AF9">
              <w:rPr>
                <w:b/>
                <w:u w:val="single"/>
                <w:rtl/>
              </w:rPr>
              <w:t>قطاعات الويبو الرئيسية المعنية والصلة ببرامج الويبو</w:t>
            </w:r>
          </w:p>
        </w:tc>
        <w:tc>
          <w:tcPr>
            <w:tcW w:w="6912" w:type="dxa"/>
            <w:shd w:val="clear" w:color="auto" w:fill="auto"/>
          </w:tcPr>
          <w:p w:rsidR="00117E13" w:rsidRDefault="00326C21" w:rsidP="00117E13">
            <w:pPr>
              <w:spacing w:after="240" w:line="360" w:lineRule="exact"/>
              <w:rPr>
                <w:rtl/>
                <w:lang w:bidi="ar-EG"/>
              </w:rPr>
            </w:pPr>
            <w:r w:rsidRPr="001C50C5">
              <w:rPr>
                <w:rtl/>
                <w:lang w:bidi="ar-EG"/>
              </w:rPr>
              <w:t>الصلة بالبرامج</w:t>
            </w:r>
            <w:r w:rsidR="00F93561">
              <w:rPr>
                <w:rFonts w:hint="cs"/>
                <w:rtl/>
                <w:lang w:bidi="ar-EG"/>
              </w:rPr>
              <w:t xml:space="preserve"> 1 و9 و10 و14</w:t>
            </w:r>
            <w:r w:rsidRPr="001C50C5">
              <w:rPr>
                <w:rFonts w:hint="cs"/>
                <w:rtl/>
                <w:lang w:bidi="ar-EG"/>
              </w:rPr>
              <w:t>.</w:t>
            </w:r>
          </w:p>
          <w:p w:rsidR="00117E13" w:rsidRPr="001C50C5" w:rsidRDefault="00117E13" w:rsidP="00117E13">
            <w:pPr>
              <w:spacing w:after="240" w:line="360" w:lineRule="exact"/>
              <w:rPr>
                <w:lang w:bidi="ar-EG"/>
              </w:rPr>
            </w:pPr>
          </w:p>
        </w:tc>
      </w:tr>
      <w:tr w:rsidR="00326C21" w:rsidRPr="001C50C5" w:rsidTr="00A454A7">
        <w:trPr>
          <w:trHeight w:val="704"/>
        </w:trPr>
        <w:tc>
          <w:tcPr>
            <w:tcW w:w="2376" w:type="dxa"/>
            <w:shd w:val="clear" w:color="auto" w:fill="auto"/>
          </w:tcPr>
          <w:p w:rsidR="00326C21" w:rsidRPr="001B7AF9" w:rsidRDefault="00326C21" w:rsidP="00A454A7">
            <w:pPr>
              <w:rPr>
                <w:b/>
                <w:u w:val="single"/>
              </w:rPr>
            </w:pPr>
            <w:r w:rsidRPr="001B7AF9">
              <w:rPr>
                <w:b/>
                <w:u w:val="single"/>
                <w:rtl/>
              </w:rPr>
              <w:t>وصف مقتضب للمشروع</w:t>
            </w:r>
          </w:p>
          <w:p w:rsidR="00326C21" w:rsidRPr="001B7AF9" w:rsidRDefault="00326C21" w:rsidP="00A454A7">
            <w:pPr>
              <w:rPr>
                <w:b/>
                <w:u w:val="single"/>
              </w:rPr>
            </w:pPr>
          </w:p>
        </w:tc>
        <w:tc>
          <w:tcPr>
            <w:tcW w:w="6912" w:type="dxa"/>
            <w:shd w:val="clear" w:color="auto" w:fill="auto"/>
          </w:tcPr>
          <w:p w:rsidR="000B6A83" w:rsidRDefault="000B6A83" w:rsidP="000B6A83">
            <w:pPr>
              <w:rPr>
                <w:rtl/>
              </w:rPr>
            </w:pPr>
            <w:r>
              <w:rPr>
                <w:rFonts w:hint="cs"/>
                <w:rtl/>
              </w:rPr>
              <w:t>ا</w:t>
            </w:r>
            <w:r>
              <w:rPr>
                <w:rtl/>
              </w:rPr>
              <w:t>ستند المشروع المُقترح إلى أنشطة البرنامج الجاري تنفيذها بغرض إنشاء وتطوير مراكز دعم التكنولوجيا والابتكار، ونتائج الدراسات المنجزة سابقاً بشأن الملكية الفكرية والملك العام (عنصر البراءات) وبشأن البراءات والملك العام، ويستند كذلك إلى بوابة الوضع القانوني القائمة والمُعدة في إطار مشروع جدول الأعمال بشأن بيانات الوضع القانوني للبراءات.</w:t>
            </w:r>
          </w:p>
          <w:p w:rsidR="00326C21" w:rsidRDefault="000B6A83" w:rsidP="000B6A83">
            <w:pPr>
              <w:rPr>
                <w:rtl/>
              </w:rPr>
            </w:pPr>
            <w:r>
              <w:rPr>
                <w:rtl/>
              </w:rPr>
              <w:t>و</w:t>
            </w:r>
            <w:r>
              <w:rPr>
                <w:rFonts w:hint="cs"/>
                <w:rtl/>
              </w:rPr>
              <w:t xml:space="preserve">كان </w:t>
            </w:r>
            <w:r>
              <w:rPr>
                <w:rtl/>
              </w:rPr>
              <w:t>المشروع</w:t>
            </w:r>
            <w:r>
              <w:rPr>
                <w:rFonts w:hint="cs"/>
                <w:rtl/>
              </w:rPr>
              <w:t xml:space="preserve"> يرمي</w:t>
            </w:r>
            <w:r>
              <w:rPr>
                <w:rtl/>
              </w:rPr>
              <w:t xml:space="preserve">، على وجه التحديد، إلى </w:t>
            </w:r>
            <w:r w:rsidR="00117E13">
              <w:rPr>
                <w:rFonts w:hint="cs"/>
                <w:rtl/>
              </w:rPr>
              <w:t xml:space="preserve">تعزيز </w:t>
            </w:r>
            <w:r>
              <w:rPr>
                <w:rtl/>
              </w:rPr>
              <w:t xml:space="preserve">الخدمات </w:t>
            </w:r>
            <w:r>
              <w:rPr>
                <w:rFonts w:hint="cs"/>
                <w:rtl/>
              </w:rPr>
              <w:t xml:space="preserve">الراهنة </w:t>
            </w:r>
            <w:r>
              <w:rPr>
                <w:rtl/>
              </w:rPr>
              <w:t xml:space="preserve">التي تقدمها مراكز دعم التكنولوجيا والابتكار </w:t>
            </w:r>
            <w:r w:rsidR="00117E13">
              <w:rPr>
                <w:rFonts w:hint="cs"/>
                <w:rtl/>
              </w:rPr>
              <w:t>و</w:t>
            </w:r>
            <w:r>
              <w:rPr>
                <w:rtl/>
              </w:rPr>
              <w:t xml:space="preserve">إضافة خدمات وأدوات جديدة إلى الخدمات التي تُقدَّم حالياً، بما يسمح لتلك المراكز بعدم الاقتصار على تحديد الاختراعات الموجودة في الملك </w:t>
            </w:r>
            <w:r>
              <w:rPr>
                <w:rtl/>
              </w:rPr>
              <w:lastRenderedPageBreak/>
              <w:t xml:space="preserve">العام، </w:t>
            </w:r>
            <w:r w:rsidR="00117E13">
              <w:rPr>
                <w:rFonts w:hint="cs"/>
                <w:rtl/>
              </w:rPr>
              <w:t xml:space="preserve">وتمكنها من </w:t>
            </w:r>
            <w:r>
              <w:rPr>
                <w:rtl/>
              </w:rPr>
              <w:t>دعم المخترعين والباحثين ورواد الأعمال في استخدام تلك المعلومات من أجل استحداث نتائج بحثية ومنتجات جديدة، ومن ثمَّ الإسهام في تحسين فعالية استغلال واستخدام الاختراعات الموجودة في الملك العام، باعتبارها مصدراً لاستحداث المعارف والابتكارات على الصعيد المحلي وزيادة قدرة البلدان النامية والبلدان الأقل نمواً على تكييف مختلف التكنولوجيات واستيعابها.</w:t>
            </w:r>
          </w:p>
          <w:p w:rsidR="00C61538" w:rsidRPr="001C50C5" w:rsidRDefault="00C61538" w:rsidP="000B6A83"/>
        </w:tc>
      </w:tr>
    </w:tbl>
    <w:p w:rsidR="00326C21" w:rsidRPr="001C50C5" w:rsidRDefault="00326C21" w:rsidP="00326C21">
      <w:r w:rsidRPr="001C50C5">
        <w:rPr>
          <w:bCs/>
        </w:rPr>
        <w:lastRenderedPageBreak/>
        <w:br w:type="page"/>
      </w:r>
    </w:p>
    <w:tbl>
      <w:tblPr>
        <w:bidiVisual/>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326C21" w:rsidRPr="001C50C5" w:rsidTr="00A454A7">
        <w:trPr>
          <w:trHeight w:val="484"/>
        </w:trPr>
        <w:tc>
          <w:tcPr>
            <w:tcW w:w="2376" w:type="dxa"/>
            <w:shd w:val="clear" w:color="auto" w:fill="auto"/>
          </w:tcPr>
          <w:p w:rsidR="00326C21" w:rsidRPr="001C50C5" w:rsidRDefault="00326C21" w:rsidP="00A454A7">
            <w:pPr>
              <w:rPr>
                <w:bCs/>
                <w:u w:val="single"/>
              </w:rPr>
            </w:pPr>
            <w:r w:rsidRPr="001C50C5">
              <w:lastRenderedPageBreak/>
              <w:br w:type="page"/>
            </w:r>
            <w:r w:rsidRPr="001C50C5">
              <w:br w:type="page"/>
            </w:r>
            <w:r w:rsidRPr="001C50C5">
              <w:br w:type="page"/>
            </w:r>
            <w:r w:rsidRPr="001C50C5">
              <w:rPr>
                <w:rtl/>
              </w:rPr>
              <w:t>مديرا المشروع</w:t>
            </w:r>
          </w:p>
        </w:tc>
        <w:tc>
          <w:tcPr>
            <w:tcW w:w="6912" w:type="dxa"/>
            <w:vAlign w:val="center"/>
          </w:tcPr>
          <w:p w:rsidR="00326C21" w:rsidRDefault="00326C21" w:rsidP="00A454A7">
            <w:pPr>
              <w:rPr>
                <w:rtl/>
              </w:rPr>
            </w:pPr>
            <w:r w:rsidRPr="001C50C5">
              <w:rPr>
                <w:rtl/>
              </w:rPr>
              <w:t>السيد أليخاندرو روكا كامبانيا، والسيد أندرو تشايكوفسكي</w:t>
            </w:r>
          </w:p>
          <w:p w:rsidR="002D68EB" w:rsidRPr="001C50C5" w:rsidRDefault="002D68EB" w:rsidP="00A454A7">
            <w:pPr>
              <w:rPr>
                <w:iCs/>
              </w:rPr>
            </w:pPr>
          </w:p>
        </w:tc>
      </w:tr>
      <w:tr w:rsidR="00326C21" w:rsidRPr="001C50C5" w:rsidTr="00A454A7">
        <w:trPr>
          <w:trHeight w:val="1165"/>
        </w:trPr>
        <w:tc>
          <w:tcPr>
            <w:tcW w:w="2376" w:type="dxa"/>
            <w:shd w:val="clear" w:color="auto" w:fill="auto"/>
          </w:tcPr>
          <w:p w:rsidR="00326C21" w:rsidRPr="001B7AF9" w:rsidRDefault="00326C21" w:rsidP="00A454A7">
            <w:pPr>
              <w:rPr>
                <w:b/>
                <w:u w:val="single"/>
              </w:rPr>
            </w:pPr>
            <w:r w:rsidRPr="001B7AF9">
              <w:rPr>
                <w:b/>
                <w:u w:val="single"/>
                <w:rtl/>
              </w:rPr>
              <w:t>الصلة بالنتائج المرتقبة في البرنامج والميزانية</w:t>
            </w:r>
          </w:p>
          <w:p w:rsidR="00326C21" w:rsidRPr="001B7AF9" w:rsidDel="00196374" w:rsidRDefault="00326C21" w:rsidP="00A454A7">
            <w:pPr>
              <w:rPr>
                <w:b/>
                <w:u w:val="single"/>
              </w:rPr>
            </w:pPr>
          </w:p>
        </w:tc>
        <w:tc>
          <w:tcPr>
            <w:tcW w:w="6912" w:type="dxa"/>
          </w:tcPr>
          <w:p w:rsidR="00B064EF" w:rsidRDefault="00B064EF" w:rsidP="00B064EF">
            <w:r>
              <w:rPr>
                <w:rtl/>
              </w:rPr>
              <w:t>النتيجة المرتقبة ه 2.3 (البرنامج 9)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37779A" w:rsidRDefault="0037779A" w:rsidP="00B064EF">
            <w:pPr>
              <w:rPr>
                <w:rtl/>
              </w:rPr>
            </w:pPr>
          </w:p>
          <w:p w:rsidR="00326C21" w:rsidRDefault="00B064EF" w:rsidP="00B064EF">
            <w:pPr>
              <w:rPr>
                <w:rtl/>
              </w:rPr>
            </w:pPr>
            <w:r>
              <w:rPr>
                <w:rtl/>
              </w:rPr>
              <w:t>النتيجة المرتقبة ه 2.4 (البرنامجان 9 و14) نفاذ محسّن إلى المعلومات المتعلقة بالملكية الفكرية واستخدامها من قبل مؤسسات الملكية الفكرية والجمهور لتشجيع الابتكار والإبداع.</w:t>
            </w:r>
          </w:p>
          <w:p w:rsidR="002D68EB" w:rsidRPr="001C50C5" w:rsidDel="00196374" w:rsidRDefault="002D68EB" w:rsidP="00B064EF">
            <w:pPr>
              <w:rPr>
                <w:iCs/>
              </w:rPr>
            </w:pPr>
          </w:p>
        </w:tc>
      </w:tr>
      <w:tr w:rsidR="00326C21" w:rsidRPr="001C50C5" w:rsidTr="00A454A7">
        <w:trPr>
          <w:trHeight w:val="1165"/>
        </w:trPr>
        <w:tc>
          <w:tcPr>
            <w:tcW w:w="2376" w:type="dxa"/>
            <w:shd w:val="clear" w:color="auto" w:fill="auto"/>
          </w:tcPr>
          <w:p w:rsidR="00326C21" w:rsidRPr="001B7AF9" w:rsidRDefault="007634F5" w:rsidP="00A454A7">
            <w:pPr>
              <w:rPr>
                <w:b/>
                <w:u w:val="single"/>
              </w:rPr>
            </w:pPr>
            <w:r>
              <w:rPr>
                <w:rFonts w:hint="cs"/>
                <w:b/>
                <w:u w:val="single"/>
                <w:rtl/>
              </w:rPr>
              <w:t>لمحة عامة موجزة عن تنفيذ المشروع</w:t>
            </w:r>
          </w:p>
          <w:p w:rsidR="00326C21" w:rsidRPr="001B7AF9" w:rsidRDefault="00326C21" w:rsidP="00A454A7">
            <w:pPr>
              <w:rPr>
                <w:b/>
                <w:u w:val="single"/>
              </w:rPr>
            </w:pPr>
          </w:p>
        </w:tc>
        <w:tc>
          <w:tcPr>
            <w:tcW w:w="6912" w:type="dxa"/>
          </w:tcPr>
          <w:p w:rsidR="007634F5" w:rsidRDefault="007634F5" w:rsidP="00A454A7">
            <w:pPr>
              <w:spacing w:after="240" w:line="360" w:lineRule="exact"/>
              <w:rPr>
                <w:rtl/>
                <w:lang w:bidi="ar-EG"/>
              </w:rPr>
            </w:pPr>
            <w:r>
              <w:rPr>
                <w:rFonts w:hint="cs"/>
                <w:rtl/>
                <w:lang w:bidi="ar-EG"/>
              </w:rPr>
              <w:t xml:space="preserve">بدأ تنفيذ المشروع في أكتوبر 2016، إثر </w:t>
            </w:r>
            <w:r w:rsidR="005F330C">
              <w:rPr>
                <w:rFonts w:hint="cs"/>
                <w:rtl/>
                <w:lang w:bidi="ar-EG"/>
              </w:rPr>
              <w:t xml:space="preserve">تعيين </w:t>
            </w:r>
            <w:r>
              <w:rPr>
                <w:rFonts w:hint="cs"/>
                <w:rtl/>
                <w:lang w:bidi="ar-EG"/>
              </w:rPr>
              <w:t>منسق المشروع. وقد أدّي المشروع إلى المخرجات التالية:</w:t>
            </w:r>
          </w:p>
          <w:p w:rsidR="007634F5" w:rsidRDefault="007634F5" w:rsidP="00A454A7">
            <w:pPr>
              <w:spacing w:after="240" w:line="360" w:lineRule="exact"/>
              <w:rPr>
                <w:rtl/>
                <w:lang w:bidi="ar-EG"/>
              </w:rPr>
            </w:pPr>
            <w:r>
              <w:rPr>
                <w:rFonts w:hint="cs"/>
                <w:rtl/>
                <w:lang w:bidi="ar-EG"/>
              </w:rPr>
              <w:t xml:space="preserve">1. </w:t>
            </w:r>
            <w:r w:rsidRPr="007634F5">
              <w:rPr>
                <w:rtl/>
                <w:lang w:bidi="ar-EG"/>
              </w:rPr>
              <w:t>دليلان عمليان عن تحديد الاختراعات الموجودة في الملك العام واستخدامها</w:t>
            </w:r>
            <w:r>
              <w:rPr>
                <w:rFonts w:hint="cs"/>
                <w:rtl/>
                <w:lang w:bidi="ar-EG"/>
              </w:rPr>
              <w:t>.</w:t>
            </w:r>
          </w:p>
          <w:p w:rsidR="00832C81" w:rsidRDefault="00832C81" w:rsidP="00832C81">
            <w:pPr>
              <w:spacing w:after="240" w:line="360" w:lineRule="exact"/>
              <w:rPr>
                <w:rtl/>
                <w:lang w:bidi="ar-EG"/>
              </w:rPr>
            </w:pPr>
            <w:r>
              <w:rPr>
                <w:rFonts w:hint="cs"/>
                <w:rtl/>
                <w:lang w:bidi="ar-EG"/>
              </w:rPr>
              <w:t xml:space="preserve">وقد أعدّ دليلان </w:t>
            </w:r>
            <w:r>
              <w:rPr>
                <w:rtl/>
                <w:lang w:bidi="ar-EG"/>
              </w:rPr>
              <w:t>في إطار المشروع، يركّز أحدهما على تحديد الاختراعات الموجودة في الملك العام ويركّز الثاني على استخدام تلك الاختراعات</w:t>
            </w:r>
            <w:r>
              <w:rPr>
                <w:rFonts w:hint="cs"/>
                <w:rtl/>
                <w:lang w:bidi="ar-EG"/>
              </w:rPr>
              <w:t>.</w:t>
            </w:r>
          </w:p>
          <w:p w:rsidR="00832C81" w:rsidRDefault="00832C81" w:rsidP="00832C81">
            <w:pPr>
              <w:spacing w:after="240" w:line="360" w:lineRule="exact"/>
              <w:rPr>
                <w:rtl/>
                <w:lang w:bidi="ar-EG"/>
              </w:rPr>
            </w:pPr>
            <w:r>
              <w:rPr>
                <w:rFonts w:hint="cs"/>
                <w:rtl/>
                <w:lang w:bidi="ar-EG"/>
              </w:rPr>
              <w:t xml:space="preserve">وقد بحث </w:t>
            </w:r>
            <w:r>
              <w:rPr>
                <w:rtl/>
                <w:lang w:bidi="ar-EG"/>
              </w:rPr>
              <w:t xml:space="preserve">الدليل بشأن تحديد الاختراعات الموجودة في الملك العام </w:t>
            </w:r>
            <w:r w:rsidR="00C61538">
              <w:rPr>
                <w:rFonts w:hint="cs"/>
                <w:rtl/>
                <w:lang w:bidi="ar-EG"/>
              </w:rPr>
              <w:t xml:space="preserve">المواضيع </w:t>
            </w:r>
            <w:r>
              <w:rPr>
                <w:rtl/>
                <w:lang w:bidi="ar-EG"/>
              </w:rPr>
              <w:t>التالية:</w:t>
            </w:r>
          </w:p>
          <w:p w:rsidR="00832C81" w:rsidRDefault="00832C81" w:rsidP="00C61538">
            <w:pPr>
              <w:numPr>
                <w:ilvl w:val="0"/>
                <w:numId w:val="19"/>
              </w:numPr>
              <w:rPr>
                <w:rtl/>
              </w:rPr>
            </w:pPr>
            <w:r>
              <w:rPr>
                <w:rtl/>
              </w:rPr>
              <w:t>العلاقة بين البراءات والملك العام؛</w:t>
            </w:r>
          </w:p>
          <w:p w:rsidR="00832C81" w:rsidRDefault="00D03A13" w:rsidP="00C61538">
            <w:pPr>
              <w:numPr>
                <w:ilvl w:val="0"/>
                <w:numId w:val="19"/>
              </w:numPr>
              <w:rPr>
                <w:rtl/>
              </w:rPr>
            </w:pPr>
            <w:r>
              <w:rPr>
                <w:rFonts w:hint="cs"/>
                <w:rtl/>
              </w:rPr>
              <w:t>و</w:t>
            </w:r>
            <w:r w:rsidR="00832C81">
              <w:rPr>
                <w:rtl/>
              </w:rPr>
              <w:t>تحديد الاحتياجات من المعلومات الخاصة بالتكنولوجيا؛</w:t>
            </w:r>
          </w:p>
          <w:p w:rsidR="00832C81" w:rsidRDefault="00832C81" w:rsidP="00C61538">
            <w:pPr>
              <w:numPr>
                <w:ilvl w:val="0"/>
                <w:numId w:val="19"/>
              </w:numPr>
              <w:rPr>
                <w:rtl/>
              </w:rPr>
            </w:pPr>
            <w:r>
              <w:rPr>
                <w:rtl/>
              </w:rPr>
              <w:t>وإيجاد مصادر المعلومات اللازمة لتحديد الاختراعات الموجودة في الملك العام، وخاصة قواعد بيانات البراءات وسجلات البراءات؛</w:t>
            </w:r>
          </w:p>
          <w:p w:rsidR="00832C81" w:rsidRDefault="00832C81" w:rsidP="00C61538">
            <w:pPr>
              <w:numPr>
                <w:ilvl w:val="0"/>
                <w:numId w:val="19"/>
              </w:numPr>
              <w:rPr>
                <w:rtl/>
              </w:rPr>
            </w:pPr>
            <w:r>
              <w:rPr>
                <w:rtl/>
              </w:rPr>
              <w:t>والاطلاع على المعلومات الخاصة بالوضع القانوني؛</w:t>
            </w:r>
          </w:p>
          <w:p w:rsidR="00832C81" w:rsidRDefault="00832C81" w:rsidP="00C61538">
            <w:pPr>
              <w:numPr>
                <w:ilvl w:val="0"/>
                <w:numId w:val="19"/>
              </w:numPr>
              <w:rPr>
                <w:rtl/>
              </w:rPr>
            </w:pPr>
            <w:r>
              <w:rPr>
                <w:rtl/>
              </w:rPr>
              <w:t>والاضطلاع بعمليات البحث القائمة على أساس حرية العمل؛</w:t>
            </w:r>
          </w:p>
          <w:p w:rsidR="00832C81" w:rsidRDefault="00832C81" w:rsidP="00C61538">
            <w:pPr>
              <w:numPr>
                <w:ilvl w:val="0"/>
                <w:numId w:val="19"/>
              </w:numPr>
              <w:rPr>
                <w:rtl/>
              </w:rPr>
            </w:pPr>
            <w:r>
              <w:rPr>
                <w:rtl/>
              </w:rPr>
              <w:t>وفهم حدود عمليات البحث القائمة على أساس حرية العمل وإدارة المخاطر المرتبطة بذلك.</w:t>
            </w:r>
          </w:p>
          <w:p w:rsidR="00832C81" w:rsidRDefault="00832C81" w:rsidP="00832C81">
            <w:pPr>
              <w:spacing w:after="240" w:line="360" w:lineRule="exact"/>
              <w:rPr>
                <w:rtl/>
                <w:lang w:bidi="ar-EG"/>
              </w:rPr>
            </w:pPr>
            <w:r>
              <w:rPr>
                <w:rtl/>
                <w:lang w:bidi="ar-EG"/>
              </w:rPr>
              <w:t xml:space="preserve">أما الدليل بشأن استخدام الاختراعات الموجودة في الملك العام، </w:t>
            </w:r>
            <w:r w:rsidR="00D03A13">
              <w:rPr>
                <w:rFonts w:hint="cs"/>
                <w:rtl/>
                <w:lang w:bidi="ar-EG"/>
              </w:rPr>
              <w:t xml:space="preserve">فقد </w:t>
            </w:r>
            <w:r w:rsidR="00C61538">
              <w:rPr>
                <w:rFonts w:hint="cs"/>
                <w:rtl/>
                <w:lang w:bidi="ar-EG"/>
              </w:rPr>
              <w:t xml:space="preserve">بحث المواضيع </w:t>
            </w:r>
            <w:r>
              <w:rPr>
                <w:rtl/>
                <w:lang w:bidi="ar-EG"/>
              </w:rPr>
              <w:t>التالية:</w:t>
            </w:r>
          </w:p>
          <w:p w:rsidR="00832C81" w:rsidRDefault="00832C81" w:rsidP="00C61538">
            <w:pPr>
              <w:numPr>
                <w:ilvl w:val="0"/>
                <w:numId w:val="19"/>
              </w:numPr>
              <w:rPr>
                <w:rtl/>
              </w:rPr>
            </w:pPr>
            <w:r>
              <w:rPr>
                <w:rtl/>
              </w:rPr>
              <w:t>العلاقة بين البراءات والملك العام؛</w:t>
            </w:r>
          </w:p>
          <w:p w:rsidR="00832C81" w:rsidRDefault="00832C81" w:rsidP="00C61538">
            <w:pPr>
              <w:numPr>
                <w:ilvl w:val="0"/>
                <w:numId w:val="19"/>
              </w:numPr>
              <w:rPr>
                <w:rtl/>
              </w:rPr>
            </w:pPr>
            <w:r>
              <w:rPr>
                <w:rtl/>
              </w:rPr>
              <w:t>والعلاقة بين الاختراعات والدراية التقنية؛</w:t>
            </w:r>
          </w:p>
          <w:p w:rsidR="00832C81" w:rsidRDefault="00832C81" w:rsidP="00C61538">
            <w:pPr>
              <w:numPr>
                <w:ilvl w:val="0"/>
                <w:numId w:val="19"/>
              </w:numPr>
              <w:rPr>
                <w:rtl/>
              </w:rPr>
            </w:pPr>
            <w:r>
              <w:rPr>
                <w:rtl/>
              </w:rPr>
              <w:t>والخطوات التي ينبغي اتخاذها في عملية استحداث المنتجات؛</w:t>
            </w:r>
          </w:p>
          <w:p w:rsidR="00832C81" w:rsidRDefault="00832C81" w:rsidP="00C61538">
            <w:pPr>
              <w:numPr>
                <w:ilvl w:val="0"/>
                <w:numId w:val="19"/>
              </w:numPr>
              <w:rPr>
                <w:rtl/>
              </w:rPr>
            </w:pPr>
            <w:r>
              <w:rPr>
                <w:rtl/>
              </w:rPr>
              <w:t>وتحديد المتطلبات التكنولوجية؛</w:t>
            </w:r>
          </w:p>
          <w:p w:rsidR="00832C81" w:rsidRDefault="00832C81" w:rsidP="00C61538">
            <w:pPr>
              <w:numPr>
                <w:ilvl w:val="0"/>
                <w:numId w:val="19"/>
              </w:numPr>
              <w:rPr>
                <w:rtl/>
              </w:rPr>
            </w:pPr>
            <w:r>
              <w:rPr>
                <w:rtl/>
              </w:rPr>
              <w:t>وتحديد الموارد التكنولوجية القائمة؛</w:t>
            </w:r>
          </w:p>
          <w:p w:rsidR="00832C81" w:rsidRDefault="00832C81" w:rsidP="00C61538">
            <w:pPr>
              <w:numPr>
                <w:ilvl w:val="0"/>
                <w:numId w:val="19"/>
              </w:numPr>
              <w:rPr>
                <w:rtl/>
              </w:rPr>
            </w:pPr>
            <w:r>
              <w:rPr>
                <w:rtl/>
              </w:rPr>
              <w:lastRenderedPageBreak/>
              <w:t>ودمج التكنولوجيات الجديدة في عمليات البحث وتصميم المنتجات؛</w:t>
            </w:r>
          </w:p>
          <w:p w:rsidR="00832C81" w:rsidRDefault="00832C81" w:rsidP="00C61538">
            <w:pPr>
              <w:numPr>
                <w:ilvl w:val="0"/>
                <w:numId w:val="19"/>
              </w:numPr>
              <w:rPr>
                <w:rtl/>
              </w:rPr>
            </w:pPr>
            <w:r>
              <w:rPr>
                <w:rtl/>
              </w:rPr>
              <w:t>وفهم حدود الاختراعات الموجودة في الملك العام والبتّ في الحالات التي قد يكون فيها ترخيص التكنولوجيا أمرا ضروريا.</w:t>
            </w:r>
          </w:p>
          <w:p w:rsidR="00326C21" w:rsidRDefault="00C61538" w:rsidP="00A454A7">
            <w:pPr>
              <w:spacing w:after="240" w:line="360" w:lineRule="exact"/>
              <w:rPr>
                <w:rtl/>
                <w:lang w:bidi="ar-EG"/>
              </w:rPr>
            </w:pPr>
            <w:r>
              <w:rPr>
                <w:rFonts w:hint="cs"/>
                <w:rtl/>
                <w:lang w:bidi="ar-EG"/>
              </w:rPr>
              <w:t>وتماشيا</w:t>
            </w:r>
            <w:r w:rsidR="00CC7769">
              <w:rPr>
                <w:rFonts w:hint="cs"/>
                <w:rtl/>
                <w:lang w:bidi="ar-EG"/>
              </w:rPr>
              <w:t xml:space="preserve"> مع استراتيجية التنفيذ، وقع الاختيار على خبيرين رئيسيين وخمسة خبراء مساعدين من أهل الاختصاص، وكلّفوا بصياغة الدليلين. وبعد تحديد الخبيرين الرئيسيين المكلفين بإنجاز الدليلين</w:t>
            </w:r>
            <w:r>
              <w:rPr>
                <w:rFonts w:hint="cs"/>
                <w:rtl/>
                <w:lang w:bidi="ar-EG"/>
              </w:rPr>
              <w:t xml:space="preserve"> برمتهما</w:t>
            </w:r>
            <w:r w:rsidR="00CC7769">
              <w:rPr>
                <w:rFonts w:hint="cs"/>
                <w:rtl/>
                <w:lang w:bidi="ar-EG"/>
              </w:rPr>
              <w:t xml:space="preserve"> وما </w:t>
            </w:r>
            <w:r>
              <w:rPr>
                <w:rFonts w:hint="cs"/>
                <w:rtl/>
                <w:lang w:bidi="ar-EG"/>
              </w:rPr>
              <w:t xml:space="preserve">يرافقهما </w:t>
            </w:r>
            <w:r w:rsidR="00CC7769">
              <w:rPr>
                <w:rFonts w:hint="cs"/>
                <w:rtl/>
                <w:lang w:bidi="ar-EG"/>
              </w:rPr>
              <w:t xml:space="preserve">من مواد تدريبية، </w:t>
            </w:r>
            <w:r w:rsidR="000610BF">
              <w:rPr>
                <w:rFonts w:hint="cs"/>
                <w:rtl/>
                <w:lang w:bidi="ar-EG"/>
              </w:rPr>
              <w:t xml:space="preserve">تم تعيين </w:t>
            </w:r>
            <w:r w:rsidR="00CC7769">
              <w:rPr>
                <w:rFonts w:hint="cs"/>
                <w:rtl/>
                <w:lang w:bidi="ar-EG"/>
              </w:rPr>
              <w:t xml:space="preserve">الخبراء المساعدون </w:t>
            </w:r>
            <w:r w:rsidR="000610BF">
              <w:rPr>
                <w:rFonts w:hint="cs"/>
                <w:rtl/>
                <w:lang w:bidi="ar-EG"/>
              </w:rPr>
              <w:t xml:space="preserve">لتقديم المشورة </w:t>
            </w:r>
            <w:r w:rsidR="00CC7769">
              <w:rPr>
                <w:rFonts w:hint="cs"/>
                <w:rtl/>
                <w:lang w:bidi="ar-EG"/>
              </w:rPr>
              <w:t>بخصوص المواضيع المختارة.</w:t>
            </w:r>
          </w:p>
          <w:p w:rsidR="00CC7769" w:rsidRDefault="00CC7769" w:rsidP="00A454A7">
            <w:pPr>
              <w:spacing w:after="240" w:line="360" w:lineRule="exact"/>
              <w:rPr>
                <w:rtl/>
                <w:lang w:bidi="ar-EG"/>
              </w:rPr>
            </w:pPr>
            <w:r>
              <w:rPr>
                <w:rFonts w:hint="cs"/>
                <w:rtl/>
                <w:lang w:bidi="ar-EG"/>
              </w:rPr>
              <w:t xml:space="preserve">وقد </w:t>
            </w:r>
            <w:r w:rsidR="00300644">
              <w:rPr>
                <w:rFonts w:hint="cs"/>
                <w:rtl/>
                <w:lang w:bidi="ar-EG"/>
              </w:rPr>
              <w:t xml:space="preserve">عمل </w:t>
            </w:r>
            <w:r>
              <w:rPr>
                <w:rFonts w:hint="cs"/>
                <w:rtl/>
                <w:lang w:bidi="ar-EG"/>
              </w:rPr>
              <w:t xml:space="preserve">القائمون على عملية الاختيار </w:t>
            </w:r>
            <w:r w:rsidR="00300644">
              <w:rPr>
                <w:rFonts w:hint="cs"/>
                <w:rtl/>
                <w:lang w:bidi="ar-EG"/>
              </w:rPr>
              <w:t xml:space="preserve">من أجل </w:t>
            </w:r>
            <w:r>
              <w:rPr>
                <w:rFonts w:hint="cs"/>
                <w:rtl/>
                <w:lang w:bidi="ar-EG"/>
              </w:rPr>
              <w:t>ضمان التوزع الجغرافي للخبراء (شيلي واليونان والهند وكينيا والولايات المتحدة الأمريكية).</w:t>
            </w:r>
          </w:p>
          <w:p w:rsidR="001A75D8" w:rsidRDefault="00CC7769" w:rsidP="00A454A7">
            <w:pPr>
              <w:spacing w:after="240" w:line="360" w:lineRule="exact"/>
              <w:rPr>
                <w:rtl/>
                <w:lang w:bidi="ar-EG"/>
              </w:rPr>
            </w:pPr>
            <w:r>
              <w:rPr>
                <w:rFonts w:hint="cs"/>
                <w:rtl/>
                <w:lang w:bidi="ar-EG"/>
              </w:rPr>
              <w:t xml:space="preserve">وقد </w:t>
            </w:r>
            <w:r w:rsidR="00300644">
              <w:rPr>
                <w:rFonts w:hint="cs"/>
                <w:rtl/>
                <w:lang w:bidi="ar-EG"/>
              </w:rPr>
              <w:t>أتمّ</w:t>
            </w:r>
            <w:r>
              <w:rPr>
                <w:rFonts w:hint="cs"/>
                <w:rtl/>
                <w:lang w:bidi="ar-EG"/>
              </w:rPr>
              <w:t xml:space="preserve"> الخبراء صياغة </w:t>
            </w:r>
            <w:r w:rsidR="00AE3B9B">
              <w:rPr>
                <w:rFonts w:hint="cs"/>
                <w:rtl/>
                <w:lang w:bidi="ar-EG"/>
              </w:rPr>
              <w:t xml:space="preserve">المشروعين الأولين </w:t>
            </w:r>
            <w:r>
              <w:rPr>
                <w:rFonts w:hint="cs"/>
                <w:rtl/>
                <w:lang w:bidi="ar-EG"/>
              </w:rPr>
              <w:t>في فبراير 2017، و</w:t>
            </w:r>
            <w:r w:rsidR="00300644">
              <w:rPr>
                <w:rFonts w:hint="cs"/>
                <w:rtl/>
                <w:lang w:bidi="ar-EG"/>
              </w:rPr>
              <w:t xml:space="preserve">أتمّ </w:t>
            </w:r>
            <w:r>
              <w:rPr>
                <w:rFonts w:hint="cs"/>
                <w:rtl/>
                <w:lang w:bidi="ar-EG"/>
              </w:rPr>
              <w:t xml:space="preserve">الخبيران الرئيسيان عملية </w:t>
            </w:r>
            <w:r w:rsidR="00300644">
              <w:rPr>
                <w:rFonts w:hint="cs"/>
                <w:rtl/>
                <w:lang w:bidi="ar-EG"/>
              </w:rPr>
              <w:t xml:space="preserve">استعراض </w:t>
            </w:r>
            <w:r>
              <w:rPr>
                <w:rFonts w:hint="cs"/>
                <w:rtl/>
                <w:lang w:bidi="ar-EG"/>
              </w:rPr>
              <w:t xml:space="preserve">وتدعيم المحتوى </w:t>
            </w:r>
            <w:r w:rsidR="001A75D8">
              <w:rPr>
                <w:rFonts w:hint="cs"/>
                <w:rtl/>
                <w:lang w:bidi="ar-EG"/>
              </w:rPr>
              <w:t xml:space="preserve">في يونيو 2017. ويتضمن الدليلان </w:t>
            </w:r>
            <w:r w:rsidR="00300644">
              <w:rPr>
                <w:rFonts w:hint="cs"/>
                <w:rtl/>
                <w:lang w:bidi="ar-EG"/>
              </w:rPr>
              <w:t xml:space="preserve">كمّا </w:t>
            </w:r>
            <w:r w:rsidR="001A75D8">
              <w:rPr>
                <w:rFonts w:hint="cs"/>
                <w:rtl/>
                <w:lang w:bidi="ar-EG"/>
              </w:rPr>
              <w:t>من المعلومات العامة والتوجيهات العملية، المرفقة بأمثلة من العديد من البلدان بشأن النهج والأدوات الخصوصية للتعرف على الاختراعات في الملك العام واستخدامها.</w:t>
            </w:r>
          </w:p>
          <w:p w:rsidR="001A75D8" w:rsidRDefault="001A75D8" w:rsidP="00F765B7">
            <w:pPr>
              <w:spacing w:after="240" w:line="360" w:lineRule="exact"/>
              <w:rPr>
                <w:rtl/>
                <w:lang w:bidi="ar-EG"/>
              </w:rPr>
            </w:pPr>
            <w:r>
              <w:rPr>
                <w:rFonts w:hint="cs"/>
                <w:rtl/>
                <w:lang w:bidi="ar-EG"/>
              </w:rPr>
              <w:t xml:space="preserve">وتولت </w:t>
            </w:r>
            <w:r w:rsidR="00FB1A01">
              <w:rPr>
                <w:rFonts w:hint="cs"/>
                <w:rtl/>
                <w:lang w:bidi="ar-EG"/>
              </w:rPr>
              <w:t>بعض مراكز دعم التكنولوجيا والابتكار الاطلاع على الدليلين في المرحلة التجريبية، من أجل التأكد من استجابتهما لاحتياجات تلك المراكز وملائمتهما لموظفي مراكز دعم التكنولوجيا والابتكار في البلدان النامية وبلدان الاقتصادات الناشئة.</w:t>
            </w:r>
            <w:r w:rsidR="00F765B7">
              <w:rPr>
                <w:rFonts w:hint="cs"/>
                <w:rtl/>
                <w:lang w:bidi="ar-EG"/>
              </w:rPr>
              <w:t xml:space="preserve"> </w:t>
            </w:r>
            <w:r w:rsidR="00FB1A01">
              <w:rPr>
                <w:rFonts w:hint="cs"/>
                <w:rtl/>
                <w:lang w:bidi="ar-EG"/>
              </w:rPr>
              <w:t xml:space="preserve">واستنادا إلى بعض اعتبارات التنوع الجغرافي والاجتماعي والاقتصادي، وقدرة المراكز على </w:t>
            </w:r>
            <w:r w:rsidR="00F765B7">
              <w:rPr>
                <w:rFonts w:hint="cs"/>
                <w:rtl/>
                <w:lang w:bidi="ar-EG"/>
              </w:rPr>
              <w:t xml:space="preserve">الاضطلاع بمزيد </w:t>
            </w:r>
            <w:r w:rsidR="00FB1A01">
              <w:rPr>
                <w:rFonts w:hint="cs"/>
                <w:rtl/>
                <w:lang w:bidi="ar-EG"/>
              </w:rPr>
              <w:t xml:space="preserve">الخدمات، </w:t>
            </w:r>
            <w:r w:rsidR="00F765B7">
              <w:rPr>
                <w:rFonts w:hint="cs"/>
                <w:rtl/>
                <w:lang w:bidi="ar-EG"/>
              </w:rPr>
              <w:t xml:space="preserve">وقع الاختيار على </w:t>
            </w:r>
            <w:r w:rsidR="00FB1A01">
              <w:rPr>
                <w:rFonts w:hint="cs"/>
                <w:rtl/>
                <w:lang w:bidi="ar-EG"/>
              </w:rPr>
              <w:t xml:space="preserve">البلدان التالية للمشاركة في المرحلة التجريبية، وهي: كينيا وجنوب أفريقيا (المجموعة الأفريقية) والمغرب (مجموعة البلدان العربية) وماليزيا والفلبين (منطقة آسيا والمحيط الهادئ) والأرجنتين </w:t>
            </w:r>
            <w:bookmarkStart w:id="4" w:name="_Hlk16958243"/>
            <w:r w:rsidR="00FB1A01">
              <w:rPr>
                <w:rFonts w:hint="cs"/>
                <w:rtl/>
                <w:lang w:bidi="ar-EG"/>
              </w:rPr>
              <w:t>وكول</w:t>
            </w:r>
            <w:r w:rsidR="00F765B7">
              <w:rPr>
                <w:rFonts w:hint="cs"/>
                <w:rtl/>
                <w:lang w:bidi="ar-EG"/>
              </w:rPr>
              <w:t>و</w:t>
            </w:r>
            <w:r w:rsidR="00FB1A01">
              <w:rPr>
                <w:rFonts w:hint="cs"/>
                <w:rtl/>
                <w:lang w:bidi="ar-EG"/>
              </w:rPr>
              <w:t>مبيا وكوبا (منطقة أمريكا اللاتينية والكاريبي) والاتحاد الروسي (الاقتصادات الناشئة والبلدان المتقدمة).</w:t>
            </w:r>
          </w:p>
          <w:bookmarkEnd w:id="4"/>
          <w:p w:rsidR="00786CDF" w:rsidRPr="00E23B34" w:rsidRDefault="00786CDF" w:rsidP="00786CDF">
            <w:pPr>
              <w:spacing w:after="240" w:line="360" w:lineRule="exact"/>
              <w:rPr>
                <w:lang w:bidi="ar-EG"/>
              </w:rPr>
            </w:pPr>
            <w:r w:rsidRPr="00E23B34">
              <w:rPr>
                <w:rtl/>
                <w:lang w:bidi="ar-EG"/>
              </w:rPr>
              <w:t xml:space="preserve">وعُين سبعة خبراء </w:t>
            </w:r>
            <w:r>
              <w:rPr>
                <w:rFonts w:hint="cs"/>
                <w:rtl/>
                <w:lang w:bidi="ar-EG"/>
              </w:rPr>
              <w:t xml:space="preserve">قطريون للإشراف على </w:t>
            </w:r>
            <w:r w:rsidRPr="00E23B34">
              <w:rPr>
                <w:rtl/>
                <w:lang w:bidi="ar-EG"/>
              </w:rPr>
              <w:t xml:space="preserve">الدليلين </w:t>
            </w:r>
            <w:r>
              <w:rPr>
                <w:rFonts w:hint="cs"/>
                <w:rtl/>
                <w:lang w:bidi="ar-EG"/>
              </w:rPr>
              <w:t xml:space="preserve">في البلدان التجريبية، وكلّفوا بتوثيق </w:t>
            </w:r>
            <w:r w:rsidRPr="00E23B34">
              <w:rPr>
                <w:rtl/>
                <w:lang w:bidi="ar-EG"/>
              </w:rPr>
              <w:t>وتقييم تجارب مراكز دعم التكنولوجيا والابتكار في تطبيق الدليلين</w:t>
            </w:r>
            <w:r>
              <w:rPr>
                <w:rFonts w:hint="cs"/>
                <w:rtl/>
                <w:lang w:bidi="ar-EG"/>
              </w:rPr>
              <w:t xml:space="preserve">، </w:t>
            </w:r>
            <w:r w:rsidRPr="00E23B34">
              <w:rPr>
                <w:rtl/>
                <w:lang w:bidi="ar-EG"/>
              </w:rPr>
              <w:t>باستخدام منهجية تستند إلى نموذج كيركباتريك لتقييم التدريب ومستوياته الأربعة</w:t>
            </w:r>
            <w:r>
              <w:rPr>
                <w:rFonts w:hint="cs"/>
                <w:rtl/>
                <w:lang w:bidi="ar-EG"/>
              </w:rPr>
              <w:t xml:space="preserve"> (</w:t>
            </w:r>
            <w:r w:rsidRPr="00E23B34">
              <w:rPr>
                <w:rtl/>
                <w:lang w:bidi="ar-EG"/>
              </w:rPr>
              <w:t>أي باستخدام معايير الكفاءة والفعالية والملاءمة والتأثير</w:t>
            </w:r>
            <w:r>
              <w:rPr>
                <w:rFonts w:hint="cs"/>
                <w:rtl/>
                <w:lang w:bidi="ar-EG"/>
              </w:rPr>
              <w:t>)</w:t>
            </w:r>
            <w:r w:rsidRPr="00E23B34">
              <w:rPr>
                <w:rtl/>
                <w:lang w:bidi="ar-EG"/>
              </w:rPr>
              <w:t>.</w:t>
            </w:r>
          </w:p>
          <w:p w:rsidR="00786CDF" w:rsidRPr="00E23B34" w:rsidRDefault="00786CDF" w:rsidP="00FE6620">
            <w:pPr>
              <w:tabs>
                <w:tab w:val="right" w:pos="1382"/>
              </w:tabs>
              <w:spacing w:after="240" w:line="360" w:lineRule="exact"/>
              <w:rPr>
                <w:lang w:bidi="ar-EG"/>
              </w:rPr>
            </w:pPr>
            <w:r w:rsidRPr="00E23B34">
              <w:rPr>
                <w:rtl/>
                <w:lang w:bidi="ar-EG"/>
              </w:rPr>
              <w:t xml:space="preserve">وقد </w:t>
            </w:r>
            <w:r w:rsidR="00F765B7">
              <w:rPr>
                <w:rFonts w:hint="cs"/>
                <w:rtl/>
                <w:lang w:bidi="ar-EG"/>
              </w:rPr>
              <w:t xml:space="preserve">استمرت </w:t>
            </w:r>
            <w:r w:rsidRPr="00E23B34">
              <w:rPr>
                <w:rtl/>
                <w:lang w:bidi="ar-EG"/>
              </w:rPr>
              <w:t>العملية التجريبية ستة أشهر</w:t>
            </w:r>
            <w:r w:rsidR="00F765B7">
              <w:rPr>
                <w:rFonts w:hint="cs"/>
                <w:rtl/>
                <w:lang w:bidi="ar-EG"/>
              </w:rPr>
              <w:t>، و</w:t>
            </w:r>
            <w:r w:rsidRPr="00E23B34">
              <w:rPr>
                <w:rtl/>
                <w:lang w:bidi="ar-EG"/>
              </w:rPr>
              <w:t>عقد</w:t>
            </w:r>
            <w:r w:rsidR="00F765B7">
              <w:rPr>
                <w:rFonts w:hint="cs"/>
                <w:rtl/>
                <w:lang w:bidi="ar-EG"/>
              </w:rPr>
              <w:t xml:space="preserve"> بدايتها </w:t>
            </w:r>
            <w:r w:rsidRPr="00E23B34">
              <w:rPr>
                <w:rtl/>
                <w:lang w:bidi="ar-EG"/>
              </w:rPr>
              <w:t xml:space="preserve">اجتماع في جنيف يومي 25 و26 يوليو 2017، والذي جمع بين </w:t>
            </w:r>
            <w:r>
              <w:rPr>
                <w:rFonts w:hint="cs"/>
                <w:rtl/>
                <w:lang w:bidi="ar-EG"/>
              </w:rPr>
              <w:t>ال</w:t>
            </w:r>
            <w:r w:rsidRPr="00E23B34">
              <w:rPr>
                <w:rtl/>
                <w:lang w:bidi="ar-EG"/>
              </w:rPr>
              <w:t xml:space="preserve">خبيرين </w:t>
            </w:r>
            <w:r>
              <w:rPr>
                <w:rFonts w:hint="cs"/>
                <w:rtl/>
                <w:lang w:bidi="ar-EG"/>
              </w:rPr>
              <w:t>ال</w:t>
            </w:r>
            <w:r w:rsidRPr="00E23B34">
              <w:rPr>
                <w:rtl/>
                <w:lang w:bidi="ar-EG"/>
              </w:rPr>
              <w:t>رئيسيين والخبراء القطريين السبعة</w:t>
            </w:r>
            <w:r>
              <w:rPr>
                <w:rFonts w:hint="cs"/>
                <w:rtl/>
                <w:lang w:bidi="ar-EG"/>
              </w:rPr>
              <w:t xml:space="preserve"> من أجل </w:t>
            </w:r>
            <w:r w:rsidRPr="00E23B34">
              <w:rPr>
                <w:rtl/>
                <w:lang w:bidi="ar-EG"/>
              </w:rPr>
              <w:t>تطوير وتنسيق النهج الفعالة لأغراض العملية التجريبية في كل من البلدان المختارة.</w:t>
            </w:r>
            <w:r>
              <w:rPr>
                <w:rFonts w:hint="cs"/>
                <w:rtl/>
                <w:lang w:bidi="ar-EG"/>
              </w:rPr>
              <w:t xml:space="preserve"> </w:t>
            </w:r>
            <w:r w:rsidRPr="00E23B34">
              <w:rPr>
                <w:rtl/>
                <w:lang w:bidi="ar-EG"/>
              </w:rPr>
              <w:t>و</w:t>
            </w:r>
            <w:r>
              <w:rPr>
                <w:rFonts w:hint="cs"/>
                <w:rtl/>
                <w:lang w:bidi="ar-EG"/>
              </w:rPr>
              <w:t xml:space="preserve">قد أدت المرحلة التجريبية إلى </w:t>
            </w:r>
            <w:r w:rsidRPr="00E23B34">
              <w:rPr>
                <w:rtl/>
                <w:lang w:bidi="ar-EG"/>
              </w:rPr>
              <w:t xml:space="preserve">تقديم عدد من التوصيات بشأن كيفية زيادة </w:t>
            </w:r>
            <w:r>
              <w:rPr>
                <w:rFonts w:hint="cs"/>
                <w:rtl/>
                <w:lang w:bidi="ar-EG"/>
              </w:rPr>
              <w:t xml:space="preserve">ملاءمة </w:t>
            </w:r>
            <w:r w:rsidRPr="00E23B34">
              <w:rPr>
                <w:rtl/>
                <w:lang w:bidi="ar-EG"/>
              </w:rPr>
              <w:t>الدليلين</w:t>
            </w:r>
            <w:r>
              <w:rPr>
                <w:rFonts w:hint="cs"/>
                <w:rtl/>
                <w:lang w:bidi="ar-EG"/>
              </w:rPr>
              <w:t>، و</w:t>
            </w:r>
            <w:r w:rsidRPr="00E23B34">
              <w:rPr>
                <w:rtl/>
                <w:lang w:bidi="ar-EG"/>
              </w:rPr>
              <w:t>قد قام الخب</w:t>
            </w:r>
            <w:r>
              <w:rPr>
                <w:rFonts w:hint="cs"/>
                <w:rtl/>
                <w:lang w:bidi="ar-EG"/>
              </w:rPr>
              <w:t>يران</w:t>
            </w:r>
            <w:r w:rsidRPr="00E23B34">
              <w:rPr>
                <w:rtl/>
                <w:lang w:bidi="ar-EG"/>
              </w:rPr>
              <w:t xml:space="preserve"> الرئيسي</w:t>
            </w:r>
            <w:r>
              <w:rPr>
                <w:rFonts w:hint="cs"/>
                <w:rtl/>
                <w:lang w:bidi="ar-EG"/>
              </w:rPr>
              <w:t>ا</w:t>
            </w:r>
            <w:r w:rsidRPr="00E23B34">
              <w:rPr>
                <w:rtl/>
                <w:lang w:bidi="ar-EG"/>
              </w:rPr>
              <w:t xml:space="preserve">ن </w:t>
            </w:r>
            <w:r>
              <w:rPr>
                <w:rFonts w:hint="cs"/>
                <w:rtl/>
                <w:lang w:bidi="ar-EG"/>
              </w:rPr>
              <w:t xml:space="preserve">بإدراج </w:t>
            </w:r>
            <w:r w:rsidRPr="00E23B34">
              <w:rPr>
                <w:rtl/>
                <w:lang w:bidi="ar-EG"/>
              </w:rPr>
              <w:t xml:space="preserve">هذه التوصيات </w:t>
            </w:r>
            <w:r>
              <w:rPr>
                <w:rFonts w:hint="cs"/>
                <w:rtl/>
                <w:lang w:bidi="ar-EG"/>
              </w:rPr>
              <w:t xml:space="preserve">في </w:t>
            </w:r>
            <w:r w:rsidR="00AE3B9B">
              <w:rPr>
                <w:rFonts w:hint="cs"/>
                <w:rtl/>
                <w:lang w:bidi="ar-EG"/>
              </w:rPr>
              <w:t>المشروعين المعدّلين</w:t>
            </w:r>
            <w:r w:rsidRPr="00E23B34">
              <w:rPr>
                <w:rtl/>
                <w:lang w:bidi="ar-EG"/>
              </w:rPr>
              <w:t>.</w:t>
            </w:r>
            <w:r>
              <w:rPr>
                <w:rFonts w:hint="cs"/>
                <w:rtl/>
                <w:lang w:bidi="ar-EG"/>
              </w:rPr>
              <w:t xml:space="preserve"> وعزز الدليلان </w:t>
            </w:r>
            <w:r w:rsidR="00F7242E">
              <w:rPr>
                <w:rFonts w:hint="cs"/>
                <w:rtl/>
                <w:lang w:bidi="ar-EG"/>
              </w:rPr>
              <w:t xml:space="preserve">خاصة </w:t>
            </w:r>
            <w:r>
              <w:rPr>
                <w:rFonts w:hint="cs"/>
                <w:rtl/>
                <w:lang w:bidi="ar-EG"/>
              </w:rPr>
              <w:t xml:space="preserve">بعدد من التوجيهات والأدوات والأمثلة </w:t>
            </w:r>
            <w:r w:rsidR="00AE3B9B">
              <w:rPr>
                <w:rFonts w:hint="cs"/>
                <w:rtl/>
                <w:lang w:bidi="ar-EG"/>
              </w:rPr>
              <w:t xml:space="preserve">التطبيقية </w:t>
            </w:r>
            <w:r>
              <w:rPr>
                <w:rFonts w:hint="cs"/>
                <w:rtl/>
                <w:lang w:bidi="ar-EG"/>
              </w:rPr>
              <w:t xml:space="preserve">الإضافية </w:t>
            </w:r>
            <w:r w:rsidR="00AE3B9B">
              <w:rPr>
                <w:rFonts w:hint="cs"/>
                <w:rtl/>
                <w:lang w:bidi="ar-EG"/>
              </w:rPr>
              <w:t>للم</w:t>
            </w:r>
            <w:r>
              <w:rPr>
                <w:rFonts w:hint="cs"/>
                <w:rtl/>
                <w:lang w:bidi="ar-EG"/>
              </w:rPr>
              <w:t>ساعدة على توضيح بعض المواضيع المختارة.</w:t>
            </w:r>
          </w:p>
          <w:p w:rsidR="001A75D8" w:rsidRPr="00786CDF" w:rsidRDefault="00786CDF" w:rsidP="0037779A">
            <w:pPr>
              <w:spacing w:after="240" w:line="360" w:lineRule="exact"/>
              <w:rPr>
                <w:rtl/>
                <w:lang w:bidi="ar-EG"/>
              </w:rPr>
            </w:pPr>
            <w:r w:rsidRPr="00E23B34">
              <w:rPr>
                <w:rtl/>
                <w:lang w:bidi="ar-EG"/>
              </w:rPr>
              <w:t>و</w:t>
            </w:r>
            <w:r>
              <w:rPr>
                <w:rFonts w:hint="cs"/>
                <w:rtl/>
                <w:lang w:bidi="ar-EG"/>
              </w:rPr>
              <w:t>ا</w:t>
            </w:r>
            <w:r w:rsidRPr="00E23B34">
              <w:rPr>
                <w:rtl/>
                <w:lang w:bidi="ar-EG"/>
              </w:rPr>
              <w:t xml:space="preserve">نتهي </w:t>
            </w:r>
            <w:r>
              <w:rPr>
                <w:rFonts w:hint="cs"/>
                <w:rtl/>
                <w:lang w:bidi="ar-EG"/>
              </w:rPr>
              <w:t xml:space="preserve">العمل على </w:t>
            </w:r>
            <w:r w:rsidR="00AE3B9B">
              <w:rPr>
                <w:rFonts w:hint="cs"/>
                <w:rtl/>
                <w:lang w:bidi="ar-EG"/>
              </w:rPr>
              <w:t xml:space="preserve">المشروعين </w:t>
            </w:r>
            <w:r>
              <w:rPr>
                <w:rFonts w:hint="cs"/>
                <w:rtl/>
                <w:lang w:bidi="ar-EG"/>
              </w:rPr>
              <w:t xml:space="preserve">النهائيين بين </w:t>
            </w:r>
            <w:r w:rsidRPr="00E23B34">
              <w:rPr>
                <w:rtl/>
                <w:lang w:bidi="ar-EG"/>
              </w:rPr>
              <w:t>يونيو 2018</w:t>
            </w:r>
            <w:r>
              <w:rPr>
                <w:rFonts w:hint="cs"/>
                <w:rtl/>
                <w:lang w:bidi="ar-EG"/>
              </w:rPr>
              <w:t xml:space="preserve"> (الدليل </w:t>
            </w:r>
            <w:r w:rsidR="00AE3B9B">
              <w:rPr>
                <w:rFonts w:hint="cs"/>
                <w:rtl/>
                <w:lang w:bidi="ar-EG"/>
              </w:rPr>
              <w:t>الأول)</w:t>
            </w:r>
            <w:r>
              <w:rPr>
                <w:rFonts w:hint="cs"/>
                <w:rtl/>
                <w:lang w:bidi="ar-EG"/>
              </w:rPr>
              <w:t xml:space="preserve"> وأكتوبر 2018 (الدليل </w:t>
            </w:r>
            <w:r w:rsidR="00AE3B9B">
              <w:rPr>
                <w:rFonts w:hint="cs"/>
                <w:rtl/>
                <w:lang w:bidi="ar-EG"/>
              </w:rPr>
              <w:t>الثاني</w:t>
            </w:r>
            <w:r>
              <w:rPr>
                <w:rFonts w:hint="cs"/>
                <w:rtl/>
                <w:lang w:bidi="ar-EG"/>
              </w:rPr>
              <w:t xml:space="preserve">). </w:t>
            </w:r>
            <w:r w:rsidR="00AE3B9B">
              <w:rPr>
                <w:rFonts w:hint="cs"/>
                <w:rtl/>
                <w:lang w:bidi="ar-EG"/>
              </w:rPr>
              <w:t>و</w:t>
            </w:r>
            <w:r w:rsidRPr="00E23B34">
              <w:rPr>
                <w:rtl/>
                <w:lang w:bidi="ar-EG"/>
              </w:rPr>
              <w:t>تماشيا مع سياسة منشورات الويبو</w:t>
            </w:r>
            <w:r>
              <w:rPr>
                <w:rFonts w:hint="cs"/>
                <w:rtl/>
                <w:lang w:bidi="ar-EG"/>
              </w:rPr>
              <w:t xml:space="preserve"> السارية على المنشورات الجديدة</w:t>
            </w:r>
            <w:r w:rsidRPr="00E23B34">
              <w:rPr>
                <w:rtl/>
                <w:lang w:bidi="ar-EG"/>
              </w:rPr>
              <w:t xml:space="preserve">، </w:t>
            </w:r>
            <w:r w:rsidR="00AE3B9B">
              <w:rPr>
                <w:rFonts w:hint="cs"/>
                <w:rtl/>
                <w:lang w:bidi="ar-EG"/>
              </w:rPr>
              <w:lastRenderedPageBreak/>
              <w:t xml:space="preserve">بدأ العمل </w:t>
            </w:r>
            <w:r w:rsidR="00EA70CB">
              <w:rPr>
                <w:rFonts w:hint="cs"/>
                <w:rtl/>
                <w:lang w:val="en-GB"/>
              </w:rPr>
              <w:t>من أجل ا</w:t>
            </w:r>
            <w:r w:rsidR="00EA70CB" w:rsidRPr="00387C69">
              <w:rPr>
                <w:rtl/>
                <w:lang w:val="en-GB"/>
              </w:rPr>
              <w:t xml:space="preserve">لحصول على الموافقة لإصدار </w:t>
            </w:r>
            <w:r w:rsidR="00EA70CB">
              <w:rPr>
                <w:rFonts w:hint="cs"/>
                <w:rtl/>
                <w:lang w:val="en-GB"/>
              </w:rPr>
              <w:t>الدليلين</w:t>
            </w:r>
            <w:r w:rsidR="00EA70CB">
              <w:rPr>
                <w:rtl/>
                <w:lang w:val="en-GB"/>
              </w:rPr>
              <w:t xml:space="preserve"> كمنشو</w:t>
            </w:r>
            <w:r w:rsidR="00EA70CB">
              <w:rPr>
                <w:rFonts w:hint="cs"/>
                <w:rtl/>
                <w:lang w:val="en-GB"/>
              </w:rPr>
              <w:t xml:space="preserve">رين </w:t>
            </w:r>
            <w:r w:rsidR="00EA70CB" w:rsidRPr="00387C69">
              <w:rPr>
                <w:rtl/>
                <w:lang w:val="en-GB"/>
              </w:rPr>
              <w:t>في الويبو</w:t>
            </w:r>
            <w:r>
              <w:rPr>
                <w:rFonts w:hint="cs"/>
                <w:rtl/>
                <w:lang w:bidi="ar-EG"/>
              </w:rPr>
              <w:t>، و</w:t>
            </w:r>
            <w:r w:rsidR="00AE3B9B">
              <w:rPr>
                <w:rFonts w:hint="cs"/>
                <w:rtl/>
                <w:lang w:bidi="ar-EG"/>
              </w:rPr>
              <w:t>إ</w:t>
            </w:r>
            <w:r>
              <w:rPr>
                <w:rFonts w:hint="cs"/>
                <w:rtl/>
                <w:lang w:bidi="ar-EG"/>
              </w:rPr>
              <w:t xml:space="preserve">دراج </w:t>
            </w:r>
            <w:r w:rsidRPr="00E23B34">
              <w:rPr>
                <w:rtl/>
                <w:lang w:bidi="ar-EG"/>
              </w:rPr>
              <w:t>مساهمات تحريرية وتصميمية احترافية بغية زيادة استيعابه</w:t>
            </w:r>
            <w:r>
              <w:rPr>
                <w:rFonts w:hint="cs"/>
                <w:rtl/>
                <w:lang w:bidi="ar-EG"/>
              </w:rPr>
              <w:t>م</w:t>
            </w:r>
            <w:r w:rsidRPr="00E23B34">
              <w:rPr>
                <w:rtl/>
                <w:lang w:bidi="ar-EG"/>
              </w:rPr>
              <w:t>ا وتأثيره</w:t>
            </w:r>
            <w:r>
              <w:rPr>
                <w:rFonts w:hint="cs"/>
                <w:rtl/>
                <w:lang w:bidi="ar-EG"/>
              </w:rPr>
              <w:t>م</w:t>
            </w:r>
            <w:r w:rsidRPr="00E23B34">
              <w:rPr>
                <w:rtl/>
                <w:lang w:bidi="ar-EG"/>
              </w:rPr>
              <w:t>ا.</w:t>
            </w:r>
            <w:r w:rsidR="003E73D1">
              <w:rPr>
                <w:lang w:bidi="ar-EG"/>
              </w:rPr>
              <w:t xml:space="preserve"> </w:t>
            </w:r>
            <w:r w:rsidR="00AE3B9B">
              <w:rPr>
                <w:rFonts w:hint="cs"/>
                <w:rtl/>
                <w:lang w:bidi="ar-EG"/>
              </w:rPr>
              <w:t>وتماشيا</w:t>
            </w:r>
            <w:r w:rsidR="00142898">
              <w:rPr>
                <w:rFonts w:hint="cs"/>
                <w:rtl/>
                <w:lang w:bidi="ar-EG"/>
              </w:rPr>
              <w:t xml:space="preserve"> مع سياسة الويبو، </w:t>
            </w:r>
            <w:r w:rsidR="00AE3B9B">
              <w:rPr>
                <w:rFonts w:hint="cs"/>
                <w:rtl/>
                <w:lang w:bidi="ar-EG"/>
              </w:rPr>
              <w:t xml:space="preserve">استعرض مشروع الدليلين </w:t>
            </w:r>
            <w:r w:rsidR="00142898">
              <w:rPr>
                <w:rFonts w:hint="cs"/>
                <w:rtl/>
                <w:lang w:bidi="ar-EG"/>
              </w:rPr>
              <w:t>النهائ</w:t>
            </w:r>
            <w:r w:rsidR="00AE3B9B">
              <w:rPr>
                <w:rFonts w:hint="cs"/>
                <w:rtl/>
                <w:lang w:bidi="ar-EG"/>
              </w:rPr>
              <w:t>يين</w:t>
            </w:r>
            <w:r w:rsidR="00142898">
              <w:rPr>
                <w:rFonts w:hint="cs"/>
                <w:rtl/>
                <w:lang w:bidi="ar-EG"/>
              </w:rPr>
              <w:t xml:space="preserve"> عدد من الأقران من الخبراء الداخليين والخارجيين، وأدخل الخبيران الرئيسيان بعض التحسينات على </w:t>
            </w:r>
            <w:r w:rsidR="00AE3B9B">
              <w:rPr>
                <w:rFonts w:hint="cs"/>
                <w:rtl/>
                <w:lang w:bidi="ar-EG"/>
              </w:rPr>
              <w:t>مشروع الدليلين</w:t>
            </w:r>
            <w:r w:rsidR="00142898">
              <w:rPr>
                <w:rFonts w:hint="cs"/>
                <w:rtl/>
                <w:lang w:bidi="ar-EG"/>
              </w:rPr>
              <w:t>، من أجل إدراج التوصيات</w:t>
            </w:r>
            <w:r w:rsidR="00AE3B9B">
              <w:rPr>
                <w:rFonts w:hint="cs"/>
                <w:rtl/>
                <w:lang w:bidi="ar-EG"/>
              </w:rPr>
              <w:t xml:space="preserve"> الصادرة عن استعراض الخبراء</w:t>
            </w:r>
            <w:r w:rsidR="00142898">
              <w:rPr>
                <w:rFonts w:hint="cs"/>
                <w:rtl/>
                <w:lang w:bidi="ar-EG"/>
              </w:rPr>
              <w:t>. وأرسلت الصيغ</w:t>
            </w:r>
            <w:r w:rsidR="00AE3B9B">
              <w:rPr>
                <w:rFonts w:hint="cs"/>
                <w:rtl/>
                <w:lang w:bidi="ar-EG"/>
              </w:rPr>
              <w:t>ة</w:t>
            </w:r>
            <w:r w:rsidR="00142898">
              <w:rPr>
                <w:rFonts w:hint="cs"/>
                <w:rtl/>
                <w:lang w:bidi="ar-EG"/>
              </w:rPr>
              <w:t xml:space="preserve"> النهائية للدليلين من أجل القيام بالتحرير والتصميم الاحترافي، و</w:t>
            </w:r>
            <w:r w:rsidR="00AE3B9B">
              <w:rPr>
                <w:rFonts w:hint="cs"/>
                <w:rtl/>
                <w:lang w:bidi="ar-EG"/>
              </w:rPr>
              <w:t xml:space="preserve">تتم هذه العملية تحت إشراف </w:t>
            </w:r>
            <w:r w:rsidR="00142898" w:rsidRPr="00AE3B9B">
              <w:rPr>
                <w:rFonts w:hint="cs"/>
                <w:rtl/>
                <w:lang w:bidi="ar-EG"/>
              </w:rPr>
              <w:t>شعبة المنشورات والتصميم في الويبو</w:t>
            </w:r>
            <w:r w:rsidR="00142898">
              <w:rPr>
                <w:rFonts w:hint="cs"/>
                <w:rtl/>
                <w:lang w:bidi="ar-EG"/>
              </w:rPr>
              <w:t xml:space="preserve">. وانتهى العمل على التحرير الاحترافي للدليل الأول في يونيو 2019، ومن المرتقب الانتهاء من العمل على التحرير الاحترافي للدليل الثاني في يوليو 2019. </w:t>
            </w:r>
            <w:r w:rsidR="00AE3B9B">
              <w:rPr>
                <w:rFonts w:hint="cs"/>
                <w:rtl/>
                <w:lang w:bidi="ar-EG"/>
              </w:rPr>
              <w:t>و</w:t>
            </w:r>
            <w:r w:rsidR="00142898">
              <w:rPr>
                <w:rFonts w:hint="cs"/>
                <w:rtl/>
                <w:lang w:bidi="ar-EG"/>
              </w:rPr>
              <w:t>يتم ترجمة الدليلين ضمن المرحلة الأخيرة من العملية.</w:t>
            </w:r>
          </w:p>
          <w:p w:rsidR="005701C4" w:rsidRDefault="00FE6620" w:rsidP="005701C4">
            <w:pPr>
              <w:spacing w:after="240" w:line="360" w:lineRule="exact"/>
              <w:rPr>
                <w:rtl/>
                <w:lang w:bidi="ar-EG"/>
              </w:rPr>
            </w:pPr>
            <w:r>
              <w:rPr>
                <w:rFonts w:hint="cs"/>
                <w:rtl/>
                <w:lang w:bidi="ar-EG"/>
              </w:rPr>
              <w:t>2</w:t>
            </w:r>
            <w:r w:rsidR="005701C4">
              <w:rPr>
                <w:rtl/>
                <w:lang w:bidi="ar-EG"/>
              </w:rPr>
              <w:t>. مواد تدريبية جديدة ومحسّنة لفائدة مراكز دعم التكنولوجيا والابتكار</w:t>
            </w:r>
            <w:r w:rsidR="00AE3B9B">
              <w:rPr>
                <w:rFonts w:hint="cs"/>
                <w:rtl/>
                <w:lang w:bidi="ar-EG"/>
              </w:rPr>
              <w:t>،</w:t>
            </w:r>
            <w:r w:rsidR="005701C4">
              <w:rPr>
                <w:rtl/>
                <w:lang w:bidi="ar-EG"/>
              </w:rPr>
              <w:t xml:space="preserve"> استنادا إلى الدليلين الخاصين بتحديد الاختراعات الموجودة في الملك العام واستخدامها</w:t>
            </w:r>
            <w:r w:rsidR="00381DDB">
              <w:rPr>
                <w:rFonts w:hint="cs"/>
                <w:rtl/>
                <w:lang w:bidi="ar-EG"/>
              </w:rPr>
              <w:t>، وإنشاء شبكة من الخبراء:</w:t>
            </w:r>
          </w:p>
          <w:p w:rsidR="00FE6620" w:rsidRDefault="00381DDB" w:rsidP="00EA70CB">
            <w:pPr>
              <w:spacing w:after="240" w:line="360" w:lineRule="exact"/>
              <w:rPr>
                <w:rtl/>
                <w:lang w:bidi="ar-EG"/>
              </w:rPr>
            </w:pPr>
            <w:r>
              <w:rPr>
                <w:rFonts w:hint="cs"/>
                <w:rtl/>
                <w:lang w:bidi="ar-EG"/>
              </w:rPr>
              <w:t xml:space="preserve">بدأ العمل على تدريب عدد من المراكز المختارة على الدليلين في </w:t>
            </w:r>
            <w:r w:rsidR="00EA70CB">
              <w:rPr>
                <w:rFonts w:hint="cs"/>
                <w:rtl/>
                <w:lang w:bidi="ar-EG"/>
              </w:rPr>
              <w:t xml:space="preserve">الربع الأخير </w:t>
            </w:r>
            <w:r>
              <w:rPr>
                <w:rFonts w:hint="cs"/>
                <w:rtl/>
                <w:lang w:bidi="ar-EG"/>
              </w:rPr>
              <w:t>من 2018، استنادا إلى المواد التدريبية التي أحدثها الخبيران الرئيسيان. ونظمت تسع حلقات عمل بين نوفمبر 2018 ويونيو 2019، مع التركيز في البداية على البلدان التجريبية وهي الأرجنتين وكول</w:t>
            </w:r>
            <w:r w:rsidR="00EA70CB">
              <w:rPr>
                <w:rFonts w:hint="cs"/>
                <w:rtl/>
                <w:lang w:bidi="ar-EG"/>
              </w:rPr>
              <w:t>وم</w:t>
            </w:r>
            <w:r>
              <w:rPr>
                <w:rFonts w:hint="cs"/>
                <w:rtl/>
                <w:lang w:bidi="ar-EG"/>
              </w:rPr>
              <w:t>بيا وكينيا وماليزيا والمغرب والفلبين والاتحاد الروسي وجنوب أفريقيا، بالإضافة إلى الهند.</w:t>
            </w:r>
            <w:r w:rsidR="003E4299">
              <w:rPr>
                <w:rFonts w:hint="cs"/>
                <w:rtl/>
                <w:lang w:bidi="ar-EG"/>
              </w:rPr>
              <w:t xml:space="preserve"> وقد أتاحت حلقات العمل فرصة لاختبار المواد التدريبية وإدخال بعض التحسينات الإضافية عليها. وكلّما أمكن ذلك، </w:t>
            </w:r>
            <w:r w:rsidR="00EA70CB">
              <w:rPr>
                <w:rFonts w:hint="cs"/>
                <w:rtl/>
                <w:lang w:bidi="ar-EG"/>
              </w:rPr>
              <w:t>اضطلع ال</w:t>
            </w:r>
            <w:r w:rsidR="003E4299">
              <w:rPr>
                <w:rFonts w:hint="cs"/>
                <w:rtl/>
                <w:lang w:bidi="ar-EG"/>
              </w:rPr>
              <w:t xml:space="preserve">خبيران الرئيسيان </w:t>
            </w:r>
            <w:r w:rsidR="00EA70CB">
              <w:rPr>
                <w:rFonts w:hint="cs"/>
                <w:rtl/>
                <w:lang w:bidi="ar-EG"/>
              </w:rPr>
              <w:t>ب</w:t>
            </w:r>
            <w:r w:rsidR="003E4299">
              <w:rPr>
                <w:rFonts w:hint="cs"/>
                <w:rtl/>
                <w:lang w:bidi="ar-EG"/>
              </w:rPr>
              <w:t>التدريب على الدليلين بمساعدة الخبراء المساعدين و</w:t>
            </w:r>
            <w:r w:rsidR="00EA70CB">
              <w:rPr>
                <w:rFonts w:hint="cs"/>
                <w:rtl/>
                <w:lang w:bidi="ar-EG"/>
              </w:rPr>
              <w:t xml:space="preserve">الخبراء </w:t>
            </w:r>
            <w:r w:rsidR="003E4299">
              <w:rPr>
                <w:rFonts w:hint="cs"/>
                <w:rtl/>
                <w:lang w:bidi="ar-EG"/>
              </w:rPr>
              <w:t>القطريين، بهدف إنشاء شبكة خبراء قادرين على مواصلة تقديم الدعم لمراكز دعم التكنولوجيا والابتكار</w:t>
            </w:r>
            <w:r w:rsidR="00EA70CB">
              <w:rPr>
                <w:rFonts w:hint="cs"/>
                <w:rtl/>
                <w:lang w:bidi="ar-EG"/>
              </w:rPr>
              <w:t xml:space="preserve"> </w:t>
            </w:r>
            <w:r w:rsidR="003E4299">
              <w:rPr>
                <w:rFonts w:hint="cs"/>
                <w:rtl/>
                <w:lang w:bidi="ar-EG"/>
              </w:rPr>
              <w:t xml:space="preserve">بخصوص استخدام الدليلين بعد </w:t>
            </w:r>
            <w:r w:rsidR="00EA70CB">
              <w:rPr>
                <w:rFonts w:hint="cs"/>
                <w:rtl/>
                <w:lang w:bidi="ar-EG"/>
              </w:rPr>
              <w:t xml:space="preserve">انتهاء </w:t>
            </w:r>
            <w:r w:rsidR="003E4299">
              <w:rPr>
                <w:rFonts w:hint="cs"/>
                <w:rtl/>
                <w:lang w:bidi="ar-EG"/>
              </w:rPr>
              <w:t xml:space="preserve">المشروع. وقد </w:t>
            </w:r>
            <w:r w:rsidR="00AE39FF">
              <w:rPr>
                <w:rFonts w:hint="cs"/>
                <w:rtl/>
                <w:lang w:bidi="ar-EG"/>
              </w:rPr>
              <w:t xml:space="preserve">وزع </w:t>
            </w:r>
            <w:r w:rsidR="003E4299">
              <w:rPr>
                <w:rFonts w:hint="cs"/>
                <w:rtl/>
                <w:lang w:bidi="ar-EG"/>
              </w:rPr>
              <w:t xml:space="preserve">الخبراء الاستمارات التقييمية </w:t>
            </w:r>
            <w:r w:rsidR="00AE39FF">
              <w:rPr>
                <w:rFonts w:hint="cs"/>
                <w:rtl/>
                <w:lang w:bidi="ar-EG"/>
              </w:rPr>
              <w:t xml:space="preserve">وجمعوها </w:t>
            </w:r>
            <w:r w:rsidR="003E4299">
              <w:rPr>
                <w:rFonts w:hint="cs"/>
                <w:rtl/>
                <w:lang w:bidi="ar-EG"/>
              </w:rPr>
              <w:t xml:space="preserve">في نهاية حلقات العمل، واستخدمت </w:t>
            </w:r>
            <w:r w:rsidR="00EA70CB">
              <w:rPr>
                <w:rFonts w:hint="cs"/>
                <w:rtl/>
                <w:lang w:bidi="ar-EG"/>
              </w:rPr>
              <w:t xml:space="preserve">التعليقات </w:t>
            </w:r>
            <w:r w:rsidR="003E4299">
              <w:rPr>
                <w:rFonts w:hint="cs"/>
                <w:rtl/>
                <w:lang w:bidi="ar-EG"/>
              </w:rPr>
              <w:t>التي تلقاها الخبراء من أجل مزيد تكييف المواد التدريبية.</w:t>
            </w:r>
          </w:p>
          <w:p w:rsidR="00F172EE" w:rsidRDefault="00F172EE" w:rsidP="00F172EE">
            <w:pPr>
              <w:spacing w:after="240" w:line="360" w:lineRule="exact"/>
              <w:rPr>
                <w:rtl/>
                <w:lang w:bidi="ar-EG"/>
              </w:rPr>
            </w:pPr>
            <w:r>
              <w:rPr>
                <w:rFonts w:hint="cs"/>
                <w:rtl/>
                <w:lang w:bidi="ar-EG"/>
              </w:rPr>
              <w:t>3</w:t>
            </w:r>
            <w:r>
              <w:rPr>
                <w:rtl/>
                <w:lang w:bidi="ar-EG"/>
              </w:rPr>
              <w:t>. بوابة محسّنة للوضع القانوني</w:t>
            </w:r>
            <w:r>
              <w:rPr>
                <w:rFonts w:hint="cs"/>
                <w:rtl/>
                <w:lang w:bidi="ar-EG"/>
              </w:rPr>
              <w:t xml:space="preserve"> </w:t>
            </w:r>
            <w:r>
              <w:rPr>
                <w:rtl/>
                <w:lang w:bidi="ar-EG"/>
              </w:rPr>
              <w:t>تتيح إمكانية استخدام أسهل ومحتوى أكبر، بما في ذلك ما يلي:</w:t>
            </w:r>
          </w:p>
          <w:p w:rsidR="00F172EE" w:rsidRDefault="00F172EE" w:rsidP="00F172EE">
            <w:pPr>
              <w:spacing w:after="240" w:line="360" w:lineRule="exact"/>
              <w:rPr>
                <w:rtl/>
                <w:lang w:bidi="ar-EG"/>
              </w:rPr>
            </w:pPr>
            <w:r>
              <w:rPr>
                <w:rFonts w:hint="cs"/>
                <w:rtl/>
                <w:lang w:bidi="ar-EG"/>
              </w:rPr>
              <w:t>من أجل تحديد الاحتياجات الرئيسية لدى مجموعة مستخدمي معلومات البراءات</w:t>
            </w:r>
            <w:r w:rsidR="00C30EDC">
              <w:rPr>
                <w:rFonts w:hint="cs"/>
                <w:rtl/>
                <w:lang w:bidi="ar-EG"/>
              </w:rPr>
              <w:t xml:space="preserve">، أي </w:t>
            </w:r>
            <w:r>
              <w:rPr>
                <w:rFonts w:hint="cs"/>
                <w:rtl/>
                <w:lang w:bidi="ar-EG"/>
              </w:rPr>
              <w:t>المستخدم</w:t>
            </w:r>
            <w:r w:rsidR="00C30EDC">
              <w:rPr>
                <w:rFonts w:hint="cs"/>
                <w:rtl/>
                <w:lang w:bidi="ar-EG"/>
              </w:rPr>
              <w:t>و</w:t>
            </w:r>
            <w:r>
              <w:rPr>
                <w:rFonts w:hint="cs"/>
                <w:rtl/>
                <w:lang w:bidi="ar-EG"/>
              </w:rPr>
              <w:t>ن الرئيسيين لبوابة الوضع القانوني</w:t>
            </w:r>
            <w:r w:rsidR="0031056B">
              <w:rPr>
                <w:rFonts w:hint="cs"/>
                <w:rtl/>
                <w:lang w:bidi="ar-EG"/>
              </w:rPr>
              <w:t xml:space="preserve"> والتي </w:t>
            </w:r>
            <w:r w:rsidR="00F72D22">
              <w:rPr>
                <w:rFonts w:hint="cs"/>
                <w:rtl/>
                <w:lang w:bidi="ar-EG"/>
              </w:rPr>
              <w:t>س</w:t>
            </w:r>
            <w:r w:rsidR="0031056B">
              <w:rPr>
                <w:rFonts w:hint="cs"/>
                <w:rtl/>
                <w:lang w:bidi="ar-EG"/>
              </w:rPr>
              <w:t xml:space="preserve">يشار إليها في </w:t>
            </w:r>
            <w:r w:rsidR="00F72D22">
              <w:rPr>
                <w:rFonts w:hint="cs"/>
                <w:rtl/>
                <w:lang w:bidi="ar-EG"/>
              </w:rPr>
              <w:t xml:space="preserve">بقية هذه الوثيقة </w:t>
            </w:r>
            <w:r w:rsidR="0031056B">
              <w:rPr>
                <w:rFonts w:hint="cs"/>
                <w:rtl/>
                <w:lang w:bidi="ar-EG"/>
              </w:rPr>
              <w:t>بعبارة "البوابة"،</w:t>
            </w:r>
            <w:r>
              <w:rPr>
                <w:rFonts w:hint="cs"/>
                <w:rtl/>
                <w:lang w:bidi="ar-EG"/>
              </w:rPr>
              <w:t xml:space="preserve"> </w:t>
            </w:r>
            <w:r w:rsidR="00C30EDC">
              <w:rPr>
                <w:rFonts w:hint="cs"/>
                <w:rtl/>
                <w:lang w:bidi="ar-EG"/>
              </w:rPr>
              <w:t xml:space="preserve">تم تعيين خبير تواصل </w:t>
            </w:r>
            <w:r>
              <w:rPr>
                <w:rFonts w:hint="cs"/>
                <w:rtl/>
                <w:lang w:bidi="ar-EG"/>
              </w:rPr>
              <w:t xml:space="preserve">وكلف بالقيام بدراسة تفصيلية للاحتياجات </w:t>
            </w:r>
            <w:r w:rsidR="00C30EDC">
              <w:rPr>
                <w:rFonts w:hint="cs"/>
                <w:rtl/>
                <w:lang w:bidi="ar-EG"/>
              </w:rPr>
              <w:t>وال</w:t>
            </w:r>
            <w:r>
              <w:rPr>
                <w:rFonts w:hint="cs"/>
                <w:rtl/>
                <w:lang w:bidi="ar-EG"/>
              </w:rPr>
              <w:t>ت</w:t>
            </w:r>
            <w:r w:rsidR="00C30EDC">
              <w:rPr>
                <w:rFonts w:hint="cs"/>
                <w:rtl/>
                <w:lang w:bidi="ar-EG"/>
              </w:rPr>
              <w:t>ي ت</w:t>
            </w:r>
            <w:r>
              <w:rPr>
                <w:rFonts w:hint="cs"/>
                <w:rtl/>
                <w:lang w:bidi="ar-EG"/>
              </w:rPr>
              <w:t xml:space="preserve">شمل </w:t>
            </w:r>
            <w:r w:rsidR="00E94080">
              <w:rPr>
                <w:rFonts w:hint="cs"/>
                <w:rtl/>
                <w:lang w:bidi="ar-EG"/>
              </w:rPr>
              <w:t xml:space="preserve">جمع </w:t>
            </w:r>
            <w:r w:rsidR="00C30EDC">
              <w:rPr>
                <w:rFonts w:hint="cs"/>
                <w:rtl/>
                <w:lang w:bidi="ar-EG"/>
              </w:rPr>
              <w:t xml:space="preserve">التعليقات من </w:t>
            </w:r>
            <w:r w:rsidR="00E94080">
              <w:rPr>
                <w:rFonts w:hint="cs"/>
                <w:rtl/>
                <w:lang w:bidi="ar-EG"/>
              </w:rPr>
              <w:t xml:space="preserve">مستخدمي </w:t>
            </w:r>
            <w:r w:rsidR="0031056B">
              <w:rPr>
                <w:rFonts w:hint="cs"/>
                <w:rtl/>
                <w:lang w:bidi="ar-EG"/>
              </w:rPr>
              <w:t>ال</w:t>
            </w:r>
            <w:r w:rsidR="00E94080">
              <w:rPr>
                <w:rFonts w:hint="cs"/>
                <w:rtl/>
                <w:lang w:bidi="ar-EG"/>
              </w:rPr>
              <w:t xml:space="preserve">بوابة </w:t>
            </w:r>
            <w:r w:rsidR="00C30EDC">
              <w:rPr>
                <w:rFonts w:hint="cs"/>
                <w:rtl/>
                <w:lang w:bidi="ar-EG"/>
              </w:rPr>
              <w:t xml:space="preserve">من </w:t>
            </w:r>
            <w:r w:rsidR="00E94080">
              <w:rPr>
                <w:rFonts w:hint="cs"/>
                <w:rtl/>
                <w:lang w:bidi="ar-EG"/>
              </w:rPr>
              <w:t xml:space="preserve">خلال دراسة استقصائية وعدد من المقابلات الهادفة. وقد راجع الخبير المتعاقد ما يفوق 200 إجابة وردت من 20 بلدا، </w:t>
            </w:r>
            <w:r w:rsidR="00F72D22">
              <w:rPr>
                <w:rFonts w:hint="cs"/>
                <w:rtl/>
                <w:lang w:bidi="ar-EG"/>
              </w:rPr>
              <w:t>واستند على تلك الإجابات ل</w:t>
            </w:r>
            <w:r w:rsidR="00E94080">
              <w:rPr>
                <w:rFonts w:hint="cs"/>
                <w:rtl/>
                <w:lang w:bidi="ar-EG"/>
              </w:rPr>
              <w:t xml:space="preserve">صياغة عدد من التوصيات حول كيفية تحسين </w:t>
            </w:r>
            <w:r w:rsidR="0031056B">
              <w:rPr>
                <w:rFonts w:hint="cs"/>
                <w:rtl/>
                <w:lang w:bidi="ar-EG"/>
              </w:rPr>
              <w:t>ال</w:t>
            </w:r>
            <w:r w:rsidR="00E94080">
              <w:rPr>
                <w:rFonts w:hint="cs"/>
                <w:rtl/>
                <w:lang w:bidi="ar-EG"/>
              </w:rPr>
              <w:t>بوابة. وبالتوازي</w:t>
            </w:r>
            <w:r w:rsidR="00F72D22">
              <w:rPr>
                <w:rFonts w:hint="cs"/>
                <w:rtl/>
                <w:lang w:bidi="ar-EG"/>
              </w:rPr>
              <w:t xml:space="preserve"> مع ذلك</w:t>
            </w:r>
            <w:r w:rsidR="00E94080">
              <w:rPr>
                <w:rFonts w:hint="cs"/>
                <w:rtl/>
                <w:lang w:bidi="ar-EG"/>
              </w:rPr>
              <w:t xml:space="preserve">، ختمت إجراءات تعيين متعاقد لإنشاء الواجهة الجديدة </w:t>
            </w:r>
            <w:r w:rsidR="0031056B">
              <w:rPr>
                <w:rFonts w:hint="cs"/>
                <w:rtl/>
                <w:lang w:bidi="ar-EG"/>
              </w:rPr>
              <w:t>للبوابة</w:t>
            </w:r>
            <w:r w:rsidR="00E94080">
              <w:rPr>
                <w:rFonts w:hint="cs"/>
                <w:rtl/>
                <w:lang w:bidi="ar-EG"/>
              </w:rPr>
              <w:t>، في سبتمبر 2016.</w:t>
            </w:r>
          </w:p>
          <w:p w:rsidR="00FE6620" w:rsidRDefault="00E94080" w:rsidP="00FE6620">
            <w:pPr>
              <w:spacing w:after="240" w:line="360" w:lineRule="exact"/>
              <w:rPr>
                <w:rtl/>
                <w:lang w:bidi="ar-EG"/>
              </w:rPr>
            </w:pPr>
            <w:r>
              <w:rPr>
                <w:rFonts w:hint="cs"/>
                <w:rtl/>
                <w:lang w:bidi="ar-EG"/>
              </w:rPr>
              <w:t xml:space="preserve">وقد شملت الدراسة عددا من الحلول التقنية المتنوعة، التي تأخذ بعين الاعتبار الحاجة إلى إتاحة استخدام </w:t>
            </w:r>
            <w:r w:rsidR="00F72D22">
              <w:rPr>
                <w:rFonts w:hint="cs"/>
                <w:rtl/>
                <w:lang w:bidi="ar-EG"/>
              </w:rPr>
              <w:t>ا</w:t>
            </w:r>
            <w:r w:rsidR="0031056B">
              <w:rPr>
                <w:rFonts w:hint="cs"/>
                <w:rtl/>
                <w:lang w:bidi="ar-EG"/>
              </w:rPr>
              <w:t xml:space="preserve">لبوابة </w:t>
            </w:r>
            <w:r w:rsidR="00F72D22">
              <w:rPr>
                <w:rFonts w:hint="cs"/>
                <w:rtl/>
                <w:lang w:bidi="ar-EG"/>
              </w:rPr>
              <w:t xml:space="preserve">بشكل أسهل </w:t>
            </w:r>
            <w:r w:rsidR="0031056B">
              <w:rPr>
                <w:rFonts w:hint="cs"/>
                <w:rtl/>
                <w:lang w:bidi="ar-EG"/>
              </w:rPr>
              <w:t xml:space="preserve">وإضافة </w:t>
            </w:r>
            <w:r>
              <w:rPr>
                <w:rFonts w:hint="cs"/>
                <w:rtl/>
                <w:lang w:bidi="ar-EG"/>
              </w:rPr>
              <w:t xml:space="preserve">وظائف البحث المتقدم. </w:t>
            </w:r>
            <w:r w:rsidR="00F72D22">
              <w:rPr>
                <w:rFonts w:hint="cs"/>
                <w:rtl/>
                <w:lang w:bidi="ar-EG"/>
              </w:rPr>
              <w:t xml:space="preserve">وجرت </w:t>
            </w:r>
            <w:r w:rsidR="00FE6620" w:rsidRPr="00FE6620">
              <w:rPr>
                <w:rtl/>
                <w:lang w:bidi="ar-EG"/>
              </w:rPr>
              <w:t xml:space="preserve">مشاورات مع مجموعة متنوعة من أصحاب المصلحة مثل قسم الأمم المتحدة للمعلومات الجغرافية المكانية </w:t>
            </w:r>
            <w:r w:rsidR="00FE6620" w:rsidRPr="00FE6620">
              <w:rPr>
                <w:rtl/>
                <w:lang w:bidi="ar-EG"/>
              </w:rPr>
              <w:lastRenderedPageBreak/>
              <w:t>(</w:t>
            </w:r>
            <w:r w:rsidR="00FE6620" w:rsidRPr="00FE6620">
              <w:rPr>
                <w:lang w:bidi="ar-EG"/>
              </w:rPr>
              <w:t>UNGIS</w:t>
            </w:r>
            <w:r w:rsidR="00FE6620" w:rsidRPr="00FE6620">
              <w:rPr>
                <w:rtl/>
                <w:lang w:bidi="ar-EG"/>
              </w:rPr>
              <w:t xml:space="preserve">) </w:t>
            </w:r>
            <w:r w:rsidRPr="00F72D22">
              <w:rPr>
                <w:rFonts w:hint="cs"/>
                <w:rtl/>
                <w:lang w:bidi="ar-EG"/>
              </w:rPr>
              <w:t>ومكتب المستشار القانوني</w:t>
            </w:r>
            <w:r>
              <w:rPr>
                <w:rFonts w:hint="cs"/>
                <w:rtl/>
                <w:lang w:bidi="ar-EG"/>
              </w:rPr>
              <w:t xml:space="preserve"> </w:t>
            </w:r>
            <w:r w:rsidR="00FE6620" w:rsidRPr="00FE6620">
              <w:rPr>
                <w:rtl/>
                <w:lang w:bidi="ar-EG"/>
              </w:rPr>
              <w:t xml:space="preserve">بشأن استخدام بيانات الأمم المتحدة الرسمية الخاصة بالحدود الدولية من أجل وضع خريطة جديدة، </w:t>
            </w:r>
            <w:r w:rsidR="00F72D22">
              <w:rPr>
                <w:rFonts w:hint="cs"/>
                <w:rtl/>
                <w:lang w:bidi="ar-EG"/>
              </w:rPr>
              <w:t xml:space="preserve">وعقدت </w:t>
            </w:r>
            <w:r w:rsidR="00FE6620" w:rsidRPr="00FE6620">
              <w:rPr>
                <w:rtl/>
                <w:lang w:bidi="ar-EG"/>
              </w:rPr>
              <w:t xml:space="preserve">مناقشات مع الزملاء المعنيين في شعبة الاتصالات وإدارة تكنولوجيا المعلومات والاتصالات في الويبو بشأن خيارات التنفيذ التقني </w:t>
            </w:r>
            <w:r w:rsidR="0031056B">
              <w:rPr>
                <w:rFonts w:hint="cs"/>
                <w:rtl/>
                <w:lang w:bidi="ar-EG"/>
              </w:rPr>
              <w:t xml:space="preserve">ومنها </w:t>
            </w:r>
            <w:r>
              <w:rPr>
                <w:rFonts w:hint="cs"/>
                <w:rtl/>
                <w:lang w:bidi="ar-EG"/>
              </w:rPr>
              <w:t>إمكانية استخدام برنامج لعرض الخرائط</w:t>
            </w:r>
            <w:r w:rsidR="00FE6620" w:rsidRPr="00FE6620">
              <w:rPr>
                <w:rtl/>
                <w:lang w:bidi="ar-EG"/>
              </w:rPr>
              <w:t>، بما يتماشى مع السياسات التنظيمية</w:t>
            </w:r>
            <w:r w:rsidR="00494F03">
              <w:rPr>
                <w:rFonts w:hint="cs"/>
                <w:rtl/>
                <w:lang w:bidi="ar-EG"/>
              </w:rPr>
              <w:t xml:space="preserve">. وقد أفضت المشاورات إلى إمضاء اتفاق مع </w:t>
            </w:r>
            <w:r w:rsidR="00494F03" w:rsidRPr="00FE6620">
              <w:rPr>
                <w:rtl/>
                <w:lang w:bidi="ar-EG"/>
              </w:rPr>
              <w:t>قسم الأمم المتحدة للمعلومات الجغرافية المكانية بشأن استخدام بيانات الأمم المتحدة الرسمية الخاصة بالحدود الدولية</w:t>
            </w:r>
            <w:r w:rsidR="00494F03">
              <w:rPr>
                <w:rFonts w:hint="cs"/>
                <w:rtl/>
                <w:lang w:bidi="ar-EG"/>
              </w:rPr>
              <w:t xml:space="preserve">، وإلى تحديد </w:t>
            </w:r>
            <w:r w:rsidR="00FE6620" w:rsidRPr="00FE6620">
              <w:rPr>
                <w:rtl/>
                <w:lang w:bidi="ar-EG"/>
              </w:rPr>
              <w:t>حلّ فعال من حيث التكلفة لتطوير واجهة جديدة</w:t>
            </w:r>
            <w:r w:rsidR="00494F03">
              <w:rPr>
                <w:rFonts w:hint="cs"/>
                <w:rtl/>
                <w:lang w:bidi="ar-EG"/>
              </w:rPr>
              <w:t>، باستخدام برنامج قائم على التكنولوجيا السحابية، واسع الانتشار بين منظمات الأمم المتحدة الأخرى.</w:t>
            </w:r>
          </w:p>
          <w:p w:rsidR="00455B6D" w:rsidRDefault="0031056B" w:rsidP="00022B33">
            <w:pPr>
              <w:spacing w:after="240" w:line="360" w:lineRule="exact"/>
              <w:rPr>
                <w:rtl/>
                <w:lang w:bidi="ar-EG"/>
              </w:rPr>
            </w:pPr>
            <w:r>
              <w:rPr>
                <w:rFonts w:hint="cs"/>
                <w:rtl/>
                <w:lang w:bidi="ar-EG"/>
              </w:rPr>
              <w:t>وفي نفس الفترة</w:t>
            </w:r>
            <w:r w:rsidR="00F72D22">
              <w:rPr>
                <w:rFonts w:hint="cs"/>
                <w:rtl/>
                <w:lang w:bidi="ar-EG"/>
              </w:rPr>
              <w:t xml:space="preserve"> في 2017</w:t>
            </w:r>
            <w:r>
              <w:rPr>
                <w:rFonts w:hint="cs"/>
                <w:rtl/>
                <w:lang w:bidi="ar-EG"/>
              </w:rPr>
              <w:t xml:space="preserve">، </w:t>
            </w:r>
            <w:r w:rsidR="00FE6620">
              <w:rPr>
                <w:rtl/>
                <w:lang w:bidi="ar-EG"/>
              </w:rPr>
              <w:t>عُين</w:t>
            </w:r>
            <w:r w:rsidR="00F72D22">
              <w:rPr>
                <w:rFonts w:hint="cs"/>
                <w:rtl/>
                <w:lang w:bidi="ar-EG"/>
              </w:rPr>
              <w:t xml:space="preserve"> </w:t>
            </w:r>
            <w:r w:rsidR="00FE6620">
              <w:rPr>
                <w:rtl/>
                <w:lang w:bidi="ar-EG"/>
              </w:rPr>
              <w:t>خبير معني بمعلومات البراءات</w:t>
            </w:r>
            <w:r w:rsidR="00F72D22">
              <w:rPr>
                <w:rFonts w:hint="cs"/>
                <w:rtl/>
                <w:lang w:bidi="ar-EG"/>
              </w:rPr>
              <w:t xml:space="preserve"> </w:t>
            </w:r>
            <w:r>
              <w:rPr>
                <w:rFonts w:hint="cs"/>
                <w:rtl/>
                <w:lang w:bidi="ar-EG"/>
              </w:rPr>
              <w:t xml:space="preserve">من أجل </w:t>
            </w:r>
            <w:r w:rsidR="00FE6620">
              <w:rPr>
                <w:rtl/>
                <w:lang w:bidi="ar-EG"/>
              </w:rPr>
              <w:t xml:space="preserve">استعراض محتوى البوابة </w:t>
            </w:r>
            <w:r w:rsidR="00022B33">
              <w:rPr>
                <w:rFonts w:hint="cs"/>
                <w:rtl/>
                <w:lang w:bidi="ar-EG"/>
              </w:rPr>
              <w:t xml:space="preserve">وتحديثها، </w:t>
            </w:r>
            <w:r w:rsidR="00F72D22">
              <w:rPr>
                <w:rFonts w:hint="cs"/>
                <w:rtl/>
                <w:lang w:bidi="ar-EG"/>
              </w:rPr>
              <w:t>كلما اقتضت الحاجة</w:t>
            </w:r>
            <w:r w:rsidR="00022B33">
              <w:rPr>
                <w:rFonts w:hint="cs"/>
                <w:rtl/>
                <w:lang w:bidi="ar-EG"/>
              </w:rPr>
              <w:t>. وقد حد</w:t>
            </w:r>
            <w:r w:rsidR="00F72D22">
              <w:rPr>
                <w:rFonts w:hint="cs"/>
                <w:rtl/>
                <w:lang w:bidi="ar-EG"/>
              </w:rPr>
              <w:t>ّ</w:t>
            </w:r>
            <w:r w:rsidR="00022B33">
              <w:rPr>
                <w:rFonts w:hint="cs"/>
                <w:rtl/>
                <w:lang w:bidi="ar-EG"/>
              </w:rPr>
              <w:t xml:space="preserve">ث الخبير البيانات المتعلقة بما يفوق 160 ولاية قضائية، وأعدّ </w:t>
            </w:r>
            <w:r w:rsidR="00FE6620">
              <w:rPr>
                <w:rtl/>
                <w:lang w:bidi="ar-EG"/>
              </w:rPr>
              <w:t xml:space="preserve">ملفات مساعدة تفصيلية لكل ولاية قضائية مدرجة في البوابة، </w:t>
            </w:r>
            <w:r w:rsidR="00022B33">
              <w:rPr>
                <w:rFonts w:hint="cs"/>
                <w:rtl/>
                <w:lang w:bidi="ar-EG"/>
              </w:rPr>
              <w:t>من أجل تقديم دعم إضافي للمستخدمين للتعرف على المعلومات المتعلقة بالوضع القانوني التي قد تكون متاحة على الإنترنت، و</w:t>
            </w:r>
            <w:r w:rsidR="00F72D22">
              <w:rPr>
                <w:rFonts w:hint="cs"/>
                <w:rtl/>
                <w:lang w:bidi="ar-EG"/>
              </w:rPr>
              <w:t>ل</w:t>
            </w:r>
            <w:r w:rsidR="00022B33">
              <w:rPr>
                <w:rFonts w:hint="cs"/>
                <w:rtl/>
                <w:lang w:bidi="ar-EG"/>
              </w:rPr>
              <w:t xml:space="preserve">تقديم معلومات إضافية بشأن خصوصيات الحماية الممنوحة للبراءات </w:t>
            </w:r>
            <w:r w:rsidR="00F72D22">
              <w:rPr>
                <w:rFonts w:hint="cs"/>
                <w:rtl/>
                <w:lang w:bidi="ar-EG"/>
              </w:rPr>
              <w:t xml:space="preserve">في مل ولاية قضائية </w:t>
            </w:r>
            <w:r w:rsidR="00022B33">
              <w:rPr>
                <w:rFonts w:hint="cs"/>
                <w:rtl/>
                <w:lang w:bidi="ar-EG"/>
              </w:rPr>
              <w:t xml:space="preserve">وبعض النصائح </w:t>
            </w:r>
            <w:r w:rsidR="00455B6D">
              <w:rPr>
                <w:rFonts w:hint="cs"/>
                <w:rtl/>
                <w:lang w:bidi="ar-EG"/>
              </w:rPr>
              <w:t>المتعلقة بالبحث.</w:t>
            </w:r>
          </w:p>
          <w:p w:rsidR="00455B6D" w:rsidRDefault="00FF48A5" w:rsidP="00022B33">
            <w:pPr>
              <w:spacing w:after="240" w:line="360" w:lineRule="exact"/>
              <w:rPr>
                <w:rtl/>
                <w:lang w:val="pl-PL" w:bidi="ar-TN"/>
              </w:rPr>
            </w:pPr>
            <w:r>
              <w:rPr>
                <w:rFonts w:hint="cs"/>
                <w:rtl/>
                <w:lang w:val="pl-PL" w:bidi="ar-TN"/>
              </w:rPr>
              <w:t xml:space="preserve">وأضيفت بعض الوظائف الجديدة إلى البوابة، من سبيل إمكانية دمج معايير البحث، </w:t>
            </w:r>
            <w:r w:rsidR="00C53D41">
              <w:rPr>
                <w:rFonts w:hint="cs"/>
                <w:rtl/>
                <w:lang w:val="pl-PL" w:bidi="ar-TN"/>
              </w:rPr>
              <w:t>وعرض المعلومات بشكل منفصل على الخريطة و</w:t>
            </w:r>
            <w:r w:rsidR="00F72D22">
              <w:rPr>
                <w:rFonts w:hint="cs"/>
                <w:rtl/>
                <w:lang w:val="pl-PL" w:bidi="ar-TN"/>
              </w:rPr>
              <w:t xml:space="preserve">ضمن </w:t>
            </w:r>
            <w:r w:rsidR="00C53D41">
              <w:rPr>
                <w:rFonts w:hint="cs"/>
                <w:rtl/>
                <w:lang w:val="pl-PL" w:bidi="ar-TN"/>
              </w:rPr>
              <w:t xml:space="preserve">جدول، وتحديد الولايات القضائية </w:t>
            </w:r>
            <w:r w:rsidR="00F72D22">
              <w:rPr>
                <w:rFonts w:hint="cs"/>
                <w:rtl/>
                <w:lang w:val="pl-PL" w:bidi="ar-TN"/>
              </w:rPr>
              <w:t xml:space="preserve">الأعضاء </w:t>
            </w:r>
            <w:r w:rsidR="00C53D41">
              <w:rPr>
                <w:rFonts w:hint="cs"/>
                <w:rtl/>
                <w:lang w:val="pl-PL" w:bidi="ar-TN"/>
              </w:rPr>
              <w:t xml:space="preserve">في منظمة إقليمية لإصدار البراءات أو مجموعة إقليمية لمعلومات البراءات. وأضيفت بعض حقول البحث، ومنها سجلات البراءات التي يمكن </w:t>
            </w:r>
            <w:r w:rsidR="00EB5C8A">
              <w:rPr>
                <w:rFonts w:hint="cs"/>
                <w:rtl/>
                <w:lang w:val="pl-PL" w:bidi="ar-TN"/>
              </w:rPr>
              <w:t xml:space="preserve">البحث في محتواها </w:t>
            </w:r>
            <w:r w:rsidR="00C53D41">
              <w:rPr>
                <w:rFonts w:hint="cs"/>
                <w:rtl/>
                <w:lang w:val="pl-PL" w:bidi="ar-TN"/>
              </w:rPr>
              <w:t xml:space="preserve">على الإنترنت باستخدام اسم مودع الطلب أو بيانات الأولوية، والسجلات الإلكترونية </w:t>
            </w:r>
            <w:r w:rsidR="00014E99">
              <w:rPr>
                <w:rFonts w:hint="cs"/>
                <w:rtl/>
                <w:lang w:val="pl-PL" w:bidi="ar-TN"/>
              </w:rPr>
              <w:t xml:space="preserve">التي تتيح المعلومات بشأن صكوك تمديد فترة حماية البراءات، </w:t>
            </w:r>
            <w:r w:rsidR="00B52DD8">
              <w:rPr>
                <w:rFonts w:hint="cs"/>
                <w:rtl/>
                <w:lang w:val="pl-PL" w:bidi="ar-TN"/>
              </w:rPr>
              <w:t>وشهادات الحماية الإضافية، والبراءات الإقليمية السارية في الولايات القضائية المعنية.</w:t>
            </w:r>
          </w:p>
          <w:p w:rsidR="00B52DD8" w:rsidRDefault="00B52DD8" w:rsidP="00022B33">
            <w:pPr>
              <w:spacing w:after="240" w:line="360" w:lineRule="exact"/>
              <w:rPr>
                <w:rtl/>
                <w:lang w:val="pl-PL" w:bidi="ar-TN"/>
              </w:rPr>
            </w:pPr>
            <w:r>
              <w:rPr>
                <w:rFonts w:hint="cs"/>
                <w:rtl/>
                <w:lang w:val="pl-PL" w:bidi="ar-TN"/>
              </w:rPr>
              <w:t>وشمل تحديث المعلومات، خلال هذه المرح</w:t>
            </w:r>
            <w:r w:rsidR="00EB5C8A">
              <w:rPr>
                <w:rFonts w:hint="cs"/>
                <w:rtl/>
                <w:lang w:val="pl-PL" w:bidi="ar-TN"/>
              </w:rPr>
              <w:t>ل</w:t>
            </w:r>
            <w:r>
              <w:rPr>
                <w:rFonts w:hint="cs"/>
                <w:rtl/>
                <w:lang w:val="pl-PL" w:bidi="ar-TN"/>
              </w:rPr>
              <w:t>ة، ما يفوق 200 ولاية قضائية، أي بزيادة 25% في عدد الولايات القضائية ومجموعات معلومات البراءات التي أصبحت بياناتها متاحة في الإصدار الجديد للبوابة.</w:t>
            </w:r>
          </w:p>
          <w:p w:rsidR="00B52DD8" w:rsidRDefault="00B52DD8" w:rsidP="00022B33">
            <w:pPr>
              <w:spacing w:after="240" w:line="360" w:lineRule="exact"/>
              <w:rPr>
                <w:rtl/>
                <w:lang w:val="pl-PL" w:bidi="ar-TN"/>
              </w:rPr>
            </w:pPr>
            <w:r>
              <w:rPr>
                <w:rFonts w:hint="cs"/>
                <w:rtl/>
                <w:lang w:val="pl-PL" w:bidi="ar-TN"/>
              </w:rPr>
              <w:t xml:space="preserve">وقد حرص العاملون على إعادة تصميم البوابة على تحسين نفاذ المستخدمين المعاقين بصريا إلى البوابة، </w:t>
            </w:r>
            <w:r w:rsidR="00EB5C8A">
              <w:rPr>
                <w:rFonts w:hint="cs"/>
                <w:rtl/>
                <w:lang w:val="pl-PL" w:bidi="ar-TN"/>
              </w:rPr>
              <w:t>تماشيا</w:t>
            </w:r>
            <w:r>
              <w:rPr>
                <w:rFonts w:hint="cs"/>
                <w:rtl/>
                <w:lang w:val="pl-PL" w:bidi="ar-TN"/>
              </w:rPr>
              <w:t xml:space="preserve"> مع الجهود التي تبذلها الويبو لتحسين </w:t>
            </w:r>
            <w:r w:rsidR="00EB5C8A">
              <w:rPr>
                <w:rFonts w:hint="cs"/>
                <w:rtl/>
                <w:lang w:val="pl-PL" w:bidi="ar-TN"/>
              </w:rPr>
              <w:t>ال</w:t>
            </w:r>
            <w:r>
              <w:rPr>
                <w:rFonts w:hint="cs"/>
                <w:rtl/>
                <w:lang w:val="pl-PL" w:bidi="ar-TN"/>
              </w:rPr>
              <w:t xml:space="preserve">نفاذ </w:t>
            </w:r>
            <w:r w:rsidR="00521CF7">
              <w:rPr>
                <w:rFonts w:hint="cs"/>
                <w:rtl/>
                <w:lang w:val="pl-PL" w:bidi="ar-TN"/>
              </w:rPr>
              <w:t>إلى خدماتها ومنصاتها، وللمساعدة على إصدار الملفات بنسق متاح للمعاقين بصريا.</w:t>
            </w:r>
          </w:p>
          <w:p w:rsidR="00FE6620" w:rsidRDefault="00521CF7" w:rsidP="005D09EA">
            <w:pPr>
              <w:spacing w:after="240" w:line="360" w:lineRule="exact"/>
              <w:rPr>
                <w:rtl/>
                <w:lang w:bidi="ar-EG"/>
              </w:rPr>
            </w:pPr>
            <w:r>
              <w:rPr>
                <w:rFonts w:hint="cs"/>
                <w:rtl/>
                <w:lang w:val="pl-PL" w:bidi="ar-TN"/>
              </w:rPr>
              <w:t xml:space="preserve">وأرسل كل ملف مساعدة لإدارة الملكية الفكرية المعنية، عن طريق </w:t>
            </w:r>
            <w:r w:rsidRPr="00EB5C8A">
              <w:rPr>
                <w:rFonts w:hint="cs"/>
                <w:rtl/>
                <w:lang w:val="pl-PL" w:bidi="ar-TN"/>
              </w:rPr>
              <w:t>تعميم رسمي</w:t>
            </w:r>
            <w:r>
              <w:rPr>
                <w:rFonts w:hint="cs"/>
                <w:rtl/>
                <w:lang w:val="pl-PL" w:bidi="ar-TN"/>
              </w:rPr>
              <w:t xml:space="preserve">، قصد التأكد من المعلومات التي جمعها الخبير. وورد خلال هذه المرحلة (من يوليو إلى سبتمبر 2018) 25 ردّا على طلبات التأكيد. وأضيفت استمارة اتصال للواجهة الجديدة للبوابة لتمكين المستخدمين من إعلام الأمانة بأي تغييرات </w:t>
            </w:r>
            <w:r w:rsidR="00237F3A">
              <w:rPr>
                <w:rFonts w:hint="cs"/>
                <w:rtl/>
                <w:lang w:val="pl-PL" w:bidi="ar-TN"/>
              </w:rPr>
              <w:t>مستقبلية قد تطرأ على المعلومات المذكورة على البوابة.</w:t>
            </w:r>
          </w:p>
          <w:p w:rsidR="00FE6620" w:rsidRDefault="00FE6620" w:rsidP="00FE6620">
            <w:pPr>
              <w:spacing w:after="240" w:line="360" w:lineRule="exact"/>
              <w:rPr>
                <w:rtl/>
                <w:lang w:bidi="ar-EG"/>
              </w:rPr>
            </w:pPr>
            <w:r w:rsidRPr="00FE6620">
              <w:rPr>
                <w:rtl/>
                <w:lang w:bidi="ar-EG"/>
              </w:rPr>
              <w:lastRenderedPageBreak/>
              <w:t xml:space="preserve">ومن أجل تسليط الضوء على الواجهة الجديدة </w:t>
            </w:r>
            <w:r w:rsidR="00237F3A">
              <w:rPr>
                <w:rFonts w:hint="cs"/>
                <w:rtl/>
                <w:lang w:bidi="ar-EG"/>
              </w:rPr>
              <w:t>لل</w:t>
            </w:r>
            <w:r w:rsidRPr="00FE6620">
              <w:rPr>
                <w:rtl/>
                <w:lang w:bidi="ar-EG"/>
              </w:rPr>
              <w:t xml:space="preserve">بوابة </w:t>
            </w:r>
            <w:r w:rsidR="00237F3A">
              <w:rPr>
                <w:rFonts w:hint="cs"/>
                <w:rtl/>
                <w:lang w:bidi="ar-EG"/>
              </w:rPr>
              <w:t xml:space="preserve">وميزاتها، </w:t>
            </w:r>
            <w:r w:rsidRPr="00FE6620">
              <w:rPr>
                <w:rtl/>
                <w:lang w:bidi="ar-EG"/>
              </w:rPr>
              <w:t xml:space="preserve">تم إعداد فيديو تعليمي قصير </w:t>
            </w:r>
            <w:r w:rsidR="00237F3A">
              <w:rPr>
                <w:rFonts w:hint="cs"/>
                <w:rtl/>
                <w:lang w:bidi="ar-EG"/>
              </w:rPr>
              <w:t>ب</w:t>
            </w:r>
            <w:r w:rsidRPr="00FE6620">
              <w:rPr>
                <w:rtl/>
                <w:lang w:bidi="ar-EG"/>
              </w:rPr>
              <w:t>دعم من خبير في الفيديو.</w:t>
            </w:r>
          </w:p>
          <w:p w:rsidR="005D09EA" w:rsidRPr="001C50C5" w:rsidRDefault="00237F3A" w:rsidP="0037779A">
            <w:pPr>
              <w:spacing w:after="240" w:line="360" w:lineRule="exact"/>
              <w:rPr>
                <w:lang w:bidi="ar-EG"/>
              </w:rPr>
            </w:pPr>
            <w:r>
              <w:rPr>
                <w:rFonts w:hint="cs"/>
                <w:rtl/>
                <w:lang w:bidi="ar-EG"/>
              </w:rPr>
              <w:t xml:space="preserve">وقد أطلقت البوابة خلال حدث جانبي </w:t>
            </w:r>
            <w:r w:rsidR="005D09EA">
              <w:rPr>
                <w:rFonts w:hint="cs"/>
                <w:rtl/>
                <w:lang w:bidi="ar-EG"/>
              </w:rPr>
              <w:t xml:space="preserve">على هامش </w:t>
            </w:r>
            <w:r>
              <w:rPr>
                <w:rFonts w:hint="cs"/>
                <w:rtl/>
                <w:lang w:bidi="ar-EG"/>
              </w:rPr>
              <w:t>الدورة الثانية والعشرين للجنة المعنية بالتنمية والملكية الفكرية.</w:t>
            </w:r>
          </w:p>
        </w:tc>
      </w:tr>
      <w:tr w:rsidR="00326C21" w:rsidRPr="00CC680E" w:rsidTr="00A454A7">
        <w:trPr>
          <w:trHeight w:val="1165"/>
        </w:trPr>
        <w:tc>
          <w:tcPr>
            <w:tcW w:w="2376" w:type="dxa"/>
            <w:shd w:val="clear" w:color="auto" w:fill="auto"/>
          </w:tcPr>
          <w:p w:rsidR="00326C21" w:rsidRPr="001B7AF9" w:rsidRDefault="00326C21" w:rsidP="00A454A7">
            <w:pPr>
              <w:rPr>
                <w:b/>
                <w:u w:val="single"/>
              </w:rPr>
            </w:pPr>
            <w:r w:rsidRPr="001B7AF9">
              <w:rPr>
                <w:b/>
                <w:u w:val="single"/>
                <w:rtl/>
              </w:rPr>
              <w:lastRenderedPageBreak/>
              <w:t>أمثلة على النجاح/ الأثر والدروس الرئيسية</w:t>
            </w:r>
          </w:p>
        </w:tc>
        <w:tc>
          <w:tcPr>
            <w:tcW w:w="6912" w:type="dxa"/>
            <w:vAlign w:val="center"/>
          </w:tcPr>
          <w:p w:rsidR="000956E2" w:rsidRDefault="000956E2" w:rsidP="00FE6620">
            <w:pPr>
              <w:spacing w:after="240" w:line="360" w:lineRule="exact"/>
              <w:rPr>
                <w:rtl/>
                <w:lang w:bidi="ar-EG"/>
              </w:rPr>
            </w:pPr>
            <w:r>
              <w:rPr>
                <w:rFonts w:hint="cs"/>
                <w:rtl/>
                <w:lang w:bidi="ar-EG"/>
              </w:rPr>
              <w:t>أمثلة على النجاح/الأثر:</w:t>
            </w:r>
          </w:p>
          <w:p w:rsidR="000E2608" w:rsidRDefault="000956E2" w:rsidP="00FE6620">
            <w:pPr>
              <w:spacing w:after="240" w:line="360" w:lineRule="exact"/>
              <w:rPr>
                <w:rtl/>
                <w:lang w:bidi="ar-EG"/>
              </w:rPr>
            </w:pPr>
            <w:r>
              <w:rPr>
                <w:rFonts w:hint="cs"/>
                <w:rtl/>
                <w:lang w:bidi="ar-EG"/>
              </w:rPr>
              <w:t xml:space="preserve">أثبتت </w:t>
            </w:r>
            <w:r w:rsidR="005D09EA">
              <w:rPr>
                <w:rFonts w:hint="cs"/>
                <w:rtl/>
                <w:lang w:bidi="ar-EG"/>
              </w:rPr>
              <w:t xml:space="preserve">التعليقات الواردة من </w:t>
            </w:r>
            <w:r>
              <w:rPr>
                <w:rFonts w:hint="cs"/>
                <w:rtl/>
                <w:lang w:bidi="ar-EG"/>
              </w:rPr>
              <w:t>مراكز دعم التكنولوجيا والابتكار خلال المرح</w:t>
            </w:r>
            <w:r w:rsidR="005D09EA">
              <w:rPr>
                <w:rFonts w:hint="cs"/>
                <w:rtl/>
                <w:lang w:bidi="ar-EG"/>
              </w:rPr>
              <w:t>ل</w:t>
            </w:r>
            <w:r>
              <w:rPr>
                <w:rFonts w:hint="cs"/>
                <w:rtl/>
                <w:lang w:bidi="ar-EG"/>
              </w:rPr>
              <w:t xml:space="preserve">ة التجريبية، </w:t>
            </w:r>
            <w:r w:rsidR="005D09EA">
              <w:rPr>
                <w:rFonts w:hint="cs"/>
                <w:rtl/>
                <w:lang w:bidi="ar-EG"/>
              </w:rPr>
              <w:t xml:space="preserve">فضلا عن </w:t>
            </w:r>
            <w:r>
              <w:rPr>
                <w:rFonts w:hint="cs"/>
                <w:rtl/>
                <w:lang w:bidi="ar-EG"/>
              </w:rPr>
              <w:t xml:space="preserve">الدراسات الاستقصائية التي جمعت في نهاية حلقات العمل العملية، أهمية القيمة المضافة للموارد الجديدة التي أنشأت </w:t>
            </w:r>
            <w:r w:rsidR="000E2608">
              <w:rPr>
                <w:rFonts w:hint="cs"/>
                <w:rtl/>
                <w:lang w:bidi="ar-EG"/>
              </w:rPr>
              <w:t xml:space="preserve">لفائدة المراكز ضمن هذا المشروع. وقد أثبتت </w:t>
            </w:r>
            <w:r w:rsidR="005D09EA">
              <w:rPr>
                <w:rFonts w:hint="cs"/>
                <w:rtl/>
                <w:lang w:bidi="ar-EG"/>
              </w:rPr>
              <w:t xml:space="preserve">التعليقات </w:t>
            </w:r>
            <w:r w:rsidR="000E2608">
              <w:rPr>
                <w:rFonts w:hint="cs"/>
                <w:rtl/>
                <w:lang w:bidi="ar-EG"/>
              </w:rPr>
              <w:t xml:space="preserve">الواردة </w:t>
            </w:r>
            <w:r w:rsidR="005D09EA">
              <w:rPr>
                <w:rFonts w:hint="cs"/>
                <w:rtl/>
                <w:lang w:bidi="ar-EG"/>
              </w:rPr>
              <w:t xml:space="preserve">خاصة </w:t>
            </w:r>
            <w:r w:rsidR="000E2608">
              <w:rPr>
                <w:rFonts w:hint="cs"/>
                <w:rtl/>
                <w:lang w:bidi="ar-EG"/>
              </w:rPr>
              <w:t xml:space="preserve">نجاح حلقات العمل في بناء المعارف والمهارات </w:t>
            </w:r>
            <w:r w:rsidR="005D09EA">
              <w:rPr>
                <w:rFonts w:hint="cs"/>
                <w:rtl/>
                <w:lang w:bidi="ar-EG"/>
              </w:rPr>
              <w:t>المتعلقة ب</w:t>
            </w:r>
            <w:r w:rsidR="000E2608">
              <w:rPr>
                <w:rFonts w:hint="cs"/>
                <w:rtl/>
                <w:lang w:bidi="ar-EG"/>
              </w:rPr>
              <w:t xml:space="preserve">تحديد واستخدام الاختراعات الموجودة في الملك العام (99.6% من المشاركين </w:t>
            </w:r>
            <w:r w:rsidR="005D09EA">
              <w:rPr>
                <w:rFonts w:hint="cs"/>
                <w:rtl/>
                <w:lang w:bidi="ar-EG"/>
              </w:rPr>
              <w:t xml:space="preserve">في المتوسط </w:t>
            </w:r>
            <w:r w:rsidR="000E2608">
              <w:rPr>
                <w:rFonts w:hint="cs"/>
                <w:rtl/>
                <w:lang w:bidi="ar-EG"/>
              </w:rPr>
              <w:t xml:space="preserve">أكدوا هذه النتيجة)، وقد </w:t>
            </w:r>
            <w:r w:rsidR="005D09EA">
              <w:rPr>
                <w:rFonts w:hint="cs"/>
                <w:rtl/>
                <w:lang w:bidi="ar-EG"/>
              </w:rPr>
              <w:t xml:space="preserve">أفاد </w:t>
            </w:r>
            <w:r w:rsidR="000E2608">
              <w:rPr>
                <w:rFonts w:hint="cs"/>
                <w:rtl/>
                <w:lang w:bidi="ar-EG"/>
              </w:rPr>
              <w:t xml:space="preserve">98% من المشاركين بأن الدليلين </w:t>
            </w:r>
            <w:r w:rsidR="005D09EA">
              <w:rPr>
                <w:rFonts w:hint="cs"/>
                <w:rtl/>
                <w:lang w:bidi="ar-EG"/>
              </w:rPr>
              <w:t xml:space="preserve">ستفيدهم في أداء أعمالهم </w:t>
            </w:r>
            <w:r w:rsidR="000E2608">
              <w:rPr>
                <w:rFonts w:hint="cs"/>
                <w:rtl/>
                <w:lang w:bidi="ar-EG"/>
              </w:rPr>
              <w:t xml:space="preserve">اليومية. </w:t>
            </w:r>
          </w:p>
          <w:p w:rsidR="00176C6F" w:rsidRDefault="000E2608" w:rsidP="0037779A">
            <w:pPr>
              <w:spacing w:after="240" w:line="360" w:lineRule="exact"/>
              <w:rPr>
                <w:rtl/>
                <w:lang w:bidi="ar-EG"/>
              </w:rPr>
            </w:pPr>
            <w:r>
              <w:rPr>
                <w:rFonts w:hint="cs"/>
                <w:rtl/>
                <w:lang w:bidi="ar-EG"/>
              </w:rPr>
              <w:t xml:space="preserve">غير أنه سيكون من الضروري تقديم دعم إضافي من أجل دمج توجيهات الدليلين على أكمل وجه في أنشطة مراكز دعم التكنولوجيا والابتكار، ومن أجل تمكين المراكز من </w:t>
            </w:r>
            <w:r w:rsidR="005D09EA">
              <w:rPr>
                <w:rFonts w:hint="cs"/>
                <w:rtl/>
                <w:lang w:bidi="ar-EG"/>
              </w:rPr>
              <w:t>است</w:t>
            </w:r>
            <w:r>
              <w:rPr>
                <w:rFonts w:hint="cs"/>
                <w:rtl/>
                <w:lang w:bidi="ar-EG"/>
              </w:rPr>
              <w:t>حداث بعض الخدمات الإضافية في هذا المجال باستخدام الدليلين كأدوات دعم.</w:t>
            </w:r>
            <w:r w:rsidR="0037779A">
              <w:rPr>
                <w:lang w:bidi="ar-EG"/>
              </w:rPr>
              <w:t xml:space="preserve"> </w:t>
            </w:r>
            <w:r w:rsidR="00176C6F">
              <w:rPr>
                <w:rFonts w:hint="cs"/>
                <w:rtl/>
                <w:lang w:bidi="ar-EG"/>
              </w:rPr>
              <w:t xml:space="preserve">وسيكون من المفيد إنشاء مجموعة من الخبراء الذين سيكونون متاحين للعمل كخبراء لدعم المراكز في استخدام الدليلين وفي تطوير خدماتها، ثم </w:t>
            </w:r>
            <w:r w:rsidR="005D09EA">
              <w:rPr>
                <w:rFonts w:hint="cs"/>
                <w:rtl/>
                <w:lang w:bidi="ar-EG"/>
              </w:rPr>
              <w:t xml:space="preserve">توسيع </w:t>
            </w:r>
            <w:r w:rsidR="00176C6F">
              <w:rPr>
                <w:rFonts w:hint="cs"/>
                <w:rtl/>
                <w:lang w:bidi="ar-EG"/>
              </w:rPr>
              <w:t>المجموعة في وقت لاحق.</w:t>
            </w:r>
          </w:p>
          <w:p w:rsidR="00176C6F" w:rsidRDefault="00176C6F" w:rsidP="00176C6F">
            <w:pPr>
              <w:spacing w:after="240" w:line="360" w:lineRule="exact"/>
              <w:rPr>
                <w:rtl/>
                <w:lang w:bidi="ar-EG"/>
              </w:rPr>
            </w:pPr>
            <w:r>
              <w:rPr>
                <w:rFonts w:hint="cs"/>
                <w:rtl/>
                <w:lang w:bidi="ar-EG"/>
              </w:rPr>
              <w:t>وقد زار البوابة إثر إطلاقها عدد كبير من المستخدمين (1,880 جلسة استخدام و4,571 تنزيلا لملفات المساعدة بين نوفمبر وديسمبر 2018)، ويدلّ ذلك على أن البوابة تعد موردا مفيدة.</w:t>
            </w:r>
          </w:p>
          <w:p w:rsidR="00176C6F" w:rsidRDefault="00176C6F" w:rsidP="00176C6F">
            <w:pPr>
              <w:spacing w:after="240" w:line="360" w:lineRule="exact"/>
              <w:rPr>
                <w:rtl/>
                <w:lang w:bidi="ar-EG"/>
              </w:rPr>
            </w:pPr>
            <w:r>
              <w:rPr>
                <w:rFonts w:hint="cs"/>
                <w:rtl/>
                <w:lang w:bidi="ar-EG"/>
              </w:rPr>
              <w:t>الدروس الرئيسية:</w:t>
            </w:r>
          </w:p>
          <w:p w:rsidR="00FE6620" w:rsidRDefault="00FE6620" w:rsidP="00176C6F">
            <w:pPr>
              <w:spacing w:after="240" w:line="360" w:lineRule="exact"/>
              <w:rPr>
                <w:rtl/>
                <w:lang w:bidi="ar-EG"/>
              </w:rPr>
            </w:pPr>
            <w:r>
              <w:rPr>
                <w:rtl/>
                <w:lang w:bidi="ar-EG"/>
              </w:rPr>
              <w:t>كانت عملية الصياغة التعاونية</w:t>
            </w:r>
            <w:r w:rsidR="00176C6F">
              <w:rPr>
                <w:rFonts w:hint="cs"/>
                <w:rtl/>
                <w:lang w:bidi="ar-EG"/>
              </w:rPr>
              <w:t xml:space="preserve">، مثلما ورد في المرفق الثاني للتقرير المرحلي في الوثيقة </w:t>
            </w:r>
            <w:r w:rsidR="00176C6F" w:rsidRPr="00176C6F">
              <w:rPr>
                <w:lang w:bidi="ar-EG"/>
              </w:rPr>
              <w:t>CDIP/22/2</w:t>
            </w:r>
            <w:r w:rsidR="00176C6F">
              <w:rPr>
                <w:rFonts w:hint="cs"/>
                <w:rtl/>
                <w:lang w:bidi="ar-EG"/>
              </w:rPr>
              <w:t xml:space="preserve">، </w:t>
            </w:r>
            <w:r>
              <w:rPr>
                <w:rtl/>
                <w:lang w:bidi="ar-EG"/>
              </w:rPr>
              <w:t>مدعومة من خلال تحديد مساهمة كل خبير بوضوح منذ البداية.</w:t>
            </w:r>
            <w:r w:rsidR="00176C6F">
              <w:rPr>
                <w:rFonts w:hint="cs"/>
                <w:rtl/>
                <w:lang w:bidi="ar-EG"/>
              </w:rPr>
              <w:t xml:space="preserve"> </w:t>
            </w:r>
            <w:r>
              <w:rPr>
                <w:rtl/>
                <w:lang w:bidi="ar-EG"/>
              </w:rPr>
              <w:t>وبوجود مساهمات قدمها خمسة من الخبراء المعاونين المتخصصين، فقد كان دور الخبراء الرئيسيين حاسما في تجميع وتحليل وتنقيح المساهمات من خبراء تختلف خلفياتهم وأنماط كتابتهم.</w:t>
            </w:r>
            <w:r w:rsidR="00176C6F">
              <w:rPr>
                <w:rFonts w:hint="cs"/>
                <w:rtl/>
                <w:lang w:bidi="ar-EG"/>
              </w:rPr>
              <w:t xml:space="preserve"> وكان من الجلي أن </w:t>
            </w:r>
            <w:r>
              <w:rPr>
                <w:rtl/>
                <w:lang w:bidi="ar-EG"/>
              </w:rPr>
              <w:t xml:space="preserve">القدرة على </w:t>
            </w:r>
            <w:r w:rsidR="00176C6F">
              <w:rPr>
                <w:rFonts w:hint="cs"/>
                <w:rtl/>
                <w:lang w:bidi="ar-EG"/>
              </w:rPr>
              <w:t xml:space="preserve">تأليف </w:t>
            </w:r>
            <w:r>
              <w:rPr>
                <w:rtl/>
                <w:lang w:bidi="ar-EG"/>
              </w:rPr>
              <w:t xml:space="preserve">المعلومات </w:t>
            </w:r>
            <w:r w:rsidR="00176C6F">
              <w:rPr>
                <w:rFonts w:hint="cs"/>
                <w:rtl/>
                <w:lang w:bidi="ar-EG"/>
              </w:rPr>
              <w:t xml:space="preserve">وتنظيمها بشكل يضمن </w:t>
            </w:r>
            <w:r>
              <w:rPr>
                <w:rtl/>
                <w:lang w:bidi="ar-EG"/>
              </w:rPr>
              <w:t xml:space="preserve">سلاسة جيدة بين الأقسام المختلفة للدليلين </w:t>
            </w:r>
            <w:r w:rsidR="00176C6F">
              <w:rPr>
                <w:rFonts w:hint="cs"/>
                <w:rtl/>
                <w:lang w:bidi="ar-EG"/>
              </w:rPr>
              <w:t xml:space="preserve">كان </w:t>
            </w:r>
            <w:r>
              <w:rPr>
                <w:rtl/>
                <w:lang w:bidi="ar-EG"/>
              </w:rPr>
              <w:t xml:space="preserve">عنصرا حاسما </w:t>
            </w:r>
            <w:r w:rsidR="00176C6F">
              <w:rPr>
                <w:rFonts w:hint="cs"/>
                <w:rtl/>
                <w:lang w:bidi="ar-EG"/>
              </w:rPr>
              <w:t>لضمان ال</w:t>
            </w:r>
            <w:r>
              <w:rPr>
                <w:rtl/>
                <w:lang w:bidi="ar-EG"/>
              </w:rPr>
              <w:t>نجاح في صياغتهما.</w:t>
            </w:r>
          </w:p>
          <w:p w:rsidR="00FE6620" w:rsidRDefault="00CB5758" w:rsidP="00A454A7">
            <w:pPr>
              <w:rPr>
                <w:i/>
                <w:lang w:bidi="ar-EG"/>
              </w:rPr>
            </w:pPr>
            <w:r>
              <w:rPr>
                <w:rFonts w:hint="cs"/>
                <w:i/>
                <w:rtl/>
                <w:lang w:bidi="ar-EG"/>
              </w:rPr>
              <w:t>وقد كان من الجلي أن مشاركة الخبيرين الرئيسيين في عملية النشر خلال مرحلة التحرير الاحترافي قد كان مفيدا جدا لضمان أن يكون المحتوى مبسطا و</w:t>
            </w:r>
            <w:r w:rsidR="00A14924">
              <w:rPr>
                <w:rFonts w:hint="cs"/>
                <w:i/>
                <w:rtl/>
                <w:lang w:bidi="ar-EG"/>
              </w:rPr>
              <w:t>سهل القراءة، والحرص على دقة المصطلحات</w:t>
            </w:r>
            <w:r w:rsidR="00180151">
              <w:rPr>
                <w:rFonts w:hint="cs"/>
                <w:i/>
                <w:rtl/>
                <w:lang w:bidi="ar-EG"/>
              </w:rPr>
              <w:t xml:space="preserve"> المستخدمة</w:t>
            </w:r>
            <w:r w:rsidR="00A14924">
              <w:rPr>
                <w:rFonts w:hint="cs"/>
                <w:i/>
                <w:rtl/>
                <w:lang w:bidi="ar-EG"/>
              </w:rPr>
              <w:t xml:space="preserve"> المتعلقة بالملكية الفكرية. وتكتسي هذه العملية أهمية كبيرة لضمان الجودة، غير أنها تتطلب وقتا طويلا، وسيكون من الضروري </w:t>
            </w:r>
            <w:r w:rsidR="00547ECA">
              <w:rPr>
                <w:rFonts w:hint="cs"/>
                <w:i/>
                <w:rtl/>
                <w:lang w:bidi="ar-EG"/>
              </w:rPr>
              <w:t xml:space="preserve">أن تخصص خطة المشروع </w:t>
            </w:r>
            <w:r w:rsidR="00A14924">
              <w:rPr>
                <w:rFonts w:hint="cs"/>
                <w:i/>
                <w:rtl/>
                <w:lang w:bidi="ar-EG"/>
              </w:rPr>
              <w:t>الموارد المناسبة لهذه المرحلة.</w:t>
            </w:r>
          </w:p>
          <w:p w:rsidR="0037779A" w:rsidRDefault="0037779A" w:rsidP="00A454A7">
            <w:pPr>
              <w:rPr>
                <w:i/>
                <w:rtl/>
                <w:lang w:bidi="ar-EG"/>
              </w:rPr>
            </w:pPr>
          </w:p>
          <w:p w:rsidR="00326C21" w:rsidRDefault="00A14924" w:rsidP="00A14924">
            <w:pPr>
              <w:rPr>
                <w:i/>
                <w:rtl/>
                <w:lang w:bidi="ar-EG"/>
              </w:rPr>
            </w:pPr>
            <w:r>
              <w:rPr>
                <w:rFonts w:hint="cs"/>
                <w:i/>
                <w:rtl/>
                <w:lang w:bidi="ar-EG"/>
              </w:rPr>
              <w:t xml:space="preserve">وقد </w:t>
            </w:r>
            <w:r w:rsidR="00441B11">
              <w:rPr>
                <w:rFonts w:hint="cs"/>
                <w:i/>
                <w:rtl/>
                <w:lang w:bidi="ar-EG"/>
              </w:rPr>
              <w:t xml:space="preserve">اكتسى </w:t>
            </w:r>
            <w:r w:rsidR="00FE6620" w:rsidRPr="00FE6620">
              <w:rPr>
                <w:i/>
                <w:rtl/>
                <w:lang w:bidi="ar-EG"/>
              </w:rPr>
              <w:t xml:space="preserve">تجريب الدليلين في مراكز دعم التكنولوجيا والابتكار الوطنية </w:t>
            </w:r>
            <w:r>
              <w:rPr>
                <w:rFonts w:hint="cs"/>
                <w:i/>
                <w:rtl/>
                <w:lang w:bidi="ar-EG"/>
              </w:rPr>
              <w:t xml:space="preserve">المختارة </w:t>
            </w:r>
            <w:r w:rsidR="00441B11">
              <w:rPr>
                <w:rFonts w:hint="cs"/>
                <w:i/>
                <w:rtl/>
                <w:lang w:bidi="ar-EG"/>
              </w:rPr>
              <w:t xml:space="preserve">أهمية كبيرة في سبيل </w:t>
            </w:r>
            <w:r w:rsidR="00FE6620" w:rsidRPr="00FE6620">
              <w:rPr>
                <w:i/>
                <w:rtl/>
                <w:lang w:bidi="ar-EG"/>
              </w:rPr>
              <w:t>التحقق من صحة محتوى الدليلين وقيمتهما التعليمية</w:t>
            </w:r>
            <w:r>
              <w:rPr>
                <w:rFonts w:hint="cs"/>
                <w:i/>
                <w:rtl/>
                <w:lang w:bidi="ar-EG"/>
              </w:rPr>
              <w:t>. وقد كان</w:t>
            </w:r>
            <w:r w:rsidR="00441B11">
              <w:rPr>
                <w:rFonts w:hint="cs"/>
                <w:i/>
                <w:rtl/>
                <w:lang w:bidi="ar-EG"/>
              </w:rPr>
              <w:t xml:space="preserve">ت التعليقات الواردة خلال التجريب </w:t>
            </w:r>
            <w:r>
              <w:rPr>
                <w:rFonts w:hint="cs"/>
                <w:i/>
                <w:rtl/>
                <w:lang w:bidi="ar-EG"/>
              </w:rPr>
              <w:t xml:space="preserve">العملية مفيدة وسلطت الضوء على أهمية هذه الأدوات التي أتيحت للمراكز، وساعدت </w:t>
            </w:r>
            <w:r w:rsidR="00441B11">
              <w:rPr>
                <w:rFonts w:hint="cs"/>
                <w:i/>
                <w:rtl/>
                <w:lang w:bidi="ar-EG"/>
              </w:rPr>
              <w:t xml:space="preserve">تلك التعليقات </w:t>
            </w:r>
            <w:r>
              <w:rPr>
                <w:rFonts w:hint="cs"/>
                <w:i/>
                <w:rtl/>
                <w:lang w:bidi="ar-EG"/>
              </w:rPr>
              <w:t>على إدخال التحسينات على المحتوى</w:t>
            </w:r>
            <w:r w:rsidR="00FE6620" w:rsidRPr="00FE6620">
              <w:rPr>
                <w:i/>
                <w:rtl/>
                <w:lang w:bidi="ar-EG"/>
              </w:rPr>
              <w:t>.</w:t>
            </w:r>
          </w:p>
          <w:p w:rsidR="00547ECA" w:rsidRPr="00A14924" w:rsidRDefault="00547ECA" w:rsidP="00A14924">
            <w:pPr>
              <w:rPr>
                <w:i/>
                <w:lang w:bidi="ar-EG"/>
              </w:rPr>
            </w:pPr>
          </w:p>
        </w:tc>
      </w:tr>
      <w:tr w:rsidR="00326C21" w:rsidRPr="001C50C5" w:rsidTr="00A454A7">
        <w:trPr>
          <w:trHeight w:val="1165"/>
        </w:trPr>
        <w:tc>
          <w:tcPr>
            <w:tcW w:w="2376" w:type="dxa"/>
            <w:shd w:val="clear" w:color="auto" w:fill="auto"/>
          </w:tcPr>
          <w:p w:rsidR="00326C21" w:rsidRPr="001B7AF9" w:rsidRDefault="00326C21" w:rsidP="00A454A7">
            <w:pPr>
              <w:rPr>
                <w:b/>
                <w:u w:val="single"/>
              </w:rPr>
            </w:pPr>
            <w:r w:rsidRPr="001B7AF9">
              <w:rPr>
                <w:b/>
                <w:u w:val="single"/>
                <w:rtl/>
              </w:rPr>
              <w:lastRenderedPageBreak/>
              <w:t>المخاطر والتخفيف من آثارها</w:t>
            </w:r>
          </w:p>
        </w:tc>
        <w:tc>
          <w:tcPr>
            <w:tcW w:w="6912" w:type="dxa"/>
          </w:tcPr>
          <w:p w:rsidR="00FE6620" w:rsidRDefault="00441B11" w:rsidP="0037779A">
            <w:pPr>
              <w:rPr>
                <w:i/>
              </w:rPr>
            </w:pPr>
            <w:r>
              <w:rPr>
                <w:rFonts w:hint="cs"/>
                <w:i/>
                <w:rtl/>
              </w:rPr>
              <w:t xml:space="preserve">كان </w:t>
            </w:r>
            <w:r w:rsidR="005F6706">
              <w:rPr>
                <w:rFonts w:hint="cs"/>
                <w:i/>
                <w:rtl/>
              </w:rPr>
              <w:t xml:space="preserve">عجز موظفي </w:t>
            </w:r>
            <w:r w:rsidR="00FE6620" w:rsidRPr="00FE6620">
              <w:rPr>
                <w:i/>
                <w:rtl/>
              </w:rPr>
              <w:t xml:space="preserve">مراكز دعم التكنولوجيا والابتكار </w:t>
            </w:r>
            <w:r w:rsidR="005F6706">
              <w:rPr>
                <w:rFonts w:hint="cs"/>
                <w:i/>
                <w:rtl/>
              </w:rPr>
              <w:t>عن فهم المعلومات الواردة في الدليلين بشكل كاف، واستخدام تلك المعلومات بالفعالية المطلوبة</w:t>
            </w:r>
            <w:r>
              <w:rPr>
                <w:rFonts w:hint="cs"/>
                <w:i/>
                <w:rtl/>
              </w:rPr>
              <w:t xml:space="preserve"> من بين المخاطر التي بينتها وثيقة المشروع.</w:t>
            </w:r>
            <w:r w:rsidR="0037779A">
              <w:rPr>
                <w:i/>
              </w:rPr>
              <w:t xml:space="preserve"> </w:t>
            </w:r>
            <w:r w:rsidR="005F6706">
              <w:rPr>
                <w:rFonts w:hint="cs"/>
                <w:i/>
                <w:rtl/>
              </w:rPr>
              <w:t>ول</w:t>
            </w:r>
            <w:r>
              <w:rPr>
                <w:rFonts w:hint="cs"/>
                <w:i/>
                <w:rtl/>
              </w:rPr>
              <w:t>ل</w:t>
            </w:r>
            <w:r w:rsidR="005F6706">
              <w:rPr>
                <w:rFonts w:hint="cs"/>
                <w:i/>
                <w:rtl/>
              </w:rPr>
              <w:t xml:space="preserve">تخفيف </w:t>
            </w:r>
            <w:r>
              <w:rPr>
                <w:rFonts w:hint="cs"/>
                <w:i/>
                <w:rtl/>
              </w:rPr>
              <w:t>من آثار هذا الخطر</w:t>
            </w:r>
            <w:r w:rsidR="005F6706">
              <w:rPr>
                <w:rFonts w:hint="cs"/>
                <w:i/>
                <w:rtl/>
              </w:rPr>
              <w:t xml:space="preserve">، جرى العمل </w:t>
            </w:r>
            <w:r>
              <w:rPr>
                <w:rFonts w:hint="cs"/>
                <w:i/>
                <w:rtl/>
              </w:rPr>
              <w:t xml:space="preserve">على </w:t>
            </w:r>
            <w:r w:rsidR="00785A27">
              <w:rPr>
                <w:rFonts w:hint="cs"/>
                <w:i/>
                <w:rtl/>
              </w:rPr>
              <w:t xml:space="preserve">ملاءمة </w:t>
            </w:r>
            <w:r w:rsidR="005F6706">
              <w:rPr>
                <w:rFonts w:hint="cs"/>
                <w:i/>
                <w:rtl/>
              </w:rPr>
              <w:t>الدليل</w:t>
            </w:r>
            <w:r w:rsidR="00785A27">
              <w:rPr>
                <w:rFonts w:hint="cs"/>
                <w:i/>
                <w:rtl/>
              </w:rPr>
              <w:t xml:space="preserve">ين </w:t>
            </w:r>
            <w:r w:rsidR="005F6706">
              <w:rPr>
                <w:rFonts w:hint="cs"/>
                <w:i/>
                <w:rtl/>
              </w:rPr>
              <w:t>لاحتياجات موظفي المراكز، بشكل يتماشى مع تقييم قدراتهم. وقد ساعد تجريب الدليلين في شبكات مراكز دعم التكنولوجيا والابتكار في تسعة بلدان على ضمان ملاءمة الدليلين لتلك الاحتياجات والتقييمات. وقد أخذت مرحلة المراجعة بعين الاعتبار</w:t>
            </w:r>
            <w:r>
              <w:rPr>
                <w:rFonts w:hint="cs"/>
                <w:i/>
                <w:rtl/>
              </w:rPr>
              <w:t xml:space="preserve"> التعليقات </w:t>
            </w:r>
            <w:r w:rsidR="005F6706">
              <w:rPr>
                <w:rFonts w:hint="cs"/>
                <w:i/>
                <w:rtl/>
              </w:rPr>
              <w:t>الواردة</w:t>
            </w:r>
            <w:r>
              <w:rPr>
                <w:rFonts w:hint="cs"/>
                <w:i/>
                <w:rtl/>
              </w:rPr>
              <w:t xml:space="preserve"> </w:t>
            </w:r>
            <w:r w:rsidR="005F6706">
              <w:rPr>
                <w:rFonts w:hint="cs"/>
                <w:i/>
                <w:rtl/>
              </w:rPr>
              <w:t>وأدرجت</w:t>
            </w:r>
            <w:r>
              <w:rPr>
                <w:rFonts w:hint="cs"/>
                <w:i/>
                <w:rtl/>
              </w:rPr>
              <w:t>ها</w:t>
            </w:r>
            <w:r w:rsidR="005F6706">
              <w:rPr>
                <w:rFonts w:hint="cs"/>
                <w:i/>
                <w:rtl/>
              </w:rPr>
              <w:t xml:space="preserve"> في الدليلين.</w:t>
            </w:r>
          </w:p>
          <w:p w:rsidR="0037779A" w:rsidRDefault="0037779A" w:rsidP="0037779A">
            <w:pPr>
              <w:rPr>
                <w:i/>
                <w:rtl/>
              </w:rPr>
            </w:pPr>
          </w:p>
          <w:p w:rsidR="005F6706" w:rsidRDefault="00722B24" w:rsidP="00FE6620">
            <w:pPr>
              <w:rPr>
                <w:i/>
              </w:rPr>
            </w:pPr>
            <w:r>
              <w:rPr>
                <w:rFonts w:hint="cs"/>
                <w:i/>
                <w:rtl/>
              </w:rPr>
              <w:t xml:space="preserve">ويعدّ إنشاء قائمة بالخبراء المتاحين لتقديم الدعم الإضافي لمراكز دعم التكنولوجيا والابتكار على استخدام الدليلين من الوسائل الأخرى </w:t>
            </w:r>
            <w:r w:rsidR="00441B11">
              <w:rPr>
                <w:rFonts w:hint="cs"/>
                <w:i/>
                <w:rtl/>
              </w:rPr>
              <w:t>ل</w:t>
            </w:r>
            <w:r>
              <w:rPr>
                <w:rFonts w:hint="cs"/>
                <w:i/>
                <w:rtl/>
              </w:rPr>
              <w:t xml:space="preserve">لتخفيف </w:t>
            </w:r>
            <w:r w:rsidR="00441B11">
              <w:rPr>
                <w:rFonts w:hint="cs"/>
                <w:i/>
                <w:rtl/>
              </w:rPr>
              <w:t>من آثار هذه المخاطر</w:t>
            </w:r>
            <w:r>
              <w:rPr>
                <w:rFonts w:hint="cs"/>
                <w:i/>
                <w:rtl/>
              </w:rPr>
              <w:t>. وفي هذا الصدد جرى العمل على إشراك جميع الخبراء، في حلقات العمل، بما في ذلك الخبراء المساعدون والخبراء القطريون.</w:t>
            </w:r>
          </w:p>
          <w:p w:rsidR="0037779A" w:rsidRDefault="0037779A" w:rsidP="00FE6620">
            <w:pPr>
              <w:rPr>
                <w:i/>
                <w:rtl/>
              </w:rPr>
            </w:pPr>
          </w:p>
          <w:p w:rsidR="00326C21" w:rsidRPr="008B6A3D" w:rsidRDefault="00441B11" w:rsidP="0037779A">
            <w:pPr>
              <w:rPr>
                <w:i/>
              </w:rPr>
            </w:pPr>
            <w:r>
              <w:rPr>
                <w:rFonts w:hint="cs"/>
                <w:i/>
                <w:rtl/>
              </w:rPr>
              <w:t xml:space="preserve">ولم يكن عدد هام من المشاركين في </w:t>
            </w:r>
            <w:r w:rsidR="00C73761">
              <w:rPr>
                <w:rFonts w:hint="cs"/>
                <w:i/>
                <w:rtl/>
              </w:rPr>
              <w:t xml:space="preserve">حلقات العمل </w:t>
            </w:r>
            <w:r>
              <w:rPr>
                <w:rFonts w:hint="cs"/>
                <w:i/>
                <w:rtl/>
              </w:rPr>
              <w:t xml:space="preserve">قد حضر أي دورات تدريبية </w:t>
            </w:r>
            <w:r w:rsidR="00851611">
              <w:rPr>
                <w:rFonts w:hint="cs"/>
                <w:i/>
                <w:rtl/>
              </w:rPr>
              <w:t xml:space="preserve">تنظمها مراكز دعم التكنولوجيا والابتكار، وقد كان التنوع الكبير في </w:t>
            </w:r>
            <w:r w:rsidR="00C73761">
              <w:rPr>
                <w:rFonts w:hint="cs"/>
                <w:i/>
                <w:rtl/>
              </w:rPr>
              <w:t>خلفيات المشاركين من مراكز دعم التكنولوجيا والابتكار</w:t>
            </w:r>
            <w:r w:rsidR="00851611">
              <w:rPr>
                <w:rFonts w:hint="cs"/>
                <w:i/>
                <w:rtl/>
              </w:rPr>
              <w:t xml:space="preserve"> أحد المخاطر التي برزت خلال حلقات العمل</w:t>
            </w:r>
            <w:r w:rsidR="00C73761">
              <w:rPr>
                <w:rFonts w:hint="cs"/>
                <w:i/>
                <w:rtl/>
              </w:rPr>
              <w:t xml:space="preserve">. غير أنه من </w:t>
            </w:r>
            <w:r w:rsidR="00851611">
              <w:rPr>
                <w:rFonts w:hint="cs"/>
                <w:i/>
                <w:rtl/>
              </w:rPr>
              <w:t>المرتقب</w:t>
            </w:r>
            <w:r w:rsidR="00C73761">
              <w:rPr>
                <w:rFonts w:hint="cs"/>
                <w:i/>
                <w:rtl/>
              </w:rPr>
              <w:t xml:space="preserve">، </w:t>
            </w:r>
            <w:r w:rsidR="00851611">
              <w:rPr>
                <w:rFonts w:hint="cs"/>
                <w:i/>
                <w:rtl/>
              </w:rPr>
              <w:t xml:space="preserve">مثلما ورد </w:t>
            </w:r>
            <w:r w:rsidR="00C73761">
              <w:rPr>
                <w:rFonts w:hint="cs"/>
                <w:i/>
                <w:rtl/>
              </w:rPr>
              <w:t>في وثيقة المشروع، أن يعزز الدليلان خدمات مراكز دعم التكنولوجيا والابتكار القائمة، بالاستناد إلى المعارف والخدمات القائمة، و</w:t>
            </w:r>
            <w:r w:rsidR="00851611">
              <w:rPr>
                <w:rFonts w:hint="cs"/>
                <w:i/>
                <w:rtl/>
              </w:rPr>
              <w:t xml:space="preserve">يفترض أن مستخدمي </w:t>
            </w:r>
            <w:r w:rsidR="00C73761">
              <w:rPr>
                <w:rFonts w:hint="cs"/>
                <w:i/>
                <w:rtl/>
              </w:rPr>
              <w:t xml:space="preserve">الدليلين </w:t>
            </w:r>
            <w:r w:rsidR="00851611">
              <w:rPr>
                <w:rFonts w:hint="cs"/>
                <w:i/>
                <w:rtl/>
              </w:rPr>
              <w:t xml:space="preserve">لديهم </w:t>
            </w:r>
            <w:r w:rsidR="00C73761">
              <w:rPr>
                <w:rFonts w:hint="cs"/>
                <w:i/>
                <w:rtl/>
              </w:rPr>
              <w:t>معرفة جيدة بمعلومات البراءات وتقنيات البحث</w:t>
            </w:r>
            <w:r w:rsidR="00851611">
              <w:rPr>
                <w:rFonts w:hint="cs"/>
                <w:i/>
                <w:rtl/>
              </w:rPr>
              <w:t xml:space="preserve">. </w:t>
            </w:r>
            <w:r w:rsidR="00C73761">
              <w:rPr>
                <w:rFonts w:hint="cs"/>
                <w:i/>
                <w:rtl/>
              </w:rPr>
              <w:t xml:space="preserve">وقد </w:t>
            </w:r>
            <w:r w:rsidR="00851611">
              <w:rPr>
                <w:rFonts w:hint="cs"/>
                <w:i/>
                <w:rtl/>
              </w:rPr>
              <w:t xml:space="preserve">بذلت الجهود </w:t>
            </w:r>
            <w:r w:rsidR="00C73761">
              <w:rPr>
                <w:rFonts w:hint="cs"/>
                <w:i/>
                <w:rtl/>
              </w:rPr>
              <w:t>لتقديم المفاهيم الأساسية قبل عرض الدليلين خلال حلقات العمل</w:t>
            </w:r>
            <w:r w:rsidR="00851611">
              <w:rPr>
                <w:rFonts w:hint="cs"/>
                <w:i/>
                <w:rtl/>
              </w:rPr>
              <w:t xml:space="preserve">، ومن ثم </w:t>
            </w:r>
            <w:r w:rsidR="00C73761">
              <w:rPr>
                <w:rFonts w:hint="cs"/>
                <w:i/>
                <w:rtl/>
              </w:rPr>
              <w:t xml:space="preserve">تكييف المواد التعليمية على ضوء </w:t>
            </w:r>
            <w:r w:rsidR="00851611">
              <w:rPr>
                <w:rFonts w:hint="cs"/>
                <w:i/>
                <w:rtl/>
              </w:rPr>
              <w:t xml:space="preserve">ذلك، </w:t>
            </w:r>
            <w:r w:rsidR="00F54EAF">
              <w:rPr>
                <w:rFonts w:hint="cs"/>
                <w:i/>
                <w:rtl/>
              </w:rPr>
              <w:t>وتجدر الإشارة إلى أن تلك المحاولات ربما أدت إلى اختلاف توقعات المشاركين وتباين قدرتهم على استيعاب توجيهات الدليلين.</w:t>
            </w:r>
          </w:p>
        </w:tc>
      </w:tr>
      <w:tr w:rsidR="00326C21" w:rsidRPr="001C50C5" w:rsidTr="00A454A7">
        <w:trPr>
          <w:trHeight w:val="848"/>
        </w:trPr>
        <w:tc>
          <w:tcPr>
            <w:tcW w:w="2376" w:type="dxa"/>
            <w:shd w:val="clear" w:color="auto" w:fill="auto"/>
          </w:tcPr>
          <w:p w:rsidR="00326C21" w:rsidRPr="001B7AF9" w:rsidRDefault="00326C21" w:rsidP="00A454A7">
            <w:pPr>
              <w:rPr>
                <w:b/>
                <w:u w:val="single"/>
              </w:rPr>
            </w:pPr>
            <w:r w:rsidRPr="001B7AF9">
              <w:rPr>
                <w:b/>
                <w:u w:val="single"/>
                <w:rtl/>
              </w:rPr>
              <w:t>معدل تنفيذ المشروع</w:t>
            </w:r>
            <w:r w:rsidRPr="001B7AF9">
              <w:rPr>
                <w:b/>
                <w:u w:val="single"/>
              </w:rPr>
              <w:t xml:space="preserve"> </w:t>
            </w:r>
          </w:p>
        </w:tc>
        <w:tc>
          <w:tcPr>
            <w:tcW w:w="6912" w:type="dxa"/>
          </w:tcPr>
          <w:p w:rsidR="00111803" w:rsidRPr="00111803" w:rsidRDefault="00AD7BC1" w:rsidP="00AD7BC1">
            <w:pPr>
              <w:rPr>
                <w:i/>
              </w:rPr>
            </w:pPr>
            <w:r>
              <w:rPr>
                <w:rFonts w:eastAsia="SimSun"/>
                <w:i/>
                <w:rtl/>
                <w:lang w:eastAsia="zh-CN"/>
              </w:rPr>
              <w:t>نسبة استخدام الميزانية حتى نهاية يوليو 2019 هي: 9</w:t>
            </w:r>
            <w:r>
              <w:rPr>
                <w:rFonts w:eastAsia="SimSun" w:hint="cs"/>
                <w:i/>
                <w:rtl/>
                <w:lang w:eastAsia="zh-CN"/>
              </w:rPr>
              <w:t>4</w:t>
            </w:r>
            <w:r>
              <w:rPr>
                <w:rFonts w:eastAsia="SimSun"/>
                <w:i/>
                <w:rtl/>
                <w:lang w:eastAsia="zh-CN"/>
              </w:rPr>
              <w:t>%</w:t>
            </w:r>
          </w:p>
        </w:tc>
      </w:tr>
      <w:tr w:rsidR="00326C21" w:rsidRPr="001C50C5" w:rsidTr="00A454A7">
        <w:trPr>
          <w:trHeight w:val="848"/>
        </w:trPr>
        <w:tc>
          <w:tcPr>
            <w:tcW w:w="2376" w:type="dxa"/>
            <w:shd w:val="clear" w:color="auto" w:fill="auto"/>
          </w:tcPr>
          <w:p w:rsidR="00326C21" w:rsidRPr="001B7AF9" w:rsidRDefault="00326C21" w:rsidP="00A454A7">
            <w:pPr>
              <w:rPr>
                <w:b/>
                <w:u w:val="single"/>
              </w:rPr>
            </w:pPr>
            <w:r w:rsidRPr="001B7AF9">
              <w:rPr>
                <w:b/>
                <w:u w:val="single"/>
                <w:rtl/>
              </w:rPr>
              <w:t>التقارير السابقة</w:t>
            </w:r>
          </w:p>
        </w:tc>
        <w:tc>
          <w:tcPr>
            <w:tcW w:w="6912" w:type="dxa"/>
          </w:tcPr>
          <w:p w:rsidR="00326C21" w:rsidRPr="00111803" w:rsidRDefault="00A80934" w:rsidP="00A454A7">
            <w:pPr>
              <w:rPr>
                <w:i/>
              </w:rPr>
            </w:pPr>
            <w:r w:rsidRPr="00111803">
              <w:rPr>
                <w:rFonts w:hint="cs"/>
                <w:i/>
                <w:rtl/>
              </w:rPr>
              <w:t xml:space="preserve">وردت التقارير السابقة </w:t>
            </w:r>
            <w:r w:rsidR="00111803">
              <w:rPr>
                <w:rFonts w:hint="cs"/>
                <w:i/>
                <w:rtl/>
              </w:rPr>
              <w:t xml:space="preserve">في </w:t>
            </w:r>
            <w:r w:rsidRPr="00111803">
              <w:rPr>
                <w:i/>
                <w:rtl/>
              </w:rPr>
              <w:t xml:space="preserve">المرفق الخامس </w:t>
            </w:r>
            <w:r w:rsidRPr="00111803">
              <w:rPr>
                <w:rFonts w:hint="cs"/>
                <w:i/>
                <w:rtl/>
              </w:rPr>
              <w:t xml:space="preserve">للوثيقة </w:t>
            </w:r>
            <w:r w:rsidRPr="00111803">
              <w:rPr>
                <w:iCs/>
              </w:rPr>
              <w:t>CDIP/18/2</w:t>
            </w:r>
            <w:r w:rsidRPr="00111803">
              <w:rPr>
                <w:rFonts w:hint="cs"/>
                <w:i/>
                <w:rtl/>
              </w:rPr>
              <w:t xml:space="preserve"> و</w:t>
            </w:r>
            <w:r w:rsidRPr="00111803">
              <w:rPr>
                <w:i/>
                <w:rtl/>
              </w:rPr>
              <w:t xml:space="preserve">المرفق </w:t>
            </w:r>
            <w:r w:rsidRPr="00111803">
              <w:rPr>
                <w:rFonts w:hint="cs"/>
                <w:i/>
                <w:rtl/>
              </w:rPr>
              <w:t>الخامس</w:t>
            </w:r>
            <w:r w:rsidRPr="00111803">
              <w:rPr>
                <w:i/>
                <w:rtl/>
              </w:rPr>
              <w:t xml:space="preserve"> للوثيقة</w:t>
            </w:r>
            <w:r w:rsidRPr="00111803">
              <w:rPr>
                <w:rFonts w:hint="cs"/>
                <w:i/>
                <w:rtl/>
              </w:rPr>
              <w:t xml:space="preserve"> </w:t>
            </w:r>
            <w:r w:rsidRPr="00111803">
              <w:rPr>
                <w:iCs/>
              </w:rPr>
              <w:t>CDIP/20/2</w:t>
            </w:r>
            <w:r w:rsidRPr="00111803">
              <w:rPr>
                <w:i/>
                <w:rtl/>
              </w:rPr>
              <w:t>، و</w:t>
            </w:r>
            <w:r w:rsidRPr="00111803">
              <w:rPr>
                <w:rFonts w:hint="cs"/>
                <w:i/>
                <w:rtl/>
              </w:rPr>
              <w:t xml:space="preserve">المرفق الثاني للوثيقة </w:t>
            </w:r>
            <w:r w:rsidRPr="00111803">
              <w:rPr>
                <w:iCs/>
              </w:rPr>
              <w:t>CDIP/22/2</w:t>
            </w:r>
            <w:r w:rsidRPr="00111803">
              <w:rPr>
                <w:rFonts w:hint="cs"/>
                <w:i/>
                <w:rtl/>
              </w:rPr>
              <w:t>.</w:t>
            </w:r>
          </w:p>
        </w:tc>
      </w:tr>
      <w:tr w:rsidR="00160EDE" w:rsidRPr="009A0C26" w:rsidTr="00160EDE">
        <w:trPr>
          <w:trHeight w:val="848"/>
        </w:trPr>
        <w:tc>
          <w:tcPr>
            <w:tcW w:w="2376" w:type="dxa"/>
            <w:tcBorders>
              <w:top w:val="single" w:sz="4" w:space="0" w:color="auto"/>
              <w:left w:val="single" w:sz="4" w:space="0" w:color="auto"/>
              <w:bottom w:val="single" w:sz="4" w:space="0" w:color="auto"/>
              <w:right w:val="single" w:sz="4" w:space="0" w:color="auto"/>
            </w:tcBorders>
            <w:shd w:val="clear" w:color="auto" w:fill="auto"/>
          </w:tcPr>
          <w:p w:rsidR="00160EDE" w:rsidRPr="001B7AF9" w:rsidRDefault="00160EDE" w:rsidP="00176C6F">
            <w:pPr>
              <w:rPr>
                <w:b/>
                <w:u w:val="single"/>
              </w:rPr>
            </w:pPr>
            <w:r w:rsidRPr="001B7AF9">
              <w:rPr>
                <w:b/>
                <w:u w:val="single"/>
                <w:rtl/>
              </w:rPr>
              <w:lastRenderedPageBreak/>
              <w:t>المضي قدما</w:t>
            </w:r>
          </w:p>
        </w:tc>
        <w:tc>
          <w:tcPr>
            <w:tcW w:w="6912" w:type="dxa"/>
            <w:tcBorders>
              <w:top w:val="single" w:sz="4" w:space="0" w:color="auto"/>
              <w:left w:val="single" w:sz="4" w:space="0" w:color="auto"/>
              <w:bottom w:val="single" w:sz="4" w:space="0" w:color="auto"/>
              <w:right w:val="single" w:sz="4" w:space="0" w:color="auto"/>
            </w:tcBorders>
          </w:tcPr>
          <w:p w:rsidR="00111803" w:rsidRDefault="00111803" w:rsidP="00111803">
            <w:pPr>
              <w:rPr>
                <w:i/>
              </w:rPr>
            </w:pPr>
            <w:r>
              <w:rPr>
                <w:rFonts w:hint="cs"/>
                <w:i/>
                <w:rtl/>
              </w:rPr>
              <w:t>ل</w:t>
            </w:r>
            <w:r w:rsidRPr="00111803">
              <w:rPr>
                <w:rFonts w:hint="cs"/>
                <w:i/>
                <w:rtl/>
              </w:rPr>
              <w:t>ضمان استدامة المشروع على المدى البعيد، و</w:t>
            </w:r>
            <w:r>
              <w:rPr>
                <w:rFonts w:hint="cs"/>
                <w:i/>
                <w:rtl/>
              </w:rPr>
              <w:t xml:space="preserve">من أجل </w:t>
            </w:r>
            <w:r w:rsidRPr="00111803">
              <w:rPr>
                <w:rFonts w:hint="cs"/>
                <w:i/>
                <w:rtl/>
              </w:rPr>
              <w:t xml:space="preserve">دمج الأدوات الجديدة التي استحدثت في إطار المشروع في خدمات مراكز دعم التكنولوجيا والابتكار بشكل كامل، يوصى بتعميم نتائج المشروع بشكل كامل في المشروع 14 للثنائية 2020-2021. وسيكون من الضروري، بناء على </w:t>
            </w:r>
            <w:r>
              <w:rPr>
                <w:rFonts w:hint="cs"/>
                <w:i/>
                <w:rtl/>
              </w:rPr>
              <w:t xml:space="preserve">التعليقات </w:t>
            </w:r>
            <w:r w:rsidRPr="00111803">
              <w:rPr>
                <w:rFonts w:hint="cs"/>
                <w:i/>
                <w:rtl/>
              </w:rPr>
              <w:t xml:space="preserve">التي </w:t>
            </w:r>
            <w:r>
              <w:rPr>
                <w:rFonts w:hint="cs"/>
                <w:i/>
                <w:rtl/>
              </w:rPr>
              <w:t xml:space="preserve">وردت </w:t>
            </w:r>
            <w:r w:rsidRPr="00111803">
              <w:rPr>
                <w:rFonts w:hint="cs"/>
                <w:i/>
                <w:rtl/>
              </w:rPr>
              <w:t>خلال حلقات عمل التأكيد، تقديم المزيد من التدريب من أجل توسيع شبكات مراكز دعم التكنولوجيا والابتكار القطرية التي تستخدم الدليلين والبوابة. وسيستدعي ذلك تطوير المزيد من البرامج والأدوات التدريبية، ومن ذلك الاستناد إلى منصات مراكز دعم التكنولوجيا والابتكار الراهنة من أجل مزيد نشر توجيهات الدليلين. ويجب تخصيص الموارد الضرورية لدعم الدورات التدريبية الإضافية ودمجها في خطة عمل برنامج مركز دعم التكنولوجيا والابتكار، كي يشمل التدريب مراكز دعم التكنولوجيا والابتكار الأخرى.</w:t>
            </w:r>
          </w:p>
          <w:p w:rsidR="0037779A" w:rsidRPr="00111803" w:rsidRDefault="0037779A" w:rsidP="00111803">
            <w:pPr>
              <w:rPr>
                <w:i/>
                <w:rtl/>
              </w:rPr>
            </w:pPr>
          </w:p>
          <w:p w:rsidR="00160EDE" w:rsidRPr="00111803" w:rsidRDefault="00111803" w:rsidP="00111803">
            <w:pPr>
              <w:rPr>
                <w:i/>
                <w:rtl/>
              </w:rPr>
            </w:pPr>
            <w:r w:rsidRPr="00111803">
              <w:rPr>
                <w:rFonts w:hint="cs"/>
                <w:i/>
                <w:rtl/>
              </w:rPr>
              <w:t xml:space="preserve">ويجب التأكد من القيام بالرصد والصيانة الدورية بعد انتهاء المشروع، من أجل التأكد من أن المعلومات الواردة على البوابة محدّثة وأنّ </w:t>
            </w:r>
            <w:r>
              <w:rPr>
                <w:rFonts w:hint="cs"/>
                <w:i/>
                <w:rtl/>
              </w:rPr>
              <w:t xml:space="preserve">التكنولوجيا </w:t>
            </w:r>
            <w:r w:rsidRPr="00111803">
              <w:rPr>
                <w:rFonts w:hint="cs"/>
                <w:i/>
                <w:rtl/>
              </w:rPr>
              <w:t>السّحابي</w:t>
            </w:r>
            <w:r>
              <w:rPr>
                <w:rFonts w:hint="cs"/>
                <w:i/>
                <w:rtl/>
              </w:rPr>
              <w:t>ة</w:t>
            </w:r>
            <w:r w:rsidRPr="00111803">
              <w:rPr>
                <w:rFonts w:hint="cs"/>
                <w:i/>
                <w:rtl/>
              </w:rPr>
              <w:t xml:space="preserve"> صالح</w:t>
            </w:r>
            <w:r>
              <w:rPr>
                <w:rFonts w:hint="cs"/>
                <w:i/>
                <w:rtl/>
              </w:rPr>
              <w:t>ة</w:t>
            </w:r>
            <w:r w:rsidRPr="00111803">
              <w:rPr>
                <w:rFonts w:hint="cs"/>
                <w:i/>
                <w:rtl/>
              </w:rPr>
              <w:t xml:space="preserve"> للعمل وملائم</w:t>
            </w:r>
            <w:r>
              <w:rPr>
                <w:rFonts w:hint="cs"/>
                <w:i/>
                <w:rtl/>
              </w:rPr>
              <w:t>ة</w:t>
            </w:r>
            <w:r w:rsidRPr="00111803">
              <w:rPr>
                <w:rFonts w:hint="cs"/>
                <w:i/>
                <w:rtl/>
              </w:rPr>
              <w:t xml:space="preserve">، </w:t>
            </w:r>
            <w:r>
              <w:rPr>
                <w:rFonts w:hint="cs"/>
                <w:i/>
                <w:rtl/>
              </w:rPr>
              <w:t xml:space="preserve">وتتماشى </w:t>
            </w:r>
            <w:r w:rsidRPr="00111803">
              <w:rPr>
                <w:rFonts w:hint="cs"/>
                <w:i/>
                <w:rtl/>
              </w:rPr>
              <w:t>مع احتياجات الشركات والمستخدمين، وينبغي أيضا تخصيص الموارد الكفيلة ب</w:t>
            </w:r>
            <w:r>
              <w:rPr>
                <w:rFonts w:hint="cs"/>
                <w:i/>
                <w:rtl/>
              </w:rPr>
              <w:t xml:space="preserve">تحقيق </w:t>
            </w:r>
            <w:r w:rsidRPr="00111803">
              <w:rPr>
                <w:rFonts w:hint="cs"/>
                <w:i/>
                <w:rtl/>
              </w:rPr>
              <w:t>ذلك. وينبغي أن تأخذ التطويرات المستقبلية بعين الاعتبار التطورات الأخرى في المنصات والأدوات المستخدمة في إطار برنامج مركز دعم التكنولوجيا والابتكار، وفي المجالات الأخرى، من سبيل التطورات الحاصلة في مجال المعايير.</w:t>
            </w:r>
          </w:p>
          <w:p w:rsidR="00111803" w:rsidRPr="00111803" w:rsidRDefault="00111803" w:rsidP="00111803">
            <w:pPr>
              <w:rPr>
                <w:i/>
              </w:rPr>
            </w:pPr>
          </w:p>
        </w:tc>
      </w:tr>
    </w:tbl>
    <w:p w:rsidR="00326C21" w:rsidRPr="00160EDE" w:rsidRDefault="00326C21" w:rsidP="00326C21"/>
    <w:tbl>
      <w:tblPr>
        <w:bidiVisual/>
        <w:tblW w:w="0" w:type="auto"/>
        <w:tblLook w:val="01E0" w:firstRow="1" w:lastRow="1" w:firstColumn="1" w:lastColumn="1" w:noHBand="0" w:noVBand="0"/>
      </w:tblPr>
      <w:tblGrid>
        <w:gridCol w:w="9071"/>
      </w:tblGrid>
      <w:tr w:rsidR="00326C21" w:rsidRPr="00630749" w:rsidTr="00A454A7">
        <w:trPr>
          <w:trHeight w:val="494"/>
        </w:trPr>
        <w:tc>
          <w:tcPr>
            <w:tcW w:w="9287" w:type="dxa"/>
            <w:vAlign w:val="center"/>
          </w:tcPr>
          <w:p w:rsidR="00326C21" w:rsidRPr="00630749" w:rsidRDefault="00326C21" w:rsidP="00A454A7">
            <w:pPr>
              <w:rPr>
                <w:sz w:val="40"/>
                <w:szCs w:val="40"/>
              </w:rPr>
            </w:pPr>
            <w:r w:rsidRPr="004B7BA8">
              <w:rPr>
                <w:sz w:val="40"/>
                <w:szCs w:val="40"/>
              </w:rPr>
              <w:br w:type="page"/>
            </w:r>
            <w:r w:rsidRPr="00630749">
              <w:rPr>
                <w:sz w:val="40"/>
                <w:szCs w:val="40"/>
                <w:rtl/>
              </w:rPr>
              <w:t>التقييم الذاتي للمشروع</w:t>
            </w:r>
          </w:p>
        </w:tc>
      </w:tr>
    </w:tbl>
    <w:p w:rsidR="00326C21" w:rsidRPr="00630749" w:rsidRDefault="00326C21" w:rsidP="00326C21">
      <w:r w:rsidRPr="00630749">
        <w:rPr>
          <w:rtl/>
        </w:rPr>
        <w:t>مفتاح نظام إشارات السير</w:t>
      </w:r>
    </w:p>
    <w:tbl>
      <w:tblPr>
        <w:bidiVisual/>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326C21" w:rsidRPr="00630749" w:rsidTr="00A454A7">
        <w:trPr>
          <w:trHeight w:val="469"/>
        </w:trPr>
        <w:tc>
          <w:tcPr>
            <w:tcW w:w="1416" w:type="dxa"/>
            <w:shd w:val="clear" w:color="auto" w:fill="auto"/>
            <w:vAlign w:val="center"/>
          </w:tcPr>
          <w:p w:rsidR="00326C21" w:rsidRPr="00630749" w:rsidRDefault="00326C21" w:rsidP="00A454A7">
            <w:r w:rsidRPr="00630749">
              <w:rPr>
                <w:rtl/>
              </w:rPr>
              <w:t>****</w:t>
            </w:r>
          </w:p>
        </w:tc>
        <w:tc>
          <w:tcPr>
            <w:tcW w:w="1677" w:type="dxa"/>
            <w:shd w:val="clear" w:color="auto" w:fill="auto"/>
            <w:vAlign w:val="center"/>
          </w:tcPr>
          <w:p w:rsidR="00326C21" w:rsidRPr="00630749" w:rsidRDefault="00326C21" w:rsidP="00A454A7">
            <w:r w:rsidRPr="00630749">
              <w:rPr>
                <w:rtl/>
              </w:rPr>
              <w:t>***</w:t>
            </w:r>
          </w:p>
        </w:tc>
        <w:tc>
          <w:tcPr>
            <w:tcW w:w="1797" w:type="dxa"/>
            <w:shd w:val="clear" w:color="auto" w:fill="auto"/>
            <w:vAlign w:val="center"/>
          </w:tcPr>
          <w:p w:rsidR="00326C21" w:rsidRPr="00630749" w:rsidRDefault="00326C21" w:rsidP="00A454A7">
            <w:r w:rsidRPr="00630749">
              <w:rPr>
                <w:rtl/>
              </w:rPr>
              <w:t>**</w:t>
            </w:r>
          </w:p>
        </w:tc>
        <w:tc>
          <w:tcPr>
            <w:tcW w:w="1895" w:type="dxa"/>
            <w:shd w:val="clear" w:color="auto" w:fill="auto"/>
            <w:vAlign w:val="center"/>
          </w:tcPr>
          <w:p w:rsidR="00326C21" w:rsidRPr="00630749" w:rsidRDefault="00326C21" w:rsidP="00A454A7">
            <w:r w:rsidRPr="00630749">
              <w:rPr>
                <w:rFonts w:hint="cs"/>
                <w:rtl/>
              </w:rPr>
              <w:t>لا تقدم</w:t>
            </w:r>
          </w:p>
        </w:tc>
        <w:tc>
          <w:tcPr>
            <w:tcW w:w="2563" w:type="dxa"/>
            <w:shd w:val="clear" w:color="auto" w:fill="auto"/>
            <w:vAlign w:val="center"/>
          </w:tcPr>
          <w:p w:rsidR="00326C21" w:rsidRPr="00630749" w:rsidRDefault="00326C21" w:rsidP="00A454A7">
            <w:r w:rsidRPr="00630749">
              <w:rPr>
                <w:rFonts w:hint="cs"/>
                <w:rtl/>
              </w:rPr>
              <w:t>لا تقييم</w:t>
            </w:r>
          </w:p>
        </w:tc>
      </w:tr>
      <w:tr w:rsidR="00326C21" w:rsidRPr="00630749" w:rsidTr="00A454A7">
        <w:tc>
          <w:tcPr>
            <w:tcW w:w="1416" w:type="dxa"/>
            <w:shd w:val="clear" w:color="auto" w:fill="auto"/>
          </w:tcPr>
          <w:p w:rsidR="00326C21" w:rsidRPr="00630749" w:rsidRDefault="00326C21" w:rsidP="00A454A7">
            <w:r w:rsidRPr="00630749">
              <w:rPr>
                <w:rtl/>
              </w:rPr>
              <w:t>مُحقَّق بالكامل</w:t>
            </w:r>
          </w:p>
        </w:tc>
        <w:tc>
          <w:tcPr>
            <w:tcW w:w="1677" w:type="dxa"/>
            <w:shd w:val="clear" w:color="auto" w:fill="auto"/>
          </w:tcPr>
          <w:p w:rsidR="00326C21" w:rsidRPr="00630749" w:rsidRDefault="00326C21" w:rsidP="00A454A7">
            <w:r w:rsidRPr="00630749">
              <w:rPr>
                <w:rtl/>
              </w:rPr>
              <w:t>تقدم قوي</w:t>
            </w:r>
          </w:p>
        </w:tc>
        <w:tc>
          <w:tcPr>
            <w:tcW w:w="1797" w:type="dxa"/>
            <w:shd w:val="clear" w:color="auto" w:fill="auto"/>
          </w:tcPr>
          <w:p w:rsidR="00326C21" w:rsidRPr="00630749" w:rsidRDefault="00326C21" w:rsidP="00A454A7">
            <w:r w:rsidRPr="00630749">
              <w:rPr>
                <w:rtl/>
              </w:rPr>
              <w:t>بعض التقدم</w:t>
            </w:r>
          </w:p>
        </w:tc>
        <w:tc>
          <w:tcPr>
            <w:tcW w:w="1895" w:type="dxa"/>
            <w:shd w:val="clear" w:color="auto" w:fill="auto"/>
          </w:tcPr>
          <w:p w:rsidR="00326C21" w:rsidRPr="00630749" w:rsidRDefault="00326C21" w:rsidP="00A454A7">
            <w:r w:rsidRPr="00630749">
              <w:rPr>
                <w:rtl/>
              </w:rPr>
              <w:t>لا يوجد تقدم</w:t>
            </w:r>
          </w:p>
        </w:tc>
        <w:tc>
          <w:tcPr>
            <w:tcW w:w="2563" w:type="dxa"/>
            <w:shd w:val="clear" w:color="auto" w:fill="auto"/>
          </w:tcPr>
          <w:p w:rsidR="00326C21" w:rsidRPr="00630749" w:rsidRDefault="00326C21" w:rsidP="00A454A7">
            <w:r w:rsidRPr="00630749">
              <w:rPr>
                <w:rtl/>
              </w:rPr>
              <w:t>لم يُقيّم بعد/ توقف</w:t>
            </w:r>
          </w:p>
        </w:tc>
      </w:tr>
    </w:tbl>
    <w:p w:rsidR="00326C21" w:rsidRPr="00630749" w:rsidRDefault="00326C21" w:rsidP="00326C21"/>
    <w:tbl>
      <w:tblPr>
        <w:tblpPr w:leftFromText="141" w:rightFromText="141" w:vertAnchor="text" w:tblpXSpec="right" w:tblpY="1"/>
        <w:tblOverlap w:val="never"/>
        <w:bidiVisual/>
        <w:tblW w:w="9356" w:type="dxa"/>
        <w:tblLayout w:type="fixed"/>
        <w:tblLook w:val="01E0" w:firstRow="1" w:lastRow="1" w:firstColumn="1" w:lastColumn="1" w:noHBand="0" w:noVBand="0"/>
      </w:tblPr>
      <w:tblGrid>
        <w:gridCol w:w="2410"/>
        <w:gridCol w:w="2694"/>
        <w:gridCol w:w="3402"/>
        <w:gridCol w:w="850"/>
      </w:tblGrid>
      <w:tr w:rsidR="00326C21" w:rsidRPr="00630749" w:rsidTr="00A454A7">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326C21" w:rsidRPr="0037779A" w:rsidRDefault="00326C21" w:rsidP="00A454A7">
            <w:pPr>
              <w:rPr>
                <w:b/>
                <w:bCs/>
                <w:u w:val="single"/>
                <w:rtl/>
              </w:rPr>
            </w:pPr>
            <w:r w:rsidRPr="0037779A">
              <w:rPr>
                <w:rFonts w:hint="cs"/>
                <w:b/>
                <w:bCs/>
                <w:u w:val="single"/>
                <w:rtl/>
              </w:rPr>
              <w:t>نتائج المشروع</w:t>
            </w:r>
            <w:r w:rsidRPr="0037779A">
              <w:rPr>
                <w:rStyle w:val="FootnoteReference"/>
                <w:b/>
                <w:bCs/>
                <w:u w:val="single"/>
                <w:rtl/>
              </w:rPr>
              <w:footnoteReference w:id="1"/>
            </w:r>
          </w:p>
          <w:p w:rsidR="00326C21" w:rsidRPr="0037779A" w:rsidRDefault="00326C21" w:rsidP="00A454A7">
            <w:pPr>
              <w:rPr>
                <w:b/>
                <w:bCs/>
              </w:rPr>
            </w:pPr>
            <w:r w:rsidRPr="0037779A">
              <w:rPr>
                <w:b/>
                <w:bCs/>
                <w:rtl/>
              </w:rPr>
              <w:t>(النتيجة المرتقبة)</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C21" w:rsidRPr="0037779A" w:rsidRDefault="00326C21" w:rsidP="00A454A7">
            <w:pPr>
              <w:rPr>
                <w:b/>
                <w:bCs/>
              </w:rPr>
            </w:pPr>
            <w:r w:rsidRPr="0037779A">
              <w:rPr>
                <w:b/>
                <w:bCs/>
                <w:rtl/>
              </w:rPr>
              <w:t>مؤشرات الإنجاز الناجح (مؤشرات النتائج)</w:t>
            </w:r>
          </w:p>
          <w:p w:rsidR="00326C21" w:rsidRPr="0037779A" w:rsidRDefault="00326C21" w:rsidP="00A454A7">
            <w:pPr>
              <w:rPr>
                <w:b/>
                <w:bC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26C21" w:rsidRPr="0037779A" w:rsidRDefault="00326C21" w:rsidP="00A454A7">
            <w:pPr>
              <w:rPr>
                <w:b/>
                <w:bCs/>
                <w:u w:val="single"/>
              </w:rPr>
            </w:pPr>
            <w:r w:rsidRPr="0037779A">
              <w:rPr>
                <w:b/>
                <w:bCs/>
                <w:u w:val="single"/>
                <w:rtl/>
              </w:rPr>
              <w:t>بيانات الأداء</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326C21" w:rsidRPr="0037779A" w:rsidRDefault="00326C21" w:rsidP="00A454A7">
            <w:pPr>
              <w:keepNext/>
              <w:spacing w:after="240" w:line="360" w:lineRule="exact"/>
              <w:outlineLvl w:val="2"/>
              <w:rPr>
                <w:b/>
                <w:bCs/>
                <w:u w:val="single"/>
                <w:lang w:bidi="ar-EG"/>
              </w:rPr>
            </w:pPr>
            <w:r w:rsidRPr="0037779A">
              <w:rPr>
                <w:b/>
                <w:bCs/>
                <w:u w:val="single"/>
                <w:rtl/>
                <w:lang w:bidi="ar-EG"/>
              </w:rPr>
              <w:t>نظام إشارات السير</w:t>
            </w:r>
          </w:p>
        </w:tc>
      </w:tr>
      <w:tr w:rsidR="0056730D" w:rsidRPr="00630749" w:rsidTr="00A454A7">
        <w:trPr>
          <w:trHeight w:val="509"/>
        </w:trPr>
        <w:tc>
          <w:tcPr>
            <w:tcW w:w="2410" w:type="dxa"/>
            <w:tcBorders>
              <w:top w:val="single" w:sz="2" w:space="0" w:color="000000"/>
              <w:left w:val="single" w:sz="2" w:space="0" w:color="000000"/>
              <w:right w:val="single" w:sz="6" w:space="0" w:color="000000"/>
            </w:tcBorders>
            <w:shd w:val="clear" w:color="auto" w:fill="auto"/>
          </w:tcPr>
          <w:p w:rsidR="0056730D" w:rsidRPr="00630749" w:rsidRDefault="0056730D" w:rsidP="0056730D">
            <w:r w:rsidRPr="00630749">
              <w:rPr>
                <w:rFonts w:hint="cs"/>
                <w:rtl/>
              </w:rPr>
              <w:t xml:space="preserve">1. </w:t>
            </w:r>
            <w:r w:rsidRPr="00630749">
              <w:rPr>
                <w:rtl/>
              </w:rPr>
              <w:t>دليلان عمليان بشأن تحديد الاختراعات الموجودة في الملك العام واستخدامها</w:t>
            </w:r>
          </w:p>
          <w:p w:rsidR="0056730D" w:rsidRPr="00630749" w:rsidRDefault="0056730D" w:rsidP="0056730D"/>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56730D" w:rsidRPr="00630749" w:rsidRDefault="0056730D" w:rsidP="0056730D">
            <w:r w:rsidRPr="00630749">
              <w:rPr>
                <w:rtl/>
              </w:rPr>
              <w:lastRenderedPageBreak/>
              <w:t xml:space="preserve">تسليم أول صيغة نهائية </w:t>
            </w:r>
            <w:r w:rsidRPr="00630749">
              <w:rPr>
                <w:rFonts w:hint="cs"/>
                <w:rtl/>
              </w:rPr>
              <w:t>من مشروعي</w:t>
            </w:r>
            <w:r w:rsidRPr="00630749">
              <w:rPr>
                <w:rtl/>
              </w:rPr>
              <w:t xml:space="preserve"> الدليلين بحلول نهاية عام 2016.</w:t>
            </w:r>
          </w:p>
          <w:p w:rsidR="0056730D" w:rsidRPr="00630749" w:rsidRDefault="0056730D" w:rsidP="0056730D"/>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56730D" w:rsidRPr="00630749" w:rsidRDefault="008B6A3D" w:rsidP="002D11F6">
            <w:r w:rsidRPr="00630749">
              <w:rPr>
                <w:rFonts w:hint="cs"/>
                <w:rtl/>
              </w:rPr>
              <w:lastRenderedPageBreak/>
              <w:t xml:space="preserve">سلم </w:t>
            </w:r>
            <w:r w:rsidR="0056730D" w:rsidRPr="00630749">
              <w:rPr>
                <w:rFonts w:hint="cs"/>
                <w:rtl/>
              </w:rPr>
              <w:t>مشروع موحد من الدليلين</w:t>
            </w:r>
            <w:r w:rsidR="0056730D" w:rsidRPr="00630749">
              <w:rPr>
                <w:rtl/>
              </w:rPr>
              <w:t xml:space="preserve"> </w:t>
            </w:r>
            <w:r w:rsidRPr="00630749">
              <w:rPr>
                <w:rFonts w:hint="cs"/>
                <w:rtl/>
              </w:rPr>
              <w:t xml:space="preserve">في نهاية 2017. وسلّم مشروع الدليلين بعد دمج </w:t>
            </w:r>
            <w:r w:rsidR="002D11F6">
              <w:rPr>
                <w:rFonts w:hint="cs"/>
                <w:rtl/>
              </w:rPr>
              <w:t xml:space="preserve">التعليقات </w:t>
            </w:r>
            <w:r w:rsidRPr="00630749">
              <w:rPr>
                <w:rFonts w:hint="cs"/>
                <w:rtl/>
              </w:rPr>
              <w:t xml:space="preserve">بعد المرحلة التجريبية، في يوليو </w:t>
            </w:r>
            <w:r w:rsidRPr="00630749">
              <w:rPr>
                <w:rFonts w:hint="cs"/>
                <w:rtl/>
              </w:rPr>
              <w:lastRenderedPageBreak/>
              <w:t xml:space="preserve">2018 (الدليل </w:t>
            </w:r>
            <w:r w:rsidR="002D11F6">
              <w:rPr>
                <w:rFonts w:hint="cs"/>
                <w:rtl/>
              </w:rPr>
              <w:t>الأول</w:t>
            </w:r>
            <w:r w:rsidRPr="00630749">
              <w:rPr>
                <w:rFonts w:hint="cs"/>
                <w:rtl/>
              </w:rPr>
              <w:t>) و</w:t>
            </w:r>
            <w:r w:rsidR="00E81BA3" w:rsidRPr="00630749">
              <w:rPr>
                <w:rFonts w:hint="cs"/>
                <w:rtl/>
              </w:rPr>
              <w:t xml:space="preserve">أكتوبر 2018 (الدليل </w:t>
            </w:r>
            <w:r w:rsidR="002D11F6">
              <w:rPr>
                <w:rFonts w:hint="cs"/>
                <w:rtl/>
              </w:rPr>
              <w:t>الثاني</w:t>
            </w:r>
            <w:r w:rsidR="00E81BA3" w:rsidRPr="00630749">
              <w:rPr>
                <w:rFonts w:hint="cs"/>
                <w:rtl/>
              </w:rPr>
              <w:t>). وسلم</w:t>
            </w:r>
            <w:r w:rsidR="002D11F6">
              <w:rPr>
                <w:rFonts w:hint="cs"/>
                <w:rtl/>
              </w:rPr>
              <w:t>ت صيغة الدليلين</w:t>
            </w:r>
            <w:r w:rsidR="00E81BA3" w:rsidRPr="00630749">
              <w:rPr>
                <w:rFonts w:hint="cs"/>
                <w:rtl/>
              </w:rPr>
              <w:t xml:space="preserve"> بعد استعراض الأقران </w:t>
            </w:r>
            <w:r w:rsidR="0056730D" w:rsidRPr="00630749">
              <w:rPr>
                <w:rFonts w:hint="cs"/>
                <w:rtl/>
              </w:rPr>
              <w:t>للتحرير والتصميم الاحترافي</w:t>
            </w:r>
            <w:r w:rsidR="00E81BA3" w:rsidRPr="00630749">
              <w:rPr>
                <w:rFonts w:hint="cs"/>
                <w:rtl/>
              </w:rPr>
              <w:t xml:space="preserve"> في يناير 2019 (الدليل </w:t>
            </w:r>
            <w:r w:rsidR="002D11F6">
              <w:rPr>
                <w:rFonts w:hint="cs"/>
                <w:rtl/>
              </w:rPr>
              <w:t>الأول</w:t>
            </w:r>
            <w:r w:rsidR="00E81BA3" w:rsidRPr="00630749">
              <w:rPr>
                <w:rFonts w:hint="cs"/>
                <w:rtl/>
              </w:rPr>
              <w:t xml:space="preserve">) ومايو 2019 (الدليل </w:t>
            </w:r>
            <w:r w:rsidR="002D11F6">
              <w:rPr>
                <w:rFonts w:hint="cs"/>
                <w:rtl/>
              </w:rPr>
              <w:t>الثاني</w:t>
            </w:r>
            <w:r w:rsidR="00E81BA3" w:rsidRPr="00630749">
              <w:rPr>
                <w:rFonts w:hint="cs"/>
                <w:rtl/>
              </w:rPr>
              <w:t>).</w:t>
            </w:r>
            <w:r w:rsidR="0056730D" w:rsidRPr="00630749">
              <w:rPr>
                <w:rtl/>
              </w:rPr>
              <w:t xml:space="preserve"> </w:t>
            </w:r>
            <w:r w:rsidR="0056730D" w:rsidRPr="00630749">
              <w:rPr>
                <w:rFonts w:hint="cs"/>
                <w:rtl/>
              </w:rPr>
              <w:t>و</w:t>
            </w:r>
            <w:r w:rsidR="0056730D" w:rsidRPr="00630749">
              <w:rPr>
                <w:rtl/>
              </w:rPr>
              <w:t xml:space="preserve">ستستكمل </w:t>
            </w:r>
            <w:r w:rsidR="00E81BA3" w:rsidRPr="00630749">
              <w:rPr>
                <w:rFonts w:hint="cs"/>
                <w:rtl/>
              </w:rPr>
              <w:t xml:space="preserve">الصيغ </w:t>
            </w:r>
            <w:r w:rsidR="0056730D" w:rsidRPr="00630749">
              <w:rPr>
                <w:rtl/>
              </w:rPr>
              <w:t>النهائية (</w:t>
            </w:r>
            <w:r w:rsidR="0056730D" w:rsidRPr="00630749">
              <w:rPr>
                <w:rFonts w:hint="cs"/>
                <w:rtl/>
              </w:rPr>
              <w:t>المستعرضة والمنقحة</w:t>
            </w:r>
            <w:r w:rsidR="0056730D" w:rsidRPr="00630749">
              <w:rPr>
                <w:rtl/>
              </w:rPr>
              <w:t xml:space="preserve">) بحلول </w:t>
            </w:r>
            <w:r w:rsidR="00E81BA3" w:rsidRPr="00630749">
              <w:rPr>
                <w:rFonts w:hint="cs"/>
                <w:rtl/>
              </w:rPr>
              <w:t>سبتمبر 2019</w:t>
            </w:r>
            <w:r w:rsidR="0056730D" w:rsidRPr="00630749">
              <w:rPr>
                <w:rtl/>
              </w:rPr>
              <w:t>.</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6730D" w:rsidRPr="00630749" w:rsidRDefault="0056730D" w:rsidP="0056730D">
            <w:r w:rsidRPr="00630749">
              <w:rPr>
                <w:rtl/>
              </w:rPr>
              <w:lastRenderedPageBreak/>
              <w:t>**</w:t>
            </w:r>
            <w:r w:rsidR="00E81BA3" w:rsidRPr="00630749">
              <w:rPr>
                <w:rFonts w:hint="cs"/>
                <w:rtl/>
              </w:rPr>
              <w:t>*</w:t>
            </w:r>
            <w:r w:rsidRPr="00630749">
              <w:rPr>
                <w:rtl/>
              </w:rPr>
              <w:t>*</w:t>
            </w:r>
          </w:p>
        </w:tc>
      </w:tr>
      <w:tr w:rsidR="0056730D" w:rsidRPr="00630749" w:rsidTr="00A454A7">
        <w:trPr>
          <w:trHeight w:val="509"/>
        </w:trPr>
        <w:tc>
          <w:tcPr>
            <w:tcW w:w="2410" w:type="dxa"/>
            <w:tcBorders>
              <w:top w:val="single" w:sz="2" w:space="0" w:color="000000"/>
              <w:left w:val="single" w:sz="2" w:space="0" w:color="000000"/>
              <w:right w:val="single" w:sz="6" w:space="0" w:color="000000"/>
            </w:tcBorders>
            <w:shd w:val="clear" w:color="auto" w:fill="auto"/>
          </w:tcPr>
          <w:p w:rsidR="0056730D" w:rsidRPr="00630749" w:rsidRDefault="0056730D" w:rsidP="0037779A">
            <w:r w:rsidRPr="00630749">
              <w:rPr>
                <w:rFonts w:hint="cs"/>
                <w:rtl/>
              </w:rPr>
              <w:t xml:space="preserve">2. </w:t>
            </w:r>
            <w:r w:rsidRPr="00630749">
              <w:rPr>
                <w:rtl/>
              </w:rPr>
              <w:t>الوثائق التي تتناول التجارب وأفضل الممارسات في تحديد الاختراعات الموجودة في الملك العام واستخدامها</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56730D" w:rsidRDefault="0056730D" w:rsidP="0056730D">
            <w:pPr>
              <w:rPr>
                <w:rtl/>
              </w:rPr>
            </w:pPr>
            <w:r w:rsidRPr="00630749">
              <w:rPr>
                <w:rtl/>
              </w:rPr>
              <w:t>استلام الوثائق من المشروعات التجريبية بحلول نهاية عام 2017.</w:t>
            </w:r>
          </w:p>
          <w:p w:rsidR="002D68EB" w:rsidRPr="00630749" w:rsidRDefault="002D68EB" w:rsidP="0056730D"/>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56730D" w:rsidRDefault="0056730D" w:rsidP="0056730D">
            <w:pPr>
              <w:rPr>
                <w:rtl/>
              </w:rPr>
            </w:pPr>
            <w:r w:rsidRPr="00630749">
              <w:rPr>
                <w:rFonts w:hint="cs"/>
                <w:rtl/>
              </w:rPr>
              <w:t>جُرب</w:t>
            </w:r>
            <w:r w:rsidRPr="00630749">
              <w:rPr>
                <w:rtl/>
              </w:rPr>
              <w:t xml:space="preserve"> </w:t>
            </w:r>
            <w:r w:rsidRPr="00630749">
              <w:rPr>
                <w:rFonts w:hint="cs"/>
                <w:rtl/>
              </w:rPr>
              <w:t>الدليل</w:t>
            </w:r>
            <w:r w:rsidR="005F03AF">
              <w:rPr>
                <w:rFonts w:hint="cs"/>
                <w:rtl/>
              </w:rPr>
              <w:t>ا</w:t>
            </w:r>
            <w:r w:rsidRPr="00630749">
              <w:rPr>
                <w:rFonts w:hint="cs"/>
                <w:rtl/>
              </w:rPr>
              <w:t>ن المكتمل</w:t>
            </w:r>
            <w:r w:rsidR="005F03AF">
              <w:rPr>
                <w:rFonts w:hint="cs"/>
                <w:rtl/>
              </w:rPr>
              <w:t>ا</w:t>
            </w:r>
            <w:r w:rsidRPr="00630749">
              <w:rPr>
                <w:rFonts w:hint="cs"/>
                <w:rtl/>
              </w:rPr>
              <w:t>ن</w:t>
            </w:r>
            <w:r w:rsidRPr="00630749">
              <w:rPr>
                <w:rtl/>
              </w:rPr>
              <w:t xml:space="preserve"> و</w:t>
            </w:r>
            <w:r w:rsidRPr="00630749">
              <w:rPr>
                <w:rFonts w:hint="cs"/>
                <w:rtl/>
              </w:rPr>
              <w:t xml:space="preserve">قُدمت </w:t>
            </w:r>
            <w:r w:rsidRPr="00630749">
              <w:rPr>
                <w:rtl/>
              </w:rPr>
              <w:t xml:space="preserve">كافة التقارير التي توثق تجارب </w:t>
            </w:r>
            <w:r w:rsidRPr="00630749">
              <w:rPr>
                <w:rFonts w:hint="cs"/>
                <w:rtl/>
              </w:rPr>
              <w:t>البلدان</w:t>
            </w:r>
            <w:r w:rsidRPr="00630749">
              <w:rPr>
                <w:rtl/>
              </w:rPr>
              <w:t xml:space="preserve"> الرائدة في ديسمبر 2017.</w:t>
            </w:r>
            <w:r w:rsidRPr="00630749">
              <w:t xml:space="preserve"> </w:t>
            </w:r>
          </w:p>
          <w:p w:rsidR="002D68EB" w:rsidRPr="00630749" w:rsidRDefault="002D68EB" w:rsidP="0056730D"/>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6730D" w:rsidRPr="00630749" w:rsidRDefault="0056730D" w:rsidP="0056730D">
            <w:r w:rsidRPr="00630749">
              <w:rPr>
                <w:rtl/>
              </w:rPr>
              <w:t>****</w:t>
            </w:r>
          </w:p>
        </w:tc>
      </w:tr>
      <w:tr w:rsidR="0056730D" w:rsidRPr="00630749" w:rsidTr="00A454A7">
        <w:trPr>
          <w:trHeight w:val="509"/>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56730D" w:rsidRPr="00630749" w:rsidRDefault="0056730D" w:rsidP="0056730D">
            <w:r w:rsidRPr="00630749">
              <w:rPr>
                <w:rFonts w:hint="cs"/>
                <w:rtl/>
              </w:rPr>
              <w:t>3. قائمة الخبراء الرئيسيين</w:t>
            </w:r>
          </w:p>
          <w:p w:rsidR="0056730D" w:rsidRPr="00630749" w:rsidRDefault="0056730D" w:rsidP="0056730D"/>
        </w:tc>
        <w:tc>
          <w:tcPr>
            <w:tcW w:w="2694" w:type="dxa"/>
            <w:tcBorders>
              <w:top w:val="single" w:sz="2" w:space="0" w:color="000000"/>
              <w:left w:val="single" w:sz="6" w:space="0" w:color="000000"/>
              <w:bottom w:val="single" w:sz="4" w:space="0" w:color="auto"/>
              <w:right w:val="single" w:sz="2" w:space="0" w:color="000000"/>
            </w:tcBorders>
            <w:shd w:val="clear" w:color="auto" w:fill="auto"/>
          </w:tcPr>
          <w:p w:rsidR="0056730D" w:rsidRPr="00630749" w:rsidRDefault="0056730D" w:rsidP="0056730D">
            <w:r w:rsidRPr="00630749">
              <w:rPr>
                <w:rtl/>
              </w:rPr>
              <w:t>وضع قائمة بها خبيران أساسيان على الأقل لكل منطقة بحلول نهاية عام 2016.</w:t>
            </w:r>
          </w:p>
          <w:p w:rsidR="0056730D" w:rsidRPr="00630749" w:rsidRDefault="0056730D" w:rsidP="0056730D"/>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2D68EB" w:rsidRPr="00630749" w:rsidRDefault="0056730D" w:rsidP="0037779A">
            <w:pPr>
              <w:rPr>
                <w:i/>
              </w:rPr>
            </w:pPr>
            <w:r w:rsidRPr="00630749">
              <w:rPr>
                <w:i/>
                <w:rtl/>
              </w:rPr>
              <w:t xml:space="preserve">الخبراء </w:t>
            </w:r>
            <w:r w:rsidR="00E81BA3" w:rsidRPr="00630749">
              <w:rPr>
                <w:rFonts w:hint="cs"/>
                <w:i/>
                <w:rtl/>
              </w:rPr>
              <w:t xml:space="preserve">الذين شاركوا في </w:t>
            </w:r>
            <w:r w:rsidRPr="00630749">
              <w:rPr>
                <w:i/>
                <w:rtl/>
              </w:rPr>
              <w:t xml:space="preserve">إعداد </w:t>
            </w:r>
            <w:r w:rsidR="00E81BA3" w:rsidRPr="00630749">
              <w:rPr>
                <w:rFonts w:hint="cs"/>
                <w:i/>
                <w:rtl/>
              </w:rPr>
              <w:t xml:space="preserve">مشروع </w:t>
            </w:r>
            <w:r w:rsidRPr="00630749">
              <w:rPr>
                <w:rFonts w:hint="cs"/>
                <w:i/>
                <w:rtl/>
              </w:rPr>
              <w:t>الدليلين</w:t>
            </w:r>
            <w:r w:rsidRPr="00630749">
              <w:rPr>
                <w:i/>
                <w:rtl/>
              </w:rPr>
              <w:t xml:space="preserve"> وعملية </w:t>
            </w:r>
            <w:r w:rsidRPr="00630749">
              <w:rPr>
                <w:rFonts w:hint="cs"/>
                <w:i/>
                <w:rtl/>
              </w:rPr>
              <w:t xml:space="preserve">التجريب </w:t>
            </w:r>
            <w:r w:rsidR="00E81BA3" w:rsidRPr="00630749">
              <w:rPr>
                <w:rFonts w:hint="cs"/>
                <w:i/>
                <w:rtl/>
              </w:rPr>
              <w:t xml:space="preserve">وفي حلقات العمل </w:t>
            </w:r>
            <w:r w:rsidRPr="00630749">
              <w:rPr>
                <w:rFonts w:hint="cs"/>
                <w:i/>
                <w:rtl/>
              </w:rPr>
              <w:t>هم</w:t>
            </w:r>
            <w:r w:rsidRPr="00630749">
              <w:rPr>
                <w:i/>
                <w:rtl/>
              </w:rPr>
              <w:t xml:space="preserve"> متا</w:t>
            </w:r>
            <w:r w:rsidRPr="00630749">
              <w:rPr>
                <w:rFonts w:hint="cs"/>
                <w:i/>
                <w:rtl/>
              </w:rPr>
              <w:t>حو</w:t>
            </w:r>
            <w:r w:rsidRPr="00630749">
              <w:rPr>
                <w:i/>
                <w:rtl/>
              </w:rPr>
              <w:t xml:space="preserve">ن للعمل كخبراء لدعم مراكز دعم التكنولوجيا والابتكار </w:t>
            </w:r>
            <w:r w:rsidRPr="00630749">
              <w:rPr>
                <w:rFonts w:hint="cs"/>
                <w:i/>
                <w:rtl/>
              </w:rPr>
              <w:t xml:space="preserve">في </w:t>
            </w:r>
            <w:r w:rsidRPr="00630749">
              <w:rPr>
                <w:i/>
                <w:rtl/>
              </w:rPr>
              <w:t xml:space="preserve">استخدام </w:t>
            </w:r>
            <w:r w:rsidRPr="00630749">
              <w:rPr>
                <w:rFonts w:hint="cs"/>
                <w:i/>
                <w:rtl/>
              </w:rPr>
              <w:t>الدليلين</w:t>
            </w:r>
            <w:r w:rsidR="00E81BA3" w:rsidRPr="00630749">
              <w:rPr>
                <w:rFonts w:hint="cs"/>
                <w:i/>
                <w:rtl/>
              </w:rPr>
              <w:t>.</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6730D" w:rsidRPr="00630749" w:rsidRDefault="0056730D" w:rsidP="0056730D">
            <w:r w:rsidRPr="00630749">
              <w:rPr>
                <w:rtl/>
              </w:rPr>
              <w:t>****</w:t>
            </w:r>
          </w:p>
        </w:tc>
      </w:tr>
      <w:tr w:rsidR="0056730D" w:rsidRPr="00630749" w:rsidTr="00A454A7">
        <w:trPr>
          <w:trHeight w:val="509"/>
        </w:trPr>
        <w:tc>
          <w:tcPr>
            <w:tcW w:w="2410" w:type="dxa"/>
            <w:tcBorders>
              <w:top w:val="single" w:sz="4" w:space="0" w:color="auto"/>
              <w:left w:val="single" w:sz="2" w:space="0" w:color="000000"/>
              <w:bottom w:val="single" w:sz="2" w:space="0" w:color="000000"/>
              <w:right w:val="single" w:sz="6" w:space="0" w:color="000000"/>
            </w:tcBorders>
            <w:shd w:val="clear" w:color="auto" w:fill="auto"/>
          </w:tcPr>
          <w:p w:rsidR="0056730D" w:rsidRPr="00630749" w:rsidRDefault="0056730D" w:rsidP="0056730D">
            <w:r w:rsidRPr="00630749">
              <w:rPr>
                <w:rFonts w:hint="cs"/>
                <w:rtl/>
              </w:rPr>
              <w:t>4. المواد التدريبية</w:t>
            </w:r>
          </w:p>
          <w:p w:rsidR="0056730D" w:rsidRPr="00630749" w:rsidRDefault="0056730D" w:rsidP="0056730D"/>
        </w:tc>
        <w:tc>
          <w:tcPr>
            <w:tcW w:w="2694" w:type="dxa"/>
            <w:tcBorders>
              <w:top w:val="single" w:sz="4" w:space="0" w:color="auto"/>
              <w:left w:val="single" w:sz="6" w:space="0" w:color="000000"/>
              <w:bottom w:val="single" w:sz="6" w:space="0" w:color="000000"/>
              <w:right w:val="single" w:sz="2" w:space="0" w:color="000000"/>
            </w:tcBorders>
            <w:shd w:val="clear" w:color="auto" w:fill="auto"/>
          </w:tcPr>
          <w:p w:rsidR="0056730D" w:rsidRPr="00630749" w:rsidRDefault="0056730D" w:rsidP="0037779A">
            <w:r w:rsidRPr="00630749">
              <w:rPr>
                <w:rtl/>
              </w:rPr>
              <w:t>إعداد ما لا يقل عن عرضين استناداً إلى الدليلين المتعلقين بتحديد الاختراعات الموجودة في الملك العام واستخدامها بحلول منتصف عام 2017.</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56730D" w:rsidRDefault="00E81BA3" w:rsidP="0056730D">
            <w:pPr>
              <w:rPr>
                <w:rtl/>
              </w:rPr>
            </w:pPr>
            <w:r w:rsidRPr="00630749">
              <w:rPr>
                <w:rFonts w:hint="cs"/>
                <w:rtl/>
              </w:rPr>
              <w:t>سلم العر</w:t>
            </w:r>
            <w:r w:rsidR="005F03AF">
              <w:rPr>
                <w:rFonts w:hint="cs"/>
                <w:rtl/>
              </w:rPr>
              <w:t xml:space="preserve">ضان </w:t>
            </w:r>
            <w:r w:rsidRPr="00630749">
              <w:rPr>
                <w:rFonts w:hint="cs"/>
                <w:rtl/>
              </w:rPr>
              <w:t xml:space="preserve">والمواد التدريبية وأدخلت عليها التحسينات </w:t>
            </w:r>
            <w:r w:rsidR="005F03AF">
              <w:rPr>
                <w:rFonts w:hint="cs"/>
                <w:rtl/>
              </w:rPr>
              <w:t xml:space="preserve">تماشيا </w:t>
            </w:r>
            <w:r w:rsidRPr="00630749">
              <w:rPr>
                <w:rFonts w:hint="cs"/>
                <w:rtl/>
              </w:rPr>
              <w:t>م</w:t>
            </w:r>
            <w:r w:rsidR="005F03AF">
              <w:rPr>
                <w:rFonts w:hint="cs"/>
                <w:rtl/>
              </w:rPr>
              <w:t xml:space="preserve">ع التعليقات </w:t>
            </w:r>
            <w:r w:rsidRPr="00630749">
              <w:rPr>
                <w:rFonts w:hint="cs"/>
                <w:rtl/>
              </w:rPr>
              <w:t>الواردة من المشاركين في حلقات العمل.</w:t>
            </w:r>
          </w:p>
          <w:p w:rsidR="002D68EB" w:rsidRPr="00630749" w:rsidRDefault="002D68EB" w:rsidP="0056730D"/>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6730D" w:rsidRPr="00630749" w:rsidRDefault="0056730D" w:rsidP="0056730D">
            <w:r w:rsidRPr="00630749">
              <w:rPr>
                <w:rtl/>
              </w:rPr>
              <w:t>**</w:t>
            </w:r>
            <w:r w:rsidR="00033C02" w:rsidRPr="00630749">
              <w:rPr>
                <w:rFonts w:hint="cs"/>
                <w:rtl/>
              </w:rPr>
              <w:t>*</w:t>
            </w:r>
            <w:r w:rsidRPr="00630749">
              <w:rPr>
                <w:rtl/>
              </w:rPr>
              <w:t>*</w:t>
            </w:r>
          </w:p>
        </w:tc>
      </w:tr>
      <w:tr w:rsidR="0056730D" w:rsidRPr="00630749" w:rsidTr="00160EDE">
        <w:trPr>
          <w:trHeight w:val="509"/>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56730D" w:rsidRPr="00630749" w:rsidRDefault="0056730D" w:rsidP="0056730D">
            <w:r w:rsidRPr="00630749">
              <w:rPr>
                <w:rFonts w:hint="cs"/>
                <w:rtl/>
              </w:rPr>
              <w:t>5. بوابة الوضع القانوني المحسنة</w:t>
            </w:r>
          </w:p>
          <w:p w:rsidR="0056730D" w:rsidRPr="00630749" w:rsidRDefault="0056730D" w:rsidP="0056730D"/>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2D68EB" w:rsidRPr="00630749" w:rsidRDefault="0056730D" w:rsidP="0037779A">
            <w:r w:rsidRPr="00630749">
              <w:rPr>
                <w:rtl/>
              </w:rPr>
              <w:t>استحداث واجهة جديدة بحلول منتصف عام 2016</w:t>
            </w:r>
            <w:r w:rsidRPr="00630749">
              <w:t>.</w:t>
            </w:r>
            <w:r w:rsidRPr="00630749">
              <w:rPr>
                <w:rtl/>
              </w:rPr>
              <w:t xml:space="preserve"> وإضافة صفحات مساعدة جديدة بحلول منتصف عام 2017</w:t>
            </w:r>
            <w:r w:rsidRPr="00630749">
              <w:t>.</w:t>
            </w:r>
            <w:r w:rsidRPr="00630749">
              <w:rPr>
                <w:rtl/>
              </w:rPr>
              <w:t xml:space="preserve"> وإضافة استمارة جديدة بحلول نهاية عام 2017</w:t>
            </w:r>
            <w:r w:rsidRPr="00630749">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2D68EB" w:rsidRPr="00630749" w:rsidRDefault="00033C02" w:rsidP="0037779A">
            <w:r w:rsidRPr="00630749">
              <w:rPr>
                <w:rFonts w:hint="cs"/>
                <w:rtl/>
              </w:rPr>
              <w:t xml:space="preserve">أنشأت </w:t>
            </w:r>
            <w:r w:rsidR="0056730D" w:rsidRPr="00630749">
              <w:rPr>
                <w:rtl/>
              </w:rPr>
              <w:t xml:space="preserve">الواجهة الجديدة مع تحديث </w:t>
            </w:r>
            <w:r w:rsidR="0056730D" w:rsidRPr="00630749">
              <w:rPr>
                <w:rFonts w:hint="cs"/>
                <w:rtl/>
              </w:rPr>
              <w:t>محتواها</w:t>
            </w:r>
            <w:r w:rsidR="0056730D" w:rsidRPr="00630749">
              <w:rPr>
                <w:rtl/>
              </w:rPr>
              <w:t xml:space="preserve"> </w:t>
            </w:r>
            <w:r w:rsidR="0056730D" w:rsidRPr="00630749">
              <w:rPr>
                <w:rFonts w:hint="cs"/>
                <w:rtl/>
              </w:rPr>
              <w:t>ووظائفها</w:t>
            </w:r>
            <w:r w:rsidR="0056730D" w:rsidRPr="00630749">
              <w:rPr>
                <w:rtl/>
              </w:rPr>
              <w:t xml:space="preserve"> </w:t>
            </w:r>
            <w:r w:rsidRPr="00630749">
              <w:rPr>
                <w:rFonts w:hint="cs"/>
                <w:rtl/>
              </w:rPr>
              <w:t>وإضافة محتوى ووظائف جديدة</w:t>
            </w:r>
            <w:r w:rsidR="00D51B67" w:rsidRPr="00630749">
              <w:rPr>
                <w:rFonts w:hint="cs"/>
                <w:rtl/>
              </w:rPr>
              <w:t xml:space="preserve">، </w:t>
            </w:r>
            <w:r w:rsidR="0056730D" w:rsidRPr="00630749">
              <w:rPr>
                <w:rtl/>
              </w:rPr>
              <w:t>بما في ذلك ملفات المساعدة</w:t>
            </w:r>
            <w:r w:rsidR="00D51B67" w:rsidRPr="00630749">
              <w:rPr>
                <w:rFonts w:hint="cs"/>
                <w:rtl/>
              </w:rPr>
              <w:t>، واستمارة التعليقات والفيديو التعليمي. وأطلقت الواجهة الجديدة خلال الدورة الثانية والعشرين للجنة التنمية.</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6730D" w:rsidRPr="00630749" w:rsidRDefault="0056730D" w:rsidP="0056730D">
            <w:r w:rsidRPr="00630749">
              <w:rPr>
                <w:rtl/>
              </w:rPr>
              <w:t>***</w:t>
            </w:r>
            <w:r w:rsidR="00033C02" w:rsidRPr="00630749">
              <w:rPr>
                <w:rFonts w:hint="cs"/>
                <w:rtl/>
              </w:rPr>
              <w:t>*</w:t>
            </w:r>
          </w:p>
        </w:tc>
      </w:tr>
      <w:tr w:rsidR="00A80934" w:rsidRPr="00630749" w:rsidTr="00160EDE">
        <w:trPr>
          <w:trHeight w:val="509"/>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A80934" w:rsidRPr="00630749" w:rsidRDefault="00A80934" w:rsidP="00A80934">
            <w:r w:rsidRPr="00630749">
              <w:rPr>
                <w:rFonts w:hint="cs"/>
                <w:rtl/>
              </w:rPr>
              <w:t xml:space="preserve">6. </w:t>
            </w:r>
            <w:r w:rsidRPr="00630749">
              <w:rPr>
                <w:rtl/>
              </w:rPr>
              <w:t>دليلان عمليان بشأن تحديد الاختراعات الموجودة في الملك العام واستخدامها باللغات الرسمية الست</w:t>
            </w:r>
            <w:r w:rsidRPr="00630749">
              <w:rPr>
                <w:rFonts w:hint="cs"/>
                <w:rtl/>
              </w:rPr>
              <w:t xml:space="preserve"> (انظر الوثيقة </w:t>
            </w:r>
            <w:r w:rsidRPr="00630749">
              <w:t>CDIP/18/11</w:t>
            </w:r>
            <w:r w:rsidRPr="00630749">
              <w:rPr>
                <w:rFonts w:hint="cs"/>
                <w:rtl/>
              </w:rPr>
              <w:t xml:space="preserve">) </w:t>
            </w:r>
          </w:p>
          <w:p w:rsidR="00A80934" w:rsidRPr="00630749" w:rsidRDefault="00A80934" w:rsidP="00A80934"/>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A80934" w:rsidRPr="00630749" w:rsidRDefault="00A80934" w:rsidP="00A80934">
            <w:r w:rsidRPr="00630749">
              <w:rPr>
                <w:rtl/>
              </w:rPr>
              <w:lastRenderedPageBreak/>
              <w:t>تسليم الدليلين المترجمين بحلول منتصف عام 2018.</w:t>
            </w:r>
          </w:p>
          <w:p w:rsidR="00A80934" w:rsidRPr="00630749" w:rsidRDefault="00A80934" w:rsidP="00A80934"/>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80934" w:rsidRDefault="00A80934" w:rsidP="00A80934">
            <w:pPr>
              <w:rPr>
                <w:rtl/>
              </w:rPr>
            </w:pPr>
            <w:r w:rsidRPr="00630749">
              <w:rPr>
                <w:rFonts w:hint="cs"/>
                <w:rtl/>
              </w:rPr>
              <w:t xml:space="preserve">يُتوقع البدء في </w:t>
            </w:r>
            <w:r w:rsidRPr="00630749">
              <w:rPr>
                <w:rtl/>
              </w:rPr>
              <w:t xml:space="preserve">الترجمة إلى اللغات الست بمجرد الانتهاء </w:t>
            </w:r>
            <w:r w:rsidR="005F03AF">
              <w:rPr>
                <w:rFonts w:hint="cs"/>
                <w:rtl/>
              </w:rPr>
              <w:t xml:space="preserve">من </w:t>
            </w:r>
            <w:r w:rsidRPr="00630749">
              <w:rPr>
                <w:rtl/>
              </w:rPr>
              <w:t>التحرير والتصميم</w:t>
            </w:r>
            <w:r w:rsidRPr="00630749">
              <w:rPr>
                <w:rFonts w:hint="cs"/>
                <w:rtl/>
              </w:rPr>
              <w:t xml:space="preserve"> الاحترافيين. وقد بدأ العمل على </w:t>
            </w:r>
            <w:r w:rsidR="005F03AF">
              <w:rPr>
                <w:rFonts w:hint="cs"/>
                <w:rtl/>
              </w:rPr>
              <w:t xml:space="preserve">الترجمة إلى </w:t>
            </w:r>
            <w:r w:rsidRPr="00630749">
              <w:rPr>
                <w:rFonts w:hint="cs"/>
                <w:rtl/>
              </w:rPr>
              <w:t xml:space="preserve">الإسبانية والصينية، </w:t>
            </w:r>
            <w:r w:rsidR="005F03AF">
              <w:rPr>
                <w:rFonts w:hint="cs"/>
                <w:rtl/>
              </w:rPr>
              <w:t xml:space="preserve">قبل البدء في </w:t>
            </w:r>
            <w:r w:rsidRPr="00630749">
              <w:rPr>
                <w:rFonts w:hint="cs"/>
                <w:rtl/>
              </w:rPr>
              <w:t>الترجمة إلى الرّوسية والفرنسية والعربية</w:t>
            </w:r>
            <w:r w:rsidRPr="00630749">
              <w:rPr>
                <w:rtl/>
              </w:rPr>
              <w:t>.</w:t>
            </w:r>
          </w:p>
          <w:p w:rsidR="002D68EB" w:rsidRPr="00630749" w:rsidRDefault="002D68EB" w:rsidP="00A80934"/>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80934" w:rsidRPr="00630749" w:rsidRDefault="00A80934" w:rsidP="00A80934">
            <w:r w:rsidRPr="00630749">
              <w:rPr>
                <w:rtl/>
              </w:rPr>
              <w:lastRenderedPageBreak/>
              <w:t>**</w:t>
            </w:r>
          </w:p>
        </w:tc>
      </w:tr>
      <w:tr w:rsidR="00A80934" w:rsidRPr="00630749" w:rsidTr="00A454A7">
        <w:trPr>
          <w:trHeight w:val="509"/>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A80934" w:rsidRPr="00630749" w:rsidRDefault="00A80934" w:rsidP="00A80934">
            <w:r w:rsidRPr="00630749">
              <w:rPr>
                <w:rFonts w:hint="cs"/>
                <w:rtl/>
              </w:rPr>
              <w:t xml:space="preserve">7. </w:t>
            </w:r>
            <w:r w:rsidRPr="00630749">
              <w:rPr>
                <w:rtl/>
              </w:rPr>
              <w:t>مهارات لإدارة وتوفير الخدمات المتعلقة بالاختراعات المدرجة في الملك العام</w:t>
            </w:r>
          </w:p>
          <w:p w:rsidR="00A80934" w:rsidRPr="00630749" w:rsidRDefault="00A80934" w:rsidP="00A80934"/>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A80934" w:rsidRPr="00630749" w:rsidRDefault="00A80934" w:rsidP="0037779A">
            <w:r w:rsidRPr="00630749">
              <w:rPr>
                <w:rFonts w:hint="cs"/>
                <w:rtl/>
              </w:rPr>
              <w:t xml:space="preserve">أفادت الدراسات الاستقصائية التي أجريت خلال </w:t>
            </w:r>
            <w:r w:rsidRPr="00630749">
              <w:rPr>
                <w:rtl/>
              </w:rPr>
              <w:t>حلقات العمل</w:t>
            </w:r>
            <w:r w:rsidRPr="00630749">
              <w:rPr>
                <w:rFonts w:hint="cs"/>
                <w:rtl/>
              </w:rPr>
              <w:t>،</w:t>
            </w:r>
            <w:r w:rsidRPr="00630749">
              <w:rPr>
                <w:rtl/>
              </w:rPr>
              <w:t xml:space="preserve"> </w:t>
            </w:r>
            <w:r w:rsidRPr="00630749">
              <w:rPr>
                <w:rFonts w:hint="cs"/>
                <w:rtl/>
              </w:rPr>
              <w:t xml:space="preserve">بحلول </w:t>
            </w:r>
            <w:r w:rsidRPr="00630749">
              <w:rPr>
                <w:rtl/>
              </w:rPr>
              <w:t>نهاية عام 2018</w:t>
            </w:r>
            <w:r w:rsidRPr="00630749">
              <w:rPr>
                <w:rFonts w:hint="cs"/>
                <w:rtl/>
              </w:rPr>
              <w:t>،</w:t>
            </w:r>
            <w:r w:rsidRPr="00630749">
              <w:rPr>
                <w:rtl/>
              </w:rPr>
              <w:t xml:space="preserve"> بأن المشروع قد أدى إلى تنمية المهارات في إدارة و/أو توفير الخدمات المتعلقة بالاختراعات المدرجة في الملك العام.</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5F03AF" w:rsidRPr="00630749" w:rsidRDefault="00D51B67" w:rsidP="0037779A">
            <w:r w:rsidRPr="00630749">
              <w:rPr>
                <w:rFonts w:hint="cs"/>
                <w:rtl/>
              </w:rPr>
              <w:t xml:space="preserve">قدمت </w:t>
            </w:r>
            <w:r w:rsidR="00A80934" w:rsidRPr="00630749">
              <w:rPr>
                <w:rtl/>
              </w:rPr>
              <w:t xml:space="preserve">المساعدة التقنية لمراكز دعم التكنولوجيا والابتكار </w:t>
            </w:r>
            <w:r w:rsidRPr="00630749">
              <w:rPr>
                <w:rFonts w:hint="cs"/>
                <w:rtl/>
              </w:rPr>
              <w:t xml:space="preserve">المختارة بهدف </w:t>
            </w:r>
            <w:r w:rsidR="00A80934" w:rsidRPr="00630749">
              <w:rPr>
                <w:rtl/>
              </w:rPr>
              <w:t xml:space="preserve">دعمها في </w:t>
            </w:r>
            <w:r w:rsidR="00A80934" w:rsidRPr="00630749">
              <w:rPr>
                <w:rFonts w:hint="cs"/>
                <w:rtl/>
              </w:rPr>
              <w:t>تنمية</w:t>
            </w:r>
            <w:r w:rsidR="00A80934" w:rsidRPr="00630749">
              <w:rPr>
                <w:rtl/>
              </w:rPr>
              <w:t xml:space="preserve"> هذه المهارات</w:t>
            </w:r>
            <w:r w:rsidRPr="00630749">
              <w:rPr>
                <w:rFonts w:hint="cs"/>
                <w:rtl/>
              </w:rPr>
              <w:t xml:space="preserve">، </w:t>
            </w:r>
            <w:r w:rsidR="002D68EB">
              <w:rPr>
                <w:rFonts w:hint="cs"/>
                <w:rtl/>
              </w:rPr>
              <w:t xml:space="preserve">ابتداء </w:t>
            </w:r>
            <w:r w:rsidRPr="00630749">
              <w:rPr>
                <w:rFonts w:hint="cs"/>
                <w:rtl/>
              </w:rPr>
              <w:t xml:space="preserve">من </w:t>
            </w:r>
            <w:r w:rsidR="00A80934" w:rsidRPr="00630749">
              <w:rPr>
                <w:rtl/>
              </w:rPr>
              <w:t>النصف الثاني من عام 2018</w:t>
            </w:r>
            <w:r w:rsidRPr="00630749">
              <w:rPr>
                <w:rFonts w:hint="cs"/>
                <w:rtl/>
              </w:rPr>
              <w:t xml:space="preserve">، </w:t>
            </w:r>
            <w:r w:rsidR="002D68EB">
              <w:rPr>
                <w:rFonts w:hint="cs"/>
                <w:rtl/>
              </w:rPr>
              <w:t xml:space="preserve">وإلى حدود </w:t>
            </w:r>
            <w:r w:rsidRPr="00630749">
              <w:rPr>
                <w:rFonts w:hint="cs"/>
                <w:rtl/>
              </w:rPr>
              <w:t>يونيو 2019</w:t>
            </w:r>
            <w:r w:rsidR="00A80934" w:rsidRPr="00630749">
              <w:rPr>
                <w:rtl/>
              </w:rPr>
              <w:t xml:space="preserve">. </w:t>
            </w:r>
            <w:r w:rsidRPr="00630749">
              <w:rPr>
                <w:rFonts w:hint="cs"/>
                <w:rtl/>
              </w:rPr>
              <w:t>وقد أفاد 99.6% من المشاركين أن حلقات العمل نجحت في بناء معارفهم ومهاراتهم.</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80934" w:rsidRPr="00630749" w:rsidRDefault="00A80934" w:rsidP="00A80934">
            <w:r w:rsidRPr="00630749">
              <w:rPr>
                <w:rtl/>
              </w:rPr>
              <w:t>*</w:t>
            </w:r>
            <w:r w:rsidR="0079540D" w:rsidRPr="00630749">
              <w:rPr>
                <w:rFonts w:hint="cs"/>
                <w:rtl/>
              </w:rPr>
              <w:t>**</w:t>
            </w:r>
            <w:r w:rsidRPr="00630749">
              <w:rPr>
                <w:rtl/>
              </w:rPr>
              <w:t>*</w:t>
            </w:r>
          </w:p>
        </w:tc>
      </w:tr>
    </w:tbl>
    <w:p w:rsidR="00326C21" w:rsidRPr="00630749" w:rsidRDefault="00326C21" w:rsidP="00326C21"/>
    <w:tbl>
      <w:tblPr>
        <w:bidiVisual/>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326C21" w:rsidRPr="00630749" w:rsidTr="00A454A7">
        <w:trPr>
          <w:trHeight w:val="616"/>
        </w:trPr>
        <w:tc>
          <w:tcPr>
            <w:tcW w:w="2410" w:type="dxa"/>
            <w:shd w:val="clear" w:color="auto" w:fill="auto"/>
          </w:tcPr>
          <w:p w:rsidR="00326C21" w:rsidRPr="00630749" w:rsidRDefault="00326C21" w:rsidP="00A454A7">
            <w:pPr>
              <w:rPr>
                <w:b/>
                <w:u w:val="single"/>
              </w:rPr>
            </w:pPr>
            <w:r w:rsidRPr="00630749">
              <w:rPr>
                <w:b/>
                <w:u w:val="single"/>
                <w:rtl/>
              </w:rPr>
              <w:t>أهداف المشروع</w:t>
            </w:r>
          </w:p>
        </w:tc>
        <w:tc>
          <w:tcPr>
            <w:tcW w:w="2694" w:type="dxa"/>
            <w:shd w:val="clear" w:color="auto" w:fill="auto"/>
          </w:tcPr>
          <w:p w:rsidR="00326C21" w:rsidRPr="0037779A" w:rsidRDefault="00326C21" w:rsidP="0037779A">
            <w:pPr>
              <w:rPr>
                <w:b/>
                <w:u w:val="single"/>
              </w:rPr>
            </w:pPr>
            <w:r w:rsidRPr="00630749">
              <w:rPr>
                <w:b/>
                <w:u w:val="single"/>
                <w:rtl/>
              </w:rPr>
              <w:t>مؤشرات النجاح في تحقيق أهداف المشروع (مؤشرات النتائج)</w:t>
            </w:r>
          </w:p>
        </w:tc>
        <w:tc>
          <w:tcPr>
            <w:tcW w:w="3402" w:type="dxa"/>
            <w:shd w:val="clear" w:color="auto" w:fill="auto"/>
          </w:tcPr>
          <w:p w:rsidR="00326C21" w:rsidRPr="00630749" w:rsidRDefault="00326C21" w:rsidP="00A454A7">
            <w:pPr>
              <w:rPr>
                <w:b/>
                <w:u w:val="single"/>
              </w:rPr>
            </w:pPr>
            <w:r w:rsidRPr="00630749">
              <w:rPr>
                <w:b/>
                <w:u w:val="single"/>
                <w:rtl/>
              </w:rPr>
              <w:t>بيانات الأداء</w:t>
            </w:r>
          </w:p>
        </w:tc>
        <w:tc>
          <w:tcPr>
            <w:tcW w:w="850" w:type="dxa"/>
            <w:shd w:val="clear" w:color="auto" w:fill="auto"/>
          </w:tcPr>
          <w:p w:rsidR="00326C21" w:rsidRPr="00630749" w:rsidRDefault="00326C21" w:rsidP="00A454A7">
            <w:pPr>
              <w:keepNext/>
              <w:spacing w:after="240" w:line="360" w:lineRule="exact"/>
              <w:outlineLvl w:val="2"/>
              <w:rPr>
                <w:b/>
                <w:u w:val="single"/>
                <w:lang w:bidi="ar-EG"/>
              </w:rPr>
            </w:pPr>
            <w:r w:rsidRPr="00630749">
              <w:rPr>
                <w:b/>
                <w:u w:val="single"/>
                <w:rtl/>
                <w:lang w:bidi="ar-EG"/>
              </w:rPr>
              <w:t>نظام إشارات السير</w:t>
            </w:r>
          </w:p>
        </w:tc>
      </w:tr>
      <w:tr w:rsidR="001F6D4E" w:rsidRPr="00630749" w:rsidTr="00A454A7">
        <w:trPr>
          <w:trHeight w:val="509"/>
        </w:trPr>
        <w:tc>
          <w:tcPr>
            <w:tcW w:w="2410" w:type="dxa"/>
            <w:shd w:val="clear" w:color="auto" w:fill="auto"/>
          </w:tcPr>
          <w:p w:rsidR="001F6D4E" w:rsidRPr="00630749" w:rsidRDefault="001F6D4E" w:rsidP="001F6D4E">
            <w:pPr>
              <w:rPr>
                <w:b/>
              </w:rPr>
            </w:pPr>
            <w:r w:rsidRPr="00630749">
              <w:rPr>
                <w:rFonts w:hint="cs"/>
                <w:b/>
                <w:rtl/>
              </w:rPr>
              <w:t xml:space="preserve">1. </w:t>
            </w:r>
            <w:r w:rsidRPr="00630749">
              <w:rPr>
                <w:b/>
                <w:rtl/>
              </w:rPr>
              <w:t>تيسير نفاذ البلدان النامية والبلدان الأقل نمواً إلى المعارف والتكنولوجيا ومساعدة الدول الأعضاء المهتمة على تحديد واستخدام الموضوع الموجود في الملك العام أو الموضوع الذي آل إلى الملك العام ضمن ولاياتها القضائية</w:t>
            </w:r>
          </w:p>
          <w:p w:rsidR="001F6D4E" w:rsidRPr="00630749" w:rsidRDefault="001F6D4E" w:rsidP="001F6D4E">
            <w:pPr>
              <w:rPr>
                <w:bCs/>
              </w:rPr>
            </w:pPr>
          </w:p>
        </w:tc>
        <w:tc>
          <w:tcPr>
            <w:tcW w:w="2694" w:type="dxa"/>
            <w:shd w:val="clear" w:color="auto" w:fill="auto"/>
          </w:tcPr>
          <w:p w:rsidR="001F6D4E" w:rsidRDefault="001F6D4E" w:rsidP="001F6D4E">
            <w:r w:rsidRPr="00630749">
              <w:rPr>
                <w:rtl/>
              </w:rPr>
              <w:t xml:space="preserve">تمكّن ما لا يقل عن ستة مراكز على مستوى مختلف الشبكات الوطنية لمراكز دعم التكنولوجيا والابتكار من </w:t>
            </w:r>
            <w:r w:rsidRPr="00630749">
              <w:rPr>
                <w:rFonts w:hint="cs"/>
                <w:rtl/>
              </w:rPr>
              <w:t>إقامة</w:t>
            </w:r>
            <w:r w:rsidRPr="00630749">
              <w:rPr>
                <w:rtl/>
              </w:rPr>
              <w:t xml:space="preserve"> خدمات لتحديد الاختراعات الموجودة في الملك العام.</w:t>
            </w:r>
          </w:p>
          <w:p w:rsidR="0037779A" w:rsidRPr="00630749" w:rsidRDefault="0037779A" w:rsidP="001F6D4E"/>
          <w:p w:rsidR="001F6D4E" w:rsidRPr="00630749" w:rsidRDefault="001F6D4E" w:rsidP="001F6D4E">
            <w:r w:rsidRPr="00630749">
              <w:rPr>
                <w:rtl/>
              </w:rPr>
              <w:t xml:space="preserve">وتمكّن ما لا يقل عن أربعة مراكز على مستوى مختلف الشبكات الوطنية لمراكز دعم التكنولوجيا والابتكار من </w:t>
            </w:r>
            <w:r w:rsidRPr="00630749">
              <w:rPr>
                <w:rFonts w:hint="cs"/>
                <w:rtl/>
              </w:rPr>
              <w:t>إقامة</w:t>
            </w:r>
            <w:r w:rsidRPr="00630749">
              <w:rPr>
                <w:rtl/>
              </w:rPr>
              <w:t xml:space="preserve"> خدمات لدعم استخدام الاختراعات الموجودة في الملك العام.</w:t>
            </w:r>
          </w:p>
          <w:p w:rsidR="002D68EB" w:rsidRPr="00630749" w:rsidRDefault="001F6D4E" w:rsidP="0037779A">
            <w:r w:rsidRPr="00630749">
              <w:rPr>
                <w:rtl/>
              </w:rPr>
              <w:t>وزاد عدد المستخدمين على مستوى مختلف الشبكات الوطنية لمراكز دعم التكنولوجيا والابتكار الذين استطاعوا تحديد المعلومات الموجودة في الملك العام واستخدامها.</w:t>
            </w:r>
          </w:p>
        </w:tc>
        <w:tc>
          <w:tcPr>
            <w:tcW w:w="3402" w:type="dxa"/>
            <w:shd w:val="clear" w:color="auto" w:fill="auto"/>
          </w:tcPr>
          <w:p w:rsidR="001F6D4E" w:rsidRDefault="004A48D2" w:rsidP="001F6D4E">
            <w:r w:rsidRPr="00630749">
              <w:rPr>
                <w:rFonts w:hint="cs"/>
                <w:rtl/>
              </w:rPr>
              <w:t>تلقت تسعة مراكز دعم التكنولوجيا والابتكار تدريبا على الدليلين بهدف دعم تطوير المعارف والمهارات في تلك المراكز بشأن تحديد واستخدام الاختراعات الموجودة في الملك العام، باستخدام النهج والأدوات المبينة في الدليلين.</w:t>
            </w:r>
          </w:p>
          <w:p w:rsidR="0037779A" w:rsidRPr="00630749" w:rsidRDefault="0037779A" w:rsidP="001F6D4E">
            <w:pPr>
              <w:rPr>
                <w:rtl/>
              </w:rPr>
            </w:pPr>
          </w:p>
          <w:p w:rsidR="004A48D2" w:rsidRDefault="004A48D2" w:rsidP="001F6D4E">
            <w:pPr>
              <w:rPr>
                <w:rtl/>
              </w:rPr>
            </w:pPr>
            <w:r w:rsidRPr="00630749">
              <w:rPr>
                <w:rFonts w:hint="cs"/>
                <w:rtl/>
              </w:rPr>
              <w:t xml:space="preserve">وستحتاج مراكز دعم التكنولوجيا والابتكار إلى مزيد التدريب والدعم من أجل استيعاب ودمج المعارف والمهارات المكتسبة خلال حلقات العمل </w:t>
            </w:r>
            <w:r w:rsidR="00C13A50" w:rsidRPr="00630749">
              <w:rPr>
                <w:rFonts w:hint="cs"/>
                <w:rtl/>
              </w:rPr>
              <w:t>وتطوير الخدمات الجديدة لمراكز دعم التكنولوجيا والابتكار في هذا المجال.</w:t>
            </w:r>
          </w:p>
          <w:p w:rsidR="002D68EB" w:rsidRPr="00630749" w:rsidRDefault="002D68EB" w:rsidP="001F6D4E"/>
        </w:tc>
        <w:tc>
          <w:tcPr>
            <w:tcW w:w="850" w:type="dxa"/>
            <w:shd w:val="clear" w:color="auto" w:fill="auto"/>
          </w:tcPr>
          <w:p w:rsidR="001F6D4E" w:rsidRPr="00630749" w:rsidRDefault="00CA43C0" w:rsidP="001F6D4E">
            <w:r w:rsidRPr="00630749">
              <w:rPr>
                <w:rFonts w:hint="cs"/>
                <w:rtl/>
              </w:rPr>
              <w:t>***</w:t>
            </w:r>
          </w:p>
        </w:tc>
      </w:tr>
    </w:tbl>
    <w:p w:rsidR="000D7E81" w:rsidRPr="000D7E81" w:rsidRDefault="00326C21" w:rsidP="0037779A">
      <w:pPr>
        <w:pStyle w:val="Endofdocument-Annex"/>
        <w:rPr>
          <w:rtl/>
        </w:rPr>
      </w:pPr>
      <w:r w:rsidRPr="00630749">
        <w:rPr>
          <w:rFonts w:hint="cs"/>
          <w:rtl/>
        </w:rPr>
        <w:t>[</w:t>
      </w:r>
      <w:r w:rsidR="00160EDE" w:rsidRPr="00630749">
        <w:rPr>
          <w:rFonts w:hint="cs"/>
          <w:rtl/>
        </w:rPr>
        <w:t>نهاية المرفق والوثيقة</w:t>
      </w:r>
      <w:r w:rsidRPr="00630749">
        <w:rPr>
          <w:rFonts w:hint="cs"/>
          <w:rtl/>
        </w:rPr>
        <w:t>]</w:t>
      </w:r>
    </w:p>
    <w:sectPr w:rsidR="000D7E81" w:rsidRPr="000D7E81" w:rsidSect="003E73D1">
      <w:headerReference w:type="even" r:id="rId14"/>
      <w:headerReference w:type="default" r:id="rId15"/>
      <w:footerReference w:type="even" r:id="rId16"/>
      <w:footerReference w:type="default" r:id="rId17"/>
      <w:headerReference w:type="first" r:id="rId18"/>
      <w:footerReference w:type="first" r:id="rId19"/>
      <w:pgSz w:w="11907" w:h="16840" w:code="9"/>
      <w:pgMar w:top="992" w:right="1418" w:bottom="1440" w:left="1418" w:header="510" w:footer="1021" w:gutter="0"/>
      <w:pgNumType w:start="1"/>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CCA" w:rsidRDefault="00FF0CCA">
      <w:r>
        <w:separator/>
      </w:r>
    </w:p>
  </w:endnote>
  <w:endnote w:type="continuationSeparator" w:id="0">
    <w:p w:rsidR="00FF0CCA" w:rsidRDefault="00FF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A6" w:rsidRDefault="000A2DA6" w:rsidP="000A2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A6" w:rsidRDefault="000A2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A6" w:rsidRDefault="000A2DA6" w:rsidP="000A2D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A6" w:rsidRDefault="000A2D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A6" w:rsidRDefault="000A2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CCA" w:rsidRDefault="00FF0CCA" w:rsidP="009622BF">
      <w:bookmarkStart w:id="0" w:name="OLE_LINK1"/>
      <w:bookmarkStart w:id="1" w:name="OLE_LINK2"/>
      <w:r>
        <w:separator/>
      </w:r>
      <w:bookmarkEnd w:id="0"/>
      <w:bookmarkEnd w:id="1"/>
    </w:p>
  </w:footnote>
  <w:footnote w:type="continuationSeparator" w:id="0">
    <w:p w:rsidR="00FF0CCA" w:rsidRDefault="00FF0CCA" w:rsidP="009622BF">
      <w:r>
        <w:separator/>
      </w:r>
    </w:p>
  </w:footnote>
  <w:footnote w:id="1">
    <w:p w:rsidR="00AE39FF" w:rsidRDefault="00AE39FF" w:rsidP="00326C21">
      <w:pPr>
        <w:pStyle w:val="FootnoteText"/>
      </w:pPr>
      <w:r>
        <w:rPr>
          <w:rStyle w:val="FootnoteReference"/>
        </w:rPr>
        <w:footnoteRef/>
      </w:r>
      <w:r>
        <w:rPr>
          <w:rtl/>
        </w:rPr>
        <w:t xml:space="preserve"> وفقًا </w:t>
      </w:r>
      <w:r w:rsidR="002D11F6">
        <w:rPr>
          <w:rFonts w:hint="cs"/>
          <w:rtl/>
        </w:rPr>
        <w:t xml:space="preserve">لوثيقة المشروع الأصلية، وما ورد في الصفحة 5 في مرفق الوثيقة </w:t>
      </w:r>
      <w:r w:rsidR="002D11F6" w:rsidRPr="002D11F6">
        <w:t>CDIP/16/4 Rev</w:t>
      </w:r>
      <w:r w:rsidR="002D11F6" w:rsidRPr="002D11F6">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A6" w:rsidRDefault="000A2DA6" w:rsidP="000A2DA6">
    <w:pPr>
      <w:bidi w:val="0"/>
      <w:rPr>
        <w:rtl/>
      </w:rPr>
    </w:pPr>
    <w:r>
      <w:t>CDIP/24/3</w:t>
    </w:r>
  </w:p>
  <w:p w:rsidR="000A2DA6" w:rsidRDefault="000A2DA6" w:rsidP="000A2DA6">
    <w:pPr>
      <w:bidi w:val="0"/>
      <w:rPr>
        <w:rFonts w:ascii="Arial" w:hAnsi="Arial" w:cs="Arial"/>
        <w:sz w:val="22"/>
        <w:szCs w:val="22"/>
      </w:rPr>
    </w:pPr>
    <w:r>
      <w:rPr>
        <w:rFonts w:ascii="Arial" w:hAnsi="Arial" w:cs="Arial" w:hint="cs"/>
        <w:sz w:val="22"/>
        <w:szCs w:val="22"/>
        <w:rtl/>
      </w:rPr>
      <w:t xml:space="preserve">المرفق، الصفحة </w:t>
    </w: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2</w:t>
    </w:r>
    <w:r w:rsidRPr="00C50A61">
      <w:rPr>
        <w:rFonts w:ascii="Arial" w:hAnsi="Arial" w:cs="Arial"/>
        <w:sz w:val="22"/>
        <w:szCs w:val="22"/>
      </w:rPr>
      <w:fldChar w:fldCharType="end"/>
    </w:r>
  </w:p>
  <w:p w:rsidR="000A2DA6" w:rsidRPr="00C50A61" w:rsidRDefault="000A2DA6" w:rsidP="000A2DA6">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9FF" w:rsidRDefault="00AE39FF" w:rsidP="0023693F">
    <w:pPr>
      <w:bidi w:val="0"/>
      <w:rPr>
        <w:rtl/>
      </w:rPr>
    </w:pPr>
    <w:r>
      <w:t>CDIP/24/3</w:t>
    </w:r>
  </w:p>
  <w:p w:rsidR="00AE39FF" w:rsidRDefault="00AE39FF" w:rsidP="00326C21">
    <w:pPr>
      <w:bidi w:val="0"/>
      <w:rPr>
        <w:rFonts w:ascii="Arial" w:hAnsi="Arial" w:cs="Arial"/>
        <w:sz w:val="22"/>
        <w:szCs w:val="22"/>
      </w:rPr>
    </w:pPr>
    <w:r>
      <w:rPr>
        <w:rFonts w:ascii="Arial" w:hAnsi="Arial" w:cs="Arial" w:hint="cs"/>
        <w:sz w:val="22"/>
        <w:szCs w:val="22"/>
        <w:rtl/>
      </w:rPr>
      <w:t xml:space="preserve">المرفق، الصفحة </w:t>
    </w: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2</w:t>
    </w:r>
    <w:r w:rsidRPr="00C50A61">
      <w:rPr>
        <w:rFonts w:ascii="Arial" w:hAnsi="Arial" w:cs="Arial"/>
        <w:sz w:val="22"/>
        <w:szCs w:val="22"/>
      </w:rPr>
      <w:fldChar w:fldCharType="end"/>
    </w:r>
  </w:p>
  <w:p w:rsidR="00AE39FF" w:rsidRPr="00C50A61" w:rsidRDefault="00AE39FF"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3D1" w:rsidRPr="003E73D1" w:rsidRDefault="003E73D1" w:rsidP="003E73D1">
    <w:pPr>
      <w:pStyle w:val="Header"/>
      <w:bidi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A6" w:rsidRDefault="000A2DA6" w:rsidP="000A2DA6">
    <w:pPr>
      <w:bidi w:val="0"/>
      <w:rPr>
        <w:rFonts w:ascii="Arial" w:hAnsi="Arial" w:cs="Arial"/>
        <w:sz w:val="22"/>
        <w:szCs w:val="22"/>
        <w:rtl/>
      </w:rPr>
    </w:pPr>
    <w:r>
      <w:rPr>
        <w:rFonts w:ascii="Arial" w:hAnsi="Arial" w:cs="Arial"/>
        <w:sz w:val="22"/>
        <w:szCs w:val="22"/>
      </w:rPr>
      <w:t>CDIP/2</w:t>
    </w:r>
    <w:r>
      <w:rPr>
        <w:rFonts w:ascii="Arial" w:hAnsi="Arial" w:cs="Arial" w:hint="cs"/>
        <w:sz w:val="22"/>
        <w:szCs w:val="22"/>
        <w:rtl/>
      </w:rPr>
      <w:t>4</w:t>
    </w:r>
    <w:r>
      <w:rPr>
        <w:rFonts w:ascii="Arial" w:hAnsi="Arial" w:cs="Arial"/>
        <w:sz w:val="22"/>
        <w:szCs w:val="22"/>
      </w:rPr>
      <w:t>/3</w:t>
    </w:r>
  </w:p>
  <w:p w:rsidR="000A2DA6" w:rsidRPr="003E73D1" w:rsidRDefault="000A2DA6" w:rsidP="000A2DA6">
    <w:pPr>
      <w:bidi w:val="0"/>
      <w:rPr>
        <w:rFonts w:ascii="Arial" w:hAnsi="Arial" w:cs="Arial"/>
        <w:sz w:val="22"/>
        <w:szCs w:val="22"/>
      </w:rPr>
    </w:pPr>
    <w:r>
      <w:rPr>
        <w:rFonts w:ascii="Arial" w:hAnsi="Arial" w:cs="Arial"/>
        <w:sz w:val="22"/>
        <w:szCs w:val="22"/>
      </w:rPr>
      <w:t>Annex</w:t>
    </w:r>
  </w:p>
  <w:p w:rsidR="000A2DA6" w:rsidRDefault="000A2DA6" w:rsidP="000A2DA6">
    <w:pPr>
      <w:bidi w:val="0"/>
      <w:rPr>
        <w:rFonts w:ascii="Arial" w:hAnsi="Arial" w:cs="Arial"/>
        <w:noProof/>
        <w:sz w:val="22"/>
        <w:szCs w:val="22"/>
      </w:rPr>
    </w:pPr>
    <w:r w:rsidRPr="003E73D1">
      <w:rPr>
        <w:rFonts w:ascii="Arial" w:hAnsi="Arial" w:cs="Arial"/>
        <w:sz w:val="22"/>
        <w:szCs w:val="22"/>
      </w:rPr>
      <w:fldChar w:fldCharType="begin"/>
    </w:r>
    <w:r w:rsidRPr="003E73D1">
      <w:rPr>
        <w:rFonts w:ascii="Arial" w:hAnsi="Arial" w:cs="Arial"/>
        <w:sz w:val="22"/>
        <w:szCs w:val="22"/>
      </w:rPr>
      <w:instrText xml:space="preserve"> PAGE   \* MERGEFORMAT </w:instrText>
    </w:r>
    <w:r w:rsidRPr="003E73D1">
      <w:rPr>
        <w:rFonts w:ascii="Arial" w:hAnsi="Arial" w:cs="Arial"/>
        <w:sz w:val="22"/>
        <w:szCs w:val="22"/>
      </w:rPr>
      <w:fldChar w:fldCharType="separate"/>
    </w:r>
    <w:r w:rsidR="002D49CA">
      <w:rPr>
        <w:rFonts w:ascii="Arial" w:hAnsi="Arial" w:cs="Arial"/>
        <w:noProof/>
        <w:sz w:val="22"/>
        <w:szCs w:val="22"/>
      </w:rPr>
      <w:t>10</w:t>
    </w:r>
    <w:r w:rsidRPr="003E73D1">
      <w:rPr>
        <w:rFonts w:ascii="Arial" w:hAnsi="Arial" w:cs="Arial"/>
        <w:noProof/>
        <w:sz w:val="22"/>
        <w:szCs w:val="22"/>
      </w:rPr>
      <w:fldChar w:fldCharType="end"/>
    </w:r>
  </w:p>
  <w:p w:rsidR="000A2DA6" w:rsidRPr="00C50A61" w:rsidRDefault="000A2DA6" w:rsidP="000A2DA6">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9FF" w:rsidRDefault="00AE39FF" w:rsidP="007B272D">
    <w:pPr>
      <w:bidi w:val="0"/>
      <w:rPr>
        <w:rFonts w:ascii="Arial" w:hAnsi="Arial" w:cs="Arial"/>
        <w:sz w:val="22"/>
        <w:szCs w:val="22"/>
        <w:rtl/>
      </w:rPr>
    </w:pPr>
    <w:bookmarkStart w:id="5" w:name="Code3"/>
    <w:bookmarkEnd w:id="5"/>
    <w:r>
      <w:rPr>
        <w:rFonts w:ascii="Arial" w:hAnsi="Arial" w:cs="Arial"/>
        <w:sz w:val="22"/>
        <w:szCs w:val="22"/>
      </w:rPr>
      <w:t>C</w:t>
    </w:r>
    <w:r w:rsidR="003E73D1">
      <w:rPr>
        <w:rFonts w:ascii="Arial" w:hAnsi="Arial" w:cs="Arial"/>
        <w:sz w:val="22"/>
        <w:szCs w:val="22"/>
      </w:rPr>
      <w:t>DIP/2</w:t>
    </w:r>
    <w:r w:rsidR="003E73D1">
      <w:rPr>
        <w:rFonts w:ascii="Arial" w:hAnsi="Arial" w:cs="Arial" w:hint="cs"/>
        <w:sz w:val="22"/>
        <w:szCs w:val="22"/>
        <w:rtl/>
      </w:rPr>
      <w:t>4</w:t>
    </w:r>
    <w:r w:rsidR="007B272D">
      <w:rPr>
        <w:rFonts w:ascii="Arial" w:hAnsi="Arial" w:cs="Arial"/>
        <w:sz w:val="22"/>
        <w:szCs w:val="22"/>
      </w:rPr>
      <w:t>/3</w:t>
    </w:r>
  </w:p>
  <w:p w:rsidR="003E73D1" w:rsidRPr="003E73D1" w:rsidRDefault="003E73D1" w:rsidP="003E73D1">
    <w:pPr>
      <w:bidi w:val="0"/>
      <w:rPr>
        <w:rFonts w:ascii="Arial" w:hAnsi="Arial" w:cs="Arial"/>
        <w:sz w:val="22"/>
        <w:szCs w:val="22"/>
      </w:rPr>
    </w:pPr>
    <w:r>
      <w:rPr>
        <w:rFonts w:ascii="Arial" w:hAnsi="Arial" w:cs="Arial"/>
        <w:sz w:val="22"/>
        <w:szCs w:val="22"/>
      </w:rPr>
      <w:t>Annex</w:t>
    </w:r>
  </w:p>
  <w:p w:rsidR="00AE39FF" w:rsidRDefault="003E73D1" w:rsidP="0023693F">
    <w:pPr>
      <w:bidi w:val="0"/>
      <w:rPr>
        <w:rFonts w:ascii="Arial" w:hAnsi="Arial" w:cs="Arial"/>
        <w:noProof/>
        <w:sz w:val="22"/>
        <w:szCs w:val="22"/>
      </w:rPr>
    </w:pPr>
    <w:r w:rsidRPr="003E73D1">
      <w:rPr>
        <w:rFonts w:ascii="Arial" w:hAnsi="Arial" w:cs="Arial"/>
        <w:sz w:val="22"/>
        <w:szCs w:val="22"/>
      </w:rPr>
      <w:fldChar w:fldCharType="begin"/>
    </w:r>
    <w:r w:rsidRPr="003E73D1">
      <w:rPr>
        <w:rFonts w:ascii="Arial" w:hAnsi="Arial" w:cs="Arial"/>
        <w:sz w:val="22"/>
        <w:szCs w:val="22"/>
      </w:rPr>
      <w:instrText xml:space="preserve"> PAGE   \* MERGEFORMAT </w:instrText>
    </w:r>
    <w:r w:rsidRPr="003E73D1">
      <w:rPr>
        <w:rFonts w:ascii="Arial" w:hAnsi="Arial" w:cs="Arial"/>
        <w:sz w:val="22"/>
        <w:szCs w:val="22"/>
      </w:rPr>
      <w:fldChar w:fldCharType="separate"/>
    </w:r>
    <w:r w:rsidR="002D49CA">
      <w:rPr>
        <w:rFonts w:ascii="Arial" w:hAnsi="Arial" w:cs="Arial"/>
        <w:noProof/>
        <w:sz w:val="22"/>
        <w:szCs w:val="22"/>
      </w:rPr>
      <w:t>11</w:t>
    </w:r>
    <w:r w:rsidRPr="003E73D1">
      <w:rPr>
        <w:rFonts w:ascii="Arial" w:hAnsi="Arial" w:cs="Arial"/>
        <w:noProof/>
        <w:sz w:val="22"/>
        <w:szCs w:val="22"/>
      </w:rPr>
      <w:fldChar w:fldCharType="end"/>
    </w:r>
  </w:p>
  <w:p w:rsidR="003E73D1" w:rsidRPr="00C50A61" w:rsidRDefault="003E73D1" w:rsidP="003E73D1">
    <w:pPr>
      <w:bidi w:val="0"/>
      <w:rPr>
        <w:rFonts w:ascii="Arial" w:hAnsi="Arial"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3D1" w:rsidRDefault="003E73D1" w:rsidP="003E73D1">
    <w:pPr>
      <w:pStyle w:val="Header"/>
      <w:bidi w:val="0"/>
      <w:rPr>
        <w:rFonts w:asciiTheme="minorBidi" w:hAnsiTheme="minorBidi" w:cstheme="minorBidi"/>
        <w:sz w:val="22"/>
        <w:szCs w:val="22"/>
        <w:lang w:val="fr-FR"/>
      </w:rPr>
    </w:pPr>
    <w:r w:rsidRPr="003E73D1">
      <w:rPr>
        <w:rFonts w:asciiTheme="minorBidi" w:hAnsiTheme="minorBidi" w:cstheme="minorBidi"/>
        <w:sz w:val="22"/>
        <w:szCs w:val="22"/>
        <w:lang w:val="fr-FR"/>
      </w:rPr>
      <w:t>CDIP/24/3</w:t>
    </w:r>
  </w:p>
  <w:p w:rsidR="003E73D1" w:rsidRDefault="003E73D1" w:rsidP="003E73D1">
    <w:pPr>
      <w:pStyle w:val="Header"/>
      <w:bidi w:val="0"/>
      <w:rPr>
        <w:rFonts w:asciiTheme="minorBidi" w:hAnsiTheme="minorBidi" w:cstheme="minorBidi"/>
        <w:sz w:val="22"/>
        <w:szCs w:val="22"/>
      </w:rPr>
    </w:pPr>
    <w:r>
      <w:rPr>
        <w:rFonts w:asciiTheme="minorBidi" w:hAnsiTheme="minorBidi" w:cstheme="minorBidi"/>
        <w:sz w:val="22"/>
        <w:szCs w:val="22"/>
      </w:rPr>
      <w:t>ANNEX</w:t>
    </w:r>
  </w:p>
  <w:p w:rsidR="003E73D1" w:rsidRPr="003E73D1" w:rsidRDefault="003E73D1" w:rsidP="003E73D1">
    <w:pPr>
      <w:pStyle w:val="Header"/>
      <w:bidi w:val="0"/>
      <w:rPr>
        <w:rtl/>
      </w:rPr>
    </w:pPr>
    <w:r w:rsidRPr="003E73D1">
      <w:rPr>
        <w:rtl/>
      </w:rPr>
      <w:t>المرفق</w:t>
    </w:r>
  </w:p>
  <w:p w:rsidR="003E73D1" w:rsidRPr="003E73D1" w:rsidRDefault="003E73D1" w:rsidP="003E73D1">
    <w:pPr>
      <w:pStyle w:val="Header"/>
      <w:bidi w:val="0"/>
      <w:rPr>
        <w:rFonts w:asciiTheme="minorBidi" w:hAnsiTheme="minorBidi" w:cstheme="minorBidi"/>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1666779"/>
    <w:multiLevelType w:val="hybridMultilevel"/>
    <w:tmpl w:val="8F40F726"/>
    <w:lvl w:ilvl="0" w:tplc="7B5E4F56">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2BA3D87"/>
    <w:multiLevelType w:val="hybridMultilevel"/>
    <w:tmpl w:val="3476DBF6"/>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E7C12"/>
    <w:multiLevelType w:val="hybridMultilevel"/>
    <w:tmpl w:val="858A91E6"/>
    <w:lvl w:ilvl="0" w:tplc="A6A46DD6">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2B58F2"/>
    <w:multiLevelType w:val="hybridMultilevel"/>
    <w:tmpl w:val="FF02A842"/>
    <w:lvl w:ilvl="0" w:tplc="C4405AA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6465E82"/>
    <w:multiLevelType w:val="hybridMultilevel"/>
    <w:tmpl w:val="B10ED94E"/>
    <w:lvl w:ilvl="0" w:tplc="0C92BC1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5" w15:restartNumberingAfterBreak="0">
    <w:nsid w:val="14EE2F6F"/>
    <w:multiLevelType w:val="hybridMultilevel"/>
    <w:tmpl w:val="EF82E47E"/>
    <w:lvl w:ilvl="0" w:tplc="4A2E1716">
      <w:start w:val="5"/>
      <w:numFmt w:val="arabicAlpha"/>
      <w:lvlText w:val="%1)"/>
      <w:lvlJc w:val="left"/>
      <w:pPr>
        <w:ind w:left="720" w:hanging="360"/>
      </w:pPr>
      <w:rPr>
        <w:rFonts w:ascii="Arabic Typesetting" w:hAnsi="Arabic Typesetting" w:cs="Arabic Typesetting" w:hint="default"/>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706039A"/>
    <w:multiLevelType w:val="hybridMultilevel"/>
    <w:tmpl w:val="14EE6186"/>
    <w:lvl w:ilvl="0" w:tplc="8278A0BC">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9414A1"/>
    <w:multiLevelType w:val="hybridMultilevel"/>
    <w:tmpl w:val="3FACF4FA"/>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D00D40"/>
    <w:multiLevelType w:val="hybridMultilevel"/>
    <w:tmpl w:val="189A4D48"/>
    <w:lvl w:ilvl="0" w:tplc="29BA14CC">
      <w:start w:val="1"/>
      <w:numFmt w:val="arabicAbjad"/>
      <w:lvlText w:val="%1)"/>
      <w:lvlJc w:val="left"/>
      <w:pPr>
        <w:ind w:left="720" w:hanging="360"/>
      </w:pPr>
      <w:rPr>
        <w:rFonts w:ascii="Arabic Typesetting" w:eastAsia="Times New Roman" w:hAnsi="Arabic Typesetting" w:cs="Arabic Typesetting"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A36639"/>
    <w:multiLevelType w:val="hybridMultilevel"/>
    <w:tmpl w:val="7ED08D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3DB4850"/>
    <w:multiLevelType w:val="hybridMultilevel"/>
    <w:tmpl w:val="189A4D48"/>
    <w:lvl w:ilvl="0" w:tplc="29BA14CC">
      <w:start w:val="1"/>
      <w:numFmt w:val="arabicAbjad"/>
      <w:lvlText w:val="%1)"/>
      <w:lvlJc w:val="left"/>
      <w:pPr>
        <w:ind w:left="720" w:hanging="360"/>
      </w:pPr>
      <w:rPr>
        <w:rFonts w:ascii="Arabic Typesetting" w:eastAsia="Times New Roman" w:hAnsi="Arabic Typesetting" w:cs="Arabic Typesetting"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4A7F66"/>
    <w:multiLevelType w:val="hybridMultilevel"/>
    <w:tmpl w:val="90F4458E"/>
    <w:lvl w:ilvl="0" w:tplc="6066C76E">
      <w:start w:val="8"/>
      <w:numFmt w:val="arabicAlpha"/>
      <w:lvlText w:val="%1)"/>
      <w:lvlJc w:val="left"/>
      <w:pPr>
        <w:ind w:left="720" w:hanging="360"/>
      </w:pPr>
      <w:rPr>
        <w:rFonts w:ascii="Arabic Typesetting" w:hAnsi="Arabic Typesetting" w:cs="Arabic Typesetting" w:hint="default"/>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3630D73"/>
    <w:multiLevelType w:val="hybridMultilevel"/>
    <w:tmpl w:val="6F5CAB66"/>
    <w:lvl w:ilvl="0" w:tplc="FADC94D6">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90B2AF3"/>
    <w:multiLevelType w:val="hybridMultilevel"/>
    <w:tmpl w:val="B5483460"/>
    <w:lvl w:ilvl="0" w:tplc="E7869708">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3A477F56"/>
    <w:multiLevelType w:val="hybridMultilevel"/>
    <w:tmpl w:val="34168144"/>
    <w:lvl w:ilvl="0" w:tplc="8278A0BC">
      <w:start w:val="1"/>
      <w:numFmt w:val="decimal"/>
      <w:lvlText w:val="%1."/>
      <w:lvlJc w:val="left"/>
      <w:pPr>
        <w:ind w:left="720" w:hanging="360"/>
      </w:pPr>
      <w:rPr>
        <w:lang w:bidi="ar-EG"/>
      </w:rPr>
    </w:lvl>
    <w:lvl w:ilvl="1" w:tplc="C4629B2C">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2D2983"/>
    <w:multiLevelType w:val="hybridMultilevel"/>
    <w:tmpl w:val="67E40D36"/>
    <w:lvl w:ilvl="0" w:tplc="4274C070">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FC3DB8"/>
    <w:multiLevelType w:val="hybridMultilevel"/>
    <w:tmpl w:val="1A4AF22E"/>
    <w:lvl w:ilvl="0" w:tplc="06DA4670">
      <w:start w:val="5"/>
      <w:numFmt w:val="arabicAlpha"/>
      <w:lvlText w:val="%1)"/>
      <w:lvlJc w:val="left"/>
      <w:pPr>
        <w:ind w:left="1080" w:hanging="360"/>
      </w:pPr>
      <w:rPr>
        <w:rFonts w:ascii="Arabic Typesetting" w:hAnsi="Arabic Typesetting" w:cs="Arabic Typesetting" w:hint="default"/>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73A4B65"/>
    <w:multiLevelType w:val="hybridMultilevel"/>
    <w:tmpl w:val="5FC4551C"/>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300BC0"/>
    <w:multiLevelType w:val="hybridMultilevel"/>
    <w:tmpl w:val="B5483460"/>
    <w:lvl w:ilvl="0" w:tplc="E7869708">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4ECF1D8B"/>
    <w:multiLevelType w:val="hybridMultilevel"/>
    <w:tmpl w:val="2562A54E"/>
    <w:lvl w:ilvl="0" w:tplc="A42E0866">
      <w:start w:val="8"/>
      <w:numFmt w:val="arabicAlpha"/>
      <w:lvlText w:val="%1)"/>
      <w:lvlJc w:val="left"/>
      <w:pPr>
        <w:ind w:left="1080" w:hanging="360"/>
      </w:pPr>
      <w:rPr>
        <w:rFonts w:ascii="Arabic Typesetting" w:hAnsi="Arabic Typesetting" w:cs="Arabic Typesetting" w:hint="default"/>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07A13F6"/>
    <w:multiLevelType w:val="hybridMultilevel"/>
    <w:tmpl w:val="F1B8B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8F14B5"/>
    <w:multiLevelType w:val="hybridMultilevel"/>
    <w:tmpl w:val="460CBAF2"/>
    <w:lvl w:ilvl="0" w:tplc="64D47A70">
      <w:start w:val="26"/>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7412386"/>
    <w:multiLevelType w:val="hybridMultilevel"/>
    <w:tmpl w:val="D7FEEE90"/>
    <w:lvl w:ilvl="0" w:tplc="9C088750">
      <w:start w:val="1"/>
      <w:numFmt w:val="arabicAlpha"/>
      <w:lvlText w:val="%1)"/>
      <w:lvlJc w:val="left"/>
      <w:pPr>
        <w:ind w:left="1080" w:hanging="360"/>
      </w:pPr>
      <w:rPr>
        <w:rFonts w:ascii="Arabic Typesetting" w:hAnsi="Arabic Typesetting" w:cs="Arabic Typesetting" w:hint="default"/>
        <w:sz w:val="36"/>
        <w:szCs w:val="36"/>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4" w15:restartNumberingAfterBreak="0">
    <w:nsid w:val="5EAD4CB3"/>
    <w:multiLevelType w:val="multilevel"/>
    <w:tmpl w:val="F0E2BCF4"/>
    <w:lvl w:ilvl="0">
      <w:start w:val="1"/>
      <w:numFmt w:val="arabicAbjad"/>
      <w:lvlText w:val="(%1)"/>
      <w:lvlJc w:val="left"/>
      <w:pPr>
        <w:tabs>
          <w:tab w:val="num" w:pos="567"/>
        </w:tabs>
        <w:ind w:left="567" w:firstLine="0"/>
      </w:pPr>
      <w:rPr>
        <w:rFonts w:hint="default"/>
        <w:color w:val="auto"/>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5" w15:restartNumberingAfterBreak="0">
    <w:nsid w:val="619130F9"/>
    <w:multiLevelType w:val="hybridMultilevel"/>
    <w:tmpl w:val="46B648C4"/>
    <w:lvl w:ilvl="0" w:tplc="1BCE134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B4110"/>
    <w:multiLevelType w:val="hybridMultilevel"/>
    <w:tmpl w:val="2CFE750C"/>
    <w:lvl w:ilvl="0" w:tplc="C1684228">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85758C"/>
    <w:multiLevelType w:val="hybridMultilevel"/>
    <w:tmpl w:val="B672E320"/>
    <w:lvl w:ilvl="0" w:tplc="5816973E">
      <w:start w:val="26"/>
      <w:numFmt w:val="arabicAlpha"/>
      <w:lvlText w:val="%1)"/>
      <w:lvlJc w:val="left"/>
      <w:pPr>
        <w:ind w:left="720" w:hanging="360"/>
      </w:pPr>
      <w:rPr>
        <w:rFonts w:ascii="Arabic Typesetting" w:hAnsi="Arabic Typesetting" w:cs="Arabic Typesetting" w:hint="default"/>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76131C7"/>
    <w:multiLevelType w:val="hybridMultilevel"/>
    <w:tmpl w:val="2488F808"/>
    <w:lvl w:ilvl="0" w:tplc="D3C24FA4">
      <w:start w:val="1"/>
      <w:numFmt w:val="arabicAbjad"/>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0" w15:restartNumberingAfterBreak="0">
    <w:nsid w:val="6EF920BD"/>
    <w:multiLevelType w:val="hybridMultilevel"/>
    <w:tmpl w:val="8C96E2C0"/>
    <w:lvl w:ilvl="0" w:tplc="02A4B4E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F206B16"/>
    <w:multiLevelType w:val="hybridMultilevel"/>
    <w:tmpl w:val="14EE6186"/>
    <w:lvl w:ilvl="0" w:tplc="8278A0BC">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843BE"/>
    <w:multiLevelType w:val="hybridMultilevel"/>
    <w:tmpl w:val="86F008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3DA45A8"/>
    <w:multiLevelType w:val="hybridMultilevel"/>
    <w:tmpl w:val="824078DA"/>
    <w:lvl w:ilvl="0" w:tplc="9E06DAA0">
      <w:start w:val="1"/>
      <w:numFmt w:val="arabicAlpha"/>
      <w:lvlText w:val="%1)"/>
      <w:lvlJc w:val="left"/>
      <w:pPr>
        <w:ind w:left="720" w:hanging="360"/>
      </w:pPr>
      <w:rPr>
        <w:rFonts w:ascii="Arabic Typesetting" w:hAnsi="Arabic Typesetting" w:cs="Arabic Typesetting" w:hint="default"/>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5"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6" w15:restartNumberingAfterBreak="0">
    <w:nsid w:val="7F6773EA"/>
    <w:multiLevelType w:val="hybridMultilevel"/>
    <w:tmpl w:val="0D560FD6"/>
    <w:lvl w:ilvl="0" w:tplc="C7CC8738">
      <w:numFmt w:val="bullet"/>
      <w:lvlText w:val="-"/>
      <w:lvlJc w:val="left"/>
      <w:pPr>
        <w:ind w:left="930" w:hanging="570"/>
      </w:pPr>
      <w:rPr>
        <w:rFonts w:ascii="Arabic Typesetting" w:eastAsia="Times New Roman" w:hAnsi="Arabic Typesetting" w:cs="Arabic Typesetting"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33"/>
  </w:num>
  <w:num w:numId="13">
    <w:abstractNumId w:val="24"/>
  </w:num>
  <w:num w:numId="14">
    <w:abstractNumId w:val="38"/>
  </w:num>
  <w:num w:numId="15">
    <w:abstractNumId w:val="44"/>
  </w:num>
  <w:num w:numId="16">
    <w:abstractNumId w:val="39"/>
  </w:num>
  <w:num w:numId="17">
    <w:abstractNumId w:val="34"/>
  </w:num>
  <w:num w:numId="18">
    <w:abstractNumId w:val="13"/>
  </w:num>
  <w:num w:numId="19">
    <w:abstractNumId w:val="46"/>
  </w:num>
  <w:num w:numId="20">
    <w:abstractNumId w:val="30"/>
  </w:num>
  <w:num w:numId="21">
    <w:abstractNumId w:val="17"/>
  </w:num>
  <w:num w:numId="22">
    <w:abstractNumId w:val="27"/>
  </w:num>
  <w:num w:numId="23">
    <w:abstractNumId w:val="10"/>
  </w:num>
  <w:num w:numId="24">
    <w:abstractNumId w:val="20"/>
  </w:num>
  <w:num w:numId="25">
    <w:abstractNumId w:val="35"/>
  </w:num>
  <w:num w:numId="26">
    <w:abstractNumId w:val="41"/>
  </w:num>
  <w:num w:numId="27">
    <w:abstractNumId w:val="16"/>
  </w:num>
  <w:num w:numId="28">
    <w:abstractNumId w:val="19"/>
  </w:num>
  <w:num w:numId="29">
    <w:abstractNumId w:val="42"/>
  </w:num>
  <w:num w:numId="30">
    <w:abstractNumId w:val="36"/>
  </w:num>
  <w:num w:numId="31">
    <w:abstractNumId w:val="23"/>
  </w:num>
  <w:num w:numId="32">
    <w:abstractNumId w:val="28"/>
  </w:num>
  <w:num w:numId="33">
    <w:abstractNumId w:val="25"/>
  </w:num>
  <w:num w:numId="34">
    <w:abstractNumId w:val="32"/>
  </w:num>
  <w:num w:numId="35">
    <w:abstractNumId w:val="26"/>
  </w:num>
  <w:num w:numId="36">
    <w:abstractNumId w:val="29"/>
  </w:num>
  <w:num w:numId="37">
    <w:abstractNumId w:val="31"/>
  </w:num>
  <w:num w:numId="38">
    <w:abstractNumId w:val="43"/>
  </w:num>
  <w:num w:numId="39">
    <w:abstractNumId w:val="15"/>
  </w:num>
  <w:num w:numId="40">
    <w:abstractNumId w:val="21"/>
  </w:num>
  <w:num w:numId="41">
    <w:abstractNumId w:val="37"/>
  </w:num>
  <w:num w:numId="42">
    <w:abstractNumId w:val="18"/>
  </w:num>
  <w:num w:numId="43">
    <w:abstractNumId w:val="40"/>
  </w:num>
  <w:num w:numId="44">
    <w:abstractNumId w:val="9"/>
  </w:num>
  <w:num w:numId="45">
    <w:abstractNumId w:val="12"/>
  </w:num>
  <w:num w:numId="46">
    <w:abstractNumId w:val="22"/>
  </w:num>
  <w:num w:numId="47">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4C"/>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4E99"/>
    <w:rsid w:val="0001645D"/>
    <w:rsid w:val="00017A43"/>
    <w:rsid w:val="0002157B"/>
    <w:rsid w:val="00022B33"/>
    <w:rsid w:val="00023101"/>
    <w:rsid w:val="0002407C"/>
    <w:rsid w:val="000243FB"/>
    <w:rsid w:val="0002476F"/>
    <w:rsid w:val="00024E17"/>
    <w:rsid w:val="000258DB"/>
    <w:rsid w:val="000259E5"/>
    <w:rsid w:val="00031B2C"/>
    <w:rsid w:val="0003371F"/>
    <w:rsid w:val="00033C02"/>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082"/>
    <w:rsid w:val="000571DD"/>
    <w:rsid w:val="000610BF"/>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6E2"/>
    <w:rsid w:val="0009577C"/>
    <w:rsid w:val="00095AE2"/>
    <w:rsid w:val="000962DF"/>
    <w:rsid w:val="0009661E"/>
    <w:rsid w:val="00096EEC"/>
    <w:rsid w:val="000A12BC"/>
    <w:rsid w:val="000A1306"/>
    <w:rsid w:val="000A1521"/>
    <w:rsid w:val="000A2DA6"/>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6A83"/>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2608"/>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1803"/>
    <w:rsid w:val="00112524"/>
    <w:rsid w:val="00113769"/>
    <w:rsid w:val="00114141"/>
    <w:rsid w:val="00114827"/>
    <w:rsid w:val="00115266"/>
    <w:rsid w:val="001154FB"/>
    <w:rsid w:val="00115B51"/>
    <w:rsid w:val="001171EF"/>
    <w:rsid w:val="001173C5"/>
    <w:rsid w:val="00117E13"/>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898"/>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0EDE"/>
    <w:rsid w:val="00161024"/>
    <w:rsid w:val="00162777"/>
    <w:rsid w:val="0016337E"/>
    <w:rsid w:val="001638A7"/>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C6F"/>
    <w:rsid w:val="00176D38"/>
    <w:rsid w:val="00176D64"/>
    <w:rsid w:val="00176E2C"/>
    <w:rsid w:val="00177DBF"/>
    <w:rsid w:val="00180151"/>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A75D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03A2"/>
    <w:rsid w:val="001E1043"/>
    <w:rsid w:val="001E10E1"/>
    <w:rsid w:val="001E175F"/>
    <w:rsid w:val="001E19F7"/>
    <w:rsid w:val="001E2669"/>
    <w:rsid w:val="001E3FB9"/>
    <w:rsid w:val="001E4083"/>
    <w:rsid w:val="001E5546"/>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D4E"/>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37F3A"/>
    <w:rsid w:val="002412D4"/>
    <w:rsid w:val="0024220D"/>
    <w:rsid w:val="00242AD1"/>
    <w:rsid w:val="00242BD3"/>
    <w:rsid w:val="00242C02"/>
    <w:rsid w:val="00243155"/>
    <w:rsid w:val="00247783"/>
    <w:rsid w:val="0025172C"/>
    <w:rsid w:val="0025205F"/>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1F6"/>
    <w:rsid w:val="002D1662"/>
    <w:rsid w:val="002D1DE5"/>
    <w:rsid w:val="002D3506"/>
    <w:rsid w:val="002D3670"/>
    <w:rsid w:val="002D4807"/>
    <w:rsid w:val="002D49CA"/>
    <w:rsid w:val="002D5DDC"/>
    <w:rsid w:val="002D5F16"/>
    <w:rsid w:val="002D62F1"/>
    <w:rsid w:val="002D68EB"/>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0644"/>
    <w:rsid w:val="0030129C"/>
    <w:rsid w:val="003013E2"/>
    <w:rsid w:val="00301FE4"/>
    <w:rsid w:val="00303E3A"/>
    <w:rsid w:val="00305417"/>
    <w:rsid w:val="00306127"/>
    <w:rsid w:val="0030641B"/>
    <w:rsid w:val="003067C8"/>
    <w:rsid w:val="0031056B"/>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6C21"/>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7779A"/>
    <w:rsid w:val="003818B3"/>
    <w:rsid w:val="00381DCA"/>
    <w:rsid w:val="00381DDB"/>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299"/>
    <w:rsid w:val="003E5733"/>
    <w:rsid w:val="003E5E27"/>
    <w:rsid w:val="003E6FD2"/>
    <w:rsid w:val="003E73D1"/>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1B11"/>
    <w:rsid w:val="00442FBE"/>
    <w:rsid w:val="004433B1"/>
    <w:rsid w:val="00443571"/>
    <w:rsid w:val="004444E3"/>
    <w:rsid w:val="004447FD"/>
    <w:rsid w:val="00445032"/>
    <w:rsid w:val="004450CB"/>
    <w:rsid w:val="00446967"/>
    <w:rsid w:val="00446AB6"/>
    <w:rsid w:val="00450EEE"/>
    <w:rsid w:val="004512B2"/>
    <w:rsid w:val="004528EE"/>
    <w:rsid w:val="00453360"/>
    <w:rsid w:val="00455B6D"/>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4F03"/>
    <w:rsid w:val="0049528C"/>
    <w:rsid w:val="00497356"/>
    <w:rsid w:val="004A076F"/>
    <w:rsid w:val="004A1DC1"/>
    <w:rsid w:val="004A31A2"/>
    <w:rsid w:val="004A48A7"/>
    <w:rsid w:val="004A48D2"/>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267"/>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1CF7"/>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47ECA"/>
    <w:rsid w:val="00552930"/>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30D"/>
    <w:rsid w:val="005674C3"/>
    <w:rsid w:val="00567990"/>
    <w:rsid w:val="00567C4C"/>
    <w:rsid w:val="005701C4"/>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1241"/>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394"/>
    <w:rsid w:val="005C6474"/>
    <w:rsid w:val="005C6A68"/>
    <w:rsid w:val="005C7AB5"/>
    <w:rsid w:val="005D09EA"/>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AF"/>
    <w:rsid w:val="005F03E3"/>
    <w:rsid w:val="005F0829"/>
    <w:rsid w:val="005F32BE"/>
    <w:rsid w:val="005F330C"/>
    <w:rsid w:val="005F34FB"/>
    <w:rsid w:val="005F39A0"/>
    <w:rsid w:val="005F6706"/>
    <w:rsid w:val="005F6B68"/>
    <w:rsid w:val="005F6F2E"/>
    <w:rsid w:val="005F7D85"/>
    <w:rsid w:val="00601A1F"/>
    <w:rsid w:val="00602655"/>
    <w:rsid w:val="00603B68"/>
    <w:rsid w:val="00603BA4"/>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749"/>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4C0"/>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179B3"/>
    <w:rsid w:val="00720860"/>
    <w:rsid w:val="00721087"/>
    <w:rsid w:val="00721530"/>
    <w:rsid w:val="00722B24"/>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4F5"/>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A27"/>
    <w:rsid w:val="00785E46"/>
    <w:rsid w:val="00786CDF"/>
    <w:rsid w:val="00787917"/>
    <w:rsid w:val="00791489"/>
    <w:rsid w:val="00791683"/>
    <w:rsid w:val="00792F0C"/>
    <w:rsid w:val="00793AEB"/>
    <w:rsid w:val="0079540D"/>
    <w:rsid w:val="00795460"/>
    <w:rsid w:val="00796CF7"/>
    <w:rsid w:val="007A0313"/>
    <w:rsid w:val="007A0A83"/>
    <w:rsid w:val="007A4BB3"/>
    <w:rsid w:val="007A6307"/>
    <w:rsid w:val="007A6822"/>
    <w:rsid w:val="007A724D"/>
    <w:rsid w:val="007A749D"/>
    <w:rsid w:val="007A7B37"/>
    <w:rsid w:val="007B024C"/>
    <w:rsid w:val="007B18F9"/>
    <w:rsid w:val="007B1C4C"/>
    <w:rsid w:val="007B272D"/>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2213"/>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2C81"/>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611"/>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2BFA"/>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6A3D"/>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0421"/>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11B"/>
    <w:rsid w:val="00A13947"/>
    <w:rsid w:val="00A13E2B"/>
    <w:rsid w:val="00A14924"/>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4A7"/>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5D10"/>
    <w:rsid w:val="00A666AA"/>
    <w:rsid w:val="00A671FC"/>
    <w:rsid w:val="00A71670"/>
    <w:rsid w:val="00A72874"/>
    <w:rsid w:val="00A72E48"/>
    <w:rsid w:val="00A7359C"/>
    <w:rsid w:val="00A73616"/>
    <w:rsid w:val="00A76648"/>
    <w:rsid w:val="00A76DF7"/>
    <w:rsid w:val="00A77523"/>
    <w:rsid w:val="00A775BE"/>
    <w:rsid w:val="00A80489"/>
    <w:rsid w:val="00A80934"/>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BC1"/>
    <w:rsid w:val="00AD7D05"/>
    <w:rsid w:val="00AE01F6"/>
    <w:rsid w:val="00AE16F0"/>
    <w:rsid w:val="00AE2924"/>
    <w:rsid w:val="00AE39FF"/>
    <w:rsid w:val="00AE3B9B"/>
    <w:rsid w:val="00AE473C"/>
    <w:rsid w:val="00AE55E7"/>
    <w:rsid w:val="00AE6363"/>
    <w:rsid w:val="00AE6CD6"/>
    <w:rsid w:val="00AE7348"/>
    <w:rsid w:val="00AE7394"/>
    <w:rsid w:val="00AE7CD2"/>
    <w:rsid w:val="00AF0B77"/>
    <w:rsid w:val="00AF10B9"/>
    <w:rsid w:val="00AF138B"/>
    <w:rsid w:val="00AF160F"/>
    <w:rsid w:val="00AF1919"/>
    <w:rsid w:val="00AF1B7B"/>
    <w:rsid w:val="00AF1D70"/>
    <w:rsid w:val="00AF3291"/>
    <w:rsid w:val="00AF395E"/>
    <w:rsid w:val="00AF4D6A"/>
    <w:rsid w:val="00AF5D2C"/>
    <w:rsid w:val="00AF5D6E"/>
    <w:rsid w:val="00AF6318"/>
    <w:rsid w:val="00B0072E"/>
    <w:rsid w:val="00B03B63"/>
    <w:rsid w:val="00B0513A"/>
    <w:rsid w:val="00B053E9"/>
    <w:rsid w:val="00B0620B"/>
    <w:rsid w:val="00B064EF"/>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402C"/>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2DD8"/>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4A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3A50"/>
    <w:rsid w:val="00C14741"/>
    <w:rsid w:val="00C1544B"/>
    <w:rsid w:val="00C1665A"/>
    <w:rsid w:val="00C1739F"/>
    <w:rsid w:val="00C177FF"/>
    <w:rsid w:val="00C222FF"/>
    <w:rsid w:val="00C2338E"/>
    <w:rsid w:val="00C23FB0"/>
    <w:rsid w:val="00C24021"/>
    <w:rsid w:val="00C248AF"/>
    <w:rsid w:val="00C24B09"/>
    <w:rsid w:val="00C24BDE"/>
    <w:rsid w:val="00C24E9F"/>
    <w:rsid w:val="00C30EDC"/>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3D41"/>
    <w:rsid w:val="00C54C1B"/>
    <w:rsid w:val="00C54DBA"/>
    <w:rsid w:val="00C57ED3"/>
    <w:rsid w:val="00C61538"/>
    <w:rsid w:val="00C61640"/>
    <w:rsid w:val="00C61AA7"/>
    <w:rsid w:val="00C61B8E"/>
    <w:rsid w:val="00C668DE"/>
    <w:rsid w:val="00C7044F"/>
    <w:rsid w:val="00C71881"/>
    <w:rsid w:val="00C720F8"/>
    <w:rsid w:val="00C7294B"/>
    <w:rsid w:val="00C73761"/>
    <w:rsid w:val="00C75139"/>
    <w:rsid w:val="00C7525C"/>
    <w:rsid w:val="00C76CF7"/>
    <w:rsid w:val="00C83A4C"/>
    <w:rsid w:val="00C83B75"/>
    <w:rsid w:val="00C8533B"/>
    <w:rsid w:val="00C858BA"/>
    <w:rsid w:val="00C86977"/>
    <w:rsid w:val="00C916C8"/>
    <w:rsid w:val="00C9374E"/>
    <w:rsid w:val="00C9398D"/>
    <w:rsid w:val="00C939EE"/>
    <w:rsid w:val="00C93C6E"/>
    <w:rsid w:val="00C93F93"/>
    <w:rsid w:val="00C94D44"/>
    <w:rsid w:val="00C95EEE"/>
    <w:rsid w:val="00C974CB"/>
    <w:rsid w:val="00C97929"/>
    <w:rsid w:val="00CA0049"/>
    <w:rsid w:val="00CA0980"/>
    <w:rsid w:val="00CA2A98"/>
    <w:rsid w:val="00CA2BAE"/>
    <w:rsid w:val="00CA34BA"/>
    <w:rsid w:val="00CA43C0"/>
    <w:rsid w:val="00CA4503"/>
    <w:rsid w:val="00CA5A66"/>
    <w:rsid w:val="00CA796A"/>
    <w:rsid w:val="00CB2575"/>
    <w:rsid w:val="00CB3677"/>
    <w:rsid w:val="00CB368F"/>
    <w:rsid w:val="00CB4C42"/>
    <w:rsid w:val="00CB4DFA"/>
    <w:rsid w:val="00CB5758"/>
    <w:rsid w:val="00CB6B20"/>
    <w:rsid w:val="00CB7BD7"/>
    <w:rsid w:val="00CC0707"/>
    <w:rsid w:val="00CC4CB6"/>
    <w:rsid w:val="00CC4DB0"/>
    <w:rsid w:val="00CC5038"/>
    <w:rsid w:val="00CC5326"/>
    <w:rsid w:val="00CC7426"/>
    <w:rsid w:val="00CC7602"/>
    <w:rsid w:val="00CC7769"/>
    <w:rsid w:val="00CC7910"/>
    <w:rsid w:val="00CD0B75"/>
    <w:rsid w:val="00CD0C20"/>
    <w:rsid w:val="00CD2234"/>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3A13"/>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1B67"/>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4EDE"/>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A4C"/>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AD"/>
    <w:rsid w:val="00E428D6"/>
    <w:rsid w:val="00E43284"/>
    <w:rsid w:val="00E43F36"/>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1BA3"/>
    <w:rsid w:val="00E8292A"/>
    <w:rsid w:val="00E82DE7"/>
    <w:rsid w:val="00E84116"/>
    <w:rsid w:val="00E84C5C"/>
    <w:rsid w:val="00E85533"/>
    <w:rsid w:val="00E86343"/>
    <w:rsid w:val="00E866CD"/>
    <w:rsid w:val="00E877ED"/>
    <w:rsid w:val="00E901FD"/>
    <w:rsid w:val="00E91964"/>
    <w:rsid w:val="00E91FB1"/>
    <w:rsid w:val="00E94080"/>
    <w:rsid w:val="00E94379"/>
    <w:rsid w:val="00E94468"/>
    <w:rsid w:val="00E94A0E"/>
    <w:rsid w:val="00E96226"/>
    <w:rsid w:val="00E96DDE"/>
    <w:rsid w:val="00EA04AE"/>
    <w:rsid w:val="00EA062F"/>
    <w:rsid w:val="00EA1266"/>
    <w:rsid w:val="00EA17A9"/>
    <w:rsid w:val="00EA306F"/>
    <w:rsid w:val="00EA311B"/>
    <w:rsid w:val="00EA36CA"/>
    <w:rsid w:val="00EA3D9C"/>
    <w:rsid w:val="00EA43C0"/>
    <w:rsid w:val="00EA4CB0"/>
    <w:rsid w:val="00EA566F"/>
    <w:rsid w:val="00EA70CB"/>
    <w:rsid w:val="00EB2857"/>
    <w:rsid w:val="00EB30B7"/>
    <w:rsid w:val="00EB3F8A"/>
    <w:rsid w:val="00EB416F"/>
    <w:rsid w:val="00EB43B9"/>
    <w:rsid w:val="00EB4482"/>
    <w:rsid w:val="00EB4C01"/>
    <w:rsid w:val="00EB4D59"/>
    <w:rsid w:val="00EB4E58"/>
    <w:rsid w:val="00EB573D"/>
    <w:rsid w:val="00EB583A"/>
    <w:rsid w:val="00EB5C8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172EE"/>
    <w:rsid w:val="00F20706"/>
    <w:rsid w:val="00F21496"/>
    <w:rsid w:val="00F21E77"/>
    <w:rsid w:val="00F24D27"/>
    <w:rsid w:val="00F2520C"/>
    <w:rsid w:val="00F25BCB"/>
    <w:rsid w:val="00F25EB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4EAF"/>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242E"/>
    <w:rsid w:val="00F72D22"/>
    <w:rsid w:val="00F73157"/>
    <w:rsid w:val="00F74408"/>
    <w:rsid w:val="00F75896"/>
    <w:rsid w:val="00F765B7"/>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561"/>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1A0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620"/>
    <w:rsid w:val="00FE6E85"/>
    <w:rsid w:val="00FE6E94"/>
    <w:rsid w:val="00FE76CB"/>
    <w:rsid w:val="00FE7BD8"/>
    <w:rsid w:val="00FF0CCA"/>
    <w:rsid w:val="00FF12EF"/>
    <w:rsid w:val="00FF1D76"/>
    <w:rsid w:val="00FF309E"/>
    <w:rsid w:val="00FF3EE6"/>
    <w:rsid w:val="00FF434C"/>
    <w:rsid w:val="00FF48A5"/>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C0FAFF-BE74-485D-BA1D-494B0C71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5C6394"/>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link w:val="Endofdocument-AnnexChar"/>
    <w:rsid w:val="00B76AF5"/>
    <w:pPr>
      <w:spacing w:before="200"/>
      <w:ind w:left="5534"/>
    </w:pPr>
  </w:style>
  <w:style w:type="paragraph" w:styleId="BalloonText">
    <w:name w:val="Balloon Text"/>
    <w:basedOn w:val="Normal"/>
    <w:link w:val="BalloonTextChar"/>
    <w:rsid w:val="0023693F"/>
    <w:rPr>
      <w:rFonts w:ascii="Tahoma" w:hAnsi="Tahoma" w:cs="Tahoma"/>
      <w:sz w:val="16"/>
      <w:szCs w:val="16"/>
    </w:rPr>
  </w:style>
  <w:style w:type="character" w:customStyle="1" w:styleId="BalloonTextChar">
    <w:name w:val="Balloon Text Char"/>
    <w:basedOn w:val="DefaultParagraphFont"/>
    <w:link w:val="BalloonText"/>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numbering" w:customStyle="1" w:styleId="Aucuneliste1">
    <w:name w:val="Aucune liste1"/>
    <w:next w:val="NoList"/>
    <w:uiPriority w:val="99"/>
    <w:semiHidden/>
    <w:unhideWhenUsed/>
    <w:rsid w:val="00326C21"/>
  </w:style>
  <w:style w:type="table" w:customStyle="1" w:styleId="Grilledutableau1">
    <w:name w:val="Grille du tableau1"/>
    <w:basedOn w:val="TableNormal"/>
    <w:next w:val="TableGrid"/>
    <w:rsid w:val="00326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UMFS">
    <w:name w:val="ONUM FS"/>
    <w:basedOn w:val="BodyText"/>
    <w:rsid w:val="00326C21"/>
    <w:pPr>
      <w:numPr>
        <w:numId w:val="16"/>
      </w:numPr>
      <w:bidi w:val="0"/>
      <w:spacing w:before="0" w:after="220"/>
    </w:pPr>
    <w:rPr>
      <w:rFonts w:ascii="Arial" w:hAnsi="Arial" w:cs="Arial"/>
      <w:sz w:val="22"/>
      <w:szCs w:val="20"/>
      <w:lang w:bidi="ar-SA"/>
    </w:rPr>
  </w:style>
  <w:style w:type="paragraph" w:customStyle="1" w:styleId="ONUME">
    <w:name w:val="ONUM E"/>
    <w:basedOn w:val="BodyText"/>
    <w:rsid w:val="00326C21"/>
    <w:pPr>
      <w:numPr>
        <w:numId w:val="15"/>
      </w:numPr>
      <w:bidi w:val="0"/>
      <w:spacing w:before="0" w:after="220"/>
    </w:pPr>
    <w:rPr>
      <w:rFonts w:ascii="Arial" w:hAnsi="Arial" w:cs="Arial"/>
      <w:sz w:val="22"/>
      <w:szCs w:val="20"/>
      <w:lang w:bidi="ar-SA"/>
    </w:rPr>
  </w:style>
  <w:style w:type="character" w:styleId="FollowedHyperlink">
    <w:name w:val="FollowedHyperlink"/>
    <w:basedOn w:val="DefaultParagraphFont"/>
    <w:rsid w:val="00326C21"/>
    <w:rPr>
      <w:color w:val="800080" w:themeColor="followedHyperlink"/>
      <w:u w:val="single"/>
    </w:rPr>
  </w:style>
  <w:style w:type="paragraph" w:styleId="ListParagraph">
    <w:name w:val="List Paragraph"/>
    <w:basedOn w:val="Normal"/>
    <w:uiPriority w:val="34"/>
    <w:qFormat/>
    <w:rsid w:val="00326C21"/>
    <w:pPr>
      <w:bidi w:val="0"/>
      <w:ind w:left="720"/>
      <w:contextualSpacing/>
    </w:pPr>
    <w:rPr>
      <w:rFonts w:ascii="Arial" w:hAnsi="Arial" w:cs="Arial"/>
      <w:sz w:val="22"/>
      <w:szCs w:val="20"/>
    </w:rPr>
  </w:style>
  <w:style w:type="character" w:customStyle="1" w:styleId="HeaderChar">
    <w:name w:val="Header Char"/>
    <w:basedOn w:val="DefaultParagraphFont"/>
    <w:link w:val="Header"/>
    <w:rsid w:val="00326C21"/>
  </w:style>
  <w:style w:type="character" w:customStyle="1" w:styleId="Endofdocument-AnnexChar">
    <w:name w:val="[End of document - Annex] Char"/>
    <w:link w:val="Endofdocument-Annex"/>
    <w:rsid w:val="00326C21"/>
  </w:style>
  <w:style w:type="paragraph" w:customStyle="1" w:styleId="Default">
    <w:name w:val="Default"/>
    <w:rsid w:val="00326C21"/>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326C21"/>
  </w:style>
  <w:style w:type="paragraph" w:styleId="NormalWeb">
    <w:name w:val="Normal (Web)"/>
    <w:basedOn w:val="Normal"/>
    <w:rsid w:val="00326C21"/>
    <w:pPr>
      <w:bidi w:val="0"/>
      <w:spacing w:before="100" w:beforeAutospacing="1" w:after="100" w:afterAutospacing="1"/>
    </w:pPr>
    <w:rPr>
      <w:rFonts w:ascii="Times New Roman" w:hAnsi="Times New Roman" w:cs="Times New Roman"/>
      <w:sz w:val="24"/>
      <w:szCs w:val="24"/>
      <w:lang w:val="fr-FR" w:eastAsia="fr-FR"/>
    </w:rPr>
  </w:style>
  <w:style w:type="character" w:customStyle="1" w:styleId="null1">
    <w:name w:val="null1"/>
    <w:rsid w:val="00326C21"/>
  </w:style>
  <w:style w:type="character" w:styleId="CommentReference">
    <w:name w:val="annotation reference"/>
    <w:basedOn w:val="DefaultParagraphFont"/>
    <w:rsid w:val="00326C21"/>
    <w:rPr>
      <w:sz w:val="16"/>
      <w:szCs w:val="16"/>
    </w:rPr>
  </w:style>
  <w:style w:type="paragraph" w:styleId="CommentSubject">
    <w:name w:val="annotation subject"/>
    <w:basedOn w:val="CommentText"/>
    <w:next w:val="CommentText"/>
    <w:link w:val="CommentSubjectChar"/>
    <w:rsid w:val="00326C21"/>
    <w:pPr>
      <w:bidi w:val="0"/>
    </w:pPr>
    <w:rPr>
      <w:rFonts w:ascii="Arial" w:hAnsi="Arial" w:cs="Arial"/>
      <w:b/>
      <w:bCs/>
      <w:sz w:val="20"/>
      <w:szCs w:val="20"/>
    </w:rPr>
  </w:style>
  <w:style w:type="character" w:customStyle="1" w:styleId="CommentSubjectChar">
    <w:name w:val="Comment Subject Char"/>
    <w:basedOn w:val="CommentTextChar"/>
    <w:link w:val="CommentSubject"/>
    <w:rsid w:val="00326C21"/>
    <w:rPr>
      <w:rFonts w:ascii="Arial" w:hAnsi="Arial" w:cs="Arial"/>
      <w:b/>
      <w:bCs/>
      <w:sz w:val="20"/>
      <w:szCs w:val="20"/>
      <w:lang w:bidi="ar-EG"/>
    </w:rPr>
  </w:style>
  <w:style w:type="paragraph" w:styleId="Revision">
    <w:name w:val="Revision"/>
    <w:hidden/>
    <w:uiPriority w:val="99"/>
    <w:semiHidden/>
    <w:rsid w:val="00326C21"/>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85D4-63F3-4C4F-8B0A-0C977602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3197</Words>
  <Characters>17876</Characters>
  <Application>Microsoft Office Word</Application>
  <DocSecurity>0</DocSecurity>
  <Lines>483</Lines>
  <Paragraphs>177</Paragraphs>
  <ScaleCrop>false</ScaleCrop>
  <HeadingPairs>
    <vt:vector size="2" baseType="variant">
      <vt:variant>
        <vt:lpstr>Title</vt:lpstr>
      </vt:variant>
      <vt:variant>
        <vt:i4>1</vt:i4>
      </vt:variant>
    </vt:vector>
  </HeadingPairs>
  <TitlesOfParts>
    <vt:vector size="1" baseType="lpstr">
      <vt:lpstr>CDIP/24/ (Arabic)</vt:lpstr>
    </vt:vector>
  </TitlesOfParts>
  <Company>World Intellectual Property Organization</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CDIP/24/ (Arabic)</dc:title>
  <dc:creator>YOUSSEF Randa</dc:creator>
  <cp:keywords>FOR OFFICIAL USE ONLY</cp:keywords>
  <cp:lastModifiedBy>ESTEVES DOS SANTOS Anabela</cp:lastModifiedBy>
  <cp:revision>5</cp:revision>
  <cp:lastPrinted>2019-08-30T12:53:00Z</cp:lastPrinted>
  <dcterms:created xsi:type="dcterms:W3CDTF">2019-08-30T09:42:00Z</dcterms:created>
  <dcterms:modified xsi:type="dcterms:W3CDTF">2019-08-30T12:53:00Z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8bc10a30-807e-4fbd-8f40-b7458ec4ba2b</vt:lpwstr>
  </property>
  <property fmtid="{D5CDD505-2E9C-101B-9397-08002B2CF9AE}" pid="3" name="Classification">
    <vt:lpwstr>FOUO</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