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1E554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1E554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23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BF525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14</w:t>
      </w:r>
    </w:p>
    <w:bookmarkEnd w:id="2"/>
    <w:p w:rsidR="003F7284" w:rsidRPr="00BB6440" w:rsidRDefault="003F7284" w:rsidP="00561001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561001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BF5256">
        <w:rPr>
          <w:rFonts w:hint="cs"/>
          <w:b/>
          <w:bCs/>
          <w:sz w:val="30"/>
          <w:szCs w:val="30"/>
          <w:rtl/>
        </w:rPr>
        <w:t>19 مارس 2019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1E5546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1E5546">
        <w:rPr>
          <w:rFonts w:ascii="Arial Black" w:hAnsi="Arial Black" w:cs="PT Bold Heading" w:hint="cs"/>
          <w:sz w:val="30"/>
          <w:szCs w:val="30"/>
          <w:rtl/>
        </w:rPr>
        <w:t xml:space="preserve">الثالثة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1E5546" w:rsidP="00874721">
      <w:pPr>
        <w:spacing w:line="600" w:lineRule="auto"/>
        <w:rPr>
          <w:b/>
          <w:bCs/>
        </w:rPr>
      </w:pPr>
      <w:r>
        <w:rPr>
          <w:b/>
          <w:bCs/>
          <w:rtl/>
        </w:rPr>
        <w:t>جنيف، م</w:t>
      </w:r>
      <w:r>
        <w:rPr>
          <w:rFonts w:hint="cs"/>
          <w:b/>
          <w:bCs/>
          <w:rtl/>
        </w:rPr>
        <w:t xml:space="preserve">ن 20 </w:t>
      </w:r>
      <w:r>
        <w:rPr>
          <w:b/>
          <w:bCs/>
          <w:rtl/>
        </w:rPr>
        <w:t xml:space="preserve">إلى </w:t>
      </w:r>
      <w:r>
        <w:rPr>
          <w:rFonts w:hint="cs"/>
          <w:b/>
          <w:bCs/>
          <w:rtl/>
        </w:rPr>
        <w:t>24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مايو</w:t>
      </w:r>
      <w:r>
        <w:rPr>
          <w:b/>
          <w:bCs/>
          <w:rtl/>
        </w:rPr>
        <w:t xml:space="preserve"> 201</w:t>
      </w:r>
      <w:r>
        <w:rPr>
          <w:rFonts w:hint="cs"/>
          <w:b/>
          <w:bCs/>
          <w:rtl/>
        </w:rPr>
        <w:t>9</w:t>
      </w:r>
    </w:p>
    <w:p w:rsidR="00C13C12" w:rsidRPr="00C13C12" w:rsidRDefault="00C13C12" w:rsidP="00C13C12">
      <w:pPr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r w:rsidRPr="00C13C12">
        <w:rPr>
          <w:rFonts w:ascii="Arial Black" w:hAnsi="Arial Black" w:cs="PT Bold Heading"/>
          <w:sz w:val="26"/>
          <w:szCs w:val="26"/>
          <w:rtl/>
        </w:rPr>
        <w:t>اعتماد المراقبين</w:t>
      </w:r>
    </w:p>
    <w:p w:rsidR="00C13C12" w:rsidRPr="00C13C12" w:rsidRDefault="00C13C12" w:rsidP="00C13C12">
      <w:pPr>
        <w:spacing w:before="240" w:after="840" w:line="360" w:lineRule="exact"/>
        <w:rPr>
          <w:i/>
          <w:iCs/>
          <w:rtl/>
        </w:rPr>
      </w:pPr>
      <w:r w:rsidRPr="00C13C12">
        <w:rPr>
          <w:rFonts w:hint="cs"/>
          <w:i/>
          <w:iCs/>
          <w:rtl/>
        </w:rPr>
        <w:t>من إعداد الأمانة</w:t>
      </w:r>
    </w:p>
    <w:p w:rsidR="00C13C12" w:rsidRPr="00C13C12" w:rsidRDefault="00C13C12" w:rsidP="00FA60BD">
      <w:pPr>
        <w:pStyle w:val="ONUMA"/>
      </w:pPr>
      <w:r w:rsidRPr="00C13C12">
        <w:rPr>
          <w:rtl/>
        </w:rPr>
        <w:t xml:space="preserve">ينص النظام الداخلي للجنة المعنية بالتنمية والملكية الفكرية (اللجنة) على إمكانية اعتماد منظمات حكومية دولية ومنظمات غير حكومية بصفة مراقب مؤقت لفترة عام واحد </w:t>
      </w:r>
      <w:r w:rsidR="00FA60BD">
        <w:rPr>
          <w:rFonts w:hint="cs"/>
          <w:rtl/>
        </w:rPr>
        <w:t xml:space="preserve">(انظر الوثيقة </w:t>
      </w:r>
      <w:r w:rsidR="00FA60BD" w:rsidRPr="00F063C2">
        <w:t>CDIP/1/2 Rev.</w:t>
      </w:r>
      <w:r w:rsidR="00FA60BD">
        <w:rPr>
          <w:rFonts w:hint="cs"/>
          <w:rtl/>
        </w:rPr>
        <w:t>)</w:t>
      </w:r>
    </w:p>
    <w:p w:rsidR="00C13C12" w:rsidRPr="00C13C12" w:rsidRDefault="00C13C12" w:rsidP="00185506">
      <w:pPr>
        <w:pStyle w:val="ONUMA"/>
      </w:pPr>
      <w:r w:rsidRPr="00C13C12">
        <w:rPr>
          <w:rtl/>
        </w:rPr>
        <w:t>ويتضمن مرفق هذه الوثيقة معلومات عن منظمتين غير حكوميتين هم</w:t>
      </w:r>
      <w:r w:rsidRPr="00C13C12">
        <w:rPr>
          <w:rFonts w:hint="cs"/>
          <w:rtl/>
        </w:rPr>
        <w:t xml:space="preserve">ا </w:t>
      </w:r>
      <w:r w:rsidR="00185506">
        <w:rPr>
          <w:rFonts w:hint="cs"/>
          <w:rtl/>
        </w:rPr>
        <w:t xml:space="preserve">منظمة </w:t>
      </w:r>
      <w:r w:rsidR="00185506" w:rsidRPr="00185506">
        <w:t xml:space="preserve"> Think and do Tank</w:t>
      </w:r>
      <w:r w:rsidR="00185506">
        <w:rPr>
          <w:rFonts w:hint="cs"/>
          <w:rtl/>
        </w:rPr>
        <w:t>من أجل نُهج بديلة للإدمان (</w:t>
      </w:r>
      <w:r w:rsidR="00185506" w:rsidRPr="00185506">
        <w:t>FAAAT think and do tank</w:t>
      </w:r>
      <w:r w:rsidR="00185506">
        <w:rPr>
          <w:rFonts w:hint="cs"/>
          <w:rtl/>
        </w:rPr>
        <w:t>)</w:t>
      </w:r>
      <w:r w:rsidRPr="00C13C12">
        <w:rPr>
          <w:rFonts w:hint="cs"/>
          <w:rtl/>
        </w:rPr>
        <w:t>،</w:t>
      </w:r>
      <w:r w:rsidR="000B0AE0">
        <w:rPr>
          <w:rFonts w:hint="cs"/>
          <w:rtl/>
        </w:rPr>
        <w:t xml:space="preserve"> ومنظمة جنيف للتدريب العالمي على حقوق الإنسان (</w:t>
      </w:r>
      <w:r w:rsidR="000B0AE0">
        <w:t>GHR</w:t>
      </w:r>
      <w:r w:rsidR="000B0AE0">
        <w:rPr>
          <w:rFonts w:hint="cs"/>
          <w:rtl/>
        </w:rPr>
        <w:t>)،</w:t>
      </w:r>
      <w:r w:rsidRPr="00C13C12">
        <w:rPr>
          <w:rFonts w:hint="cs"/>
          <w:rtl/>
        </w:rPr>
        <w:t xml:space="preserve"> وقد التمست المنظمتان صفة مراقب مؤقت.</w:t>
      </w:r>
    </w:p>
    <w:p w:rsidR="00C13C12" w:rsidRPr="00C13C12" w:rsidRDefault="00C13C12" w:rsidP="000F5D46">
      <w:pPr>
        <w:pStyle w:val="Decision"/>
      </w:pPr>
      <w:r w:rsidRPr="00C13C12">
        <w:rPr>
          <w:rtl/>
        </w:rPr>
        <w:t xml:space="preserve">إن اللجنة مدعوة إلى البت في طلب المنظمتين غير الحكوميتين المذكورتين في مرفق هذه الوثيقة </w:t>
      </w:r>
      <w:r w:rsidR="0001411B">
        <w:rPr>
          <w:rFonts w:hint="cs"/>
          <w:rtl/>
        </w:rPr>
        <w:t>ل</w:t>
      </w:r>
      <w:r w:rsidRPr="00C13C12">
        <w:rPr>
          <w:rtl/>
        </w:rPr>
        <w:t>اعتمادهما بصفة مراقب مؤقت لعام واحد.</w:t>
      </w:r>
    </w:p>
    <w:p w:rsidR="00C13C12" w:rsidRPr="00C13C12" w:rsidRDefault="00C13C12" w:rsidP="000F5D46">
      <w:pPr>
        <w:pStyle w:val="Endofdocument-Annex"/>
        <w:rPr>
          <w:rtl/>
        </w:rPr>
      </w:pPr>
      <w:r w:rsidRPr="00C13C12">
        <w:rPr>
          <w:rFonts w:hint="cs"/>
          <w:rtl/>
        </w:rPr>
        <w:t>[يلي ذلك المرفق</w:t>
      </w:r>
      <w:r w:rsidR="004D6B86">
        <w:rPr>
          <w:rFonts w:hint="cs"/>
          <w:rtl/>
        </w:rPr>
        <w:t>ان</w:t>
      </w:r>
      <w:r w:rsidRPr="00C13C12">
        <w:rPr>
          <w:rFonts w:hint="cs"/>
          <w:rtl/>
        </w:rPr>
        <w:t>]</w:t>
      </w:r>
    </w:p>
    <w:p w:rsidR="00C13C12" w:rsidRPr="00C13C12" w:rsidRDefault="00C13C12" w:rsidP="00C13C12">
      <w:pPr>
        <w:spacing w:after="240" w:line="360" w:lineRule="exact"/>
        <w:ind w:left="4536"/>
        <w:rPr>
          <w:rtl/>
        </w:rPr>
      </w:pPr>
    </w:p>
    <w:p w:rsidR="00C13C12" w:rsidRPr="00C13C12" w:rsidRDefault="00C13C12" w:rsidP="00C13C12">
      <w:pPr>
        <w:bidi w:val="0"/>
        <w:spacing w:after="240" w:line="360" w:lineRule="exact"/>
        <w:ind w:left="4536"/>
        <w:rPr>
          <w:rFonts w:ascii="Arial" w:hAnsi="Arial" w:cs="Arial"/>
          <w:sz w:val="22"/>
          <w:szCs w:val="22"/>
        </w:rPr>
        <w:sectPr w:rsidR="00C13C12" w:rsidRPr="00C13C12" w:rsidSect="00782DD9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13C12" w:rsidRPr="00C13C12" w:rsidRDefault="000B0AE0" w:rsidP="00202A3C">
      <w:pPr>
        <w:pStyle w:val="Heading2"/>
        <w:rPr>
          <w:rtl/>
        </w:rPr>
      </w:pPr>
      <w:r w:rsidRPr="000B0AE0">
        <w:rPr>
          <w:rtl/>
          <w:lang w:bidi="ar-EG"/>
        </w:rPr>
        <w:lastRenderedPageBreak/>
        <w:t xml:space="preserve">منظمة  </w:t>
      </w:r>
      <w:r w:rsidRPr="000B0AE0">
        <w:rPr>
          <w:lang w:bidi="ar-EG"/>
        </w:rPr>
        <w:t>Think and do Tank</w:t>
      </w:r>
      <w:r w:rsidR="0001411B">
        <w:rPr>
          <w:rFonts w:hint="cs"/>
          <w:rtl/>
          <w:lang w:bidi="ar-EG"/>
        </w:rPr>
        <w:t xml:space="preserve"> </w:t>
      </w:r>
      <w:r w:rsidRPr="000B0AE0">
        <w:rPr>
          <w:rtl/>
          <w:lang w:bidi="ar-EG"/>
        </w:rPr>
        <w:t>من أجل نُهج بديلة للإدمان</w:t>
      </w:r>
    </w:p>
    <w:p w:rsidR="008F0236" w:rsidRDefault="000B0AE0" w:rsidP="00060B2D">
      <w:pPr>
        <w:spacing w:before="200" w:line="360" w:lineRule="exact"/>
        <w:ind w:left="6"/>
        <w:rPr>
          <w:sz w:val="40"/>
          <w:szCs w:val="40"/>
          <w:rtl/>
          <w:lang w:bidi="ar-EG"/>
        </w:rPr>
      </w:pPr>
      <w:r w:rsidRPr="00202A3C">
        <w:rPr>
          <w:rtl/>
          <w:lang w:bidi="ar-EG"/>
        </w:rPr>
        <w:t xml:space="preserve">منظمة  </w:t>
      </w:r>
      <w:r w:rsidRPr="00202A3C">
        <w:rPr>
          <w:lang w:bidi="ar-EG"/>
        </w:rPr>
        <w:t>Think and do Tank</w:t>
      </w:r>
      <w:r w:rsidR="0001411B" w:rsidRPr="00202A3C">
        <w:rPr>
          <w:rFonts w:hint="cs"/>
          <w:rtl/>
          <w:lang w:bidi="ar-EG"/>
        </w:rPr>
        <w:t xml:space="preserve"> </w:t>
      </w:r>
      <w:r w:rsidRPr="00202A3C">
        <w:rPr>
          <w:rtl/>
          <w:lang w:bidi="ar-EG"/>
        </w:rPr>
        <w:t>من أجل نُهج بديلة للإدمان</w:t>
      </w:r>
    </w:p>
    <w:p w:rsidR="00F15E18" w:rsidRDefault="00C13C12" w:rsidP="00202A3C">
      <w:pPr>
        <w:pStyle w:val="Heading3"/>
        <w:rPr>
          <w:rtl/>
          <w:lang w:bidi="ar-EG"/>
        </w:rPr>
      </w:pPr>
      <w:r w:rsidRPr="00C13C12">
        <w:rPr>
          <w:rFonts w:hint="cs"/>
          <w:rtl/>
          <w:lang w:bidi="ar-EG"/>
        </w:rPr>
        <w:t>أعضاء مجلس الإدارة</w:t>
      </w:r>
    </w:p>
    <w:p w:rsidR="00F15E18" w:rsidRDefault="00F15E18" w:rsidP="00060B2D">
      <w:pPr>
        <w:spacing w:before="200" w:line="360" w:lineRule="exact"/>
        <w:ind w:left="6"/>
        <w:rPr>
          <w:sz w:val="40"/>
          <w:szCs w:val="40"/>
          <w:rtl/>
          <w:lang w:bidi="ar-EG"/>
        </w:rPr>
      </w:pPr>
      <w:r>
        <w:rPr>
          <w:rtl/>
          <w:lang w:bidi="ar-EG"/>
        </w:rPr>
        <w:t>السيد سيباستيان نار مولهو، الرئيس، (فرنسا)</w:t>
      </w:r>
    </w:p>
    <w:p w:rsidR="00F15E18" w:rsidRDefault="00F15E18" w:rsidP="00366C51">
      <w:pPr>
        <w:spacing w:line="360" w:lineRule="exact"/>
        <w:ind w:left="6"/>
        <w:rPr>
          <w:sz w:val="40"/>
          <w:szCs w:val="40"/>
          <w:rtl/>
          <w:lang w:bidi="ar-EG"/>
        </w:rPr>
      </w:pPr>
      <w:r>
        <w:rPr>
          <w:rtl/>
          <w:lang w:bidi="ar-EG"/>
        </w:rPr>
        <w:t>السيد ميشيل سيتبون، نائب الرئيس، (فرنسا)</w:t>
      </w:r>
    </w:p>
    <w:p w:rsidR="00F15E18" w:rsidRDefault="00F15E18" w:rsidP="00202A3C">
      <w:pPr>
        <w:pStyle w:val="Heading3"/>
        <w:rPr>
          <w:rtl/>
          <w:lang w:bidi="ar-EG"/>
        </w:rPr>
      </w:pPr>
      <w:r w:rsidRPr="0028259B">
        <w:rPr>
          <w:rtl/>
          <w:lang w:bidi="ar-EG"/>
        </w:rPr>
        <w:t>أعضاء اللجنة الدائمة</w:t>
      </w:r>
    </w:p>
    <w:p w:rsidR="00F15E18" w:rsidRDefault="00F15E18" w:rsidP="00060B2D">
      <w:pPr>
        <w:spacing w:before="200" w:line="360" w:lineRule="exact"/>
        <w:ind w:left="6"/>
        <w:rPr>
          <w:sz w:val="40"/>
          <w:szCs w:val="40"/>
          <w:rtl/>
          <w:lang w:bidi="ar-EG"/>
        </w:rPr>
      </w:pPr>
      <w:r>
        <w:rPr>
          <w:rtl/>
          <w:lang w:bidi="ar-EG"/>
        </w:rPr>
        <w:t>السيد فريد غيوشي (فرنسا)</w:t>
      </w:r>
    </w:p>
    <w:p w:rsidR="00F15E18" w:rsidRDefault="00F15E18" w:rsidP="00366C51">
      <w:pPr>
        <w:spacing w:line="360" w:lineRule="exact"/>
        <w:ind w:left="6"/>
        <w:rPr>
          <w:sz w:val="40"/>
          <w:szCs w:val="40"/>
          <w:rtl/>
          <w:lang w:bidi="ar-EG"/>
        </w:rPr>
      </w:pPr>
      <w:r>
        <w:rPr>
          <w:rtl/>
          <w:lang w:bidi="ar-EG"/>
        </w:rPr>
        <w:t>السيد كنزي ريبولت - زيمولي (فرنسا)</w:t>
      </w:r>
    </w:p>
    <w:p w:rsidR="00F15E18" w:rsidRDefault="00F15E18" w:rsidP="00202A3C">
      <w:pPr>
        <w:pStyle w:val="Heading3"/>
        <w:rPr>
          <w:rtl/>
          <w:lang w:bidi="ar-EG"/>
        </w:rPr>
      </w:pPr>
      <w:r>
        <w:rPr>
          <w:rFonts w:hint="cs"/>
          <w:rtl/>
        </w:rPr>
        <w:t xml:space="preserve">أعضاء </w:t>
      </w:r>
      <w:r w:rsidRPr="00661567">
        <w:rPr>
          <w:rtl/>
          <w:lang w:bidi="ar-EG"/>
        </w:rPr>
        <w:t>المكتب</w:t>
      </w:r>
    </w:p>
    <w:p w:rsidR="00F15E18" w:rsidRDefault="00F15E18" w:rsidP="00366C51">
      <w:pPr>
        <w:spacing w:before="200" w:line="360" w:lineRule="exact"/>
        <w:ind w:left="6"/>
        <w:rPr>
          <w:sz w:val="40"/>
          <w:szCs w:val="40"/>
          <w:rtl/>
          <w:lang w:bidi="ar-EG"/>
        </w:rPr>
      </w:pPr>
      <w:r>
        <w:rPr>
          <w:rtl/>
          <w:lang w:bidi="ar-EG"/>
        </w:rPr>
        <w:t>السيد فريد غيوشي (فرنسا)</w:t>
      </w:r>
    </w:p>
    <w:p w:rsidR="00F15E18" w:rsidRDefault="00F15E18" w:rsidP="00366C51">
      <w:pPr>
        <w:spacing w:line="360" w:lineRule="exact"/>
        <w:ind w:left="6"/>
        <w:rPr>
          <w:sz w:val="40"/>
          <w:szCs w:val="40"/>
          <w:rtl/>
          <w:lang w:bidi="ar-EG"/>
        </w:rPr>
      </w:pPr>
      <w:r>
        <w:rPr>
          <w:rtl/>
          <w:lang w:bidi="ar-EG"/>
        </w:rPr>
        <w:t>السيد كنزي ريبولت - زيمولي (فرنسا)</w:t>
      </w:r>
    </w:p>
    <w:p w:rsidR="00F15E18" w:rsidRDefault="00F15E18" w:rsidP="00366C51">
      <w:pPr>
        <w:spacing w:line="360" w:lineRule="exact"/>
        <w:ind w:left="6"/>
        <w:rPr>
          <w:sz w:val="40"/>
          <w:szCs w:val="40"/>
          <w:rtl/>
          <w:lang w:bidi="ar-EG"/>
        </w:rPr>
      </w:pPr>
      <w:r>
        <w:rPr>
          <w:rtl/>
          <w:lang w:bidi="ar-EG"/>
        </w:rPr>
        <w:t>السيد مايكل كراويتز (أمريكا الشمالية)</w:t>
      </w:r>
    </w:p>
    <w:p w:rsidR="00F15E18" w:rsidRDefault="00F15E18" w:rsidP="00366C51">
      <w:pPr>
        <w:spacing w:line="360" w:lineRule="exact"/>
        <w:ind w:left="6"/>
        <w:rPr>
          <w:sz w:val="40"/>
          <w:szCs w:val="40"/>
          <w:lang w:bidi="ar-EG"/>
        </w:rPr>
      </w:pPr>
      <w:r>
        <w:rPr>
          <w:rtl/>
          <w:lang w:bidi="ar-EG"/>
        </w:rPr>
        <w:t>السيدة هانا غابرييلوفا (الجمهورية التشيكية)</w:t>
      </w:r>
    </w:p>
    <w:p w:rsidR="00F15E18" w:rsidRPr="00F15E18" w:rsidRDefault="00F15E18" w:rsidP="00366C51">
      <w:pPr>
        <w:rPr>
          <w:sz w:val="40"/>
          <w:szCs w:val="40"/>
          <w:rtl/>
          <w:lang w:bidi="ar-EG"/>
        </w:rPr>
      </w:pPr>
      <w:r w:rsidRPr="00F15E18">
        <w:rPr>
          <w:sz w:val="40"/>
          <w:szCs w:val="40"/>
          <w:rtl/>
          <w:lang w:bidi="ar-EG"/>
        </w:rPr>
        <w:t>السيدة آمي كيس كينغ (أمريكا الشمالية)</w:t>
      </w:r>
    </w:p>
    <w:p w:rsidR="00F15E18" w:rsidRDefault="00F15E18" w:rsidP="00366C51">
      <w:pPr>
        <w:rPr>
          <w:sz w:val="40"/>
          <w:szCs w:val="40"/>
          <w:rtl/>
          <w:lang w:bidi="ar-EG"/>
        </w:rPr>
      </w:pPr>
      <w:r w:rsidRPr="00F15E18">
        <w:rPr>
          <w:sz w:val="40"/>
          <w:szCs w:val="40"/>
          <w:rtl/>
          <w:lang w:bidi="ar-EG"/>
        </w:rPr>
        <w:t>السيد سيمون أندرفوهرين بيجيه (سويسرا)</w:t>
      </w:r>
    </w:p>
    <w:p w:rsidR="00F15E18" w:rsidRDefault="00F15E18" w:rsidP="00202A3C">
      <w:pPr>
        <w:pStyle w:val="Heading3"/>
        <w:rPr>
          <w:rtl/>
          <w:lang w:bidi="ar-EG"/>
        </w:rPr>
      </w:pPr>
      <w:r w:rsidRPr="00EA1230">
        <w:rPr>
          <w:rFonts w:hint="cs"/>
          <w:rtl/>
          <w:lang w:bidi="ar-EG"/>
        </w:rPr>
        <w:t>مهمة المنظمة ورؤيتها</w:t>
      </w:r>
    </w:p>
    <w:p w:rsidR="00F15E18" w:rsidRDefault="00F15E18" w:rsidP="00366C51">
      <w:pPr>
        <w:spacing w:before="200"/>
        <w:rPr>
          <w:sz w:val="40"/>
          <w:szCs w:val="40"/>
          <w:rtl/>
          <w:lang w:bidi="ar-EG"/>
        </w:rPr>
      </w:pPr>
      <w:r>
        <w:rPr>
          <w:rtl/>
          <w:lang w:bidi="ar-EG"/>
        </w:rPr>
        <w:t xml:space="preserve">المهمة: </w:t>
      </w:r>
      <w:r>
        <w:rPr>
          <w:rFonts w:hint="cs"/>
          <w:rtl/>
          <w:lang w:bidi="ar-EG"/>
        </w:rPr>
        <w:t xml:space="preserve">سن </w:t>
      </w:r>
      <w:r w:rsidRPr="00A01444">
        <w:rPr>
          <w:rtl/>
          <w:lang w:bidi="ar-EG"/>
        </w:rPr>
        <w:t xml:space="preserve">سياسات قائمة على الأدلة </w:t>
      </w:r>
      <w:r>
        <w:rPr>
          <w:rFonts w:hint="cs"/>
          <w:rtl/>
          <w:lang w:bidi="ar-EG"/>
        </w:rPr>
        <w:t>وتتسم بالشفافية</w:t>
      </w:r>
      <w:r w:rsidRPr="00A01444">
        <w:rPr>
          <w:rtl/>
          <w:lang w:bidi="ar-EG"/>
        </w:rPr>
        <w:t xml:space="preserve"> وقابلة للقياس وديمقراطية ومنصفة اجتماعيا ومستدامة بيئيا فيما يتعلق بالمخدرات أو النباتات أو المنتجات أو المواد الخاضعة</w:t>
      </w:r>
      <w:r>
        <w:rPr>
          <w:rFonts w:hint="cs"/>
          <w:rtl/>
          <w:lang w:bidi="ar-EG"/>
        </w:rPr>
        <w:t xml:space="preserve"> كلها</w:t>
      </w:r>
      <w:r w:rsidRPr="00A01444">
        <w:rPr>
          <w:rtl/>
          <w:lang w:bidi="ar-EG"/>
        </w:rPr>
        <w:t xml:space="preserve"> للرقابة. </w:t>
      </w:r>
      <w:r>
        <w:rPr>
          <w:rFonts w:hint="cs"/>
          <w:rtl/>
          <w:lang w:bidi="ar-EG"/>
        </w:rPr>
        <w:t xml:space="preserve">وينبغي أن تكون </w:t>
      </w:r>
      <w:r w:rsidR="00B22B20">
        <w:rPr>
          <w:rFonts w:hint="cs"/>
          <w:rtl/>
          <w:lang w:bidi="ar-EG"/>
        </w:rPr>
        <w:t>هذه السيا</w:t>
      </w:r>
      <w:r>
        <w:rPr>
          <w:rFonts w:hint="cs"/>
          <w:rtl/>
          <w:lang w:bidi="ar-EG"/>
        </w:rPr>
        <w:t>سات مؤطرة</w:t>
      </w:r>
      <w:r w:rsidRPr="00A0144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A01444">
        <w:rPr>
          <w:rtl/>
          <w:lang w:bidi="ar-EG"/>
        </w:rPr>
        <w:t>الحقوق الأساسية والتنمية المستدامة</w:t>
      </w:r>
      <w:r>
        <w:rPr>
          <w:rFonts w:hint="cs"/>
          <w:rtl/>
          <w:lang w:bidi="ar-EG"/>
        </w:rPr>
        <w:t xml:space="preserve"> وأن تمكّن</w:t>
      </w:r>
      <w:r w:rsidRPr="00A0144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الأفراد</w:t>
      </w:r>
      <w:r w:rsidRPr="00A0144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وتحمي</w:t>
      </w:r>
      <w:r w:rsidRPr="00A01444">
        <w:rPr>
          <w:rtl/>
          <w:lang w:bidi="ar-EG"/>
        </w:rPr>
        <w:t xml:space="preserve"> المجتمعات.</w:t>
      </w:r>
    </w:p>
    <w:p w:rsidR="004D6B86" w:rsidRDefault="00F15E18" w:rsidP="000E1E9F">
      <w:pPr>
        <w:spacing w:before="200"/>
        <w:rPr>
          <w:sz w:val="40"/>
          <w:szCs w:val="40"/>
          <w:rtl/>
          <w:lang w:bidi="ar-EG"/>
        </w:rPr>
      </w:pPr>
      <w:r>
        <w:rPr>
          <w:rtl/>
          <w:lang w:bidi="ar-EG"/>
        </w:rPr>
        <w:t xml:space="preserve">الرؤية: </w:t>
      </w:r>
      <w:r>
        <w:rPr>
          <w:rFonts w:hint="cs"/>
          <w:rtl/>
          <w:lang w:bidi="ar-EG"/>
        </w:rPr>
        <w:t>النهوض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 xml:space="preserve">السياسات والممارسات من خلال البحث </w:t>
      </w:r>
      <w:r>
        <w:rPr>
          <w:rFonts w:hint="cs"/>
          <w:rtl/>
          <w:lang w:bidi="ar-EG"/>
        </w:rPr>
        <w:t>وصياغة</w:t>
      </w:r>
      <w:r>
        <w:rPr>
          <w:rtl/>
          <w:lang w:bidi="ar-EG"/>
        </w:rPr>
        <w:t xml:space="preserve"> نماذج صارمة وأخلاقية</w:t>
      </w:r>
      <w:r w:rsidRPr="00E55D6F">
        <w:rPr>
          <w:rtl/>
        </w:rPr>
        <w:t xml:space="preserve"> </w:t>
      </w:r>
      <w:r>
        <w:rPr>
          <w:rFonts w:hint="cs"/>
          <w:rtl/>
        </w:rPr>
        <w:t>من ال</w:t>
      </w:r>
      <w:r w:rsidRPr="00E55D6F">
        <w:rPr>
          <w:rtl/>
          <w:lang w:bidi="ar-EG"/>
        </w:rPr>
        <w:t>سياسات</w:t>
      </w:r>
      <w:r w:rsidR="00BE39C9">
        <w:rPr>
          <w:rFonts w:hint="cs"/>
          <w:rtl/>
          <w:lang w:bidi="ar-EG"/>
        </w:rPr>
        <w:t xml:space="preserve">. وتسعى أيضا إلى </w:t>
      </w:r>
      <w:r>
        <w:rPr>
          <w:rtl/>
          <w:lang w:bidi="ar-EG"/>
        </w:rPr>
        <w:t>اتخاذ إجراءات من خلال الهندسة الاجتماعية والعمليات الجماعية.</w:t>
      </w:r>
    </w:p>
    <w:p w:rsidR="004D6B86" w:rsidRDefault="00F15E18" w:rsidP="00202A3C">
      <w:pPr>
        <w:pStyle w:val="Heading3"/>
        <w:rPr>
          <w:rtl/>
          <w:lang w:bidi="ar-EG"/>
        </w:rPr>
      </w:pPr>
      <w:r w:rsidRPr="00C13C12">
        <w:rPr>
          <w:rFonts w:hint="cs"/>
          <w:rtl/>
          <w:lang w:bidi="ar-EG"/>
        </w:rPr>
        <w:t>بيانات الاتصال الكاملة</w:t>
      </w:r>
    </w:p>
    <w:p w:rsidR="00F15E18" w:rsidRPr="004D6B86" w:rsidRDefault="00F15E18" w:rsidP="001B1EA8">
      <w:pPr>
        <w:spacing w:before="200"/>
        <w:rPr>
          <w:sz w:val="40"/>
          <w:szCs w:val="40"/>
          <w:rtl/>
          <w:lang w:bidi="ar-EG"/>
        </w:rPr>
      </w:pPr>
      <w:r>
        <w:rPr>
          <w:rFonts w:hint="cs"/>
          <w:rtl/>
          <w:lang w:val="es-ES"/>
        </w:rPr>
        <w:t xml:space="preserve">العنوان البريدي: </w:t>
      </w:r>
      <w:r w:rsidRPr="005A7DD6">
        <w:rPr>
          <w:rtl/>
          <w:lang w:val="es-ES"/>
        </w:rPr>
        <w:t xml:space="preserve">8 </w:t>
      </w:r>
      <w:r w:rsidRPr="005A7DD6">
        <w:rPr>
          <w:lang w:val="es-ES"/>
        </w:rPr>
        <w:t xml:space="preserve">rue du </w:t>
      </w:r>
      <w:proofErr w:type="spellStart"/>
      <w:r w:rsidRPr="005A7DD6">
        <w:rPr>
          <w:lang w:val="es-ES"/>
        </w:rPr>
        <w:t>Général</w:t>
      </w:r>
      <w:proofErr w:type="spellEnd"/>
      <w:r w:rsidRPr="005A7DD6">
        <w:rPr>
          <w:lang w:val="es-ES"/>
        </w:rPr>
        <w:t xml:space="preserve"> Renault </w:t>
      </w:r>
      <w:proofErr w:type="spellStart"/>
      <w:r w:rsidRPr="005A7DD6">
        <w:rPr>
          <w:lang w:val="es-ES"/>
        </w:rPr>
        <w:t>Maison</w:t>
      </w:r>
      <w:proofErr w:type="spellEnd"/>
      <w:r w:rsidRPr="005A7DD6">
        <w:rPr>
          <w:lang w:val="es-ES"/>
        </w:rPr>
        <w:t xml:space="preserve"> des </w:t>
      </w:r>
      <w:proofErr w:type="spellStart"/>
      <w:r w:rsidRPr="005A7DD6">
        <w:rPr>
          <w:lang w:val="es-ES"/>
        </w:rPr>
        <w:t>Associations</w:t>
      </w:r>
      <w:proofErr w:type="spellEnd"/>
      <w:r w:rsidRPr="005A7DD6">
        <w:rPr>
          <w:lang w:val="es-ES"/>
        </w:rPr>
        <w:t xml:space="preserve"> du 11ème </w:t>
      </w:r>
      <w:proofErr w:type="spellStart"/>
      <w:r w:rsidRPr="005A7DD6">
        <w:rPr>
          <w:lang w:val="es-ES"/>
        </w:rPr>
        <w:t>Arrdt</w:t>
      </w:r>
      <w:proofErr w:type="spellEnd"/>
      <w:r w:rsidRPr="005A7DD6">
        <w:rPr>
          <w:lang w:val="es-ES"/>
        </w:rPr>
        <w:t>., 75011 Paris</w:t>
      </w:r>
    </w:p>
    <w:p w:rsidR="00F15E18" w:rsidRDefault="00F15E18" w:rsidP="00060B2D">
      <w:pPr>
        <w:keepNext/>
        <w:spacing w:line="360" w:lineRule="exact"/>
        <w:rPr>
          <w:rtl/>
        </w:rPr>
      </w:pPr>
      <w:r>
        <w:rPr>
          <w:rFonts w:hint="cs"/>
          <w:rtl/>
        </w:rPr>
        <w:t xml:space="preserve">البريد الإلكتروني: </w:t>
      </w:r>
      <w:hyperlink r:id="rId10" w:history="1">
        <w:r w:rsidRPr="00EA023D">
          <w:rPr>
            <w:rStyle w:val="Hyperlink"/>
            <w:lang w:val="de-CH"/>
          </w:rPr>
          <w:t>info@faaat.net</w:t>
        </w:r>
      </w:hyperlink>
    </w:p>
    <w:p w:rsidR="00F15E18" w:rsidRDefault="00F15E18" w:rsidP="00060B2D">
      <w:pPr>
        <w:keepNext/>
        <w:spacing w:line="360" w:lineRule="exact"/>
        <w:rPr>
          <w:rtl/>
          <w:lang w:bidi="ar-EG"/>
        </w:rPr>
      </w:pPr>
      <w:r>
        <w:rPr>
          <w:rFonts w:hint="cs"/>
          <w:rtl/>
        </w:rPr>
        <w:t>الموقع الإلكتروني</w:t>
      </w:r>
      <w:r w:rsidRPr="00C13C12">
        <w:rPr>
          <w:rFonts w:hint="cs"/>
          <w:rtl/>
        </w:rPr>
        <w:t xml:space="preserve">: </w:t>
      </w:r>
      <w:hyperlink r:id="rId11" w:history="1">
        <w:r w:rsidRPr="00561001">
          <w:rPr>
            <w:rStyle w:val="Hyperlink"/>
            <w:rFonts w:eastAsia="SimSun"/>
            <w:lang w:eastAsia="zh-CN"/>
          </w:rPr>
          <w:t>www.faaat.net</w:t>
        </w:r>
      </w:hyperlink>
    </w:p>
    <w:p w:rsidR="004D6B86" w:rsidRPr="00D808BD" w:rsidRDefault="004D6B86" w:rsidP="00D808BD">
      <w:pPr>
        <w:pStyle w:val="Endofdocument-Annex"/>
        <w:rPr>
          <w:rtl/>
        </w:rPr>
        <w:sectPr w:rsidR="004D6B86" w:rsidRPr="00D808BD" w:rsidSect="001B1EA8">
          <w:headerReference w:type="default" r:id="rId12"/>
          <w:headerReference w:type="first" r:id="rId13"/>
          <w:pgSz w:w="11907" w:h="16840" w:code="9"/>
          <w:pgMar w:top="567" w:right="1418" w:bottom="1170" w:left="1134" w:header="510" w:footer="1021" w:gutter="0"/>
          <w:pgNumType w:start="1"/>
          <w:cols w:space="720"/>
          <w:titlePg/>
          <w:docGrid w:linePitch="299"/>
        </w:sectPr>
      </w:pPr>
      <w:r w:rsidRPr="00C13C12">
        <w:rPr>
          <w:rFonts w:hint="cs"/>
          <w:rtl/>
        </w:rPr>
        <w:t>[يلي ذلك المرفق</w:t>
      </w:r>
      <w:r>
        <w:rPr>
          <w:rFonts w:hint="cs"/>
          <w:rtl/>
        </w:rPr>
        <w:t xml:space="preserve"> الثاني</w:t>
      </w:r>
      <w:r w:rsidRPr="00C13C12">
        <w:rPr>
          <w:rFonts w:hint="cs"/>
          <w:rtl/>
        </w:rPr>
        <w:t>]</w:t>
      </w:r>
    </w:p>
    <w:p w:rsidR="00C13C12" w:rsidRPr="004D6B86" w:rsidRDefault="004D6B86" w:rsidP="006A7342">
      <w:pPr>
        <w:keepNext/>
        <w:spacing w:line="360" w:lineRule="exact"/>
        <w:rPr>
          <w:b/>
          <w:bCs/>
          <w:sz w:val="44"/>
          <w:szCs w:val="44"/>
          <w:rtl/>
          <w:lang w:bidi="ar-EG"/>
        </w:rPr>
      </w:pPr>
      <w:r w:rsidRPr="004D6B86">
        <w:rPr>
          <w:b/>
          <w:bCs/>
          <w:sz w:val="44"/>
          <w:szCs w:val="44"/>
          <w:rtl/>
          <w:lang w:bidi="ar-EG"/>
        </w:rPr>
        <w:lastRenderedPageBreak/>
        <w:t>منظمة جنيف للتدريب العالمي على حقوق الإنسان</w:t>
      </w: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 w:rsidRPr="004D6B86">
        <w:rPr>
          <w:rFonts w:hint="cs"/>
          <w:b/>
          <w:bCs/>
          <w:sz w:val="44"/>
          <w:szCs w:val="44"/>
          <w:rtl/>
          <w:lang w:bidi="ar-EG"/>
        </w:rPr>
        <w:t>(</w:t>
      </w:r>
      <w:r w:rsidRPr="004D6B86">
        <w:rPr>
          <w:b/>
          <w:bCs/>
          <w:sz w:val="44"/>
          <w:szCs w:val="44"/>
          <w:lang w:bidi="ar-EG"/>
        </w:rPr>
        <w:t>GHR</w:t>
      </w:r>
      <w:r w:rsidRPr="004D6B86">
        <w:rPr>
          <w:rFonts w:hint="cs"/>
          <w:b/>
          <w:bCs/>
          <w:sz w:val="44"/>
          <w:szCs w:val="44"/>
          <w:rtl/>
          <w:lang w:bidi="ar-EG"/>
        </w:rPr>
        <w:t>)</w:t>
      </w:r>
    </w:p>
    <w:p w:rsidR="00C13C12" w:rsidRPr="00C13C12" w:rsidRDefault="004D6B86" w:rsidP="00202A3C">
      <w:pPr>
        <w:pStyle w:val="Heading3"/>
        <w:spacing w:before="120"/>
        <w:rPr>
          <w:rtl/>
          <w:lang w:bidi="ar-EG"/>
        </w:rPr>
      </w:pPr>
      <w:r>
        <w:rPr>
          <w:rFonts w:hint="cs"/>
          <w:rtl/>
          <w:lang w:bidi="ar-EG"/>
        </w:rPr>
        <w:t>أعضاء المكتب</w:t>
      </w:r>
    </w:p>
    <w:p w:rsidR="00834EE3" w:rsidRDefault="00834EE3" w:rsidP="00202A3C">
      <w:pPr>
        <w:spacing w:before="120" w:line="360" w:lineRule="exact"/>
        <w:rPr>
          <w:rtl/>
        </w:rPr>
      </w:pPr>
      <w:r>
        <w:rPr>
          <w:rtl/>
        </w:rPr>
        <w:t>كوينتين ويبر (سويسرا)</w:t>
      </w:r>
    </w:p>
    <w:p w:rsidR="00834EE3" w:rsidRDefault="00834EE3" w:rsidP="00834EE3">
      <w:pPr>
        <w:spacing w:line="360" w:lineRule="exact"/>
        <w:rPr>
          <w:rtl/>
        </w:rPr>
      </w:pPr>
      <w:r>
        <w:rPr>
          <w:rtl/>
        </w:rPr>
        <w:t>كليمانتين غاسبار (سويسرا)</w:t>
      </w:r>
    </w:p>
    <w:p w:rsidR="00834EE3" w:rsidRDefault="00834EE3" w:rsidP="00834EE3">
      <w:pPr>
        <w:spacing w:line="360" w:lineRule="exact"/>
        <w:rPr>
          <w:rtl/>
        </w:rPr>
      </w:pPr>
      <w:r>
        <w:rPr>
          <w:rtl/>
        </w:rPr>
        <w:t>ماريفا روديت (سويسرا)</w:t>
      </w:r>
    </w:p>
    <w:p w:rsidR="00834EE3" w:rsidRDefault="00834EE3" w:rsidP="00E43616">
      <w:pPr>
        <w:spacing w:line="360" w:lineRule="exact"/>
        <w:rPr>
          <w:rtl/>
        </w:rPr>
      </w:pPr>
      <w:r>
        <w:rPr>
          <w:rtl/>
        </w:rPr>
        <w:t xml:space="preserve">تيفاني </w:t>
      </w:r>
      <w:r w:rsidR="00E43616">
        <w:rPr>
          <w:rFonts w:hint="cs"/>
          <w:rtl/>
        </w:rPr>
        <w:t>باج</w:t>
      </w:r>
      <w:r>
        <w:rPr>
          <w:rtl/>
        </w:rPr>
        <w:t xml:space="preserve"> (سويسرا)</w:t>
      </w:r>
    </w:p>
    <w:p w:rsidR="00834EE3" w:rsidRDefault="00E50BB3" w:rsidP="00834EE3">
      <w:pPr>
        <w:spacing w:line="360" w:lineRule="exact"/>
        <w:rPr>
          <w:rtl/>
        </w:rPr>
      </w:pPr>
      <w:r>
        <w:rPr>
          <w:rtl/>
        </w:rPr>
        <w:t>نيكولاس زول</w:t>
      </w:r>
      <w:r w:rsidR="00834EE3">
        <w:rPr>
          <w:rtl/>
        </w:rPr>
        <w:t>ر (سويسرا)</w:t>
      </w:r>
    </w:p>
    <w:p w:rsidR="00834EE3" w:rsidRDefault="00E50BB3" w:rsidP="00834EE3">
      <w:pPr>
        <w:spacing w:line="360" w:lineRule="exact"/>
        <w:rPr>
          <w:rtl/>
        </w:rPr>
      </w:pPr>
      <w:r>
        <w:rPr>
          <w:rtl/>
        </w:rPr>
        <w:t>أدريان كلود زول</w:t>
      </w:r>
      <w:r w:rsidR="00834EE3">
        <w:rPr>
          <w:rtl/>
        </w:rPr>
        <w:t>ر (سويسرا)</w:t>
      </w:r>
    </w:p>
    <w:p w:rsidR="00834EE3" w:rsidRPr="00834EE3" w:rsidRDefault="00834EE3" w:rsidP="00202A3C">
      <w:pPr>
        <w:pStyle w:val="Heading3"/>
        <w:rPr>
          <w:rtl/>
        </w:rPr>
      </w:pPr>
      <w:r w:rsidRPr="00834EE3">
        <w:rPr>
          <w:rtl/>
        </w:rPr>
        <w:t>المجلس التنفيذي</w:t>
      </w:r>
    </w:p>
    <w:p w:rsidR="00834EE3" w:rsidRDefault="00834EE3" w:rsidP="00202A3C">
      <w:pPr>
        <w:spacing w:before="120" w:line="360" w:lineRule="exact"/>
        <w:rPr>
          <w:rtl/>
        </w:rPr>
      </w:pPr>
      <w:r>
        <w:rPr>
          <w:rtl/>
        </w:rPr>
        <w:t>سوهاس تشاكما (الهند)</w:t>
      </w:r>
    </w:p>
    <w:p w:rsidR="00834EE3" w:rsidRDefault="00E43616" w:rsidP="00E43616">
      <w:pPr>
        <w:spacing w:line="360" w:lineRule="exact"/>
        <w:rPr>
          <w:rtl/>
        </w:rPr>
      </w:pPr>
      <w:r>
        <w:rPr>
          <w:rtl/>
        </w:rPr>
        <w:t>آلان ديك (فرنسا</w:t>
      </w:r>
      <w:r w:rsidR="00834EE3">
        <w:rPr>
          <w:rtl/>
        </w:rPr>
        <w:t xml:space="preserve">، </w:t>
      </w:r>
      <w:r w:rsidRPr="00E43616">
        <w:rPr>
          <w:rtl/>
        </w:rPr>
        <w:t xml:space="preserve">عضو </w:t>
      </w:r>
      <w:r>
        <w:rPr>
          <w:rFonts w:hint="cs"/>
          <w:rtl/>
        </w:rPr>
        <w:t>ال</w:t>
      </w:r>
      <w:r w:rsidR="00834EE3">
        <w:rPr>
          <w:rtl/>
        </w:rPr>
        <w:t>مكتب)</w:t>
      </w:r>
    </w:p>
    <w:p w:rsidR="00834EE3" w:rsidRDefault="00E43616" w:rsidP="00E43616">
      <w:pPr>
        <w:spacing w:line="360" w:lineRule="exact"/>
        <w:rPr>
          <w:rtl/>
        </w:rPr>
      </w:pPr>
      <w:r>
        <w:rPr>
          <w:rtl/>
        </w:rPr>
        <w:t>جان بيير هوبر (سويسرا</w:t>
      </w:r>
      <w:r w:rsidR="00834EE3">
        <w:rPr>
          <w:rtl/>
        </w:rPr>
        <w:t xml:space="preserve">، أمين </w:t>
      </w:r>
      <w:r>
        <w:rPr>
          <w:rFonts w:hint="cs"/>
          <w:rtl/>
        </w:rPr>
        <w:t>الخزانة</w:t>
      </w:r>
      <w:r w:rsidR="00834EE3">
        <w:rPr>
          <w:rtl/>
        </w:rPr>
        <w:t>)</w:t>
      </w:r>
    </w:p>
    <w:p w:rsidR="00834EE3" w:rsidRDefault="00834EE3" w:rsidP="00E43616">
      <w:pPr>
        <w:spacing w:line="360" w:lineRule="exact"/>
        <w:rPr>
          <w:rtl/>
        </w:rPr>
      </w:pPr>
      <w:r>
        <w:rPr>
          <w:rtl/>
        </w:rPr>
        <w:t>غييرمو كيربر ماس (أوروجواي)</w:t>
      </w:r>
    </w:p>
    <w:p w:rsidR="00834EE3" w:rsidRDefault="00834EE3" w:rsidP="00E43616">
      <w:pPr>
        <w:spacing w:line="360" w:lineRule="exact"/>
        <w:rPr>
          <w:rtl/>
        </w:rPr>
      </w:pPr>
      <w:r>
        <w:rPr>
          <w:rtl/>
        </w:rPr>
        <w:t>السيدة بيني باركر (الولايات المتحدة الأمريكية)</w:t>
      </w:r>
    </w:p>
    <w:p w:rsidR="00E43616" w:rsidRDefault="00834EE3" w:rsidP="00E43616">
      <w:pPr>
        <w:spacing w:line="360" w:lineRule="exact"/>
        <w:rPr>
          <w:rtl/>
        </w:rPr>
      </w:pPr>
      <w:r>
        <w:rPr>
          <w:rtl/>
        </w:rPr>
        <w:t>البروفيسور برتراند رامشاران (غيانا)</w:t>
      </w:r>
    </w:p>
    <w:p w:rsidR="00834EE3" w:rsidRDefault="00E43616" w:rsidP="00E43616">
      <w:pPr>
        <w:spacing w:line="360" w:lineRule="exact"/>
        <w:rPr>
          <w:rtl/>
        </w:rPr>
      </w:pPr>
      <w:r>
        <w:rPr>
          <w:rtl/>
        </w:rPr>
        <w:t>إريك ريفيلت (سويسرا</w:t>
      </w:r>
      <w:r w:rsidR="00834EE3">
        <w:rPr>
          <w:rtl/>
        </w:rPr>
        <w:t>، عضو المكتب)</w:t>
      </w:r>
    </w:p>
    <w:p w:rsidR="00834EE3" w:rsidRDefault="00E43616" w:rsidP="00E43616">
      <w:pPr>
        <w:spacing w:line="360" w:lineRule="exact"/>
        <w:rPr>
          <w:rtl/>
        </w:rPr>
      </w:pPr>
      <w:r>
        <w:rPr>
          <w:rtl/>
        </w:rPr>
        <w:t>أدريان كلود زولر (سويسرا</w:t>
      </w:r>
      <w:r w:rsidR="00834EE3">
        <w:rPr>
          <w:rtl/>
        </w:rPr>
        <w:t>، الرئيس).</w:t>
      </w:r>
    </w:p>
    <w:p w:rsidR="00834EE3" w:rsidRPr="00E43616" w:rsidRDefault="00834EE3" w:rsidP="00561001">
      <w:pPr>
        <w:pStyle w:val="Heading3"/>
        <w:rPr>
          <w:rtl/>
        </w:rPr>
      </w:pPr>
      <w:r w:rsidRPr="00E43616">
        <w:rPr>
          <w:rtl/>
        </w:rPr>
        <w:t>ولاية المنظمة وأهدافها</w:t>
      </w:r>
    </w:p>
    <w:p w:rsidR="00834EE3" w:rsidRDefault="00021BF9" w:rsidP="00202A3C">
      <w:pPr>
        <w:spacing w:before="120" w:line="360" w:lineRule="exact"/>
      </w:pPr>
      <w:r w:rsidRPr="00021BF9">
        <w:rPr>
          <w:rtl/>
        </w:rPr>
        <w:t>منظمة جنيف للتدريب العالمي على حقوق الإنسان (</w:t>
      </w:r>
      <w:r w:rsidRPr="00021BF9">
        <w:t>GHR</w:t>
      </w:r>
      <w:r w:rsidRPr="00021BF9">
        <w:rPr>
          <w:rtl/>
        </w:rPr>
        <w:t>)</w:t>
      </w:r>
      <w:r>
        <w:rPr>
          <w:rFonts w:hint="cs"/>
          <w:rtl/>
        </w:rPr>
        <w:t xml:space="preserve"> هي منظمة مختصة في التدريب.</w:t>
      </w:r>
    </w:p>
    <w:p w:rsidR="00485D8A" w:rsidRDefault="00834EE3" w:rsidP="00202A3C">
      <w:pPr>
        <w:pStyle w:val="BodyText"/>
        <w:spacing w:before="120"/>
        <w:rPr>
          <w:rtl/>
        </w:rPr>
      </w:pPr>
      <w:r>
        <w:rPr>
          <w:rtl/>
        </w:rPr>
        <w:t>من خلال التدريب والد</w:t>
      </w:r>
      <w:r w:rsidR="00AC6CFC">
        <w:rPr>
          <w:rtl/>
        </w:rPr>
        <w:t xml:space="preserve">راسة والحماية، </w:t>
      </w:r>
      <w:r w:rsidR="00AC6CFC">
        <w:rPr>
          <w:rFonts w:hint="cs"/>
          <w:rtl/>
        </w:rPr>
        <w:t>ت</w:t>
      </w:r>
      <w:r>
        <w:rPr>
          <w:rtl/>
        </w:rPr>
        <w:t xml:space="preserve">هدف </w:t>
      </w:r>
      <w:r w:rsidR="00AC6CFC">
        <w:rPr>
          <w:rFonts w:hint="cs"/>
          <w:rtl/>
        </w:rPr>
        <w:t>المنظمة</w:t>
      </w:r>
      <w:r>
        <w:rPr>
          <w:rtl/>
        </w:rPr>
        <w:t xml:space="preserve"> إلى سد الفجوة بين المعايير الدولية والحقائق</w:t>
      </w:r>
      <w:r w:rsidR="00AC6CFC">
        <w:rPr>
          <w:rFonts w:hint="cs"/>
          <w:rtl/>
        </w:rPr>
        <w:t xml:space="preserve"> على أرض الواقع</w:t>
      </w:r>
      <w:r>
        <w:rPr>
          <w:rtl/>
        </w:rPr>
        <w:t xml:space="preserve"> و</w:t>
      </w:r>
      <w:r w:rsidR="00AC6CFC">
        <w:rPr>
          <w:rFonts w:hint="cs"/>
          <w:rtl/>
        </w:rPr>
        <w:t xml:space="preserve">إلى </w:t>
      </w:r>
      <w:r>
        <w:rPr>
          <w:rtl/>
        </w:rPr>
        <w:t xml:space="preserve">تمكين جميع المشاركين </w:t>
      </w:r>
      <w:r w:rsidR="000C1B26">
        <w:rPr>
          <w:rFonts w:hint="cs"/>
          <w:rtl/>
        </w:rPr>
        <w:t>الذين يعملون على</w:t>
      </w:r>
      <w:r>
        <w:rPr>
          <w:rtl/>
        </w:rPr>
        <w:t xml:space="preserve"> </w:t>
      </w:r>
      <w:r w:rsidR="00AC6CFC">
        <w:rPr>
          <w:rFonts w:hint="cs"/>
          <w:rtl/>
        </w:rPr>
        <w:t>النهوض</w:t>
      </w:r>
      <w:r>
        <w:rPr>
          <w:rtl/>
        </w:rPr>
        <w:t xml:space="preserve"> </w:t>
      </w:r>
      <w:r w:rsidR="00AC6CFC">
        <w:rPr>
          <w:rFonts w:hint="cs"/>
          <w:rtl/>
        </w:rPr>
        <w:t>ب</w:t>
      </w:r>
      <w:r>
        <w:rPr>
          <w:rtl/>
        </w:rPr>
        <w:t xml:space="preserve">حقوق الإنسان وحمايتها. </w:t>
      </w:r>
      <w:r w:rsidR="00AC6CFC">
        <w:rPr>
          <w:rFonts w:hint="cs"/>
          <w:rtl/>
        </w:rPr>
        <w:t>و</w:t>
      </w:r>
      <w:r w:rsidR="000C1B26">
        <w:rPr>
          <w:rFonts w:hint="cs"/>
          <w:rtl/>
        </w:rPr>
        <w:t>ت</w:t>
      </w:r>
      <w:r>
        <w:rPr>
          <w:rtl/>
        </w:rPr>
        <w:t xml:space="preserve">نظم </w:t>
      </w:r>
      <w:r w:rsidR="000C1B26">
        <w:rPr>
          <w:rFonts w:hint="cs"/>
          <w:rtl/>
        </w:rPr>
        <w:t xml:space="preserve"> إدارة</w:t>
      </w:r>
      <w:r>
        <w:rPr>
          <w:rtl/>
        </w:rPr>
        <w:t xml:space="preserve"> التدريب العالمي </w:t>
      </w:r>
      <w:r w:rsidR="00AC6CFC">
        <w:rPr>
          <w:rFonts w:hint="cs"/>
          <w:rtl/>
        </w:rPr>
        <w:t>التابع</w:t>
      </w:r>
      <w:r w:rsidR="000C1B26">
        <w:rPr>
          <w:rFonts w:hint="cs"/>
          <w:rtl/>
        </w:rPr>
        <w:t>ة</w:t>
      </w:r>
      <w:r w:rsidR="00AC6CFC">
        <w:rPr>
          <w:rFonts w:hint="cs"/>
          <w:rtl/>
        </w:rPr>
        <w:t xml:space="preserve"> لها</w:t>
      </w:r>
      <w:r>
        <w:rPr>
          <w:rtl/>
        </w:rPr>
        <w:t xml:space="preserve"> كل عام عشرات الدورات التدريبية في جنيف وفي المناطق</w:t>
      </w:r>
      <w:r w:rsidR="00AC6CFC">
        <w:rPr>
          <w:rFonts w:hint="cs"/>
          <w:rtl/>
        </w:rPr>
        <w:t xml:space="preserve"> المجاورة</w:t>
      </w:r>
      <w:r>
        <w:rPr>
          <w:rtl/>
        </w:rPr>
        <w:t xml:space="preserve">. </w:t>
      </w:r>
      <w:r w:rsidR="00AC6CFC">
        <w:rPr>
          <w:rFonts w:hint="cs"/>
          <w:rtl/>
        </w:rPr>
        <w:t>و</w:t>
      </w:r>
      <w:r>
        <w:rPr>
          <w:rtl/>
        </w:rPr>
        <w:t xml:space="preserve">تدعم </w:t>
      </w:r>
      <w:r w:rsidR="00AC6CFC">
        <w:rPr>
          <w:rFonts w:hint="cs"/>
          <w:rtl/>
        </w:rPr>
        <w:t>ال</w:t>
      </w:r>
      <w:r>
        <w:rPr>
          <w:rtl/>
        </w:rPr>
        <w:t>إدارة</w:t>
      </w:r>
      <w:r w:rsidR="00AC6CFC">
        <w:rPr>
          <w:rFonts w:hint="cs"/>
          <w:rtl/>
        </w:rPr>
        <w:t xml:space="preserve"> المختصة ب</w:t>
      </w:r>
      <w:r>
        <w:rPr>
          <w:rtl/>
        </w:rPr>
        <w:t xml:space="preserve">دراسات سياسات حقوق الإنسان هذه الأنشطة التدريبية من خلال </w:t>
      </w:r>
      <w:r w:rsidR="00AC6CFC">
        <w:rPr>
          <w:rFonts w:hint="cs"/>
          <w:rtl/>
        </w:rPr>
        <w:t>رصد</w:t>
      </w:r>
      <w:r w:rsidR="00AC6CFC">
        <w:rPr>
          <w:rtl/>
        </w:rPr>
        <w:t xml:space="preserve"> وتحليل اجتماعات الأمم المتحدة </w:t>
      </w:r>
      <w:r w:rsidR="00AC6CFC">
        <w:rPr>
          <w:rFonts w:hint="cs"/>
          <w:rtl/>
        </w:rPr>
        <w:t xml:space="preserve">بشأن </w:t>
      </w:r>
      <w:r>
        <w:rPr>
          <w:rtl/>
        </w:rPr>
        <w:t>حقوق الإنسان.</w:t>
      </w:r>
    </w:p>
    <w:p w:rsidR="00C13C12" w:rsidRPr="00485D8A" w:rsidRDefault="00C13C12" w:rsidP="00202A3C">
      <w:pPr>
        <w:pStyle w:val="Heading3"/>
        <w:spacing w:before="120"/>
        <w:rPr>
          <w:rtl/>
        </w:rPr>
      </w:pPr>
      <w:r w:rsidRPr="00C13C12">
        <w:rPr>
          <w:rFonts w:hint="cs"/>
          <w:rtl/>
          <w:lang w:bidi="ar-EG"/>
        </w:rPr>
        <w:t>بيانات الاتصال الكاملة</w:t>
      </w:r>
    </w:p>
    <w:p w:rsidR="00485D8A" w:rsidRDefault="00485D8A" w:rsidP="00202A3C">
      <w:pPr>
        <w:spacing w:before="120" w:line="360" w:lineRule="exact"/>
        <w:rPr>
          <w:rtl/>
        </w:rPr>
      </w:pPr>
      <w:r>
        <w:rPr>
          <w:rFonts w:hint="cs"/>
          <w:rtl/>
          <w:lang w:val="es-ES"/>
        </w:rPr>
        <w:t xml:space="preserve">العنوان البريدي: </w:t>
      </w:r>
      <w:r w:rsidRPr="00A45238">
        <w:t>c/</w:t>
      </w:r>
      <w:r w:rsidR="0047496F">
        <w:t>o</w:t>
      </w:r>
      <w:bookmarkStart w:id="4" w:name="_GoBack"/>
      <w:bookmarkEnd w:id="4"/>
      <w:r w:rsidRPr="00A45238">
        <w:t xml:space="preserve"> Ecumenical Centre - Centre </w:t>
      </w:r>
      <w:proofErr w:type="spellStart"/>
      <w:r w:rsidRPr="00A45238">
        <w:t>Œcuménique</w:t>
      </w:r>
      <w:proofErr w:type="spellEnd"/>
      <w:r w:rsidRPr="00A45238">
        <w:t xml:space="preserve"> 150, Route de </w:t>
      </w:r>
      <w:proofErr w:type="spellStart"/>
      <w:r w:rsidRPr="00A45238">
        <w:t>Ferney</w:t>
      </w:r>
      <w:proofErr w:type="spellEnd"/>
      <w:r w:rsidRPr="00A45238">
        <w:t xml:space="preserve"> - Case / P.O. Box </w:t>
      </w:r>
      <w:r>
        <w:t>210, CH-1211 Geneva</w:t>
      </w:r>
    </w:p>
    <w:p w:rsidR="00485D8A" w:rsidRDefault="00485D8A" w:rsidP="00485D8A">
      <w:pPr>
        <w:spacing w:line="360" w:lineRule="exact"/>
        <w:rPr>
          <w:rtl/>
        </w:rPr>
      </w:pPr>
      <w:r>
        <w:rPr>
          <w:rFonts w:hint="cs"/>
          <w:rtl/>
        </w:rPr>
        <w:t xml:space="preserve">الهاتف: </w:t>
      </w:r>
      <w:r w:rsidRPr="00A45238">
        <w:t>+41 22 320 27 27</w:t>
      </w:r>
    </w:p>
    <w:p w:rsidR="00C13C12" w:rsidRDefault="00C13C12" w:rsidP="00485D8A">
      <w:pPr>
        <w:spacing w:line="360" w:lineRule="exact"/>
        <w:rPr>
          <w:rtl/>
        </w:rPr>
      </w:pPr>
      <w:r w:rsidRPr="00C13C12">
        <w:rPr>
          <w:rFonts w:hint="cs"/>
          <w:rtl/>
        </w:rPr>
        <w:t xml:space="preserve">الفاكس: </w:t>
      </w:r>
      <w:r w:rsidR="00485D8A" w:rsidRPr="00A45238">
        <w:t>+41 22 320 24 40</w:t>
      </w:r>
    </w:p>
    <w:p w:rsidR="00485D8A" w:rsidRPr="00C13C12" w:rsidRDefault="00485D8A" w:rsidP="00485D8A">
      <w:pPr>
        <w:spacing w:line="360" w:lineRule="exact"/>
        <w:rPr>
          <w:rtl/>
        </w:rPr>
      </w:pPr>
      <w:r>
        <w:rPr>
          <w:rFonts w:hint="cs"/>
          <w:rtl/>
        </w:rPr>
        <w:t xml:space="preserve">الهاتف المحمول: </w:t>
      </w:r>
      <w:r w:rsidRPr="00A45238">
        <w:t>+41 79 315 82 83</w:t>
      </w:r>
    </w:p>
    <w:p w:rsidR="00C13C12" w:rsidRDefault="00C13C12" w:rsidP="00485D8A">
      <w:pPr>
        <w:spacing w:line="360" w:lineRule="exact"/>
        <w:rPr>
          <w:rFonts w:ascii="Arial" w:eastAsia="SimSun" w:hAnsi="Arial" w:cs="Arial"/>
          <w:color w:val="0000FF"/>
          <w:sz w:val="22"/>
          <w:szCs w:val="20"/>
          <w:u w:val="single"/>
          <w:rtl/>
          <w:lang w:val="de-CH" w:eastAsia="zh-CN"/>
        </w:rPr>
      </w:pPr>
      <w:r w:rsidRPr="00C13C12">
        <w:rPr>
          <w:rtl/>
        </w:rPr>
        <w:t>البريد ا</w:t>
      </w:r>
      <w:r w:rsidRPr="00C13C12">
        <w:rPr>
          <w:rFonts w:hint="cs"/>
          <w:rtl/>
        </w:rPr>
        <w:t>لإ</w:t>
      </w:r>
      <w:r w:rsidRPr="00C13C12">
        <w:rPr>
          <w:rtl/>
        </w:rPr>
        <w:t>لكتروني:</w:t>
      </w:r>
      <w:r w:rsidRPr="00C13C12">
        <w:rPr>
          <w:rFonts w:hint="cs"/>
          <w:rtl/>
        </w:rPr>
        <w:t xml:space="preserve"> </w:t>
      </w:r>
      <w:hyperlink r:id="rId14" w:history="1">
        <w:r w:rsidR="00485D8A" w:rsidRPr="00485D8A">
          <w:rPr>
            <w:rFonts w:ascii="Arial" w:eastAsia="SimSun" w:hAnsi="Arial" w:cs="Arial"/>
            <w:color w:val="0000FF"/>
            <w:sz w:val="22"/>
            <w:szCs w:val="20"/>
            <w:u w:val="single"/>
            <w:lang w:val="de-CH" w:eastAsia="zh-CN"/>
          </w:rPr>
          <w:t>info@gdh-ghr.org</w:t>
        </w:r>
      </w:hyperlink>
    </w:p>
    <w:p w:rsidR="00485D8A" w:rsidRPr="00485D8A" w:rsidRDefault="00485D8A" w:rsidP="00485D8A">
      <w:pPr>
        <w:rPr>
          <w:rFonts w:ascii="Arial" w:eastAsia="SimSun" w:hAnsi="Arial" w:cs="Arial"/>
          <w:sz w:val="22"/>
          <w:szCs w:val="20"/>
          <w:rtl/>
          <w:lang w:eastAsia="zh-CN"/>
        </w:rPr>
      </w:pPr>
      <w:r>
        <w:rPr>
          <w:rFonts w:hint="cs"/>
          <w:rtl/>
        </w:rPr>
        <w:t>الموقع</w:t>
      </w:r>
      <w:r w:rsidRPr="00C13C12">
        <w:rPr>
          <w:rtl/>
        </w:rPr>
        <w:t xml:space="preserve"> ا</w:t>
      </w:r>
      <w:r w:rsidRPr="00C13C12">
        <w:rPr>
          <w:rFonts w:hint="cs"/>
          <w:rtl/>
        </w:rPr>
        <w:t>لإ</w:t>
      </w:r>
      <w:r w:rsidRPr="00C13C12">
        <w:rPr>
          <w:rtl/>
        </w:rPr>
        <w:t>لكتروني:</w:t>
      </w:r>
      <w:r>
        <w:rPr>
          <w:rFonts w:hint="cs"/>
          <w:rtl/>
        </w:rPr>
        <w:t xml:space="preserve"> </w:t>
      </w:r>
      <w:hyperlink r:id="rId15" w:history="1">
        <w:r w:rsidRPr="00485D8A">
          <w:rPr>
            <w:rFonts w:ascii="Arial" w:eastAsia="SimSun" w:hAnsi="Arial" w:cs="Arial"/>
            <w:color w:val="0000FF"/>
            <w:sz w:val="22"/>
            <w:szCs w:val="20"/>
            <w:u w:val="single"/>
            <w:lang w:eastAsia="zh-CN"/>
          </w:rPr>
          <w:t>www.gdh-ghr.org</w:t>
        </w:r>
      </w:hyperlink>
    </w:p>
    <w:p w:rsidR="001E5546" w:rsidRPr="00C41AE0" w:rsidRDefault="00485D8A" w:rsidP="00202A3C">
      <w:pPr>
        <w:pStyle w:val="Endofdocument-Annex"/>
        <w:spacing w:before="0"/>
        <w:ind w:left="5530"/>
        <w:rPr>
          <w:rtl/>
        </w:rPr>
      </w:pPr>
      <w:r w:rsidRPr="00C13C12">
        <w:rPr>
          <w:rtl/>
        </w:rPr>
        <w:t xml:space="preserve"> </w:t>
      </w:r>
      <w:r w:rsidR="00C13C12" w:rsidRPr="00C13C12">
        <w:rPr>
          <w:rtl/>
        </w:rPr>
        <w:t>[نهاية المرفق والوثيقة]</w:t>
      </w:r>
    </w:p>
    <w:sectPr w:rsidR="001E5546" w:rsidRPr="00C41AE0" w:rsidSect="004D6B86">
      <w:headerReference w:type="default" r:id="rId16"/>
      <w:headerReference w:type="first" r:id="rId17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E0" w:rsidRDefault="00FD34E0">
      <w:r>
        <w:separator/>
      </w:r>
    </w:p>
  </w:endnote>
  <w:endnote w:type="continuationSeparator" w:id="0">
    <w:p w:rsidR="00FD34E0" w:rsidRDefault="00FD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E0" w:rsidRDefault="00FD34E0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D34E0" w:rsidRDefault="00FD34E0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C12" w:rsidRDefault="00C13C12" w:rsidP="004A1759">
    <w:pPr>
      <w:jc w:val="right"/>
    </w:pPr>
    <w:r>
      <w:t>CDIP/14/9</w:t>
    </w:r>
  </w:p>
  <w:p w:rsidR="00C13C12" w:rsidRDefault="00C13C1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B0AE0">
      <w:rPr>
        <w:noProof/>
        <w:rtl/>
      </w:rPr>
      <w:t>2</w:t>
    </w:r>
    <w:r>
      <w:fldChar w:fldCharType="end"/>
    </w:r>
  </w:p>
  <w:p w:rsidR="00C13C12" w:rsidRDefault="00C13C12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46" w:rsidRDefault="001E5546" w:rsidP="001E5546">
    <w:pPr>
      <w:bidi w:val="0"/>
      <w:rPr>
        <w:rFonts w:ascii="Arial" w:hAnsi="Arial" w:cs="Arial"/>
        <w:sz w:val="22"/>
        <w:szCs w:val="22"/>
      </w:rPr>
    </w:pPr>
    <w:bookmarkStart w:id="3" w:name="Code3"/>
    <w:bookmarkEnd w:id="3"/>
    <w:r>
      <w:rPr>
        <w:rFonts w:ascii="Arial" w:hAnsi="Arial" w:cs="Arial"/>
        <w:sz w:val="22"/>
        <w:szCs w:val="22"/>
      </w:rPr>
      <w:t>CDIP/23/</w:t>
    </w:r>
    <w:r w:rsidR="004D6B86">
      <w:rPr>
        <w:rFonts w:ascii="Arial" w:hAnsi="Arial" w:cs="Arial"/>
        <w:sz w:val="22"/>
        <w:szCs w:val="22"/>
      </w:rPr>
      <w:t>14</w:t>
    </w:r>
  </w:p>
  <w:p w:rsidR="004D6B86" w:rsidRDefault="004D6B86" w:rsidP="004D6B86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  <w:r w:rsidR="007025DE">
      <w:rPr>
        <w:rFonts w:ascii="Arial" w:hAnsi="Arial" w:cs="Arial"/>
        <w:sz w:val="22"/>
        <w:szCs w:val="22"/>
      </w:rPr>
      <w:t xml:space="preserve"> I</w:t>
    </w:r>
  </w:p>
  <w:p w:rsidR="004D6B86" w:rsidRPr="00C50A61" w:rsidRDefault="004D6B86" w:rsidP="004D6B86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\* Arabic  \* MERGEFORMAT </w:instrText>
    </w:r>
    <w:r>
      <w:rPr>
        <w:rFonts w:ascii="Arial" w:hAnsi="Arial" w:cs="Arial"/>
        <w:sz w:val="22"/>
        <w:szCs w:val="22"/>
      </w:rPr>
      <w:fldChar w:fldCharType="separate"/>
    </w:r>
    <w:r w:rsidR="00202A3C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E0" w:rsidRPr="000B0AE0" w:rsidRDefault="000B0AE0" w:rsidP="000B0AE0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  <w:rtl/>
      </w:rPr>
    </w:pPr>
    <w:r w:rsidRPr="000B0AE0">
      <w:rPr>
        <w:rFonts w:ascii="Arial" w:hAnsi="Arial" w:cs="Arial"/>
        <w:sz w:val="22"/>
        <w:szCs w:val="20"/>
      </w:rPr>
      <w:t>CDIP/23/</w:t>
    </w:r>
    <w:r>
      <w:rPr>
        <w:rFonts w:ascii="Arial" w:hAnsi="Arial" w:cs="Arial"/>
        <w:sz w:val="22"/>
        <w:szCs w:val="20"/>
      </w:rPr>
      <w:t>14</w:t>
    </w:r>
  </w:p>
  <w:p w:rsidR="000B0AE0" w:rsidRPr="000B0AE0" w:rsidRDefault="000B0AE0" w:rsidP="000B0AE0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</w:rPr>
    </w:pPr>
    <w:r w:rsidRPr="000B0AE0">
      <w:rPr>
        <w:rFonts w:ascii="Arial" w:hAnsi="Arial" w:cs="Arial"/>
        <w:sz w:val="22"/>
        <w:szCs w:val="20"/>
      </w:rPr>
      <w:t>ANNEX</w:t>
    </w:r>
    <w:r w:rsidR="004D6B86">
      <w:rPr>
        <w:rFonts w:ascii="Arial" w:hAnsi="Arial" w:cs="Arial"/>
        <w:sz w:val="22"/>
        <w:szCs w:val="20"/>
      </w:rPr>
      <w:t xml:space="preserve"> I</w:t>
    </w:r>
  </w:p>
  <w:p w:rsidR="000B0AE0" w:rsidRDefault="000B0AE0" w:rsidP="000B0AE0">
    <w:pPr>
      <w:pStyle w:val="Header"/>
      <w:bidi w:val="0"/>
      <w:rPr>
        <w:rtl/>
        <w:lang w:val="fr-CH"/>
      </w:rPr>
    </w:pPr>
    <w:r w:rsidRPr="000B0AE0">
      <w:rPr>
        <w:rtl/>
        <w:lang w:val="fr-CH"/>
      </w:rPr>
      <w:t>المرفق</w:t>
    </w:r>
    <w:r w:rsidR="004D6B86">
      <w:rPr>
        <w:rFonts w:hint="cs"/>
        <w:rtl/>
        <w:lang w:val="fr-CH"/>
      </w:rPr>
      <w:t xml:space="preserve"> الأول</w:t>
    </w:r>
  </w:p>
  <w:p w:rsidR="000B0AE0" w:rsidRDefault="000B0AE0" w:rsidP="000B0AE0">
    <w:pPr>
      <w:pStyle w:val="Header"/>
      <w:bidi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DE" w:rsidRDefault="007025DE" w:rsidP="001E5546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CDIP/23/14</w:t>
    </w:r>
  </w:p>
  <w:p w:rsidR="007025DE" w:rsidRDefault="007025DE" w:rsidP="004D6B86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 II</w:t>
    </w:r>
  </w:p>
  <w:p w:rsidR="007025DE" w:rsidRPr="00C50A61" w:rsidRDefault="007025DE" w:rsidP="004D6B86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\* Arabic  \* MERGEFORMAT </w:instrText>
    </w:r>
    <w:r>
      <w:rPr>
        <w:rFonts w:ascii="Arial" w:hAnsi="Arial" w:cs="Arial"/>
        <w:sz w:val="22"/>
        <w:szCs w:val="22"/>
      </w:rPr>
      <w:fldChar w:fldCharType="separate"/>
    </w:r>
    <w:r w:rsidR="00202A3C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7025DE" w:rsidRPr="00C50A61" w:rsidRDefault="007025DE" w:rsidP="0023693F">
    <w:pPr>
      <w:bidi w:val="0"/>
      <w:rPr>
        <w:rFonts w:ascii="Arial" w:hAnsi="Arial" w:cs="Arial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86" w:rsidRPr="000B0AE0" w:rsidRDefault="004D6B86" w:rsidP="000B0AE0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  <w:rtl/>
      </w:rPr>
    </w:pPr>
    <w:r w:rsidRPr="000B0AE0">
      <w:rPr>
        <w:rFonts w:ascii="Arial" w:hAnsi="Arial" w:cs="Arial"/>
        <w:sz w:val="22"/>
        <w:szCs w:val="20"/>
      </w:rPr>
      <w:t>CDIP/23/</w:t>
    </w:r>
    <w:r>
      <w:rPr>
        <w:rFonts w:ascii="Arial" w:hAnsi="Arial" w:cs="Arial"/>
        <w:sz w:val="22"/>
        <w:szCs w:val="20"/>
      </w:rPr>
      <w:t>14</w:t>
    </w:r>
  </w:p>
  <w:p w:rsidR="004D6B86" w:rsidRPr="000B0AE0" w:rsidRDefault="004D6B86" w:rsidP="004D6B86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</w:rPr>
    </w:pPr>
    <w:r w:rsidRPr="000B0AE0">
      <w:rPr>
        <w:rFonts w:ascii="Arial" w:hAnsi="Arial" w:cs="Arial"/>
        <w:sz w:val="22"/>
        <w:szCs w:val="20"/>
      </w:rPr>
      <w:t>ANNEX</w:t>
    </w:r>
    <w:r>
      <w:rPr>
        <w:rFonts w:ascii="Arial" w:hAnsi="Arial" w:cs="Arial"/>
        <w:sz w:val="22"/>
        <w:szCs w:val="20"/>
      </w:rPr>
      <w:t xml:space="preserve"> II</w:t>
    </w:r>
  </w:p>
  <w:p w:rsidR="004D6B86" w:rsidRDefault="004D6B86" w:rsidP="004D6B86">
    <w:pPr>
      <w:pStyle w:val="Header"/>
      <w:bidi w:val="0"/>
      <w:rPr>
        <w:rtl/>
        <w:lang w:val="fr-CH"/>
      </w:rPr>
    </w:pPr>
    <w:r w:rsidRPr="000B0AE0">
      <w:rPr>
        <w:rtl/>
        <w:lang w:val="fr-CH"/>
      </w:rPr>
      <w:t>المرفق</w:t>
    </w:r>
    <w:r>
      <w:rPr>
        <w:rFonts w:hint="cs"/>
        <w:rtl/>
        <w:lang w:val="fr-CH"/>
      </w:rPr>
      <w:t xml:space="preserve"> الثاني</w:t>
    </w:r>
  </w:p>
  <w:p w:rsidR="004D6B86" w:rsidRDefault="004D6B86" w:rsidP="000B0AE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A172C1"/>
    <w:multiLevelType w:val="hybridMultilevel"/>
    <w:tmpl w:val="5D7AA038"/>
    <w:lvl w:ilvl="0" w:tplc="E4B4817E">
      <w:start w:val="5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3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4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965872"/>
    <w:multiLevelType w:val="hybridMultilevel"/>
    <w:tmpl w:val="3C285434"/>
    <w:lvl w:ilvl="0" w:tplc="DE40F742">
      <w:start w:val="8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1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4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8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9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1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3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971731"/>
    <w:multiLevelType w:val="hybridMultilevel"/>
    <w:tmpl w:val="51FC9D9A"/>
    <w:lvl w:ilvl="0" w:tplc="E432DD66">
      <w:start w:val="2"/>
      <w:numFmt w:val="arabicAlpha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06F4023"/>
    <w:multiLevelType w:val="hybridMultilevel"/>
    <w:tmpl w:val="63F8A8EC"/>
    <w:lvl w:ilvl="0" w:tplc="FFC27232">
      <w:start w:val="26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8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9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40"/>
  </w:num>
  <w:num w:numId="5">
    <w:abstractNumId w:val="8"/>
  </w:num>
  <w:num w:numId="6">
    <w:abstractNumId w:val="41"/>
  </w:num>
  <w:num w:numId="7">
    <w:abstractNumId w:val="22"/>
  </w:num>
  <w:num w:numId="8">
    <w:abstractNumId w:val="39"/>
  </w:num>
  <w:num w:numId="9">
    <w:abstractNumId w:val="33"/>
  </w:num>
  <w:num w:numId="10">
    <w:abstractNumId w:val="42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25"/>
  </w:num>
  <w:num w:numId="23">
    <w:abstractNumId w:val="13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9"/>
  </w:num>
  <w:num w:numId="29">
    <w:abstractNumId w:val="12"/>
  </w:num>
  <w:num w:numId="30">
    <w:abstractNumId w:val="31"/>
  </w:num>
  <w:num w:numId="31">
    <w:abstractNumId w:val="23"/>
  </w:num>
  <w:num w:numId="32">
    <w:abstractNumId w:val="28"/>
  </w:num>
  <w:num w:numId="33">
    <w:abstractNumId w:val="38"/>
  </w:num>
  <w:num w:numId="34">
    <w:abstractNumId w:val="14"/>
  </w:num>
  <w:num w:numId="35">
    <w:abstractNumId w:val="37"/>
  </w:num>
  <w:num w:numId="36">
    <w:abstractNumId w:val="27"/>
  </w:num>
  <w:num w:numId="37">
    <w:abstractNumId w:val="35"/>
  </w:num>
  <w:num w:numId="38">
    <w:abstractNumId w:val="18"/>
  </w:num>
  <w:num w:numId="39">
    <w:abstractNumId w:val="30"/>
  </w:num>
  <w:num w:numId="40">
    <w:abstractNumId w:val="29"/>
  </w:num>
  <w:num w:numId="41">
    <w:abstractNumId w:val="20"/>
  </w:num>
  <w:num w:numId="42">
    <w:abstractNumId w:val="10"/>
  </w:num>
  <w:num w:numId="43">
    <w:abstractNumId w:val="24"/>
  </w:num>
  <w:num w:numId="44">
    <w:abstractNumId w:val="32"/>
  </w:num>
  <w:num w:numId="45">
    <w:abstractNumId w:val="34"/>
  </w:num>
  <w:num w:numId="46">
    <w:abstractNumId w:val="11"/>
  </w:num>
  <w:num w:numId="47">
    <w:abstractNumId w:val="1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1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11B"/>
    <w:rsid w:val="000142E1"/>
    <w:rsid w:val="000146BD"/>
    <w:rsid w:val="00014B68"/>
    <w:rsid w:val="0001645D"/>
    <w:rsid w:val="00017A43"/>
    <w:rsid w:val="0002157B"/>
    <w:rsid w:val="00021BF9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0B2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4242"/>
    <w:rsid w:val="000A53C5"/>
    <w:rsid w:val="000A5408"/>
    <w:rsid w:val="000A6510"/>
    <w:rsid w:val="000A6D68"/>
    <w:rsid w:val="000A7CF7"/>
    <w:rsid w:val="000B0AE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B26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1E9F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D46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1FA4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8A7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506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1EA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46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A3C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259B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66C51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188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496F"/>
    <w:rsid w:val="0047572C"/>
    <w:rsid w:val="00476407"/>
    <w:rsid w:val="004773F7"/>
    <w:rsid w:val="00481F5F"/>
    <w:rsid w:val="004821D0"/>
    <w:rsid w:val="00482CB2"/>
    <w:rsid w:val="00483D06"/>
    <w:rsid w:val="00485667"/>
    <w:rsid w:val="00485A4A"/>
    <w:rsid w:val="00485CF7"/>
    <w:rsid w:val="00485D8A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6B86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01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D6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394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1567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342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5DE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4BA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4EE3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BD5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236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12E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444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442B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707B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C6CFC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B20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9C9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256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3C12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3F53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8BD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AD"/>
    <w:rsid w:val="00E428D6"/>
    <w:rsid w:val="00E43284"/>
    <w:rsid w:val="00E43616"/>
    <w:rsid w:val="00E43F36"/>
    <w:rsid w:val="00E445C9"/>
    <w:rsid w:val="00E447C5"/>
    <w:rsid w:val="00E450C1"/>
    <w:rsid w:val="00E4547F"/>
    <w:rsid w:val="00E4574F"/>
    <w:rsid w:val="00E46B7D"/>
    <w:rsid w:val="00E5091C"/>
    <w:rsid w:val="00E50BB3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D6F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30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E18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0BD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34E0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1E25B9"/>
  <w15:docId w15:val="{1A764DD8-7CF8-48F8-BA19-E4256EFB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639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faaa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dh-ghr.org" TargetMode="External"/><Relationship Id="rId10" Type="http://schemas.openxmlformats.org/officeDocument/2006/relationships/hyperlink" Target="mailto:info@faaat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fo@gdh-g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3720-2BB4-4287-A75E-F73DD934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499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 (Arabic)</vt:lpstr>
    </vt:vector>
  </TitlesOfParts>
  <Company>World Intellectual Property Organization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 (Arabic)</dc:title>
  <dc:creator>BEN MOHAMED Abdelhak</dc:creator>
  <cp:lastModifiedBy>CERBARI Mihaela</cp:lastModifiedBy>
  <cp:revision>39</cp:revision>
  <cp:lastPrinted>2018-06-12T09:05:00Z</cp:lastPrinted>
  <dcterms:created xsi:type="dcterms:W3CDTF">2019-03-21T15:06:00Z</dcterms:created>
  <dcterms:modified xsi:type="dcterms:W3CDTF">2019-03-26T10:16:00Z</dcterms:modified>
</cp:coreProperties>
</file>