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5E3AA8">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23</w:t>
      </w:r>
      <w:r>
        <w:rPr>
          <w:rFonts w:ascii="Arial Black" w:eastAsia="SimSun" w:hAnsi="Arial Black" w:cs="Arial"/>
          <w:b/>
          <w:caps/>
          <w:noProof/>
          <w:sz w:val="16"/>
          <w:szCs w:val="16"/>
          <w:lang w:eastAsia="zh-CN"/>
        </w:rPr>
        <w:t>/</w:t>
      </w:r>
      <w:r w:rsidR="005E3AA8">
        <w:rPr>
          <w:rFonts w:ascii="Arial Black" w:eastAsia="SimSun" w:hAnsi="Arial Black" w:cs="Arial"/>
          <w:b/>
          <w:caps/>
          <w:noProof/>
          <w:sz w:val="16"/>
          <w:szCs w:val="16"/>
          <w:lang w:eastAsia="zh-CN"/>
        </w:rPr>
        <w:t>12</w:t>
      </w:r>
    </w:p>
    <w:bookmarkEnd w:id="3"/>
    <w:p w:rsidR="003F7284" w:rsidRPr="00BB6440" w:rsidRDefault="003F7284" w:rsidP="005E3AA8">
      <w:pPr>
        <w:jc w:val="right"/>
        <w:rPr>
          <w:b/>
          <w:bCs/>
          <w:sz w:val="30"/>
          <w:szCs w:val="30"/>
          <w:rtl/>
        </w:rPr>
      </w:pPr>
      <w:r w:rsidRPr="00BB6440">
        <w:rPr>
          <w:b/>
          <w:bCs/>
          <w:sz w:val="30"/>
          <w:szCs w:val="30"/>
          <w:rtl/>
        </w:rPr>
        <w:t xml:space="preserve">الأصل: </w:t>
      </w:r>
      <w:r w:rsidR="005E3AA8">
        <w:rPr>
          <w:rFonts w:hint="cs"/>
          <w:b/>
          <w:bCs/>
          <w:sz w:val="30"/>
          <w:szCs w:val="30"/>
          <w:rtl/>
        </w:rPr>
        <w:t>بالإنكليزية</w:t>
      </w:r>
    </w:p>
    <w:p w:rsidR="003F7284" w:rsidRPr="00BB6440" w:rsidRDefault="003F7284" w:rsidP="005E3AA8">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5E3AA8">
        <w:rPr>
          <w:rFonts w:hint="cs"/>
          <w:b/>
          <w:bCs/>
          <w:sz w:val="30"/>
          <w:szCs w:val="30"/>
          <w:rtl/>
        </w:rPr>
        <w:t>15</w:t>
      </w:r>
      <w:r w:rsidR="00BF5256">
        <w:rPr>
          <w:rFonts w:hint="cs"/>
          <w:b/>
          <w:bCs/>
          <w:sz w:val="30"/>
          <w:szCs w:val="30"/>
          <w:rtl/>
        </w:rPr>
        <w:t xml:space="preserve"> مارس 2019</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1E5546">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1E5546">
        <w:rPr>
          <w:rFonts w:ascii="Arial Black" w:hAnsi="Arial Black" w:cs="PT Bold Heading" w:hint="cs"/>
          <w:sz w:val="30"/>
          <w:szCs w:val="30"/>
          <w:rtl/>
        </w:rPr>
        <w:t xml:space="preserve">الثالثة </w:t>
      </w:r>
      <w:r>
        <w:rPr>
          <w:rFonts w:ascii="Arial Black" w:hAnsi="Arial Black" w:cs="PT Bold Heading" w:hint="eastAsia"/>
          <w:sz w:val="30"/>
          <w:szCs w:val="30"/>
          <w:rtl/>
        </w:rPr>
        <w:t>والعشرون</w:t>
      </w:r>
    </w:p>
    <w:p w:rsidR="002E7810" w:rsidRPr="002E7810" w:rsidRDefault="001E5546" w:rsidP="00874721">
      <w:pPr>
        <w:spacing w:line="600" w:lineRule="auto"/>
        <w:rPr>
          <w:b/>
          <w:bCs/>
        </w:rPr>
      </w:pPr>
      <w:r>
        <w:rPr>
          <w:b/>
          <w:bCs/>
          <w:rtl/>
        </w:rPr>
        <w:t>جنيف، م</w:t>
      </w:r>
      <w:r>
        <w:rPr>
          <w:rFonts w:hint="cs"/>
          <w:b/>
          <w:bCs/>
          <w:rtl/>
        </w:rPr>
        <w:t xml:space="preserve">ن 20 </w:t>
      </w:r>
      <w:r>
        <w:rPr>
          <w:b/>
          <w:bCs/>
          <w:rtl/>
        </w:rPr>
        <w:t xml:space="preserve">إلى </w:t>
      </w:r>
      <w:r>
        <w:rPr>
          <w:rFonts w:hint="cs"/>
          <w:b/>
          <w:bCs/>
          <w:rtl/>
        </w:rPr>
        <w:t>24</w:t>
      </w:r>
      <w:r>
        <w:rPr>
          <w:b/>
          <w:bCs/>
          <w:rtl/>
        </w:rPr>
        <w:t xml:space="preserve"> </w:t>
      </w:r>
      <w:r>
        <w:rPr>
          <w:rFonts w:hint="cs"/>
          <w:b/>
          <w:bCs/>
          <w:rtl/>
        </w:rPr>
        <w:t>مايو</w:t>
      </w:r>
      <w:r>
        <w:rPr>
          <w:b/>
          <w:bCs/>
          <w:rtl/>
        </w:rPr>
        <w:t xml:space="preserve"> 201</w:t>
      </w:r>
      <w:r>
        <w:rPr>
          <w:rFonts w:hint="cs"/>
          <w:b/>
          <w:bCs/>
          <w:rtl/>
        </w:rPr>
        <w:t>9</w:t>
      </w:r>
    </w:p>
    <w:p w:rsidR="00036D32" w:rsidRPr="00036D32" w:rsidRDefault="00A1081D" w:rsidP="00036D32">
      <w:pPr>
        <w:rPr>
          <w:rFonts w:ascii="Arial Black" w:hAnsi="Arial Black" w:cs="PT Bold Heading"/>
          <w:sz w:val="26"/>
          <w:szCs w:val="26"/>
          <w:rtl/>
        </w:rPr>
      </w:pPr>
      <w:r>
        <w:rPr>
          <w:rFonts w:ascii="Arial Black" w:hAnsi="Arial Black" w:cs="PT Bold Heading" w:hint="cs"/>
          <w:sz w:val="26"/>
          <w:szCs w:val="26"/>
          <w:rtl/>
        </w:rPr>
        <w:t>اقتراح</w:t>
      </w:r>
      <w:r w:rsidR="00036D32" w:rsidRPr="00036D32">
        <w:rPr>
          <w:rFonts w:ascii="Arial Black" w:hAnsi="Arial Black" w:cs="PT Bold Heading" w:hint="cs"/>
          <w:sz w:val="26"/>
          <w:szCs w:val="26"/>
          <w:rtl/>
        </w:rPr>
        <w:t xml:space="preserve"> لمتابعة </w:t>
      </w:r>
      <w:r w:rsidR="00036D32" w:rsidRPr="00036D32">
        <w:rPr>
          <w:rFonts w:ascii="Arial Black" w:hAnsi="Arial Black" w:cs="PT Bold Heading"/>
          <w:sz w:val="26"/>
          <w:szCs w:val="26"/>
          <w:rtl/>
        </w:rPr>
        <w:t>دراسة الجدوى بشأن تعزيز تجميع بيانات اقتصادية عن القطاع السمعي البصري في عدد من البلدان الأفريقية</w:t>
      </w:r>
    </w:p>
    <w:p w:rsidR="00036D32" w:rsidRPr="00036D32" w:rsidRDefault="00036D32" w:rsidP="00036D32">
      <w:pPr>
        <w:spacing w:before="200" w:after="960"/>
        <w:rPr>
          <w:i/>
          <w:iCs/>
          <w:rtl/>
        </w:rPr>
      </w:pPr>
      <w:r w:rsidRPr="00036D32">
        <w:rPr>
          <w:i/>
          <w:iCs/>
          <w:rtl/>
        </w:rPr>
        <w:t>من إعداد</w:t>
      </w:r>
      <w:r w:rsidRPr="00036D32">
        <w:rPr>
          <w:rFonts w:hint="cs"/>
          <w:i/>
          <w:iCs/>
          <w:rtl/>
        </w:rPr>
        <w:t xml:space="preserve"> الأمانة</w:t>
      </w:r>
    </w:p>
    <w:p w:rsidR="00036D32" w:rsidRPr="00036D32" w:rsidRDefault="00036D32" w:rsidP="00BB5CFA">
      <w:pPr>
        <w:pStyle w:val="ONUMA"/>
      </w:pPr>
      <w:r w:rsidRPr="00036D32">
        <w:rPr>
          <w:rFonts w:hint="cs"/>
          <w:rtl/>
        </w:rPr>
        <w:t>أُعدت "</w:t>
      </w:r>
      <w:r w:rsidRPr="00036D32">
        <w:rPr>
          <w:rtl/>
        </w:rPr>
        <w:t>دراسة الجدوى بشأن تعزيز تجميع بيانات اقتصادية عن القطاع السمعي البصري في عدد من البلدان الأفريقية</w:t>
      </w:r>
      <w:r w:rsidRPr="00036D32">
        <w:rPr>
          <w:rFonts w:hint="cs"/>
          <w:rtl/>
        </w:rPr>
        <w:t>"</w:t>
      </w:r>
      <w:r w:rsidRPr="00036D32">
        <w:rPr>
          <w:rtl/>
        </w:rPr>
        <w:t xml:space="preserve">، الواردة في الوثيقة </w:t>
      </w:r>
      <w:r w:rsidRPr="00036D32">
        <w:t>CDIP/21/INF/2</w:t>
      </w:r>
      <w:r w:rsidRPr="00036D32">
        <w:rPr>
          <w:rFonts w:hint="cs"/>
          <w:rtl/>
        </w:rPr>
        <w:t xml:space="preserve"> </w:t>
      </w:r>
      <w:r w:rsidRPr="00036D32">
        <w:rPr>
          <w:rtl/>
        </w:rPr>
        <w:t xml:space="preserve">في إطار مشروع تعزيز وتطوير القطاع السمعي البصري في بوركينا فاصو وبعض البلدان الأفريقية – المرحلة الثانية (الوثيقة </w:t>
      </w:r>
      <w:r w:rsidRPr="00036D32">
        <w:t>CDIP/17/7</w:t>
      </w:r>
      <w:r w:rsidRPr="00036D32">
        <w:rPr>
          <w:rtl/>
        </w:rPr>
        <w:t>).</w:t>
      </w:r>
    </w:p>
    <w:p w:rsidR="00036D32" w:rsidRPr="00036D32" w:rsidRDefault="00036D32" w:rsidP="00BB5CFA">
      <w:pPr>
        <w:pStyle w:val="ONUMA"/>
      </w:pPr>
      <w:r w:rsidRPr="00036D32">
        <w:rPr>
          <w:rtl/>
        </w:rPr>
        <w:t>وأعّدت كل من السيدة ديردري كيفن والسيدة سحر علي وهما مستشارتان مستقلتان هذه الدراسة</w:t>
      </w:r>
      <w:r w:rsidRPr="00036D32">
        <w:rPr>
          <w:rFonts w:hint="cs"/>
          <w:rtl/>
        </w:rPr>
        <w:t xml:space="preserve"> وقامتا بعرضها على الدورة الحادية والعشرين للجنة التنمية</w:t>
      </w:r>
      <w:r w:rsidRPr="00036D32">
        <w:rPr>
          <w:rtl/>
        </w:rPr>
        <w:t xml:space="preserve">. </w:t>
      </w:r>
      <w:r w:rsidRPr="00036D32">
        <w:rPr>
          <w:rFonts w:hint="cs"/>
          <w:rtl/>
        </w:rPr>
        <w:t>وطلبت اللجنة من الأمانة أن "</w:t>
      </w:r>
      <w:r w:rsidRPr="00036D32">
        <w:rPr>
          <w:rtl/>
        </w:rPr>
        <w:t>تستكشف الحاجة إلى القيام بمزيد من العمل في هذا الشأن في المستقبل، والجدوى من ذلك</w:t>
      </w:r>
      <w:r w:rsidRPr="00036D32">
        <w:rPr>
          <w:rFonts w:hint="cs"/>
          <w:rtl/>
        </w:rPr>
        <w:t>"</w:t>
      </w:r>
      <w:r w:rsidRPr="00036D32">
        <w:rPr>
          <w:rtl/>
        </w:rPr>
        <w:t>.</w:t>
      </w:r>
    </w:p>
    <w:p w:rsidR="00036D32" w:rsidRPr="00036D32" w:rsidRDefault="00036D32" w:rsidP="00BB5CFA">
      <w:pPr>
        <w:pStyle w:val="ONUMA"/>
      </w:pPr>
      <w:r w:rsidRPr="00036D32">
        <w:rPr>
          <w:rFonts w:hint="cs"/>
          <w:rtl/>
        </w:rPr>
        <w:t>و</w:t>
      </w:r>
      <w:r w:rsidRPr="00036D32">
        <w:rPr>
          <w:rtl/>
        </w:rPr>
        <w:t xml:space="preserve">يحتوي مرفق هذه الوثيقة على خطة تنفيذ أنشطة المتابعة </w:t>
      </w:r>
      <w:r w:rsidRPr="00036D32">
        <w:rPr>
          <w:rFonts w:hint="cs"/>
          <w:rtl/>
        </w:rPr>
        <w:t xml:space="preserve">بغرض </w:t>
      </w:r>
      <w:r w:rsidRPr="00036D32">
        <w:rPr>
          <w:rtl/>
        </w:rPr>
        <w:t>نشر نتائج المشروع.</w:t>
      </w:r>
    </w:p>
    <w:p w:rsidR="00036D32" w:rsidRPr="00036D32" w:rsidRDefault="00036D32" w:rsidP="00BB5CFA">
      <w:pPr>
        <w:pStyle w:val="Decision"/>
      </w:pPr>
      <w:r w:rsidRPr="00036D32">
        <w:rPr>
          <w:rFonts w:hint="cs"/>
          <w:rtl/>
        </w:rPr>
        <w:t>يُرجى من اللجنة</w:t>
      </w:r>
      <w:r w:rsidRPr="00036D32">
        <w:rPr>
          <w:rtl/>
        </w:rPr>
        <w:t xml:space="preserve"> </w:t>
      </w:r>
      <w:r w:rsidRPr="00036D32">
        <w:rPr>
          <w:rFonts w:hint="cs"/>
          <w:rtl/>
        </w:rPr>
        <w:t>ا</w:t>
      </w:r>
      <w:r w:rsidRPr="00036D32">
        <w:rPr>
          <w:rtl/>
        </w:rPr>
        <w:t>لنظر في مرفق هذه الوثيقة.</w:t>
      </w:r>
    </w:p>
    <w:p w:rsidR="00C13C12" w:rsidRPr="00C13C12" w:rsidRDefault="00036D32" w:rsidP="00BB5CFA">
      <w:pPr>
        <w:pStyle w:val="Endofdocument-Annex"/>
        <w:rPr>
          <w:rtl/>
        </w:rPr>
      </w:pPr>
      <w:r w:rsidRPr="00036D32">
        <w:rPr>
          <w:rtl/>
        </w:rPr>
        <w:t>[يلي ذلك المرفق]</w:t>
      </w:r>
    </w:p>
    <w:p w:rsidR="00C13C12" w:rsidRPr="00C13C12" w:rsidRDefault="00C13C12" w:rsidP="00C13C12">
      <w:pPr>
        <w:bidi w:val="0"/>
        <w:spacing w:after="240" w:line="360" w:lineRule="exact"/>
        <w:ind w:left="4536"/>
        <w:rPr>
          <w:rFonts w:ascii="Arial" w:hAnsi="Arial" w:cs="Arial"/>
          <w:sz w:val="22"/>
          <w:szCs w:val="22"/>
        </w:rPr>
        <w:sectPr w:rsidR="00C13C12" w:rsidRPr="00C13C12" w:rsidSect="00782DD9">
          <w:headerReference w:type="default" r:id="rId9"/>
          <w:endnotePr>
            <w:numFmt w:val="decimal"/>
          </w:endnotePr>
          <w:pgSz w:w="11907" w:h="16840" w:code="9"/>
          <w:pgMar w:top="567" w:right="1134" w:bottom="1418" w:left="1418" w:header="510" w:footer="1021" w:gutter="0"/>
          <w:cols w:space="720"/>
          <w:titlePg/>
          <w:docGrid w:linePitch="299"/>
        </w:sectPr>
      </w:pPr>
    </w:p>
    <w:tbl>
      <w:tblPr>
        <w:tblStyle w:val="TableGrid1"/>
        <w:bidiVisual/>
        <w:tblW w:w="0" w:type="auto"/>
        <w:tblLook w:val="04A0" w:firstRow="1" w:lastRow="0" w:firstColumn="1" w:lastColumn="0" w:noHBand="0" w:noVBand="1"/>
      </w:tblPr>
      <w:tblGrid>
        <w:gridCol w:w="2155"/>
        <w:gridCol w:w="7190"/>
      </w:tblGrid>
      <w:tr w:rsidR="00036D32" w:rsidRPr="00036D32" w:rsidTr="00C227BC">
        <w:tc>
          <w:tcPr>
            <w:tcW w:w="9345" w:type="dxa"/>
            <w:gridSpan w:val="2"/>
          </w:tcPr>
          <w:p w:rsidR="00036D32" w:rsidRPr="00036D32" w:rsidRDefault="00036D32" w:rsidP="00036D32">
            <w:pPr>
              <w:jc w:val="center"/>
              <w:rPr>
                <w:rFonts w:ascii="Arabic Typesetting" w:eastAsia="SimSun" w:hAnsi="Arabic Typesetting" w:cs="Arabic Typesetting"/>
                <w:b/>
                <w:sz w:val="36"/>
                <w:szCs w:val="36"/>
                <w:lang w:eastAsia="zh-CN"/>
              </w:rPr>
            </w:pPr>
          </w:p>
          <w:p w:rsidR="00036D32" w:rsidRPr="00036D32" w:rsidRDefault="00036D32" w:rsidP="00036D32">
            <w:pPr>
              <w:jc w:val="center"/>
              <w:rPr>
                <w:rFonts w:ascii="Arabic Typesetting" w:eastAsia="SimSun" w:hAnsi="Arabic Typesetting" w:cs="Arabic Typesetting"/>
                <w:bCs/>
                <w:sz w:val="36"/>
                <w:szCs w:val="36"/>
                <w:lang w:eastAsia="zh-CN"/>
              </w:rPr>
            </w:pPr>
            <w:r w:rsidRPr="00036D32">
              <w:rPr>
                <w:rFonts w:ascii="Arabic Typesetting" w:eastAsia="SimSun" w:hAnsi="Arabic Typesetting" w:cs="Arabic Typesetting"/>
                <w:bCs/>
                <w:sz w:val="36"/>
                <w:szCs w:val="36"/>
                <w:rtl/>
                <w:lang w:eastAsia="zh-CN"/>
              </w:rPr>
              <w:t>خطة تنفيذ أنشطة المتابعة</w:t>
            </w:r>
          </w:p>
          <w:p w:rsidR="00036D32" w:rsidRPr="00036D32" w:rsidRDefault="00036D32" w:rsidP="00036D32">
            <w:pPr>
              <w:rPr>
                <w:rFonts w:ascii="Arabic Typesetting" w:eastAsia="SimSun" w:hAnsi="Arabic Typesetting" w:cs="Arabic Typesetting"/>
                <w:sz w:val="36"/>
                <w:szCs w:val="36"/>
                <w:lang w:eastAsia="zh-CN"/>
              </w:rPr>
            </w:pPr>
          </w:p>
        </w:tc>
      </w:tr>
      <w:tr w:rsidR="00036D32" w:rsidRPr="00036D32" w:rsidTr="00C227BC">
        <w:tc>
          <w:tcPr>
            <w:tcW w:w="2155" w:type="dxa"/>
            <w:vAlign w:val="center"/>
          </w:tcPr>
          <w:p w:rsidR="00036D32" w:rsidRPr="00036D32" w:rsidRDefault="00036D32" w:rsidP="00036D32">
            <w:pPr>
              <w:rPr>
                <w:rFonts w:ascii="Arabic Typesetting" w:eastAsia="SimSun" w:hAnsi="Arabic Typesetting" w:cs="Arabic Typesetting"/>
                <w:iCs/>
                <w:sz w:val="36"/>
                <w:szCs w:val="36"/>
                <w:lang w:eastAsia="zh-CN"/>
              </w:rPr>
            </w:pPr>
            <w:r w:rsidRPr="00036D32">
              <w:rPr>
                <w:rFonts w:ascii="Arabic Typesetting" w:eastAsia="SimSun" w:hAnsi="Arabic Typesetting" w:cs="Arabic Typesetting"/>
                <w:iCs/>
                <w:sz w:val="36"/>
                <w:szCs w:val="36"/>
                <w:rtl/>
                <w:lang w:eastAsia="zh-CN"/>
              </w:rPr>
              <w:t>عنوان النشاط/المبادرة</w:t>
            </w:r>
          </w:p>
        </w:tc>
        <w:tc>
          <w:tcPr>
            <w:tcW w:w="7190" w:type="dxa"/>
            <w:vAlign w:val="center"/>
          </w:tcPr>
          <w:p w:rsidR="00036D32" w:rsidRPr="00036D32" w:rsidRDefault="00036D32" w:rsidP="00036D32">
            <w:pPr>
              <w:rPr>
                <w:rFonts w:ascii="Arabic Typesetting" w:eastAsia="SimSun" w:hAnsi="Arabic Typesetting" w:cs="Arabic Typesetting"/>
                <w:rtl/>
                <w:lang w:eastAsia="zh-CN"/>
              </w:rPr>
            </w:pPr>
          </w:p>
          <w:p w:rsidR="00036D32" w:rsidRPr="00036D32" w:rsidRDefault="00036D32" w:rsidP="00036D32">
            <w:pPr>
              <w:rPr>
                <w:rFonts w:ascii="Arabic Typesetting" w:eastAsia="SimSun" w:hAnsi="Arabic Typesetting" w:cs="Arabic Typesetting"/>
                <w:sz w:val="36"/>
                <w:szCs w:val="36"/>
                <w:rtl/>
                <w:lang w:eastAsia="zh-CN"/>
              </w:rPr>
            </w:pPr>
            <w:r w:rsidRPr="00036D32">
              <w:rPr>
                <w:rFonts w:ascii="Arabic Typesetting" w:eastAsia="SimSun" w:hAnsi="Arabic Typesetting" w:cs="Arabic Typesetting"/>
                <w:sz w:val="36"/>
                <w:szCs w:val="36"/>
                <w:rtl/>
                <w:lang w:eastAsia="zh-CN"/>
              </w:rPr>
              <w:t>تعزيز تجميع بيانات عن القطاع السمعي البصري في أفريقيا</w:t>
            </w:r>
          </w:p>
          <w:p w:rsidR="00036D32" w:rsidRPr="00036D32" w:rsidRDefault="00036D32" w:rsidP="00036D32">
            <w:pPr>
              <w:rPr>
                <w:rFonts w:ascii="Arabic Typesetting" w:eastAsia="SimSun" w:hAnsi="Arabic Typesetting" w:cs="Arabic Typesetting"/>
                <w:lang w:eastAsia="zh-CN"/>
              </w:rPr>
            </w:pPr>
          </w:p>
        </w:tc>
      </w:tr>
      <w:tr w:rsidR="00036D32" w:rsidRPr="00036D32" w:rsidTr="00C227BC">
        <w:tc>
          <w:tcPr>
            <w:tcW w:w="2155" w:type="dxa"/>
          </w:tcPr>
          <w:p w:rsidR="00036D32" w:rsidRPr="00036D32" w:rsidRDefault="00036D32" w:rsidP="00036D32">
            <w:pPr>
              <w:rPr>
                <w:rFonts w:ascii="Arabic Typesetting" w:eastAsia="SimSun" w:hAnsi="Arabic Typesetting" w:cs="Arabic Typesetting"/>
                <w:iCs/>
                <w:lang w:eastAsia="zh-CN"/>
              </w:rPr>
            </w:pPr>
          </w:p>
          <w:p w:rsidR="00036D32" w:rsidRPr="00036D32" w:rsidRDefault="00036D32" w:rsidP="00036D32">
            <w:pPr>
              <w:rPr>
                <w:rFonts w:ascii="Arabic Typesetting" w:eastAsia="SimSun" w:hAnsi="Arabic Typesetting" w:cs="Arabic Typesetting"/>
                <w:iCs/>
                <w:sz w:val="36"/>
                <w:szCs w:val="36"/>
                <w:lang w:eastAsia="zh-CN"/>
              </w:rPr>
            </w:pPr>
            <w:r w:rsidRPr="00036D32">
              <w:rPr>
                <w:rFonts w:ascii="Arabic Typesetting" w:eastAsia="SimSun" w:hAnsi="Arabic Typesetting" w:cs="Arabic Typesetting"/>
                <w:iCs/>
                <w:sz w:val="36"/>
                <w:szCs w:val="36"/>
                <w:rtl/>
                <w:lang w:eastAsia="zh-CN"/>
              </w:rPr>
              <w:t>وصف موجز للنشاط/المبادرة</w:t>
            </w:r>
          </w:p>
          <w:p w:rsidR="00036D32" w:rsidRPr="00036D32" w:rsidRDefault="00036D32" w:rsidP="00036D32">
            <w:pPr>
              <w:rPr>
                <w:rFonts w:ascii="Arabic Typesetting" w:eastAsia="SimSun" w:hAnsi="Arabic Typesetting" w:cs="Arabic Typesetting"/>
                <w:iCs/>
                <w:sz w:val="36"/>
                <w:szCs w:val="36"/>
                <w:lang w:eastAsia="zh-CN"/>
              </w:rPr>
            </w:pPr>
          </w:p>
        </w:tc>
        <w:tc>
          <w:tcPr>
            <w:tcW w:w="7190" w:type="dxa"/>
          </w:tcPr>
          <w:p w:rsidR="00036D32" w:rsidRPr="00036D32" w:rsidRDefault="00036D32" w:rsidP="00036D32">
            <w:pPr>
              <w:ind w:left="720"/>
              <w:rPr>
                <w:rFonts w:ascii="Arabic Typesetting" w:hAnsi="Arabic Typesetting" w:cs="Arabic Typesetting"/>
              </w:rPr>
            </w:pPr>
          </w:p>
          <w:p w:rsidR="00036D32" w:rsidRPr="00036D32" w:rsidRDefault="00036D32" w:rsidP="00036D32">
            <w:pPr>
              <w:numPr>
                <w:ilvl w:val="0"/>
                <w:numId w:val="49"/>
              </w:numPr>
              <w:rPr>
                <w:rFonts w:ascii="Arabic Typesetting" w:hAnsi="Arabic Typesetting" w:cs="Arabic Typesetting"/>
                <w:sz w:val="36"/>
                <w:szCs w:val="36"/>
              </w:rPr>
            </w:pPr>
            <w:r w:rsidRPr="00036D32">
              <w:rPr>
                <w:rFonts w:ascii="Arabic Typesetting" w:hAnsi="Arabic Typesetting" w:cs="Arabic Typesetting"/>
                <w:sz w:val="36"/>
                <w:szCs w:val="36"/>
                <w:rtl/>
              </w:rPr>
              <w:t>معلومات أساسية</w:t>
            </w:r>
          </w:p>
          <w:p w:rsidR="00036D32" w:rsidRPr="00036D32" w:rsidRDefault="00036D32" w:rsidP="00036D32">
            <w:pPr>
              <w:shd w:val="clear" w:color="auto" w:fill="FAFAFA"/>
              <w:rPr>
                <w:rFonts w:ascii="Arabic Typesetting" w:hAnsi="Arabic Typesetting" w:cs="Arabic Typesetting"/>
                <w:rtl/>
              </w:rPr>
            </w:pPr>
          </w:p>
          <w:p w:rsidR="00036D32" w:rsidRPr="00036D32" w:rsidRDefault="00036D32" w:rsidP="00036D32">
            <w:pPr>
              <w:shd w:val="clear" w:color="auto" w:fill="FAFAFA"/>
              <w:rPr>
                <w:rFonts w:ascii="Arabic Typesetting" w:hAnsi="Arabic Typesetting" w:cs="Arabic Typesetting"/>
                <w:sz w:val="36"/>
                <w:szCs w:val="36"/>
                <w:rtl/>
              </w:rPr>
            </w:pPr>
            <w:r w:rsidRPr="00036D32">
              <w:rPr>
                <w:rFonts w:ascii="Arabic Typesetting" w:hAnsi="Arabic Typesetting" w:cs="Arabic Typesetting"/>
                <w:sz w:val="36"/>
                <w:szCs w:val="36"/>
                <w:rtl/>
              </w:rPr>
              <w:t>في إطار مشروع "</w:t>
            </w:r>
            <w:r w:rsidRPr="00036D32">
              <w:rPr>
                <w:rFonts w:ascii="Arabic Typesetting" w:hAnsi="Arabic Typesetting" w:cs="Arabic Typesetting"/>
                <w:i/>
                <w:iCs/>
                <w:sz w:val="36"/>
                <w:szCs w:val="36"/>
                <w:rtl/>
              </w:rPr>
              <w:t>تعزيز وتطوير القطاع السمعي البصري في بوركينا فاصو وبعض البلدان الأفريقية</w:t>
            </w:r>
            <w:r w:rsidRPr="00036D32">
              <w:rPr>
                <w:rFonts w:ascii="Arabic Typesetting" w:hAnsi="Arabic Typesetting" w:cs="Arabic Typesetting"/>
                <w:sz w:val="36"/>
                <w:szCs w:val="36"/>
                <w:rtl/>
              </w:rPr>
              <w:t xml:space="preserve">" – المرحلة الثانية (الوثيقة </w:t>
            </w:r>
            <w:r w:rsidRPr="00036D32">
              <w:rPr>
                <w:rFonts w:ascii="Arabic Typesetting" w:hAnsi="Arabic Typesetting" w:cs="Arabic Typesetting"/>
                <w:sz w:val="36"/>
                <w:szCs w:val="36"/>
              </w:rPr>
              <w:t>CDIP/17/7</w:t>
            </w:r>
            <w:r w:rsidRPr="00036D32">
              <w:rPr>
                <w:rFonts w:ascii="Arabic Typesetting" w:hAnsi="Arabic Typesetting" w:cs="Arabic Typesetting"/>
                <w:sz w:val="36"/>
                <w:szCs w:val="36"/>
                <w:rtl/>
              </w:rPr>
              <w:t>)، أُجريت دراسة جدوى بشأن "</w:t>
            </w:r>
            <w:r w:rsidRPr="00036D32">
              <w:rPr>
                <w:rFonts w:ascii="Arabic Typesetting" w:hAnsi="Arabic Typesetting" w:cs="Arabic Typesetting"/>
                <w:i/>
                <w:iCs/>
                <w:sz w:val="36"/>
                <w:szCs w:val="36"/>
                <w:rtl/>
              </w:rPr>
              <w:t>تعزيز تجميع بيانات اقتصادية عن القطاع السمعي البصري في عدد من البلدان الأفريقية</w:t>
            </w:r>
            <w:r w:rsidRPr="00036D32">
              <w:rPr>
                <w:rFonts w:ascii="Arabic Typesetting" w:hAnsi="Arabic Typesetting" w:cs="Arabic Typesetting"/>
                <w:sz w:val="36"/>
                <w:szCs w:val="36"/>
                <w:rtl/>
              </w:rPr>
              <w:t>" عام 2017. وشملت الدراسة كلا من بوركينا فاصو وكوت ديفوار وكينيا والمغرب والسينغال.</w:t>
            </w:r>
          </w:p>
          <w:p w:rsidR="00036D32" w:rsidRPr="00036D32" w:rsidRDefault="00036D32" w:rsidP="00036D32">
            <w:pPr>
              <w:shd w:val="clear" w:color="auto" w:fill="FAFAFA"/>
              <w:spacing w:before="200"/>
              <w:rPr>
                <w:rFonts w:ascii="Arabic Typesetting" w:hAnsi="Arabic Typesetting" w:cs="Arabic Typesetting"/>
                <w:sz w:val="36"/>
                <w:szCs w:val="36"/>
              </w:rPr>
            </w:pPr>
            <w:r w:rsidRPr="00036D32">
              <w:rPr>
                <w:rFonts w:ascii="Arabic Typesetting" w:hAnsi="Arabic Typesetting" w:cs="Arabic Typesetting"/>
                <w:sz w:val="36"/>
                <w:szCs w:val="36"/>
                <w:rtl/>
              </w:rPr>
              <w:t>وكشف التقرير عن وجود فجوة في البيانات داخل القطاعات السمعية البصرية في البلدان المشمولة بالدراسة. وكان أحد الاستنتاجات هو الحاجة إلى زيادة وعي أصحاب المصلحة في القطاع السمعي البصري فيما يتعلق بأهمية تعزيز تجيمع بيانات السوق والبيانات القانونية. وقد حُددت الخطوات التي ستُتخذ في هذا الشأن.</w:t>
            </w:r>
          </w:p>
          <w:p w:rsidR="00036D32" w:rsidRPr="00036D32" w:rsidRDefault="00036D32" w:rsidP="00036D32">
            <w:pPr>
              <w:shd w:val="clear" w:color="auto" w:fill="FAFAFA"/>
              <w:spacing w:before="200"/>
              <w:rPr>
                <w:rFonts w:ascii="Arabic Typesetting" w:hAnsi="Arabic Typesetting" w:cs="Arabic Typesetting"/>
                <w:sz w:val="36"/>
                <w:szCs w:val="36"/>
                <w:shd w:val="clear" w:color="auto" w:fill="FAFAFA"/>
              </w:rPr>
            </w:pPr>
            <w:r w:rsidRPr="00036D32">
              <w:rPr>
                <w:rFonts w:ascii="Arabic Typesetting" w:hAnsi="Arabic Typesetting" w:cs="Arabic Typesetting"/>
                <w:sz w:val="36"/>
                <w:szCs w:val="36"/>
                <w:shd w:val="clear" w:color="auto" w:fill="FAFAFA"/>
                <w:rtl/>
              </w:rPr>
              <w:t>وتتوافر معلومات شحيحة عن حجم أو طبيعة الأسواق السمعية البصرية المحلية في العديد من البلدان النامية. وإذا ما قُرن هذا بالطبيعة غير الرسمية للقطاع وضعف الوعي بالملكية الفكرية، فإن تحديد وإدارة أصول الملكية الفكرية بفعالية بغية زيادة الإمكانات الاقتصادية للقطاع يصبح تحديًا كبيرًا. وأوضح المهنيون أن بيانات السوق الشفافة والموثوقة يمكن أن تدعم إقرار سياسات شفافة وفعالة في القطاع السمعي البصري.</w:t>
            </w:r>
          </w:p>
          <w:p w:rsidR="00036D32" w:rsidRPr="00036D32" w:rsidRDefault="00036D32" w:rsidP="00036D32">
            <w:pPr>
              <w:shd w:val="clear" w:color="auto" w:fill="FAFAFA"/>
              <w:spacing w:before="200"/>
              <w:rPr>
                <w:rFonts w:ascii="Arabic Typesetting" w:hAnsi="Arabic Typesetting" w:cs="Arabic Typesetting"/>
                <w:sz w:val="36"/>
                <w:szCs w:val="36"/>
                <w:rtl/>
              </w:rPr>
            </w:pPr>
            <w:r w:rsidRPr="00036D32">
              <w:rPr>
                <w:rFonts w:ascii="Arabic Typesetting" w:hAnsi="Arabic Typesetting" w:cs="Arabic Typesetting"/>
                <w:sz w:val="36"/>
                <w:szCs w:val="36"/>
                <w:rtl/>
              </w:rPr>
              <w:t>وعُرض اقتراح المشروع الحالي لأغراض نشر نتائج مشروع الدراسة المشار إليها أعلاه وذلك من خلال تنظيم نشاطي المشروع الرئيسيين على النحو التالي:</w:t>
            </w:r>
            <w:r w:rsidRPr="00036D32">
              <w:rPr>
                <w:rFonts w:ascii="Arabic Typesetting" w:hAnsi="Arabic Typesetting" w:cs="Arabic Typesetting"/>
                <w:sz w:val="36"/>
                <w:szCs w:val="36"/>
              </w:rPr>
              <w:t xml:space="preserve"> </w:t>
            </w:r>
          </w:p>
          <w:p w:rsidR="00036D32" w:rsidRPr="00036D32" w:rsidRDefault="00036D32" w:rsidP="008078D9">
            <w:pPr>
              <w:shd w:val="clear" w:color="auto" w:fill="FAFAFA"/>
              <w:spacing w:before="200"/>
              <w:ind w:left="867" w:hanging="450"/>
              <w:rPr>
                <w:rFonts w:ascii="Arabic Typesetting" w:hAnsi="Arabic Typesetting" w:cs="Arabic Typesetting"/>
                <w:sz w:val="36"/>
                <w:szCs w:val="36"/>
                <w:rtl/>
              </w:rPr>
            </w:pPr>
            <w:r w:rsidRPr="00036D32">
              <w:rPr>
                <w:rFonts w:ascii="Arabic Typesetting" w:hAnsi="Arabic Typesetting" w:cs="Arabic Typesetting"/>
                <w:sz w:val="36"/>
                <w:szCs w:val="36"/>
                <w:rtl/>
              </w:rPr>
              <w:t>أ.</w:t>
            </w:r>
            <w:r w:rsidR="008078D9">
              <w:rPr>
                <w:rFonts w:ascii="Arabic Typesetting" w:hAnsi="Arabic Typesetting" w:cs="Arabic Typesetting"/>
                <w:sz w:val="36"/>
                <w:szCs w:val="36"/>
                <w:rtl/>
              </w:rPr>
              <w:tab/>
            </w:r>
            <w:r w:rsidRPr="00036D32">
              <w:rPr>
                <w:rFonts w:ascii="Arabic Typesetting" w:hAnsi="Arabic Typesetting" w:cs="Arabic Typesetting"/>
                <w:sz w:val="36"/>
                <w:szCs w:val="36"/>
                <w:rtl/>
              </w:rPr>
              <w:t>حلقة عمل دون إقليمية لنشر نتائج الدراسة؛</w:t>
            </w:r>
          </w:p>
          <w:p w:rsidR="00036D32" w:rsidRPr="00036D32" w:rsidRDefault="00036D32" w:rsidP="008078D9">
            <w:pPr>
              <w:shd w:val="clear" w:color="auto" w:fill="FAFAFA"/>
              <w:spacing w:before="200"/>
              <w:ind w:left="867" w:hanging="450"/>
              <w:rPr>
                <w:rFonts w:ascii="Arabic Typesetting" w:hAnsi="Arabic Typesetting" w:cs="Arabic Typesetting"/>
                <w:sz w:val="36"/>
                <w:szCs w:val="36"/>
                <w:rtl/>
              </w:rPr>
            </w:pPr>
            <w:r w:rsidRPr="00036D32">
              <w:rPr>
                <w:rFonts w:ascii="Arabic Typesetting" w:hAnsi="Arabic Typesetting" w:cs="Arabic Typesetting"/>
                <w:sz w:val="36"/>
                <w:szCs w:val="36"/>
                <w:rtl/>
              </w:rPr>
              <w:t>ب.</w:t>
            </w:r>
            <w:r w:rsidR="008078D9">
              <w:rPr>
                <w:rFonts w:ascii="Arabic Typesetting" w:hAnsi="Arabic Typesetting" w:cs="Arabic Typesetting"/>
                <w:sz w:val="36"/>
                <w:szCs w:val="36"/>
                <w:rtl/>
              </w:rPr>
              <w:tab/>
            </w:r>
            <w:r w:rsidRPr="00036D32">
              <w:rPr>
                <w:rFonts w:ascii="Arabic Typesetting" w:hAnsi="Arabic Typesetting" w:cs="Arabic Typesetting"/>
                <w:sz w:val="36"/>
                <w:szCs w:val="36"/>
                <w:rtl/>
              </w:rPr>
              <w:t xml:space="preserve">صياغة موجز عقب الانتهاء من حلقة العمل يسلط الضوء على التجارب المكتسبة في المجال ويعرض بعض الخيارات الممكنة لتأخذ بها البلدان المستفيدة. </w:t>
            </w:r>
          </w:p>
          <w:p w:rsidR="00036D32" w:rsidRPr="00036D32" w:rsidRDefault="00036D32" w:rsidP="00036D32">
            <w:pPr>
              <w:shd w:val="clear" w:color="auto" w:fill="FAFAFA"/>
              <w:spacing w:before="200"/>
              <w:rPr>
                <w:rFonts w:ascii="Arabic Typesetting" w:hAnsi="Arabic Typesetting" w:cs="Arabic Typesetting"/>
                <w:sz w:val="36"/>
                <w:szCs w:val="36"/>
                <w:rtl/>
              </w:rPr>
            </w:pPr>
            <w:r w:rsidRPr="00036D32">
              <w:rPr>
                <w:rFonts w:ascii="Arabic Typesetting" w:hAnsi="Arabic Typesetting" w:cs="Arabic Typesetting"/>
                <w:sz w:val="36"/>
                <w:szCs w:val="36"/>
                <w:rtl/>
              </w:rPr>
              <w:t xml:space="preserve">وتتمثل الأهداف الرئيسية من هذين النشاطين فيما يلي: </w:t>
            </w:r>
          </w:p>
          <w:p w:rsidR="00036D32" w:rsidRPr="00036D32" w:rsidRDefault="00036D32" w:rsidP="00036D32">
            <w:pPr>
              <w:numPr>
                <w:ilvl w:val="0"/>
                <w:numId w:val="49"/>
              </w:numPr>
              <w:spacing w:line="380" w:lineRule="exact"/>
              <w:rPr>
                <w:rFonts w:ascii="Arabic Typesetting" w:hAnsi="Arabic Typesetting" w:cs="Arabic Typesetting"/>
                <w:sz w:val="36"/>
                <w:szCs w:val="36"/>
              </w:rPr>
            </w:pPr>
            <w:r w:rsidRPr="00036D32">
              <w:rPr>
                <w:rFonts w:ascii="Arabic Typesetting" w:hAnsi="Arabic Typesetting" w:cs="Arabic Typesetting"/>
                <w:sz w:val="36"/>
                <w:szCs w:val="36"/>
                <w:rtl/>
              </w:rPr>
              <w:t>عرض النتائج الرئيسية للدراسة</w:t>
            </w:r>
          </w:p>
          <w:p w:rsidR="00036D32" w:rsidRPr="00036D32" w:rsidRDefault="00036D32" w:rsidP="00036D32">
            <w:pPr>
              <w:numPr>
                <w:ilvl w:val="0"/>
                <w:numId w:val="49"/>
              </w:numPr>
              <w:spacing w:line="380" w:lineRule="exact"/>
              <w:rPr>
                <w:rFonts w:ascii="Arabic Typesetting" w:hAnsi="Arabic Typesetting" w:cs="Arabic Typesetting"/>
                <w:sz w:val="36"/>
                <w:szCs w:val="36"/>
              </w:rPr>
            </w:pPr>
            <w:r w:rsidRPr="00036D32">
              <w:rPr>
                <w:rFonts w:ascii="Arabic Typesetting" w:hAnsi="Arabic Typesetting" w:cs="Arabic Typesetting"/>
                <w:sz w:val="36"/>
                <w:szCs w:val="36"/>
                <w:rtl/>
              </w:rPr>
              <w:t>زيادة وعي واضعي السياسات والمهنيين بأهمية بيانات السوق والبيانات القانونية في القطاع السمعي البصري</w:t>
            </w:r>
          </w:p>
          <w:p w:rsidR="00036D32" w:rsidRPr="00036D32" w:rsidRDefault="00036D32" w:rsidP="00036D32">
            <w:pPr>
              <w:numPr>
                <w:ilvl w:val="0"/>
                <w:numId w:val="49"/>
              </w:numPr>
              <w:spacing w:line="380" w:lineRule="exact"/>
              <w:rPr>
                <w:rFonts w:ascii="Arabic Typesetting" w:hAnsi="Arabic Typesetting" w:cs="Arabic Typesetting"/>
                <w:sz w:val="36"/>
                <w:szCs w:val="36"/>
              </w:rPr>
            </w:pPr>
            <w:r w:rsidRPr="00036D32">
              <w:rPr>
                <w:rFonts w:ascii="Arabic Typesetting" w:hAnsi="Arabic Typesetting" w:cs="Arabic Typesetting"/>
                <w:sz w:val="36"/>
                <w:szCs w:val="36"/>
                <w:rtl/>
              </w:rPr>
              <w:lastRenderedPageBreak/>
              <w:t>تقديم أمثلة على أنجح الاستراتيجيات والأدوات وأفضل الممارسات على المستوى الوطني والإقليمي فيما يتعلق بجمع بيانات السوق والبيانات القانونية في القطاع السمعي البصري.</w:t>
            </w:r>
          </w:p>
          <w:p w:rsidR="00036D32" w:rsidRPr="00036D32" w:rsidRDefault="00036D32" w:rsidP="00036D32">
            <w:pPr>
              <w:numPr>
                <w:ilvl w:val="0"/>
                <w:numId w:val="49"/>
              </w:numPr>
              <w:spacing w:line="380" w:lineRule="exact"/>
              <w:rPr>
                <w:rFonts w:ascii="Arabic Typesetting" w:eastAsia="SimSun" w:hAnsi="Arabic Typesetting" w:cs="Arabic Typesetting"/>
                <w:sz w:val="36"/>
                <w:szCs w:val="36"/>
                <w:lang w:eastAsia="zh-CN"/>
              </w:rPr>
            </w:pPr>
            <w:r w:rsidRPr="00036D32">
              <w:rPr>
                <w:rFonts w:ascii="Arabic Typesetting" w:hAnsi="Arabic Typesetting" w:cs="Arabic Typesetting"/>
                <w:sz w:val="36"/>
                <w:szCs w:val="36"/>
                <w:rtl/>
              </w:rPr>
              <w:t>تحديد بعض الخيارات التي يمكن أن تتبعها البلدان المستفيدة لزيادة شفافية بيانات السوق والبيانات القانونية</w:t>
            </w:r>
          </w:p>
        </w:tc>
      </w:tr>
    </w:tbl>
    <w:p w:rsidR="008078D9" w:rsidRDefault="008078D9" w:rsidP="00E729CB">
      <w:pPr>
        <w:rPr>
          <w:rtl/>
        </w:rPr>
      </w:pPr>
    </w:p>
    <w:p w:rsidR="008078D9" w:rsidRDefault="008078D9">
      <w:pPr>
        <w:bidi w:val="0"/>
        <w:rPr>
          <w:rtl/>
        </w:rPr>
      </w:pPr>
      <w:r>
        <w:rPr>
          <w:rtl/>
        </w:rPr>
        <w:br w:type="page"/>
      </w:r>
    </w:p>
    <w:p w:rsidR="00E729CB" w:rsidRPr="00E729CB" w:rsidRDefault="00E729CB" w:rsidP="00E729CB"/>
    <w:tbl>
      <w:tblPr>
        <w:tblStyle w:val="TableGrid2"/>
        <w:bidiVisual/>
        <w:tblW w:w="0" w:type="auto"/>
        <w:tblLook w:val="04A0" w:firstRow="1" w:lastRow="0" w:firstColumn="1" w:lastColumn="0" w:noHBand="0" w:noVBand="1"/>
      </w:tblPr>
      <w:tblGrid>
        <w:gridCol w:w="2155"/>
        <w:gridCol w:w="7190"/>
      </w:tblGrid>
      <w:tr w:rsidR="00036D32" w:rsidRPr="00036D32" w:rsidTr="00C227BC">
        <w:tc>
          <w:tcPr>
            <w:tcW w:w="2155" w:type="dxa"/>
          </w:tcPr>
          <w:p w:rsidR="00036D32" w:rsidRPr="00036D32" w:rsidRDefault="00036D32" w:rsidP="00036D32">
            <w:pPr>
              <w:rPr>
                <w:rFonts w:ascii="Arabic Typesetting" w:eastAsia="SimSun" w:hAnsi="Arabic Typesetting" w:cs="Arabic Typesetting"/>
                <w:iCs/>
                <w:sz w:val="36"/>
                <w:szCs w:val="36"/>
                <w:lang w:eastAsia="zh-CN"/>
              </w:rPr>
            </w:pPr>
            <w:r w:rsidRPr="00036D32">
              <w:rPr>
                <w:rFonts w:ascii="Arabic Typesetting" w:eastAsia="SimSun" w:hAnsi="Arabic Typesetting" w:cs="Arabic Typesetting"/>
                <w:iCs/>
                <w:sz w:val="36"/>
                <w:szCs w:val="36"/>
                <w:rtl/>
                <w:lang w:eastAsia="zh-CN"/>
              </w:rPr>
              <w:t>نشاطا المشروع</w:t>
            </w:r>
          </w:p>
          <w:p w:rsidR="00036D32" w:rsidRPr="00036D32" w:rsidRDefault="00036D32" w:rsidP="00036D32">
            <w:pPr>
              <w:rPr>
                <w:rFonts w:ascii="Arabic Typesetting" w:eastAsia="SimSun" w:hAnsi="Arabic Typesetting" w:cs="Arabic Typesetting"/>
                <w:sz w:val="36"/>
                <w:szCs w:val="36"/>
                <w:lang w:eastAsia="zh-CN"/>
              </w:rPr>
            </w:pPr>
          </w:p>
        </w:tc>
        <w:tc>
          <w:tcPr>
            <w:tcW w:w="7190" w:type="dxa"/>
          </w:tcPr>
          <w:p w:rsidR="00036D32" w:rsidRPr="00036D32" w:rsidRDefault="00036D32" w:rsidP="00036D32">
            <w:pPr>
              <w:jc w:val="both"/>
              <w:rPr>
                <w:rFonts w:ascii="Arabic Typesetting" w:eastAsia="SimSun" w:hAnsi="Arabic Typesetting" w:cs="Arabic Typesetting"/>
                <w:bCs/>
                <w:sz w:val="36"/>
                <w:szCs w:val="36"/>
                <w:lang w:eastAsia="zh-CN"/>
              </w:rPr>
            </w:pPr>
            <w:r w:rsidRPr="00036D32">
              <w:rPr>
                <w:rFonts w:ascii="Arabic Typesetting" w:eastAsia="SimSun" w:hAnsi="Arabic Typesetting" w:cs="Arabic Typesetting"/>
                <w:bCs/>
                <w:sz w:val="36"/>
                <w:szCs w:val="36"/>
                <w:rtl/>
                <w:lang w:eastAsia="zh-CN"/>
              </w:rPr>
              <w:t>نشاط المشروع 1</w:t>
            </w:r>
            <w:r w:rsidR="008078D9">
              <w:rPr>
                <w:rFonts w:ascii="Arabic Typesetting" w:eastAsia="SimSun" w:hAnsi="Arabic Typesetting" w:cs="Arabic Typesetting" w:hint="cs"/>
                <w:bCs/>
                <w:sz w:val="36"/>
                <w:szCs w:val="36"/>
                <w:rtl/>
                <w:lang w:eastAsia="zh-CN"/>
              </w:rPr>
              <w:t>:</w:t>
            </w:r>
          </w:p>
          <w:p w:rsidR="00036D32" w:rsidRPr="00036D32" w:rsidRDefault="00036D32" w:rsidP="00036D32">
            <w:pPr>
              <w:autoSpaceDE w:val="0"/>
              <w:autoSpaceDN w:val="0"/>
              <w:adjustRightInd w:val="0"/>
              <w:spacing w:before="200"/>
              <w:contextualSpacing/>
              <w:jc w:val="both"/>
              <w:rPr>
                <w:rFonts w:ascii="Arabic Typesetting" w:eastAsia="SimSun" w:hAnsi="Arabic Typesetting" w:cs="Arabic Typesetting"/>
                <w:bCs/>
                <w:rtl/>
                <w:lang w:eastAsia="zh-CN"/>
              </w:rPr>
            </w:pPr>
          </w:p>
          <w:p w:rsidR="00036D32" w:rsidRPr="00036D32" w:rsidRDefault="00036D32" w:rsidP="00036D32">
            <w:pPr>
              <w:autoSpaceDE w:val="0"/>
              <w:autoSpaceDN w:val="0"/>
              <w:adjustRightInd w:val="0"/>
              <w:spacing w:before="200"/>
              <w:contextualSpacing/>
              <w:jc w:val="both"/>
              <w:rPr>
                <w:rFonts w:ascii="Arabic Typesetting" w:eastAsia="SimSun" w:hAnsi="Arabic Typesetting" w:cs="Arabic Typesetting"/>
                <w:bCs/>
                <w:sz w:val="36"/>
                <w:szCs w:val="36"/>
                <w:lang w:eastAsia="zh-CN"/>
              </w:rPr>
            </w:pPr>
            <w:r w:rsidRPr="00036D32">
              <w:rPr>
                <w:rFonts w:ascii="Arabic Typesetting" w:eastAsia="SimSun" w:hAnsi="Arabic Typesetting" w:cs="Arabic Typesetting"/>
                <w:bCs/>
                <w:sz w:val="36"/>
                <w:szCs w:val="36"/>
                <w:rtl/>
                <w:lang w:eastAsia="zh-CN"/>
              </w:rPr>
              <w:t>الندوة دون الإقليمية</w:t>
            </w:r>
          </w:p>
          <w:p w:rsidR="00036D32" w:rsidRPr="00036D32" w:rsidRDefault="00036D32" w:rsidP="00036D32">
            <w:pPr>
              <w:autoSpaceDE w:val="0"/>
              <w:autoSpaceDN w:val="0"/>
              <w:adjustRightInd w:val="0"/>
              <w:spacing w:before="200"/>
              <w:contextualSpacing/>
              <w:jc w:val="both"/>
              <w:rPr>
                <w:rFonts w:ascii="Arabic Typesetting" w:eastAsia="SimSun" w:hAnsi="Arabic Typesetting" w:cs="Arabic Typesetting"/>
                <w:rtl/>
                <w:lang w:eastAsia="zh-CN"/>
              </w:rPr>
            </w:pPr>
          </w:p>
          <w:p w:rsidR="00036D32" w:rsidRPr="00036D32" w:rsidRDefault="00036D32" w:rsidP="00036D32">
            <w:pPr>
              <w:autoSpaceDE w:val="0"/>
              <w:autoSpaceDN w:val="0"/>
              <w:adjustRightInd w:val="0"/>
              <w:spacing w:before="200"/>
              <w:contextualSpacing/>
              <w:jc w:val="both"/>
              <w:rPr>
                <w:rFonts w:ascii="Arabic Typesetting" w:eastAsia="SimSun" w:hAnsi="Arabic Typesetting" w:cs="Arabic Typesetting"/>
                <w:sz w:val="36"/>
                <w:szCs w:val="36"/>
                <w:rtl/>
                <w:lang w:eastAsia="zh-CN"/>
              </w:rPr>
            </w:pPr>
            <w:r w:rsidRPr="00036D32">
              <w:rPr>
                <w:rFonts w:ascii="Arabic Typesetting" w:eastAsia="SimSun" w:hAnsi="Arabic Typesetting" w:cs="Arabic Typesetting"/>
                <w:sz w:val="36"/>
                <w:szCs w:val="36"/>
                <w:rtl/>
                <w:lang w:eastAsia="zh-CN"/>
              </w:rPr>
              <w:t>ستتناول هذه الندوة الفوائد التجارية والمالية والاقتصادية التي يمكن أن تنبثق عن جمع البيانات باطراد لتعم جميع الأطراف المعنية.</w:t>
            </w:r>
          </w:p>
          <w:p w:rsidR="00036D32" w:rsidRPr="00036D32" w:rsidRDefault="00036D32" w:rsidP="00036D32">
            <w:pPr>
              <w:autoSpaceDE w:val="0"/>
              <w:autoSpaceDN w:val="0"/>
              <w:adjustRightInd w:val="0"/>
              <w:spacing w:before="200"/>
              <w:contextualSpacing/>
              <w:jc w:val="both"/>
              <w:rPr>
                <w:rFonts w:ascii="Arabic Typesetting" w:eastAsia="SimSun" w:hAnsi="Arabic Typesetting" w:cs="Arabic Typesetting"/>
                <w:rtl/>
                <w:lang w:eastAsia="zh-CN"/>
              </w:rPr>
            </w:pPr>
          </w:p>
          <w:p w:rsidR="00036D32" w:rsidRPr="00036D32" w:rsidRDefault="00036D32" w:rsidP="00036D32">
            <w:pPr>
              <w:autoSpaceDE w:val="0"/>
              <w:autoSpaceDN w:val="0"/>
              <w:adjustRightInd w:val="0"/>
              <w:spacing w:before="200"/>
              <w:contextualSpacing/>
              <w:jc w:val="both"/>
              <w:rPr>
                <w:rFonts w:ascii="Arabic Typesetting" w:eastAsia="SimSun" w:hAnsi="Arabic Typesetting" w:cs="Arabic Typesetting"/>
                <w:sz w:val="36"/>
                <w:szCs w:val="36"/>
                <w:rtl/>
                <w:lang w:eastAsia="zh-CN"/>
              </w:rPr>
            </w:pPr>
            <w:r w:rsidRPr="00036D32">
              <w:rPr>
                <w:rFonts w:ascii="Arabic Typesetting" w:eastAsia="SimSun" w:hAnsi="Arabic Typesetting" w:cs="Arabic Typesetting"/>
                <w:sz w:val="36"/>
                <w:szCs w:val="36"/>
                <w:rtl/>
                <w:lang w:eastAsia="zh-CN"/>
              </w:rPr>
              <w:t>وستجمع هذه الندوة، على مدى ثلاثة أيام، ممثلين عن المؤسسات الوطنية المعنية بتمويل</w:t>
            </w:r>
            <w:r w:rsidRPr="00036D32">
              <w:rPr>
                <w:rFonts w:ascii="Arabic Typesetting" w:hAnsi="Arabic Typesetting" w:cs="Arabic Typesetting"/>
                <w:sz w:val="36"/>
                <w:szCs w:val="36"/>
                <w:rtl/>
              </w:rPr>
              <w:t xml:space="preserve"> </w:t>
            </w:r>
            <w:r w:rsidRPr="00036D32">
              <w:rPr>
                <w:rFonts w:ascii="Arabic Typesetting" w:eastAsia="SimSun" w:hAnsi="Arabic Typesetting" w:cs="Arabic Typesetting"/>
                <w:sz w:val="36"/>
                <w:szCs w:val="36"/>
                <w:rtl/>
                <w:lang w:eastAsia="zh-CN"/>
              </w:rPr>
              <w:t xml:space="preserve">الإنتاج والتوزيع وتنظيمهما وإدارتهما في القطاع السمعي البصري، كما ستحضرها هيئات البث ومكاتب حق المؤلف ومنظمات الإدارة الجماعية. </w:t>
            </w:r>
          </w:p>
          <w:p w:rsidR="00036D32" w:rsidRPr="00036D32" w:rsidRDefault="00036D32" w:rsidP="00036D32">
            <w:pPr>
              <w:autoSpaceDE w:val="0"/>
              <w:autoSpaceDN w:val="0"/>
              <w:adjustRightInd w:val="0"/>
              <w:spacing w:before="200"/>
              <w:contextualSpacing/>
              <w:jc w:val="both"/>
              <w:rPr>
                <w:rFonts w:ascii="Arabic Typesetting" w:eastAsia="SimSun" w:hAnsi="Arabic Typesetting" w:cs="Arabic Typesetting"/>
                <w:rtl/>
                <w:lang w:eastAsia="zh-CN"/>
              </w:rPr>
            </w:pPr>
          </w:p>
          <w:p w:rsidR="00036D32" w:rsidRPr="00036D32" w:rsidRDefault="00036D32" w:rsidP="00036D32">
            <w:pPr>
              <w:autoSpaceDE w:val="0"/>
              <w:autoSpaceDN w:val="0"/>
              <w:adjustRightInd w:val="0"/>
              <w:spacing w:before="200"/>
              <w:contextualSpacing/>
              <w:jc w:val="both"/>
              <w:rPr>
                <w:rFonts w:ascii="Arabic Typesetting" w:eastAsia="SimSun" w:hAnsi="Arabic Typesetting" w:cs="Arabic Typesetting"/>
                <w:sz w:val="36"/>
                <w:szCs w:val="36"/>
                <w:rtl/>
                <w:lang w:eastAsia="zh-CN"/>
              </w:rPr>
            </w:pPr>
            <w:r w:rsidRPr="00036D32">
              <w:rPr>
                <w:rFonts w:ascii="Arabic Typesetting" w:eastAsia="SimSun" w:hAnsi="Arabic Typesetting" w:cs="Arabic Typesetting"/>
                <w:sz w:val="36"/>
                <w:szCs w:val="36"/>
                <w:rtl/>
                <w:lang w:eastAsia="zh-CN"/>
              </w:rPr>
              <w:t>وستضم الندوة شركاء مؤسسيين دون إقليميين مثل مفوضية الاتحاد الاقتصادي والنقدي لغرب إفريقيا والجماعة الاقتصادية لدول غرب أفريقيا.</w:t>
            </w:r>
          </w:p>
          <w:p w:rsidR="00036D32" w:rsidRPr="00036D32" w:rsidRDefault="00036D32" w:rsidP="00036D32">
            <w:pPr>
              <w:autoSpaceDE w:val="0"/>
              <w:autoSpaceDN w:val="0"/>
              <w:adjustRightInd w:val="0"/>
              <w:contextualSpacing/>
              <w:jc w:val="both"/>
              <w:rPr>
                <w:rFonts w:ascii="Arabic Typesetting" w:eastAsia="SimSun" w:hAnsi="Arabic Typesetting" w:cs="Arabic Typesetting"/>
                <w:rtl/>
                <w:lang w:eastAsia="zh-CN"/>
              </w:rPr>
            </w:pPr>
          </w:p>
          <w:p w:rsidR="00036D32" w:rsidRPr="00036D32" w:rsidRDefault="00036D32" w:rsidP="00036D32">
            <w:pPr>
              <w:autoSpaceDE w:val="0"/>
              <w:autoSpaceDN w:val="0"/>
              <w:adjustRightInd w:val="0"/>
              <w:contextualSpacing/>
              <w:jc w:val="both"/>
              <w:rPr>
                <w:rFonts w:ascii="Arabic Typesetting" w:eastAsia="SimSun" w:hAnsi="Arabic Typesetting" w:cs="Arabic Typesetting"/>
                <w:sz w:val="36"/>
                <w:szCs w:val="36"/>
                <w:rtl/>
                <w:lang w:eastAsia="zh-CN"/>
              </w:rPr>
            </w:pPr>
            <w:r w:rsidRPr="00036D32">
              <w:rPr>
                <w:rFonts w:ascii="Arabic Typesetting" w:eastAsia="SimSun" w:hAnsi="Arabic Typesetting" w:cs="Arabic Typesetting"/>
                <w:sz w:val="36"/>
                <w:szCs w:val="36"/>
                <w:rtl/>
                <w:lang w:eastAsia="zh-CN"/>
              </w:rPr>
              <w:t>وسيكون من بين المساهمين والمحاضرين أولئك الباحثين الذين أجريا الدراسة وخبيرين آخرين. كما ستضم الندوة أيضًا ممثلين عن الجمعيات المهنية الأوروبية لحق المؤلف (على سبيل المثال الجمعية الأوروبية لمؤلفي السمعي البصري والمرصد السمعي البصري الأوروبي) وممثلين عن اللجنة السمعية البصرية والسينمائية التابعة للاتحاد الأفريقي.</w:t>
            </w:r>
          </w:p>
          <w:p w:rsidR="00036D32" w:rsidRPr="00036D32" w:rsidRDefault="00036D32" w:rsidP="00036D32">
            <w:pPr>
              <w:spacing w:before="200"/>
              <w:rPr>
                <w:rFonts w:ascii="Arabic Typesetting" w:eastAsia="SimSun" w:hAnsi="Arabic Typesetting" w:cs="Arabic Typesetting"/>
                <w:sz w:val="36"/>
                <w:szCs w:val="36"/>
                <w:rtl/>
                <w:lang w:eastAsia="zh-CN"/>
              </w:rPr>
            </w:pPr>
            <w:r w:rsidRPr="00036D32">
              <w:rPr>
                <w:rFonts w:ascii="Arabic Typesetting" w:eastAsia="SimSun" w:hAnsi="Arabic Typesetting" w:cs="Arabic Typesetting"/>
                <w:sz w:val="36"/>
                <w:szCs w:val="36"/>
                <w:rtl/>
                <w:lang w:eastAsia="zh-CN"/>
              </w:rPr>
              <w:t>وسيشمل المشاركون 5 ممثلين على الأقل من كل بلد مستفيد يمثلون الفئات التالية:</w:t>
            </w:r>
          </w:p>
          <w:p w:rsidR="00036D32" w:rsidRPr="00036D32" w:rsidRDefault="00036D32" w:rsidP="00036D32">
            <w:pPr>
              <w:numPr>
                <w:ilvl w:val="0"/>
                <w:numId w:val="49"/>
              </w:numPr>
              <w:spacing w:before="200"/>
              <w:rPr>
                <w:rFonts w:ascii="Arabic Typesetting" w:hAnsi="Arabic Typesetting" w:cs="Arabic Typesetting"/>
                <w:sz w:val="36"/>
                <w:szCs w:val="36"/>
              </w:rPr>
            </w:pPr>
            <w:r w:rsidRPr="00036D32">
              <w:rPr>
                <w:rFonts w:ascii="Arabic Typesetting" w:hAnsi="Arabic Typesetting" w:cs="Arabic Typesetting"/>
                <w:sz w:val="36"/>
                <w:szCs w:val="36"/>
                <w:rtl/>
              </w:rPr>
              <w:t>ممثل عن السلطة الوطنية المسؤولة عن حق المؤلف</w:t>
            </w:r>
          </w:p>
          <w:p w:rsidR="00036D32" w:rsidRPr="00036D32" w:rsidRDefault="00036D32" w:rsidP="00036D32">
            <w:pPr>
              <w:numPr>
                <w:ilvl w:val="0"/>
                <w:numId w:val="49"/>
              </w:numPr>
              <w:spacing w:line="380" w:lineRule="exact"/>
              <w:rPr>
                <w:rFonts w:ascii="Arabic Typesetting" w:hAnsi="Arabic Typesetting" w:cs="Arabic Typesetting"/>
                <w:sz w:val="36"/>
                <w:szCs w:val="36"/>
              </w:rPr>
            </w:pPr>
            <w:r w:rsidRPr="00036D32">
              <w:rPr>
                <w:rFonts w:ascii="Arabic Typesetting" w:hAnsi="Arabic Typesetting" w:cs="Arabic Typesetting"/>
                <w:sz w:val="36"/>
                <w:szCs w:val="36"/>
                <w:rtl/>
              </w:rPr>
              <w:t>ممثل عن منظمة الإدارة الجماعية</w:t>
            </w:r>
          </w:p>
          <w:p w:rsidR="00036D32" w:rsidRPr="00036D32" w:rsidRDefault="00036D32" w:rsidP="00036D32">
            <w:pPr>
              <w:numPr>
                <w:ilvl w:val="0"/>
                <w:numId w:val="49"/>
              </w:numPr>
              <w:spacing w:line="380" w:lineRule="exact"/>
              <w:rPr>
                <w:rFonts w:ascii="Arabic Typesetting" w:hAnsi="Arabic Typesetting" w:cs="Arabic Typesetting"/>
                <w:sz w:val="36"/>
                <w:szCs w:val="36"/>
              </w:rPr>
            </w:pPr>
            <w:r w:rsidRPr="00036D32">
              <w:rPr>
                <w:rFonts w:ascii="Arabic Typesetting" w:hAnsi="Arabic Typesetting" w:cs="Arabic Typesetting"/>
                <w:sz w:val="36"/>
                <w:szCs w:val="36"/>
                <w:rtl/>
              </w:rPr>
              <w:t>ممثل عن اللجنة السينمائية</w:t>
            </w:r>
          </w:p>
          <w:p w:rsidR="00036D32" w:rsidRPr="00036D32" w:rsidRDefault="00036D32" w:rsidP="00036D32">
            <w:pPr>
              <w:numPr>
                <w:ilvl w:val="0"/>
                <w:numId w:val="49"/>
              </w:numPr>
              <w:spacing w:line="380" w:lineRule="exact"/>
              <w:rPr>
                <w:rFonts w:ascii="Arabic Typesetting" w:hAnsi="Arabic Typesetting" w:cs="Arabic Typesetting"/>
                <w:sz w:val="36"/>
                <w:szCs w:val="36"/>
              </w:rPr>
            </w:pPr>
            <w:r w:rsidRPr="00036D32">
              <w:rPr>
                <w:rFonts w:ascii="Arabic Typesetting" w:hAnsi="Arabic Typesetting" w:cs="Arabic Typesetting"/>
                <w:sz w:val="36"/>
                <w:szCs w:val="36"/>
                <w:rtl/>
              </w:rPr>
              <w:t>ممثل عن السلطة الوطنية المسؤولة عن تنظيم الاتصالات</w:t>
            </w:r>
          </w:p>
          <w:p w:rsidR="002E56FD" w:rsidRPr="00036D32" w:rsidRDefault="00036D32" w:rsidP="002E56FD">
            <w:pPr>
              <w:numPr>
                <w:ilvl w:val="0"/>
                <w:numId w:val="49"/>
              </w:numPr>
              <w:spacing w:before="240" w:line="380" w:lineRule="exact"/>
              <w:contextualSpacing/>
              <w:jc w:val="both"/>
              <w:rPr>
                <w:rFonts w:ascii="Arabic Typesetting" w:eastAsia="SimSun" w:hAnsi="Arabic Typesetting" w:cs="Arabic Typesetting"/>
                <w:sz w:val="36"/>
                <w:szCs w:val="36"/>
                <w:lang w:eastAsia="zh-CN"/>
              </w:rPr>
            </w:pPr>
            <w:r w:rsidRPr="00036D32">
              <w:rPr>
                <w:rFonts w:ascii="Arabic Typesetting" w:hAnsi="Arabic Typesetting" w:cs="Arabic Typesetting"/>
                <w:sz w:val="36"/>
                <w:szCs w:val="36"/>
                <w:rtl/>
              </w:rPr>
              <w:t>ممثل عن جمعية منتجي الأفلام.</w:t>
            </w:r>
          </w:p>
          <w:p w:rsidR="002E56FD" w:rsidRPr="00E729CB" w:rsidRDefault="002E56FD" w:rsidP="00036D32">
            <w:pPr>
              <w:spacing w:before="200"/>
              <w:contextualSpacing/>
              <w:jc w:val="both"/>
              <w:rPr>
                <w:rFonts w:ascii="Arabic Typesetting" w:eastAsia="SimSun" w:hAnsi="Arabic Typesetting" w:cs="Arabic Typesetting"/>
                <w:bCs/>
                <w:rtl/>
                <w:lang w:eastAsia="zh-CN"/>
              </w:rPr>
            </w:pPr>
          </w:p>
          <w:p w:rsidR="00036D32" w:rsidRPr="00036D32" w:rsidRDefault="00036D32" w:rsidP="00036D32">
            <w:pPr>
              <w:spacing w:before="200"/>
              <w:contextualSpacing/>
              <w:jc w:val="both"/>
              <w:rPr>
                <w:rFonts w:ascii="Arabic Typesetting" w:eastAsia="SimSun" w:hAnsi="Arabic Typesetting" w:cs="Arabic Typesetting"/>
                <w:bCs/>
                <w:sz w:val="36"/>
                <w:szCs w:val="36"/>
                <w:lang w:eastAsia="zh-CN"/>
              </w:rPr>
            </w:pPr>
            <w:r w:rsidRPr="00036D32">
              <w:rPr>
                <w:rFonts w:ascii="Arabic Typesetting" w:eastAsia="SimSun" w:hAnsi="Arabic Typesetting" w:cs="Arabic Typesetting"/>
                <w:bCs/>
                <w:sz w:val="36"/>
                <w:szCs w:val="36"/>
                <w:rtl/>
                <w:lang w:eastAsia="zh-CN"/>
              </w:rPr>
              <w:t>نشاط المشروع 2:</w:t>
            </w:r>
          </w:p>
          <w:p w:rsidR="00036D32" w:rsidRPr="00036D32" w:rsidRDefault="00036D32" w:rsidP="00036D32">
            <w:pPr>
              <w:contextualSpacing/>
              <w:jc w:val="both"/>
              <w:rPr>
                <w:rFonts w:ascii="Arabic Typesetting" w:eastAsia="SimSun" w:hAnsi="Arabic Typesetting" w:cs="Arabic Typesetting"/>
                <w:bCs/>
                <w:lang w:eastAsia="zh-CN"/>
              </w:rPr>
            </w:pPr>
          </w:p>
          <w:p w:rsidR="00036D32" w:rsidRPr="00036D32" w:rsidRDefault="00036D32" w:rsidP="00036D32">
            <w:pPr>
              <w:shd w:val="clear" w:color="auto" w:fill="FAFAFA"/>
              <w:rPr>
                <w:rFonts w:ascii="Arabic Typesetting" w:hAnsi="Arabic Typesetting" w:cs="Arabic Typesetting"/>
                <w:bCs/>
                <w:sz w:val="36"/>
                <w:szCs w:val="36"/>
              </w:rPr>
            </w:pPr>
            <w:r w:rsidRPr="00036D32">
              <w:rPr>
                <w:rFonts w:ascii="Arabic Typesetting" w:hAnsi="Arabic Typesetting" w:cs="Arabic Typesetting"/>
                <w:bCs/>
                <w:sz w:val="36"/>
                <w:szCs w:val="36"/>
                <w:rtl/>
              </w:rPr>
              <w:t>إعداد وثيقة الموجز عقب انتهاء حلقة العمل</w:t>
            </w:r>
            <w:r w:rsidRPr="00036D32">
              <w:rPr>
                <w:rFonts w:ascii="Arabic Typesetting" w:hAnsi="Arabic Typesetting" w:cs="Arabic Typesetting"/>
                <w:bCs/>
                <w:sz w:val="36"/>
                <w:szCs w:val="36"/>
              </w:rPr>
              <w:t>:</w:t>
            </w:r>
          </w:p>
          <w:p w:rsidR="00036D32" w:rsidRPr="00036D32" w:rsidRDefault="00036D32" w:rsidP="00036D32">
            <w:pPr>
              <w:shd w:val="clear" w:color="auto" w:fill="FAFAFA"/>
              <w:rPr>
                <w:rFonts w:ascii="Arabic Typesetting" w:hAnsi="Arabic Typesetting" w:cs="Arabic Typesetting"/>
                <w:sz w:val="36"/>
                <w:szCs w:val="36"/>
              </w:rPr>
            </w:pPr>
            <w:r w:rsidRPr="00036D32">
              <w:rPr>
                <w:rFonts w:ascii="Arabic Typesetting" w:hAnsi="Arabic Typesetting" w:cs="Arabic Typesetting"/>
                <w:sz w:val="36"/>
                <w:szCs w:val="36"/>
                <w:rtl/>
              </w:rPr>
              <w:t>ومن شأن هذه الوثيقة أن:</w:t>
            </w:r>
          </w:p>
          <w:p w:rsidR="00036D32" w:rsidRPr="00036D32" w:rsidRDefault="00036D32" w:rsidP="00036D32">
            <w:pPr>
              <w:numPr>
                <w:ilvl w:val="0"/>
                <w:numId w:val="49"/>
              </w:numPr>
              <w:spacing w:line="380" w:lineRule="exact"/>
              <w:rPr>
                <w:rFonts w:ascii="Arabic Typesetting" w:hAnsi="Arabic Typesetting" w:cs="Arabic Typesetting"/>
                <w:sz w:val="36"/>
                <w:szCs w:val="36"/>
              </w:rPr>
            </w:pPr>
            <w:r w:rsidRPr="00036D32">
              <w:rPr>
                <w:rFonts w:ascii="Arabic Typesetting" w:hAnsi="Arabic Typesetting" w:cs="Arabic Typesetting"/>
                <w:sz w:val="36"/>
                <w:szCs w:val="36"/>
                <w:rtl/>
              </w:rPr>
              <w:t>تسلط الضوء على التجارب المكتسبة في هذا المجال ومختلف المناهج المتبعة في جمع البيانات في البلدان المستفيدة</w:t>
            </w:r>
          </w:p>
          <w:p w:rsidR="00036D32" w:rsidRPr="00036D32" w:rsidRDefault="00036D32" w:rsidP="00036D32">
            <w:pPr>
              <w:numPr>
                <w:ilvl w:val="0"/>
                <w:numId w:val="49"/>
              </w:numPr>
              <w:spacing w:line="380" w:lineRule="exact"/>
              <w:rPr>
                <w:rFonts w:ascii="Arabic Typesetting" w:hAnsi="Arabic Typesetting" w:cs="Arabic Typesetting"/>
                <w:sz w:val="36"/>
                <w:szCs w:val="36"/>
              </w:rPr>
            </w:pPr>
            <w:r w:rsidRPr="00036D32">
              <w:rPr>
                <w:rFonts w:ascii="Arabic Typesetting" w:hAnsi="Arabic Typesetting" w:cs="Arabic Typesetting"/>
                <w:sz w:val="36"/>
                <w:szCs w:val="36"/>
                <w:rtl/>
              </w:rPr>
              <w:t>وقياس بعض أفضل الممارسات التي جرى تناولها خلال الندوة</w:t>
            </w:r>
          </w:p>
          <w:p w:rsidR="00036D32" w:rsidRPr="00036D32" w:rsidRDefault="00036D32" w:rsidP="00036D32">
            <w:pPr>
              <w:numPr>
                <w:ilvl w:val="0"/>
                <w:numId w:val="49"/>
              </w:numPr>
              <w:spacing w:line="380" w:lineRule="exact"/>
              <w:rPr>
                <w:rFonts w:ascii="Arabic Typesetting" w:hAnsi="Arabic Typesetting" w:cs="Arabic Typesetting"/>
                <w:sz w:val="36"/>
                <w:szCs w:val="36"/>
              </w:rPr>
            </w:pPr>
            <w:r w:rsidRPr="00036D32">
              <w:rPr>
                <w:rFonts w:ascii="Arabic Typesetting" w:hAnsi="Arabic Typesetting" w:cs="Arabic Typesetting"/>
                <w:sz w:val="36"/>
                <w:szCs w:val="36"/>
                <w:rtl/>
              </w:rPr>
              <w:t>وتحديد خيارات للبلدان لتأخذ بها.</w:t>
            </w:r>
          </w:p>
          <w:p w:rsidR="00036D32" w:rsidRDefault="00036D32" w:rsidP="00036D32">
            <w:pPr>
              <w:spacing w:before="200"/>
              <w:rPr>
                <w:rFonts w:ascii="Arabic Typesetting" w:hAnsi="Arabic Typesetting" w:cs="Arabic Typesetting"/>
                <w:sz w:val="36"/>
                <w:szCs w:val="36"/>
                <w:rtl/>
              </w:rPr>
            </w:pPr>
            <w:r w:rsidRPr="00036D32">
              <w:rPr>
                <w:rFonts w:ascii="Arabic Typesetting" w:hAnsi="Arabic Typesetting" w:cs="Arabic Typesetting"/>
                <w:sz w:val="36"/>
                <w:szCs w:val="36"/>
                <w:rtl/>
              </w:rPr>
              <w:t>وستقيم هذه الوثيقة الحد الأدنى الممكن من الترتيبات الهيكلية والقانونية والمالية والإدارية والنُهج المتبعة في تجميع البيانات وشرائها وتقاسمها وتطوير الشبكات.</w:t>
            </w:r>
          </w:p>
          <w:p w:rsidR="0089013C" w:rsidRPr="00036D32" w:rsidRDefault="0089013C" w:rsidP="00036D32">
            <w:pPr>
              <w:spacing w:before="200"/>
              <w:rPr>
                <w:rFonts w:ascii="Arabic Typesetting" w:eastAsia="SimSun" w:hAnsi="Arabic Typesetting" w:cs="Arabic Typesetting"/>
                <w:sz w:val="36"/>
                <w:szCs w:val="36"/>
                <w:u w:val="single"/>
                <w:lang w:eastAsia="zh-CN"/>
              </w:rPr>
            </w:pPr>
          </w:p>
          <w:p w:rsidR="00036D32" w:rsidRPr="00036D32" w:rsidRDefault="00036D32" w:rsidP="00036D32">
            <w:pPr>
              <w:spacing w:before="200"/>
              <w:rPr>
                <w:rFonts w:ascii="Arabic Typesetting" w:eastAsia="SimSun" w:hAnsi="Arabic Typesetting" w:cs="Arabic Typesetting"/>
                <w:sz w:val="36"/>
                <w:szCs w:val="36"/>
                <w:u w:val="single"/>
                <w:rtl/>
                <w:lang w:eastAsia="zh-CN"/>
              </w:rPr>
            </w:pPr>
            <w:r w:rsidRPr="00036D32">
              <w:rPr>
                <w:rFonts w:ascii="Arabic Typesetting" w:eastAsia="SimSun" w:hAnsi="Arabic Typesetting" w:cs="Arabic Typesetting"/>
                <w:sz w:val="36"/>
                <w:szCs w:val="36"/>
                <w:u w:val="single"/>
                <w:rtl/>
                <w:lang w:eastAsia="zh-CN"/>
              </w:rPr>
              <w:lastRenderedPageBreak/>
              <w:t>التعاون مع أصحاب المصلحة الآخرين:</w:t>
            </w:r>
          </w:p>
          <w:p w:rsidR="00036D32" w:rsidRPr="00036D32" w:rsidRDefault="00036D32" w:rsidP="00036D32">
            <w:pPr>
              <w:spacing w:before="200"/>
              <w:rPr>
                <w:rFonts w:ascii="Arabic Typesetting" w:eastAsia="SimSun" w:hAnsi="Arabic Typesetting" w:cs="Arabic Typesetting"/>
                <w:sz w:val="36"/>
                <w:szCs w:val="36"/>
                <w:rtl/>
                <w:lang w:eastAsia="zh-CN"/>
              </w:rPr>
            </w:pPr>
            <w:r w:rsidRPr="00036D32">
              <w:rPr>
                <w:rFonts w:ascii="Arabic Typesetting" w:eastAsia="SimSun" w:hAnsi="Arabic Typesetting" w:cs="Arabic Typesetting"/>
                <w:sz w:val="36"/>
                <w:szCs w:val="36"/>
                <w:rtl/>
                <w:lang w:eastAsia="zh-CN"/>
              </w:rPr>
              <w:t xml:space="preserve">لأغراض التنفيذ الاستراتيجي للمشروع، والرغبة في استدامة النتائج على المدى الطويل، سيجري السعي إلى إقامة أوجه التآزر، عند الاقتضاء، مع برامج ومشاريع ومبادرات أصحاب المصلحة والمنظمات المعنية مثل مفوضية الاتحاد الاقتصادي والنقدي لغرب إفريقيا والجماعة الاقتصادية لدول غرب أفريقيا. </w:t>
            </w:r>
          </w:p>
          <w:p w:rsidR="00036D32" w:rsidRPr="00036D32" w:rsidRDefault="00036D32" w:rsidP="00036D32">
            <w:pPr>
              <w:spacing w:before="200"/>
              <w:rPr>
                <w:rFonts w:ascii="Arabic Typesetting" w:eastAsia="SimSun" w:hAnsi="Arabic Typesetting" w:cs="Arabic Typesetting"/>
                <w:sz w:val="36"/>
                <w:szCs w:val="36"/>
                <w:rtl/>
                <w:lang w:eastAsia="zh-CN"/>
              </w:rPr>
            </w:pPr>
            <w:r w:rsidRPr="00036D32">
              <w:rPr>
                <w:rFonts w:ascii="Arabic Typesetting" w:eastAsia="SimSun" w:hAnsi="Arabic Typesetting" w:cs="Arabic Typesetting"/>
                <w:sz w:val="36"/>
                <w:szCs w:val="36"/>
                <w:rtl/>
                <w:lang w:eastAsia="zh-CN"/>
              </w:rPr>
              <w:t>وسيجري تقاسم نتائج وأدوات هذا المشروع مع الدول الأعضاء الأخرى.</w:t>
            </w:r>
          </w:p>
          <w:p w:rsidR="00036D32" w:rsidRPr="00036D32" w:rsidRDefault="00036D32" w:rsidP="00036D32">
            <w:pPr>
              <w:rPr>
                <w:rFonts w:ascii="Arabic Typesetting" w:eastAsia="SimSun" w:hAnsi="Arabic Typesetting" w:cs="Arabic Typesetting"/>
                <w:lang w:eastAsia="zh-CN"/>
              </w:rPr>
            </w:pPr>
          </w:p>
        </w:tc>
      </w:tr>
      <w:tr w:rsidR="00036D32" w:rsidRPr="00036D32" w:rsidTr="00C227BC">
        <w:tc>
          <w:tcPr>
            <w:tcW w:w="2155" w:type="dxa"/>
          </w:tcPr>
          <w:p w:rsidR="00036D32" w:rsidRPr="00036D32" w:rsidRDefault="00036D32" w:rsidP="00036D32">
            <w:pPr>
              <w:rPr>
                <w:rFonts w:ascii="Arabic Typesetting" w:eastAsia="SimSun" w:hAnsi="Arabic Typesetting" w:cs="Arabic Typesetting"/>
                <w:sz w:val="36"/>
                <w:szCs w:val="36"/>
                <w:lang w:eastAsia="zh-CN"/>
              </w:rPr>
            </w:pPr>
          </w:p>
          <w:p w:rsidR="00036D32" w:rsidRPr="00036D32" w:rsidRDefault="00036D32" w:rsidP="00036D32">
            <w:pPr>
              <w:rPr>
                <w:rFonts w:ascii="Arabic Typesetting" w:eastAsia="SimSun" w:hAnsi="Arabic Typesetting" w:cs="Arabic Typesetting"/>
                <w:iCs/>
                <w:sz w:val="36"/>
                <w:szCs w:val="36"/>
                <w:lang w:eastAsia="zh-CN"/>
              </w:rPr>
            </w:pPr>
            <w:r w:rsidRPr="00036D32">
              <w:rPr>
                <w:rFonts w:ascii="Arabic Typesetting" w:eastAsia="SimSun" w:hAnsi="Arabic Typesetting" w:cs="Arabic Typesetting"/>
                <w:iCs/>
                <w:sz w:val="36"/>
                <w:szCs w:val="36"/>
                <w:rtl/>
                <w:lang w:eastAsia="zh-CN"/>
              </w:rPr>
              <w:t>قطاعات الويبو الرئيسية المعنية والصلة ببرامج الويبو</w:t>
            </w:r>
          </w:p>
          <w:p w:rsidR="00036D32" w:rsidRPr="00036D32" w:rsidRDefault="00036D32" w:rsidP="002E56FD">
            <w:pPr>
              <w:rPr>
                <w:rFonts w:ascii="Arabic Typesetting" w:hAnsi="Arabic Typesetting" w:cs="Arabic Typesetting"/>
                <w:sz w:val="36"/>
                <w:szCs w:val="36"/>
                <w:lang w:eastAsia="zh-CN"/>
              </w:rPr>
            </w:pPr>
          </w:p>
        </w:tc>
        <w:tc>
          <w:tcPr>
            <w:tcW w:w="7190" w:type="dxa"/>
          </w:tcPr>
          <w:p w:rsidR="00036D32" w:rsidRPr="00036D32" w:rsidRDefault="00036D32" w:rsidP="00036D32">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البرنامج 3.</w:t>
            </w:r>
          </w:p>
          <w:p w:rsidR="00036D32" w:rsidRPr="00036D32" w:rsidRDefault="00036D32" w:rsidP="00036D32">
            <w:pPr>
              <w:spacing w:before="200"/>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النتيجة المرتقبة ه4.3: ترتيبات تعاونية معززة مع البلدان النامية والبلدان الأقل نمواً والبلدان المتحولة بما يناسب احتياجاتها.</w:t>
            </w:r>
          </w:p>
          <w:p w:rsidR="00036D32" w:rsidRPr="00036D32" w:rsidRDefault="00036D32" w:rsidP="00036D32">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النتيجة المرتقبة ه2.4: نفاذ محسّن إلى المعلومات المتعلقة بالملكية الفكرية واستخدامها من قبل مؤسسات الملكية الفكرية والجمهور لتشجيع الابتكار والإبداع.</w:t>
            </w:r>
          </w:p>
        </w:tc>
      </w:tr>
      <w:tr w:rsidR="002E56FD" w:rsidRPr="00036D32" w:rsidTr="00C227BC">
        <w:tc>
          <w:tcPr>
            <w:tcW w:w="2155" w:type="dxa"/>
          </w:tcPr>
          <w:p w:rsidR="002E56FD" w:rsidRPr="00036D32" w:rsidRDefault="002E56FD" w:rsidP="002E56FD">
            <w:pPr>
              <w:keepNext/>
              <w:spacing w:before="240" w:after="60"/>
              <w:outlineLvl w:val="2"/>
              <w:rPr>
                <w:rFonts w:ascii="Arabic Typesetting" w:eastAsia="SimSun" w:hAnsi="Arabic Typesetting" w:cs="Arabic Typesetting"/>
                <w:b/>
                <w:iCs/>
                <w:sz w:val="36"/>
                <w:szCs w:val="36"/>
                <w:lang w:eastAsia="zh-CN"/>
              </w:rPr>
            </w:pPr>
            <w:r w:rsidRPr="00036D32">
              <w:rPr>
                <w:rFonts w:ascii="Arabic Typesetting" w:eastAsia="SimSun" w:hAnsi="Arabic Typesetting" w:cs="Arabic Typesetting"/>
                <w:b/>
                <w:iCs/>
                <w:sz w:val="36"/>
                <w:szCs w:val="36"/>
                <w:rtl/>
                <w:lang w:eastAsia="zh-CN"/>
              </w:rPr>
              <w:t>المدة الإجمالية</w:t>
            </w:r>
          </w:p>
        </w:tc>
        <w:tc>
          <w:tcPr>
            <w:tcW w:w="7190" w:type="dxa"/>
          </w:tcPr>
          <w:p w:rsidR="002E56FD" w:rsidRPr="00036D32" w:rsidRDefault="002E56FD" w:rsidP="002E56FD">
            <w:pPr>
              <w:rPr>
                <w:rFonts w:ascii="Arabic Typesetting" w:eastAsia="SimSun" w:hAnsi="Arabic Typesetting" w:cs="Arabic Typesetting"/>
                <w:lang w:eastAsia="zh-CN"/>
              </w:rPr>
            </w:pPr>
          </w:p>
          <w:p w:rsidR="002E56FD" w:rsidRPr="008078D9" w:rsidRDefault="002E56FD" w:rsidP="008078D9">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6 أشهر ابتداءً من 1 أغسطس 2019</w:t>
            </w:r>
          </w:p>
        </w:tc>
      </w:tr>
      <w:tr w:rsidR="002E56FD" w:rsidRPr="00036D32" w:rsidTr="00C227BC">
        <w:tc>
          <w:tcPr>
            <w:tcW w:w="2155" w:type="dxa"/>
          </w:tcPr>
          <w:p w:rsidR="002E56FD" w:rsidRPr="00036D32" w:rsidRDefault="002E56FD" w:rsidP="002E56FD">
            <w:pPr>
              <w:keepNext/>
              <w:spacing w:before="240" w:after="60"/>
              <w:outlineLvl w:val="2"/>
              <w:rPr>
                <w:rFonts w:ascii="Arabic Typesetting" w:eastAsia="SimSun" w:hAnsi="Arabic Typesetting" w:cs="Arabic Typesetting"/>
                <w:b/>
                <w:iCs/>
                <w:sz w:val="36"/>
                <w:szCs w:val="36"/>
                <w:lang w:eastAsia="zh-CN"/>
              </w:rPr>
            </w:pPr>
            <w:r w:rsidRPr="00036D32">
              <w:rPr>
                <w:rFonts w:ascii="Arabic Typesetting" w:eastAsia="SimSun" w:hAnsi="Arabic Typesetting" w:cs="Arabic Typesetting"/>
                <w:b/>
                <w:iCs/>
                <w:sz w:val="36"/>
                <w:szCs w:val="36"/>
                <w:rtl/>
                <w:lang w:eastAsia="zh-CN"/>
              </w:rPr>
              <w:t>الميزانية الإجمالية</w:t>
            </w:r>
          </w:p>
          <w:p w:rsidR="002E56FD" w:rsidRPr="00036D32" w:rsidRDefault="002E56FD" w:rsidP="002E56FD">
            <w:pPr>
              <w:rPr>
                <w:rFonts w:ascii="Arabic Typesetting" w:eastAsia="SimSun" w:hAnsi="Arabic Typesetting" w:cs="Arabic Typesetting"/>
                <w:b/>
                <w:iCs/>
                <w:sz w:val="36"/>
                <w:szCs w:val="36"/>
                <w:lang w:eastAsia="zh-CN"/>
              </w:rPr>
            </w:pPr>
          </w:p>
        </w:tc>
        <w:tc>
          <w:tcPr>
            <w:tcW w:w="7190" w:type="dxa"/>
          </w:tcPr>
          <w:p w:rsidR="008078D9" w:rsidRPr="008078D9" w:rsidRDefault="008078D9" w:rsidP="002E56FD">
            <w:pPr>
              <w:rPr>
                <w:rFonts w:ascii="Arabic Typesetting" w:eastAsia="SimSun" w:hAnsi="Arabic Typesetting" w:cs="Arabic Typesetting"/>
                <w:rtl/>
                <w:lang w:eastAsia="zh-CN"/>
              </w:rPr>
            </w:pPr>
          </w:p>
          <w:p w:rsidR="002E56FD" w:rsidRPr="00036D32" w:rsidRDefault="002E56FD" w:rsidP="002E56FD">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التكاليف الإجمالية غير المرتبطة بالموظفين: 50 000 فرنك سويسري</w:t>
            </w:r>
          </w:p>
          <w:p w:rsidR="002E56FD" w:rsidRPr="00036D32" w:rsidRDefault="002E56FD" w:rsidP="002E56FD">
            <w:pPr>
              <w:contextualSpacing/>
              <w:jc w:val="both"/>
              <w:rPr>
                <w:rFonts w:ascii="Arabic Typesetting" w:eastAsia="SimSun" w:hAnsi="Arabic Typesetting" w:cs="Arabic Typesetting"/>
                <w:lang w:eastAsia="zh-CN"/>
              </w:rPr>
            </w:pPr>
          </w:p>
          <w:tbl>
            <w:tblPr>
              <w:tblStyle w:val="TableGrid2"/>
              <w:bidiVisual/>
              <w:tblW w:w="0" w:type="auto"/>
              <w:tblLook w:val="04A0" w:firstRow="1" w:lastRow="0" w:firstColumn="1" w:lastColumn="0" w:noHBand="0" w:noVBand="1"/>
            </w:tblPr>
            <w:tblGrid>
              <w:gridCol w:w="2406"/>
              <w:gridCol w:w="1620"/>
              <w:gridCol w:w="1440"/>
              <w:gridCol w:w="1227"/>
            </w:tblGrid>
            <w:tr w:rsidR="002E56FD" w:rsidRPr="00036D32" w:rsidTr="00C227BC">
              <w:tc>
                <w:tcPr>
                  <w:tcW w:w="2406" w:type="dxa"/>
                </w:tcPr>
                <w:p w:rsidR="002E56FD" w:rsidRPr="00036D32" w:rsidRDefault="002E56FD" w:rsidP="002E56FD">
                  <w:pPr>
                    <w:jc w:val="both"/>
                    <w:rPr>
                      <w:rFonts w:ascii="Arabic Typesetting" w:eastAsia="SimSun" w:hAnsi="Arabic Typesetting" w:cs="Arabic Typesetting"/>
                      <w:b/>
                      <w:sz w:val="36"/>
                      <w:szCs w:val="36"/>
                      <w:lang w:eastAsia="zh-CN"/>
                    </w:rPr>
                  </w:pPr>
                  <w:r w:rsidRPr="00036D32">
                    <w:rPr>
                      <w:rFonts w:ascii="Arabic Typesetting" w:eastAsia="SimSun" w:hAnsi="Arabic Typesetting" w:cs="Arabic Typesetting"/>
                      <w:b/>
                      <w:sz w:val="36"/>
                      <w:szCs w:val="36"/>
                      <w:rtl/>
                      <w:lang w:eastAsia="zh-CN"/>
                    </w:rPr>
                    <w:t>نواتج المشروع</w:t>
                  </w:r>
                </w:p>
                <w:p w:rsidR="002E56FD" w:rsidRPr="00036D32" w:rsidRDefault="002E56FD" w:rsidP="002E56FD">
                  <w:pPr>
                    <w:jc w:val="both"/>
                    <w:rPr>
                      <w:rFonts w:ascii="Arabic Typesetting" w:eastAsia="SimSun" w:hAnsi="Arabic Typesetting" w:cs="Arabic Typesetting"/>
                      <w:sz w:val="36"/>
                      <w:szCs w:val="36"/>
                      <w:lang w:eastAsia="zh-CN"/>
                    </w:rPr>
                  </w:pPr>
                </w:p>
              </w:tc>
              <w:tc>
                <w:tcPr>
                  <w:tcW w:w="1620" w:type="dxa"/>
                </w:tcPr>
                <w:p w:rsidR="002E56FD" w:rsidRPr="00036D32" w:rsidRDefault="002E56FD" w:rsidP="002E56FD">
                  <w:pPr>
                    <w:jc w:val="both"/>
                    <w:rPr>
                      <w:rFonts w:ascii="Arabic Typesetting" w:eastAsia="SimSun" w:hAnsi="Arabic Typesetting" w:cs="Arabic Typesetting"/>
                      <w:b/>
                      <w:sz w:val="36"/>
                      <w:szCs w:val="36"/>
                      <w:lang w:eastAsia="zh-CN"/>
                    </w:rPr>
                  </w:pPr>
                  <w:r w:rsidRPr="00036D32">
                    <w:rPr>
                      <w:rFonts w:ascii="Arabic Typesetting" w:eastAsia="SimSun" w:hAnsi="Arabic Typesetting" w:cs="Arabic Typesetting"/>
                      <w:b/>
                      <w:sz w:val="36"/>
                      <w:szCs w:val="36"/>
                      <w:rtl/>
                      <w:lang w:eastAsia="zh-CN"/>
                    </w:rPr>
                    <w:t>الموظفون</w:t>
                  </w:r>
                </w:p>
              </w:tc>
              <w:tc>
                <w:tcPr>
                  <w:tcW w:w="1440" w:type="dxa"/>
                </w:tcPr>
                <w:p w:rsidR="002E56FD" w:rsidRPr="00036D32" w:rsidRDefault="002E56FD" w:rsidP="002E56FD">
                  <w:pPr>
                    <w:jc w:val="both"/>
                    <w:rPr>
                      <w:rFonts w:ascii="Arabic Typesetting" w:eastAsia="SimSun" w:hAnsi="Arabic Typesetting" w:cs="Arabic Typesetting"/>
                      <w:b/>
                      <w:sz w:val="36"/>
                      <w:szCs w:val="36"/>
                      <w:lang w:eastAsia="zh-CN"/>
                    </w:rPr>
                  </w:pPr>
                  <w:r w:rsidRPr="00036D32">
                    <w:rPr>
                      <w:rFonts w:ascii="Arabic Typesetting" w:eastAsia="SimSun" w:hAnsi="Arabic Typesetting" w:cs="Arabic Typesetting"/>
                      <w:b/>
                      <w:sz w:val="36"/>
                      <w:szCs w:val="36"/>
                      <w:rtl/>
                      <w:lang w:eastAsia="zh-CN"/>
                    </w:rPr>
                    <w:t>غير الموظفين</w:t>
                  </w:r>
                </w:p>
              </w:tc>
              <w:tc>
                <w:tcPr>
                  <w:tcW w:w="1227" w:type="dxa"/>
                </w:tcPr>
                <w:p w:rsidR="002E56FD" w:rsidRPr="00036D32" w:rsidRDefault="002E56FD" w:rsidP="002E56FD">
                  <w:pPr>
                    <w:jc w:val="both"/>
                    <w:rPr>
                      <w:rFonts w:ascii="Arabic Typesetting" w:eastAsia="SimSun" w:hAnsi="Arabic Typesetting" w:cs="Arabic Typesetting"/>
                      <w:b/>
                      <w:sz w:val="36"/>
                      <w:szCs w:val="36"/>
                      <w:lang w:eastAsia="zh-CN"/>
                    </w:rPr>
                  </w:pPr>
                  <w:r w:rsidRPr="00036D32">
                    <w:rPr>
                      <w:rFonts w:ascii="Arabic Typesetting" w:eastAsia="SimSun" w:hAnsi="Arabic Typesetting" w:cs="Arabic Typesetting"/>
                      <w:b/>
                      <w:sz w:val="36"/>
                      <w:szCs w:val="36"/>
                      <w:rtl/>
                      <w:lang w:eastAsia="zh-CN"/>
                    </w:rPr>
                    <w:t>المجموع</w:t>
                  </w:r>
                </w:p>
              </w:tc>
            </w:tr>
            <w:tr w:rsidR="002E56FD" w:rsidRPr="00036D32" w:rsidTr="00C227BC">
              <w:tc>
                <w:tcPr>
                  <w:tcW w:w="2406" w:type="dxa"/>
                </w:tcPr>
                <w:p w:rsidR="002E56FD" w:rsidRPr="00036D32" w:rsidRDefault="002E56FD" w:rsidP="002E56FD">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تحديد مؤسسات التواصل لإعداد النشاط</w:t>
                  </w:r>
                </w:p>
              </w:tc>
              <w:tc>
                <w:tcPr>
                  <w:tcW w:w="1620" w:type="dxa"/>
                </w:tcPr>
                <w:p w:rsidR="002E56FD" w:rsidRPr="00036D32" w:rsidRDefault="002E56FD" w:rsidP="002E56FD">
                  <w:pPr>
                    <w:jc w:val="both"/>
                    <w:rPr>
                      <w:rFonts w:ascii="Arabic Typesetting" w:eastAsia="SimSun" w:hAnsi="Arabic Typesetting" w:cs="Arabic Typesetting"/>
                      <w:sz w:val="36"/>
                      <w:szCs w:val="36"/>
                      <w:lang w:eastAsia="zh-CN"/>
                    </w:rPr>
                  </w:pPr>
                </w:p>
              </w:tc>
              <w:tc>
                <w:tcPr>
                  <w:tcW w:w="1440" w:type="dxa"/>
                </w:tcPr>
                <w:p w:rsidR="002E56FD" w:rsidRPr="00036D32" w:rsidRDefault="002E56FD" w:rsidP="002E56FD">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5 000</w:t>
                  </w:r>
                </w:p>
              </w:tc>
              <w:tc>
                <w:tcPr>
                  <w:tcW w:w="1227" w:type="dxa"/>
                </w:tcPr>
                <w:p w:rsidR="002E56FD" w:rsidRPr="00036D32" w:rsidRDefault="002E56FD" w:rsidP="002E56FD">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5 000</w:t>
                  </w:r>
                </w:p>
              </w:tc>
            </w:tr>
            <w:tr w:rsidR="002E56FD" w:rsidRPr="00036D32" w:rsidTr="00C227BC">
              <w:tc>
                <w:tcPr>
                  <w:tcW w:w="2406" w:type="dxa"/>
                </w:tcPr>
                <w:p w:rsidR="002E56FD" w:rsidRPr="00036D32" w:rsidRDefault="002E56FD" w:rsidP="002E56FD">
                  <w:pPr>
                    <w:jc w:val="both"/>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حلقة العمل الإقليمية</w:t>
                  </w:r>
                </w:p>
                <w:p w:rsidR="002E56FD" w:rsidRPr="00036D32" w:rsidRDefault="002E56FD" w:rsidP="002E56FD">
                  <w:pPr>
                    <w:jc w:val="both"/>
                    <w:rPr>
                      <w:rFonts w:ascii="Arabic Typesetting" w:eastAsia="SimSun" w:hAnsi="Arabic Typesetting" w:cs="Arabic Typesetting"/>
                      <w:sz w:val="36"/>
                      <w:szCs w:val="36"/>
                      <w:lang w:eastAsia="zh-CN"/>
                    </w:rPr>
                  </w:pPr>
                </w:p>
              </w:tc>
              <w:tc>
                <w:tcPr>
                  <w:tcW w:w="1620" w:type="dxa"/>
                </w:tcPr>
                <w:p w:rsidR="002E56FD" w:rsidRPr="00036D32" w:rsidRDefault="002E56FD" w:rsidP="002E56FD">
                  <w:pPr>
                    <w:jc w:val="both"/>
                    <w:rPr>
                      <w:rFonts w:ascii="Arabic Typesetting" w:eastAsia="SimSun" w:hAnsi="Arabic Typesetting" w:cs="Arabic Typesetting"/>
                      <w:sz w:val="36"/>
                      <w:szCs w:val="36"/>
                      <w:lang w:eastAsia="zh-CN"/>
                    </w:rPr>
                  </w:pPr>
                </w:p>
              </w:tc>
              <w:tc>
                <w:tcPr>
                  <w:tcW w:w="1440" w:type="dxa"/>
                </w:tcPr>
                <w:p w:rsidR="002E56FD" w:rsidRPr="00036D32" w:rsidRDefault="002E56FD" w:rsidP="002E56FD">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40 000</w:t>
                  </w:r>
                </w:p>
              </w:tc>
              <w:tc>
                <w:tcPr>
                  <w:tcW w:w="1227" w:type="dxa"/>
                </w:tcPr>
                <w:p w:rsidR="002E56FD" w:rsidRPr="00036D32" w:rsidRDefault="002E56FD" w:rsidP="002E56FD">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40 000</w:t>
                  </w:r>
                </w:p>
              </w:tc>
            </w:tr>
            <w:tr w:rsidR="002E56FD" w:rsidRPr="00036D32" w:rsidTr="00C227BC">
              <w:tc>
                <w:tcPr>
                  <w:tcW w:w="2406" w:type="dxa"/>
                </w:tcPr>
                <w:p w:rsidR="002E56FD" w:rsidRPr="00036D32" w:rsidRDefault="002E56FD" w:rsidP="002E56FD">
                  <w:pPr>
                    <w:jc w:val="both"/>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 xml:space="preserve">صياغة أنشطة المتابعة </w:t>
                  </w:r>
                </w:p>
                <w:p w:rsidR="002E56FD" w:rsidRPr="00036D32" w:rsidRDefault="002E56FD" w:rsidP="002E56FD">
                  <w:pPr>
                    <w:jc w:val="both"/>
                    <w:rPr>
                      <w:rFonts w:ascii="Arabic Typesetting" w:eastAsia="SimSun" w:hAnsi="Arabic Typesetting" w:cs="Arabic Typesetting"/>
                      <w:sz w:val="36"/>
                      <w:szCs w:val="36"/>
                      <w:lang w:eastAsia="zh-CN"/>
                    </w:rPr>
                  </w:pPr>
                </w:p>
              </w:tc>
              <w:tc>
                <w:tcPr>
                  <w:tcW w:w="1620" w:type="dxa"/>
                </w:tcPr>
                <w:p w:rsidR="002E56FD" w:rsidRPr="00036D32" w:rsidRDefault="002E56FD" w:rsidP="002E56FD">
                  <w:pPr>
                    <w:jc w:val="both"/>
                    <w:rPr>
                      <w:rFonts w:ascii="Arabic Typesetting" w:eastAsia="SimSun" w:hAnsi="Arabic Typesetting" w:cs="Arabic Typesetting"/>
                      <w:sz w:val="36"/>
                      <w:szCs w:val="36"/>
                      <w:lang w:eastAsia="zh-CN"/>
                    </w:rPr>
                  </w:pPr>
                </w:p>
              </w:tc>
              <w:tc>
                <w:tcPr>
                  <w:tcW w:w="1440" w:type="dxa"/>
                </w:tcPr>
                <w:p w:rsidR="002E56FD" w:rsidRPr="00036D32" w:rsidRDefault="002E56FD" w:rsidP="002E56FD">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5 000</w:t>
                  </w:r>
                </w:p>
              </w:tc>
              <w:tc>
                <w:tcPr>
                  <w:tcW w:w="1227" w:type="dxa"/>
                </w:tcPr>
                <w:p w:rsidR="002E56FD" w:rsidRPr="00036D32" w:rsidRDefault="002E56FD" w:rsidP="002E56FD">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5 000</w:t>
                  </w:r>
                </w:p>
              </w:tc>
            </w:tr>
            <w:tr w:rsidR="002E56FD" w:rsidRPr="00036D32" w:rsidTr="00C227BC">
              <w:trPr>
                <w:trHeight w:val="377"/>
              </w:trPr>
              <w:tc>
                <w:tcPr>
                  <w:tcW w:w="2406" w:type="dxa"/>
                </w:tcPr>
                <w:p w:rsidR="002E56FD" w:rsidRPr="00036D32" w:rsidRDefault="002E56FD" w:rsidP="002E56FD">
                  <w:pPr>
                    <w:jc w:val="both"/>
                    <w:rPr>
                      <w:rFonts w:ascii="Arabic Typesetting" w:eastAsia="SimSun" w:hAnsi="Arabic Typesetting" w:cs="Arabic Typesetting"/>
                      <w:b/>
                      <w:sz w:val="36"/>
                      <w:szCs w:val="36"/>
                      <w:lang w:eastAsia="zh-CN"/>
                    </w:rPr>
                  </w:pPr>
                  <w:r w:rsidRPr="00036D32">
                    <w:rPr>
                      <w:rFonts w:ascii="Arabic Typesetting" w:eastAsia="SimSun" w:hAnsi="Arabic Typesetting" w:cs="Arabic Typesetting"/>
                      <w:b/>
                      <w:sz w:val="36"/>
                      <w:szCs w:val="36"/>
                      <w:rtl/>
                      <w:lang w:eastAsia="zh-CN"/>
                    </w:rPr>
                    <w:t>المجموع</w:t>
                  </w:r>
                  <w:r w:rsidRPr="00036D32">
                    <w:rPr>
                      <w:rFonts w:ascii="Arabic Typesetting" w:eastAsia="SimSun" w:hAnsi="Arabic Typesetting" w:cs="Arabic Typesetting"/>
                      <w:b/>
                      <w:sz w:val="36"/>
                      <w:szCs w:val="36"/>
                      <w:lang w:eastAsia="zh-CN"/>
                    </w:rPr>
                    <w:t xml:space="preserve"> </w:t>
                  </w:r>
                </w:p>
              </w:tc>
              <w:tc>
                <w:tcPr>
                  <w:tcW w:w="1620" w:type="dxa"/>
                </w:tcPr>
                <w:p w:rsidR="002E56FD" w:rsidRPr="00036D32" w:rsidRDefault="002E56FD" w:rsidP="002E56FD">
                  <w:pPr>
                    <w:jc w:val="both"/>
                    <w:rPr>
                      <w:rFonts w:ascii="Arabic Typesetting" w:eastAsia="SimSun" w:hAnsi="Arabic Typesetting" w:cs="Arabic Typesetting"/>
                      <w:sz w:val="36"/>
                      <w:szCs w:val="36"/>
                      <w:lang w:eastAsia="zh-CN"/>
                    </w:rPr>
                  </w:pPr>
                </w:p>
              </w:tc>
              <w:tc>
                <w:tcPr>
                  <w:tcW w:w="1440" w:type="dxa"/>
                </w:tcPr>
                <w:p w:rsidR="002E56FD" w:rsidRPr="00036D32" w:rsidRDefault="002E56FD" w:rsidP="002E56FD">
                  <w:pPr>
                    <w:jc w:val="both"/>
                    <w:rPr>
                      <w:rFonts w:ascii="Arabic Typesetting" w:eastAsia="SimSun" w:hAnsi="Arabic Typesetting" w:cs="Arabic Typesetting"/>
                      <w:sz w:val="36"/>
                      <w:szCs w:val="36"/>
                      <w:lang w:eastAsia="zh-CN"/>
                    </w:rPr>
                  </w:pPr>
                </w:p>
              </w:tc>
              <w:tc>
                <w:tcPr>
                  <w:tcW w:w="1227" w:type="dxa"/>
                </w:tcPr>
                <w:p w:rsidR="002E56FD" w:rsidRPr="00036D32" w:rsidRDefault="002E56FD" w:rsidP="002E56FD">
                  <w:pPr>
                    <w:rPr>
                      <w:rFonts w:ascii="Arabic Typesetting" w:eastAsia="SimSun" w:hAnsi="Arabic Typesetting" w:cs="Arabic Typesetting"/>
                      <w:bCs/>
                      <w:sz w:val="36"/>
                      <w:szCs w:val="36"/>
                      <w:lang w:eastAsia="zh-CN"/>
                    </w:rPr>
                  </w:pPr>
                  <w:r w:rsidRPr="00036D32">
                    <w:rPr>
                      <w:rFonts w:ascii="Arabic Typesetting" w:eastAsia="SimSun" w:hAnsi="Arabic Typesetting" w:cs="Arabic Typesetting"/>
                      <w:bCs/>
                      <w:sz w:val="36"/>
                      <w:szCs w:val="36"/>
                      <w:rtl/>
                      <w:lang w:eastAsia="zh-CN"/>
                    </w:rPr>
                    <w:t>50 000</w:t>
                  </w:r>
                </w:p>
              </w:tc>
            </w:tr>
          </w:tbl>
          <w:p w:rsidR="002E56FD" w:rsidRPr="00036D32" w:rsidRDefault="002E56FD" w:rsidP="002E56FD">
            <w:pPr>
              <w:rPr>
                <w:rFonts w:ascii="Arabic Typesetting" w:eastAsia="SimSun" w:hAnsi="Arabic Typesetting" w:cs="Arabic Typesetting"/>
                <w:lang w:eastAsia="zh-CN"/>
              </w:rPr>
            </w:pPr>
          </w:p>
          <w:p w:rsidR="002E56FD" w:rsidRPr="00036D32" w:rsidRDefault="002E56FD" w:rsidP="002E56FD">
            <w:pPr>
              <w:rPr>
                <w:rFonts w:ascii="Arabic Typesetting" w:eastAsia="SimSun" w:hAnsi="Arabic Typesetting" w:cs="Arabic Typesetting"/>
                <w:sz w:val="36"/>
                <w:szCs w:val="36"/>
                <w:lang w:eastAsia="zh-CN"/>
              </w:rPr>
            </w:pPr>
            <w:r w:rsidRPr="00036D32">
              <w:rPr>
                <w:rFonts w:ascii="Arabic Typesetting" w:eastAsia="SimSun" w:hAnsi="Arabic Typesetting" w:cs="Arabic Typesetting"/>
                <w:sz w:val="36"/>
                <w:szCs w:val="36"/>
                <w:rtl/>
                <w:lang w:eastAsia="zh-CN"/>
              </w:rPr>
              <w:t>ستُغطى تكلفة هذه الأنشطة من الميزانية الحالية لقسم قانون حق المؤلف.</w:t>
            </w:r>
          </w:p>
        </w:tc>
      </w:tr>
      <w:tr w:rsidR="002E56FD" w:rsidRPr="00036D32" w:rsidTr="00C227BC">
        <w:tc>
          <w:tcPr>
            <w:tcW w:w="2155" w:type="dxa"/>
          </w:tcPr>
          <w:p w:rsidR="002E56FD" w:rsidRPr="00036D32" w:rsidRDefault="002E56FD" w:rsidP="002E56FD">
            <w:pPr>
              <w:rPr>
                <w:rFonts w:ascii="Arabic Typesetting" w:eastAsia="SimSun" w:hAnsi="Arabic Typesetting" w:cs="Arabic Typesetting"/>
                <w:iCs/>
                <w:sz w:val="36"/>
                <w:szCs w:val="36"/>
                <w:lang w:eastAsia="zh-CN"/>
              </w:rPr>
            </w:pPr>
            <w:r w:rsidRPr="00036D32">
              <w:rPr>
                <w:rFonts w:ascii="Arabic Typesetting" w:eastAsia="SimSun" w:hAnsi="Arabic Typesetting" w:cs="Arabic Typesetting"/>
                <w:iCs/>
                <w:sz w:val="36"/>
                <w:szCs w:val="36"/>
                <w:rtl/>
                <w:lang w:eastAsia="zh-CN"/>
              </w:rPr>
              <w:t>نتائج/أثر المشروع</w:t>
            </w:r>
          </w:p>
        </w:tc>
        <w:tc>
          <w:tcPr>
            <w:tcW w:w="7190" w:type="dxa"/>
          </w:tcPr>
          <w:p w:rsidR="002E56FD" w:rsidRPr="00036D32" w:rsidRDefault="002E56FD" w:rsidP="002E56FD">
            <w:pPr>
              <w:ind w:left="720"/>
              <w:contextualSpacing/>
              <w:jc w:val="both"/>
              <w:rPr>
                <w:rFonts w:ascii="Arabic Typesetting" w:hAnsi="Arabic Typesetting" w:cs="Arabic Typesetting"/>
              </w:rPr>
            </w:pPr>
          </w:p>
          <w:p w:rsidR="002E56FD" w:rsidRPr="00036D32" w:rsidRDefault="002E56FD" w:rsidP="002E56FD">
            <w:pPr>
              <w:numPr>
                <w:ilvl w:val="0"/>
                <w:numId w:val="50"/>
              </w:numPr>
              <w:contextualSpacing/>
              <w:jc w:val="both"/>
              <w:rPr>
                <w:rFonts w:ascii="Arabic Typesetting" w:hAnsi="Arabic Typesetting" w:cs="Arabic Typesetting"/>
                <w:sz w:val="36"/>
                <w:szCs w:val="36"/>
              </w:rPr>
            </w:pPr>
            <w:r w:rsidRPr="00036D32">
              <w:rPr>
                <w:rFonts w:ascii="Arabic Typesetting" w:hAnsi="Arabic Typesetting" w:cs="Arabic Typesetting"/>
                <w:sz w:val="36"/>
                <w:szCs w:val="36"/>
                <w:rtl/>
              </w:rPr>
              <w:t>نشر نتائج دراسة الجدوى بشأن أهمية البيانات الاقتصادية في القطاع السمعي البصري</w:t>
            </w:r>
          </w:p>
          <w:p w:rsidR="002E56FD" w:rsidRPr="00036D32" w:rsidRDefault="002E56FD" w:rsidP="002E56FD">
            <w:pPr>
              <w:numPr>
                <w:ilvl w:val="0"/>
                <w:numId w:val="50"/>
              </w:numPr>
              <w:contextualSpacing/>
              <w:jc w:val="both"/>
              <w:rPr>
                <w:rFonts w:ascii="Arabic Typesetting" w:hAnsi="Arabic Typesetting" w:cs="Arabic Typesetting"/>
                <w:sz w:val="36"/>
                <w:szCs w:val="36"/>
              </w:rPr>
            </w:pPr>
            <w:r w:rsidRPr="00036D32">
              <w:rPr>
                <w:rFonts w:ascii="Arabic Typesetting" w:hAnsi="Arabic Typesetting" w:cs="Arabic Typesetting"/>
                <w:sz w:val="36"/>
                <w:szCs w:val="36"/>
                <w:rtl/>
              </w:rPr>
              <w:t>زيادة الوعي بمنهجيات التجميع والتحليل والعرض</w:t>
            </w:r>
          </w:p>
          <w:p w:rsidR="002E56FD" w:rsidRPr="00036D32" w:rsidRDefault="002E56FD" w:rsidP="002E56FD">
            <w:pPr>
              <w:numPr>
                <w:ilvl w:val="0"/>
                <w:numId w:val="50"/>
              </w:numPr>
              <w:contextualSpacing/>
              <w:jc w:val="both"/>
              <w:rPr>
                <w:rFonts w:ascii="Arabic Typesetting" w:hAnsi="Arabic Typesetting" w:cs="Arabic Typesetting"/>
                <w:sz w:val="36"/>
                <w:szCs w:val="36"/>
              </w:rPr>
            </w:pPr>
            <w:r w:rsidRPr="00036D32">
              <w:rPr>
                <w:rFonts w:ascii="Arabic Typesetting" w:hAnsi="Arabic Typesetting" w:cs="Arabic Typesetting"/>
                <w:sz w:val="36"/>
                <w:szCs w:val="36"/>
                <w:rtl/>
              </w:rPr>
              <w:t>تحديد الخيارات والنهج الممكنة من أجل تعزيز تجيمع البيانات الاقتصادية.</w:t>
            </w:r>
          </w:p>
        </w:tc>
      </w:tr>
    </w:tbl>
    <w:p w:rsidR="00036D32" w:rsidRDefault="00036D32" w:rsidP="00856FAE">
      <w:pPr>
        <w:pStyle w:val="Endofdocument-Annex"/>
      </w:pPr>
      <w:r w:rsidRPr="00036D32">
        <w:rPr>
          <w:rtl/>
        </w:rPr>
        <w:t>[</w:t>
      </w:r>
      <w:r w:rsidRPr="00036D32">
        <w:rPr>
          <w:rFonts w:hint="cs"/>
          <w:rtl/>
        </w:rPr>
        <w:t>نهاية</w:t>
      </w:r>
      <w:r w:rsidRPr="00036D32">
        <w:rPr>
          <w:rtl/>
        </w:rPr>
        <w:t xml:space="preserve"> المرفق</w:t>
      </w:r>
      <w:r w:rsidRPr="00036D32">
        <w:rPr>
          <w:rFonts w:hint="cs"/>
          <w:rtl/>
        </w:rPr>
        <w:t xml:space="preserve"> والوثيقة</w:t>
      </w:r>
      <w:r w:rsidRPr="00036D32">
        <w:rPr>
          <w:rtl/>
        </w:rPr>
        <w:t>]</w:t>
      </w:r>
    </w:p>
    <w:sectPr w:rsidR="00036D32" w:rsidSect="005E3AA8">
      <w:headerReference w:type="default" r:id="rId10"/>
      <w:headerReference w:type="first" r:id="rId11"/>
      <w:pgSz w:w="11907" w:h="16840" w:code="9"/>
      <w:pgMar w:top="567" w:right="1418" w:bottom="630"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BC" w:rsidRDefault="001A23BC">
      <w:r>
        <w:separator/>
      </w:r>
    </w:p>
  </w:endnote>
  <w:endnote w:type="continuationSeparator" w:id="0">
    <w:p w:rsidR="001A23BC" w:rsidRDefault="001A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BC" w:rsidRDefault="001A23BC" w:rsidP="009622BF">
      <w:bookmarkStart w:id="0" w:name="OLE_LINK1"/>
      <w:bookmarkStart w:id="1" w:name="OLE_LINK2"/>
      <w:r>
        <w:separator/>
      </w:r>
      <w:bookmarkEnd w:id="0"/>
      <w:bookmarkEnd w:id="1"/>
    </w:p>
  </w:footnote>
  <w:footnote w:type="continuationSeparator" w:id="0">
    <w:p w:rsidR="001A23BC" w:rsidRDefault="001A23BC"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12" w:rsidRDefault="00C13C12" w:rsidP="004A1759">
    <w:pPr>
      <w:jc w:val="right"/>
    </w:pPr>
    <w:r>
      <w:t>CDIP/14/9</w:t>
    </w:r>
  </w:p>
  <w:p w:rsidR="00C13C12" w:rsidRDefault="00C13C12" w:rsidP="00477D6B">
    <w:pPr>
      <w:jc w:val="right"/>
    </w:pPr>
    <w:proofErr w:type="gramStart"/>
    <w:r>
      <w:t>page</w:t>
    </w:r>
    <w:proofErr w:type="gramEnd"/>
    <w:r>
      <w:t xml:space="preserve"> </w:t>
    </w:r>
    <w:r>
      <w:fldChar w:fldCharType="begin"/>
    </w:r>
    <w:r>
      <w:instrText xml:space="preserve"> PAGE  \* MERGEFORMAT </w:instrText>
    </w:r>
    <w:r>
      <w:fldChar w:fldCharType="separate"/>
    </w:r>
    <w:r w:rsidR="00BB5CFA">
      <w:rPr>
        <w:noProof/>
        <w:rtl/>
      </w:rPr>
      <w:t>2</w:t>
    </w:r>
    <w:r>
      <w:fldChar w:fldCharType="end"/>
    </w:r>
  </w:p>
  <w:p w:rsidR="00C13C12" w:rsidRDefault="00C13C1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DE" w:rsidRDefault="007025DE" w:rsidP="00BB5CFA">
    <w:pPr>
      <w:bidi w:val="0"/>
      <w:rPr>
        <w:rFonts w:ascii="Arial" w:hAnsi="Arial" w:cs="Arial"/>
        <w:sz w:val="22"/>
        <w:szCs w:val="22"/>
      </w:rPr>
    </w:pPr>
    <w:r>
      <w:rPr>
        <w:rFonts w:ascii="Arial" w:hAnsi="Arial" w:cs="Arial"/>
        <w:sz w:val="22"/>
        <w:szCs w:val="22"/>
      </w:rPr>
      <w:t>CDIP/23/</w:t>
    </w:r>
    <w:r w:rsidR="00BB5CFA">
      <w:rPr>
        <w:rFonts w:ascii="Arial" w:hAnsi="Arial" w:cs="Arial"/>
        <w:sz w:val="22"/>
        <w:szCs w:val="22"/>
      </w:rPr>
      <w:t>12</w:t>
    </w:r>
  </w:p>
  <w:p w:rsidR="007025DE" w:rsidRDefault="007025DE" w:rsidP="00BB5CFA">
    <w:pPr>
      <w:bidi w:val="0"/>
      <w:rPr>
        <w:rFonts w:ascii="Arial" w:hAnsi="Arial" w:cs="Arial"/>
        <w:sz w:val="22"/>
        <w:szCs w:val="22"/>
      </w:rPr>
    </w:pPr>
    <w:r>
      <w:rPr>
        <w:rFonts w:ascii="Arial" w:hAnsi="Arial" w:cs="Arial"/>
        <w:sz w:val="22"/>
        <w:szCs w:val="22"/>
      </w:rPr>
      <w:t xml:space="preserve">Annex </w:t>
    </w:r>
  </w:p>
  <w:p w:rsidR="007025DE" w:rsidRPr="00C50A61" w:rsidRDefault="007025DE" w:rsidP="004D6B86">
    <w:pPr>
      <w:bidi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570270">
      <w:rPr>
        <w:rFonts w:ascii="Arial" w:hAnsi="Arial" w:cs="Arial"/>
        <w:noProof/>
        <w:sz w:val="22"/>
        <w:szCs w:val="22"/>
      </w:rPr>
      <w:t>4</w:t>
    </w:r>
    <w:r>
      <w:rPr>
        <w:rFonts w:ascii="Arial" w:hAnsi="Arial" w:cs="Arial"/>
        <w:sz w:val="22"/>
        <w:szCs w:val="22"/>
      </w:rPr>
      <w:fldChar w:fldCharType="end"/>
    </w:r>
  </w:p>
  <w:p w:rsidR="007025DE" w:rsidRPr="00C50A61" w:rsidRDefault="007025DE"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86" w:rsidRPr="000B0AE0" w:rsidRDefault="004D6B86" w:rsidP="00036D32">
    <w:pPr>
      <w:tabs>
        <w:tab w:val="center" w:pos="4536"/>
        <w:tab w:val="right" w:pos="9072"/>
      </w:tabs>
      <w:bidi w:val="0"/>
      <w:rPr>
        <w:rFonts w:ascii="Arial" w:hAnsi="Arial" w:cs="Arial"/>
        <w:sz w:val="22"/>
        <w:szCs w:val="20"/>
        <w:rtl/>
      </w:rPr>
    </w:pPr>
    <w:r w:rsidRPr="000B0AE0">
      <w:rPr>
        <w:rFonts w:ascii="Arial" w:hAnsi="Arial" w:cs="Arial"/>
        <w:sz w:val="22"/>
        <w:szCs w:val="20"/>
      </w:rPr>
      <w:t>CDIP/23/</w:t>
    </w:r>
    <w:r w:rsidR="00036D32">
      <w:rPr>
        <w:rFonts w:ascii="Arial" w:hAnsi="Arial" w:cs="Arial"/>
        <w:sz w:val="22"/>
        <w:szCs w:val="20"/>
      </w:rPr>
      <w:t>12</w:t>
    </w:r>
  </w:p>
  <w:p w:rsidR="004D6B86" w:rsidRPr="000B0AE0" w:rsidRDefault="004D6B86" w:rsidP="00036D32">
    <w:pPr>
      <w:tabs>
        <w:tab w:val="center" w:pos="4536"/>
        <w:tab w:val="right" w:pos="9072"/>
      </w:tabs>
      <w:bidi w:val="0"/>
      <w:rPr>
        <w:rFonts w:ascii="Arial" w:hAnsi="Arial" w:cs="Arial"/>
        <w:sz w:val="22"/>
        <w:szCs w:val="20"/>
      </w:rPr>
    </w:pPr>
    <w:r w:rsidRPr="000B0AE0">
      <w:rPr>
        <w:rFonts w:ascii="Arial" w:hAnsi="Arial" w:cs="Arial"/>
        <w:sz w:val="22"/>
        <w:szCs w:val="20"/>
      </w:rPr>
      <w:t>ANNEX</w:t>
    </w:r>
    <w:r>
      <w:rPr>
        <w:rFonts w:ascii="Arial" w:hAnsi="Arial" w:cs="Arial"/>
        <w:sz w:val="22"/>
        <w:szCs w:val="20"/>
      </w:rPr>
      <w:t xml:space="preserve"> </w:t>
    </w:r>
  </w:p>
  <w:p w:rsidR="004D6B86" w:rsidRDefault="004D6B86" w:rsidP="00BB5CFA">
    <w:pPr>
      <w:pStyle w:val="Header"/>
      <w:bidi w:val="0"/>
      <w:rPr>
        <w:rtl/>
        <w:lang w:val="fr-CH"/>
      </w:rPr>
    </w:pPr>
    <w:r w:rsidRPr="000B0AE0">
      <w:rPr>
        <w:rtl/>
        <w:lang w:val="fr-CH"/>
      </w:rPr>
      <w:t>المرفق</w:t>
    </w:r>
    <w:r>
      <w:rPr>
        <w:rFonts w:hint="cs"/>
        <w:rtl/>
        <w:lang w:val="fr-CH"/>
      </w:rPr>
      <w:t xml:space="preserve"> </w:t>
    </w:r>
  </w:p>
  <w:p w:rsidR="004D6B86" w:rsidRDefault="004D6B86" w:rsidP="000B0AE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4322C79"/>
    <w:multiLevelType w:val="hybridMultilevel"/>
    <w:tmpl w:val="D83E771A"/>
    <w:lvl w:ilvl="0" w:tplc="FC3E7420">
      <w:numFmt w:val="bullet"/>
      <w:lvlText w:val="-"/>
      <w:lvlJc w:val="left"/>
      <w:pPr>
        <w:ind w:left="720" w:hanging="360"/>
      </w:pPr>
      <w:rPr>
        <w:rFonts w:ascii="Cambria" w:eastAsia="Calibr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A172C1"/>
    <w:multiLevelType w:val="hybridMultilevel"/>
    <w:tmpl w:val="5D7AA038"/>
    <w:lvl w:ilvl="0" w:tplc="E4B4817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4" w15:restartNumberingAfterBreak="0">
    <w:nsid w:val="07DD65F3"/>
    <w:multiLevelType w:val="hybridMultilevel"/>
    <w:tmpl w:val="F658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6"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7" w15:restartNumberingAfterBreak="0">
    <w:nsid w:val="0D965872"/>
    <w:multiLevelType w:val="hybridMultilevel"/>
    <w:tmpl w:val="3C285434"/>
    <w:lvl w:ilvl="0" w:tplc="DE40F74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3"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4"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5"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6"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0"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1"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3"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5"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971731"/>
    <w:multiLevelType w:val="hybridMultilevel"/>
    <w:tmpl w:val="51FC9D9A"/>
    <w:lvl w:ilvl="0" w:tplc="E432DD66">
      <w:start w:val="2"/>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15:restartNumberingAfterBreak="0">
    <w:nsid w:val="606F4023"/>
    <w:multiLevelType w:val="hybridMultilevel"/>
    <w:tmpl w:val="63F8A8EC"/>
    <w:lvl w:ilvl="0" w:tplc="FFC27232">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40"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1"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2"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3"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4"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8"/>
  </w:num>
  <w:num w:numId="3">
    <w:abstractNumId w:val="18"/>
  </w:num>
  <w:num w:numId="4">
    <w:abstractNumId w:val="42"/>
  </w:num>
  <w:num w:numId="5">
    <w:abstractNumId w:val="8"/>
  </w:num>
  <w:num w:numId="6">
    <w:abstractNumId w:val="43"/>
  </w:num>
  <w:num w:numId="7">
    <w:abstractNumId w:val="24"/>
  </w:num>
  <w:num w:numId="8">
    <w:abstractNumId w:val="41"/>
  </w:num>
  <w:num w:numId="9">
    <w:abstractNumId w:val="35"/>
  </w:num>
  <w:num w:numId="10">
    <w:abstractNumId w:val="44"/>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7"/>
  </w:num>
  <w:num w:numId="22">
    <w:abstractNumId w:val="27"/>
  </w:num>
  <w:num w:numId="23">
    <w:abstractNumId w:val="15"/>
  </w:num>
  <w:num w:numId="24">
    <w:abstractNumId w:val="13"/>
  </w:num>
  <w:num w:numId="25">
    <w:abstractNumId w:val="13"/>
  </w:num>
  <w:num w:numId="26">
    <w:abstractNumId w:val="13"/>
  </w:num>
  <w:num w:numId="27">
    <w:abstractNumId w:val="13"/>
  </w:num>
  <w:num w:numId="28">
    <w:abstractNumId w:val="21"/>
  </w:num>
  <w:num w:numId="29">
    <w:abstractNumId w:val="13"/>
  </w:num>
  <w:num w:numId="30">
    <w:abstractNumId w:val="33"/>
  </w:num>
  <w:num w:numId="31">
    <w:abstractNumId w:val="25"/>
  </w:num>
  <w:num w:numId="32">
    <w:abstractNumId w:val="30"/>
  </w:num>
  <w:num w:numId="33">
    <w:abstractNumId w:val="40"/>
  </w:num>
  <w:num w:numId="34">
    <w:abstractNumId w:val="16"/>
  </w:num>
  <w:num w:numId="35">
    <w:abstractNumId w:val="39"/>
  </w:num>
  <w:num w:numId="36">
    <w:abstractNumId w:val="29"/>
  </w:num>
  <w:num w:numId="37">
    <w:abstractNumId w:val="37"/>
  </w:num>
  <w:num w:numId="38">
    <w:abstractNumId w:val="20"/>
  </w:num>
  <w:num w:numId="39">
    <w:abstractNumId w:val="32"/>
  </w:num>
  <w:num w:numId="40">
    <w:abstractNumId w:val="31"/>
  </w:num>
  <w:num w:numId="41">
    <w:abstractNumId w:val="22"/>
  </w:num>
  <w:num w:numId="42">
    <w:abstractNumId w:val="10"/>
  </w:num>
  <w:num w:numId="43">
    <w:abstractNumId w:val="26"/>
  </w:num>
  <w:num w:numId="44">
    <w:abstractNumId w:val="34"/>
  </w:num>
  <w:num w:numId="45">
    <w:abstractNumId w:val="36"/>
  </w:num>
  <w:num w:numId="46">
    <w:abstractNumId w:val="12"/>
  </w:num>
  <w:num w:numId="47">
    <w:abstractNumId w:val="17"/>
  </w:num>
  <w:num w:numId="48">
    <w:abstractNumId w:val="38"/>
  </w:num>
  <w:num w:numId="49">
    <w:abstractNumId w:val="1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12"/>
    <w:rsid w:val="00002CBE"/>
    <w:rsid w:val="00003232"/>
    <w:rsid w:val="000033DA"/>
    <w:rsid w:val="00004AF1"/>
    <w:rsid w:val="0000579F"/>
    <w:rsid w:val="000074D1"/>
    <w:rsid w:val="000076BD"/>
    <w:rsid w:val="00010481"/>
    <w:rsid w:val="00010671"/>
    <w:rsid w:val="000114E2"/>
    <w:rsid w:val="00013347"/>
    <w:rsid w:val="00013D73"/>
    <w:rsid w:val="0001411B"/>
    <w:rsid w:val="000142E1"/>
    <w:rsid w:val="000146BD"/>
    <w:rsid w:val="00014B68"/>
    <w:rsid w:val="0001645D"/>
    <w:rsid w:val="00017A43"/>
    <w:rsid w:val="0002157B"/>
    <w:rsid w:val="00021BF9"/>
    <w:rsid w:val="00023101"/>
    <w:rsid w:val="0002407C"/>
    <w:rsid w:val="000243FB"/>
    <w:rsid w:val="0002476F"/>
    <w:rsid w:val="00024E17"/>
    <w:rsid w:val="000258DB"/>
    <w:rsid w:val="000259E5"/>
    <w:rsid w:val="00031B2C"/>
    <w:rsid w:val="0003371F"/>
    <w:rsid w:val="00033D2C"/>
    <w:rsid w:val="00035CE8"/>
    <w:rsid w:val="00036041"/>
    <w:rsid w:val="00036A3F"/>
    <w:rsid w:val="00036D32"/>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0B2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4242"/>
    <w:rsid w:val="000A53C5"/>
    <w:rsid w:val="000A5408"/>
    <w:rsid w:val="000A6510"/>
    <w:rsid w:val="000A6D68"/>
    <w:rsid w:val="000A7CF7"/>
    <w:rsid w:val="000B0AE0"/>
    <w:rsid w:val="000B0BB4"/>
    <w:rsid w:val="000B1045"/>
    <w:rsid w:val="000B1BAE"/>
    <w:rsid w:val="000B29B3"/>
    <w:rsid w:val="000B3889"/>
    <w:rsid w:val="000B3B3B"/>
    <w:rsid w:val="000B42E7"/>
    <w:rsid w:val="000B70B7"/>
    <w:rsid w:val="000B73E6"/>
    <w:rsid w:val="000B7759"/>
    <w:rsid w:val="000C111E"/>
    <w:rsid w:val="000C1B26"/>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1E9F"/>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D46"/>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7EC"/>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1FA4"/>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506"/>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3BC"/>
    <w:rsid w:val="001A2AB7"/>
    <w:rsid w:val="001A2AC8"/>
    <w:rsid w:val="001A3BE6"/>
    <w:rsid w:val="001A41A1"/>
    <w:rsid w:val="001A4A9C"/>
    <w:rsid w:val="001A6B88"/>
    <w:rsid w:val="001A6C33"/>
    <w:rsid w:val="001A6E68"/>
    <w:rsid w:val="001B1EA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59B"/>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6FD"/>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66C51"/>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188"/>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667"/>
    <w:rsid w:val="00485A4A"/>
    <w:rsid w:val="00485CF7"/>
    <w:rsid w:val="00485D8A"/>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D6B86"/>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D04"/>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0270"/>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D6"/>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3AA8"/>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567"/>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342"/>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5DE"/>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4BA"/>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8D9"/>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EE3"/>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6FAE"/>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BD5"/>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13C"/>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236"/>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12E"/>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444"/>
    <w:rsid w:val="00A01925"/>
    <w:rsid w:val="00A01DEB"/>
    <w:rsid w:val="00A06D32"/>
    <w:rsid w:val="00A07545"/>
    <w:rsid w:val="00A1081D"/>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42B"/>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5707B"/>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C6CFC"/>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B20"/>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CFA"/>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39C9"/>
    <w:rsid w:val="00BE48A8"/>
    <w:rsid w:val="00BE528F"/>
    <w:rsid w:val="00BE5850"/>
    <w:rsid w:val="00BE58D6"/>
    <w:rsid w:val="00BE5CA6"/>
    <w:rsid w:val="00BE707F"/>
    <w:rsid w:val="00BE7F5D"/>
    <w:rsid w:val="00BF0707"/>
    <w:rsid w:val="00BF164F"/>
    <w:rsid w:val="00BF1AAF"/>
    <w:rsid w:val="00BF268B"/>
    <w:rsid w:val="00BF4D03"/>
    <w:rsid w:val="00BF4E85"/>
    <w:rsid w:val="00BF5256"/>
    <w:rsid w:val="00BF54BD"/>
    <w:rsid w:val="00BF5892"/>
    <w:rsid w:val="00BF63A3"/>
    <w:rsid w:val="00C01804"/>
    <w:rsid w:val="00C026BC"/>
    <w:rsid w:val="00C02AD4"/>
    <w:rsid w:val="00C03869"/>
    <w:rsid w:val="00C07988"/>
    <w:rsid w:val="00C07C5E"/>
    <w:rsid w:val="00C10068"/>
    <w:rsid w:val="00C10AC5"/>
    <w:rsid w:val="00C12DAD"/>
    <w:rsid w:val="00C12E17"/>
    <w:rsid w:val="00C13C12"/>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3F53"/>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8BD"/>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97DB3"/>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616"/>
    <w:rsid w:val="00E43F36"/>
    <w:rsid w:val="00E445C9"/>
    <w:rsid w:val="00E447C5"/>
    <w:rsid w:val="00E450C1"/>
    <w:rsid w:val="00E4547F"/>
    <w:rsid w:val="00E4574F"/>
    <w:rsid w:val="00E46B7D"/>
    <w:rsid w:val="00E5091C"/>
    <w:rsid w:val="00E50BB3"/>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D6F"/>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29CB"/>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30"/>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E18"/>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0BD"/>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4E0"/>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A764DD8-7CF8-48F8-BA19-E4256EFB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table" w:customStyle="1" w:styleId="TableGrid1">
    <w:name w:val="Table Grid1"/>
    <w:basedOn w:val="TableNormal"/>
    <w:next w:val="TableGrid"/>
    <w:rsid w:val="00036D32"/>
    <w:rPr>
      <w:rFonts w:ascii="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36D32"/>
    <w:rPr>
      <w:rFonts w:ascii="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97F8-FCBD-454F-9262-54946233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CDIP/23/ (Arabic)</vt:lpstr>
    </vt:vector>
  </TitlesOfParts>
  <Company>World Intellectual Property Organization</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 (Arabic)</dc:title>
  <dc:creator>BEN MOHAMED Abdelhak</dc:creator>
  <cp:lastModifiedBy>SARKISSOVA Anna</cp:lastModifiedBy>
  <cp:revision>2</cp:revision>
  <cp:lastPrinted>2018-06-12T09:05:00Z</cp:lastPrinted>
  <dcterms:created xsi:type="dcterms:W3CDTF">2019-04-04T13:45:00Z</dcterms:created>
  <dcterms:modified xsi:type="dcterms:W3CDTF">2019-04-04T13:45:00Z</dcterms:modified>
</cp:coreProperties>
</file>