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749F5"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F749F5" w:rsidRDefault="009C0CED" w:rsidP="00237419">
            <w:pPr>
              <w:bidi/>
              <w:spacing w:after="20"/>
              <w:rPr>
                <w:rFonts w:ascii="Arabic Typesetting" w:hAnsi="Arabic Typesetting" w:cs="Arabic Typesetting"/>
                <w:sz w:val="36"/>
                <w:szCs w:val="36"/>
                <w:rtl/>
              </w:rPr>
            </w:pPr>
            <w:r w:rsidRPr="00F749F5">
              <w:rPr>
                <w:noProof/>
              </w:rPr>
              <w:drawing>
                <wp:inline distT="0" distB="0" distL="0" distR="0" wp14:anchorId="4C646135" wp14:editId="41F20A1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749F5" w:rsidRDefault="001667B6" w:rsidP="001667B6">
            <w:pPr>
              <w:rPr>
                <w:b/>
                <w:bCs/>
                <w:sz w:val="40"/>
                <w:szCs w:val="40"/>
              </w:rPr>
            </w:pPr>
            <w:r w:rsidRPr="00F749F5">
              <w:rPr>
                <w:b/>
                <w:bCs/>
                <w:sz w:val="40"/>
                <w:szCs w:val="40"/>
              </w:rPr>
              <w:t>A</w:t>
            </w:r>
          </w:p>
        </w:tc>
      </w:tr>
      <w:tr w:rsidR="001667B6" w:rsidRPr="00F749F5" w:rsidTr="00B6101C">
        <w:trPr>
          <w:trHeight w:val="333"/>
        </w:trPr>
        <w:tc>
          <w:tcPr>
            <w:tcW w:w="9571" w:type="dxa"/>
            <w:gridSpan w:val="3"/>
            <w:tcBorders>
              <w:top w:val="single" w:sz="4" w:space="0" w:color="auto"/>
            </w:tcBorders>
            <w:vAlign w:val="bottom"/>
          </w:tcPr>
          <w:p w:rsidR="00B6101C" w:rsidRPr="00F749F5" w:rsidRDefault="007A12EF" w:rsidP="000264E7">
            <w:pPr>
              <w:pStyle w:val="DocumentCodeAR"/>
              <w:bidi/>
              <w:rPr>
                <w:rtl/>
              </w:rPr>
            </w:pPr>
            <w:r w:rsidRPr="00F749F5">
              <w:t>CDIP/20/INF/3</w:t>
            </w:r>
          </w:p>
        </w:tc>
      </w:tr>
      <w:tr w:rsidR="001667B6" w:rsidRPr="00F749F5" w:rsidTr="00BF164F">
        <w:tc>
          <w:tcPr>
            <w:tcW w:w="9571" w:type="dxa"/>
            <w:gridSpan w:val="3"/>
          </w:tcPr>
          <w:p w:rsidR="001667B6" w:rsidRPr="00F749F5" w:rsidRDefault="00B6101C" w:rsidP="000264E7">
            <w:pPr>
              <w:pStyle w:val="DocumentLanguageAR"/>
              <w:bidi/>
              <w:rPr>
                <w:rtl/>
              </w:rPr>
            </w:pPr>
            <w:r w:rsidRPr="00F749F5">
              <w:rPr>
                <w:rFonts w:hint="cs"/>
                <w:rtl/>
              </w:rPr>
              <w:t xml:space="preserve">الأصل: </w:t>
            </w:r>
            <w:r w:rsidR="000264E7" w:rsidRPr="00F749F5">
              <w:rPr>
                <w:rFonts w:hint="cs"/>
                <w:rtl/>
              </w:rPr>
              <w:t>بالإنكليزية</w:t>
            </w:r>
          </w:p>
        </w:tc>
      </w:tr>
      <w:tr w:rsidR="001667B6" w:rsidRPr="00F749F5" w:rsidTr="00BF164F">
        <w:tc>
          <w:tcPr>
            <w:tcW w:w="9571" w:type="dxa"/>
            <w:gridSpan w:val="3"/>
          </w:tcPr>
          <w:p w:rsidR="001667B6" w:rsidRPr="00F749F5" w:rsidRDefault="00B6101C" w:rsidP="000264E7">
            <w:pPr>
              <w:pStyle w:val="DocumentDateAR"/>
              <w:bidi/>
              <w:rPr>
                <w:rtl/>
              </w:rPr>
            </w:pPr>
            <w:r w:rsidRPr="00F749F5">
              <w:rPr>
                <w:rFonts w:hint="cs"/>
                <w:rtl/>
              </w:rPr>
              <w:t xml:space="preserve">التاريخ: </w:t>
            </w:r>
            <w:r w:rsidR="007A12EF" w:rsidRPr="00F749F5">
              <w:rPr>
                <w:rFonts w:hint="cs"/>
                <w:rtl/>
              </w:rPr>
              <w:t xml:space="preserve">2 </w:t>
            </w:r>
            <w:proofErr w:type="gramStart"/>
            <w:r w:rsidR="007A12EF" w:rsidRPr="00F749F5">
              <w:rPr>
                <w:rFonts w:hint="cs"/>
                <w:rtl/>
              </w:rPr>
              <w:t>نوفمبر</w:t>
            </w:r>
            <w:proofErr w:type="gramEnd"/>
            <w:r w:rsidR="007A12EF" w:rsidRPr="00F749F5">
              <w:rPr>
                <w:rFonts w:hint="cs"/>
                <w:rtl/>
              </w:rPr>
              <w:t xml:space="preserve"> </w:t>
            </w:r>
            <w:r w:rsidR="007A12EF" w:rsidRPr="00F749F5">
              <w:t>2017</w:t>
            </w:r>
          </w:p>
        </w:tc>
      </w:tr>
    </w:tbl>
    <w:p w:rsidR="000F5E56" w:rsidRPr="00F749F5" w:rsidRDefault="000F5E56" w:rsidP="001667B6">
      <w:pPr>
        <w:bidi/>
        <w:spacing w:line="360" w:lineRule="exact"/>
        <w:rPr>
          <w:rFonts w:ascii="Arabic Typesetting" w:hAnsi="Arabic Typesetting" w:cs="Arabic Typesetting"/>
          <w:sz w:val="36"/>
          <w:szCs w:val="36"/>
          <w:rtl/>
        </w:rPr>
      </w:pPr>
    </w:p>
    <w:p w:rsidR="001667B6" w:rsidRPr="00F749F5" w:rsidRDefault="001667B6" w:rsidP="001667B6">
      <w:pPr>
        <w:bidi/>
        <w:spacing w:line="360" w:lineRule="exact"/>
        <w:rPr>
          <w:rFonts w:ascii="Arabic Typesetting" w:hAnsi="Arabic Typesetting" w:cs="Arabic Typesetting"/>
          <w:sz w:val="36"/>
          <w:szCs w:val="36"/>
          <w:rtl/>
          <w:lang w:bidi="ar-EG"/>
        </w:rPr>
      </w:pPr>
    </w:p>
    <w:p w:rsidR="00F27305" w:rsidRPr="00F749F5" w:rsidRDefault="00F27305" w:rsidP="00F27305">
      <w:pPr>
        <w:bidi/>
        <w:spacing w:line="360" w:lineRule="exact"/>
        <w:rPr>
          <w:rFonts w:ascii="Arabic Typesetting" w:hAnsi="Arabic Typesetting" w:cs="Arabic Typesetting"/>
          <w:sz w:val="36"/>
          <w:szCs w:val="36"/>
          <w:rtl/>
        </w:rPr>
      </w:pPr>
    </w:p>
    <w:p w:rsidR="001667B6" w:rsidRPr="00F749F5" w:rsidRDefault="0021704F" w:rsidP="00796CF7">
      <w:pPr>
        <w:pStyle w:val="MeetingTitleAR"/>
        <w:bidi/>
        <w:ind w:right="550"/>
        <w:rPr>
          <w:rtl/>
        </w:rPr>
      </w:pPr>
      <w:r w:rsidRPr="00F749F5">
        <w:rPr>
          <w:rtl/>
        </w:rPr>
        <w:t>اللجنة المعنية بالتنمية والملكية الفكرية</w:t>
      </w:r>
    </w:p>
    <w:p w:rsidR="001667B6" w:rsidRPr="00F749F5" w:rsidRDefault="001667B6" w:rsidP="001667B6">
      <w:pPr>
        <w:bidi/>
        <w:spacing w:line="360" w:lineRule="exact"/>
        <w:rPr>
          <w:rFonts w:ascii="Arabic Typesetting" w:hAnsi="Arabic Typesetting" w:cs="Arabic Typesetting"/>
          <w:sz w:val="36"/>
          <w:szCs w:val="36"/>
          <w:rtl/>
        </w:rPr>
      </w:pPr>
    </w:p>
    <w:p w:rsidR="0021704F" w:rsidRPr="00F749F5" w:rsidRDefault="0021704F" w:rsidP="008F262E">
      <w:pPr>
        <w:pStyle w:val="MeetingSessionAR"/>
        <w:bidi/>
        <w:rPr>
          <w:rFonts w:ascii="Cambria Math" w:hAnsi="Cambria Math"/>
          <w:rtl/>
        </w:rPr>
      </w:pPr>
      <w:r w:rsidRPr="00F749F5">
        <w:rPr>
          <w:rFonts w:ascii="Cambria Math" w:hAnsi="Cambria Math"/>
          <w:rtl/>
        </w:rPr>
        <w:t xml:space="preserve">الدورة </w:t>
      </w:r>
      <w:r w:rsidR="008F262E" w:rsidRPr="00F749F5">
        <w:rPr>
          <w:rFonts w:ascii="Cambria Math" w:hAnsi="Cambria Math" w:hint="cs"/>
          <w:rtl/>
        </w:rPr>
        <w:t>العشرون</w:t>
      </w:r>
    </w:p>
    <w:p w:rsidR="0021704F" w:rsidRPr="00F749F5" w:rsidRDefault="0021704F" w:rsidP="008F262E">
      <w:pPr>
        <w:pStyle w:val="MeetingDatesAR"/>
        <w:bidi/>
      </w:pPr>
      <w:r w:rsidRPr="00F749F5">
        <w:rPr>
          <w:rFonts w:hint="cs"/>
          <w:rtl/>
        </w:rPr>
        <w:t xml:space="preserve">جنيف، من </w:t>
      </w:r>
      <w:r w:rsidR="008F262E" w:rsidRPr="00F749F5">
        <w:rPr>
          <w:rFonts w:hint="cs"/>
          <w:rtl/>
        </w:rPr>
        <w:t>27</w:t>
      </w:r>
      <w:r w:rsidRPr="00F749F5">
        <w:rPr>
          <w:rFonts w:hint="cs"/>
          <w:rtl/>
        </w:rPr>
        <w:t xml:space="preserve"> </w:t>
      </w:r>
      <w:r w:rsidR="008F262E" w:rsidRPr="00F749F5">
        <w:rPr>
          <w:rFonts w:hint="cs"/>
          <w:rtl/>
        </w:rPr>
        <w:t xml:space="preserve">نوفمبر </w:t>
      </w:r>
      <w:r w:rsidRPr="00F749F5">
        <w:rPr>
          <w:rFonts w:hint="cs"/>
          <w:rtl/>
        </w:rPr>
        <w:t xml:space="preserve">إلى </w:t>
      </w:r>
      <w:r w:rsidR="008F262E" w:rsidRPr="00F749F5">
        <w:rPr>
          <w:rFonts w:hint="cs"/>
          <w:rtl/>
        </w:rPr>
        <w:t xml:space="preserve">1 ديسمبر </w:t>
      </w:r>
      <w:r w:rsidR="00475BF5" w:rsidRPr="00F749F5">
        <w:rPr>
          <w:rFonts w:hint="cs"/>
          <w:rtl/>
        </w:rPr>
        <w:t>2017</w:t>
      </w:r>
    </w:p>
    <w:p w:rsidR="00D61541" w:rsidRPr="00F749F5" w:rsidRDefault="00D61541" w:rsidP="00D61541">
      <w:pPr>
        <w:bidi/>
        <w:spacing w:line="360" w:lineRule="exact"/>
        <w:rPr>
          <w:rFonts w:ascii="Arabic Typesetting" w:hAnsi="Arabic Typesetting" w:cs="Arabic Typesetting"/>
          <w:sz w:val="36"/>
          <w:szCs w:val="36"/>
          <w:rtl/>
        </w:rPr>
      </w:pPr>
    </w:p>
    <w:p w:rsidR="00D61541" w:rsidRPr="00F749F5" w:rsidRDefault="00D61541" w:rsidP="00D61541">
      <w:pPr>
        <w:bidi/>
        <w:spacing w:line="360" w:lineRule="exact"/>
        <w:rPr>
          <w:rFonts w:ascii="Arabic Typesetting" w:hAnsi="Arabic Typesetting" w:cs="Arabic Typesetting"/>
          <w:sz w:val="36"/>
          <w:szCs w:val="36"/>
          <w:rtl/>
        </w:rPr>
      </w:pPr>
    </w:p>
    <w:p w:rsidR="00D61541" w:rsidRPr="00F749F5" w:rsidRDefault="007A12EF" w:rsidP="00D162D2">
      <w:pPr>
        <w:pStyle w:val="DocumentTitleAR"/>
        <w:bidi/>
        <w:rPr>
          <w:rtl/>
        </w:rPr>
      </w:pPr>
      <w:r w:rsidRPr="00F749F5">
        <w:rPr>
          <w:rFonts w:hint="cs"/>
          <w:rtl/>
        </w:rPr>
        <w:t>ملخص الدراسة المنجزة عن الانتفاع بنظام الملكية الفكرية في أمريكا الوسطى وا</w:t>
      </w:r>
      <w:r w:rsidRPr="00F749F5">
        <w:rPr>
          <w:rtl/>
        </w:rPr>
        <w:t>لجمهورية</w:t>
      </w:r>
      <w:r w:rsidR="00D162D2" w:rsidRPr="00F749F5">
        <w:rPr>
          <w:rFonts w:cs="Times New Roman" w:hint="eastAsia"/>
          <w:rtl/>
        </w:rPr>
        <w:t> </w:t>
      </w:r>
      <w:proofErr w:type="spellStart"/>
      <w:r w:rsidRPr="00F749F5">
        <w:rPr>
          <w:rtl/>
        </w:rPr>
        <w:t>الدومينيكية</w:t>
      </w:r>
      <w:proofErr w:type="spellEnd"/>
    </w:p>
    <w:p w:rsidR="00D61541" w:rsidRPr="00F749F5" w:rsidRDefault="00D61541" w:rsidP="00931859">
      <w:pPr>
        <w:pStyle w:val="PreparedbyAR"/>
        <w:bidi/>
        <w:rPr>
          <w:rtl/>
          <w:lang w:bidi="ar-EG"/>
        </w:rPr>
      </w:pPr>
      <w:r w:rsidRPr="00F749F5">
        <w:rPr>
          <w:rFonts w:hint="cs"/>
          <w:rtl/>
        </w:rPr>
        <w:t>من إعداد</w:t>
      </w:r>
      <w:r w:rsidR="000264E7" w:rsidRPr="00F749F5">
        <w:rPr>
          <w:rFonts w:hint="cs"/>
          <w:rtl/>
        </w:rPr>
        <w:t xml:space="preserve"> الأمانة</w:t>
      </w:r>
    </w:p>
    <w:p w:rsidR="00CF79DF" w:rsidRPr="00F749F5" w:rsidRDefault="007A12EF" w:rsidP="000723BF">
      <w:pPr>
        <w:pStyle w:val="NumberedParaAR"/>
      </w:pPr>
      <w:r w:rsidRPr="00F749F5">
        <w:rPr>
          <w:rFonts w:hint="cs"/>
          <w:rtl/>
        </w:rPr>
        <w:t xml:space="preserve">يتضمّن مرفق هذه الوثيقة ملخصا للدراسة المنجزة عن الانتفاع بنظام الملكية الفكرية في أمريكا الوسطى والجمهورية </w:t>
      </w:r>
      <w:proofErr w:type="spellStart"/>
      <w:r w:rsidRPr="00F749F5">
        <w:rPr>
          <w:rtl/>
        </w:rPr>
        <w:t>الدومينيكية</w:t>
      </w:r>
      <w:proofErr w:type="spellEnd"/>
      <w:r w:rsidRPr="00F749F5">
        <w:rPr>
          <w:rFonts w:hint="cs"/>
          <w:rtl/>
        </w:rPr>
        <w:t xml:space="preserve">، في إطار </w:t>
      </w:r>
      <w:r w:rsidRPr="00F749F5">
        <w:rPr>
          <w:rtl/>
        </w:rPr>
        <w:t>المرحلة الثانية</w:t>
      </w:r>
      <w:r w:rsidRPr="00F749F5">
        <w:rPr>
          <w:rFonts w:hint="cs"/>
          <w:rtl/>
        </w:rPr>
        <w:t xml:space="preserve"> من مشروع </w:t>
      </w:r>
      <w:r w:rsidRPr="00F749F5">
        <w:rPr>
          <w:rtl/>
        </w:rPr>
        <w:t xml:space="preserve">الملكية الفكرية والتنمية الاجتماعية والاقتصادية </w:t>
      </w:r>
      <w:r w:rsidRPr="00F749F5">
        <w:rPr>
          <w:rFonts w:hint="cs"/>
          <w:rtl/>
        </w:rPr>
        <w:t>(</w:t>
      </w:r>
      <w:r w:rsidRPr="00F749F5">
        <w:t>CDIP/14/7</w:t>
      </w:r>
      <w:r w:rsidRPr="00F749F5">
        <w:rPr>
          <w:rFonts w:hint="cs"/>
          <w:rtl/>
        </w:rPr>
        <w:t>)</w:t>
      </w:r>
      <w:r w:rsidR="000264E7" w:rsidRPr="00F749F5">
        <w:rPr>
          <w:rtl/>
        </w:rPr>
        <w:t>.</w:t>
      </w:r>
    </w:p>
    <w:p w:rsidR="00B43202" w:rsidRPr="00F749F5" w:rsidRDefault="007A12EF" w:rsidP="000723BF">
      <w:pPr>
        <w:pStyle w:val="NumberedParaAR"/>
      </w:pPr>
      <w:r w:rsidRPr="00F749F5">
        <w:rPr>
          <w:rFonts w:hint="cs"/>
          <w:rtl/>
          <w:lang w:bidi="ar-JO"/>
        </w:rPr>
        <w:t>وقد أُعد</w:t>
      </w:r>
      <w:r w:rsidR="00AF4225" w:rsidRPr="00F749F5">
        <w:rPr>
          <w:rFonts w:hint="cs"/>
          <w:rtl/>
          <w:lang w:bidi="ar-JO"/>
        </w:rPr>
        <w:t>ّ</w:t>
      </w:r>
      <w:r w:rsidRPr="00F749F5">
        <w:rPr>
          <w:rFonts w:hint="cs"/>
          <w:rtl/>
          <w:lang w:bidi="ar-JO"/>
        </w:rPr>
        <w:t>ت هذه الدراسة (</w:t>
      </w:r>
      <w:hyperlink r:id="rId10" w:history="1">
        <w:r w:rsidRPr="00F749F5">
          <w:rPr>
            <w:rStyle w:val="Hyperlink"/>
            <w:color w:val="auto"/>
          </w:rPr>
          <w:t>http://www.wipo.int/econ_sta</w:t>
        </w:r>
        <w:r w:rsidRPr="00F749F5">
          <w:rPr>
            <w:rStyle w:val="Hyperlink"/>
            <w:color w:val="auto"/>
          </w:rPr>
          <w:t>t</w:t>
        </w:r>
        <w:r w:rsidRPr="00F749F5">
          <w:rPr>
            <w:rStyle w:val="Hyperlink"/>
            <w:color w:val="auto"/>
          </w:rPr>
          <w:t>/en/economics/studies/</w:t>
        </w:r>
      </w:hyperlink>
      <w:r w:rsidRPr="00F749F5">
        <w:rPr>
          <w:rFonts w:hint="cs"/>
          <w:rtl/>
          <w:lang w:bidi="ar-JO"/>
        </w:rPr>
        <w:t>) في الأصل باللغة الإسبانية، بتنسيق من أمانة الويبو وبالتعاون مع حكومات كوستاريكا والسلفادور وغواتيمالا وهندوراس ونيكاراغوا وبنما و</w:t>
      </w:r>
      <w:r w:rsidRPr="00F749F5">
        <w:rPr>
          <w:rFonts w:hint="cs"/>
          <w:rtl/>
        </w:rPr>
        <w:t xml:space="preserve">الجمهورية </w:t>
      </w:r>
      <w:proofErr w:type="spellStart"/>
      <w:r w:rsidRPr="00F749F5">
        <w:rPr>
          <w:rtl/>
        </w:rPr>
        <w:t>الدومينيكية</w:t>
      </w:r>
      <w:proofErr w:type="spellEnd"/>
      <w:r w:rsidR="00B43202" w:rsidRPr="00F749F5">
        <w:rPr>
          <w:rtl/>
        </w:rPr>
        <w:t>.</w:t>
      </w:r>
    </w:p>
    <w:p w:rsidR="00DE30A6" w:rsidRPr="00F749F5" w:rsidRDefault="00DE30A6" w:rsidP="000723BF">
      <w:pPr>
        <w:pStyle w:val="DecisionParaAR"/>
      </w:pPr>
      <w:r w:rsidRPr="00F749F5">
        <w:rPr>
          <w:rFonts w:hint="cs"/>
          <w:rtl/>
        </w:rPr>
        <w:t>و</w:t>
      </w:r>
      <w:r w:rsidRPr="00F749F5">
        <w:rPr>
          <w:rtl/>
        </w:rPr>
        <w:t>اللجنة المعنية بالتنمية والملكية الفكرية</w:t>
      </w:r>
      <w:r w:rsidRPr="00F749F5">
        <w:rPr>
          <w:rFonts w:hint="cs"/>
          <w:rtl/>
        </w:rPr>
        <w:t xml:space="preserve"> م</w:t>
      </w:r>
      <w:r w:rsidRPr="00F749F5">
        <w:rPr>
          <w:rtl/>
        </w:rPr>
        <w:t>دعوة</w:t>
      </w:r>
      <w:r w:rsidRPr="00F749F5">
        <w:rPr>
          <w:rFonts w:hint="cs"/>
          <w:rtl/>
        </w:rPr>
        <w:t>ٌ</w:t>
      </w:r>
      <w:r w:rsidRPr="00F749F5">
        <w:rPr>
          <w:rtl/>
        </w:rPr>
        <w:t xml:space="preserve"> إلى الإحاطة علما</w:t>
      </w:r>
      <w:r w:rsidR="005B3763" w:rsidRPr="00F749F5">
        <w:rPr>
          <w:rFonts w:hint="cs"/>
          <w:rtl/>
        </w:rPr>
        <w:t>ً</w:t>
      </w:r>
      <w:r w:rsidRPr="00F749F5">
        <w:rPr>
          <w:rtl/>
        </w:rPr>
        <w:t xml:space="preserve"> بالمعلومات الواردة في مرفق هذه الوثيقة.</w:t>
      </w:r>
    </w:p>
    <w:p w:rsidR="00DE30A6" w:rsidRPr="00F749F5" w:rsidRDefault="00DE30A6" w:rsidP="000723BF">
      <w:pPr>
        <w:pStyle w:val="NormalParaAR"/>
        <w:spacing w:before="480"/>
        <w:ind w:left="5483"/>
        <w:rPr>
          <w:rtl/>
        </w:rPr>
      </w:pPr>
      <w:r w:rsidRPr="00F749F5">
        <w:rPr>
          <w:rtl/>
        </w:rPr>
        <w:t>[يلي ذلك المرفق]</w:t>
      </w:r>
    </w:p>
    <w:p w:rsidR="00DE30A6" w:rsidRPr="00F749F5" w:rsidRDefault="00DE30A6" w:rsidP="00DE30A6">
      <w:pPr>
        <w:pStyle w:val="NormalParaAR"/>
        <w:rPr>
          <w:rtl/>
        </w:rPr>
        <w:sectPr w:rsidR="00DE30A6" w:rsidRPr="00F749F5" w:rsidSect="00EB7752">
          <w:headerReference w:type="default" r:id="rId11"/>
          <w:pgSz w:w="11907" w:h="16840" w:code="9"/>
          <w:pgMar w:top="567" w:right="1418" w:bottom="1418" w:left="1134" w:header="510" w:footer="1021" w:gutter="0"/>
          <w:cols w:space="720"/>
          <w:titlePg/>
          <w:docGrid w:linePitch="299"/>
        </w:sectPr>
      </w:pPr>
    </w:p>
    <w:p w:rsidR="00DE30A6" w:rsidRPr="00F749F5" w:rsidRDefault="001037C0" w:rsidP="00264276">
      <w:pPr>
        <w:pStyle w:val="Heading1"/>
        <w:rPr>
          <w:rtl/>
          <w:lang w:bidi="ar-EG"/>
        </w:rPr>
      </w:pPr>
      <w:r w:rsidRPr="00F749F5">
        <w:rPr>
          <w:rFonts w:hint="cs"/>
          <w:rtl/>
        </w:rPr>
        <w:lastRenderedPageBreak/>
        <w:t xml:space="preserve">الانتفاع بنظام الملكية الفكرية في أمريكا الوسطى والجمهورية </w:t>
      </w:r>
      <w:proofErr w:type="spellStart"/>
      <w:r w:rsidRPr="00F749F5">
        <w:rPr>
          <w:rtl/>
        </w:rPr>
        <w:t>الدومينيكية</w:t>
      </w:r>
      <w:proofErr w:type="spellEnd"/>
    </w:p>
    <w:p w:rsidR="00264276" w:rsidRPr="00F749F5" w:rsidRDefault="001037C0" w:rsidP="000723BF">
      <w:pPr>
        <w:pStyle w:val="NormalParaAR"/>
        <w:rPr>
          <w:rtl/>
          <w:lang w:bidi="ar-EG"/>
        </w:rPr>
      </w:pPr>
      <w:r w:rsidRPr="00F749F5">
        <w:rPr>
          <w:rFonts w:hint="cs"/>
          <w:rtl/>
          <w:lang w:bidi="ar-JO"/>
        </w:rPr>
        <w:t>في عام 2015، طلبت بلدان أمريكا الوسطى و</w:t>
      </w:r>
      <w:r w:rsidRPr="00F749F5">
        <w:rPr>
          <w:rFonts w:hint="cs"/>
          <w:rtl/>
        </w:rPr>
        <w:t xml:space="preserve">الجمهورية </w:t>
      </w:r>
      <w:proofErr w:type="spellStart"/>
      <w:r w:rsidRPr="00F749F5">
        <w:rPr>
          <w:rtl/>
        </w:rPr>
        <w:t>الدومينيكية</w:t>
      </w:r>
      <w:proofErr w:type="spellEnd"/>
      <w:r w:rsidRPr="00F749F5">
        <w:rPr>
          <w:rFonts w:hint="cs"/>
          <w:rtl/>
          <w:lang w:bidi="ar-JO"/>
        </w:rPr>
        <w:t xml:space="preserve"> إلى المنظمة العالمية للملكية الفكرية (الويبو) أن تشارك في </w:t>
      </w:r>
      <w:r w:rsidRPr="00F749F5">
        <w:rPr>
          <w:rtl/>
          <w:lang w:bidi="ar-EG"/>
        </w:rPr>
        <w:t>المرحلة الثانية</w:t>
      </w:r>
      <w:r w:rsidRPr="00F749F5">
        <w:rPr>
          <w:rFonts w:hint="cs"/>
          <w:rtl/>
          <w:lang w:bidi="ar-JO"/>
        </w:rPr>
        <w:t xml:space="preserve"> من مشروع </w:t>
      </w:r>
      <w:r w:rsidRPr="00F749F5">
        <w:rPr>
          <w:rtl/>
          <w:lang w:bidi="ar-EG"/>
        </w:rPr>
        <w:t xml:space="preserve">الملكية الفكرية والتنمية الاجتماعية </w:t>
      </w:r>
      <w:r w:rsidRPr="00F749F5">
        <w:rPr>
          <w:rFonts w:hint="cs"/>
          <w:rtl/>
          <w:lang w:bidi="ar-EG"/>
        </w:rPr>
        <w:t>و</w:t>
      </w:r>
      <w:r w:rsidRPr="00F749F5">
        <w:rPr>
          <w:rtl/>
          <w:lang w:bidi="ar-EG"/>
        </w:rPr>
        <w:t xml:space="preserve">الاقتصادية </w:t>
      </w:r>
      <w:r w:rsidRPr="00F749F5">
        <w:rPr>
          <w:rFonts w:hint="cs"/>
          <w:rtl/>
          <w:lang w:bidi="ar-JO"/>
        </w:rPr>
        <w:t>(</w:t>
      </w:r>
      <w:r w:rsidRPr="00F749F5">
        <w:rPr>
          <w:lang w:bidi="ar-JO"/>
        </w:rPr>
        <w:t>CDIP/14/7</w:t>
      </w:r>
      <w:r w:rsidRPr="00F749F5">
        <w:rPr>
          <w:rFonts w:hint="cs"/>
          <w:rtl/>
          <w:lang w:bidi="ar-JO"/>
        </w:rPr>
        <w:t xml:space="preserve">) </w:t>
      </w:r>
      <w:r w:rsidRPr="00F749F5">
        <w:rPr>
          <w:rtl/>
          <w:lang w:bidi="ar-JO"/>
        </w:rPr>
        <w:t xml:space="preserve">التي </w:t>
      </w:r>
      <w:r w:rsidRPr="00F749F5">
        <w:rPr>
          <w:rFonts w:hint="cs"/>
          <w:rtl/>
          <w:lang w:bidi="ar-JO"/>
        </w:rPr>
        <w:t>نُ</w:t>
      </w:r>
      <w:r w:rsidRPr="00F749F5">
        <w:rPr>
          <w:rtl/>
          <w:lang w:bidi="ar-JO"/>
        </w:rPr>
        <w:t>ف</w:t>
      </w:r>
      <w:r w:rsidRPr="00F749F5">
        <w:rPr>
          <w:rFonts w:hint="cs"/>
          <w:rtl/>
          <w:lang w:bidi="ar-JO"/>
        </w:rPr>
        <w:t>ِّ</w:t>
      </w:r>
      <w:r w:rsidRPr="00F749F5">
        <w:rPr>
          <w:rtl/>
          <w:lang w:bidi="ar-JO"/>
        </w:rPr>
        <w:t>ذت</w:t>
      </w:r>
      <w:r w:rsidRPr="00F749F5">
        <w:rPr>
          <w:rtl/>
          <w:lang w:bidi="ar-EG"/>
        </w:rPr>
        <w:t xml:space="preserve"> </w:t>
      </w:r>
      <w:r w:rsidRPr="00F749F5">
        <w:rPr>
          <w:rFonts w:hint="cs"/>
          <w:rtl/>
          <w:lang w:bidi="ar-JO"/>
        </w:rPr>
        <w:t>في إطار اللجنة المعنية بالتنمية والملكية الفكرية (</w:t>
      </w:r>
      <w:r w:rsidRPr="00F749F5">
        <w:rPr>
          <w:lang w:bidi="ar-JO"/>
        </w:rPr>
        <w:t>CDIP</w:t>
      </w:r>
      <w:r w:rsidRPr="00F749F5">
        <w:rPr>
          <w:rFonts w:hint="cs"/>
          <w:rtl/>
          <w:lang w:bidi="ar-JO"/>
        </w:rPr>
        <w:t>)</w:t>
      </w:r>
      <w:r w:rsidR="00BC6930" w:rsidRPr="00F749F5">
        <w:rPr>
          <w:rtl/>
          <w:lang w:bidi="ar-EG"/>
        </w:rPr>
        <w:t>.</w:t>
      </w:r>
    </w:p>
    <w:p w:rsidR="00BC6930" w:rsidRPr="00F749F5" w:rsidRDefault="001037C0" w:rsidP="000723BF">
      <w:pPr>
        <w:pStyle w:val="NormalParaAR"/>
        <w:rPr>
          <w:rtl/>
          <w:lang w:bidi="ar-EG"/>
        </w:rPr>
      </w:pPr>
      <w:r w:rsidRPr="00F749F5">
        <w:rPr>
          <w:rFonts w:hint="cs"/>
          <w:rtl/>
          <w:lang w:bidi="ar-JO"/>
        </w:rPr>
        <w:t xml:space="preserve">وعلى سبيل التذكير، فقد </w:t>
      </w:r>
      <w:proofErr w:type="gramStart"/>
      <w:r w:rsidRPr="00F749F5">
        <w:rPr>
          <w:rFonts w:hint="cs"/>
          <w:rtl/>
          <w:lang w:bidi="ar-JO"/>
        </w:rPr>
        <w:t>انتهجت</w:t>
      </w:r>
      <w:proofErr w:type="gramEnd"/>
      <w:r w:rsidRPr="00F749F5">
        <w:rPr>
          <w:rFonts w:hint="cs"/>
          <w:rtl/>
          <w:lang w:bidi="ar-JO"/>
        </w:rPr>
        <w:t xml:space="preserve"> حكومات المنطقة منذ عقود سياسات ترمي إلى زيادة التكامل الإقليمي. وتشمل هذه الجهود السعي نحو تحقيق التكامل الاقتصادي الإقليمي في تدفقات تجارة السلع والخدمات، والمشاركة منذ وقت غير بعيد في المفاوضات المشتركة بشأن الاتفاقات التجارية مع أبرز الشركاء التجاريين. وعززت المنطقة أيضا من جهودها الرامية إلى التكامل والتنسيق في الشؤون المتعلقة بالملكية الفكرية، بما فيها صياغة استراتيجيات وطنية في مجال الملكية الفكرية والمشاركة في المعاهدات الدولية للملكية الفكرية. وفي هذا السياق، أعلن الوزراء المكلفون بشؤون الملكية الفكرية في كل من كوستاريكا والسلفادور وغواتيمالا وهندوراس ونيكاراغوا وبنما و</w:t>
      </w:r>
      <w:r w:rsidRPr="00F749F5">
        <w:rPr>
          <w:rFonts w:hint="cs"/>
          <w:rtl/>
        </w:rPr>
        <w:t xml:space="preserve">الجمهورية </w:t>
      </w:r>
      <w:proofErr w:type="spellStart"/>
      <w:r w:rsidRPr="00F749F5">
        <w:rPr>
          <w:rtl/>
        </w:rPr>
        <w:t>الدومينيكية</w:t>
      </w:r>
      <w:proofErr w:type="spellEnd"/>
      <w:r w:rsidRPr="00F749F5">
        <w:rPr>
          <w:rFonts w:hint="cs"/>
          <w:rtl/>
          <w:lang w:bidi="ar-JO"/>
        </w:rPr>
        <w:t>، خلال الاجتماع الوزاري الرابع لأمريكا الوسطى بشأن الملكية الفكرية، عن قرارهم دعم إطلاق أعمال التحليل الاقتصادي للعلاقة بين الانتفاع بالملكية الفكرية والتدفقات التجارية في المنطقة الاقتصادية الإقليمية</w:t>
      </w:r>
      <w:r w:rsidR="000600FC" w:rsidRPr="00F749F5">
        <w:rPr>
          <w:rtl/>
          <w:lang w:bidi="ar-EG"/>
        </w:rPr>
        <w:t>.</w:t>
      </w:r>
    </w:p>
    <w:p w:rsidR="00EF0BA2" w:rsidRPr="00F749F5" w:rsidRDefault="001037C0" w:rsidP="00075D92">
      <w:pPr>
        <w:pStyle w:val="NormalParaAR"/>
        <w:rPr>
          <w:rtl/>
          <w:lang w:bidi="ar-EG"/>
        </w:rPr>
      </w:pPr>
      <w:r w:rsidRPr="00F749F5">
        <w:rPr>
          <w:rFonts w:hint="cs"/>
          <w:rtl/>
          <w:lang w:bidi="ar-JO"/>
        </w:rPr>
        <w:t>وفي الفترة من يوليو 2015 حتى يوليو 2017، أجرت الويبو دراسة إقليمية بالتعاون مع حكومات بلدان أمريكا الوسطى و</w:t>
      </w:r>
      <w:r w:rsidRPr="00F749F5">
        <w:rPr>
          <w:rFonts w:hint="cs"/>
          <w:rtl/>
        </w:rPr>
        <w:t xml:space="preserve">الجمهورية </w:t>
      </w:r>
      <w:proofErr w:type="spellStart"/>
      <w:r w:rsidRPr="00F749F5">
        <w:rPr>
          <w:rtl/>
        </w:rPr>
        <w:t>الدومينيكية</w:t>
      </w:r>
      <w:proofErr w:type="spellEnd"/>
      <w:r w:rsidRPr="00F749F5">
        <w:rPr>
          <w:rFonts w:hint="cs"/>
          <w:rtl/>
        </w:rPr>
        <w:t>.</w:t>
      </w:r>
      <w:r w:rsidRPr="00F749F5">
        <w:rPr>
          <w:rFonts w:hint="cs"/>
          <w:rtl/>
          <w:lang w:bidi="ar-JO"/>
        </w:rPr>
        <w:t xml:space="preserve"> وتقدم هذه الوثيقة ملخصا عن تنفيذ هذه الدراسة وأبرز نتائجها</w:t>
      </w:r>
      <w:r w:rsidR="0058773C" w:rsidRPr="00F749F5">
        <w:rPr>
          <w:rtl/>
          <w:lang w:bidi="ar-EG"/>
        </w:rPr>
        <w:t>.</w:t>
      </w:r>
    </w:p>
    <w:p w:rsidR="0058773C" w:rsidRPr="00F749F5" w:rsidRDefault="00697B3D" w:rsidP="00697B3D">
      <w:pPr>
        <w:pStyle w:val="Heading1"/>
        <w:rPr>
          <w:b/>
          <w:bCs w:val="0"/>
          <w:rtl/>
          <w:lang w:bidi="ar-EG"/>
        </w:rPr>
      </w:pPr>
      <w:r w:rsidRPr="00F749F5">
        <w:rPr>
          <w:b/>
          <w:bCs w:val="0"/>
          <w:rtl/>
          <w:lang w:bidi="ar-EG"/>
        </w:rPr>
        <w:t>الأهداف</w:t>
      </w:r>
    </w:p>
    <w:p w:rsidR="001037C0" w:rsidRPr="00F749F5" w:rsidRDefault="001037C0" w:rsidP="001037C0">
      <w:pPr>
        <w:pStyle w:val="NormalParaAR"/>
        <w:rPr>
          <w:lang w:bidi="ar-JO"/>
        </w:rPr>
      </w:pPr>
      <w:r w:rsidRPr="00F749F5">
        <w:rPr>
          <w:rFonts w:hint="cs"/>
          <w:rtl/>
          <w:lang w:bidi="ar-JO"/>
        </w:rPr>
        <w:t>كان الهدف الرئيسي من الدراسة هو دعم وضع سياسات مسنودة بمعطيات موضوعية في مجال الملكية الفكرية في منطقة أمريكا الوسطى. وحاولت الرد على سؤالين رئيسيين:</w:t>
      </w:r>
    </w:p>
    <w:p w:rsidR="001037C0" w:rsidRPr="00F749F5" w:rsidRDefault="001037C0" w:rsidP="00CA7853">
      <w:pPr>
        <w:pStyle w:val="NumberedParaAR"/>
        <w:numPr>
          <w:ilvl w:val="0"/>
          <w:numId w:val="23"/>
        </w:numPr>
        <w:ind w:left="566" w:firstLine="0"/>
        <w:rPr>
          <w:rtl/>
        </w:rPr>
      </w:pPr>
      <w:r w:rsidRPr="00F749F5">
        <w:rPr>
          <w:rFonts w:hint="cs"/>
          <w:rtl/>
        </w:rPr>
        <w:t xml:space="preserve">ما هي السمات التي </w:t>
      </w:r>
      <w:proofErr w:type="gramStart"/>
      <w:r w:rsidRPr="00F749F5">
        <w:rPr>
          <w:rFonts w:hint="cs"/>
          <w:rtl/>
        </w:rPr>
        <w:t>تميز</w:t>
      </w:r>
      <w:proofErr w:type="gramEnd"/>
      <w:r w:rsidRPr="00F749F5">
        <w:rPr>
          <w:rFonts w:hint="cs"/>
          <w:rtl/>
        </w:rPr>
        <w:t xml:space="preserve"> الانتفاع بنظام الملكية الفكرية في المنطقة؟</w:t>
      </w:r>
    </w:p>
    <w:p w:rsidR="001037C0" w:rsidRPr="00F749F5" w:rsidRDefault="001037C0" w:rsidP="00CA7853">
      <w:pPr>
        <w:pStyle w:val="NumberedParaAR"/>
        <w:numPr>
          <w:ilvl w:val="0"/>
          <w:numId w:val="23"/>
        </w:numPr>
        <w:ind w:left="566" w:firstLine="0"/>
        <w:rPr>
          <w:rtl/>
        </w:rPr>
      </w:pPr>
      <w:r w:rsidRPr="00F749F5">
        <w:rPr>
          <w:rFonts w:hint="cs"/>
          <w:rtl/>
        </w:rPr>
        <w:t>ما هي أوجه الصلة بين هذا الانتفاع وأنماط التجارة الدولية؟</w:t>
      </w:r>
    </w:p>
    <w:p w:rsidR="001037C0" w:rsidRPr="00F749F5" w:rsidRDefault="001037C0" w:rsidP="00000ED9">
      <w:pPr>
        <w:pStyle w:val="NormalParaAR"/>
        <w:rPr>
          <w:rtl/>
          <w:lang w:bidi="ar-JO"/>
        </w:rPr>
      </w:pPr>
      <w:proofErr w:type="gramStart"/>
      <w:r w:rsidRPr="00F749F5">
        <w:rPr>
          <w:rFonts w:hint="cs"/>
          <w:rtl/>
          <w:lang w:bidi="ar-JO"/>
        </w:rPr>
        <w:t>و</w:t>
      </w:r>
      <w:r w:rsidR="00FD6DC9" w:rsidRPr="00F749F5">
        <w:rPr>
          <w:rFonts w:hint="cs"/>
          <w:rtl/>
        </w:rPr>
        <w:t>قد</w:t>
      </w:r>
      <w:proofErr w:type="gramEnd"/>
      <w:r w:rsidR="00FD6DC9" w:rsidRPr="00F749F5">
        <w:rPr>
          <w:rFonts w:hint="cs"/>
          <w:rtl/>
        </w:rPr>
        <w:t xml:space="preserve"> </w:t>
      </w:r>
      <w:r w:rsidRPr="00F749F5">
        <w:rPr>
          <w:rFonts w:hint="cs"/>
          <w:rtl/>
          <w:lang w:bidi="ar-JO"/>
        </w:rPr>
        <w:t xml:space="preserve">استندت الدراسة </w:t>
      </w:r>
      <w:r w:rsidR="00000ED9" w:rsidRPr="00F749F5">
        <w:rPr>
          <w:rFonts w:hint="cs"/>
          <w:rtl/>
          <w:lang w:bidi="ar-JO"/>
        </w:rPr>
        <w:t>التجريبية</w:t>
      </w:r>
      <w:r w:rsidRPr="00F749F5">
        <w:rPr>
          <w:rFonts w:hint="cs"/>
          <w:rtl/>
          <w:lang w:bidi="ar-JO"/>
        </w:rPr>
        <w:t xml:space="preserve"> إلى إنشاء وتحليل قاعدة </w:t>
      </w:r>
      <w:r w:rsidRPr="00F749F5">
        <w:rPr>
          <w:rFonts w:hint="cs"/>
          <w:rtl/>
          <w:lang w:bidi="ar-EG"/>
        </w:rPr>
        <w:t xml:space="preserve">بيانات </w:t>
      </w:r>
      <w:r w:rsidRPr="00F749F5">
        <w:rPr>
          <w:rFonts w:hint="cs"/>
          <w:rtl/>
          <w:lang w:bidi="ar-JO"/>
        </w:rPr>
        <w:t>جديدة ل</w:t>
      </w:r>
      <w:r w:rsidRPr="00F749F5">
        <w:rPr>
          <w:rtl/>
          <w:lang w:bidi="ar-EG"/>
        </w:rPr>
        <w:t>وحدات تسجيل</w:t>
      </w:r>
      <w:r w:rsidRPr="00F749F5">
        <w:rPr>
          <w:rFonts w:hint="cs"/>
          <w:rtl/>
          <w:lang w:bidi="ar-JO"/>
        </w:rPr>
        <w:t xml:space="preserve"> الملكية الفكرية المرتبطة بما هو متاح في المنطقة من بيانات التجارة وغيرها من البيانات الاقتصادية.</w:t>
      </w:r>
    </w:p>
    <w:p w:rsidR="00745ABD" w:rsidRPr="00F749F5" w:rsidRDefault="001037C0" w:rsidP="001037C0">
      <w:pPr>
        <w:pStyle w:val="NormalParaAR"/>
        <w:rPr>
          <w:rtl/>
          <w:lang w:bidi="ar-EG"/>
        </w:rPr>
      </w:pPr>
      <w:r w:rsidRPr="00F749F5">
        <w:rPr>
          <w:rFonts w:hint="cs"/>
          <w:rtl/>
          <w:lang w:bidi="ar-JO"/>
        </w:rPr>
        <w:t>وجاءت هذه الدراسة أيضا لتستجي</w:t>
      </w:r>
      <w:r w:rsidRPr="00F749F5">
        <w:rPr>
          <w:rFonts w:hint="eastAsia"/>
          <w:rtl/>
          <w:lang w:bidi="ar-JO"/>
        </w:rPr>
        <w:t>ب</w:t>
      </w:r>
      <w:r w:rsidRPr="00F749F5">
        <w:rPr>
          <w:rFonts w:hint="cs"/>
          <w:rtl/>
          <w:lang w:bidi="ar-JO"/>
        </w:rPr>
        <w:t xml:space="preserve"> خصيصا للطلب التقني على استحداث أدوات اقتصادية وإحصائية لمواصلة رصد وتقييم أثر سياسات الملكية الفكرية والابتكار والتجارة بوجه عام، والاستراتيجيات الوطنية بشأن الملكية الفكرية التي صيغت حديثا، بوجه خاص</w:t>
      </w:r>
      <w:r w:rsidR="007F4FB5" w:rsidRPr="00F749F5">
        <w:rPr>
          <w:rtl/>
          <w:lang w:bidi="ar-EG"/>
        </w:rPr>
        <w:t>.</w:t>
      </w:r>
    </w:p>
    <w:p w:rsidR="00EE7336" w:rsidRPr="00F749F5" w:rsidRDefault="00EE7336" w:rsidP="00EE7336">
      <w:pPr>
        <w:pStyle w:val="Heading1"/>
        <w:rPr>
          <w:b/>
          <w:bCs w:val="0"/>
          <w:lang w:bidi="ar-EG"/>
        </w:rPr>
      </w:pPr>
      <w:r w:rsidRPr="00F749F5">
        <w:rPr>
          <w:b/>
          <w:bCs w:val="0"/>
          <w:rtl/>
          <w:lang w:bidi="ar-EG"/>
        </w:rPr>
        <w:t xml:space="preserve">التنسيق </w:t>
      </w:r>
      <w:proofErr w:type="gramStart"/>
      <w:r w:rsidRPr="00F749F5">
        <w:rPr>
          <w:b/>
          <w:bCs w:val="0"/>
          <w:rtl/>
          <w:lang w:bidi="ar-EG"/>
        </w:rPr>
        <w:t>والتنفيذ</w:t>
      </w:r>
      <w:proofErr w:type="gramEnd"/>
    </w:p>
    <w:p w:rsidR="00B32AF9" w:rsidRPr="00F749F5" w:rsidRDefault="001037C0" w:rsidP="000B3A4F">
      <w:pPr>
        <w:pStyle w:val="NormalParaAR"/>
        <w:rPr>
          <w:rtl/>
          <w:lang w:bidi="ar-EG"/>
        </w:rPr>
      </w:pPr>
      <w:r w:rsidRPr="00F749F5">
        <w:rPr>
          <w:rFonts w:hint="cs"/>
          <w:rtl/>
          <w:lang w:bidi="ar-JO"/>
        </w:rPr>
        <w:t xml:space="preserve">تطلَّب تنفيذ الدراسة تنسيقا بين الوكالات الحكومية في كل بلد من البلدان السبعة في المنطقة </w:t>
      </w:r>
      <w:proofErr w:type="spellStart"/>
      <w:r w:rsidRPr="00F749F5">
        <w:rPr>
          <w:rFonts w:hint="cs"/>
          <w:rtl/>
          <w:lang w:bidi="ar-JO"/>
        </w:rPr>
        <w:t>والويبو</w:t>
      </w:r>
      <w:proofErr w:type="spellEnd"/>
      <w:r w:rsidRPr="00F749F5">
        <w:rPr>
          <w:rFonts w:hint="cs"/>
          <w:rtl/>
          <w:lang w:bidi="ar-JO"/>
        </w:rPr>
        <w:t xml:space="preserve">. وفي الويبو، كانت </w:t>
      </w:r>
      <w:r w:rsidRPr="00F749F5">
        <w:rPr>
          <w:rtl/>
          <w:lang w:bidi="ar-EG"/>
        </w:rPr>
        <w:t xml:space="preserve">شعبة الدراسات الاقتصادية والإحصاءات </w:t>
      </w:r>
      <w:r w:rsidRPr="00F749F5">
        <w:rPr>
          <w:rFonts w:hint="cs"/>
          <w:rtl/>
          <w:lang w:bidi="ar-JO"/>
        </w:rPr>
        <w:t>هي جهة التنسيق التقني، بدعم من ا</w:t>
      </w:r>
      <w:r w:rsidRPr="00F749F5">
        <w:rPr>
          <w:rtl/>
          <w:lang w:bidi="ar-JO"/>
        </w:rPr>
        <w:t>لمكتب الإقليمي لأمريكا اللاتينية والكاريب</w:t>
      </w:r>
      <w:r w:rsidRPr="00F749F5">
        <w:rPr>
          <w:rFonts w:hint="cs"/>
          <w:rtl/>
          <w:lang w:bidi="ar-JO"/>
        </w:rPr>
        <w:t>ي. ومثّلت بلدانَ أمريكا الوسطى و</w:t>
      </w:r>
      <w:r w:rsidRPr="00F749F5">
        <w:rPr>
          <w:rFonts w:hint="cs"/>
          <w:rtl/>
        </w:rPr>
        <w:t xml:space="preserve">الجمهورية </w:t>
      </w:r>
      <w:proofErr w:type="spellStart"/>
      <w:r w:rsidRPr="00F749F5">
        <w:rPr>
          <w:rtl/>
        </w:rPr>
        <w:t>الدومينيكية</w:t>
      </w:r>
      <w:proofErr w:type="spellEnd"/>
      <w:r w:rsidRPr="00F749F5">
        <w:rPr>
          <w:rFonts w:hint="cs"/>
          <w:rtl/>
          <w:lang w:bidi="ar-JO"/>
        </w:rPr>
        <w:t xml:space="preserve"> في جنيف بعثاتُها بينما مث</w:t>
      </w:r>
      <w:r w:rsidR="00AF4225" w:rsidRPr="00F749F5">
        <w:rPr>
          <w:rFonts w:hint="cs"/>
          <w:rtl/>
          <w:lang w:bidi="ar-JO"/>
        </w:rPr>
        <w:t>ّ</w:t>
      </w:r>
      <w:r w:rsidRPr="00F749F5">
        <w:rPr>
          <w:rFonts w:hint="cs"/>
          <w:rtl/>
          <w:lang w:bidi="ar-JO"/>
        </w:rPr>
        <w:t>لتها في كل بلد مكاتبها الوطنية للملكية الفكرية</w:t>
      </w:r>
      <w:r w:rsidR="00EE7336" w:rsidRPr="00F749F5">
        <w:rPr>
          <w:rtl/>
          <w:lang w:bidi="ar-EG"/>
        </w:rPr>
        <w:t>.</w:t>
      </w:r>
    </w:p>
    <w:p w:rsidR="009F5B46" w:rsidRPr="00F749F5" w:rsidRDefault="009F5B46" w:rsidP="009F5B46">
      <w:pPr>
        <w:pStyle w:val="Heading1"/>
        <w:rPr>
          <w:b/>
          <w:bCs w:val="0"/>
          <w:lang w:bidi="ar-EG"/>
        </w:rPr>
      </w:pPr>
      <w:proofErr w:type="gramStart"/>
      <w:r w:rsidRPr="00F749F5">
        <w:rPr>
          <w:b/>
          <w:bCs w:val="0"/>
          <w:rtl/>
          <w:lang w:bidi="ar-EG"/>
        </w:rPr>
        <w:lastRenderedPageBreak/>
        <w:t>التصميم</w:t>
      </w:r>
      <w:proofErr w:type="gramEnd"/>
      <w:r w:rsidRPr="00F749F5">
        <w:rPr>
          <w:b/>
          <w:bCs w:val="0"/>
          <w:rtl/>
          <w:lang w:bidi="ar-EG"/>
        </w:rPr>
        <w:t xml:space="preserve"> المنهجي</w:t>
      </w:r>
    </w:p>
    <w:p w:rsidR="009F5B46" w:rsidRPr="00F749F5" w:rsidRDefault="001037C0" w:rsidP="00000ED9">
      <w:pPr>
        <w:pStyle w:val="NormalParaAR"/>
        <w:rPr>
          <w:rtl/>
          <w:lang w:bidi="ar-EG"/>
        </w:rPr>
      </w:pPr>
      <w:r w:rsidRPr="00F749F5">
        <w:rPr>
          <w:rFonts w:hint="cs"/>
          <w:rtl/>
          <w:lang w:bidi="ar-EG"/>
        </w:rPr>
        <w:t xml:space="preserve">قُسِّم </w:t>
      </w:r>
      <w:r w:rsidRPr="00F749F5">
        <w:rPr>
          <w:rFonts w:hint="cs"/>
          <w:rtl/>
          <w:lang w:bidi="ar-JO"/>
        </w:rPr>
        <w:t xml:space="preserve">تنفيذ الدراسة إلى ثلاثة عناصر </w:t>
      </w:r>
      <w:proofErr w:type="gramStart"/>
      <w:r w:rsidRPr="00F749F5">
        <w:rPr>
          <w:rFonts w:hint="cs"/>
          <w:rtl/>
          <w:lang w:bidi="ar-JO"/>
        </w:rPr>
        <w:t>رئيسية</w:t>
      </w:r>
      <w:proofErr w:type="gramEnd"/>
      <w:r w:rsidRPr="00F749F5">
        <w:rPr>
          <w:rFonts w:hint="cs"/>
          <w:rtl/>
          <w:lang w:bidi="ar-JO"/>
        </w:rPr>
        <w:t xml:space="preserve">: "1" إنشاء قاعدة بيانات شاملة خاصة بالملكية الفكرية والتجارة لاستخدامها لأغراض الإحصاء؛ و"2" التحليل الإحصائي </w:t>
      </w:r>
      <w:r w:rsidRPr="00F749F5">
        <w:rPr>
          <w:rFonts w:hint="cs"/>
          <w:rtl/>
          <w:lang w:bidi="ar-EG"/>
        </w:rPr>
        <w:t>ل</w:t>
      </w:r>
      <w:r w:rsidRPr="00F749F5">
        <w:rPr>
          <w:rtl/>
          <w:lang w:bidi="ar-EG"/>
        </w:rPr>
        <w:t>لا</w:t>
      </w:r>
      <w:r w:rsidRPr="00F749F5">
        <w:rPr>
          <w:rFonts w:hint="cs"/>
          <w:rtl/>
          <w:lang w:bidi="ar-EG"/>
        </w:rPr>
        <w:t>نتفاع ب</w:t>
      </w:r>
      <w:r w:rsidRPr="00F749F5">
        <w:rPr>
          <w:rFonts w:hint="cs"/>
          <w:rtl/>
          <w:lang w:bidi="ar-JO"/>
        </w:rPr>
        <w:t xml:space="preserve">الملكية الفكرية؛ و"3" التحليل </w:t>
      </w:r>
      <w:r w:rsidR="00000ED9" w:rsidRPr="00F749F5">
        <w:rPr>
          <w:rFonts w:hint="cs"/>
          <w:rtl/>
          <w:lang w:bidi="ar-JO"/>
        </w:rPr>
        <w:t>التجريبي</w:t>
      </w:r>
      <w:r w:rsidRPr="00F749F5">
        <w:rPr>
          <w:rFonts w:hint="cs"/>
          <w:rtl/>
          <w:lang w:bidi="ar-JO"/>
        </w:rPr>
        <w:t xml:space="preserve"> لاستخدام الملكية الفكرية والتكامل التجاري</w:t>
      </w:r>
      <w:r w:rsidR="009F5B46" w:rsidRPr="00F749F5">
        <w:rPr>
          <w:rtl/>
          <w:lang w:bidi="ar-EG"/>
        </w:rPr>
        <w:t>.</w:t>
      </w:r>
    </w:p>
    <w:p w:rsidR="001037C0" w:rsidRPr="00F749F5" w:rsidRDefault="001037C0" w:rsidP="00E77A56">
      <w:pPr>
        <w:pStyle w:val="NormalParaAR"/>
        <w:rPr>
          <w:rtl/>
          <w:lang w:bidi="ar-EG"/>
        </w:rPr>
      </w:pPr>
      <w:r w:rsidRPr="00F749F5">
        <w:rPr>
          <w:rFonts w:hint="cs"/>
          <w:rtl/>
          <w:lang w:bidi="ar-JO"/>
        </w:rPr>
        <w:t xml:space="preserve">واستُعرضت </w:t>
      </w:r>
      <w:proofErr w:type="gramStart"/>
      <w:r w:rsidRPr="00F749F5">
        <w:rPr>
          <w:rFonts w:hint="cs"/>
          <w:rtl/>
          <w:lang w:bidi="ar-JO"/>
        </w:rPr>
        <w:t>العناصر</w:t>
      </w:r>
      <w:proofErr w:type="gramEnd"/>
      <w:r w:rsidRPr="00F749F5">
        <w:rPr>
          <w:rFonts w:hint="cs"/>
          <w:rtl/>
          <w:lang w:bidi="ar-JO"/>
        </w:rPr>
        <w:t xml:space="preserve"> الثلاثة على مراحل متعددة أثناء تنفيذ الدراسة. وبوجه خاص، استعرض مسؤولون يمثلون بلدانهم في بعثات جنيف والمكاتب الوطنية للملكية الفكرية أعمال الدراسة في مناسبات عديدة. </w:t>
      </w:r>
      <w:proofErr w:type="gramStart"/>
      <w:r w:rsidRPr="00F749F5">
        <w:rPr>
          <w:rFonts w:hint="cs"/>
          <w:rtl/>
          <w:lang w:bidi="ar-JO"/>
        </w:rPr>
        <w:t>وفضلا</w:t>
      </w:r>
      <w:proofErr w:type="gramEnd"/>
      <w:r w:rsidRPr="00F749F5">
        <w:rPr>
          <w:rFonts w:hint="cs"/>
          <w:rtl/>
          <w:lang w:bidi="ar-JO"/>
        </w:rPr>
        <w:t xml:space="preserve"> عن ذلك، تشاورت جهات الاتصال الوطنية مع سائر الوكالات الحكومية أثناء تنفيذ الدراسة. </w:t>
      </w:r>
      <w:proofErr w:type="gramStart"/>
      <w:r w:rsidRPr="00F749F5">
        <w:rPr>
          <w:rFonts w:hint="cs"/>
          <w:rtl/>
          <w:lang w:bidi="ar-JO"/>
        </w:rPr>
        <w:t>وأخيرا</w:t>
      </w:r>
      <w:proofErr w:type="gramEnd"/>
      <w:r w:rsidRPr="00F749F5">
        <w:rPr>
          <w:rFonts w:hint="cs"/>
          <w:rtl/>
          <w:lang w:bidi="ar-JO"/>
        </w:rPr>
        <w:t>، أجرى خبير إقليمي من منظمة التجارة العالمية استعراضا خارجيا للتقرير النهائي عن الدراسة.</w:t>
      </w:r>
    </w:p>
    <w:p w:rsidR="001037C0" w:rsidRPr="00F749F5" w:rsidRDefault="001037C0" w:rsidP="00AF4225">
      <w:pPr>
        <w:pStyle w:val="Heading1"/>
        <w:rPr>
          <w:b/>
          <w:bCs w:val="0"/>
          <w:u w:val="single"/>
          <w:rtl/>
          <w:lang w:bidi="ar-EG"/>
        </w:rPr>
      </w:pPr>
      <w:r w:rsidRPr="00F749F5">
        <w:rPr>
          <w:rFonts w:hint="cs"/>
          <w:b/>
          <w:bCs w:val="0"/>
          <w:u w:val="single"/>
          <w:rtl/>
          <w:lang w:bidi="ar-EG"/>
        </w:rPr>
        <w:t>إنشاء قاعدة بيانات الملكية الفكرية والتجارة لاستخدامها لأغراض الإحصاء</w:t>
      </w:r>
    </w:p>
    <w:p w:rsidR="001037C0" w:rsidRPr="00F749F5" w:rsidRDefault="001037C0" w:rsidP="0074049B">
      <w:pPr>
        <w:pStyle w:val="NormalParaAR"/>
        <w:rPr>
          <w:rtl/>
          <w:lang w:bidi="ar-JO"/>
        </w:rPr>
      </w:pPr>
      <w:r w:rsidRPr="00F749F5">
        <w:rPr>
          <w:rFonts w:hint="cs"/>
          <w:rtl/>
          <w:lang w:bidi="ar-JO"/>
        </w:rPr>
        <w:t xml:space="preserve">بالتعاون مع جهات الاتصال الوطنية، طوّرت </w:t>
      </w:r>
      <w:r w:rsidRPr="00F749F5">
        <w:rPr>
          <w:rtl/>
          <w:lang w:bidi="ar-EG"/>
        </w:rPr>
        <w:t xml:space="preserve">شعبة الدراسات الاقتصادية والإحصاءات </w:t>
      </w:r>
      <w:r w:rsidRPr="00F749F5">
        <w:rPr>
          <w:rFonts w:hint="cs"/>
          <w:rtl/>
          <w:lang w:bidi="ar-EG"/>
        </w:rPr>
        <w:t>في الويبو</w:t>
      </w:r>
      <w:r w:rsidRPr="00F749F5">
        <w:rPr>
          <w:rFonts w:hint="cs"/>
          <w:rtl/>
          <w:lang w:bidi="ar-JO"/>
        </w:rPr>
        <w:t xml:space="preserve"> أول قاعدة بيانات للملكية الفكرية لاستخدامها لأغراض الإحصاء في أمريكا الوسطى و</w:t>
      </w:r>
      <w:r w:rsidRPr="00F749F5">
        <w:rPr>
          <w:rFonts w:hint="cs"/>
          <w:rtl/>
        </w:rPr>
        <w:t xml:space="preserve">الجمهورية </w:t>
      </w:r>
      <w:proofErr w:type="spellStart"/>
      <w:r w:rsidRPr="00F749F5">
        <w:rPr>
          <w:rtl/>
        </w:rPr>
        <w:t>الدومينيكية</w:t>
      </w:r>
      <w:proofErr w:type="spellEnd"/>
      <w:r w:rsidRPr="00F749F5">
        <w:rPr>
          <w:rFonts w:hint="cs"/>
          <w:rtl/>
          <w:lang w:bidi="ar-JO"/>
        </w:rPr>
        <w:t xml:space="preserve">. وفي قاعدة البيانات الإحصائية الجديدة يرد تجميع المراجع </w:t>
      </w:r>
      <w:proofErr w:type="spellStart"/>
      <w:r w:rsidRPr="00F749F5">
        <w:rPr>
          <w:rFonts w:hint="cs"/>
          <w:rtl/>
          <w:lang w:bidi="ar-JO"/>
        </w:rPr>
        <w:t>الببلوغرافية</w:t>
      </w:r>
      <w:proofErr w:type="spellEnd"/>
      <w:r w:rsidRPr="00F749F5">
        <w:rPr>
          <w:rFonts w:hint="cs"/>
          <w:rtl/>
          <w:lang w:bidi="ar-JO"/>
        </w:rPr>
        <w:t xml:space="preserve"> </w:t>
      </w:r>
      <w:r w:rsidRPr="00F749F5">
        <w:rPr>
          <w:rtl/>
          <w:lang w:bidi="ar-EG"/>
        </w:rPr>
        <w:t xml:space="preserve">لوحدات تسجيل </w:t>
      </w:r>
      <w:r w:rsidRPr="00F749F5">
        <w:rPr>
          <w:rFonts w:hint="cs"/>
          <w:rtl/>
          <w:lang w:bidi="ar-JO"/>
        </w:rPr>
        <w:t>البراءات ونماذج المنفعة والتصاميم الصناعية والعلامات التجارية وتسجيلات حق</w:t>
      </w:r>
      <w:r w:rsidR="0074049B" w:rsidRPr="00F749F5">
        <w:rPr>
          <w:rFonts w:hint="eastAsia"/>
          <w:rtl/>
          <w:lang w:bidi="ar-JO"/>
        </w:rPr>
        <w:t> </w:t>
      </w:r>
      <w:r w:rsidR="00BF3B1D" w:rsidRPr="00F749F5">
        <w:rPr>
          <w:rFonts w:hint="cs"/>
          <w:rtl/>
          <w:lang w:bidi="ar-JO"/>
        </w:rPr>
        <w:t>المؤلف.</w:t>
      </w:r>
    </w:p>
    <w:p w:rsidR="00CF79DF" w:rsidRPr="00F749F5" w:rsidRDefault="001037C0" w:rsidP="00B922AE">
      <w:pPr>
        <w:pStyle w:val="NormalParaAR"/>
        <w:rPr>
          <w:rtl/>
        </w:rPr>
      </w:pPr>
      <w:r w:rsidRPr="00F749F5">
        <w:rPr>
          <w:rFonts w:hint="cs"/>
          <w:rtl/>
          <w:lang w:bidi="ar-JO"/>
        </w:rPr>
        <w:t xml:space="preserve">وتتيح </w:t>
      </w:r>
      <w:r w:rsidR="00B922AE" w:rsidRPr="00F749F5">
        <w:rPr>
          <w:rFonts w:hint="cs"/>
          <w:rtl/>
          <w:lang w:bidi="ar-JO"/>
        </w:rPr>
        <w:t>قاعدة البيانات</w:t>
      </w:r>
      <w:r w:rsidR="00B922AE" w:rsidRPr="00F749F5">
        <w:rPr>
          <w:rFonts w:hint="cs"/>
          <w:rtl/>
          <w:lang w:bidi="ar-JO"/>
        </w:rPr>
        <w:t xml:space="preserve"> </w:t>
      </w:r>
      <w:r w:rsidRPr="00F749F5">
        <w:rPr>
          <w:rFonts w:hint="cs"/>
          <w:rtl/>
          <w:lang w:bidi="ar-JO"/>
        </w:rPr>
        <w:t xml:space="preserve">تحليلا معمقا </w:t>
      </w:r>
      <w:r w:rsidRPr="00F749F5">
        <w:rPr>
          <w:rFonts w:hint="cs"/>
          <w:rtl/>
          <w:lang w:bidi="ar-EG"/>
        </w:rPr>
        <w:t>للانتفاع ب</w:t>
      </w:r>
      <w:r w:rsidRPr="00F749F5">
        <w:rPr>
          <w:rFonts w:hint="cs"/>
          <w:rtl/>
          <w:lang w:bidi="ar-JO"/>
        </w:rPr>
        <w:t xml:space="preserve">الملكية الفكرية في المنطقة. ويبين العنصران التاليان تحليلين </w:t>
      </w:r>
      <w:proofErr w:type="gramStart"/>
      <w:r w:rsidRPr="00F749F5">
        <w:rPr>
          <w:rFonts w:hint="cs"/>
          <w:rtl/>
          <w:lang w:bidi="ar-JO"/>
        </w:rPr>
        <w:t>أجريا</w:t>
      </w:r>
      <w:proofErr w:type="gramEnd"/>
      <w:r w:rsidRPr="00F749F5">
        <w:rPr>
          <w:rFonts w:hint="cs"/>
          <w:rtl/>
          <w:lang w:bidi="ar-JO"/>
        </w:rPr>
        <w:t xml:space="preserve"> بالاستعانة بهذه البيانات الجديدة. </w:t>
      </w:r>
      <w:proofErr w:type="gramStart"/>
      <w:r w:rsidRPr="00F749F5">
        <w:rPr>
          <w:rFonts w:hint="cs"/>
          <w:rtl/>
          <w:lang w:bidi="ar-JO"/>
        </w:rPr>
        <w:t>غير</w:t>
      </w:r>
      <w:proofErr w:type="gramEnd"/>
      <w:r w:rsidRPr="00F749F5">
        <w:rPr>
          <w:rFonts w:hint="cs"/>
          <w:rtl/>
          <w:lang w:bidi="ar-JO"/>
        </w:rPr>
        <w:t xml:space="preserve"> أنه يمكن استخدام قاعدة البيانات أيضا في بحوث مستقبلية وفي متابعة رصد وتقييم أثر سياسات الملكية الفكرية والابتكار والتجارة، </w:t>
      </w:r>
      <w:r w:rsidRPr="00F749F5">
        <w:rPr>
          <w:rFonts w:hint="cs"/>
          <w:rtl/>
          <w:lang w:val="fr-FR"/>
        </w:rPr>
        <w:t xml:space="preserve">على نطاق أوسع من </w:t>
      </w:r>
      <w:r w:rsidRPr="00F749F5">
        <w:rPr>
          <w:rFonts w:hint="cs"/>
          <w:rtl/>
          <w:lang w:bidi="ar-JO"/>
        </w:rPr>
        <w:t>أعمال البحث التي أجريت في الدراسة الحالية</w:t>
      </w:r>
      <w:r w:rsidR="002F7389" w:rsidRPr="00F749F5">
        <w:rPr>
          <w:rtl/>
        </w:rPr>
        <w:t>.</w:t>
      </w:r>
    </w:p>
    <w:p w:rsidR="00E82A77" w:rsidRPr="00F749F5" w:rsidRDefault="001037C0" w:rsidP="001037C0">
      <w:pPr>
        <w:pStyle w:val="Heading1"/>
        <w:rPr>
          <w:b/>
          <w:bCs w:val="0"/>
          <w:u w:val="single"/>
          <w:lang w:bidi="ar-EG"/>
        </w:rPr>
      </w:pPr>
      <w:r w:rsidRPr="00F749F5">
        <w:rPr>
          <w:rFonts w:hint="cs"/>
          <w:b/>
          <w:bCs w:val="0"/>
          <w:u w:val="single"/>
          <w:rtl/>
          <w:lang w:bidi="ar-EG"/>
        </w:rPr>
        <w:t>التحليل الإحصائي لاستخدام الملكية الفكرية</w:t>
      </w:r>
      <w:r w:rsidRPr="00F749F5">
        <w:rPr>
          <w:b/>
          <w:bCs w:val="0"/>
          <w:u w:val="single"/>
          <w:rtl/>
          <w:lang w:bidi="ar-EG"/>
        </w:rPr>
        <w:t xml:space="preserve"> </w:t>
      </w:r>
    </w:p>
    <w:p w:rsidR="001037C0" w:rsidRPr="00F749F5" w:rsidRDefault="001037C0" w:rsidP="001037C0">
      <w:pPr>
        <w:pStyle w:val="NormalParaAR"/>
        <w:rPr>
          <w:rtl/>
          <w:lang w:bidi="ar-JO"/>
        </w:rPr>
      </w:pPr>
      <w:r w:rsidRPr="00F749F5">
        <w:rPr>
          <w:rFonts w:hint="cs"/>
          <w:rtl/>
          <w:lang w:bidi="ar-JO"/>
        </w:rPr>
        <w:t xml:space="preserve">أعدّت </w:t>
      </w:r>
      <w:r w:rsidRPr="00F749F5">
        <w:rPr>
          <w:rtl/>
          <w:lang w:bidi="ar-EG"/>
        </w:rPr>
        <w:t xml:space="preserve">شعبة الدراسات الاقتصادية والإحصاءات </w:t>
      </w:r>
      <w:r w:rsidRPr="00F749F5">
        <w:rPr>
          <w:rFonts w:hint="cs"/>
          <w:rtl/>
          <w:lang w:bidi="ar-EG"/>
        </w:rPr>
        <w:t>في الويبو</w:t>
      </w:r>
      <w:r w:rsidRPr="00F749F5">
        <w:rPr>
          <w:rFonts w:hint="cs"/>
          <w:rtl/>
          <w:lang w:bidi="ar-JO"/>
        </w:rPr>
        <w:t xml:space="preserve"> أول تقرير عن استخدام الملكية الفكرية في بلدان أمريكا الوسطى و</w:t>
      </w:r>
      <w:r w:rsidRPr="00F749F5">
        <w:rPr>
          <w:rFonts w:hint="cs"/>
          <w:rtl/>
        </w:rPr>
        <w:t xml:space="preserve">الجمهورية </w:t>
      </w:r>
      <w:proofErr w:type="spellStart"/>
      <w:r w:rsidRPr="00F749F5">
        <w:rPr>
          <w:rtl/>
        </w:rPr>
        <w:t>الدومينيكية</w:t>
      </w:r>
      <w:proofErr w:type="spellEnd"/>
      <w:r w:rsidRPr="00F749F5">
        <w:rPr>
          <w:rFonts w:hint="cs"/>
          <w:rtl/>
          <w:lang w:bidi="ar-JO"/>
        </w:rPr>
        <w:t>. واعتمد التحليل قاعدةَ البيانات التي أنشئت خصيصا للدراسة الإقليمية مرجعا رئيسيا له.</w:t>
      </w:r>
    </w:p>
    <w:p w:rsidR="00091685" w:rsidRPr="00F749F5" w:rsidRDefault="001037C0" w:rsidP="001037C0">
      <w:pPr>
        <w:pStyle w:val="NormalParaAR"/>
        <w:rPr>
          <w:rtl/>
          <w:lang w:bidi="ar-EG"/>
        </w:rPr>
      </w:pPr>
      <w:r w:rsidRPr="00F749F5">
        <w:rPr>
          <w:rFonts w:hint="cs"/>
          <w:rtl/>
          <w:lang w:bidi="ar-JO"/>
        </w:rPr>
        <w:t xml:space="preserve">ويعتمد التقرير على إحصاءات وصفية في تحليل الانتفاع بالملكية الفكرية في المنطقة. </w:t>
      </w:r>
      <w:proofErr w:type="gramStart"/>
      <w:r w:rsidRPr="00F749F5">
        <w:rPr>
          <w:rFonts w:hint="cs"/>
          <w:rtl/>
          <w:lang w:bidi="ar-JO"/>
        </w:rPr>
        <w:t>ويسير</w:t>
      </w:r>
      <w:proofErr w:type="gramEnd"/>
      <w:r w:rsidRPr="00F749F5">
        <w:rPr>
          <w:rFonts w:hint="cs"/>
          <w:rtl/>
          <w:lang w:bidi="ar-JO"/>
        </w:rPr>
        <w:t xml:space="preserve"> هذا النهج على المنوال المتبع في منشورات مماثلة مثل مؤشرات الملكية الفكرية العالمية (</w:t>
      </w:r>
      <w:r w:rsidRPr="00F749F5">
        <w:rPr>
          <w:lang w:bidi="ar-JO"/>
        </w:rPr>
        <w:t>WIPI</w:t>
      </w:r>
      <w:r w:rsidRPr="00F749F5">
        <w:rPr>
          <w:rFonts w:hint="cs"/>
          <w:rtl/>
          <w:lang w:bidi="ar-JO"/>
        </w:rPr>
        <w:t xml:space="preserve">) والدراستين القطريتين عن البرازيل وشيلي في المرحلة الأولى من </w:t>
      </w:r>
      <w:r w:rsidRPr="00F749F5">
        <w:rPr>
          <w:rtl/>
          <w:lang w:bidi="ar-EG"/>
        </w:rPr>
        <w:t xml:space="preserve">مشروع اللجنة </w:t>
      </w:r>
      <w:r w:rsidRPr="00F749F5">
        <w:rPr>
          <w:rFonts w:hint="cs"/>
          <w:rtl/>
          <w:lang w:bidi="ar-EG"/>
        </w:rPr>
        <w:t>المعنية بالتنمية والملكية الفكرية ذاته</w:t>
      </w:r>
      <w:r w:rsidRPr="00F749F5">
        <w:rPr>
          <w:rtl/>
          <w:lang w:bidi="ar-EG"/>
        </w:rPr>
        <w:t xml:space="preserve"> </w:t>
      </w:r>
      <w:r w:rsidRPr="00F749F5">
        <w:rPr>
          <w:rFonts w:hint="cs"/>
          <w:rtl/>
          <w:lang w:bidi="ar-JO"/>
        </w:rPr>
        <w:t>(</w:t>
      </w:r>
      <w:r w:rsidRPr="00F749F5">
        <w:rPr>
          <w:lang w:bidi="ar-JO"/>
        </w:rPr>
        <w:t>CDIP/5/7</w:t>
      </w:r>
      <w:r w:rsidRPr="00F749F5">
        <w:rPr>
          <w:rFonts w:hint="cs"/>
          <w:rtl/>
          <w:lang w:bidi="ar-JO"/>
        </w:rPr>
        <w:t>)</w:t>
      </w:r>
      <w:r w:rsidR="00091685" w:rsidRPr="00F749F5">
        <w:rPr>
          <w:rtl/>
          <w:lang w:bidi="ar-EG"/>
        </w:rPr>
        <w:t>.</w:t>
      </w:r>
    </w:p>
    <w:p w:rsidR="001037C0" w:rsidRPr="00F749F5" w:rsidRDefault="001037C0" w:rsidP="001037C0">
      <w:pPr>
        <w:pStyle w:val="Heading1"/>
        <w:rPr>
          <w:b/>
          <w:bCs w:val="0"/>
          <w:u w:val="single"/>
          <w:rtl/>
          <w:lang w:bidi="ar-EG"/>
        </w:rPr>
      </w:pPr>
      <w:r w:rsidRPr="00F749F5">
        <w:rPr>
          <w:rFonts w:hint="cs"/>
          <w:b/>
          <w:bCs w:val="0"/>
          <w:u w:val="single"/>
          <w:rtl/>
          <w:lang w:bidi="ar-EG"/>
        </w:rPr>
        <w:t>تقييم الانتفاع بالملكية الفكرية والتكامل التجاري</w:t>
      </w:r>
    </w:p>
    <w:p w:rsidR="001037C0" w:rsidRPr="00F749F5" w:rsidRDefault="001037C0" w:rsidP="001037C0">
      <w:pPr>
        <w:pStyle w:val="NormalParaAR"/>
        <w:rPr>
          <w:rtl/>
          <w:lang w:bidi="ar-JO"/>
        </w:rPr>
      </w:pPr>
      <w:r w:rsidRPr="00F749F5">
        <w:rPr>
          <w:rFonts w:hint="cs"/>
          <w:rtl/>
          <w:lang w:bidi="ar-JO"/>
        </w:rPr>
        <w:t xml:space="preserve">أجرت </w:t>
      </w:r>
      <w:r w:rsidRPr="00F749F5">
        <w:rPr>
          <w:rtl/>
          <w:lang w:bidi="ar-EG"/>
        </w:rPr>
        <w:t xml:space="preserve">شعبة الدراسات الاقتصادية والإحصاءات </w:t>
      </w:r>
      <w:r w:rsidRPr="00F749F5">
        <w:rPr>
          <w:rFonts w:hint="cs"/>
          <w:rtl/>
          <w:lang w:bidi="ar-EG"/>
        </w:rPr>
        <w:t>في الويبو</w:t>
      </w:r>
      <w:r w:rsidRPr="00F749F5">
        <w:rPr>
          <w:rFonts w:hint="cs"/>
          <w:rtl/>
          <w:lang w:bidi="ar-JO"/>
        </w:rPr>
        <w:t xml:space="preserve"> أول تحليل للانتفاع بالملكية الفكرية وتدفقات التجارة في المنطقة. واعتمد التحليل كمرجع رئيسي له قاعدةَ البيانات التي أنشئت خصيصا للدراسة الإقليمية وبيانات التجارة الدولية المستمدة من </w:t>
      </w:r>
      <w:r w:rsidRPr="00F749F5">
        <w:rPr>
          <w:rtl/>
          <w:lang w:bidi="ar-JO"/>
        </w:rPr>
        <w:t>قاعدة بيانات الأمم المتحدة الاحصائية لتجارة السلع الأساسية</w:t>
      </w:r>
      <w:r w:rsidRPr="00F749F5">
        <w:rPr>
          <w:rFonts w:hint="cs"/>
          <w:rtl/>
          <w:lang w:bidi="ar-JO"/>
        </w:rPr>
        <w:t xml:space="preserve"> (</w:t>
      </w:r>
      <w:r w:rsidRPr="00F749F5">
        <w:rPr>
          <w:lang w:bidi="ar-JO"/>
        </w:rPr>
        <w:t>UN COMTRADE</w:t>
      </w:r>
      <w:r w:rsidRPr="00F749F5">
        <w:rPr>
          <w:rFonts w:hint="cs"/>
          <w:rtl/>
          <w:lang w:bidi="ar-JO"/>
        </w:rPr>
        <w:t>).</w:t>
      </w:r>
    </w:p>
    <w:p w:rsidR="00026B4E" w:rsidRPr="00F749F5" w:rsidRDefault="001037C0" w:rsidP="00814153">
      <w:pPr>
        <w:pStyle w:val="NormalParaAR"/>
        <w:rPr>
          <w:rtl/>
          <w:lang w:bidi="ar-EG"/>
        </w:rPr>
      </w:pPr>
      <w:proofErr w:type="gramStart"/>
      <w:r w:rsidRPr="00F749F5">
        <w:rPr>
          <w:rFonts w:hint="cs"/>
          <w:rtl/>
          <w:lang w:bidi="ar-JO"/>
        </w:rPr>
        <w:t>وانطوت</w:t>
      </w:r>
      <w:proofErr w:type="gramEnd"/>
      <w:r w:rsidRPr="00F749F5">
        <w:rPr>
          <w:rFonts w:hint="cs"/>
          <w:rtl/>
          <w:lang w:bidi="ar-JO"/>
        </w:rPr>
        <w:t xml:space="preserve"> المنهجية المتبعة على ربط بيانات الملكية الفكرية الواردة من كل بلد من بلدان المنطقة ببيانات التجارة الثنائية بالاستعانة بأوجه التطابق بين تصنيفات الملكية الفكرية </w:t>
      </w:r>
      <w:r w:rsidR="00814153" w:rsidRPr="00F749F5">
        <w:rPr>
          <w:rFonts w:hint="cs"/>
          <w:rtl/>
          <w:lang w:bidi="ar-JO"/>
        </w:rPr>
        <w:t>وتصنيفات التجارة</w:t>
      </w:r>
      <w:r w:rsidRPr="00F749F5">
        <w:rPr>
          <w:rFonts w:hint="cs"/>
          <w:rtl/>
          <w:lang w:bidi="ar-JO"/>
        </w:rPr>
        <w:t>. وأتاحت عمليات توحيد بيانات هذين المصدرين حساب مجموعة من المؤشرات الرئيسية بشأن الانتفاع بالملكية الفكرية والتجارة في المنطقة. وأتاحت هذه المؤشرات، بوجه خاص، إمكانية تتبع الملكية الفكرية وتدفقات التجارة بحسب الصناعات داخل المنطقة وخارجها على مدى</w:t>
      </w:r>
      <w:r w:rsidR="00F35EE3" w:rsidRPr="00F749F5">
        <w:rPr>
          <w:rFonts w:hint="eastAsia"/>
          <w:rtl/>
          <w:lang w:bidi="ar-JO"/>
        </w:rPr>
        <w:t> </w:t>
      </w:r>
      <w:r w:rsidRPr="00F749F5">
        <w:rPr>
          <w:rFonts w:hint="cs"/>
          <w:rtl/>
          <w:lang w:bidi="ar-JO"/>
        </w:rPr>
        <w:t>زمني</w:t>
      </w:r>
      <w:r w:rsidR="0089319F" w:rsidRPr="00F749F5">
        <w:rPr>
          <w:rtl/>
          <w:lang w:bidi="ar-EG"/>
        </w:rPr>
        <w:t>.</w:t>
      </w:r>
    </w:p>
    <w:p w:rsidR="001671BA" w:rsidRPr="00F749F5" w:rsidRDefault="001671BA" w:rsidP="001671BA">
      <w:pPr>
        <w:pStyle w:val="Heading1"/>
        <w:rPr>
          <w:b/>
          <w:bCs w:val="0"/>
          <w:lang w:bidi="ar-EG"/>
        </w:rPr>
      </w:pPr>
      <w:r w:rsidRPr="00F749F5">
        <w:rPr>
          <w:b/>
          <w:bCs w:val="0"/>
          <w:rtl/>
          <w:lang w:bidi="ar-EG"/>
        </w:rPr>
        <w:lastRenderedPageBreak/>
        <w:t>الجدول الزمني للتنفيذ والأنشطة الرئيسية</w:t>
      </w:r>
    </w:p>
    <w:p w:rsidR="002F464B" w:rsidRPr="00F749F5" w:rsidRDefault="001037C0" w:rsidP="001671BA">
      <w:pPr>
        <w:pStyle w:val="NormalParaAR"/>
        <w:rPr>
          <w:rtl/>
          <w:lang w:bidi="ar-EG"/>
        </w:rPr>
      </w:pPr>
      <w:r w:rsidRPr="00F749F5">
        <w:rPr>
          <w:rFonts w:hint="cs"/>
          <w:rtl/>
          <w:lang w:bidi="ar-JO"/>
        </w:rPr>
        <w:t xml:space="preserve">طلبت حكومات المنطقة إجراء الدراسة القطرية في يوليو 2015. وبعد تقييم للجدوى ومشاورات إضافية مع الحكومات المعنية، وافقت </w:t>
      </w:r>
      <w:r w:rsidRPr="00F749F5">
        <w:rPr>
          <w:rtl/>
          <w:lang w:bidi="ar-EG"/>
        </w:rPr>
        <w:t xml:space="preserve">شعبة الدراسات الاقتصادية والإحصاءات </w:t>
      </w:r>
      <w:r w:rsidRPr="00F749F5">
        <w:rPr>
          <w:rFonts w:hint="cs"/>
          <w:rtl/>
          <w:lang w:bidi="ar-EG"/>
        </w:rPr>
        <w:t>في الويبو</w:t>
      </w:r>
      <w:r w:rsidRPr="00F749F5">
        <w:rPr>
          <w:rFonts w:hint="cs"/>
          <w:rtl/>
          <w:lang w:bidi="ar-JO"/>
        </w:rPr>
        <w:t xml:space="preserve"> على إجراء الدراسة الإقليمية</w:t>
      </w:r>
      <w:r w:rsidR="001671BA" w:rsidRPr="00F749F5">
        <w:rPr>
          <w:rtl/>
          <w:lang w:bidi="ar-EG"/>
        </w:rPr>
        <w:t>.</w:t>
      </w:r>
    </w:p>
    <w:p w:rsidR="001671BA" w:rsidRPr="00F749F5" w:rsidRDefault="001037C0" w:rsidP="00F35EE3">
      <w:pPr>
        <w:pStyle w:val="NormalParaAR"/>
        <w:rPr>
          <w:rtl/>
          <w:lang w:bidi="ar-EG"/>
        </w:rPr>
      </w:pPr>
      <w:proofErr w:type="gramStart"/>
      <w:r w:rsidRPr="00F749F5">
        <w:rPr>
          <w:rFonts w:hint="cs"/>
          <w:rtl/>
          <w:lang w:bidi="ar-JO"/>
        </w:rPr>
        <w:t>وانطلق</w:t>
      </w:r>
      <w:proofErr w:type="gramEnd"/>
      <w:r w:rsidRPr="00F749F5">
        <w:rPr>
          <w:rFonts w:hint="cs"/>
          <w:rtl/>
          <w:lang w:bidi="ar-JO"/>
        </w:rPr>
        <w:t xml:space="preserve"> العمل على الدراسة رسميّا في أكتوبر 2015 في اجتماع عُقد في جنيف مع ممثلي البعثات التي يوجد مقرها بجنيف والمكاتب الوطنية للملكية الفكرية، إيذانا بتدشينها. وأتاح الاجتماع مناسبة لمناقشة المراحل الرئيسية للدراسة والاتفاق</w:t>
      </w:r>
      <w:r w:rsidR="00F35EE3" w:rsidRPr="00F749F5">
        <w:rPr>
          <w:rFonts w:hint="eastAsia"/>
          <w:rtl/>
          <w:lang w:bidi="ar-JO"/>
        </w:rPr>
        <w:t> </w:t>
      </w:r>
      <w:r w:rsidRPr="00F749F5">
        <w:rPr>
          <w:rFonts w:hint="cs"/>
          <w:rtl/>
          <w:lang w:bidi="ar-JO"/>
        </w:rPr>
        <w:t>بشأنها</w:t>
      </w:r>
      <w:r w:rsidR="00344EEC" w:rsidRPr="00F749F5">
        <w:rPr>
          <w:rtl/>
          <w:lang w:bidi="ar-EG"/>
        </w:rPr>
        <w:t>.</w:t>
      </w:r>
    </w:p>
    <w:p w:rsidR="00B575AC" w:rsidRPr="00F749F5" w:rsidRDefault="001037C0" w:rsidP="002C20A1">
      <w:pPr>
        <w:pStyle w:val="NormalParaAR"/>
        <w:rPr>
          <w:rtl/>
          <w:lang w:bidi="ar-EG"/>
        </w:rPr>
      </w:pPr>
      <w:proofErr w:type="gramStart"/>
      <w:r w:rsidRPr="00F749F5">
        <w:rPr>
          <w:rFonts w:hint="cs"/>
          <w:rtl/>
          <w:lang w:bidi="ar-JO"/>
        </w:rPr>
        <w:t>وبعد</w:t>
      </w:r>
      <w:proofErr w:type="gramEnd"/>
      <w:r w:rsidRPr="00F749F5">
        <w:rPr>
          <w:rFonts w:hint="cs"/>
          <w:rtl/>
          <w:lang w:bidi="ar-JO"/>
        </w:rPr>
        <w:t xml:space="preserve"> انطلاق الدراسة، شملت الأنشطة الرئيسية تنسيق النفاذ إلى بيانات الملكية الفكرية مع كل جهة اتصال وطنية في الوكالات الحكومية المعنية، وجمع بيانات التجارة وإجراء التحليل العملي. </w:t>
      </w:r>
      <w:proofErr w:type="gramStart"/>
      <w:r w:rsidRPr="00F749F5">
        <w:rPr>
          <w:rFonts w:hint="cs"/>
          <w:rtl/>
          <w:lang w:bidi="ar-JO"/>
        </w:rPr>
        <w:t>وأجري</w:t>
      </w:r>
      <w:proofErr w:type="gramEnd"/>
      <w:r w:rsidRPr="00F749F5">
        <w:rPr>
          <w:rFonts w:hint="cs"/>
          <w:rtl/>
          <w:lang w:bidi="ar-JO"/>
        </w:rPr>
        <w:t xml:space="preserve"> استعراض مشترك للتقدم المحرز في أعمال الدراسة في اجتماع ثان عُقد في جنيف في أكتوبر 2016. واستعرض الاجتماع المنهجية والنتائج الأولية فيما يتعلق ببيانات التجارة. وأتاح أيضا مناسبة ساعدت على إذكاء الوعي بأهمية تبادل البيانات التي لم تتح من قبل بشأن الملكية الفكرية</w:t>
      </w:r>
      <w:r w:rsidR="00321293" w:rsidRPr="00F749F5">
        <w:rPr>
          <w:rtl/>
          <w:lang w:bidi="ar-EG"/>
        </w:rPr>
        <w:t>.</w:t>
      </w:r>
    </w:p>
    <w:p w:rsidR="000F4DAB" w:rsidRPr="00F749F5" w:rsidRDefault="001037C0" w:rsidP="0098475C">
      <w:pPr>
        <w:pStyle w:val="NormalParaAR"/>
        <w:rPr>
          <w:rtl/>
          <w:lang w:bidi="ar-EG"/>
        </w:rPr>
      </w:pPr>
      <w:r w:rsidRPr="00F749F5">
        <w:rPr>
          <w:rtl/>
          <w:lang w:bidi="ar-EG"/>
        </w:rPr>
        <w:t xml:space="preserve">وعقب </w:t>
      </w:r>
      <w:r w:rsidRPr="00F749F5">
        <w:rPr>
          <w:rFonts w:hint="cs"/>
          <w:rtl/>
          <w:lang w:bidi="ar-EG"/>
        </w:rPr>
        <w:t>ال</w:t>
      </w:r>
      <w:r w:rsidRPr="00F749F5">
        <w:rPr>
          <w:rtl/>
          <w:lang w:bidi="ar-EG"/>
        </w:rPr>
        <w:t>استعراض</w:t>
      </w:r>
      <w:r w:rsidRPr="00F749F5">
        <w:rPr>
          <w:rFonts w:hint="cs"/>
          <w:rtl/>
          <w:lang w:bidi="ar-EG"/>
        </w:rPr>
        <w:t xml:space="preserve"> الذي أُجري في</w:t>
      </w:r>
      <w:r w:rsidRPr="00F749F5">
        <w:rPr>
          <w:rtl/>
          <w:lang w:bidi="ar-EG"/>
        </w:rPr>
        <w:t xml:space="preserve"> منتصف الدراسة</w:t>
      </w:r>
      <w:r w:rsidRPr="00F749F5">
        <w:rPr>
          <w:rFonts w:hint="cs"/>
          <w:rtl/>
          <w:lang w:bidi="ar-JO"/>
        </w:rPr>
        <w:t>، شملت الأنشطة المتبقية تنسيق النفاذ إلى البيانات التي لم تتح من قبل بشأن الملكية الفكرية، وإنجاز أعمال البحوث وصياغة أول نسخة كاملة لتقرير الدراسة. وقُدِّم مشروع الدراسة في حلقة عمل شارك فيها ممثلون من جميع المكاتب الوطنية للملكية الفكرية، في أبريل 2017 بالسلفادور؛ ثم في اجتماع عُقد في جنيف مع ممثلي البعثات التي تتخذ جنيف مقرا لها. وأتاح هذان الاجتماعان ملاحظات قيّمة بشأن أعمال البحوث وساعد على تحسين نطاق الاستفادة من نتائجها</w:t>
      </w:r>
      <w:r w:rsidR="004225FA" w:rsidRPr="00F749F5">
        <w:rPr>
          <w:rtl/>
          <w:lang w:bidi="ar-EG"/>
        </w:rPr>
        <w:t>.</w:t>
      </w:r>
    </w:p>
    <w:p w:rsidR="001037C0" w:rsidRPr="00F749F5" w:rsidRDefault="001037C0" w:rsidP="0098475C">
      <w:pPr>
        <w:pStyle w:val="NormalParaAR"/>
        <w:rPr>
          <w:rtl/>
          <w:lang w:bidi="ar-EG"/>
        </w:rPr>
      </w:pPr>
      <w:r w:rsidRPr="00F749F5">
        <w:rPr>
          <w:rFonts w:hint="cs"/>
          <w:rtl/>
          <w:lang w:bidi="ar-JO"/>
        </w:rPr>
        <w:t>وعُقد اجتماع للاستعراض النهائي في يونيو 2017 بجنيف وافقت خلاله البلدان على تقديم الدراسة النهائية في الاجتماع الوزاري الخامس لأمريكا الوسطى بشأن الملكية الفكرية، الذي عقد في بنما في يوليو 2017. واستعرض خبير خارجي من منظمة التجارة العالمية التقرير النهائي.</w:t>
      </w:r>
    </w:p>
    <w:p w:rsidR="00FE5A83" w:rsidRPr="00F749F5" w:rsidRDefault="00FE5A83" w:rsidP="00FE5A83">
      <w:pPr>
        <w:pStyle w:val="Heading1"/>
        <w:rPr>
          <w:b/>
          <w:bCs w:val="0"/>
          <w:lang w:bidi="ar-EG"/>
        </w:rPr>
      </w:pPr>
      <w:r w:rsidRPr="00F749F5">
        <w:rPr>
          <w:b/>
          <w:bCs w:val="0"/>
          <w:rtl/>
          <w:lang w:bidi="ar-EG"/>
        </w:rPr>
        <w:t>الدروس المستفادة</w:t>
      </w:r>
    </w:p>
    <w:p w:rsidR="0035228E" w:rsidRPr="00F749F5" w:rsidRDefault="001037C0" w:rsidP="0098475C">
      <w:pPr>
        <w:pStyle w:val="NormalParaAR"/>
        <w:rPr>
          <w:rtl/>
          <w:lang w:bidi="ar-EG"/>
        </w:rPr>
      </w:pPr>
      <w:r w:rsidRPr="00F749F5">
        <w:rPr>
          <w:rFonts w:hint="cs"/>
          <w:rtl/>
        </w:rPr>
        <w:t>بوجه عام،</w:t>
      </w:r>
      <w:r w:rsidRPr="00F749F5">
        <w:rPr>
          <w:rFonts w:hint="cs"/>
          <w:rtl/>
          <w:lang w:bidi="ar-JO"/>
        </w:rPr>
        <w:t xml:space="preserve"> </w:t>
      </w:r>
      <w:r w:rsidRPr="00F749F5">
        <w:rPr>
          <w:rtl/>
          <w:lang w:bidi="ar-EG"/>
        </w:rPr>
        <w:t>ن</w:t>
      </w:r>
      <w:r w:rsidRPr="00F749F5">
        <w:rPr>
          <w:rFonts w:hint="cs"/>
          <w:rtl/>
          <w:lang w:bidi="ar-EG"/>
        </w:rPr>
        <w:t>ُ</w:t>
      </w:r>
      <w:r w:rsidRPr="00F749F5">
        <w:rPr>
          <w:rtl/>
          <w:lang w:bidi="ar-EG"/>
        </w:rPr>
        <w:t>ف</w:t>
      </w:r>
      <w:r w:rsidRPr="00F749F5">
        <w:rPr>
          <w:rFonts w:hint="cs"/>
          <w:rtl/>
          <w:lang w:bidi="ar-EG"/>
        </w:rPr>
        <w:t>ِّ</w:t>
      </w:r>
      <w:r w:rsidRPr="00F749F5">
        <w:rPr>
          <w:rtl/>
          <w:lang w:bidi="ar-EG"/>
        </w:rPr>
        <w:t xml:space="preserve">ذت </w:t>
      </w:r>
      <w:r w:rsidRPr="00F749F5">
        <w:rPr>
          <w:rFonts w:hint="cs"/>
          <w:rtl/>
          <w:lang w:bidi="ar-JO"/>
        </w:rPr>
        <w:t xml:space="preserve">الدراسة الإقليمية </w:t>
      </w:r>
      <w:r w:rsidRPr="00F749F5">
        <w:rPr>
          <w:rtl/>
          <w:lang w:bidi="ar-EG"/>
        </w:rPr>
        <w:t>وفقا</w:t>
      </w:r>
      <w:r w:rsidRPr="00F749F5">
        <w:rPr>
          <w:rFonts w:hint="cs"/>
          <w:rtl/>
          <w:lang w:bidi="ar-EG"/>
        </w:rPr>
        <w:t>ً</w:t>
      </w:r>
      <w:r w:rsidRPr="00F749F5">
        <w:rPr>
          <w:rtl/>
          <w:lang w:bidi="ar-EG"/>
        </w:rPr>
        <w:t xml:space="preserve"> </w:t>
      </w:r>
      <w:r w:rsidRPr="00F749F5">
        <w:rPr>
          <w:rFonts w:hint="cs"/>
          <w:rtl/>
          <w:lang w:bidi="ar-JO"/>
        </w:rPr>
        <w:t xml:space="preserve">للنطاق والجدول </w:t>
      </w:r>
      <w:proofErr w:type="gramStart"/>
      <w:r w:rsidRPr="00F749F5">
        <w:rPr>
          <w:rFonts w:hint="cs"/>
          <w:rtl/>
          <w:lang w:bidi="ar-JO"/>
        </w:rPr>
        <w:t>الزمني</w:t>
      </w:r>
      <w:proofErr w:type="gramEnd"/>
      <w:r w:rsidRPr="00F749F5">
        <w:rPr>
          <w:rFonts w:hint="cs"/>
          <w:rtl/>
          <w:lang w:bidi="ar-JO"/>
        </w:rPr>
        <w:t xml:space="preserve"> الأوليين اللذين </w:t>
      </w:r>
      <w:r w:rsidRPr="00F749F5">
        <w:rPr>
          <w:rFonts w:hint="cs"/>
          <w:rtl/>
          <w:lang w:bidi="ar-EG"/>
        </w:rPr>
        <w:t xml:space="preserve">حُدِّدا </w:t>
      </w:r>
      <w:r w:rsidRPr="00F749F5">
        <w:rPr>
          <w:rFonts w:hint="cs"/>
          <w:rtl/>
          <w:lang w:bidi="ar-JO"/>
        </w:rPr>
        <w:t xml:space="preserve">خلال تصميمها. بيد أن الدراسة واجهت أثناء تنفيذها تحديات </w:t>
      </w:r>
      <w:r w:rsidRPr="00F749F5">
        <w:rPr>
          <w:rFonts w:hint="cs"/>
          <w:rtl/>
          <w:lang w:bidi="ar-EG"/>
        </w:rPr>
        <w:t>ي</w:t>
      </w:r>
      <w:r w:rsidRPr="00F749F5">
        <w:rPr>
          <w:rtl/>
          <w:lang w:bidi="ar-EG"/>
        </w:rPr>
        <w:t xml:space="preserve">مكن </w:t>
      </w:r>
      <w:r w:rsidRPr="00F749F5">
        <w:rPr>
          <w:rFonts w:hint="cs"/>
          <w:rtl/>
          <w:lang w:bidi="ar-EG"/>
        </w:rPr>
        <w:t xml:space="preserve">أن تُستخلص منها </w:t>
      </w:r>
      <w:r w:rsidRPr="00F749F5">
        <w:rPr>
          <w:rtl/>
          <w:lang w:bidi="ar-EG"/>
        </w:rPr>
        <w:t>دروس</w:t>
      </w:r>
      <w:r w:rsidRPr="00F749F5">
        <w:rPr>
          <w:rFonts w:hint="cs"/>
          <w:rtl/>
          <w:lang w:bidi="ar-JO"/>
        </w:rPr>
        <w:t xml:space="preserve"> </w:t>
      </w:r>
      <w:r w:rsidRPr="00F749F5">
        <w:rPr>
          <w:rFonts w:hint="cs"/>
          <w:rtl/>
          <w:lang w:bidi="ar-EG"/>
        </w:rPr>
        <w:t>من أجل ال</w:t>
      </w:r>
      <w:r w:rsidRPr="00F749F5">
        <w:rPr>
          <w:rtl/>
          <w:lang w:bidi="ar-EG"/>
        </w:rPr>
        <w:t>دراسات المستقبلية</w:t>
      </w:r>
      <w:r w:rsidRPr="00F749F5">
        <w:rPr>
          <w:rFonts w:hint="cs"/>
          <w:rtl/>
          <w:lang w:bidi="ar-JO"/>
        </w:rPr>
        <w:t>. وتُناقش التحديات وأبرز الاستنتاجات فيما يتعلق بكل عنصر من العناصر الثلاثة للدراسة</w:t>
      </w:r>
      <w:r w:rsidR="00FE5A83" w:rsidRPr="00F749F5">
        <w:rPr>
          <w:rtl/>
          <w:lang w:bidi="ar-EG"/>
        </w:rPr>
        <w:t>.</w:t>
      </w:r>
    </w:p>
    <w:p w:rsidR="000A501B" w:rsidRPr="00F749F5" w:rsidRDefault="001037C0" w:rsidP="001A791B">
      <w:pPr>
        <w:pStyle w:val="NormalParaAR"/>
        <w:rPr>
          <w:rtl/>
          <w:lang w:bidi="ar-EG"/>
        </w:rPr>
      </w:pPr>
      <w:r w:rsidRPr="00F749F5">
        <w:rPr>
          <w:rFonts w:hint="cs"/>
          <w:rtl/>
          <w:lang w:bidi="ar-JO"/>
        </w:rPr>
        <w:t>فخلال إنشاء قاعدة بيانات شاملة خاصة با</w:t>
      </w:r>
      <w:r w:rsidR="00FE4DCE" w:rsidRPr="00F749F5">
        <w:rPr>
          <w:rFonts w:hint="cs"/>
          <w:rtl/>
          <w:lang w:bidi="ar-JO"/>
        </w:rPr>
        <w:t>لملكية الفكرية والتجارة لاستخدام</w:t>
      </w:r>
      <w:r w:rsidRPr="00F749F5">
        <w:rPr>
          <w:rFonts w:hint="cs"/>
          <w:rtl/>
          <w:lang w:bidi="ar-JO"/>
        </w:rPr>
        <w:t xml:space="preserve">ها لأغراض الإحصاء، واجهت </w:t>
      </w:r>
      <w:r w:rsidRPr="00F749F5">
        <w:rPr>
          <w:rtl/>
          <w:lang w:bidi="ar-EG"/>
        </w:rPr>
        <w:t xml:space="preserve">شعبة الدراسات الاقتصادية والإحصاءات </w:t>
      </w:r>
      <w:r w:rsidRPr="00F749F5">
        <w:rPr>
          <w:rFonts w:hint="cs"/>
          <w:rtl/>
          <w:lang w:bidi="ar-EG"/>
        </w:rPr>
        <w:t>في الويبو</w:t>
      </w:r>
      <w:r w:rsidRPr="00F749F5">
        <w:rPr>
          <w:rFonts w:hint="cs"/>
          <w:rtl/>
          <w:lang w:bidi="ar-JO"/>
        </w:rPr>
        <w:t xml:space="preserve"> تحديين رئيسيين. يتعلق </w:t>
      </w:r>
      <w:proofErr w:type="gramStart"/>
      <w:r w:rsidRPr="00F749F5">
        <w:rPr>
          <w:rFonts w:hint="cs"/>
          <w:rtl/>
          <w:lang w:bidi="ar-JO"/>
        </w:rPr>
        <w:t>أولهما</w:t>
      </w:r>
      <w:proofErr w:type="gramEnd"/>
      <w:r w:rsidRPr="00F749F5">
        <w:rPr>
          <w:rFonts w:hint="cs"/>
          <w:rtl/>
          <w:lang w:bidi="ar-JO"/>
        </w:rPr>
        <w:t xml:space="preserve"> بنطاق تغطية البيانات لتفاصيل التجارة الثنائية. وكان نطاق تغطية البيانات مقبولا فيما يتعلق بتدفقات السلع المتاجر بها، بينما تزداد ندرة البيانات فيما يتعلق </w:t>
      </w:r>
      <w:r w:rsidR="00FE4DCE" w:rsidRPr="00F749F5">
        <w:rPr>
          <w:rFonts w:hint="cs"/>
          <w:rtl/>
          <w:lang w:bidi="ar-JO"/>
        </w:rPr>
        <w:t>ب</w:t>
      </w:r>
      <w:r w:rsidRPr="00F749F5">
        <w:rPr>
          <w:rFonts w:hint="cs"/>
          <w:rtl/>
          <w:lang w:bidi="ar-JO"/>
        </w:rPr>
        <w:t xml:space="preserve">التدفقات التجارية للخدمات. </w:t>
      </w:r>
      <w:proofErr w:type="gramStart"/>
      <w:r w:rsidRPr="00F749F5">
        <w:rPr>
          <w:rFonts w:hint="cs"/>
          <w:rtl/>
          <w:lang w:bidi="ar-JO"/>
        </w:rPr>
        <w:t>أما</w:t>
      </w:r>
      <w:proofErr w:type="gramEnd"/>
      <w:r w:rsidRPr="00F749F5">
        <w:rPr>
          <w:rFonts w:hint="cs"/>
          <w:rtl/>
          <w:lang w:bidi="ar-JO"/>
        </w:rPr>
        <w:t xml:space="preserve"> التحدي الثاني فيتعلق بتباين الوضع على مستوى مجموعات بيانات الملكية الفكرية فيما بين المكاتب الوطنية للملكية الفكرية. ويجسد التباين في بنية البيانات واكتمالها الاختلافات الموجودة في الإجراءات والبنى التحتية. وأظهرت مجموعات البيانات الوطنية للعلامات التجارية تناسقا أكثر من ذي قبل، تلتها في</w:t>
      </w:r>
      <w:r w:rsidRPr="00F749F5">
        <w:rPr>
          <w:rFonts w:hint="eastAsia"/>
          <w:rtl/>
          <w:lang w:bidi="ar-JO"/>
        </w:rPr>
        <w:t> </w:t>
      </w:r>
      <w:r w:rsidRPr="00F749F5">
        <w:rPr>
          <w:rFonts w:hint="cs"/>
          <w:rtl/>
          <w:lang w:bidi="ar-JO"/>
        </w:rPr>
        <w:t xml:space="preserve">ذلك البراءات ثم التصاميم الصناعية ونماذج المنفعة. </w:t>
      </w:r>
      <w:proofErr w:type="gramStart"/>
      <w:r w:rsidRPr="00F749F5">
        <w:rPr>
          <w:rFonts w:hint="cs"/>
          <w:rtl/>
          <w:lang w:bidi="ar-JO"/>
        </w:rPr>
        <w:t>أما</w:t>
      </w:r>
      <w:proofErr w:type="gramEnd"/>
      <w:r w:rsidRPr="00F749F5">
        <w:rPr>
          <w:rFonts w:hint="cs"/>
          <w:rtl/>
          <w:lang w:bidi="ar-JO"/>
        </w:rPr>
        <w:t xml:space="preserve"> المجموعات التي يعوزها التطابق أكثر من غيرها في المجموعات المتعلقة بتسجيلات حق المؤلف، إذ لم يُحصل منها سوى عدد قليل وتجلت أبرز الاختلافات على مستوى بنيات البيانات. وأبطأت الاختلافات بين بنيات البيانات معالجة هذه البيانات وتنسيقها، غير أنه تسنى حل معظم العراقيل التقنية في نهاية المطاف</w:t>
      </w:r>
      <w:r w:rsidR="000A501B" w:rsidRPr="00F749F5">
        <w:rPr>
          <w:rtl/>
          <w:lang w:bidi="ar-EG"/>
        </w:rPr>
        <w:t>.</w:t>
      </w:r>
    </w:p>
    <w:p w:rsidR="00062525" w:rsidRPr="00F749F5" w:rsidRDefault="001037C0" w:rsidP="00FD6DC9">
      <w:pPr>
        <w:pStyle w:val="NormalParaAR"/>
        <w:rPr>
          <w:rtl/>
          <w:lang w:bidi="ar-EG"/>
        </w:rPr>
      </w:pPr>
      <w:r w:rsidRPr="00F749F5">
        <w:rPr>
          <w:rFonts w:hint="cs"/>
          <w:rtl/>
          <w:lang w:bidi="ar-JO"/>
        </w:rPr>
        <w:lastRenderedPageBreak/>
        <w:t xml:space="preserve">وأثّر </w:t>
      </w:r>
      <w:proofErr w:type="gramStart"/>
      <w:r w:rsidRPr="00F749F5">
        <w:rPr>
          <w:rFonts w:hint="cs"/>
          <w:rtl/>
          <w:lang w:bidi="ar-JO"/>
        </w:rPr>
        <w:t>الاختلاف</w:t>
      </w:r>
      <w:proofErr w:type="gramEnd"/>
      <w:r w:rsidRPr="00F749F5">
        <w:rPr>
          <w:rFonts w:hint="cs"/>
          <w:rtl/>
          <w:lang w:bidi="ar-JO"/>
        </w:rPr>
        <w:t xml:space="preserve"> في تغطية البيانات ونطاقها أيضا على العنصرين الآخرين: التحليل الإحصائي للانتفاع بالملكية الفكرية وتقييم الانتفاع بالملكية الفكرية وتكامل التجارة</w:t>
      </w:r>
      <w:r w:rsidR="00DD50C9" w:rsidRPr="00F749F5">
        <w:rPr>
          <w:rtl/>
          <w:lang w:bidi="ar-EG"/>
        </w:rPr>
        <w:t>.</w:t>
      </w:r>
      <w:r w:rsidR="00FD6DC9" w:rsidRPr="00F749F5">
        <w:rPr>
          <w:rFonts w:hint="cs"/>
          <w:rtl/>
          <w:lang w:bidi="ar-EG"/>
        </w:rPr>
        <w:t xml:space="preserve"> </w:t>
      </w:r>
      <w:r w:rsidR="00AF4225" w:rsidRPr="00F749F5">
        <w:rPr>
          <w:rFonts w:hint="cs"/>
          <w:rtl/>
          <w:lang w:bidi="ar-JO"/>
        </w:rPr>
        <w:t xml:space="preserve">وتم التخفيف من أثر هذه التحديات الناتجة بتنويع مستوى التحليل ونطاقه وفقاً للبيانات المتاحة. </w:t>
      </w:r>
      <w:proofErr w:type="gramStart"/>
      <w:r w:rsidR="00AF4225" w:rsidRPr="00F749F5">
        <w:rPr>
          <w:rFonts w:hint="cs"/>
          <w:rtl/>
          <w:lang w:bidi="ar-JO"/>
        </w:rPr>
        <w:t>بيد</w:t>
      </w:r>
      <w:proofErr w:type="gramEnd"/>
      <w:r w:rsidR="00AF4225" w:rsidRPr="00F749F5">
        <w:rPr>
          <w:rFonts w:hint="cs"/>
          <w:rtl/>
          <w:lang w:bidi="ar-JO"/>
        </w:rPr>
        <w:t xml:space="preserve"> أن من المحتمل أن تواجه أي دراسة مستقبلية عن هذا الموضوع الصعوبات ذاتها</w:t>
      </w:r>
      <w:r w:rsidR="0042067B" w:rsidRPr="00F749F5">
        <w:rPr>
          <w:rtl/>
          <w:lang w:bidi="ar-EG"/>
        </w:rPr>
        <w:t>.</w:t>
      </w:r>
    </w:p>
    <w:p w:rsidR="00E03AE8" w:rsidRPr="00F749F5" w:rsidRDefault="00AF4225" w:rsidP="003E5580">
      <w:pPr>
        <w:pStyle w:val="NormalParaAR"/>
        <w:rPr>
          <w:rtl/>
          <w:lang w:bidi="ar-EG"/>
        </w:rPr>
      </w:pPr>
      <w:r w:rsidRPr="00F749F5">
        <w:rPr>
          <w:rFonts w:hint="cs"/>
          <w:rtl/>
          <w:lang w:bidi="ar-JO"/>
        </w:rPr>
        <w:t xml:space="preserve">وأخيرا، برزت طائفة أخرى من التحديات أثناء التقييم العملي للانتفاع بالملكية الفكرية وتكامل التجارة. وأظهرت المطابقة بين مجموعات الملكية الفكرية وبيانات التجارة </w:t>
      </w:r>
      <w:proofErr w:type="gramStart"/>
      <w:r w:rsidRPr="00F749F5">
        <w:rPr>
          <w:rFonts w:hint="cs"/>
          <w:rtl/>
          <w:lang w:bidi="ar-JO"/>
        </w:rPr>
        <w:t>اختلافات</w:t>
      </w:r>
      <w:proofErr w:type="gramEnd"/>
      <w:r w:rsidRPr="00F749F5">
        <w:rPr>
          <w:rFonts w:hint="cs"/>
          <w:rtl/>
          <w:lang w:bidi="ar-JO"/>
        </w:rPr>
        <w:t xml:space="preserve"> منهجية بين أنواع الملكية الفكرية. وكانت بيانات العلامات التجارية </w:t>
      </w:r>
      <w:r w:rsidRPr="00F749F5">
        <w:rPr>
          <w:rtl/>
          <w:lang w:bidi="ar-JO"/>
        </w:rPr>
        <w:t>–</w:t>
      </w:r>
      <w:r w:rsidRPr="00F749F5">
        <w:rPr>
          <w:rFonts w:hint="cs"/>
          <w:rtl/>
          <w:lang w:bidi="ar-JO"/>
        </w:rPr>
        <w:t xml:space="preserve"> استنادا إلى تصنيف نيس </w:t>
      </w:r>
      <w:r w:rsidRPr="00F749F5">
        <w:rPr>
          <w:rtl/>
          <w:lang w:bidi="ar-JO"/>
        </w:rPr>
        <w:t>–</w:t>
      </w:r>
      <w:r w:rsidRPr="00F749F5">
        <w:rPr>
          <w:rFonts w:hint="cs"/>
          <w:rtl/>
          <w:lang w:bidi="ar-JO"/>
        </w:rPr>
        <w:t xml:space="preserve"> هي الأيسر ربطا ببيانات التجارة، بينما كان ربط بيانات البراءات ونموذج المنفعة</w:t>
      </w:r>
      <w:r w:rsidRPr="00F749F5">
        <w:rPr>
          <w:rtl/>
          <w:lang w:bidi="ar-JO"/>
        </w:rPr>
        <w:t>–</w:t>
      </w:r>
      <w:r w:rsidRPr="00F749F5">
        <w:rPr>
          <w:rFonts w:hint="cs"/>
          <w:rtl/>
          <w:lang w:bidi="ar-JO"/>
        </w:rPr>
        <w:t xml:space="preserve"> استنادا إلى </w:t>
      </w:r>
      <w:r w:rsidRPr="00F749F5">
        <w:rPr>
          <w:rtl/>
          <w:lang w:bidi="ar-JO"/>
        </w:rPr>
        <w:t>نظام التصنيف الدولي للبراءات (</w:t>
      </w:r>
      <w:r w:rsidRPr="00F749F5">
        <w:rPr>
          <w:lang w:bidi="ar-JO"/>
        </w:rPr>
        <w:t>IPC</w:t>
      </w:r>
      <w:r w:rsidRPr="00F749F5">
        <w:rPr>
          <w:rtl/>
          <w:lang w:bidi="ar-JO"/>
        </w:rPr>
        <w:t>)</w:t>
      </w:r>
      <w:r w:rsidRPr="00F749F5">
        <w:rPr>
          <w:rFonts w:hint="cs"/>
          <w:rtl/>
          <w:lang w:bidi="ar-JO"/>
        </w:rPr>
        <w:t xml:space="preserve">- بتلك البيانات أقل يسرا. وفيما يخص التصاميم الصناعية </w:t>
      </w:r>
      <w:r w:rsidRPr="00F749F5">
        <w:rPr>
          <w:rtl/>
          <w:lang w:bidi="ar-JO"/>
        </w:rPr>
        <w:t>–</w:t>
      </w:r>
      <w:r w:rsidRPr="00F749F5">
        <w:rPr>
          <w:rFonts w:hint="cs"/>
          <w:rtl/>
          <w:lang w:bidi="ar-JO"/>
        </w:rPr>
        <w:t xml:space="preserve"> استنادا إلى </w:t>
      </w:r>
      <w:r w:rsidRPr="00F749F5">
        <w:rPr>
          <w:rtl/>
          <w:lang w:bidi="ar-JO"/>
        </w:rPr>
        <w:t xml:space="preserve">تصنيف </w:t>
      </w:r>
      <w:proofErr w:type="spellStart"/>
      <w:r w:rsidRPr="00F749F5">
        <w:rPr>
          <w:rtl/>
          <w:lang w:bidi="ar-JO"/>
        </w:rPr>
        <w:t>لوكارنو</w:t>
      </w:r>
      <w:proofErr w:type="spellEnd"/>
      <w:r w:rsidRPr="00F749F5">
        <w:rPr>
          <w:rtl/>
          <w:lang w:bidi="ar-JO"/>
        </w:rPr>
        <w:t xml:space="preserve"> –</w:t>
      </w:r>
      <w:r w:rsidRPr="00F749F5">
        <w:rPr>
          <w:rFonts w:hint="cs"/>
          <w:rtl/>
          <w:lang w:bidi="ar-JO"/>
        </w:rPr>
        <w:t xml:space="preserve"> وتسجيلات حق المؤلف، لم يُعثر على أي أوجه تطابق جاهزة مع بيانات التجارة. </w:t>
      </w:r>
      <w:proofErr w:type="gramStart"/>
      <w:r w:rsidRPr="00F749F5">
        <w:rPr>
          <w:rFonts w:hint="cs"/>
          <w:rtl/>
          <w:lang w:bidi="ar-JO"/>
        </w:rPr>
        <w:t>وفيما</w:t>
      </w:r>
      <w:proofErr w:type="gramEnd"/>
      <w:r w:rsidRPr="00F749F5">
        <w:rPr>
          <w:rFonts w:hint="cs"/>
          <w:rtl/>
          <w:lang w:bidi="ar-JO"/>
        </w:rPr>
        <w:t xml:space="preserve"> يتعلق بهذه الأشكال من الملكية الفكرية، لم يتسنّ بيان العلاقة بين الانتفاع بالملكية الفكرية والتجارة إلا على المستوى الكلي</w:t>
      </w:r>
      <w:r w:rsidR="004A1E44" w:rsidRPr="00F749F5">
        <w:rPr>
          <w:rtl/>
          <w:lang w:bidi="ar-EG"/>
        </w:rPr>
        <w:t>.</w:t>
      </w:r>
    </w:p>
    <w:p w:rsidR="00F43264" w:rsidRPr="00F749F5" w:rsidRDefault="00F43264" w:rsidP="00AF4225">
      <w:pPr>
        <w:pStyle w:val="Heading1"/>
        <w:rPr>
          <w:b/>
          <w:bCs w:val="0"/>
          <w:rtl/>
          <w:lang w:bidi="ar-EG"/>
        </w:rPr>
      </w:pPr>
      <w:r w:rsidRPr="00F749F5">
        <w:rPr>
          <w:b/>
          <w:bCs w:val="0"/>
          <w:rtl/>
          <w:lang w:bidi="ar-EG"/>
        </w:rPr>
        <w:t xml:space="preserve">ملخص النتائج الاقتصادية والإحصائية </w:t>
      </w:r>
      <w:r w:rsidRPr="00F749F5">
        <w:rPr>
          <w:rFonts w:hint="cs"/>
          <w:b/>
          <w:bCs w:val="0"/>
          <w:rtl/>
          <w:lang w:bidi="ar-EG"/>
        </w:rPr>
        <w:t>ل</w:t>
      </w:r>
      <w:r w:rsidRPr="00F749F5">
        <w:rPr>
          <w:b/>
          <w:bCs w:val="0"/>
          <w:rtl/>
          <w:lang w:bidi="ar-EG"/>
        </w:rPr>
        <w:t>لدراسة ال</w:t>
      </w:r>
      <w:r w:rsidR="00AF4225" w:rsidRPr="00F749F5">
        <w:rPr>
          <w:rFonts w:hint="cs"/>
          <w:b/>
          <w:bCs w:val="0"/>
          <w:rtl/>
          <w:lang w:bidi="ar-EG"/>
        </w:rPr>
        <w:t>إقليمية</w:t>
      </w:r>
      <w:r w:rsidRPr="00F749F5">
        <w:rPr>
          <w:rStyle w:val="FootnoteReference"/>
          <w:b/>
          <w:bCs w:val="0"/>
          <w:rtl/>
          <w:lang w:bidi="ar-EG"/>
        </w:rPr>
        <w:footnoteReference w:id="1"/>
      </w:r>
    </w:p>
    <w:p w:rsidR="009C3D67" w:rsidRPr="00F749F5" w:rsidRDefault="00AF4225" w:rsidP="003E5580">
      <w:pPr>
        <w:pStyle w:val="NormalParaAR"/>
        <w:rPr>
          <w:rtl/>
          <w:lang w:bidi="ar-EG"/>
        </w:rPr>
      </w:pPr>
      <w:r w:rsidRPr="00F749F5">
        <w:rPr>
          <w:rFonts w:hint="cs"/>
          <w:rtl/>
          <w:lang w:bidi="ar-JO"/>
        </w:rPr>
        <w:t xml:space="preserve">على مدى النصف الثاني من القرن الماضي، بذلت بلدان أمريكا الوسطى جهودا تنظيمية جمّة في سعيها نحو تحقيق المزيد من التكامل الاقتصادي. وازدادت أهمية السوق الإقليمية كنتيجة مباشرة للتكامل الإقليمي. </w:t>
      </w:r>
      <w:proofErr w:type="gramStart"/>
      <w:r w:rsidRPr="00F749F5">
        <w:rPr>
          <w:rFonts w:hint="cs"/>
          <w:rtl/>
          <w:lang w:bidi="ar-JO"/>
        </w:rPr>
        <w:t>وتمثل</w:t>
      </w:r>
      <w:proofErr w:type="gramEnd"/>
      <w:r w:rsidRPr="00F749F5">
        <w:rPr>
          <w:rFonts w:hint="cs"/>
          <w:rtl/>
          <w:lang w:bidi="ar-JO"/>
        </w:rPr>
        <w:t xml:space="preserve"> المنطقة ثاني أكبر مَصدر للاستيراد ووجهة للتصدير، بمستويات تقل بقليل عن مستويات التجارة مع الولايات المتحدة الأمريكية</w:t>
      </w:r>
      <w:r w:rsidR="00F43264" w:rsidRPr="00F749F5">
        <w:rPr>
          <w:rtl/>
          <w:lang w:bidi="ar-EG"/>
        </w:rPr>
        <w:t>.</w:t>
      </w:r>
    </w:p>
    <w:p w:rsidR="00033774" w:rsidRPr="00F749F5" w:rsidRDefault="00AF4225" w:rsidP="008138B2">
      <w:pPr>
        <w:pStyle w:val="NormalParaAR"/>
        <w:rPr>
          <w:rtl/>
          <w:lang w:bidi="ar-EG"/>
        </w:rPr>
      </w:pPr>
      <w:r w:rsidRPr="00F749F5">
        <w:rPr>
          <w:rFonts w:hint="cs"/>
          <w:rtl/>
          <w:lang w:bidi="ar-JO"/>
        </w:rPr>
        <w:t xml:space="preserve">ولاقتصادات المنطقة حجم صغير نسبيا يحفزها على الاندماج مع السوق الخارجية. ويؤدي تركيز التجارة مع شريك تجاري وحيد إلى </w:t>
      </w:r>
      <w:r w:rsidRPr="00F749F5">
        <w:rPr>
          <w:rtl/>
          <w:lang w:bidi="ar-JO"/>
        </w:rPr>
        <w:t>ترابط</w:t>
      </w:r>
      <w:r w:rsidRPr="00F749F5">
        <w:rPr>
          <w:rFonts w:hint="cs"/>
          <w:rtl/>
          <w:lang w:bidi="ar-JO"/>
        </w:rPr>
        <w:t xml:space="preserve"> في</w:t>
      </w:r>
      <w:r w:rsidRPr="00F749F5">
        <w:rPr>
          <w:rtl/>
          <w:lang w:bidi="ar-JO"/>
        </w:rPr>
        <w:t xml:space="preserve"> الاقتصاد الكلي</w:t>
      </w:r>
      <w:r w:rsidRPr="00F749F5">
        <w:rPr>
          <w:rFonts w:ascii="Roboto" w:hAnsi="Roboto"/>
          <w:color w:val="606060"/>
          <w:sz w:val="18"/>
          <w:szCs w:val="18"/>
          <w:shd w:val="clear" w:color="auto" w:fill="FFFFFF"/>
        </w:rPr>
        <w:t> </w:t>
      </w:r>
      <w:r w:rsidRPr="00F749F5">
        <w:rPr>
          <w:rFonts w:hint="cs"/>
          <w:rtl/>
          <w:lang w:bidi="ar-JO"/>
        </w:rPr>
        <w:t>لا يخلو من مخاطر واختلالات في موازين الاستفادة. ويعرّض التخصص النسبي في المنتجات الأولية ذات القيمة المضافة المتدنية اقتصادات المنطقة لتقلبات الأسعار الدولية</w:t>
      </w:r>
      <w:r w:rsidR="00301162" w:rsidRPr="00F749F5">
        <w:rPr>
          <w:rtl/>
          <w:lang w:bidi="ar-EG"/>
        </w:rPr>
        <w:t>.</w:t>
      </w:r>
    </w:p>
    <w:p w:rsidR="008138B2" w:rsidRPr="00F749F5" w:rsidRDefault="00AF4225" w:rsidP="00814153">
      <w:pPr>
        <w:pStyle w:val="NormalParaAR"/>
        <w:rPr>
          <w:rtl/>
          <w:lang w:bidi="ar-EG"/>
        </w:rPr>
      </w:pPr>
      <w:r w:rsidRPr="00F749F5">
        <w:rPr>
          <w:rFonts w:hint="cs"/>
          <w:rtl/>
          <w:lang w:bidi="ar-JO"/>
        </w:rPr>
        <w:t>و</w:t>
      </w:r>
      <w:r w:rsidR="00814153" w:rsidRPr="00F749F5">
        <w:rPr>
          <w:rFonts w:hint="cs"/>
          <w:rtl/>
          <w:lang w:bidi="ar-JO"/>
        </w:rPr>
        <w:t>بالتالي،</w:t>
      </w:r>
      <w:r w:rsidRPr="00F749F5">
        <w:rPr>
          <w:rFonts w:hint="cs"/>
          <w:rtl/>
          <w:lang w:bidi="ar-JO"/>
        </w:rPr>
        <w:t xml:space="preserve"> ينبغي أن تولي الجهود المشتركة في المنطقة الأولوية للسياسات العمومية التي ترمي إلى توسيع السوق الإقليمية وتنويع الشركاء التجاريين وزيادة المحتوى التكنولوجي للتجارة. </w:t>
      </w:r>
      <w:proofErr w:type="gramStart"/>
      <w:r w:rsidRPr="00F749F5">
        <w:rPr>
          <w:rFonts w:hint="cs"/>
          <w:rtl/>
          <w:lang w:bidi="ar-JO"/>
        </w:rPr>
        <w:t>وضمن</w:t>
      </w:r>
      <w:proofErr w:type="gramEnd"/>
      <w:r w:rsidRPr="00F749F5">
        <w:rPr>
          <w:rFonts w:hint="cs"/>
          <w:rtl/>
          <w:lang w:bidi="ar-JO"/>
        </w:rPr>
        <w:t xml:space="preserve"> هذه السياسات، تندرج السياسات المتعلقة بالملكية الفكرية التي تدعم اتفاقات التجارة الحرة وتحمي القيمة غير المادية لصادرات السلع والخدمات وتحفز نقل التكنولوجيا. ومن المهم تحليل جميع أشكال الملكية الفكرية لتقييم جميع الأنشطة الاقتصادية والصناعات التي </w:t>
      </w:r>
      <w:proofErr w:type="gramStart"/>
      <w:r w:rsidRPr="00F749F5">
        <w:rPr>
          <w:rFonts w:hint="cs"/>
          <w:rtl/>
          <w:lang w:bidi="ar-JO"/>
        </w:rPr>
        <w:t>تشملها</w:t>
      </w:r>
      <w:proofErr w:type="gramEnd"/>
      <w:r w:rsidRPr="00F749F5">
        <w:rPr>
          <w:rFonts w:hint="cs"/>
          <w:rtl/>
          <w:lang w:bidi="ar-JO"/>
        </w:rPr>
        <w:t xml:space="preserve"> التجارة الدولية في المنطقة</w:t>
      </w:r>
      <w:r w:rsidR="00646802" w:rsidRPr="00F749F5">
        <w:rPr>
          <w:rtl/>
          <w:lang w:bidi="ar-EG"/>
        </w:rPr>
        <w:t>.</w:t>
      </w:r>
    </w:p>
    <w:p w:rsidR="00AF4225" w:rsidRPr="00F749F5" w:rsidRDefault="00AF4225" w:rsidP="00AF4225">
      <w:pPr>
        <w:pStyle w:val="Heading2"/>
        <w:rPr>
          <w:rtl/>
          <w:lang w:bidi="ar-JO"/>
        </w:rPr>
      </w:pPr>
      <w:r w:rsidRPr="00F749F5">
        <w:rPr>
          <w:rFonts w:hint="cs"/>
          <w:rtl/>
          <w:lang w:bidi="ar-JO"/>
        </w:rPr>
        <w:t>الانتفاع بالملكية الفكرية</w:t>
      </w:r>
    </w:p>
    <w:p w:rsidR="00AF4225" w:rsidRPr="00F749F5" w:rsidRDefault="00AF4225" w:rsidP="00AF4225">
      <w:pPr>
        <w:pStyle w:val="NormalParaAR"/>
        <w:rPr>
          <w:rtl/>
          <w:lang w:bidi="ar-JO"/>
        </w:rPr>
      </w:pPr>
      <w:r w:rsidRPr="00F749F5">
        <w:rPr>
          <w:rFonts w:hint="cs"/>
          <w:rtl/>
          <w:lang w:bidi="ar-JO"/>
        </w:rPr>
        <w:t xml:space="preserve">تبحث هذه الدراسة بالتفصيل جميع أشكال الملكية الفكرية التي أتيحت بشأنها بيانات </w:t>
      </w:r>
      <w:r w:rsidRPr="00F749F5">
        <w:rPr>
          <w:rtl/>
          <w:lang w:bidi="ar-EG"/>
        </w:rPr>
        <w:t>وحدات تسجيل</w:t>
      </w:r>
      <w:r w:rsidRPr="00F749F5">
        <w:rPr>
          <w:rFonts w:hint="cs"/>
          <w:rtl/>
          <w:lang w:bidi="ar-JO"/>
        </w:rPr>
        <w:t xml:space="preserve">. وتشمل الدراسة أيضا بيانات </w:t>
      </w:r>
      <w:proofErr w:type="gramStart"/>
      <w:r w:rsidRPr="00F749F5">
        <w:rPr>
          <w:rFonts w:hint="cs"/>
          <w:rtl/>
          <w:lang w:bidi="ar-JO"/>
        </w:rPr>
        <w:t>حق</w:t>
      </w:r>
      <w:proofErr w:type="gramEnd"/>
      <w:r w:rsidRPr="00F749F5">
        <w:rPr>
          <w:rFonts w:hint="cs"/>
          <w:rtl/>
          <w:lang w:bidi="ar-JO"/>
        </w:rPr>
        <w:t xml:space="preserve"> المؤلف، بيد أن النتائج ليست حاسمة بسبب ضعف اكتمال تغطية البيانات.</w:t>
      </w:r>
    </w:p>
    <w:p w:rsidR="00AF4225" w:rsidRPr="00F749F5" w:rsidRDefault="00AF4225" w:rsidP="00AF4225">
      <w:pPr>
        <w:pStyle w:val="NormalParaAR"/>
        <w:ind w:left="567"/>
        <w:rPr>
          <w:rtl/>
          <w:lang w:bidi="ar-JO"/>
        </w:rPr>
      </w:pPr>
      <w:r w:rsidRPr="00F749F5">
        <w:rPr>
          <w:rFonts w:hint="cs"/>
          <w:rtl/>
          <w:lang w:bidi="ar-JO"/>
        </w:rPr>
        <w:t>(أ)</w:t>
      </w:r>
      <w:r w:rsidRPr="00F749F5">
        <w:rPr>
          <w:rFonts w:hint="cs"/>
          <w:rtl/>
          <w:lang w:bidi="ar-JO"/>
        </w:rPr>
        <w:tab/>
      </w:r>
      <w:r w:rsidRPr="00F749F5">
        <w:rPr>
          <w:rFonts w:hint="cs"/>
          <w:i/>
          <w:iCs/>
          <w:rtl/>
          <w:lang w:bidi="ar-JO"/>
        </w:rPr>
        <w:t>البراءات</w:t>
      </w:r>
      <w:r w:rsidRPr="00F749F5">
        <w:rPr>
          <w:rFonts w:hint="cs"/>
          <w:rtl/>
          <w:lang w:bidi="ar-JO"/>
        </w:rPr>
        <w:t>: كان الأجانب هم المنتفعون الرئيسيون من البراءات الذين طلبوا حمايتها في المنطقة (95</w:t>
      </w:r>
      <w:r w:rsidR="00F749F5" w:rsidRPr="00F749F5">
        <w:rPr>
          <w:rFonts w:hint="cs"/>
          <w:rtl/>
          <w:lang w:bidi="ar-JO"/>
        </w:rPr>
        <w:t>٪</w:t>
      </w:r>
      <w:r w:rsidRPr="00F749F5">
        <w:rPr>
          <w:rFonts w:hint="cs"/>
          <w:rtl/>
          <w:lang w:bidi="ar-JO"/>
        </w:rPr>
        <w:t>)، ولا</w:t>
      </w:r>
      <w:r w:rsidRPr="00F749F5">
        <w:rPr>
          <w:rFonts w:hint="eastAsia"/>
          <w:rtl/>
          <w:lang w:bidi="ar-JO"/>
        </w:rPr>
        <w:t> </w:t>
      </w:r>
      <w:r w:rsidRPr="00F749F5">
        <w:rPr>
          <w:rFonts w:hint="cs"/>
          <w:rtl/>
          <w:lang w:bidi="ar-JO"/>
        </w:rPr>
        <w:t>سيما من أصل أمريكي (50</w:t>
      </w:r>
      <w:r w:rsidR="00F749F5" w:rsidRPr="00F749F5">
        <w:rPr>
          <w:rFonts w:hint="cs"/>
          <w:rtl/>
          <w:lang w:bidi="ar-JO"/>
        </w:rPr>
        <w:t>٪</w:t>
      </w:r>
      <w:r w:rsidRPr="00F749F5">
        <w:rPr>
          <w:rFonts w:hint="cs"/>
          <w:rtl/>
          <w:lang w:bidi="ar-JO"/>
        </w:rPr>
        <w:t xml:space="preserve">). ولم يلجأ المخترعون في المنطقة إلى الانتفاع بنظام البراءات إلا فيما ندر. </w:t>
      </w:r>
      <w:proofErr w:type="gramStart"/>
      <w:r w:rsidRPr="00F749F5">
        <w:rPr>
          <w:rFonts w:hint="cs"/>
          <w:rtl/>
          <w:lang w:bidi="ar-JO"/>
        </w:rPr>
        <w:t>وفي</w:t>
      </w:r>
      <w:proofErr w:type="gramEnd"/>
      <w:r w:rsidRPr="00F749F5">
        <w:rPr>
          <w:rFonts w:hint="cs"/>
          <w:rtl/>
          <w:lang w:bidi="ar-JO"/>
        </w:rPr>
        <w:t xml:space="preserve"> المرات القليلة التي أقدموا فيها على ذلك، طلبوا الحصول على الحماية محليا أو خارج المنطقة (خاصة في الولايات المتحدة الأمريكية)، وبدرجة قليلة جدا في باقي بلدان المنطقة.</w:t>
      </w:r>
    </w:p>
    <w:p w:rsidR="00AF4225" w:rsidRPr="00F749F5" w:rsidRDefault="00AF4225" w:rsidP="00691CA7">
      <w:pPr>
        <w:pStyle w:val="NormalParaAR"/>
        <w:spacing w:after="200"/>
        <w:ind w:left="567"/>
        <w:rPr>
          <w:rtl/>
          <w:lang w:bidi="ar-JO"/>
        </w:rPr>
      </w:pPr>
      <w:r w:rsidRPr="00F749F5">
        <w:rPr>
          <w:rFonts w:hint="cs"/>
          <w:rtl/>
          <w:lang w:bidi="ar-JO"/>
        </w:rPr>
        <w:t>(ب)</w:t>
      </w:r>
      <w:r w:rsidRPr="00F749F5">
        <w:rPr>
          <w:rFonts w:hint="cs"/>
          <w:rtl/>
          <w:lang w:bidi="ar-JO"/>
        </w:rPr>
        <w:tab/>
      </w:r>
      <w:r w:rsidRPr="00F749F5">
        <w:rPr>
          <w:rFonts w:hint="cs"/>
          <w:i/>
          <w:iCs/>
          <w:rtl/>
          <w:lang w:bidi="ar-JO"/>
        </w:rPr>
        <w:t>نماذج المنفعة</w:t>
      </w:r>
      <w:r w:rsidRPr="00F749F5">
        <w:rPr>
          <w:rFonts w:hint="cs"/>
          <w:rtl/>
          <w:lang w:bidi="ar-JO"/>
        </w:rPr>
        <w:t>: كانت نماذج المنفعة بديلا لجأ إليه المخترعون في المنطقة، الذين أودعوا 61</w:t>
      </w:r>
      <w:r w:rsidR="00F749F5" w:rsidRPr="00F749F5">
        <w:rPr>
          <w:rFonts w:hint="cs"/>
          <w:rtl/>
          <w:lang w:bidi="ar-JO"/>
        </w:rPr>
        <w:t>٪</w:t>
      </w:r>
      <w:r w:rsidRPr="00F749F5">
        <w:rPr>
          <w:rFonts w:hint="cs"/>
          <w:rtl/>
          <w:lang w:bidi="ar-JO"/>
        </w:rPr>
        <w:t xml:space="preserve"> من مجموع طلبات نماذج المنفعة. </w:t>
      </w:r>
      <w:proofErr w:type="gramStart"/>
      <w:r w:rsidRPr="00F749F5">
        <w:rPr>
          <w:rFonts w:hint="cs"/>
          <w:rtl/>
          <w:lang w:bidi="ar-JO"/>
        </w:rPr>
        <w:t>بيد</w:t>
      </w:r>
      <w:proofErr w:type="gramEnd"/>
      <w:r w:rsidRPr="00F749F5">
        <w:rPr>
          <w:rFonts w:hint="cs"/>
          <w:rtl/>
          <w:lang w:bidi="ar-JO"/>
        </w:rPr>
        <w:t xml:space="preserve"> أن الحماية ظلت في 85</w:t>
      </w:r>
      <w:r w:rsidR="00F749F5" w:rsidRPr="00F749F5">
        <w:rPr>
          <w:rFonts w:hint="cs"/>
          <w:rtl/>
          <w:lang w:bidi="ar-JO"/>
        </w:rPr>
        <w:t>٪</w:t>
      </w:r>
      <w:r w:rsidRPr="00F749F5">
        <w:rPr>
          <w:rFonts w:hint="cs"/>
          <w:rtl/>
          <w:lang w:bidi="ar-JO"/>
        </w:rPr>
        <w:t xml:space="preserve"> من هذه الحالات محلية الطابع ويضعُف الانتفاع بها إقليميا ودوليا.</w:t>
      </w:r>
    </w:p>
    <w:p w:rsidR="00AF4225" w:rsidRPr="00F749F5" w:rsidRDefault="00AF4225" w:rsidP="00691CA7">
      <w:pPr>
        <w:pStyle w:val="NormalParaAR"/>
        <w:spacing w:after="200"/>
        <w:ind w:left="567"/>
        <w:rPr>
          <w:rtl/>
          <w:lang w:bidi="ar-JO"/>
        </w:rPr>
      </w:pPr>
      <w:r w:rsidRPr="00F749F5">
        <w:rPr>
          <w:rFonts w:hint="cs"/>
          <w:rtl/>
          <w:lang w:bidi="ar-JO"/>
        </w:rPr>
        <w:lastRenderedPageBreak/>
        <w:t>(ج)</w:t>
      </w:r>
      <w:r w:rsidRPr="00F749F5">
        <w:rPr>
          <w:rFonts w:hint="cs"/>
          <w:rtl/>
          <w:lang w:bidi="ar-JO"/>
        </w:rPr>
        <w:tab/>
      </w:r>
      <w:r w:rsidRPr="00F749F5">
        <w:rPr>
          <w:rFonts w:hint="cs"/>
          <w:i/>
          <w:iCs/>
          <w:rtl/>
          <w:lang w:bidi="ar-JO"/>
        </w:rPr>
        <w:t>التصاميم الصناعية</w:t>
      </w:r>
      <w:r w:rsidRPr="00F749F5">
        <w:rPr>
          <w:rFonts w:hint="cs"/>
          <w:rtl/>
          <w:lang w:bidi="ar-JO"/>
        </w:rPr>
        <w:t>: كان الأجانب هم المنتفعون الرئيسيون من حماية التصاميم الصناعية في المنطقة (81</w:t>
      </w:r>
      <w:r w:rsidR="00F749F5" w:rsidRPr="00F749F5">
        <w:rPr>
          <w:rFonts w:hint="cs"/>
          <w:rtl/>
          <w:lang w:bidi="ar-JO"/>
        </w:rPr>
        <w:t>٪</w:t>
      </w:r>
      <w:r w:rsidRPr="00F749F5">
        <w:rPr>
          <w:rFonts w:hint="cs"/>
          <w:rtl/>
          <w:lang w:bidi="ar-JO"/>
        </w:rPr>
        <w:t>). بيد أنهم انتفعوا بها بمستوى يقل بكثير عن مستوى الانتفاع بالبراءات.</w:t>
      </w:r>
    </w:p>
    <w:p w:rsidR="00AF4225" w:rsidRPr="00F749F5" w:rsidRDefault="00AF4225" w:rsidP="00814153">
      <w:pPr>
        <w:pStyle w:val="NormalParaAR"/>
        <w:spacing w:after="200"/>
        <w:ind w:left="567"/>
        <w:rPr>
          <w:rtl/>
          <w:lang w:bidi="ar-JO"/>
        </w:rPr>
      </w:pPr>
      <w:r w:rsidRPr="00F749F5">
        <w:rPr>
          <w:rFonts w:hint="cs"/>
          <w:rtl/>
          <w:lang w:bidi="ar-JO"/>
        </w:rPr>
        <w:t>(د)</w:t>
      </w:r>
      <w:r w:rsidRPr="00F749F5">
        <w:rPr>
          <w:rFonts w:hint="cs"/>
          <w:rtl/>
          <w:lang w:bidi="ar-JO"/>
        </w:rPr>
        <w:tab/>
      </w:r>
      <w:proofErr w:type="gramStart"/>
      <w:r w:rsidRPr="00F749F5">
        <w:rPr>
          <w:rFonts w:hint="cs"/>
          <w:i/>
          <w:iCs/>
          <w:rtl/>
          <w:lang w:bidi="ar-JO"/>
        </w:rPr>
        <w:t>العلامات</w:t>
      </w:r>
      <w:proofErr w:type="gramEnd"/>
      <w:r w:rsidRPr="00F749F5">
        <w:rPr>
          <w:rFonts w:hint="cs"/>
          <w:i/>
          <w:iCs/>
          <w:rtl/>
          <w:lang w:bidi="ar-JO"/>
        </w:rPr>
        <w:t xml:space="preserve"> التجارية</w:t>
      </w:r>
      <w:r w:rsidRPr="00F749F5">
        <w:rPr>
          <w:rFonts w:hint="cs"/>
          <w:rtl/>
          <w:lang w:bidi="ar-JO"/>
        </w:rPr>
        <w:t>: حماية العلامات التجارية هي شكل الملكية الفكرية الأوسع استخداما في المنطقة، حيث إن مستوى الانتفاع المحلي بها (42</w:t>
      </w:r>
      <w:r w:rsidR="00F749F5" w:rsidRPr="00F749F5">
        <w:rPr>
          <w:rFonts w:hint="cs"/>
          <w:rtl/>
          <w:lang w:bidi="ar-JO"/>
        </w:rPr>
        <w:t>٪</w:t>
      </w:r>
      <w:r w:rsidRPr="00F749F5">
        <w:rPr>
          <w:rFonts w:hint="cs"/>
          <w:rtl/>
          <w:lang w:bidi="ar-JO"/>
        </w:rPr>
        <w:t xml:space="preserve">) </w:t>
      </w:r>
      <w:r w:rsidR="00814153" w:rsidRPr="00F749F5">
        <w:rPr>
          <w:rFonts w:hint="cs"/>
          <w:rtl/>
          <w:lang w:bidi="ar-JO"/>
        </w:rPr>
        <w:t>مقارب</w:t>
      </w:r>
      <w:r w:rsidRPr="00F749F5">
        <w:rPr>
          <w:rFonts w:hint="cs"/>
          <w:rtl/>
          <w:lang w:bidi="ar-JO"/>
        </w:rPr>
        <w:t xml:space="preserve"> لمستوى انتفاع الأجانب بها (51</w:t>
      </w:r>
      <w:r w:rsidR="00F749F5" w:rsidRPr="00F749F5">
        <w:rPr>
          <w:rFonts w:hint="cs"/>
          <w:rtl/>
          <w:lang w:bidi="ar-JO"/>
        </w:rPr>
        <w:t>٪</w:t>
      </w:r>
      <w:r w:rsidRPr="00F749F5">
        <w:rPr>
          <w:rFonts w:hint="cs"/>
          <w:rtl/>
          <w:lang w:bidi="ar-JO"/>
        </w:rPr>
        <w:t xml:space="preserve">). والولايات المتحدة الأمريكية هي </w:t>
      </w:r>
      <w:proofErr w:type="gramStart"/>
      <w:r w:rsidRPr="00F749F5">
        <w:rPr>
          <w:rFonts w:hint="cs"/>
          <w:rtl/>
          <w:lang w:bidi="ar-JO"/>
        </w:rPr>
        <w:t>المصدر</w:t>
      </w:r>
      <w:proofErr w:type="gramEnd"/>
      <w:r w:rsidRPr="00F749F5">
        <w:rPr>
          <w:rFonts w:hint="cs"/>
          <w:rtl/>
          <w:lang w:bidi="ar-JO"/>
        </w:rPr>
        <w:t xml:space="preserve"> الأجنبي الرئيسي للعلامات التجارية المسجلة في المنطقة (33</w:t>
      </w:r>
      <w:r w:rsidR="00F749F5" w:rsidRPr="00F749F5">
        <w:rPr>
          <w:rFonts w:hint="cs"/>
          <w:rtl/>
          <w:lang w:bidi="ar-JO"/>
        </w:rPr>
        <w:t>٪</w:t>
      </w:r>
      <w:r w:rsidRPr="00F749F5">
        <w:rPr>
          <w:rFonts w:hint="cs"/>
          <w:rtl/>
          <w:lang w:bidi="ar-JO"/>
        </w:rPr>
        <w:t xml:space="preserve">). </w:t>
      </w:r>
      <w:proofErr w:type="gramStart"/>
      <w:r w:rsidRPr="00F749F5">
        <w:rPr>
          <w:rFonts w:hint="cs"/>
          <w:rtl/>
          <w:lang w:bidi="ar-JO"/>
        </w:rPr>
        <w:t>وتعد</w:t>
      </w:r>
      <w:proofErr w:type="gramEnd"/>
      <w:r w:rsidRPr="00F749F5">
        <w:rPr>
          <w:rFonts w:hint="cs"/>
          <w:rtl/>
          <w:lang w:bidi="ar-JO"/>
        </w:rPr>
        <w:t xml:space="preserve"> المنطقة (دون احتساب الانتفاع المحلي) ثاني أهم مصدر أجنبي للعلامات التجارية المسجلة في المنطقة (12</w:t>
      </w:r>
      <w:r w:rsidR="00F749F5" w:rsidRPr="00F749F5">
        <w:rPr>
          <w:rFonts w:hint="cs"/>
          <w:rtl/>
          <w:lang w:bidi="ar-JO"/>
        </w:rPr>
        <w:t>٪</w:t>
      </w:r>
      <w:r w:rsidRPr="00F749F5">
        <w:rPr>
          <w:rFonts w:hint="cs"/>
          <w:rtl/>
          <w:lang w:bidi="ar-JO"/>
        </w:rPr>
        <w:t xml:space="preserve">). </w:t>
      </w:r>
      <w:proofErr w:type="gramStart"/>
      <w:r w:rsidRPr="00F749F5">
        <w:rPr>
          <w:rFonts w:hint="cs"/>
          <w:rtl/>
          <w:lang w:bidi="ar-JO"/>
        </w:rPr>
        <w:t>وخلافا</w:t>
      </w:r>
      <w:proofErr w:type="gramEnd"/>
      <w:r w:rsidRPr="00F749F5">
        <w:rPr>
          <w:rFonts w:hint="cs"/>
          <w:rtl/>
          <w:lang w:bidi="ar-JO"/>
        </w:rPr>
        <w:t xml:space="preserve"> لذلك، يضعُف انتفاع المنطقة بحماية العلامات التجارية المتاحة في الولايات المتحدة (أقل من 2</w:t>
      </w:r>
      <w:r w:rsidR="00F749F5" w:rsidRPr="00F749F5">
        <w:rPr>
          <w:rFonts w:hint="cs"/>
          <w:rtl/>
          <w:lang w:bidi="ar-JO"/>
        </w:rPr>
        <w:t>٪</w:t>
      </w:r>
      <w:r w:rsidRPr="00F749F5">
        <w:rPr>
          <w:rFonts w:hint="cs"/>
          <w:rtl/>
          <w:lang w:bidi="ar-JO"/>
        </w:rPr>
        <w:t xml:space="preserve">). </w:t>
      </w:r>
      <w:proofErr w:type="gramStart"/>
      <w:r w:rsidRPr="00F749F5">
        <w:rPr>
          <w:rFonts w:hint="cs"/>
          <w:rtl/>
          <w:lang w:bidi="ar-JO"/>
        </w:rPr>
        <w:t>ومن</w:t>
      </w:r>
      <w:proofErr w:type="gramEnd"/>
      <w:r w:rsidRPr="00F749F5">
        <w:rPr>
          <w:rFonts w:hint="cs"/>
          <w:rtl/>
          <w:lang w:bidi="ar-JO"/>
        </w:rPr>
        <w:t xml:space="preserve"> مجموع العلامات التجارية الصادرة من المنطقة، تتراوح نسبة العلامات التجارية التي تُطلب الحماية من أجلها في الولايات المتحدة مقابل العلامات التجارية التي تُطلب الحماية من أجلها في المنطقة (مع استبعاد العلامات التجارية المحلية) ما بين 1 إلى</w:t>
      </w:r>
      <w:r w:rsidRPr="00F749F5">
        <w:rPr>
          <w:rFonts w:hint="eastAsia"/>
          <w:rtl/>
          <w:lang w:bidi="ar-JO"/>
        </w:rPr>
        <w:t> </w:t>
      </w:r>
      <w:r w:rsidRPr="00F749F5">
        <w:rPr>
          <w:rFonts w:hint="cs"/>
          <w:rtl/>
          <w:lang w:bidi="ar-JO"/>
        </w:rPr>
        <w:t>9 (أي أقل من 10</w:t>
      </w:r>
      <w:r w:rsidR="00F749F5" w:rsidRPr="00F749F5">
        <w:rPr>
          <w:rFonts w:hint="cs"/>
          <w:rtl/>
          <w:lang w:bidi="ar-JO"/>
        </w:rPr>
        <w:t>٪</w:t>
      </w:r>
      <w:r w:rsidRPr="00F749F5">
        <w:rPr>
          <w:rFonts w:hint="cs"/>
          <w:rtl/>
          <w:lang w:bidi="ar-JO"/>
        </w:rPr>
        <w:t>).</w:t>
      </w:r>
    </w:p>
    <w:p w:rsidR="00AF4225" w:rsidRPr="00F749F5" w:rsidRDefault="00AF4225" w:rsidP="00691CA7">
      <w:pPr>
        <w:pStyle w:val="Heading2"/>
        <w:spacing w:after="200" w:line="360" w:lineRule="exact"/>
        <w:rPr>
          <w:rtl/>
        </w:rPr>
      </w:pPr>
      <w:r w:rsidRPr="00F749F5">
        <w:rPr>
          <w:rFonts w:hint="cs"/>
          <w:rtl/>
        </w:rPr>
        <w:t xml:space="preserve">التجارة </w:t>
      </w:r>
      <w:proofErr w:type="gramStart"/>
      <w:r w:rsidRPr="00F749F5">
        <w:rPr>
          <w:rFonts w:hint="cs"/>
          <w:rtl/>
        </w:rPr>
        <w:t>والملكية</w:t>
      </w:r>
      <w:proofErr w:type="gramEnd"/>
      <w:r w:rsidRPr="00F749F5">
        <w:rPr>
          <w:rFonts w:hint="cs"/>
          <w:rtl/>
        </w:rPr>
        <w:t xml:space="preserve"> الفكرية</w:t>
      </w:r>
    </w:p>
    <w:p w:rsidR="00AF4225" w:rsidRPr="00F749F5" w:rsidRDefault="00AF4225" w:rsidP="00691CA7">
      <w:pPr>
        <w:pStyle w:val="NormalParaAR"/>
        <w:spacing w:after="200"/>
        <w:rPr>
          <w:rtl/>
          <w:lang w:bidi="ar-JO"/>
        </w:rPr>
      </w:pPr>
      <w:r w:rsidRPr="00F749F5">
        <w:rPr>
          <w:rFonts w:hint="cs"/>
          <w:rtl/>
          <w:lang w:bidi="ar-JO"/>
        </w:rPr>
        <w:t xml:space="preserve">يقابل تناميَ مشاركة المنطقة في التجارة الدولية تزايدٌ في انتفاع المواطنين والأجانب بحماية العلامات التجارية والبراءات والتصاميم الصناعية. غير أن انتفاع البلدان المصنّعة </w:t>
      </w:r>
      <w:r w:rsidRPr="00F749F5">
        <w:rPr>
          <w:rtl/>
          <w:lang w:bidi="ar-JO"/>
        </w:rPr>
        <w:t>–</w:t>
      </w:r>
      <w:r w:rsidRPr="00F749F5">
        <w:rPr>
          <w:rFonts w:hint="cs"/>
          <w:rtl/>
          <w:lang w:bidi="ar-JO"/>
        </w:rPr>
        <w:t xml:space="preserve"> ولا سيما الولايات المتحدة الأمريكية </w:t>
      </w:r>
      <w:r w:rsidRPr="00F749F5">
        <w:rPr>
          <w:rtl/>
          <w:lang w:bidi="ar-JO"/>
        </w:rPr>
        <w:t>–</w:t>
      </w:r>
      <w:r w:rsidRPr="00F749F5">
        <w:rPr>
          <w:rFonts w:hint="cs"/>
          <w:rtl/>
          <w:lang w:bidi="ar-JO"/>
        </w:rPr>
        <w:t xml:space="preserve"> بالملكية الفكرية ازداد بوتيرة أسرع من وتيرة بلدان المنطقة، ولا سيما فيما يخص البراءات والتصاميم الصناعية.</w:t>
      </w:r>
    </w:p>
    <w:p w:rsidR="00AF4225" w:rsidRPr="00F749F5" w:rsidRDefault="00AF4225" w:rsidP="00691CA7">
      <w:pPr>
        <w:pStyle w:val="NormalParaAR"/>
        <w:spacing w:after="200"/>
        <w:rPr>
          <w:rtl/>
          <w:lang w:bidi="ar-JO"/>
        </w:rPr>
      </w:pPr>
      <w:r w:rsidRPr="00F749F5">
        <w:rPr>
          <w:rFonts w:hint="cs"/>
          <w:rtl/>
          <w:lang w:bidi="ar-JO"/>
        </w:rPr>
        <w:t>ويتناقض الحجم الإجمالي لتجارة المنطقة وتخصصها في السلع ذات القيمة المضافة الأعلى مع ضعف مستوى الانتفاع بحماية البراءات والتصاميم الصناعية داخل المنطقة. ويُنتفع بنماذج المنفعة محليا بوجه رئيسي، ولذلك يبدو أنها لم تكن فعالة في الاستراتيجيات التجارية للأجانب، بمن فيهم أولئك الموجودون داخل المنطقة.</w:t>
      </w:r>
    </w:p>
    <w:p w:rsidR="00AF4225" w:rsidRPr="00F749F5" w:rsidRDefault="00AF4225" w:rsidP="00691CA7">
      <w:pPr>
        <w:pStyle w:val="NormalParaAR"/>
        <w:spacing w:after="200"/>
        <w:rPr>
          <w:rtl/>
          <w:lang w:bidi="ar-JO"/>
        </w:rPr>
      </w:pPr>
      <w:proofErr w:type="gramStart"/>
      <w:r w:rsidRPr="00F749F5">
        <w:rPr>
          <w:rFonts w:hint="cs"/>
          <w:rtl/>
          <w:lang w:bidi="ar-JO"/>
        </w:rPr>
        <w:t>وفي</w:t>
      </w:r>
      <w:proofErr w:type="gramEnd"/>
      <w:r w:rsidRPr="00F749F5">
        <w:rPr>
          <w:rFonts w:hint="cs"/>
          <w:rtl/>
          <w:lang w:bidi="ar-JO"/>
        </w:rPr>
        <w:t xml:space="preserve"> المقابل، تطوّر الانتفاع بالعلامات التجارية في المنطقة بوتيرة لا تختلف عن اتجاهات التجارة الدولية. </w:t>
      </w:r>
      <w:proofErr w:type="gramStart"/>
      <w:r w:rsidRPr="00F749F5">
        <w:rPr>
          <w:rFonts w:hint="cs"/>
          <w:rtl/>
          <w:lang w:bidi="ar-JO"/>
        </w:rPr>
        <w:t>وهناك</w:t>
      </w:r>
      <w:proofErr w:type="gramEnd"/>
      <w:r w:rsidRPr="00F749F5">
        <w:rPr>
          <w:rFonts w:hint="cs"/>
          <w:rtl/>
          <w:lang w:bidi="ar-JO"/>
        </w:rPr>
        <w:t xml:space="preserve"> ترابط قائم بين كل زيادة في التجارة وزيادة تناسبية في الانتفاع بالعلامات التجارية في المنطقة. </w:t>
      </w:r>
      <w:proofErr w:type="gramStart"/>
      <w:r w:rsidRPr="00F749F5">
        <w:rPr>
          <w:rFonts w:hint="cs"/>
          <w:rtl/>
          <w:lang w:bidi="ar-JO"/>
        </w:rPr>
        <w:t>وتتبدى</w:t>
      </w:r>
      <w:proofErr w:type="gramEnd"/>
      <w:r w:rsidRPr="00F749F5">
        <w:rPr>
          <w:rFonts w:hint="cs"/>
          <w:rtl/>
          <w:lang w:bidi="ar-JO"/>
        </w:rPr>
        <w:t xml:space="preserve"> الصلة بين الانتفاع بالعلامات التجارية في المنطقة والتجارة بصورة أوضح من الصلة الملحوظة فيما يخص الواردات من خارج المنطقة.</w:t>
      </w:r>
    </w:p>
    <w:p w:rsidR="00AF4225" w:rsidRPr="00F749F5" w:rsidRDefault="00AF4225" w:rsidP="00691CA7">
      <w:pPr>
        <w:pStyle w:val="Heading2"/>
        <w:spacing w:after="200" w:line="360" w:lineRule="exact"/>
        <w:rPr>
          <w:rtl/>
          <w:lang w:bidi="ar-JO"/>
        </w:rPr>
      </w:pPr>
      <w:proofErr w:type="gramStart"/>
      <w:r w:rsidRPr="00F749F5">
        <w:rPr>
          <w:rFonts w:hint="cs"/>
          <w:rtl/>
          <w:lang w:bidi="ar-JO"/>
        </w:rPr>
        <w:t>ملاحظات</w:t>
      </w:r>
      <w:proofErr w:type="gramEnd"/>
      <w:r w:rsidRPr="00F749F5">
        <w:rPr>
          <w:rFonts w:hint="cs"/>
          <w:rtl/>
          <w:lang w:bidi="ar-JO"/>
        </w:rPr>
        <w:t xml:space="preserve"> ختامية</w:t>
      </w:r>
    </w:p>
    <w:p w:rsidR="00AF4225" w:rsidRPr="00F749F5" w:rsidRDefault="00AF4225" w:rsidP="00691CA7">
      <w:pPr>
        <w:pStyle w:val="NormalParaAR"/>
        <w:spacing w:after="200"/>
        <w:rPr>
          <w:rtl/>
          <w:lang w:bidi="ar-JO"/>
        </w:rPr>
      </w:pPr>
      <w:r w:rsidRPr="00F749F5">
        <w:rPr>
          <w:rFonts w:hint="cs"/>
          <w:rtl/>
          <w:lang w:bidi="ar-JO"/>
        </w:rPr>
        <w:t xml:space="preserve">يظهر تحليل الانتفاع بالملكية الفكرية والتجارة أن المنطقة تملك مقومات تؤهلها لتصميم السياسات التي تحفز على تحسين الانتفاع بنظام الملكية الفكرية دعما للاستراتيجيات التجارية. </w:t>
      </w:r>
    </w:p>
    <w:p w:rsidR="00AF4225" w:rsidRPr="00F749F5" w:rsidRDefault="00AF4225" w:rsidP="00691CA7">
      <w:pPr>
        <w:pStyle w:val="NormalParaAR"/>
        <w:spacing w:after="200"/>
        <w:rPr>
          <w:rtl/>
          <w:lang w:bidi="ar-JO"/>
        </w:rPr>
      </w:pPr>
      <w:proofErr w:type="gramStart"/>
      <w:r w:rsidRPr="00F749F5">
        <w:rPr>
          <w:rFonts w:hint="cs"/>
          <w:rtl/>
          <w:lang w:bidi="ar-JO"/>
        </w:rPr>
        <w:t>ويَظهر</w:t>
      </w:r>
      <w:proofErr w:type="gramEnd"/>
      <w:r w:rsidRPr="00F749F5">
        <w:rPr>
          <w:rFonts w:hint="cs"/>
          <w:rtl/>
          <w:lang w:bidi="ar-JO"/>
        </w:rPr>
        <w:t xml:space="preserve"> تباين كبير جدا في أساليب انتفاع مختلف الشركاء التجاريين بكل صك من صكوك الملكية الفكرية ومدى لجوئهم إليها. أما السؤال عن سبب ضعف انتفاع المنطقة بالبراءات والتصاميم لحماية الابتكار والسؤال عن السبل التي يمكن بها للمنطقة أن تستفيد من الانتفاع بالعلامات التجارية لتعميق الروابط التجارية داخلها فهما سؤالان هامان ينبغي تناولهما في المستقبل.</w:t>
      </w:r>
    </w:p>
    <w:p w:rsidR="00FD6DC9" w:rsidRPr="00F749F5" w:rsidRDefault="00AF4225" w:rsidP="00691CA7">
      <w:pPr>
        <w:pStyle w:val="NormalParaAR"/>
        <w:spacing w:after="200"/>
        <w:rPr>
          <w:rtl/>
          <w:lang w:bidi="ar-EG"/>
        </w:rPr>
      </w:pPr>
      <w:proofErr w:type="gramStart"/>
      <w:r w:rsidRPr="00F749F5">
        <w:rPr>
          <w:rFonts w:hint="cs"/>
          <w:rtl/>
          <w:lang w:bidi="ar-JO"/>
        </w:rPr>
        <w:t>بيد</w:t>
      </w:r>
      <w:proofErr w:type="gramEnd"/>
      <w:r w:rsidRPr="00F749F5">
        <w:rPr>
          <w:rFonts w:hint="cs"/>
          <w:rtl/>
          <w:lang w:bidi="ar-JO"/>
        </w:rPr>
        <w:t xml:space="preserve"> أنه من المهم ألا يغيب عن البال أن الملكية الفكرية ليست سوى واحدة من بين ع</w:t>
      </w:r>
      <w:r w:rsidR="007828A4" w:rsidRPr="00F749F5">
        <w:rPr>
          <w:rFonts w:hint="cs"/>
          <w:rtl/>
          <w:lang w:bidi="ar-JO"/>
        </w:rPr>
        <w:t>ُ</w:t>
      </w:r>
      <w:r w:rsidRPr="00F749F5">
        <w:rPr>
          <w:rFonts w:hint="cs"/>
          <w:rtl/>
          <w:lang w:bidi="ar-JO"/>
        </w:rPr>
        <w:t xml:space="preserve">دّة الأدوات الكثيرة التي يستعين بها واضعو السياسات. </w:t>
      </w:r>
      <w:proofErr w:type="gramStart"/>
      <w:r w:rsidRPr="00F749F5">
        <w:rPr>
          <w:rFonts w:hint="cs"/>
          <w:rtl/>
          <w:lang w:bidi="ar-JO"/>
        </w:rPr>
        <w:t>وبوجه</w:t>
      </w:r>
      <w:proofErr w:type="gramEnd"/>
      <w:r w:rsidRPr="00F749F5">
        <w:rPr>
          <w:rFonts w:hint="cs"/>
          <w:rtl/>
          <w:lang w:bidi="ar-JO"/>
        </w:rPr>
        <w:t xml:space="preserve"> خاص، يجب أن يكون تصميم سياسات الملكية الفكرية متسقا مع تصميم سياسات الابتكار والتنافسية وترويج التجارة</w:t>
      </w:r>
      <w:r w:rsidR="00691CA7" w:rsidRPr="00F749F5">
        <w:rPr>
          <w:rFonts w:hint="cs"/>
          <w:rtl/>
          <w:lang w:bidi="ar-EG"/>
        </w:rPr>
        <w:t>.</w:t>
      </w:r>
    </w:p>
    <w:p w:rsidR="008168B0" w:rsidRPr="009E0E1D" w:rsidRDefault="00D8489F" w:rsidP="00691CA7">
      <w:pPr>
        <w:pStyle w:val="EndofDocumentAR"/>
        <w:spacing w:before="240"/>
        <w:rPr>
          <w:lang w:bidi="ar-EG"/>
        </w:rPr>
      </w:pPr>
      <w:r w:rsidRPr="00F749F5">
        <w:rPr>
          <w:rtl/>
          <w:lang w:bidi="ar-EG"/>
        </w:rPr>
        <w:t xml:space="preserve">[نهاية المرفق </w:t>
      </w:r>
      <w:proofErr w:type="gramStart"/>
      <w:r w:rsidRPr="00F749F5">
        <w:rPr>
          <w:rtl/>
          <w:lang w:bidi="ar-EG"/>
        </w:rPr>
        <w:t>والوثيقة</w:t>
      </w:r>
      <w:proofErr w:type="gramEnd"/>
      <w:r w:rsidRPr="00F749F5">
        <w:rPr>
          <w:rtl/>
          <w:lang w:bidi="ar-EG"/>
        </w:rPr>
        <w:t>]</w:t>
      </w:r>
      <w:bookmarkStart w:id="2" w:name="_GoBack"/>
      <w:bookmarkEnd w:id="2"/>
    </w:p>
    <w:sectPr w:rsidR="008168B0" w:rsidRPr="009E0E1D" w:rsidSect="005B3763">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E" w:rsidRDefault="00EA695E">
      <w:r>
        <w:separator/>
      </w:r>
    </w:p>
  </w:endnote>
  <w:endnote w:type="continuationSeparator" w:id="0">
    <w:p w:rsidR="00EA695E" w:rsidRDefault="00EA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E" w:rsidRDefault="00EA695E" w:rsidP="009622BF">
      <w:pPr>
        <w:bidi/>
      </w:pPr>
      <w:bookmarkStart w:id="0" w:name="OLE_LINK1"/>
      <w:bookmarkStart w:id="1" w:name="OLE_LINK2"/>
      <w:r>
        <w:separator/>
      </w:r>
      <w:bookmarkEnd w:id="0"/>
      <w:bookmarkEnd w:id="1"/>
    </w:p>
  </w:footnote>
  <w:footnote w:type="continuationSeparator" w:id="0">
    <w:p w:rsidR="00EA695E" w:rsidRDefault="00EA695E" w:rsidP="009622BF">
      <w:pPr>
        <w:bidi/>
      </w:pPr>
      <w:r>
        <w:separator/>
      </w:r>
    </w:p>
  </w:footnote>
  <w:footnote w:id="1">
    <w:p w:rsidR="00F43264" w:rsidRDefault="00F43264" w:rsidP="00F43264">
      <w:pPr>
        <w:pStyle w:val="FootnoteText"/>
        <w:rPr>
          <w:rtl/>
          <w:lang w:bidi="ar-EG"/>
        </w:rPr>
      </w:pPr>
      <w:r>
        <w:rPr>
          <w:rStyle w:val="FootnoteReference"/>
        </w:rPr>
        <w:footnoteRef/>
      </w:r>
      <w:r>
        <w:rPr>
          <w:rtl/>
        </w:rPr>
        <w:t xml:space="preserve"> </w:t>
      </w:r>
      <w:r w:rsidRPr="00F43264">
        <w:rPr>
          <w:rtl/>
          <w:lang w:bidi="ar-EG"/>
        </w:rPr>
        <w:t xml:space="preserve">يمكن الاطلاع على الدراسة الكاملة </w:t>
      </w:r>
      <w:r>
        <w:rPr>
          <w:rFonts w:hint="cs"/>
          <w:rtl/>
          <w:lang w:bidi="ar-EG"/>
        </w:rPr>
        <w:t xml:space="preserve">في </w:t>
      </w:r>
      <w:r w:rsidRPr="00F43264">
        <w:rPr>
          <w:rtl/>
          <w:lang w:bidi="ar-EG"/>
        </w:rPr>
        <w:t>العنوان التالي:</w:t>
      </w:r>
      <w:r>
        <w:rPr>
          <w:rFonts w:hint="cs"/>
          <w:rtl/>
          <w:lang w:bidi="ar-EG"/>
        </w:rPr>
        <w:t xml:space="preserve"> </w:t>
      </w:r>
      <w:hyperlink r:id="rId1" w:history="1">
        <w:r w:rsidRPr="00AD7DCB">
          <w:rPr>
            <w:rStyle w:val="Hyperlink"/>
            <w:color w:val="auto"/>
            <w:lang w:bidi="ar-EG"/>
          </w:rPr>
          <w:t>http://www.wipo.int/econ_stat/en/economics/studies/</w:t>
        </w:r>
      </w:hyperlink>
      <w:r w:rsidRPr="00AD7DCB">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FA" w:rsidRDefault="004225FA" w:rsidP="00DE30A6">
    <w:r>
      <w:t>CDIP/20/INF/2</w:t>
    </w:r>
  </w:p>
  <w:p w:rsidR="004225FA" w:rsidRDefault="00C83F6F" w:rsidP="00D61541">
    <w:pPr>
      <w:rPr>
        <w:rtl/>
        <w:lang w:bidi="ar-EG"/>
      </w:rPr>
    </w:pPr>
    <w:r>
      <w:fldChar w:fldCharType="begin"/>
    </w:r>
    <w:r w:rsidR="004225FA">
      <w:instrText xml:space="preserve"> PAGE  \* MERGEFORMAT </w:instrText>
    </w:r>
    <w:r>
      <w:fldChar w:fldCharType="separate"/>
    </w:r>
    <w:r w:rsidR="004225FA">
      <w:rPr>
        <w:noProof/>
      </w:rPr>
      <w:t>1</w:t>
    </w:r>
    <w:r>
      <w:fldChar w:fldCharType="end"/>
    </w:r>
    <w:r w:rsidR="004225FA">
      <w:t xml:space="preserve"> </w:t>
    </w:r>
    <w:r w:rsidR="004225FA">
      <w:rPr>
        <w:rFonts w:hint="cs"/>
        <w:rtl/>
        <w:lang w:bidi="ar-EG"/>
      </w:rPr>
      <w:t>المرفق</w:t>
    </w:r>
  </w:p>
  <w:p w:rsidR="004225FA" w:rsidRDefault="004225F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FA" w:rsidRDefault="004225FA" w:rsidP="00AF4225">
    <w:pPr>
      <w:rPr>
        <w:rtl/>
      </w:rPr>
    </w:pPr>
    <w:r>
      <w:t>CDIP/20/INF/</w:t>
    </w:r>
    <w:r w:rsidR="00AF4225">
      <w:t>3</w:t>
    </w:r>
  </w:p>
  <w:p w:rsidR="00CA2F69" w:rsidRDefault="00CA2F69" w:rsidP="00DE30A6">
    <w:r>
      <w:t>Annex</w:t>
    </w:r>
  </w:p>
  <w:p w:rsidR="004225FA" w:rsidRPr="00CA2F69" w:rsidRDefault="00C83F6F" w:rsidP="00CA2F69">
    <w:pPr>
      <w:rPr>
        <w:rFonts w:asciiTheme="minorBidi" w:hAnsiTheme="minorBidi" w:cstheme="minorBidi"/>
        <w:sz w:val="28"/>
        <w:szCs w:val="28"/>
        <w:rtl/>
        <w:lang w:bidi="ar-EG"/>
      </w:rPr>
    </w:pPr>
    <w:r w:rsidRPr="00CA2F69">
      <w:rPr>
        <w:rFonts w:asciiTheme="minorBidi" w:hAnsiTheme="minorBidi" w:cstheme="minorBidi"/>
        <w:szCs w:val="22"/>
      </w:rPr>
      <w:fldChar w:fldCharType="begin"/>
    </w:r>
    <w:r w:rsidR="004225FA" w:rsidRPr="00CA2F69">
      <w:rPr>
        <w:rFonts w:asciiTheme="minorBidi" w:hAnsiTheme="minorBidi" w:cstheme="minorBidi"/>
        <w:szCs w:val="22"/>
      </w:rPr>
      <w:instrText xml:space="preserve"> PAGE  \* MERGEFORMAT </w:instrText>
    </w:r>
    <w:r w:rsidRPr="00CA2F69">
      <w:rPr>
        <w:rFonts w:asciiTheme="minorBidi" w:hAnsiTheme="minorBidi" w:cstheme="minorBidi"/>
        <w:szCs w:val="22"/>
      </w:rPr>
      <w:fldChar w:fldCharType="separate"/>
    </w:r>
    <w:r w:rsidR="00DA69B6">
      <w:rPr>
        <w:rFonts w:asciiTheme="minorBidi" w:hAnsiTheme="minorBidi" w:cstheme="minorBidi"/>
        <w:noProof/>
        <w:szCs w:val="22"/>
      </w:rPr>
      <w:t>4</w:t>
    </w:r>
    <w:r w:rsidRPr="00CA2F69">
      <w:rPr>
        <w:rFonts w:asciiTheme="minorBidi" w:hAnsiTheme="minorBidi" w:cstheme="minorBidi"/>
        <w:szCs w:val="22"/>
      </w:rPr>
      <w:fldChar w:fldCharType="end"/>
    </w:r>
    <w:r w:rsidR="004225FA" w:rsidRPr="00CA2F69">
      <w:rPr>
        <w:rFonts w:asciiTheme="minorBidi" w:hAnsiTheme="minorBidi" w:cstheme="minorBidi"/>
        <w:sz w:val="28"/>
        <w:szCs w:val="28"/>
      </w:rPr>
      <w:t xml:space="preserve"> </w:t>
    </w:r>
  </w:p>
  <w:p w:rsidR="004225FA" w:rsidRDefault="004225FA"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5B3763" w:rsidP="00AF4225">
    <w:pPr>
      <w:pStyle w:val="Header"/>
    </w:pPr>
    <w:r>
      <w:t>CDIP/20/INF/</w:t>
    </w:r>
    <w:r w:rsidR="00AF4225">
      <w:t>3</w:t>
    </w:r>
  </w:p>
  <w:p w:rsidR="000723BF" w:rsidRDefault="000723BF" w:rsidP="005B3763">
    <w:pPr>
      <w:pStyle w:val="Header"/>
    </w:pPr>
    <w:r>
      <w:t>ANNEX</w:t>
    </w:r>
  </w:p>
  <w:p w:rsidR="004225FA" w:rsidRDefault="005B3763" w:rsidP="000723BF">
    <w:pPr>
      <w:pStyle w:val="Header"/>
      <w:bidi/>
      <w:jc w:val="right"/>
      <w:rPr>
        <w:rFonts w:ascii="Arabic Typesetting" w:hAnsi="Arabic Typesetting" w:cs="Arabic Typesetting"/>
        <w:sz w:val="36"/>
        <w:szCs w:val="36"/>
      </w:rPr>
    </w:pPr>
    <w:r w:rsidRPr="000723BF">
      <w:rPr>
        <w:rFonts w:ascii="Arabic Typesetting" w:hAnsi="Arabic Typesetting" w:cs="Arabic Typesetting"/>
        <w:sz w:val="36"/>
        <w:szCs w:val="36"/>
        <w:rtl/>
      </w:rPr>
      <w:t>المرفق</w:t>
    </w:r>
  </w:p>
  <w:p w:rsidR="000723BF" w:rsidRPr="000723BF" w:rsidRDefault="000723BF" w:rsidP="000723BF">
    <w:pPr>
      <w:pStyle w:val="Header"/>
      <w:bidi/>
      <w:jc w:val="right"/>
      <w:rPr>
        <w:rFonts w:asciiTheme="minorBidi" w:hAnsiTheme="minorBidi" w:cstheme="minorBid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535422C0"/>
    <w:lvl w:ilvl="0" w:tplc="9DB84A1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E440EB"/>
    <w:multiLevelType w:val="hybridMultilevel"/>
    <w:tmpl w:val="6BC6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01A63"/>
    <w:multiLevelType w:val="hybridMultilevel"/>
    <w:tmpl w:val="D18C982E"/>
    <w:lvl w:ilvl="0" w:tplc="8EE6A344">
      <w:start w:val="1"/>
      <w:numFmt w:val="decimal"/>
      <w:lvlText w:val="%1."/>
      <w:lvlJc w:val="left"/>
      <w:pPr>
        <w:ind w:left="3405" w:hanging="57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B9278B"/>
    <w:rsid w:val="00000E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4E7"/>
    <w:rsid w:val="00026B4E"/>
    <w:rsid w:val="0002781C"/>
    <w:rsid w:val="00031B2C"/>
    <w:rsid w:val="00033774"/>
    <w:rsid w:val="00033D2C"/>
    <w:rsid w:val="00035CE8"/>
    <w:rsid w:val="00036041"/>
    <w:rsid w:val="00040637"/>
    <w:rsid w:val="00040688"/>
    <w:rsid w:val="0004070F"/>
    <w:rsid w:val="00041076"/>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0FC"/>
    <w:rsid w:val="00061FF5"/>
    <w:rsid w:val="00062502"/>
    <w:rsid w:val="00062525"/>
    <w:rsid w:val="00063C91"/>
    <w:rsid w:val="000640E7"/>
    <w:rsid w:val="00066DC7"/>
    <w:rsid w:val="0006794A"/>
    <w:rsid w:val="00067F31"/>
    <w:rsid w:val="00071138"/>
    <w:rsid w:val="000723BF"/>
    <w:rsid w:val="00073402"/>
    <w:rsid w:val="00075745"/>
    <w:rsid w:val="00075A04"/>
    <w:rsid w:val="00075D39"/>
    <w:rsid w:val="00075D92"/>
    <w:rsid w:val="000760C3"/>
    <w:rsid w:val="000763A4"/>
    <w:rsid w:val="00076901"/>
    <w:rsid w:val="00077556"/>
    <w:rsid w:val="0008237C"/>
    <w:rsid w:val="000833C3"/>
    <w:rsid w:val="0008421F"/>
    <w:rsid w:val="0008451C"/>
    <w:rsid w:val="00085A0B"/>
    <w:rsid w:val="000863B7"/>
    <w:rsid w:val="00087DB6"/>
    <w:rsid w:val="00090086"/>
    <w:rsid w:val="00090139"/>
    <w:rsid w:val="0009024C"/>
    <w:rsid w:val="00090ADD"/>
    <w:rsid w:val="00090E61"/>
    <w:rsid w:val="000913C0"/>
    <w:rsid w:val="00091685"/>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386"/>
    <w:rsid w:val="000A501B"/>
    <w:rsid w:val="000A5408"/>
    <w:rsid w:val="000A6510"/>
    <w:rsid w:val="000A6B46"/>
    <w:rsid w:val="000B0BB4"/>
    <w:rsid w:val="000B1045"/>
    <w:rsid w:val="000B1BAE"/>
    <w:rsid w:val="000B29B3"/>
    <w:rsid w:val="000B3889"/>
    <w:rsid w:val="000B3A4F"/>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0D"/>
    <w:rsid w:val="000C5F21"/>
    <w:rsid w:val="000C662C"/>
    <w:rsid w:val="000C733A"/>
    <w:rsid w:val="000C76B0"/>
    <w:rsid w:val="000D0C07"/>
    <w:rsid w:val="000D0C7C"/>
    <w:rsid w:val="000D1A1D"/>
    <w:rsid w:val="000D5465"/>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DAB"/>
    <w:rsid w:val="000F58C4"/>
    <w:rsid w:val="000F5E56"/>
    <w:rsid w:val="000F70F9"/>
    <w:rsid w:val="001007AB"/>
    <w:rsid w:val="00100F97"/>
    <w:rsid w:val="001012E0"/>
    <w:rsid w:val="001016F2"/>
    <w:rsid w:val="001024C1"/>
    <w:rsid w:val="001037C0"/>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AAC"/>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1BA"/>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91B"/>
    <w:rsid w:val="001B3131"/>
    <w:rsid w:val="001B3BCE"/>
    <w:rsid w:val="001B4B2F"/>
    <w:rsid w:val="001B7C00"/>
    <w:rsid w:val="001C09D2"/>
    <w:rsid w:val="001C1620"/>
    <w:rsid w:val="001C18B2"/>
    <w:rsid w:val="001C1994"/>
    <w:rsid w:val="001C2933"/>
    <w:rsid w:val="001C5EEE"/>
    <w:rsid w:val="001C6A73"/>
    <w:rsid w:val="001C73C2"/>
    <w:rsid w:val="001D0474"/>
    <w:rsid w:val="001D119D"/>
    <w:rsid w:val="001D141D"/>
    <w:rsid w:val="001D1EBD"/>
    <w:rsid w:val="001D2184"/>
    <w:rsid w:val="001D24F3"/>
    <w:rsid w:val="001D2678"/>
    <w:rsid w:val="001D2DC4"/>
    <w:rsid w:val="001D4169"/>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276"/>
    <w:rsid w:val="0026520E"/>
    <w:rsid w:val="00265399"/>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8AF"/>
    <w:rsid w:val="00281F4F"/>
    <w:rsid w:val="0028491D"/>
    <w:rsid w:val="00286744"/>
    <w:rsid w:val="002869FC"/>
    <w:rsid w:val="002909B9"/>
    <w:rsid w:val="00292CEE"/>
    <w:rsid w:val="00292D22"/>
    <w:rsid w:val="0029470D"/>
    <w:rsid w:val="00297B80"/>
    <w:rsid w:val="002A076C"/>
    <w:rsid w:val="002A1059"/>
    <w:rsid w:val="002A3C9D"/>
    <w:rsid w:val="002A5250"/>
    <w:rsid w:val="002A5403"/>
    <w:rsid w:val="002A6C9F"/>
    <w:rsid w:val="002A77F3"/>
    <w:rsid w:val="002B09EF"/>
    <w:rsid w:val="002B14F0"/>
    <w:rsid w:val="002B1F0F"/>
    <w:rsid w:val="002B53D3"/>
    <w:rsid w:val="002B6202"/>
    <w:rsid w:val="002C014C"/>
    <w:rsid w:val="002C060C"/>
    <w:rsid w:val="002C0BA6"/>
    <w:rsid w:val="002C12A7"/>
    <w:rsid w:val="002C20A1"/>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64B"/>
    <w:rsid w:val="002F4CE2"/>
    <w:rsid w:val="002F5F6A"/>
    <w:rsid w:val="002F60A4"/>
    <w:rsid w:val="002F6B0C"/>
    <w:rsid w:val="002F7389"/>
    <w:rsid w:val="002F77FC"/>
    <w:rsid w:val="003003A1"/>
    <w:rsid w:val="003004A6"/>
    <w:rsid w:val="00301162"/>
    <w:rsid w:val="0030129C"/>
    <w:rsid w:val="003013E2"/>
    <w:rsid w:val="00301FE4"/>
    <w:rsid w:val="00303E3A"/>
    <w:rsid w:val="00305417"/>
    <w:rsid w:val="00306127"/>
    <w:rsid w:val="0030641B"/>
    <w:rsid w:val="003067C8"/>
    <w:rsid w:val="00310809"/>
    <w:rsid w:val="00311453"/>
    <w:rsid w:val="003114C9"/>
    <w:rsid w:val="0031229D"/>
    <w:rsid w:val="00314E12"/>
    <w:rsid w:val="0031517A"/>
    <w:rsid w:val="003166A5"/>
    <w:rsid w:val="00316C8C"/>
    <w:rsid w:val="003174C2"/>
    <w:rsid w:val="00317CE4"/>
    <w:rsid w:val="00320DF4"/>
    <w:rsid w:val="00321293"/>
    <w:rsid w:val="003219A9"/>
    <w:rsid w:val="00321B00"/>
    <w:rsid w:val="00321C54"/>
    <w:rsid w:val="00321DCD"/>
    <w:rsid w:val="0032261F"/>
    <w:rsid w:val="00323016"/>
    <w:rsid w:val="003237A2"/>
    <w:rsid w:val="00324729"/>
    <w:rsid w:val="00325C8B"/>
    <w:rsid w:val="00327011"/>
    <w:rsid w:val="00334127"/>
    <w:rsid w:val="00335CA6"/>
    <w:rsid w:val="003365F0"/>
    <w:rsid w:val="00336C50"/>
    <w:rsid w:val="00337388"/>
    <w:rsid w:val="0034007D"/>
    <w:rsid w:val="00342D17"/>
    <w:rsid w:val="003433E5"/>
    <w:rsid w:val="00344082"/>
    <w:rsid w:val="00344EEC"/>
    <w:rsid w:val="0034582C"/>
    <w:rsid w:val="00345916"/>
    <w:rsid w:val="00345CAC"/>
    <w:rsid w:val="0034789E"/>
    <w:rsid w:val="003501DA"/>
    <w:rsid w:val="003503E2"/>
    <w:rsid w:val="00351DC1"/>
    <w:rsid w:val="0035228E"/>
    <w:rsid w:val="003534EE"/>
    <w:rsid w:val="003600A2"/>
    <w:rsid w:val="003612D8"/>
    <w:rsid w:val="00363701"/>
    <w:rsid w:val="003637B6"/>
    <w:rsid w:val="00363F89"/>
    <w:rsid w:val="00363FB0"/>
    <w:rsid w:val="003646D6"/>
    <w:rsid w:val="00364FC6"/>
    <w:rsid w:val="0036541D"/>
    <w:rsid w:val="00370504"/>
    <w:rsid w:val="00371814"/>
    <w:rsid w:val="00372011"/>
    <w:rsid w:val="00372BAE"/>
    <w:rsid w:val="00372EE9"/>
    <w:rsid w:val="00373F07"/>
    <w:rsid w:val="00374A60"/>
    <w:rsid w:val="0037501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3B8"/>
    <w:rsid w:val="003B46AD"/>
    <w:rsid w:val="003B5C96"/>
    <w:rsid w:val="003B65FB"/>
    <w:rsid w:val="003B6A26"/>
    <w:rsid w:val="003C218D"/>
    <w:rsid w:val="003C3D89"/>
    <w:rsid w:val="003C3EE2"/>
    <w:rsid w:val="003C4224"/>
    <w:rsid w:val="003C426D"/>
    <w:rsid w:val="003C4694"/>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1F"/>
    <w:rsid w:val="003E3AE3"/>
    <w:rsid w:val="003E55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067B"/>
    <w:rsid w:val="004223DD"/>
    <w:rsid w:val="004225FA"/>
    <w:rsid w:val="00422A2A"/>
    <w:rsid w:val="004240A5"/>
    <w:rsid w:val="00424BB4"/>
    <w:rsid w:val="004258CD"/>
    <w:rsid w:val="004261D2"/>
    <w:rsid w:val="004303D1"/>
    <w:rsid w:val="00433C0A"/>
    <w:rsid w:val="00433F5E"/>
    <w:rsid w:val="004349FA"/>
    <w:rsid w:val="004406BD"/>
    <w:rsid w:val="00442FBE"/>
    <w:rsid w:val="004433B1"/>
    <w:rsid w:val="00443571"/>
    <w:rsid w:val="004444E3"/>
    <w:rsid w:val="004447FD"/>
    <w:rsid w:val="00445032"/>
    <w:rsid w:val="004450CB"/>
    <w:rsid w:val="00446967"/>
    <w:rsid w:val="00446AB6"/>
    <w:rsid w:val="00450C5C"/>
    <w:rsid w:val="00450EEE"/>
    <w:rsid w:val="004512B2"/>
    <w:rsid w:val="004528EE"/>
    <w:rsid w:val="004532F4"/>
    <w:rsid w:val="00453360"/>
    <w:rsid w:val="00456409"/>
    <w:rsid w:val="004569C6"/>
    <w:rsid w:val="00456ADC"/>
    <w:rsid w:val="0045768F"/>
    <w:rsid w:val="00457769"/>
    <w:rsid w:val="004627AE"/>
    <w:rsid w:val="0046298E"/>
    <w:rsid w:val="004647BB"/>
    <w:rsid w:val="0046482B"/>
    <w:rsid w:val="004648E0"/>
    <w:rsid w:val="00472043"/>
    <w:rsid w:val="004721A2"/>
    <w:rsid w:val="00472F56"/>
    <w:rsid w:val="0047335E"/>
    <w:rsid w:val="00473CA1"/>
    <w:rsid w:val="0047572C"/>
    <w:rsid w:val="00475890"/>
    <w:rsid w:val="00475BF5"/>
    <w:rsid w:val="00476407"/>
    <w:rsid w:val="004773F7"/>
    <w:rsid w:val="00481F5F"/>
    <w:rsid w:val="004821D0"/>
    <w:rsid w:val="00482CB2"/>
    <w:rsid w:val="00483D06"/>
    <w:rsid w:val="00485A4A"/>
    <w:rsid w:val="00485CF7"/>
    <w:rsid w:val="004862C2"/>
    <w:rsid w:val="004863F7"/>
    <w:rsid w:val="00486FFC"/>
    <w:rsid w:val="004871F5"/>
    <w:rsid w:val="00490ED4"/>
    <w:rsid w:val="00491B91"/>
    <w:rsid w:val="00491C21"/>
    <w:rsid w:val="00491C66"/>
    <w:rsid w:val="004935D6"/>
    <w:rsid w:val="00494195"/>
    <w:rsid w:val="004945FB"/>
    <w:rsid w:val="00497356"/>
    <w:rsid w:val="004A076F"/>
    <w:rsid w:val="004A1DC1"/>
    <w:rsid w:val="004A1E44"/>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B90"/>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4D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73C"/>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B69"/>
    <w:rsid w:val="005A5554"/>
    <w:rsid w:val="005A5651"/>
    <w:rsid w:val="005A6AFE"/>
    <w:rsid w:val="005A7BF3"/>
    <w:rsid w:val="005A7DE0"/>
    <w:rsid w:val="005B0AEF"/>
    <w:rsid w:val="005B0B4C"/>
    <w:rsid w:val="005B3763"/>
    <w:rsid w:val="005B37D9"/>
    <w:rsid w:val="005B445B"/>
    <w:rsid w:val="005B474E"/>
    <w:rsid w:val="005B489A"/>
    <w:rsid w:val="005B63A6"/>
    <w:rsid w:val="005B64D1"/>
    <w:rsid w:val="005B6A88"/>
    <w:rsid w:val="005B6E05"/>
    <w:rsid w:val="005B7F42"/>
    <w:rsid w:val="005C1D45"/>
    <w:rsid w:val="005C3C9B"/>
    <w:rsid w:val="005C410C"/>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27"/>
    <w:rsid w:val="00601A1F"/>
    <w:rsid w:val="00602655"/>
    <w:rsid w:val="00603B68"/>
    <w:rsid w:val="00605297"/>
    <w:rsid w:val="00605CB9"/>
    <w:rsid w:val="006065BF"/>
    <w:rsid w:val="00607C00"/>
    <w:rsid w:val="00610430"/>
    <w:rsid w:val="00611858"/>
    <w:rsid w:val="00613D13"/>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E1E"/>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247"/>
    <w:rsid w:val="0064656E"/>
    <w:rsid w:val="00646802"/>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CA7"/>
    <w:rsid w:val="00692777"/>
    <w:rsid w:val="00692BE0"/>
    <w:rsid w:val="00692C98"/>
    <w:rsid w:val="0069324E"/>
    <w:rsid w:val="00694487"/>
    <w:rsid w:val="00695815"/>
    <w:rsid w:val="0069581B"/>
    <w:rsid w:val="00696601"/>
    <w:rsid w:val="006977FA"/>
    <w:rsid w:val="00697B3D"/>
    <w:rsid w:val="006A20FB"/>
    <w:rsid w:val="006A339D"/>
    <w:rsid w:val="006A4462"/>
    <w:rsid w:val="006A45BD"/>
    <w:rsid w:val="006A5907"/>
    <w:rsid w:val="006A5B59"/>
    <w:rsid w:val="006A659D"/>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3A1"/>
    <w:rsid w:val="006C2DC5"/>
    <w:rsid w:val="006C480B"/>
    <w:rsid w:val="006C570B"/>
    <w:rsid w:val="006C572E"/>
    <w:rsid w:val="006C5997"/>
    <w:rsid w:val="006C5CD2"/>
    <w:rsid w:val="006C64F6"/>
    <w:rsid w:val="006D0636"/>
    <w:rsid w:val="006D06DC"/>
    <w:rsid w:val="006D6E46"/>
    <w:rsid w:val="006D7FA8"/>
    <w:rsid w:val="006E4601"/>
    <w:rsid w:val="006E5B86"/>
    <w:rsid w:val="006E63FF"/>
    <w:rsid w:val="006E652D"/>
    <w:rsid w:val="006E6BC1"/>
    <w:rsid w:val="006E7572"/>
    <w:rsid w:val="006F2F22"/>
    <w:rsid w:val="006F434A"/>
    <w:rsid w:val="006F5D65"/>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E5C"/>
    <w:rsid w:val="0074049B"/>
    <w:rsid w:val="0074130E"/>
    <w:rsid w:val="00743937"/>
    <w:rsid w:val="00744889"/>
    <w:rsid w:val="00744910"/>
    <w:rsid w:val="00745752"/>
    <w:rsid w:val="00745ABD"/>
    <w:rsid w:val="00745BA4"/>
    <w:rsid w:val="00745E8A"/>
    <w:rsid w:val="007462E8"/>
    <w:rsid w:val="00746F2D"/>
    <w:rsid w:val="0074734F"/>
    <w:rsid w:val="00750177"/>
    <w:rsid w:val="0075057F"/>
    <w:rsid w:val="0075066D"/>
    <w:rsid w:val="0075105A"/>
    <w:rsid w:val="00752AEC"/>
    <w:rsid w:val="00752FBA"/>
    <w:rsid w:val="00753324"/>
    <w:rsid w:val="0075458D"/>
    <w:rsid w:val="007554A9"/>
    <w:rsid w:val="007556F5"/>
    <w:rsid w:val="00757105"/>
    <w:rsid w:val="00757B82"/>
    <w:rsid w:val="007601EC"/>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A4"/>
    <w:rsid w:val="007828FF"/>
    <w:rsid w:val="00783D11"/>
    <w:rsid w:val="00785E46"/>
    <w:rsid w:val="00787917"/>
    <w:rsid w:val="00787D3F"/>
    <w:rsid w:val="00791489"/>
    <w:rsid w:val="007915BE"/>
    <w:rsid w:val="00791683"/>
    <w:rsid w:val="00792F0C"/>
    <w:rsid w:val="00795460"/>
    <w:rsid w:val="00796CF7"/>
    <w:rsid w:val="007A0313"/>
    <w:rsid w:val="007A0A83"/>
    <w:rsid w:val="007A12EF"/>
    <w:rsid w:val="007A2C2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09C"/>
    <w:rsid w:val="007C09C4"/>
    <w:rsid w:val="007C25E9"/>
    <w:rsid w:val="007C2F78"/>
    <w:rsid w:val="007C34C5"/>
    <w:rsid w:val="007C4079"/>
    <w:rsid w:val="007C4827"/>
    <w:rsid w:val="007C4A20"/>
    <w:rsid w:val="007D0B7F"/>
    <w:rsid w:val="007D1266"/>
    <w:rsid w:val="007D1B94"/>
    <w:rsid w:val="007D3B4F"/>
    <w:rsid w:val="007D458D"/>
    <w:rsid w:val="007D4E8C"/>
    <w:rsid w:val="007D538F"/>
    <w:rsid w:val="007D65CD"/>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FB5"/>
    <w:rsid w:val="007F56BB"/>
    <w:rsid w:val="007F63CE"/>
    <w:rsid w:val="007F6C2B"/>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8B2"/>
    <w:rsid w:val="00814153"/>
    <w:rsid w:val="0081421D"/>
    <w:rsid w:val="00814ADB"/>
    <w:rsid w:val="00815C5D"/>
    <w:rsid w:val="0081618F"/>
    <w:rsid w:val="008168B0"/>
    <w:rsid w:val="00816A81"/>
    <w:rsid w:val="008174D1"/>
    <w:rsid w:val="008178B2"/>
    <w:rsid w:val="0082165E"/>
    <w:rsid w:val="00822136"/>
    <w:rsid w:val="00822470"/>
    <w:rsid w:val="00822AAF"/>
    <w:rsid w:val="00822F01"/>
    <w:rsid w:val="008232A6"/>
    <w:rsid w:val="00823898"/>
    <w:rsid w:val="008239D1"/>
    <w:rsid w:val="00824071"/>
    <w:rsid w:val="008246B2"/>
    <w:rsid w:val="0082488A"/>
    <w:rsid w:val="00824B1D"/>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00A"/>
    <w:rsid w:val="008362AE"/>
    <w:rsid w:val="00837719"/>
    <w:rsid w:val="00840419"/>
    <w:rsid w:val="008405FC"/>
    <w:rsid w:val="00840A24"/>
    <w:rsid w:val="00840F1B"/>
    <w:rsid w:val="0084117A"/>
    <w:rsid w:val="00842827"/>
    <w:rsid w:val="00842965"/>
    <w:rsid w:val="00844300"/>
    <w:rsid w:val="008458BD"/>
    <w:rsid w:val="00846956"/>
    <w:rsid w:val="00846CF1"/>
    <w:rsid w:val="00847622"/>
    <w:rsid w:val="008505B8"/>
    <w:rsid w:val="00851005"/>
    <w:rsid w:val="00851513"/>
    <w:rsid w:val="00851ADD"/>
    <w:rsid w:val="00855CA6"/>
    <w:rsid w:val="00860323"/>
    <w:rsid w:val="00860F4F"/>
    <w:rsid w:val="008610B9"/>
    <w:rsid w:val="00862656"/>
    <w:rsid w:val="00863013"/>
    <w:rsid w:val="00863F67"/>
    <w:rsid w:val="0086483A"/>
    <w:rsid w:val="00866714"/>
    <w:rsid w:val="0087049C"/>
    <w:rsid w:val="00870AAD"/>
    <w:rsid w:val="00870EDE"/>
    <w:rsid w:val="00871DA0"/>
    <w:rsid w:val="00872030"/>
    <w:rsid w:val="00873973"/>
    <w:rsid w:val="00875C28"/>
    <w:rsid w:val="00875E75"/>
    <w:rsid w:val="0087658F"/>
    <w:rsid w:val="0087762E"/>
    <w:rsid w:val="00877823"/>
    <w:rsid w:val="008803F5"/>
    <w:rsid w:val="008806C0"/>
    <w:rsid w:val="00880C06"/>
    <w:rsid w:val="008812BF"/>
    <w:rsid w:val="00881341"/>
    <w:rsid w:val="00882931"/>
    <w:rsid w:val="00884939"/>
    <w:rsid w:val="008853E0"/>
    <w:rsid w:val="00885BE2"/>
    <w:rsid w:val="00885C87"/>
    <w:rsid w:val="008863C8"/>
    <w:rsid w:val="00886D40"/>
    <w:rsid w:val="00887A0E"/>
    <w:rsid w:val="008907F3"/>
    <w:rsid w:val="008920C2"/>
    <w:rsid w:val="0089319F"/>
    <w:rsid w:val="00893E5A"/>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18D"/>
    <w:rsid w:val="008B4941"/>
    <w:rsid w:val="008B4984"/>
    <w:rsid w:val="008B4F60"/>
    <w:rsid w:val="008B54D4"/>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1153"/>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535"/>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0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96F"/>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4A7"/>
    <w:rsid w:val="009728F2"/>
    <w:rsid w:val="00972BEF"/>
    <w:rsid w:val="00973BCF"/>
    <w:rsid w:val="009744BC"/>
    <w:rsid w:val="00974E60"/>
    <w:rsid w:val="00975896"/>
    <w:rsid w:val="00975DF1"/>
    <w:rsid w:val="00976AFE"/>
    <w:rsid w:val="009804AE"/>
    <w:rsid w:val="00983CEA"/>
    <w:rsid w:val="00984198"/>
    <w:rsid w:val="0098475C"/>
    <w:rsid w:val="00984E04"/>
    <w:rsid w:val="00986194"/>
    <w:rsid w:val="009861D2"/>
    <w:rsid w:val="00986E53"/>
    <w:rsid w:val="00987A1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1EF"/>
    <w:rsid w:val="009B528E"/>
    <w:rsid w:val="009B54FE"/>
    <w:rsid w:val="009B77DD"/>
    <w:rsid w:val="009C0CED"/>
    <w:rsid w:val="009C13BF"/>
    <w:rsid w:val="009C2943"/>
    <w:rsid w:val="009C3D67"/>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B46"/>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2DED"/>
    <w:rsid w:val="00A245F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791"/>
    <w:rsid w:val="00A43904"/>
    <w:rsid w:val="00A4582E"/>
    <w:rsid w:val="00A45BD2"/>
    <w:rsid w:val="00A45DFA"/>
    <w:rsid w:val="00A46A1E"/>
    <w:rsid w:val="00A46A36"/>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2B5"/>
    <w:rsid w:val="00A71670"/>
    <w:rsid w:val="00A72874"/>
    <w:rsid w:val="00A72E48"/>
    <w:rsid w:val="00A7359C"/>
    <w:rsid w:val="00A73616"/>
    <w:rsid w:val="00A73F15"/>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6C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D7DCB"/>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225"/>
    <w:rsid w:val="00AF4D6A"/>
    <w:rsid w:val="00AF5D2C"/>
    <w:rsid w:val="00AF5D6E"/>
    <w:rsid w:val="00AF6318"/>
    <w:rsid w:val="00AF752E"/>
    <w:rsid w:val="00B0072E"/>
    <w:rsid w:val="00B03B63"/>
    <w:rsid w:val="00B0513A"/>
    <w:rsid w:val="00B0620B"/>
    <w:rsid w:val="00B066BE"/>
    <w:rsid w:val="00B072A3"/>
    <w:rsid w:val="00B07FCD"/>
    <w:rsid w:val="00B1149C"/>
    <w:rsid w:val="00B11F60"/>
    <w:rsid w:val="00B121EF"/>
    <w:rsid w:val="00B127AA"/>
    <w:rsid w:val="00B130CB"/>
    <w:rsid w:val="00B14D9D"/>
    <w:rsid w:val="00B14EF5"/>
    <w:rsid w:val="00B16048"/>
    <w:rsid w:val="00B17063"/>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AF9"/>
    <w:rsid w:val="00B3398B"/>
    <w:rsid w:val="00B33B1E"/>
    <w:rsid w:val="00B362D9"/>
    <w:rsid w:val="00B36B99"/>
    <w:rsid w:val="00B36D20"/>
    <w:rsid w:val="00B36F67"/>
    <w:rsid w:val="00B40345"/>
    <w:rsid w:val="00B40633"/>
    <w:rsid w:val="00B43202"/>
    <w:rsid w:val="00B44049"/>
    <w:rsid w:val="00B44318"/>
    <w:rsid w:val="00B44C4B"/>
    <w:rsid w:val="00B477CB"/>
    <w:rsid w:val="00B508A7"/>
    <w:rsid w:val="00B52081"/>
    <w:rsid w:val="00B52695"/>
    <w:rsid w:val="00B545AF"/>
    <w:rsid w:val="00B55B09"/>
    <w:rsid w:val="00B56711"/>
    <w:rsid w:val="00B575AC"/>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31C"/>
    <w:rsid w:val="00B85B06"/>
    <w:rsid w:val="00B90558"/>
    <w:rsid w:val="00B922AE"/>
    <w:rsid w:val="00B9278B"/>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BF2"/>
    <w:rsid w:val="00BB1388"/>
    <w:rsid w:val="00BB2683"/>
    <w:rsid w:val="00BB40DF"/>
    <w:rsid w:val="00BB5E2C"/>
    <w:rsid w:val="00BB7D9E"/>
    <w:rsid w:val="00BC16AC"/>
    <w:rsid w:val="00BC2B7B"/>
    <w:rsid w:val="00BC3AE8"/>
    <w:rsid w:val="00BC3AF4"/>
    <w:rsid w:val="00BC43A8"/>
    <w:rsid w:val="00BC4576"/>
    <w:rsid w:val="00BC5C6D"/>
    <w:rsid w:val="00BC6930"/>
    <w:rsid w:val="00BC7120"/>
    <w:rsid w:val="00BC76A3"/>
    <w:rsid w:val="00BD00D1"/>
    <w:rsid w:val="00BD07A2"/>
    <w:rsid w:val="00BD2603"/>
    <w:rsid w:val="00BD4EEC"/>
    <w:rsid w:val="00BD4F34"/>
    <w:rsid w:val="00BD537C"/>
    <w:rsid w:val="00BD6F5B"/>
    <w:rsid w:val="00BD7662"/>
    <w:rsid w:val="00BE05ED"/>
    <w:rsid w:val="00BE0F1D"/>
    <w:rsid w:val="00BE350E"/>
    <w:rsid w:val="00BE36FD"/>
    <w:rsid w:val="00BE3801"/>
    <w:rsid w:val="00BE38CF"/>
    <w:rsid w:val="00BE394B"/>
    <w:rsid w:val="00BE4583"/>
    <w:rsid w:val="00BE48A8"/>
    <w:rsid w:val="00BE528F"/>
    <w:rsid w:val="00BE5850"/>
    <w:rsid w:val="00BE58D6"/>
    <w:rsid w:val="00BE5CA6"/>
    <w:rsid w:val="00BE61F3"/>
    <w:rsid w:val="00BE707F"/>
    <w:rsid w:val="00BE7F5D"/>
    <w:rsid w:val="00BF0707"/>
    <w:rsid w:val="00BF164F"/>
    <w:rsid w:val="00BF1AAF"/>
    <w:rsid w:val="00BF268B"/>
    <w:rsid w:val="00BF3B1D"/>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2C3"/>
    <w:rsid w:val="00C2338E"/>
    <w:rsid w:val="00C23FB0"/>
    <w:rsid w:val="00C24021"/>
    <w:rsid w:val="00C248AF"/>
    <w:rsid w:val="00C24B09"/>
    <w:rsid w:val="00C24BDE"/>
    <w:rsid w:val="00C24E9F"/>
    <w:rsid w:val="00C260C1"/>
    <w:rsid w:val="00C274B0"/>
    <w:rsid w:val="00C32151"/>
    <w:rsid w:val="00C3217A"/>
    <w:rsid w:val="00C33551"/>
    <w:rsid w:val="00C3357D"/>
    <w:rsid w:val="00C33A28"/>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319"/>
    <w:rsid w:val="00C57ED3"/>
    <w:rsid w:val="00C61640"/>
    <w:rsid w:val="00C61AA7"/>
    <w:rsid w:val="00C61B8E"/>
    <w:rsid w:val="00C668DE"/>
    <w:rsid w:val="00C6700B"/>
    <w:rsid w:val="00C7044F"/>
    <w:rsid w:val="00C720F8"/>
    <w:rsid w:val="00C7294B"/>
    <w:rsid w:val="00C72EED"/>
    <w:rsid w:val="00C75139"/>
    <w:rsid w:val="00C7525C"/>
    <w:rsid w:val="00C76CF7"/>
    <w:rsid w:val="00C83A4C"/>
    <w:rsid w:val="00C83C26"/>
    <w:rsid w:val="00C83F6F"/>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F69"/>
    <w:rsid w:val="00CA34BA"/>
    <w:rsid w:val="00CA4503"/>
    <w:rsid w:val="00CA5A66"/>
    <w:rsid w:val="00CA651B"/>
    <w:rsid w:val="00CA7853"/>
    <w:rsid w:val="00CA796A"/>
    <w:rsid w:val="00CB1221"/>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74D"/>
    <w:rsid w:val="00D07D07"/>
    <w:rsid w:val="00D10F87"/>
    <w:rsid w:val="00D1149D"/>
    <w:rsid w:val="00D11B8E"/>
    <w:rsid w:val="00D11D8D"/>
    <w:rsid w:val="00D12B12"/>
    <w:rsid w:val="00D12DD7"/>
    <w:rsid w:val="00D13A8C"/>
    <w:rsid w:val="00D149E1"/>
    <w:rsid w:val="00D14A44"/>
    <w:rsid w:val="00D15BCC"/>
    <w:rsid w:val="00D1628F"/>
    <w:rsid w:val="00D162D2"/>
    <w:rsid w:val="00D21D89"/>
    <w:rsid w:val="00D22522"/>
    <w:rsid w:val="00D22657"/>
    <w:rsid w:val="00D228DF"/>
    <w:rsid w:val="00D2320A"/>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0B6"/>
    <w:rsid w:val="00D45D8F"/>
    <w:rsid w:val="00D50332"/>
    <w:rsid w:val="00D50B71"/>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6D5"/>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489F"/>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9B6"/>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0B4"/>
    <w:rsid w:val="00DD50C9"/>
    <w:rsid w:val="00DD6729"/>
    <w:rsid w:val="00DD7960"/>
    <w:rsid w:val="00DD7B0D"/>
    <w:rsid w:val="00DE1F29"/>
    <w:rsid w:val="00DE2D17"/>
    <w:rsid w:val="00DE30A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BC1"/>
    <w:rsid w:val="00E03AE8"/>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C21"/>
    <w:rsid w:val="00E3560E"/>
    <w:rsid w:val="00E363CD"/>
    <w:rsid w:val="00E365C4"/>
    <w:rsid w:val="00E36C7F"/>
    <w:rsid w:val="00E37652"/>
    <w:rsid w:val="00E3768F"/>
    <w:rsid w:val="00E402BC"/>
    <w:rsid w:val="00E41403"/>
    <w:rsid w:val="00E418C7"/>
    <w:rsid w:val="00E41933"/>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B6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710"/>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6E16"/>
    <w:rsid w:val="00E77A56"/>
    <w:rsid w:val="00E77C2E"/>
    <w:rsid w:val="00E80A1A"/>
    <w:rsid w:val="00E8292A"/>
    <w:rsid w:val="00E82A77"/>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95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336"/>
    <w:rsid w:val="00EE7604"/>
    <w:rsid w:val="00EE7912"/>
    <w:rsid w:val="00EE7915"/>
    <w:rsid w:val="00EF0465"/>
    <w:rsid w:val="00EF0BA2"/>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1F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EE3"/>
    <w:rsid w:val="00F37CFD"/>
    <w:rsid w:val="00F37D33"/>
    <w:rsid w:val="00F40178"/>
    <w:rsid w:val="00F40DB9"/>
    <w:rsid w:val="00F40ED1"/>
    <w:rsid w:val="00F415A3"/>
    <w:rsid w:val="00F41778"/>
    <w:rsid w:val="00F41B3E"/>
    <w:rsid w:val="00F421D1"/>
    <w:rsid w:val="00F4323B"/>
    <w:rsid w:val="00F43264"/>
    <w:rsid w:val="00F43B8E"/>
    <w:rsid w:val="00F45196"/>
    <w:rsid w:val="00F45D51"/>
    <w:rsid w:val="00F46842"/>
    <w:rsid w:val="00F4765F"/>
    <w:rsid w:val="00F479B5"/>
    <w:rsid w:val="00F47A1B"/>
    <w:rsid w:val="00F47C4B"/>
    <w:rsid w:val="00F53775"/>
    <w:rsid w:val="00F539A6"/>
    <w:rsid w:val="00F55E0E"/>
    <w:rsid w:val="00F5611D"/>
    <w:rsid w:val="00F56E3E"/>
    <w:rsid w:val="00F5717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67EB7"/>
    <w:rsid w:val="00F70472"/>
    <w:rsid w:val="00F71430"/>
    <w:rsid w:val="00F71A8A"/>
    <w:rsid w:val="00F744EB"/>
    <w:rsid w:val="00F749F5"/>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321"/>
    <w:rsid w:val="00F92728"/>
    <w:rsid w:val="00F937AF"/>
    <w:rsid w:val="00F94494"/>
    <w:rsid w:val="00F96483"/>
    <w:rsid w:val="00F9648C"/>
    <w:rsid w:val="00F96671"/>
    <w:rsid w:val="00F9680E"/>
    <w:rsid w:val="00F96E21"/>
    <w:rsid w:val="00FA00AF"/>
    <w:rsid w:val="00FA0A0A"/>
    <w:rsid w:val="00FA0C9D"/>
    <w:rsid w:val="00FA169B"/>
    <w:rsid w:val="00FA2C4B"/>
    <w:rsid w:val="00FA53B9"/>
    <w:rsid w:val="00FA5CC6"/>
    <w:rsid w:val="00FA64D5"/>
    <w:rsid w:val="00FA6760"/>
    <w:rsid w:val="00FA70F6"/>
    <w:rsid w:val="00FA7420"/>
    <w:rsid w:val="00FA756C"/>
    <w:rsid w:val="00FA75E4"/>
    <w:rsid w:val="00FA776B"/>
    <w:rsid w:val="00FB07ED"/>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C9"/>
    <w:rsid w:val="00FD6E54"/>
    <w:rsid w:val="00FE01B5"/>
    <w:rsid w:val="00FE03BB"/>
    <w:rsid w:val="00FE0BF0"/>
    <w:rsid w:val="00FE15A2"/>
    <w:rsid w:val="00FE20CE"/>
    <w:rsid w:val="00FE2BCA"/>
    <w:rsid w:val="00FE3B37"/>
    <w:rsid w:val="00FE4B40"/>
    <w:rsid w:val="00FE4DCE"/>
    <w:rsid w:val="00FE5A83"/>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3F6F"/>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nhideWhenUsed/>
    <w:rsid w:val="006A659D"/>
    <w:rPr>
      <w:color w:val="0000FF" w:themeColor="hyperlink"/>
      <w:u w:val="single"/>
    </w:rPr>
  </w:style>
  <w:style w:type="character" w:styleId="FollowedHyperlink">
    <w:name w:val="FollowedHyperlink"/>
    <w:basedOn w:val="DefaultParagraphFont"/>
    <w:semiHidden/>
    <w:unhideWhenUsed/>
    <w:rsid w:val="00E01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basedOn w:val="DefaultParagraphFont"/>
    <w:unhideWhenUsed/>
    <w:rsid w:val="006A6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DI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3F91-8B13-4597-BFF1-A5C0191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CDIP_20_AR.dotx</Template>
  <TotalTime>196</TotalTime>
  <Pages>6</Pages>
  <Words>2160</Words>
  <Characters>12432</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CDIP/20/INF/2 (Arabic)</vt:lpstr>
      <vt:lpstr>CDIP/20/INF/2 (Arabic)</vt:lpstr>
    </vt:vector>
  </TitlesOfParts>
  <Company>World Intellectual Property Organization</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CDIP/20/INF/2 (Arabic)</dc:title>
  <dc:creator>BEN ALI Lassad</dc:creator>
  <cp:lastModifiedBy>BEN ALI Lassad</cp:lastModifiedBy>
  <cp:revision>6</cp:revision>
  <cp:lastPrinted>2017-11-10T16:23:00Z</cp:lastPrinted>
  <dcterms:created xsi:type="dcterms:W3CDTF">2017-11-10T10:08:00Z</dcterms:created>
  <dcterms:modified xsi:type="dcterms:W3CDTF">2017-11-10T16:24:00Z</dcterms:modified>
</cp:coreProperties>
</file>