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1667B6" w:rsidTr="00B6101C">
        <w:tc>
          <w:tcPr>
            <w:tcW w:w="4843" w:type="dxa"/>
            <w:tcBorders>
              <w:bottom w:val="single" w:sz="4" w:space="0" w:color="auto"/>
            </w:tcBorders>
          </w:tcPr>
          <w:p w:rsidR="001667B6" w:rsidRDefault="001667B6" w:rsidP="001667B6">
            <w:pPr>
              <w:bidi/>
              <w:rPr>
                <w:rFonts w:ascii="Arabic Typesetting" w:hAnsi="Arabic Typesetting" w:cs="Arabic Typesetting"/>
                <w:sz w:val="36"/>
                <w:szCs w:val="36"/>
                <w:rtl/>
              </w:rPr>
            </w:pPr>
          </w:p>
        </w:tc>
        <w:tc>
          <w:tcPr>
            <w:tcW w:w="4223" w:type="dxa"/>
            <w:tcBorders>
              <w:bottom w:val="single" w:sz="4" w:space="0" w:color="auto"/>
            </w:tcBorders>
          </w:tcPr>
          <w:p w:rsidR="001667B6" w:rsidRDefault="009C0CED" w:rsidP="00237419">
            <w:pPr>
              <w:bidi/>
              <w:spacing w:after="20"/>
              <w:rPr>
                <w:rFonts w:ascii="Arabic Typesetting" w:hAnsi="Arabic Typesetting" w:cs="Arabic Typesetting"/>
                <w:sz w:val="36"/>
                <w:szCs w:val="36"/>
                <w:rtl/>
              </w:rPr>
            </w:pPr>
            <w:r>
              <w:rPr>
                <w:noProof/>
              </w:rPr>
              <w:drawing>
                <wp:inline distT="0" distB="0" distL="0" distR="0" wp14:anchorId="357A1C0B" wp14:editId="28929416">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1667B6" w:rsidRPr="001667B6" w:rsidRDefault="001667B6" w:rsidP="001667B6">
            <w:pPr>
              <w:rPr>
                <w:b/>
                <w:bCs/>
                <w:sz w:val="40"/>
                <w:szCs w:val="40"/>
              </w:rPr>
            </w:pPr>
            <w:r>
              <w:rPr>
                <w:b/>
                <w:bCs/>
                <w:sz w:val="40"/>
                <w:szCs w:val="40"/>
              </w:rPr>
              <w:t>A</w:t>
            </w:r>
          </w:p>
        </w:tc>
      </w:tr>
      <w:tr w:rsidR="001667B6" w:rsidTr="00B6101C">
        <w:trPr>
          <w:trHeight w:val="333"/>
        </w:trPr>
        <w:tc>
          <w:tcPr>
            <w:tcW w:w="9571" w:type="dxa"/>
            <w:gridSpan w:val="3"/>
            <w:tcBorders>
              <w:top w:val="single" w:sz="4" w:space="0" w:color="auto"/>
            </w:tcBorders>
            <w:vAlign w:val="bottom"/>
          </w:tcPr>
          <w:p w:rsidR="00B6101C" w:rsidRPr="00B6101C" w:rsidRDefault="0021704F" w:rsidP="008F262E">
            <w:pPr>
              <w:pStyle w:val="DocumentCodeAR"/>
              <w:bidi/>
              <w:rPr>
                <w:rtl/>
              </w:rPr>
            </w:pPr>
            <w:r>
              <w:t>CDIP</w:t>
            </w:r>
            <w:r w:rsidR="00100F97">
              <w:t>/</w:t>
            </w:r>
            <w:r w:rsidR="008F262E">
              <w:t>20</w:t>
            </w:r>
            <w:r w:rsidR="00B1191F">
              <w:t>/6</w:t>
            </w:r>
          </w:p>
        </w:tc>
      </w:tr>
      <w:tr w:rsidR="001667B6" w:rsidTr="00BF164F">
        <w:tc>
          <w:tcPr>
            <w:tcW w:w="9571" w:type="dxa"/>
            <w:gridSpan w:val="3"/>
          </w:tcPr>
          <w:p w:rsidR="001667B6" w:rsidRPr="00B6101C" w:rsidRDefault="00B6101C" w:rsidP="00B1191F">
            <w:pPr>
              <w:pStyle w:val="DocumentLanguageAR"/>
              <w:bidi/>
              <w:rPr>
                <w:rtl/>
              </w:rPr>
            </w:pPr>
            <w:r w:rsidRPr="00B6101C">
              <w:rPr>
                <w:rFonts w:hint="cs"/>
                <w:rtl/>
              </w:rPr>
              <w:t xml:space="preserve">الأصل: </w:t>
            </w:r>
            <w:proofErr w:type="gramStart"/>
            <w:r w:rsidR="00B1191F">
              <w:rPr>
                <w:rFonts w:hint="cs"/>
                <w:rtl/>
              </w:rPr>
              <w:t>بالإنكليزية</w:t>
            </w:r>
            <w:proofErr w:type="gramEnd"/>
          </w:p>
        </w:tc>
      </w:tr>
      <w:tr w:rsidR="001667B6" w:rsidTr="00BF164F">
        <w:tc>
          <w:tcPr>
            <w:tcW w:w="9571" w:type="dxa"/>
            <w:gridSpan w:val="3"/>
          </w:tcPr>
          <w:p w:rsidR="001667B6" w:rsidRPr="00B6101C" w:rsidRDefault="00B6101C" w:rsidP="00B1191F">
            <w:pPr>
              <w:pStyle w:val="DocumentDateAR"/>
              <w:bidi/>
              <w:rPr>
                <w:rtl/>
              </w:rPr>
            </w:pPr>
            <w:r w:rsidRPr="00B6101C">
              <w:rPr>
                <w:rFonts w:hint="cs"/>
                <w:rtl/>
              </w:rPr>
              <w:t xml:space="preserve">التاريخ: </w:t>
            </w:r>
            <w:r w:rsidR="00B1191F">
              <w:rPr>
                <w:rFonts w:hint="cs"/>
                <w:rtl/>
              </w:rPr>
              <w:t>12</w:t>
            </w:r>
            <w:r w:rsidRPr="00B6101C">
              <w:rPr>
                <w:rFonts w:hint="cs"/>
                <w:rtl/>
              </w:rPr>
              <w:t xml:space="preserve"> </w:t>
            </w:r>
            <w:proofErr w:type="gramStart"/>
            <w:r w:rsidR="00B1191F">
              <w:rPr>
                <w:rFonts w:hint="cs"/>
                <w:rtl/>
              </w:rPr>
              <w:t>أكتوبر</w:t>
            </w:r>
            <w:proofErr w:type="gramEnd"/>
            <w:r w:rsidRPr="00B6101C">
              <w:rPr>
                <w:rFonts w:hint="cs"/>
                <w:rtl/>
              </w:rPr>
              <w:t xml:space="preserve"> </w:t>
            </w:r>
            <w:r w:rsidR="00475BF5">
              <w:t>2017</w:t>
            </w:r>
          </w:p>
        </w:tc>
      </w:tr>
    </w:tbl>
    <w:p w:rsidR="000F5E56" w:rsidRDefault="000F5E56" w:rsidP="001667B6">
      <w:pPr>
        <w:bidi/>
        <w:spacing w:line="360" w:lineRule="exact"/>
        <w:rPr>
          <w:rFonts w:ascii="Arabic Typesetting" w:hAnsi="Arabic Typesetting" w:cs="Arabic Typesetting"/>
          <w:sz w:val="36"/>
          <w:szCs w:val="36"/>
          <w:rtl/>
        </w:rPr>
      </w:pPr>
    </w:p>
    <w:p w:rsidR="001667B6" w:rsidRDefault="001667B6" w:rsidP="001667B6">
      <w:pPr>
        <w:bidi/>
        <w:spacing w:line="360" w:lineRule="exact"/>
        <w:rPr>
          <w:rFonts w:ascii="Arabic Typesetting" w:hAnsi="Arabic Typesetting" w:cs="Arabic Typesetting"/>
          <w:sz w:val="36"/>
          <w:szCs w:val="36"/>
          <w:rtl/>
        </w:rPr>
      </w:pPr>
    </w:p>
    <w:p w:rsidR="00F27305" w:rsidRDefault="00F27305" w:rsidP="00F27305">
      <w:pPr>
        <w:bidi/>
        <w:spacing w:line="360" w:lineRule="exact"/>
        <w:rPr>
          <w:rFonts w:ascii="Arabic Typesetting" w:hAnsi="Arabic Typesetting" w:cs="Arabic Typesetting"/>
          <w:sz w:val="36"/>
          <w:szCs w:val="36"/>
          <w:rtl/>
        </w:rPr>
      </w:pPr>
    </w:p>
    <w:p w:rsidR="001667B6" w:rsidRPr="007828FF" w:rsidRDefault="0021704F" w:rsidP="00796CF7">
      <w:pPr>
        <w:pStyle w:val="MeetingTitleAR"/>
        <w:bidi/>
        <w:ind w:right="550"/>
        <w:rPr>
          <w:rtl/>
        </w:rPr>
      </w:pPr>
      <w:r w:rsidRPr="0021704F">
        <w:rPr>
          <w:rtl/>
        </w:rPr>
        <w:t xml:space="preserve">اللجنة المعنية بالتنمية </w:t>
      </w:r>
      <w:proofErr w:type="gramStart"/>
      <w:r w:rsidRPr="0021704F">
        <w:rPr>
          <w:rtl/>
        </w:rPr>
        <w:t>والملكية</w:t>
      </w:r>
      <w:proofErr w:type="gramEnd"/>
      <w:r w:rsidRPr="0021704F">
        <w:rPr>
          <w:rtl/>
        </w:rPr>
        <w:t xml:space="preserve"> الفكرية</w:t>
      </w:r>
    </w:p>
    <w:p w:rsidR="001667B6" w:rsidRDefault="001667B6" w:rsidP="001667B6">
      <w:pPr>
        <w:bidi/>
        <w:spacing w:line="360" w:lineRule="exact"/>
        <w:rPr>
          <w:rFonts w:ascii="Arabic Typesetting" w:hAnsi="Arabic Typesetting" w:cs="Arabic Typesetting"/>
          <w:sz w:val="36"/>
          <w:szCs w:val="36"/>
          <w:rtl/>
        </w:rPr>
      </w:pPr>
    </w:p>
    <w:p w:rsidR="0021704F" w:rsidRPr="00783D11" w:rsidRDefault="0021704F" w:rsidP="008F262E">
      <w:pPr>
        <w:pStyle w:val="MeetingSessionAR"/>
        <w:bidi/>
        <w:rPr>
          <w:rFonts w:ascii="Cambria Math" w:hAnsi="Cambria Math"/>
          <w:rtl/>
        </w:rPr>
      </w:pPr>
      <w:proofErr w:type="gramStart"/>
      <w:r w:rsidRPr="00783D11">
        <w:rPr>
          <w:rFonts w:ascii="Cambria Math" w:hAnsi="Cambria Math"/>
          <w:rtl/>
        </w:rPr>
        <w:t>الدورة</w:t>
      </w:r>
      <w:proofErr w:type="gramEnd"/>
      <w:r w:rsidRPr="00783D11">
        <w:rPr>
          <w:rFonts w:ascii="Cambria Math" w:hAnsi="Cambria Math"/>
          <w:rtl/>
        </w:rPr>
        <w:t xml:space="preserve"> </w:t>
      </w:r>
      <w:r w:rsidR="008F262E">
        <w:rPr>
          <w:rFonts w:ascii="Cambria Math" w:hAnsi="Cambria Math" w:hint="cs"/>
          <w:rtl/>
        </w:rPr>
        <w:t>العشرون</w:t>
      </w:r>
    </w:p>
    <w:p w:rsidR="0021704F" w:rsidRPr="00D61541" w:rsidRDefault="0021704F" w:rsidP="008F262E">
      <w:pPr>
        <w:pStyle w:val="MeetingDatesAR"/>
        <w:bidi/>
      </w:pPr>
      <w:r w:rsidRPr="00D61541">
        <w:rPr>
          <w:rFonts w:hint="cs"/>
          <w:rtl/>
        </w:rPr>
        <w:t xml:space="preserve">جنيف، من </w:t>
      </w:r>
      <w:r w:rsidR="008F262E">
        <w:rPr>
          <w:rFonts w:hint="cs"/>
          <w:rtl/>
        </w:rPr>
        <w:t>27</w:t>
      </w:r>
      <w:r>
        <w:rPr>
          <w:rFonts w:hint="cs"/>
          <w:rtl/>
        </w:rPr>
        <w:t xml:space="preserve"> </w:t>
      </w:r>
      <w:r w:rsidR="008F262E">
        <w:rPr>
          <w:rFonts w:hint="cs"/>
          <w:rtl/>
        </w:rPr>
        <w:t xml:space="preserve">نوفمبر </w:t>
      </w:r>
      <w:r>
        <w:rPr>
          <w:rFonts w:hint="cs"/>
          <w:rtl/>
        </w:rPr>
        <w:t xml:space="preserve">إلى </w:t>
      </w:r>
      <w:r w:rsidR="008F262E">
        <w:rPr>
          <w:rFonts w:hint="cs"/>
          <w:rtl/>
        </w:rPr>
        <w:t xml:space="preserve">1 ديسمبر </w:t>
      </w:r>
      <w:r w:rsidR="00475BF5">
        <w:rPr>
          <w:rFonts w:hint="cs"/>
          <w:rtl/>
        </w:rPr>
        <w:t>2017</w:t>
      </w:r>
    </w:p>
    <w:p w:rsidR="00D61541" w:rsidRDefault="00D61541" w:rsidP="00D61541">
      <w:pPr>
        <w:bidi/>
        <w:spacing w:line="360" w:lineRule="exact"/>
        <w:rPr>
          <w:rFonts w:ascii="Arabic Typesetting" w:hAnsi="Arabic Typesetting" w:cs="Arabic Typesetting"/>
          <w:sz w:val="36"/>
          <w:szCs w:val="36"/>
          <w:rtl/>
        </w:rPr>
      </w:pPr>
    </w:p>
    <w:p w:rsidR="00D61541" w:rsidRDefault="00D61541" w:rsidP="00D61541">
      <w:pPr>
        <w:bidi/>
        <w:spacing w:line="360" w:lineRule="exact"/>
        <w:rPr>
          <w:rFonts w:ascii="Arabic Typesetting" w:hAnsi="Arabic Typesetting" w:cs="Arabic Typesetting"/>
          <w:sz w:val="36"/>
          <w:szCs w:val="36"/>
          <w:rtl/>
        </w:rPr>
      </w:pPr>
    </w:p>
    <w:p w:rsidR="00D61541" w:rsidRPr="00D61541" w:rsidRDefault="001D6850" w:rsidP="00B24835">
      <w:pPr>
        <w:pStyle w:val="DocumentTitleAR"/>
        <w:bidi/>
        <w:rPr>
          <w:rtl/>
        </w:rPr>
      </w:pPr>
      <w:r>
        <w:rPr>
          <w:rFonts w:hint="cs"/>
          <w:rtl/>
        </w:rPr>
        <w:t xml:space="preserve">تقرير عن قاعدة بيانات الويبو </w:t>
      </w:r>
      <w:r w:rsidR="00B24835">
        <w:rPr>
          <w:rFonts w:hint="cs"/>
          <w:rtl/>
        </w:rPr>
        <w:t xml:space="preserve">المشتملة على قائمة </w:t>
      </w:r>
      <w:r>
        <w:rPr>
          <w:rFonts w:hint="cs"/>
          <w:rtl/>
        </w:rPr>
        <w:t>الخبراء الاستشاريين</w:t>
      </w:r>
    </w:p>
    <w:p w:rsidR="00D61541" w:rsidRPr="00D61541" w:rsidRDefault="00D61541" w:rsidP="00931859">
      <w:pPr>
        <w:pStyle w:val="PreparedbyAR"/>
        <w:bidi/>
        <w:rPr>
          <w:rtl/>
        </w:rPr>
      </w:pPr>
      <w:proofErr w:type="gramStart"/>
      <w:r w:rsidRPr="00D61541">
        <w:rPr>
          <w:rFonts w:hint="cs"/>
          <w:rtl/>
        </w:rPr>
        <w:t>من</w:t>
      </w:r>
      <w:proofErr w:type="gramEnd"/>
      <w:r w:rsidRPr="00D61541">
        <w:rPr>
          <w:rFonts w:hint="cs"/>
          <w:rtl/>
        </w:rPr>
        <w:t xml:space="preserve"> </w:t>
      </w:r>
      <w:r w:rsidRPr="00931859">
        <w:rPr>
          <w:rFonts w:hint="cs"/>
          <w:rtl/>
        </w:rPr>
        <w:t>إعداد</w:t>
      </w:r>
      <w:r w:rsidR="001D6850">
        <w:rPr>
          <w:rFonts w:hint="cs"/>
          <w:rtl/>
        </w:rPr>
        <w:t xml:space="preserve"> الأمانة</w:t>
      </w:r>
    </w:p>
    <w:p w:rsidR="00CF79DF" w:rsidRDefault="00B14AD7" w:rsidP="002E6ECB">
      <w:pPr>
        <w:pStyle w:val="NumberedParaAR"/>
        <w:rPr>
          <w:rFonts w:hint="cs"/>
        </w:rPr>
      </w:pPr>
      <w:proofErr w:type="gramStart"/>
      <w:r>
        <w:rPr>
          <w:rFonts w:hint="cs"/>
          <w:rtl/>
        </w:rPr>
        <w:t>وافقت ا</w:t>
      </w:r>
      <w:proofErr w:type="gramEnd"/>
      <w:r>
        <w:rPr>
          <w:rFonts w:hint="cs"/>
          <w:rtl/>
        </w:rPr>
        <w:t>للجنة المعنية بالتنمية والملكية الفكرية (لجنة التنمية)، في دورتها الثامنة عشرة المعقودة في الفترة من 31</w:t>
      </w:r>
      <w:r>
        <w:rPr>
          <w:rFonts w:hint="eastAsia"/>
          <w:rtl/>
        </w:rPr>
        <w:t> </w:t>
      </w:r>
      <w:r>
        <w:rPr>
          <w:rFonts w:hint="cs"/>
          <w:rtl/>
        </w:rPr>
        <w:t>أكتوبر إلى 4</w:t>
      </w:r>
      <w:r>
        <w:rPr>
          <w:rFonts w:hint="eastAsia"/>
          <w:rtl/>
        </w:rPr>
        <w:t> </w:t>
      </w:r>
      <w:r>
        <w:rPr>
          <w:rFonts w:hint="cs"/>
          <w:rtl/>
        </w:rPr>
        <w:t>نوفمبر</w:t>
      </w:r>
      <w:r>
        <w:rPr>
          <w:rFonts w:hint="eastAsia"/>
          <w:rtl/>
        </w:rPr>
        <w:t> </w:t>
      </w:r>
      <w:r>
        <w:rPr>
          <w:rFonts w:hint="cs"/>
          <w:rtl/>
        </w:rPr>
        <w:t xml:space="preserve">2016، </w:t>
      </w:r>
      <w:r w:rsidR="002E6ECB">
        <w:rPr>
          <w:rFonts w:hint="cs"/>
          <w:rtl/>
        </w:rPr>
        <w:t>على اقتراح</w:t>
      </w:r>
      <w:r w:rsidR="00B24835">
        <w:rPr>
          <w:rFonts w:hint="cs"/>
          <w:rtl/>
        </w:rPr>
        <w:t xml:space="preserve"> من ست نقاط وردت فيه جملة أمور منها "</w:t>
      </w:r>
      <w:r w:rsidR="00B24835" w:rsidRPr="00B24835">
        <w:rPr>
          <w:rtl/>
        </w:rPr>
        <w:t>الطلب من الأمانة أن تحدّث بشكل دوري، وإن أمكن أن تجدّد القائمة الإلكترونية للخبراء والاستشاريين لأغراض المساعدة التقنية.</w:t>
      </w:r>
      <w:r w:rsidR="00B24835">
        <w:rPr>
          <w:rFonts w:hint="cs"/>
          <w:rtl/>
        </w:rPr>
        <w:t>"</w:t>
      </w:r>
      <w:r w:rsidR="00B24835">
        <w:rPr>
          <w:rStyle w:val="FootnoteReference"/>
          <w:rtl/>
        </w:rPr>
        <w:footnoteReference w:id="1"/>
      </w:r>
      <w:r w:rsidR="00B24835">
        <w:rPr>
          <w:rFonts w:hint="cs"/>
          <w:rtl/>
        </w:rPr>
        <w:t xml:space="preserve"> ويرد ذلك الطلب في الفقرة</w:t>
      </w:r>
      <w:r w:rsidR="00B24835">
        <w:rPr>
          <w:rFonts w:hint="eastAsia"/>
          <w:rtl/>
        </w:rPr>
        <w:t> </w:t>
      </w:r>
      <w:r w:rsidR="00B24835">
        <w:rPr>
          <w:rFonts w:hint="cs"/>
          <w:rtl/>
        </w:rPr>
        <w:t>5 من الملحق الأول من ملخص رئيس الدورة السابعة عشرة للجنة التنمية.</w:t>
      </w:r>
    </w:p>
    <w:p w:rsidR="00B24835" w:rsidRDefault="00B24835" w:rsidP="00B24835">
      <w:pPr>
        <w:pStyle w:val="NumberedParaAR"/>
        <w:rPr>
          <w:rFonts w:hint="cs"/>
        </w:rPr>
      </w:pPr>
      <w:r>
        <w:rPr>
          <w:rFonts w:hint="cs"/>
          <w:rtl/>
        </w:rPr>
        <w:t>وتسعى هذه الوثيقة إلى الاستجابة لذلك الطلب. وبالتالي فهي توفر معلومات أساسية عن قاعدة بيانات الويبو المشتملة على قائمة الخبراء الاستشاريين</w:t>
      </w:r>
      <w:r w:rsidR="003C1B73">
        <w:rPr>
          <w:rFonts w:hint="cs"/>
          <w:rtl/>
        </w:rPr>
        <w:t xml:space="preserve"> (القائمة)</w:t>
      </w:r>
      <w:r>
        <w:rPr>
          <w:rFonts w:hint="cs"/>
          <w:rtl/>
        </w:rPr>
        <w:t>، ووصفا للقائمة الحالية، ووصفا لاستخدام تلك القاعدة وتحديثها في المستقبل.</w:t>
      </w:r>
    </w:p>
    <w:p w:rsidR="00B24835" w:rsidRDefault="00B24835">
      <w:pPr>
        <w:rPr>
          <w:rFonts w:ascii="Arabic Typesetting" w:hAnsi="Arabic Typesetting" w:cs="Arabic Typesetting"/>
          <w:sz w:val="36"/>
          <w:szCs w:val="36"/>
          <w:rtl/>
        </w:rPr>
      </w:pPr>
      <w:r>
        <w:rPr>
          <w:rtl/>
        </w:rPr>
        <w:br w:type="page"/>
      </w:r>
    </w:p>
    <w:p w:rsidR="00B24835" w:rsidRPr="00E056A2" w:rsidRDefault="00B24835" w:rsidP="00B24835">
      <w:pPr>
        <w:pStyle w:val="NumberedParaAR"/>
        <w:keepNext/>
        <w:numPr>
          <w:ilvl w:val="0"/>
          <w:numId w:val="0"/>
        </w:numPr>
        <w:rPr>
          <w:b/>
          <w:bCs/>
          <w:sz w:val="40"/>
          <w:szCs w:val="40"/>
          <w:rtl/>
        </w:rPr>
      </w:pPr>
      <w:proofErr w:type="gramStart"/>
      <w:r w:rsidRPr="00E056A2">
        <w:rPr>
          <w:rFonts w:hint="cs"/>
          <w:b/>
          <w:bCs/>
          <w:sz w:val="40"/>
          <w:szCs w:val="40"/>
          <w:rtl/>
        </w:rPr>
        <w:lastRenderedPageBreak/>
        <w:t>معلومات</w:t>
      </w:r>
      <w:proofErr w:type="gramEnd"/>
      <w:r w:rsidRPr="00E056A2">
        <w:rPr>
          <w:rFonts w:hint="cs"/>
          <w:b/>
          <w:bCs/>
          <w:sz w:val="40"/>
          <w:szCs w:val="40"/>
          <w:rtl/>
        </w:rPr>
        <w:t xml:space="preserve"> أساسية</w:t>
      </w:r>
    </w:p>
    <w:p w:rsidR="00CF79DF" w:rsidRDefault="00366961" w:rsidP="00366961">
      <w:pPr>
        <w:pStyle w:val="NumberedParaAR"/>
      </w:pPr>
      <w:r>
        <w:rPr>
          <w:rFonts w:hint="cs"/>
          <w:rtl/>
        </w:rPr>
        <w:t>يرد في نص التوصية 6 من أجندة الويبو للتنمية أنه "</w:t>
      </w:r>
      <w:r w:rsidRPr="00366961">
        <w:rPr>
          <w:rFonts w:ascii="Arial" w:hAnsi="Arial" w:cs="Arial"/>
          <w:color w:val="3B3B3B"/>
          <w:sz w:val="22"/>
          <w:szCs w:val="20"/>
          <w:rtl/>
          <w:lang w:bidi="ar"/>
        </w:rPr>
        <w:t xml:space="preserve"> </w:t>
      </w:r>
      <w:r w:rsidRPr="00366961">
        <w:rPr>
          <w:rtl/>
          <w:lang w:bidi="ar"/>
        </w:rPr>
        <w:t>على موظفي الويبو وخبرائها الاستشاريين العاملين في مجال المساعدة التقنية الاستمرار في التزام الحياد والقابلية للمساءلة بإيلاء أهمية خاصة لمدونة أخلاق المهنة القائمة وتجنب ما قد يحدث من تضارب في المصالح. ويتعين على الويبو إعداد لائحة بالخبراء الاستشاريين لديها في مجال المساعدة التقنية والتعريف بهم لدى الدول الأعضاء</w:t>
      </w:r>
      <w:r w:rsidRPr="00366961">
        <w:t>.</w:t>
      </w:r>
      <w:r>
        <w:rPr>
          <w:rFonts w:hint="cs"/>
          <w:rtl/>
        </w:rPr>
        <w:t>"</w:t>
      </w:r>
      <w:r>
        <w:rPr>
          <w:rStyle w:val="FootnoteReference"/>
          <w:rtl/>
        </w:rPr>
        <w:footnoteReference w:id="2"/>
      </w:r>
    </w:p>
    <w:p w:rsidR="009F513E" w:rsidRDefault="00870B78" w:rsidP="002E6ECB">
      <w:pPr>
        <w:pStyle w:val="NumberedParaAR"/>
        <w:rPr>
          <w:rFonts w:hint="cs"/>
        </w:rPr>
      </w:pPr>
      <w:r>
        <w:rPr>
          <w:rFonts w:hint="cs"/>
          <w:rtl/>
        </w:rPr>
        <w:t xml:space="preserve">وحدّدت الجمعية العامة </w:t>
      </w:r>
      <w:proofErr w:type="spellStart"/>
      <w:r>
        <w:rPr>
          <w:rFonts w:hint="cs"/>
          <w:rtl/>
        </w:rPr>
        <w:t>للويبو</w:t>
      </w:r>
      <w:proofErr w:type="spellEnd"/>
      <w:r>
        <w:rPr>
          <w:rFonts w:hint="cs"/>
          <w:rtl/>
        </w:rPr>
        <w:t>، في عام 2007، تلك التوصية كي تُنفذ بشكل عاجل لعدم اقتضائها أية موارد بشرية أو</w:t>
      </w:r>
      <w:r>
        <w:rPr>
          <w:rFonts w:hint="eastAsia"/>
          <w:rtl/>
        </w:rPr>
        <w:t> </w:t>
      </w:r>
      <w:r>
        <w:rPr>
          <w:rFonts w:hint="cs"/>
          <w:rtl/>
        </w:rPr>
        <w:t xml:space="preserve">مالية إضافية. واستجابة </w:t>
      </w:r>
      <w:proofErr w:type="gramStart"/>
      <w:r>
        <w:rPr>
          <w:rFonts w:hint="cs"/>
          <w:rtl/>
        </w:rPr>
        <w:t>لتلك</w:t>
      </w:r>
      <w:proofErr w:type="gramEnd"/>
      <w:r>
        <w:rPr>
          <w:rFonts w:hint="cs"/>
          <w:rtl/>
        </w:rPr>
        <w:t xml:space="preserve"> التوصية، أعدت الأمانة الوثيقة </w:t>
      </w:r>
      <w:r w:rsidRPr="00870B78">
        <w:t>CDIP/3/2</w:t>
      </w:r>
      <w:r>
        <w:rPr>
          <w:rFonts w:hint="cs"/>
          <w:rtl/>
        </w:rPr>
        <w:t xml:space="preserve"> وقدمتها إلى الدورة الثالثة للجنة التنمية. وشملت تلك الوثيقة قائمة بكل الخبراء الاستشاريين المتعاقدين مع الويبو في إطار اتفاق للخدمات الخاصة خلال الفترة الممتدة بين يناير 2005 وديسمبر 2008 وغير العاملين لا في مقرّ الويبو الرئيسي ولا في أي من مكاتبها التنسيقية.</w:t>
      </w:r>
      <w:r>
        <w:rPr>
          <w:rStyle w:val="FootnoteReference"/>
          <w:rtl/>
        </w:rPr>
        <w:footnoteReference w:id="3"/>
      </w:r>
      <w:r>
        <w:rPr>
          <w:rFonts w:hint="cs"/>
          <w:rtl/>
        </w:rPr>
        <w:t xml:space="preserve"> </w:t>
      </w:r>
      <w:proofErr w:type="gramStart"/>
      <w:r>
        <w:rPr>
          <w:rFonts w:hint="cs"/>
          <w:rtl/>
        </w:rPr>
        <w:t>وأحاطت</w:t>
      </w:r>
      <w:proofErr w:type="gramEnd"/>
      <w:r>
        <w:rPr>
          <w:rFonts w:hint="cs"/>
          <w:rtl/>
        </w:rPr>
        <w:t xml:space="preserve"> اللجنة علما بالمعلومات الواردة</w:t>
      </w:r>
      <w:r w:rsidR="00962493">
        <w:rPr>
          <w:rFonts w:hint="cs"/>
          <w:rtl/>
        </w:rPr>
        <w:t xml:space="preserve"> في الوثيقة ووافقت على بضعة تغييرات، مثل بيان الخبراء الاستشاريين </w:t>
      </w:r>
      <w:r w:rsidR="00213F93">
        <w:rPr>
          <w:rFonts w:hint="cs"/>
          <w:rtl/>
        </w:rPr>
        <w:t>ممن</w:t>
      </w:r>
      <w:r w:rsidR="00962493">
        <w:rPr>
          <w:rFonts w:hint="cs"/>
          <w:rtl/>
        </w:rPr>
        <w:t xml:space="preserve"> تُعد لغتهم </w:t>
      </w:r>
      <w:r w:rsidR="00913DBE">
        <w:rPr>
          <w:rFonts w:hint="cs"/>
          <w:rtl/>
        </w:rPr>
        <w:t>الأم</w:t>
      </w:r>
      <w:r w:rsidR="00962493">
        <w:rPr>
          <w:rFonts w:hint="cs"/>
          <w:rtl/>
        </w:rPr>
        <w:t xml:space="preserve"> إحدى لغات الأمم المتحدة الرسمية الست</w:t>
      </w:r>
      <w:r w:rsidR="00213F93">
        <w:rPr>
          <w:rFonts w:hint="cs"/>
          <w:rtl/>
        </w:rPr>
        <w:t xml:space="preserve"> وبيان جنسياتهم (انظر الفقرات من 67 إلى 87 من تقرير الدورة الثالثة، الوارد في</w:t>
      </w:r>
      <w:r w:rsidR="002E6ECB">
        <w:rPr>
          <w:rFonts w:hint="eastAsia"/>
          <w:rtl/>
        </w:rPr>
        <w:t> </w:t>
      </w:r>
      <w:r w:rsidR="00213F93">
        <w:rPr>
          <w:rFonts w:hint="cs"/>
          <w:rtl/>
        </w:rPr>
        <w:t>الوثيقة</w:t>
      </w:r>
      <w:r w:rsidR="00213F93">
        <w:rPr>
          <w:rFonts w:hint="eastAsia"/>
          <w:rtl/>
        </w:rPr>
        <w:t> </w:t>
      </w:r>
      <w:r w:rsidR="00213F93" w:rsidRPr="00213F93">
        <w:t>CDIP/3/9</w:t>
      </w:r>
      <w:r w:rsidR="002E6ECB">
        <w:rPr>
          <w:rFonts w:hint="cs"/>
          <w:rtl/>
        </w:rPr>
        <w:t>)</w:t>
      </w:r>
      <w:r w:rsidR="00213F93">
        <w:rPr>
          <w:rFonts w:hint="cs"/>
          <w:rtl/>
        </w:rPr>
        <w:t>.</w:t>
      </w:r>
    </w:p>
    <w:p w:rsidR="00213F93" w:rsidRDefault="00213F93" w:rsidP="00BF47C9">
      <w:pPr>
        <w:pStyle w:val="NumberedParaAR"/>
        <w:rPr>
          <w:rFonts w:hint="cs"/>
        </w:rPr>
      </w:pPr>
      <w:r>
        <w:rPr>
          <w:rFonts w:hint="cs"/>
          <w:rtl/>
        </w:rPr>
        <w:t>ووافقت الدورة الثالثة للجنة التنمية على مشروع قاعدة بيانات المساعدة التقنية في مجال الملكية الفكرية (</w:t>
      </w:r>
      <w:r w:rsidRPr="00213F93">
        <w:t>IP-TAD</w:t>
      </w:r>
      <w:r>
        <w:rPr>
          <w:rFonts w:hint="cs"/>
          <w:rtl/>
        </w:rPr>
        <w:t xml:space="preserve">) الوارد في </w:t>
      </w:r>
      <w:proofErr w:type="gramStart"/>
      <w:r>
        <w:rPr>
          <w:rFonts w:hint="cs"/>
          <w:rtl/>
        </w:rPr>
        <w:t xml:space="preserve">الوثيقة </w:t>
      </w:r>
      <w:r>
        <w:rPr>
          <w:rStyle w:val="FootnoteReference"/>
          <w:rtl/>
        </w:rPr>
        <w:footnoteReference w:id="4"/>
      </w:r>
      <w:r w:rsidRPr="00213F93">
        <w:t>CDIP/3/INF/2</w:t>
      </w:r>
      <w:proofErr w:type="gramEnd"/>
      <w:r>
        <w:rPr>
          <w:rFonts w:hint="cs"/>
          <w:rtl/>
        </w:rPr>
        <w:t>. و</w:t>
      </w:r>
      <w:r w:rsidR="00BF47C9">
        <w:rPr>
          <w:rFonts w:hint="cs"/>
          <w:rtl/>
        </w:rPr>
        <w:t>في إطار ال</w:t>
      </w:r>
      <w:r>
        <w:rPr>
          <w:rFonts w:hint="cs"/>
          <w:rtl/>
        </w:rPr>
        <w:t>استفادة من المنصة المزمع إنشاؤها لأغراض قاعدة البيانات المذكورة، أدرِجت قائمة الخبراء الاستشاريين في المشروع وأدخِلت تحسينات وفقا للتغييرات التي وافقت عليها الدول الأعضاء. واستُكمل المشروع في يوليو 2010 ونظرت لجنة التنمية في تقرير تقييمي خلال دورتها التاسعة المعقودة في أبريل</w:t>
      </w:r>
      <w:r w:rsidR="00BF47C9">
        <w:rPr>
          <w:rFonts w:hint="eastAsia"/>
          <w:rtl/>
        </w:rPr>
        <w:t> </w:t>
      </w:r>
      <w:r>
        <w:rPr>
          <w:rFonts w:hint="cs"/>
          <w:rtl/>
        </w:rPr>
        <w:t>2012.</w:t>
      </w:r>
    </w:p>
    <w:p w:rsidR="00213F93" w:rsidRPr="00213F93" w:rsidRDefault="00213F93" w:rsidP="003C1B73">
      <w:pPr>
        <w:pStyle w:val="NumberedParaAR"/>
        <w:keepNext/>
        <w:numPr>
          <w:ilvl w:val="0"/>
          <w:numId w:val="0"/>
        </w:numPr>
        <w:rPr>
          <w:rFonts w:hint="cs"/>
          <w:b/>
          <w:bCs/>
          <w:sz w:val="40"/>
          <w:szCs w:val="40"/>
        </w:rPr>
      </w:pPr>
      <w:r w:rsidRPr="00213F93">
        <w:rPr>
          <w:rFonts w:hint="cs"/>
          <w:b/>
          <w:bCs/>
          <w:sz w:val="40"/>
          <w:szCs w:val="40"/>
          <w:rtl/>
        </w:rPr>
        <w:t xml:space="preserve">وصف </w:t>
      </w:r>
      <w:proofErr w:type="gramStart"/>
      <w:r w:rsidRPr="00213F93">
        <w:rPr>
          <w:rFonts w:hint="cs"/>
          <w:b/>
          <w:bCs/>
          <w:sz w:val="40"/>
          <w:szCs w:val="40"/>
          <w:rtl/>
        </w:rPr>
        <w:t>قاعدة</w:t>
      </w:r>
      <w:proofErr w:type="gramEnd"/>
      <w:r w:rsidRPr="00213F93">
        <w:rPr>
          <w:rFonts w:hint="cs"/>
          <w:b/>
          <w:bCs/>
          <w:sz w:val="40"/>
          <w:szCs w:val="40"/>
          <w:rtl/>
        </w:rPr>
        <w:t xml:space="preserve"> البيانات </w:t>
      </w:r>
      <w:r w:rsidR="00D53652">
        <w:rPr>
          <w:rFonts w:hint="cs"/>
          <w:b/>
          <w:bCs/>
          <w:sz w:val="40"/>
          <w:szCs w:val="40"/>
          <w:rtl/>
        </w:rPr>
        <w:t>الحالية</w:t>
      </w:r>
      <w:r w:rsidRPr="00213F93">
        <w:rPr>
          <w:rFonts w:hint="cs"/>
          <w:b/>
          <w:bCs/>
          <w:sz w:val="40"/>
          <w:szCs w:val="40"/>
          <w:rtl/>
        </w:rPr>
        <w:t xml:space="preserve"> المشتملة على </w:t>
      </w:r>
      <w:r w:rsidR="003C1B73">
        <w:rPr>
          <w:rFonts w:hint="cs"/>
          <w:b/>
          <w:bCs/>
          <w:sz w:val="40"/>
          <w:szCs w:val="40"/>
          <w:rtl/>
        </w:rPr>
        <w:t>القائمة</w:t>
      </w:r>
    </w:p>
    <w:p w:rsidR="00213F93" w:rsidRDefault="00D53652" w:rsidP="00A4416B">
      <w:pPr>
        <w:pStyle w:val="NumberedParaAR"/>
        <w:rPr>
          <w:rFonts w:hint="cs"/>
        </w:rPr>
      </w:pPr>
      <w:r>
        <w:rPr>
          <w:rFonts w:hint="cs"/>
          <w:rtl/>
        </w:rPr>
        <w:t xml:space="preserve">تتضمن قاعدة بيانات الويبو المشتملة على قائمة الخبراء الاستشاريين معلومات وبيانات عن </w:t>
      </w:r>
      <w:r w:rsidR="00A4416B">
        <w:rPr>
          <w:rFonts w:hint="cs"/>
          <w:rtl/>
        </w:rPr>
        <w:t>الخبراء/</w:t>
      </w:r>
      <w:r w:rsidR="00A4416B" w:rsidRPr="00A4416B">
        <w:rPr>
          <w:rFonts w:hint="cs"/>
          <w:rtl/>
        </w:rPr>
        <w:t xml:space="preserve">الخبراء الاستشاريين </w:t>
      </w:r>
      <w:r>
        <w:rPr>
          <w:rFonts w:hint="cs"/>
          <w:rtl/>
        </w:rPr>
        <w:t>الذين تعيّنهم المنظمة للاضطلاع بأنشطة محدّدة تخص المساعدة التقنية في مجال الملكية الفكرية. ويُعيَّن الخبراء الاستشاريون للقيام بمهمة محدّدة خلال فترة محدّدة ولا يعملون في مقرّ الويبو الرئيسي ولا في أحد مكاتب الويبو الخارجية.</w:t>
      </w:r>
    </w:p>
    <w:p w:rsidR="00D53652" w:rsidRDefault="00D53652" w:rsidP="00D53652">
      <w:pPr>
        <w:pStyle w:val="NumberedParaAR"/>
        <w:rPr>
          <w:rFonts w:hint="cs"/>
        </w:rPr>
      </w:pPr>
      <w:r>
        <w:rPr>
          <w:rFonts w:hint="cs"/>
          <w:rtl/>
        </w:rPr>
        <w:t xml:space="preserve">وتنشر الويبو المعلومات الشخصية والمهنية للخبراء الاستشاريين، بناء على موافقتهم. ولا يمكن للجمهور الاطلاع على كل المعلومات. </w:t>
      </w:r>
      <w:proofErr w:type="gramStart"/>
      <w:r>
        <w:rPr>
          <w:rFonts w:hint="cs"/>
          <w:rtl/>
        </w:rPr>
        <w:t>ومن</w:t>
      </w:r>
      <w:proofErr w:type="gramEnd"/>
      <w:r>
        <w:rPr>
          <w:rFonts w:hint="cs"/>
          <w:rtl/>
        </w:rPr>
        <w:t xml:space="preserve"> المعلومات غير المتاحة للجمهور، على سبيل الذكر لا الحصر، تفاصيل الاتصال الخاصة بالخبراء/الخبراء الاستشاريين، والالتزامات المالية، والوثائق المتعلقة بالأنشطة والأشخاص. وعليه تورد القائمة رابطا إلى تفاصيل الاتصال العامة </w:t>
      </w:r>
      <w:proofErr w:type="spellStart"/>
      <w:r>
        <w:rPr>
          <w:rFonts w:hint="cs"/>
          <w:rtl/>
        </w:rPr>
        <w:t>للويبو</w:t>
      </w:r>
      <w:proofErr w:type="spellEnd"/>
      <w:r>
        <w:rPr>
          <w:rFonts w:hint="cs"/>
          <w:rtl/>
        </w:rPr>
        <w:t xml:space="preserve"> لفائدة المستخدمين الراغبين في الاتصال بالخبراء الاستشاريين أو الراغبين في الحصول على مزيد من المعلومات.</w:t>
      </w:r>
    </w:p>
    <w:p w:rsidR="00D53652" w:rsidRDefault="00D53652" w:rsidP="00BF47C9">
      <w:pPr>
        <w:pStyle w:val="NumberedParaAR"/>
        <w:rPr>
          <w:rFonts w:hint="cs"/>
        </w:rPr>
      </w:pPr>
      <w:r>
        <w:rPr>
          <w:rFonts w:hint="cs"/>
          <w:rtl/>
        </w:rPr>
        <w:t xml:space="preserve">وترد نتائج البحث في القائمة الحالية مُجمّعةً في خمس فئات: (أ) اسم الخبير الاستشاري؛ (ب) والجنسية (الجنسيات)؛ </w:t>
      </w:r>
      <w:r w:rsidR="00BD1255">
        <w:rPr>
          <w:rFonts w:hint="cs"/>
          <w:rtl/>
        </w:rPr>
        <w:t xml:space="preserve">(ج) </w:t>
      </w:r>
      <w:r>
        <w:rPr>
          <w:rFonts w:hint="cs"/>
          <w:rtl/>
        </w:rPr>
        <w:t>واللغة (اللغات)؛ (</w:t>
      </w:r>
      <w:r w:rsidR="00BD1255">
        <w:rPr>
          <w:rFonts w:hint="cs"/>
          <w:rtl/>
        </w:rPr>
        <w:t>د</w:t>
      </w:r>
      <w:r>
        <w:rPr>
          <w:rFonts w:hint="cs"/>
          <w:rtl/>
        </w:rPr>
        <w:t>)</w:t>
      </w:r>
      <w:r w:rsidR="00BD1255">
        <w:rPr>
          <w:rFonts w:hint="cs"/>
          <w:rtl/>
        </w:rPr>
        <w:t xml:space="preserve"> والخبرة في مجال الملكية الفكرية؛ (ه) والتكليفات المسندة من قبل الويبو، وهي</w:t>
      </w:r>
      <w:r w:rsidR="00BF47C9">
        <w:rPr>
          <w:rFonts w:hint="eastAsia"/>
          <w:rtl/>
        </w:rPr>
        <w:t> </w:t>
      </w:r>
      <w:r w:rsidR="00BD1255">
        <w:rPr>
          <w:rFonts w:hint="cs"/>
          <w:rtl/>
        </w:rPr>
        <w:t>تشمل معلومات مفصّلة عن تاريخ التكليف، ودور الخبير الاستشاري والبلد المستضيف لنشاط المساعدة التقنية.</w:t>
      </w:r>
    </w:p>
    <w:p w:rsidR="00BD1255" w:rsidRPr="00213F93" w:rsidRDefault="00BD1255" w:rsidP="00BD1255">
      <w:pPr>
        <w:pStyle w:val="NumberedParaAR"/>
        <w:rPr>
          <w:rtl/>
        </w:rPr>
      </w:pPr>
      <w:r>
        <w:rPr>
          <w:rFonts w:hint="cs"/>
          <w:rtl/>
        </w:rPr>
        <w:lastRenderedPageBreak/>
        <w:t>والقائمة متاحة ضمن الصفحة الإلكترونية لأجندة الويبو للتنمية، في الجزء المعنون "أنشطة أخرى" (</w:t>
      </w:r>
      <w:r w:rsidRPr="00BD1255">
        <w:t>Other</w:t>
      </w:r>
      <w:r>
        <w:t> </w:t>
      </w:r>
      <w:r w:rsidRPr="00BD1255">
        <w:t>activities</w:t>
      </w:r>
      <w:r>
        <w:rPr>
          <w:rFonts w:hint="cs"/>
          <w:rtl/>
        </w:rPr>
        <w:t xml:space="preserve">) ويمكن النفاذ إليها باللغات الإنكليزية والفرنسية والإسبانية عبر الرابط التالي: </w:t>
      </w:r>
      <w:hyperlink r:id="rId10" w:history="1">
        <w:r w:rsidRPr="00BD1255">
          <w:rPr>
            <w:rStyle w:val="Hyperlink"/>
          </w:rPr>
          <w:t>http://www.wipo.int/roc/en/index.jsp</w:t>
        </w:r>
      </w:hyperlink>
      <w:r>
        <w:rPr>
          <w:rFonts w:hint="cs"/>
          <w:rtl/>
        </w:rPr>
        <w:t>.</w:t>
      </w:r>
    </w:p>
    <w:p w:rsidR="009F513E" w:rsidRDefault="00BD1255" w:rsidP="00BF47C9">
      <w:pPr>
        <w:pStyle w:val="NumberedParaAR"/>
        <w:keepNext/>
        <w:numPr>
          <w:ilvl w:val="0"/>
          <w:numId w:val="0"/>
        </w:numPr>
        <w:rPr>
          <w:rFonts w:hint="cs"/>
          <w:b/>
          <w:bCs/>
          <w:sz w:val="40"/>
          <w:szCs w:val="40"/>
          <w:rtl/>
        </w:rPr>
      </w:pPr>
      <w:r w:rsidRPr="00BD1255">
        <w:rPr>
          <w:rFonts w:hint="cs"/>
          <w:b/>
          <w:bCs/>
          <w:sz w:val="40"/>
          <w:szCs w:val="40"/>
          <w:rtl/>
        </w:rPr>
        <w:t xml:space="preserve">وصف استخدام </w:t>
      </w:r>
      <w:proofErr w:type="gramStart"/>
      <w:r w:rsidR="00BF47C9">
        <w:rPr>
          <w:rFonts w:hint="cs"/>
          <w:b/>
          <w:bCs/>
          <w:sz w:val="40"/>
          <w:szCs w:val="40"/>
          <w:rtl/>
        </w:rPr>
        <w:t>القائمة</w:t>
      </w:r>
      <w:proofErr w:type="gramEnd"/>
    </w:p>
    <w:p w:rsidR="00BD1255" w:rsidRDefault="00D92461" w:rsidP="00BF47C9">
      <w:pPr>
        <w:pStyle w:val="NumberedParaAR"/>
        <w:rPr>
          <w:rFonts w:hint="cs"/>
        </w:rPr>
      </w:pPr>
      <w:r>
        <w:rPr>
          <w:rFonts w:hint="cs"/>
          <w:rtl/>
        </w:rPr>
        <w:t xml:space="preserve">كما يظهر في الرسوم البيانية أدناه عيّنت الويبو، خلال </w:t>
      </w:r>
      <w:r w:rsidR="00BF47C9">
        <w:rPr>
          <w:rFonts w:hint="cs"/>
          <w:rtl/>
        </w:rPr>
        <w:t>الفترة</w:t>
      </w:r>
      <w:r>
        <w:rPr>
          <w:rFonts w:hint="cs"/>
          <w:rtl/>
        </w:rPr>
        <w:t xml:space="preserve"> 2015-2016، ما مجموعة 783 خبيرا استشاريا يمثّلون كل المناطق الجغرافية. </w:t>
      </w:r>
      <w:proofErr w:type="gramStart"/>
      <w:r>
        <w:rPr>
          <w:rFonts w:hint="cs"/>
          <w:rtl/>
        </w:rPr>
        <w:t>وكان</w:t>
      </w:r>
      <w:proofErr w:type="gramEnd"/>
      <w:r>
        <w:rPr>
          <w:rFonts w:hint="cs"/>
          <w:rtl/>
        </w:rPr>
        <w:t xml:space="preserve"> 545 من الخبراء الاستشاريين المعيّنين في تلك الفترة (ما يمثّل 70% من العدد الإجمالي) من الذكور وكان 238 منهم (ما يمثّل 30% من العدد الإجمالي) من الإناث. وكانت المجالات الأكثر تمثيلا من ضمن مجالات الملكية الفكرية التي يتمتع فيها </w:t>
      </w:r>
      <w:r w:rsidR="000B76A8">
        <w:rPr>
          <w:rFonts w:hint="cs"/>
          <w:rtl/>
        </w:rPr>
        <w:t>الخبراء</w:t>
      </w:r>
      <w:r w:rsidR="000B76A8">
        <w:rPr>
          <w:rFonts w:hint="cs"/>
          <w:rtl/>
        </w:rPr>
        <w:t>/</w:t>
      </w:r>
      <w:r>
        <w:rPr>
          <w:rFonts w:hint="cs"/>
          <w:rtl/>
        </w:rPr>
        <w:t>الخبراء الا</w:t>
      </w:r>
      <w:r w:rsidR="00BF47C9">
        <w:rPr>
          <w:rFonts w:hint="cs"/>
          <w:rtl/>
        </w:rPr>
        <w:t>ستشاريو</w:t>
      </w:r>
      <w:r>
        <w:rPr>
          <w:rFonts w:hint="cs"/>
          <w:rtl/>
        </w:rPr>
        <w:t>ن</w:t>
      </w:r>
      <w:r w:rsidR="000B76A8">
        <w:rPr>
          <w:rFonts w:hint="cs"/>
          <w:rtl/>
        </w:rPr>
        <w:t xml:space="preserve"> </w:t>
      </w:r>
      <w:r>
        <w:rPr>
          <w:rFonts w:hint="cs"/>
          <w:rtl/>
        </w:rPr>
        <w:t xml:space="preserve">بالخبرة كالتالي: "1" كل مجالات الملكية الفكرية (272)؛ "2" </w:t>
      </w:r>
      <w:r w:rsidR="00536BDD">
        <w:rPr>
          <w:rFonts w:hint="cs"/>
          <w:rtl/>
        </w:rPr>
        <w:t>و</w:t>
      </w:r>
      <w:r>
        <w:rPr>
          <w:rFonts w:hint="cs"/>
          <w:rtl/>
        </w:rPr>
        <w:t xml:space="preserve">الملكية الصناعية (201)؛ "3" </w:t>
      </w:r>
      <w:r w:rsidR="00536BDD">
        <w:rPr>
          <w:rFonts w:hint="cs"/>
          <w:rtl/>
        </w:rPr>
        <w:t>و</w:t>
      </w:r>
      <w:r>
        <w:rPr>
          <w:rFonts w:hint="cs"/>
          <w:rtl/>
        </w:rPr>
        <w:t>حق المؤلف (126)</w:t>
      </w:r>
      <w:r w:rsidR="00536BDD">
        <w:rPr>
          <w:rFonts w:hint="cs"/>
          <w:rtl/>
        </w:rPr>
        <w:t xml:space="preserve">؛ "4" والبراءات (110). وكانت اللغة </w:t>
      </w:r>
      <w:r w:rsidR="00913DBE">
        <w:rPr>
          <w:rFonts w:hint="cs"/>
          <w:rtl/>
        </w:rPr>
        <w:t>الأم</w:t>
      </w:r>
      <w:r w:rsidR="00536BDD">
        <w:rPr>
          <w:rFonts w:hint="cs"/>
          <w:rtl/>
        </w:rPr>
        <w:t xml:space="preserve"> للخبراء</w:t>
      </w:r>
      <w:r w:rsidR="000B76A8">
        <w:rPr>
          <w:rFonts w:hint="cs"/>
          <w:rtl/>
        </w:rPr>
        <w:t xml:space="preserve">/الخبراء الاستشاريين </w:t>
      </w:r>
      <w:r w:rsidR="00536BDD">
        <w:rPr>
          <w:rFonts w:hint="cs"/>
          <w:rtl/>
        </w:rPr>
        <w:t>متباينة وموزَّعة كالتالي: الإنكليزية (420) والإسبانية (143) والفرنسية (67).</w:t>
      </w:r>
    </w:p>
    <w:p w:rsidR="00536BDD" w:rsidRDefault="00536BDD" w:rsidP="00536BDD">
      <w:pPr>
        <w:pStyle w:val="NormalParaAR"/>
        <w:spacing w:after="0" w:line="240" w:lineRule="auto"/>
        <w:rPr>
          <w:rFonts w:hint="cs"/>
          <w:rtl/>
        </w:rPr>
      </w:pPr>
      <w:r>
        <w:rPr>
          <w:noProof/>
        </w:rPr>
        <w:drawing>
          <wp:inline distT="0" distB="0" distL="0" distR="0" wp14:anchorId="1038442B" wp14:editId="599BD952">
            <wp:extent cx="5761355" cy="3490595"/>
            <wp:effectExtent l="0" t="0" r="10795" b="146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36BDD" w:rsidRDefault="00536BDD" w:rsidP="00536BDD">
      <w:pPr>
        <w:pStyle w:val="NumberedParaAR"/>
        <w:numPr>
          <w:ilvl w:val="0"/>
          <w:numId w:val="0"/>
        </w:numPr>
        <w:jc w:val="center"/>
        <w:rPr>
          <w:rFonts w:hint="cs"/>
          <w:rtl/>
        </w:rPr>
      </w:pPr>
      <w:r>
        <w:rPr>
          <w:rFonts w:hint="cs"/>
          <w:rtl/>
        </w:rPr>
        <w:t>رسم بياني يُظهر</w:t>
      </w:r>
      <w:r w:rsidR="00BF47C9">
        <w:rPr>
          <w:rFonts w:hint="cs"/>
          <w:rtl/>
        </w:rPr>
        <w:t xml:space="preserve"> عدد الخبراء الاستشاريين المعيّ</w:t>
      </w:r>
      <w:r>
        <w:rPr>
          <w:rFonts w:hint="cs"/>
          <w:rtl/>
        </w:rPr>
        <w:t>نين بحسب نوع الجنس في الفترة 2015-2016</w:t>
      </w:r>
    </w:p>
    <w:p w:rsidR="00536BDD" w:rsidRDefault="0027403C" w:rsidP="00913DBE">
      <w:pPr>
        <w:pStyle w:val="NumberedParaAR"/>
        <w:numPr>
          <w:ilvl w:val="0"/>
          <w:numId w:val="0"/>
        </w:numPr>
        <w:spacing w:after="0" w:line="240" w:lineRule="auto"/>
        <w:rPr>
          <w:rFonts w:hint="cs"/>
          <w:rtl/>
        </w:rPr>
      </w:pPr>
      <w:r>
        <w:rPr>
          <w:noProof/>
        </w:rPr>
        <w:lastRenderedPageBreak/>
        <w:drawing>
          <wp:inline distT="0" distB="0" distL="0" distR="0" wp14:anchorId="1893170E" wp14:editId="5DE83FD6">
            <wp:extent cx="5549900" cy="4597400"/>
            <wp:effectExtent l="0" t="0" r="12700"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7403C" w:rsidRDefault="00913DBE" w:rsidP="00913DBE">
      <w:pPr>
        <w:pStyle w:val="NumberedParaAR"/>
        <w:numPr>
          <w:ilvl w:val="0"/>
          <w:numId w:val="0"/>
        </w:numPr>
        <w:jc w:val="center"/>
        <w:rPr>
          <w:rFonts w:hint="cs"/>
          <w:rtl/>
        </w:rPr>
      </w:pPr>
      <w:r>
        <w:rPr>
          <w:rFonts w:hint="cs"/>
          <w:rtl/>
        </w:rPr>
        <w:t>رسم بياني يُظهر عدد الخبراء المستشارين المعيّنين بحسب مجالات الملكية الفكرية التي يتمتعون فيها بالخبرة</w:t>
      </w:r>
    </w:p>
    <w:p w:rsidR="00913DBE" w:rsidRDefault="00913DBE" w:rsidP="00913DBE">
      <w:pPr>
        <w:pStyle w:val="NumberedParaAR"/>
        <w:numPr>
          <w:ilvl w:val="0"/>
          <w:numId w:val="0"/>
        </w:numPr>
        <w:spacing w:after="0" w:line="240" w:lineRule="auto"/>
        <w:rPr>
          <w:rFonts w:hint="cs"/>
          <w:rtl/>
        </w:rPr>
      </w:pPr>
      <w:r w:rsidRPr="00472637">
        <w:rPr>
          <w:noProof/>
          <w:color w:val="000000" w:themeColor="text1"/>
        </w:rPr>
        <w:drawing>
          <wp:inline distT="0" distB="0" distL="0" distR="0" wp14:anchorId="3615E47D" wp14:editId="00EB6116">
            <wp:extent cx="5549900" cy="3594100"/>
            <wp:effectExtent l="0" t="0" r="12700" b="254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13DBE" w:rsidRDefault="00913DBE" w:rsidP="00983B2D">
      <w:pPr>
        <w:pStyle w:val="NumberedParaAR"/>
        <w:numPr>
          <w:ilvl w:val="0"/>
          <w:numId w:val="0"/>
        </w:numPr>
        <w:jc w:val="center"/>
        <w:rPr>
          <w:rFonts w:hint="cs"/>
          <w:rtl/>
        </w:rPr>
      </w:pPr>
      <w:r w:rsidRPr="00913DBE">
        <w:rPr>
          <w:rFonts w:hint="cs"/>
          <w:rtl/>
        </w:rPr>
        <w:t>رسم بياني يُظهر عدد الخبراء المستشارين المعيّنين بحسب</w:t>
      </w:r>
      <w:r>
        <w:rPr>
          <w:rFonts w:hint="cs"/>
          <w:rtl/>
        </w:rPr>
        <w:t xml:space="preserve"> </w:t>
      </w:r>
      <w:r w:rsidR="00983B2D">
        <w:rPr>
          <w:rFonts w:hint="cs"/>
          <w:rtl/>
        </w:rPr>
        <w:t>اللغة</w:t>
      </w:r>
      <w:r>
        <w:rPr>
          <w:rFonts w:hint="cs"/>
          <w:rtl/>
        </w:rPr>
        <w:t xml:space="preserve"> الأم</w:t>
      </w:r>
    </w:p>
    <w:p w:rsidR="00913DBE" w:rsidRDefault="00983B2D" w:rsidP="00983B2D">
      <w:pPr>
        <w:pStyle w:val="NumberedParaAR"/>
        <w:numPr>
          <w:ilvl w:val="0"/>
          <w:numId w:val="0"/>
        </w:numPr>
        <w:spacing w:after="0" w:line="240" w:lineRule="auto"/>
        <w:rPr>
          <w:rFonts w:hint="cs"/>
          <w:rtl/>
        </w:rPr>
      </w:pPr>
      <w:r>
        <w:rPr>
          <w:noProof/>
        </w:rPr>
        <w:lastRenderedPageBreak/>
        <w:drawing>
          <wp:inline distT="0" distB="0" distL="0" distR="0" wp14:anchorId="39F54CB9" wp14:editId="128D2589">
            <wp:extent cx="5761355" cy="3029768"/>
            <wp:effectExtent l="0" t="0" r="10795" b="184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83B2D" w:rsidRDefault="00983B2D" w:rsidP="00983B2D">
      <w:pPr>
        <w:pStyle w:val="NumberedParaAR"/>
        <w:numPr>
          <w:ilvl w:val="0"/>
          <w:numId w:val="0"/>
        </w:numPr>
        <w:jc w:val="center"/>
        <w:rPr>
          <w:rFonts w:hint="cs"/>
          <w:rtl/>
        </w:rPr>
      </w:pPr>
      <w:r>
        <w:rPr>
          <w:rFonts w:hint="cs"/>
          <w:rtl/>
        </w:rPr>
        <w:t>رسم بياني يُظهر عدد الخبراء الاستشاريين المعيّنين بحسب المناطق الأصلية ونوع الجنس</w:t>
      </w:r>
    </w:p>
    <w:p w:rsidR="00983B2D" w:rsidRPr="00983B2D" w:rsidRDefault="00983B2D" w:rsidP="00983B2D">
      <w:pPr>
        <w:pStyle w:val="NumberedParaAR"/>
        <w:keepNext/>
        <w:numPr>
          <w:ilvl w:val="0"/>
          <w:numId w:val="0"/>
        </w:numPr>
        <w:rPr>
          <w:rFonts w:hint="cs"/>
          <w:b/>
          <w:bCs/>
          <w:sz w:val="40"/>
          <w:szCs w:val="40"/>
          <w:rtl/>
        </w:rPr>
      </w:pPr>
      <w:r w:rsidRPr="00983B2D">
        <w:rPr>
          <w:rFonts w:hint="cs"/>
          <w:b/>
          <w:bCs/>
          <w:sz w:val="40"/>
          <w:szCs w:val="40"/>
          <w:rtl/>
        </w:rPr>
        <w:t>تحديث القائمة في المستقبل</w:t>
      </w:r>
    </w:p>
    <w:p w:rsidR="00983B2D" w:rsidRDefault="007D2682" w:rsidP="00F41349">
      <w:pPr>
        <w:pStyle w:val="NumberedParaAR"/>
        <w:rPr>
          <w:rFonts w:hint="cs"/>
        </w:rPr>
      </w:pPr>
      <w:r>
        <w:rPr>
          <w:rFonts w:hint="cs"/>
          <w:rtl/>
        </w:rPr>
        <w:t xml:space="preserve">من المتوقّع إدراج القائمة في بيئة الويبو للتخطيط للموارد المؤسسية. ولذلك </w:t>
      </w:r>
      <w:r w:rsidR="00F41349">
        <w:rPr>
          <w:rFonts w:hint="cs"/>
          <w:rtl/>
        </w:rPr>
        <w:t>الانتقال</w:t>
      </w:r>
      <w:r>
        <w:rPr>
          <w:rFonts w:hint="cs"/>
          <w:rtl/>
        </w:rPr>
        <w:t xml:space="preserve"> أهد</w:t>
      </w:r>
      <w:r w:rsidR="00A4416B">
        <w:rPr>
          <w:rFonts w:hint="cs"/>
          <w:rtl/>
        </w:rPr>
        <w:t>ا</w:t>
      </w:r>
      <w:r>
        <w:rPr>
          <w:rFonts w:hint="cs"/>
          <w:rtl/>
        </w:rPr>
        <w:t xml:space="preserve">ف عدة منها تحديد وتدوين أنشطة المساعدة التقنية التي تُعيّن فيها الويبو </w:t>
      </w:r>
      <w:r w:rsidR="00A4416B">
        <w:rPr>
          <w:rFonts w:hint="cs"/>
          <w:rtl/>
        </w:rPr>
        <w:t>خبراء</w:t>
      </w:r>
      <w:r>
        <w:rPr>
          <w:rFonts w:hint="cs"/>
          <w:rtl/>
        </w:rPr>
        <w:t>/</w:t>
      </w:r>
      <w:r w:rsidR="00A4416B">
        <w:rPr>
          <w:rFonts w:hint="cs"/>
          <w:rtl/>
        </w:rPr>
        <w:t>خبراء استشاريين</w:t>
      </w:r>
      <w:r w:rsidR="00A4416B">
        <w:rPr>
          <w:rFonts w:hint="cs"/>
          <w:rtl/>
        </w:rPr>
        <w:t xml:space="preserve">. </w:t>
      </w:r>
      <w:r>
        <w:rPr>
          <w:rFonts w:hint="cs"/>
          <w:rtl/>
        </w:rPr>
        <w:t xml:space="preserve">وسيساعد ذلك </w:t>
      </w:r>
      <w:r w:rsidR="00F41349">
        <w:rPr>
          <w:rFonts w:hint="cs"/>
          <w:rtl/>
        </w:rPr>
        <w:t>الانتقال</w:t>
      </w:r>
      <w:r>
        <w:rPr>
          <w:rFonts w:hint="cs"/>
          <w:rtl/>
        </w:rPr>
        <w:t xml:space="preserve"> القائمة على تحميل بيانات بشكل مباشر </w:t>
      </w:r>
      <w:proofErr w:type="gramStart"/>
      <w:r>
        <w:rPr>
          <w:rFonts w:hint="cs"/>
          <w:rtl/>
        </w:rPr>
        <w:t>عبر</w:t>
      </w:r>
      <w:proofErr w:type="gramEnd"/>
      <w:r>
        <w:rPr>
          <w:rFonts w:hint="cs"/>
          <w:rtl/>
        </w:rPr>
        <w:t xml:space="preserve"> منصة معلومات الأعمال</w:t>
      </w:r>
      <w:r w:rsidR="00A4416B">
        <w:rPr>
          <w:rFonts w:hint="cs"/>
          <w:rtl/>
        </w:rPr>
        <w:t>. وستُجمع البيانات من مختلف منصات الويبو القائمة، مثل نظام الإدارة المتكاملة</w:t>
      </w:r>
      <w:r w:rsidR="00A4416B">
        <w:rPr>
          <w:rFonts w:hint="eastAsia"/>
          <w:rtl/>
        </w:rPr>
        <w:t> </w:t>
      </w:r>
      <w:r w:rsidR="00A4416B">
        <w:rPr>
          <w:rFonts w:hint="cs"/>
          <w:rtl/>
        </w:rPr>
        <w:t>(</w:t>
      </w:r>
      <w:r w:rsidR="00A4416B" w:rsidRPr="00A4416B">
        <w:t>AIMS</w:t>
      </w:r>
      <w:r w:rsidR="00A4416B">
        <w:rPr>
          <w:rFonts w:hint="cs"/>
          <w:rtl/>
        </w:rPr>
        <w:t>)، ونظام إدارة الأداء المؤسسي (</w:t>
      </w:r>
      <w:r w:rsidR="00A4416B" w:rsidRPr="00A4416B">
        <w:t>EPM</w:t>
      </w:r>
      <w:r w:rsidR="00A4416B">
        <w:rPr>
          <w:rFonts w:hint="cs"/>
          <w:rtl/>
        </w:rPr>
        <w:t>)، ونظام إدارة سلسلة التوريد المالي (</w:t>
      </w:r>
      <w:r w:rsidR="00A4416B" w:rsidRPr="00A4416B">
        <w:t>FSCM</w:t>
      </w:r>
      <w:r w:rsidR="00A4416B">
        <w:rPr>
          <w:rFonts w:hint="cs"/>
          <w:rtl/>
        </w:rPr>
        <w:t>)، ونظام إدارة رأس المال البشري (</w:t>
      </w:r>
      <w:r w:rsidR="00A4416B" w:rsidRPr="00A4416B">
        <w:t>HCM</w:t>
      </w:r>
      <w:r w:rsidR="00A4416B">
        <w:rPr>
          <w:rFonts w:hint="cs"/>
          <w:rtl/>
        </w:rPr>
        <w:t>) وتُخزّن في منصة معلومات الأعمال. ومن ثمّ، ستُجمَّع البيانات وتُحمَّل إلكترونيا في القائمة.</w:t>
      </w:r>
    </w:p>
    <w:p w:rsidR="000B76A8" w:rsidRDefault="000B76A8" w:rsidP="000B76A8">
      <w:pPr>
        <w:pStyle w:val="NumberedParaAR"/>
        <w:rPr>
          <w:rFonts w:hint="cs"/>
        </w:rPr>
      </w:pPr>
      <w:proofErr w:type="gramStart"/>
      <w:r>
        <w:rPr>
          <w:rFonts w:hint="cs"/>
          <w:rtl/>
        </w:rPr>
        <w:t>وسيسهم</w:t>
      </w:r>
      <w:proofErr w:type="gramEnd"/>
      <w:r>
        <w:rPr>
          <w:rFonts w:hint="cs"/>
          <w:rtl/>
        </w:rPr>
        <w:t xml:space="preserve"> ذلك بقدر وافر في الحد من الوقت المستغرق لتحميل الأنشطة والبيانات المتعلقة بالخبراء/الخبراء الاستشاريين المعيّنين وتلافي حالات الإغفال والأخطاء الإملائية وعدم اتساق البيانات. وسيسهم أيضا في تخفيض التكاليف المرتبطة بمعالجة البيانات </w:t>
      </w:r>
      <w:proofErr w:type="gramStart"/>
      <w:r>
        <w:rPr>
          <w:rFonts w:hint="cs"/>
          <w:rtl/>
        </w:rPr>
        <w:t>يدويا</w:t>
      </w:r>
      <w:proofErr w:type="gramEnd"/>
      <w:r>
        <w:rPr>
          <w:rFonts w:hint="cs"/>
          <w:rtl/>
        </w:rPr>
        <w:t xml:space="preserve"> كما يجري في الوقت الراهن.</w:t>
      </w:r>
    </w:p>
    <w:p w:rsidR="000B76A8" w:rsidRDefault="000B76A8" w:rsidP="00BF47C9">
      <w:pPr>
        <w:pStyle w:val="NumberedParaAR"/>
        <w:rPr>
          <w:rFonts w:hint="cs"/>
        </w:rPr>
      </w:pPr>
      <w:proofErr w:type="gramStart"/>
      <w:r>
        <w:rPr>
          <w:rFonts w:hint="cs"/>
          <w:rtl/>
        </w:rPr>
        <w:t>وفي</w:t>
      </w:r>
      <w:proofErr w:type="gramEnd"/>
      <w:r>
        <w:rPr>
          <w:rFonts w:hint="cs"/>
          <w:rtl/>
        </w:rPr>
        <w:t xml:space="preserve"> المرحلة الأولى من عملية التحسين، ستُحدّد المجالات التي يجب تحميلها من خلال منصة معلومات الأعمال في</w:t>
      </w:r>
      <w:r w:rsidR="00BF47C9">
        <w:rPr>
          <w:rFonts w:hint="eastAsia"/>
          <w:rtl/>
        </w:rPr>
        <w:t> </w:t>
      </w:r>
      <w:r>
        <w:rPr>
          <w:rFonts w:hint="cs"/>
          <w:rtl/>
        </w:rPr>
        <w:t xml:space="preserve">القائمة الحالية. وستُعد بيئة </w:t>
      </w:r>
      <w:r w:rsidR="002E6ECB">
        <w:rPr>
          <w:rFonts w:hint="cs"/>
          <w:rtl/>
        </w:rPr>
        <w:t xml:space="preserve">تجريبية </w:t>
      </w:r>
      <w:r>
        <w:rPr>
          <w:rFonts w:hint="cs"/>
          <w:rtl/>
        </w:rPr>
        <w:t xml:space="preserve">في القائمة الحالية </w:t>
      </w:r>
      <w:proofErr w:type="gramStart"/>
      <w:r>
        <w:rPr>
          <w:rFonts w:hint="cs"/>
          <w:rtl/>
        </w:rPr>
        <w:t>لتلقي</w:t>
      </w:r>
      <w:proofErr w:type="gramEnd"/>
      <w:r>
        <w:rPr>
          <w:rFonts w:hint="cs"/>
          <w:rtl/>
        </w:rPr>
        <w:t xml:space="preserve"> المعلومات المُحمّلة من منصة معلومات الأعمال. </w:t>
      </w:r>
      <w:r w:rsidR="003709BE">
        <w:rPr>
          <w:rFonts w:hint="cs"/>
          <w:rtl/>
        </w:rPr>
        <w:t xml:space="preserve">ومن المتوقّع استكمال هذا الجزء من عملية </w:t>
      </w:r>
      <w:r w:rsidR="00F41349">
        <w:rPr>
          <w:rFonts w:hint="cs"/>
          <w:rtl/>
        </w:rPr>
        <w:t>الانتقال</w:t>
      </w:r>
      <w:r w:rsidR="003709BE">
        <w:rPr>
          <w:rFonts w:hint="cs"/>
          <w:rtl/>
        </w:rPr>
        <w:t xml:space="preserve"> بحلول ديسمبر 2017. </w:t>
      </w:r>
      <w:proofErr w:type="gramStart"/>
      <w:r w:rsidR="003709BE">
        <w:rPr>
          <w:rFonts w:hint="cs"/>
          <w:rtl/>
        </w:rPr>
        <w:t>وسيضمن</w:t>
      </w:r>
      <w:proofErr w:type="gramEnd"/>
      <w:r w:rsidR="003709BE">
        <w:rPr>
          <w:rFonts w:hint="cs"/>
          <w:rtl/>
        </w:rPr>
        <w:t xml:space="preserve"> ذلك الحفاظ على قدرات الإبلاغ الراهنة وعدم حدوث تدهور في تدفق المعلومات لا بالنسبة إلى المستخدمين الداخليين ولا بالنسبة للدول الأعضاء.</w:t>
      </w:r>
    </w:p>
    <w:p w:rsidR="003709BE" w:rsidRDefault="003709BE" w:rsidP="003709BE">
      <w:pPr>
        <w:pStyle w:val="NumberedParaAR"/>
        <w:rPr>
          <w:rFonts w:hint="cs"/>
        </w:rPr>
      </w:pPr>
      <w:r>
        <w:rPr>
          <w:rFonts w:hint="cs"/>
          <w:rtl/>
        </w:rPr>
        <w:t>وكما ذُكر أعلاه، لن تُتاح للجمهور، عبر القائمة، كل المعلومات عن الخبراء/الخبراء الاستشاريين المعيّنين وذلك لأسباب تتعلق بالخصوصية. وسيتواصل الحفاظ على مستوى من السرية في القائمة الجديدة.</w:t>
      </w:r>
    </w:p>
    <w:p w:rsidR="003709BE" w:rsidRDefault="003709BE" w:rsidP="003709BE">
      <w:pPr>
        <w:pStyle w:val="NumberedParaAR"/>
        <w:rPr>
          <w:rFonts w:hint="cs"/>
        </w:rPr>
      </w:pPr>
      <w:proofErr w:type="gramStart"/>
      <w:r>
        <w:rPr>
          <w:rFonts w:hint="cs"/>
          <w:rtl/>
        </w:rPr>
        <w:t>و</w:t>
      </w:r>
      <w:r>
        <w:rPr>
          <w:rFonts w:hint="cs"/>
          <w:rtl/>
        </w:rPr>
        <w:t>ستكتسي</w:t>
      </w:r>
      <w:proofErr w:type="gramEnd"/>
      <w:r>
        <w:rPr>
          <w:rFonts w:hint="cs"/>
          <w:rtl/>
        </w:rPr>
        <w:t xml:space="preserve"> القائمة، بعد نقلها إلى منصة التخطيط للموارد المؤسسية، هيئة ونسقا مختلفين، ويُتوقّع أن يضمن ذلك واجهة أسهل للاستخدام ووتيرة أسرع في استخراج المعلومات.</w:t>
      </w:r>
    </w:p>
    <w:p w:rsidR="00FA2417" w:rsidRDefault="00FA2417" w:rsidP="00585211">
      <w:pPr>
        <w:pStyle w:val="NumberedParaAR"/>
        <w:keepNext/>
        <w:rPr>
          <w:rFonts w:hint="cs"/>
        </w:rPr>
      </w:pPr>
      <w:r>
        <w:rPr>
          <w:rFonts w:hint="cs"/>
          <w:rtl/>
        </w:rPr>
        <w:lastRenderedPageBreak/>
        <w:t xml:space="preserve">وستشمل الصيغة </w:t>
      </w:r>
      <w:proofErr w:type="gramStart"/>
      <w:r>
        <w:rPr>
          <w:rFonts w:hint="cs"/>
          <w:rtl/>
        </w:rPr>
        <w:t>المحسنة</w:t>
      </w:r>
      <w:proofErr w:type="gramEnd"/>
      <w:r>
        <w:rPr>
          <w:rFonts w:hint="cs"/>
          <w:rtl/>
        </w:rPr>
        <w:t xml:space="preserve"> للقائمة بعض الوظائف الجديد</w:t>
      </w:r>
      <w:r w:rsidR="00BF47C9">
        <w:rPr>
          <w:rFonts w:hint="cs"/>
          <w:rtl/>
        </w:rPr>
        <w:t>ة</w:t>
      </w:r>
      <w:r>
        <w:rPr>
          <w:rFonts w:hint="cs"/>
          <w:rtl/>
        </w:rPr>
        <w:t>، مثل ما يلي:</w:t>
      </w:r>
    </w:p>
    <w:p w:rsidR="00FA2417" w:rsidRDefault="00FA2417" w:rsidP="00585211">
      <w:pPr>
        <w:pStyle w:val="NormalParaAR"/>
        <w:ind w:left="566"/>
        <w:rPr>
          <w:rFonts w:hint="cs"/>
          <w:rtl/>
        </w:rPr>
      </w:pPr>
      <w:r>
        <w:rPr>
          <w:rFonts w:hint="cs"/>
          <w:rtl/>
        </w:rPr>
        <w:t>(أ)</w:t>
      </w:r>
      <w:r>
        <w:rPr>
          <w:rtl/>
        </w:rPr>
        <w:tab/>
      </w:r>
      <w:r w:rsidR="00585211">
        <w:rPr>
          <w:rFonts w:hint="cs"/>
          <w:rtl/>
        </w:rPr>
        <w:t>ستتيح القائمة الجديدة للمشاركين إمكانية تقييم أنشطة الخبراء/الخبراء الاستشاريين المعيّنين. وسيمكّن ذلك من تحسين جودة الأنشطة التي تضطلع بها الويبو.</w:t>
      </w:r>
    </w:p>
    <w:p w:rsidR="00585211" w:rsidRDefault="00585211" w:rsidP="00383D9E">
      <w:pPr>
        <w:pStyle w:val="NormalParaAR"/>
        <w:ind w:left="566"/>
        <w:rPr>
          <w:rFonts w:hint="cs"/>
          <w:rtl/>
        </w:rPr>
      </w:pPr>
      <w:r>
        <w:rPr>
          <w:rFonts w:hint="cs"/>
          <w:rtl/>
        </w:rPr>
        <w:t>(ب)</w:t>
      </w:r>
      <w:r>
        <w:rPr>
          <w:rtl/>
        </w:rPr>
        <w:tab/>
      </w:r>
      <w:r>
        <w:rPr>
          <w:rFonts w:hint="cs"/>
          <w:rtl/>
        </w:rPr>
        <w:t>ستسمح القائمة الجديدة باستخراج بيانات وتقاسمها مع جهات خارجية. فعلى سبيل المثال، ستُرسل البيانات المحمّلة في القائمة</w:t>
      </w:r>
      <w:r w:rsidR="00383D9E">
        <w:rPr>
          <w:rFonts w:hint="cs"/>
          <w:rtl/>
        </w:rPr>
        <w:t xml:space="preserve"> بشكل مباشر إلى قاعدة البيانات العالمية للمساعدة التقنية المتعلقة بالتجارة التابعة لمنظمة التجارة العالمية </w:t>
      </w:r>
      <w:proofErr w:type="gramStart"/>
      <w:r w:rsidR="00383D9E">
        <w:rPr>
          <w:rFonts w:hint="cs"/>
          <w:rtl/>
        </w:rPr>
        <w:t>(</w:t>
      </w:r>
      <w:r w:rsidR="00383D9E" w:rsidRPr="00383D9E">
        <w:t>GTAD</w:t>
      </w:r>
      <w:r w:rsidR="00383D9E">
        <w:rPr>
          <w:rFonts w:hint="cs"/>
          <w:rtl/>
        </w:rPr>
        <w:t>)</w:t>
      </w:r>
      <w:r w:rsidR="00383D9E">
        <w:rPr>
          <w:rStyle w:val="FootnoteReference"/>
          <w:rtl/>
        </w:rPr>
        <w:footnoteReference w:id="5"/>
      </w:r>
      <w:r w:rsidR="005854BC">
        <w:rPr>
          <w:rFonts w:hint="cs"/>
          <w:rtl/>
        </w:rPr>
        <w:t xml:space="preserve"> مقارنة</w:t>
      </w:r>
      <w:proofErr w:type="gramEnd"/>
      <w:r w:rsidR="005854BC">
        <w:rPr>
          <w:rFonts w:hint="cs"/>
          <w:rtl/>
        </w:rPr>
        <w:t xml:space="preserve"> بالعملية اليدوية الراهنة.</w:t>
      </w:r>
    </w:p>
    <w:p w:rsidR="005854BC" w:rsidRDefault="005854BC" w:rsidP="005854BC">
      <w:pPr>
        <w:pStyle w:val="NormalParaAR"/>
        <w:ind w:left="566"/>
        <w:rPr>
          <w:rFonts w:hint="cs"/>
          <w:rtl/>
        </w:rPr>
      </w:pPr>
      <w:r>
        <w:rPr>
          <w:rFonts w:hint="cs"/>
          <w:rtl/>
        </w:rPr>
        <w:t>(ج)</w:t>
      </w:r>
      <w:r>
        <w:rPr>
          <w:rtl/>
        </w:rPr>
        <w:tab/>
      </w:r>
      <w:r>
        <w:rPr>
          <w:rFonts w:hint="cs"/>
          <w:rtl/>
        </w:rPr>
        <w:t>وستتيح القائمة معلومات بشأن تكليف الخبراء/الخبراء الاستشاريين وخبرتهم بلغتين إضافيتين هما الفرنسية والإسبانية، علما بأن تلك المعلومات تظهر حاليا باللغة الإنكليزية فقط.</w:t>
      </w:r>
    </w:p>
    <w:p w:rsidR="005854BC" w:rsidRDefault="00F41349" w:rsidP="009341E2">
      <w:pPr>
        <w:pStyle w:val="NumberedParaAR"/>
        <w:rPr>
          <w:rFonts w:hint="cs"/>
        </w:rPr>
      </w:pPr>
      <w:proofErr w:type="gramStart"/>
      <w:r>
        <w:rPr>
          <w:rFonts w:hint="cs"/>
          <w:rtl/>
        </w:rPr>
        <w:t>وستمكّن</w:t>
      </w:r>
      <w:proofErr w:type="gramEnd"/>
      <w:r>
        <w:rPr>
          <w:rFonts w:hint="cs"/>
          <w:rtl/>
        </w:rPr>
        <w:t xml:space="preserve"> القائمة المستخدمين الداخليين من استخراج التقارير بثلاثة أنساق: نسق</w:t>
      </w:r>
      <w:r w:rsidR="00BF47C9">
        <w:rPr>
          <w:rFonts w:hint="eastAsia"/>
          <w:rtl/>
        </w:rPr>
        <w:t> </w:t>
      </w:r>
      <w:r w:rsidRPr="00F41349">
        <w:t>PDF</w:t>
      </w:r>
      <w:r>
        <w:rPr>
          <w:rFonts w:hint="cs"/>
          <w:rtl/>
        </w:rPr>
        <w:t xml:space="preserve"> ونسق</w:t>
      </w:r>
      <w:r>
        <w:rPr>
          <w:rFonts w:hint="eastAsia"/>
          <w:rtl/>
        </w:rPr>
        <w:t> </w:t>
      </w:r>
      <w:r w:rsidRPr="00F41349">
        <w:t>Microsoft</w:t>
      </w:r>
      <w:r>
        <w:t> </w:t>
      </w:r>
      <w:r w:rsidRPr="00F41349">
        <w:t>RTF</w:t>
      </w:r>
      <w:r>
        <w:rPr>
          <w:rFonts w:hint="eastAsia"/>
          <w:rtl/>
        </w:rPr>
        <w:t> </w:t>
      </w:r>
      <w:r>
        <w:rPr>
          <w:rFonts w:hint="cs"/>
          <w:rtl/>
        </w:rPr>
        <w:t>(</w:t>
      </w:r>
      <w:r w:rsidRPr="00F41349">
        <w:t>rtf</w:t>
      </w:r>
      <w:r>
        <w:rPr>
          <w:rFonts w:hint="cs"/>
          <w:rtl/>
        </w:rPr>
        <w:t>) ونسق</w:t>
      </w:r>
      <w:r>
        <w:rPr>
          <w:rFonts w:hint="eastAsia"/>
          <w:rtl/>
        </w:rPr>
        <w:t> </w:t>
      </w:r>
      <w:r w:rsidRPr="00F41349">
        <w:t>Microsoft</w:t>
      </w:r>
      <w:r>
        <w:t> </w:t>
      </w:r>
      <w:r w:rsidRPr="00F41349">
        <w:t>Word</w:t>
      </w:r>
      <w:r>
        <w:rPr>
          <w:rFonts w:hint="cs"/>
          <w:rtl/>
        </w:rPr>
        <w:t xml:space="preserve"> (</w:t>
      </w:r>
      <w:proofErr w:type="spellStart"/>
      <w:r w:rsidRPr="00F41349">
        <w:t>docx</w:t>
      </w:r>
      <w:proofErr w:type="spellEnd"/>
      <w:r>
        <w:rPr>
          <w:rFonts w:hint="cs"/>
          <w:rtl/>
        </w:rPr>
        <w:t xml:space="preserve">) وتعديلها و/أو حذفها. وسيتسنى أيضا، عبر منصة المعلومات، </w:t>
      </w:r>
      <w:proofErr w:type="gramStart"/>
      <w:r>
        <w:rPr>
          <w:rFonts w:hint="cs"/>
          <w:rtl/>
        </w:rPr>
        <w:t>استحداث</w:t>
      </w:r>
      <w:proofErr w:type="gramEnd"/>
      <w:r>
        <w:rPr>
          <w:rFonts w:hint="cs"/>
          <w:rtl/>
        </w:rPr>
        <w:t xml:space="preserve"> لوحات فضلا عن جداول بيانية. ويمكن استخدام </w:t>
      </w:r>
      <w:r w:rsidR="009341E2">
        <w:rPr>
          <w:rFonts w:hint="cs"/>
          <w:rtl/>
        </w:rPr>
        <w:t>تلك</w:t>
      </w:r>
      <w:r>
        <w:rPr>
          <w:rFonts w:hint="cs"/>
          <w:rtl/>
        </w:rPr>
        <w:t xml:space="preserve"> </w:t>
      </w:r>
      <w:r w:rsidR="009341E2">
        <w:rPr>
          <w:rFonts w:hint="cs"/>
          <w:rtl/>
        </w:rPr>
        <w:t xml:space="preserve">التقارير لأغراض </w:t>
      </w:r>
      <w:r>
        <w:rPr>
          <w:rFonts w:hint="cs"/>
          <w:rtl/>
        </w:rPr>
        <w:t>داخ</w:t>
      </w:r>
      <w:r w:rsidR="009341E2">
        <w:rPr>
          <w:rFonts w:hint="cs"/>
          <w:rtl/>
        </w:rPr>
        <w:t xml:space="preserve">لية ويمكن </w:t>
      </w:r>
      <w:r>
        <w:rPr>
          <w:rFonts w:hint="cs"/>
          <w:rtl/>
        </w:rPr>
        <w:t xml:space="preserve">إتاحتها للمستخدمين </w:t>
      </w:r>
      <w:proofErr w:type="gramStart"/>
      <w:r>
        <w:rPr>
          <w:rFonts w:hint="cs"/>
          <w:rtl/>
        </w:rPr>
        <w:t>الخارجيين</w:t>
      </w:r>
      <w:proofErr w:type="gramEnd"/>
      <w:r>
        <w:rPr>
          <w:rFonts w:hint="cs"/>
          <w:rtl/>
        </w:rPr>
        <w:t xml:space="preserve"> على صفحة القائمة الإلكترونية.</w:t>
      </w:r>
    </w:p>
    <w:p w:rsidR="00F41349" w:rsidRDefault="00F41349" w:rsidP="00F41349">
      <w:pPr>
        <w:pStyle w:val="NumberedParaAR"/>
        <w:rPr>
          <w:rFonts w:hint="cs"/>
        </w:rPr>
      </w:pPr>
      <w:r>
        <w:rPr>
          <w:rFonts w:hint="cs"/>
          <w:rtl/>
        </w:rPr>
        <w:t>وستسهم تلك التغييرات بقدر كبير في تحسين جودة البيانات المستخدمة، وبالتالي في تحسين مجمل العملية وتجرية</w:t>
      </w:r>
      <w:r>
        <w:rPr>
          <w:rFonts w:hint="eastAsia"/>
          <w:rtl/>
        </w:rPr>
        <w:t> </w:t>
      </w:r>
      <w:r>
        <w:rPr>
          <w:rFonts w:hint="cs"/>
          <w:rtl/>
        </w:rPr>
        <w:t>العملاء.</w:t>
      </w:r>
    </w:p>
    <w:p w:rsidR="00F41349" w:rsidRDefault="00F41349" w:rsidP="009341E2">
      <w:pPr>
        <w:pStyle w:val="NumberedParaAR"/>
        <w:rPr>
          <w:rFonts w:hint="cs"/>
        </w:rPr>
      </w:pPr>
      <w:r>
        <w:rPr>
          <w:rFonts w:hint="cs"/>
          <w:rtl/>
        </w:rPr>
        <w:t>ومن المتوقّع استكمال الانتقال إلى بيئة</w:t>
      </w:r>
      <w:r w:rsidRPr="00F41349">
        <w:rPr>
          <w:rFonts w:hint="cs"/>
          <w:rtl/>
        </w:rPr>
        <w:t xml:space="preserve"> </w:t>
      </w:r>
      <w:r>
        <w:rPr>
          <w:rFonts w:hint="cs"/>
          <w:rtl/>
        </w:rPr>
        <w:t>ا</w:t>
      </w:r>
      <w:r w:rsidRPr="00F41349">
        <w:rPr>
          <w:rFonts w:hint="cs"/>
          <w:rtl/>
        </w:rPr>
        <w:t>لتخطيط للموارد المؤسسية</w:t>
      </w:r>
      <w:r>
        <w:rPr>
          <w:rFonts w:hint="cs"/>
          <w:rtl/>
        </w:rPr>
        <w:t xml:space="preserve"> بحلول مارس</w:t>
      </w:r>
      <w:r w:rsidR="009341E2">
        <w:rPr>
          <w:rFonts w:hint="eastAsia"/>
          <w:rtl/>
        </w:rPr>
        <w:t> </w:t>
      </w:r>
      <w:bookmarkStart w:id="2" w:name="_GoBack"/>
      <w:bookmarkEnd w:id="2"/>
      <w:r>
        <w:rPr>
          <w:rFonts w:hint="cs"/>
          <w:rtl/>
        </w:rPr>
        <w:t xml:space="preserve">2018. </w:t>
      </w:r>
      <w:proofErr w:type="gramStart"/>
      <w:r>
        <w:rPr>
          <w:rFonts w:hint="cs"/>
          <w:rtl/>
        </w:rPr>
        <w:t>وبمجرّد</w:t>
      </w:r>
      <w:proofErr w:type="gramEnd"/>
      <w:r>
        <w:rPr>
          <w:rFonts w:hint="cs"/>
          <w:rtl/>
        </w:rPr>
        <w:t xml:space="preserve"> استكمال تلك العملية، </w:t>
      </w:r>
      <w:r w:rsidR="002E6ECB">
        <w:rPr>
          <w:rFonts w:hint="cs"/>
          <w:rtl/>
        </w:rPr>
        <w:t xml:space="preserve">ستُعرض قاعدة البيانات </w:t>
      </w:r>
      <w:r w:rsidR="002E6ECB">
        <w:rPr>
          <w:rFonts w:hint="cs"/>
          <w:rtl/>
        </w:rPr>
        <w:t xml:space="preserve">المحدّثة الجديدة </w:t>
      </w:r>
      <w:r w:rsidR="002E6ECB">
        <w:rPr>
          <w:rFonts w:hint="cs"/>
          <w:rtl/>
        </w:rPr>
        <w:t>المشتملة على القائمة على لجنة التنمية في دورة مقبلة.</w:t>
      </w:r>
    </w:p>
    <w:p w:rsidR="002E6ECB" w:rsidRDefault="002E6ECB" w:rsidP="002E6ECB">
      <w:pPr>
        <w:pStyle w:val="DecisionParaAR"/>
        <w:spacing w:after="480"/>
        <w:rPr>
          <w:rFonts w:hint="cs"/>
        </w:rPr>
      </w:pPr>
      <w:r>
        <w:rPr>
          <w:rFonts w:hint="cs"/>
          <w:rtl/>
        </w:rPr>
        <w:t>إن لجنة التنمية مدعوة إلى الإحاطة علما بالمعلومات الواردة في هذه الوثيقة.</w:t>
      </w:r>
    </w:p>
    <w:p w:rsidR="002E6ECB" w:rsidRPr="00BD1255" w:rsidRDefault="002E6ECB" w:rsidP="002E6ECB">
      <w:pPr>
        <w:pStyle w:val="EndofDocumentAR"/>
        <w:rPr>
          <w:rtl/>
        </w:rPr>
      </w:pPr>
      <w:r>
        <w:rPr>
          <w:rFonts w:hint="cs"/>
          <w:rtl/>
        </w:rPr>
        <w:t>[</w:t>
      </w:r>
      <w:proofErr w:type="gramStart"/>
      <w:r>
        <w:rPr>
          <w:rFonts w:hint="cs"/>
          <w:rtl/>
        </w:rPr>
        <w:t>نهاية</w:t>
      </w:r>
      <w:proofErr w:type="gramEnd"/>
      <w:r>
        <w:rPr>
          <w:rFonts w:hint="cs"/>
          <w:rtl/>
        </w:rPr>
        <w:t xml:space="preserve"> الوثيقة]</w:t>
      </w:r>
    </w:p>
    <w:sectPr w:rsidR="002E6ECB" w:rsidRPr="00BD1255" w:rsidSect="00EB7752">
      <w:headerReference w:type="default" r:id="rId15"/>
      <w:pgSz w:w="11907" w:h="16840" w:code="9"/>
      <w:pgMar w:top="567" w:right="1418" w:bottom="1418" w:left="1134"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91F" w:rsidRDefault="00B1191F">
      <w:r>
        <w:separator/>
      </w:r>
    </w:p>
  </w:endnote>
  <w:endnote w:type="continuationSeparator" w:id="0">
    <w:p w:rsidR="00B1191F" w:rsidRDefault="00B11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91F" w:rsidRDefault="00B1191F" w:rsidP="009622BF">
      <w:pPr>
        <w:bidi/>
      </w:pPr>
      <w:bookmarkStart w:id="0" w:name="OLE_LINK1"/>
      <w:bookmarkStart w:id="1" w:name="OLE_LINK2"/>
      <w:r>
        <w:separator/>
      </w:r>
      <w:bookmarkEnd w:id="0"/>
      <w:bookmarkEnd w:id="1"/>
    </w:p>
  </w:footnote>
  <w:footnote w:type="continuationSeparator" w:id="0">
    <w:p w:rsidR="00B1191F" w:rsidRDefault="00B1191F" w:rsidP="009622BF">
      <w:pPr>
        <w:bidi/>
      </w:pPr>
      <w:r>
        <w:separator/>
      </w:r>
    </w:p>
  </w:footnote>
  <w:footnote w:id="1">
    <w:p w:rsidR="00B24835" w:rsidRDefault="00B24835">
      <w:pPr>
        <w:pStyle w:val="FootnoteText"/>
        <w:rPr>
          <w:rFonts w:hint="cs"/>
        </w:rPr>
      </w:pPr>
      <w:r>
        <w:rPr>
          <w:rStyle w:val="FootnoteReference"/>
        </w:rPr>
        <w:footnoteRef/>
      </w:r>
      <w:r>
        <w:rPr>
          <w:rFonts w:hint="cs"/>
          <w:rtl/>
        </w:rPr>
        <w:tab/>
        <w:t xml:space="preserve">ملخص رئيس الدورة السابعة </w:t>
      </w:r>
      <w:proofErr w:type="gramStart"/>
      <w:r>
        <w:rPr>
          <w:rFonts w:hint="cs"/>
          <w:rtl/>
        </w:rPr>
        <w:t>عشرة</w:t>
      </w:r>
      <w:proofErr w:type="gramEnd"/>
      <w:r>
        <w:rPr>
          <w:rFonts w:hint="cs"/>
          <w:rtl/>
        </w:rPr>
        <w:t xml:space="preserve"> للجنة التنمية، الفقرة 5 من الملحق الأول.</w:t>
      </w:r>
    </w:p>
  </w:footnote>
  <w:footnote w:id="2">
    <w:p w:rsidR="00366961" w:rsidRDefault="00366961" w:rsidP="00213F93">
      <w:pPr>
        <w:pStyle w:val="FootnoteText"/>
        <w:rPr>
          <w:rFonts w:hint="cs"/>
        </w:rPr>
      </w:pPr>
      <w:r>
        <w:rPr>
          <w:rStyle w:val="FootnoteReference"/>
        </w:rPr>
        <w:footnoteRef/>
      </w:r>
      <w:r>
        <w:rPr>
          <w:rtl/>
        </w:rPr>
        <w:t xml:space="preserve"> </w:t>
      </w:r>
      <w:r>
        <w:rPr>
          <w:rFonts w:hint="cs"/>
          <w:rtl/>
        </w:rPr>
        <w:tab/>
        <w:t xml:space="preserve">توصيات </w:t>
      </w:r>
      <w:r w:rsidR="00870B78">
        <w:rPr>
          <w:rFonts w:hint="cs"/>
          <w:rtl/>
        </w:rPr>
        <w:t>أجندة الويبو للتنمية، متاحة عبر الرابط التالي:</w:t>
      </w:r>
      <w:r w:rsidR="00870B78">
        <w:rPr>
          <w:rtl/>
        </w:rPr>
        <w:br/>
      </w:r>
      <w:hyperlink r:id="rId1" w:history="1">
        <w:r w:rsidR="00213F93" w:rsidRPr="001E75EE">
          <w:rPr>
            <w:rStyle w:val="Hyperlink"/>
          </w:rPr>
          <w:t>http://www.wipo.int/ip-development/ar/agenda/recommendations.html</w:t>
        </w:r>
      </w:hyperlink>
    </w:p>
  </w:footnote>
  <w:footnote w:id="3">
    <w:p w:rsidR="00870B78" w:rsidRDefault="00870B78" w:rsidP="00213F93">
      <w:pPr>
        <w:pStyle w:val="FootnoteText"/>
        <w:rPr>
          <w:rFonts w:hint="cs"/>
        </w:rPr>
      </w:pPr>
      <w:r>
        <w:rPr>
          <w:rStyle w:val="FootnoteReference"/>
        </w:rPr>
        <w:footnoteRef/>
      </w:r>
      <w:r>
        <w:rPr>
          <w:rFonts w:hint="cs"/>
          <w:rtl/>
        </w:rPr>
        <w:tab/>
        <w:t xml:space="preserve">الوثيقة </w:t>
      </w:r>
      <w:r w:rsidRPr="00870B78">
        <w:t>CDIP/3/2</w:t>
      </w:r>
      <w:r>
        <w:rPr>
          <w:rFonts w:hint="cs"/>
          <w:rtl/>
        </w:rPr>
        <w:t xml:space="preserve">، </w:t>
      </w:r>
      <w:proofErr w:type="gramStart"/>
      <w:r>
        <w:rPr>
          <w:rFonts w:hint="cs"/>
          <w:rtl/>
        </w:rPr>
        <w:t>قائمة</w:t>
      </w:r>
      <w:proofErr w:type="gramEnd"/>
      <w:r>
        <w:rPr>
          <w:rFonts w:hint="cs"/>
          <w:rtl/>
        </w:rPr>
        <w:t xml:space="preserve"> الخبراء الاستشاريين </w:t>
      </w:r>
      <w:r>
        <w:rPr>
          <w:rtl/>
        </w:rPr>
        <w:t>–</w:t>
      </w:r>
      <w:r>
        <w:rPr>
          <w:rFonts w:hint="cs"/>
          <w:rtl/>
        </w:rPr>
        <w:t xml:space="preserve"> التوصية 6، متاحة عبر الرابط التالي: </w:t>
      </w:r>
      <w:hyperlink r:id="rId2" w:history="1">
        <w:r w:rsidR="00213F93" w:rsidRPr="001E75EE">
          <w:rPr>
            <w:rStyle w:val="Hyperlink"/>
          </w:rPr>
          <w:t>http://www.wipo.int/edocs/mdocs/mdocs/ar/cdip_3/cdip_3_2.pdf</w:t>
        </w:r>
      </w:hyperlink>
    </w:p>
  </w:footnote>
  <w:footnote w:id="4">
    <w:p w:rsidR="00213F93" w:rsidRDefault="00213F93" w:rsidP="00213F93">
      <w:pPr>
        <w:pStyle w:val="FootnoteText"/>
        <w:rPr>
          <w:rFonts w:hint="cs"/>
        </w:rPr>
      </w:pPr>
      <w:r>
        <w:rPr>
          <w:rStyle w:val="FootnoteReference"/>
        </w:rPr>
        <w:footnoteRef/>
      </w:r>
      <w:r>
        <w:rPr>
          <w:rFonts w:hint="cs"/>
          <w:rtl/>
        </w:rPr>
        <w:tab/>
        <w:t xml:space="preserve">وثائق المشروعات لأغراض تنفيذ التوصيات 2 و5 و8 و9 و10 متاحة </w:t>
      </w:r>
      <w:proofErr w:type="gramStart"/>
      <w:r>
        <w:rPr>
          <w:rFonts w:hint="cs"/>
          <w:rtl/>
        </w:rPr>
        <w:t>عبر</w:t>
      </w:r>
      <w:proofErr w:type="gramEnd"/>
      <w:r>
        <w:rPr>
          <w:rFonts w:hint="cs"/>
          <w:rtl/>
        </w:rPr>
        <w:t xml:space="preserve"> الرابط التالي: </w:t>
      </w:r>
      <w:hyperlink r:id="rId3" w:history="1">
        <w:r w:rsidRPr="001E75EE">
          <w:rPr>
            <w:rStyle w:val="Hyperlink"/>
          </w:rPr>
          <w:t>http://www.wipo.int/edocs/mdocs/mdocs/ar/cdip_3/cdip_3_inf_2.pdf</w:t>
        </w:r>
      </w:hyperlink>
    </w:p>
  </w:footnote>
  <w:footnote w:id="5">
    <w:p w:rsidR="00383D9E" w:rsidRDefault="00383D9E" w:rsidP="00383D9E">
      <w:pPr>
        <w:pStyle w:val="FootnoteText"/>
        <w:rPr>
          <w:rFonts w:hint="cs"/>
        </w:rPr>
      </w:pPr>
      <w:r>
        <w:rPr>
          <w:rStyle w:val="FootnoteReference"/>
        </w:rPr>
        <w:footnoteRef/>
      </w:r>
      <w:r>
        <w:rPr>
          <w:rFonts w:hint="cs"/>
          <w:rtl/>
        </w:rPr>
        <w:tab/>
      </w:r>
      <w:r w:rsidRPr="00383D9E">
        <w:rPr>
          <w:rFonts w:hint="cs"/>
          <w:rtl/>
        </w:rPr>
        <w:t>قاعدة البيانات العالمية للمساعدة التقنية المتعلقة بالتجارة التابعة لمنظمة التجارة العالمية</w:t>
      </w:r>
      <w:r>
        <w:rPr>
          <w:rFonts w:hint="cs"/>
          <w:rtl/>
        </w:rPr>
        <w:t xml:space="preserve">، </w:t>
      </w:r>
      <w:hyperlink r:id="rId4" w:history="1">
        <w:r w:rsidRPr="00383D9E">
          <w:rPr>
            <w:rStyle w:val="Hyperlink"/>
          </w:rPr>
          <w:t>http://gtad.wto.org/</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7FC" w:rsidRDefault="0021704F" w:rsidP="00BD1255">
    <w:r>
      <w:t>CDIP</w:t>
    </w:r>
    <w:r w:rsidR="002F77FC">
      <w:t>/</w:t>
    </w:r>
    <w:r w:rsidR="008F262E">
      <w:t>20</w:t>
    </w:r>
    <w:r w:rsidR="002F77FC">
      <w:t>/</w:t>
    </w:r>
    <w:r w:rsidR="00BD1255">
      <w:t>6</w:t>
    </w:r>
  </w:p>
  <w:p w:rsidR="002F77FC" w:rsidRDefault="002F77FC" w:rsidP="00D61541">
    <w:r>
      <w:fldChar w:fldCharType="begin"/>
    </w:r>
    <w:r>
      <w:instrText xml:space="preserve"> PAGE  \* MERGEFORMAT </w:instrText>
    </w:r>
    <w:r>
      <w:fldChar w:fldCharType="separate"/>
    </w:r>
    <w:r w:rsidR="00BC46CF">
      <w:rPr>
        <w:noProof/>
      </w:rPr>
      <w:t>6</w:t>
    </w:r>
    <w:r>
      <w:fldChar w:fldCharType="end"/>
    </w:r>
  </w:p>
  <w:p w:rsidR="002F77FC" w:rsidRDefault="002F77FC" w:rsidP="00D6154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72AFA66"/>
    <w:lvl w:ilvl="0">
      <w:start w:val="1"/>
      <w:numFmt w:val="decimal"/>
      <w:lvlText w:val="%1."/>
      <w:lvlJc w:val="left"/>
      <w:pPr>
        <w:tabs>
          <w:tab w:val="num" w:pos="1492"/>
        </w:tabs>
        <w:ind w:left="1492" w:hanging="360"/>
      </w:pPr>
    </w:lvl>
  </w:abstractNum>
  <w:abstractNum w:abstractNumId="1">
    <w:nsid w:val="FFFFFF7D"/>
    <w:multiLevelType w:val="singleLevel"/>
    <w:tmpl w:val="FD22C480"/>
    <w:lvl w:ilvl="0">
      <w:start w:val="1"/>
      <w:numFmt w:val="decimal"/>
      <w:lvlText w:val="%1."/>
      <w:lvlJc w:val="left"/>
      <w:pPr>
        <w:tabs>
          <w:tab w:val="num" w:pos="1209"/>
        </w:tabs>
        <w:ind w:left="1209" w:hanging="360"/>
      </w:pPr>
    </w:lvl>
  </w:abstractNum>
  <w:abstractNum w:abstractNumId="2">
    <w:nsid w:val="FFFFFF7E"/>
    <w:multiLevelType w:val="singleLevel"/>
    <w:tmpl w:val="1BD2C8BC"/>
    <w:lvl w:ilvl="0">
      <w:start w:val="1"/>
      <w:numFmt w:val="decimal"/>
      <w:lvlText w:val="%1."/>
      <w:lvlJc w:val="left"/>
      <w:pPr>
        <w:tabs>
          <w:tab w:val="num" w:pos="926"/>
        </w:tabs>
        <w:ind w:left="926" w:hanging="360"/>
      </w:pPr>
    </w:lvl>
  </w:abstractNum>
  <w:abstractNum w:abstractNumId="3">
    <w:nsid w:val="FFFFFF7F"/>
    <w:multiLevelType w:val="singleLevel"/>
    <w:tmpl w:val="E584A17C"/>
    <w:lvl w:ilvl="0">
      <w:start w:val="1"/>
      <w:numFmt w:val="decimal"/>
      <w:lvlText w:val="%1."/>
      <w:lvlJc w:val="left"/>
      <w:pPr>
        <w:tabs>
          <w:tab w:val="num" w:pos="643"/>
        </w:tabs>
        <w:ind w:left="643" w:hanging="360"/>
      </w:pPr>
    </w:lvl>
  </w:abstractNum>
  <w:abstractNum w:abstractNumId="4">
    <w:nsid w:val="FFFFFF80"/>
    <w:multiLevelType w:val="singleLevel"/>
    <w:tmpl w:val="337A4E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2C38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AEA2F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DCA47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B8DA0A"/>
    <w:lvl w:ilvl="0">
      <w:start w:val="1"/>
      <w:numFmt w:val="upperLetter"/>
      <w:lvlRestart w:val="0"/>
      <w:lvlText w:val="%1."/>
      <w:lvlJc w:val="left"/>
      <w:pPr>
        <w:tabs>
          <w:tab w:val="num" w:pos="567"/>
        </w:tabs>
        <w:ind w:left="0" w:firstLine="0"/>
      </w:pPr>
      <w:rPr>
        <w:rFonts w:ascii="Arabic Typesetting" w:hAnsi="Arabic Typesetting" w:cs="Arabic Typesetting" w:hint="default"/>
        <w:b w:val="0"/>
        <w:i/>
        <w:iCs/>
        <w:color w:val="auto"/>
        <w:sz w:val="34"/>
        <w:szCs w:val="34"/>
      </w:rPr>
    </w:lvl>
  </w:abstractNum>
  <w:abstractNum w:abstractNumId="9">
    <w:nsid w:val="FFFFFF89"/>
    <w:multiLevelType w:val="singleLevel"/>
    <w:tmpl w:val="87D6AB3E"/>
    <w:lvl w:ilvl="0">
      <w:start w:val="1"/>
      <w:numFmt w:val="bullet"/>
      <w:lvlText w:val=""/>
      <w:lvlJc w:val="left"/>
      <w:pPr>
        <w:tabs>
          <w:tab w:val="num" w:pos="360"/>
        </w:tabs>
        <w:ind w:left="360" w:hanging="360"/>
      </w:pPr>
      <w:rPr>
        <w:rFonts w:ascii="Symbol" w:hAnsi="Symbol" w:hint="default"/>
      </w:rPr>
    </w:lvl>
  </w:abstractNum>
  <w:abstractNum w:abstractNumId="10">
    <w:nsid w:val="1727581F"/>
    <w:multiLevelType w:val="multilevel"/>
    <w:tmpl w:val="34D8CCB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
    <w:nsid w:val="177D5000"/>
    <w:multiLevelType w:val="singleLevel"/>
    <w:tmpl w:val="0409000F"/>
    <w:lvl w:ilvl="0">
      <w:start w:val="1"/>
      <w:numFmt w:val="decimal"/>
      <w:lvlText w:val="%1."/>
      <w:lvlJc w:val="left"/>
      <w:pPr>
        <w:tabs>
          <w:tab w:val="num" w:pos="360"/>
        </w:tabs>
        <w:ind w:left="360" w:hanging="360"/>
      </w:pPr>
    </w:lvl>
  </w:abstractNum>
  <w:abstractNum w:abstractNumId="12">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F93CBC"/>
    <w:multiLevelType w:val="hybridMultilevel"/>
    <w:tmpl w:val="FB6865DE"/>
    <w:lvl w:ilvl="0" w:tplc="4FC6ED1C">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5CD70082"/>
    <w:multiLevelType w:val="multilevel"/>
    <w:tmpl w:val="7DD82B1A"/>
    <w:lvl w:ilvl="0">
      <w:start w:val="1"/>
      <w:numFmt w:val="decimal"/>
      <w:lvlText w:val="%1."/>
      <w:lvlJc w:val="left"/>
      <w:pPr>
        <w:tabs>
          <w:tab w:val="num" w:pos="567"/>
        </w:tabs>
        <w:ind w:left="0" w:firstLine="0"/>
      </w:pPr>
      <w:rPr>
        <w:rFonts w:ascii="Arabic Typesetting" w:hAnsi="Arabic Typesetting" w:cs="Arabic Typesetting" w:hint="default"/>
        <w:sz w:val="36"/>
        <w:szCs w:val="3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67637C8B"/>
    <w:multiLevelType w:val="hybridMultilevel"/>
    <w:tmpl w:val="BD7A977A"/>
    <w:lvl w:ilvl="0" w:tplc="943C363E">
      <w:start w:val="1"/>
      <w:numFmt w:val="decimal"/>
      <w:lvlText w:val="%1."/>
      <w:lvlJc w:val="left"/>
      <w:pPr>
        <w:tabs>
          <w:tab w:val="num" w:pos="703"/>
        </w:tabs>
        <w:ind w:left="5534"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FBF3CCB"/>
    <w:multiLevelType w:val="multilevel"/>
    <w:tmpl w:val="AC860180"/>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8">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ECC3A7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1"/>
  </w:num>
  <w:num w:numId="2">
    <w:abstractNumId w:val="14"/>
  </w:num>
  <w:num w:numId="3">
    <w:abstractNumId w:val="10"/>
  </w:num>
  <w:num w:numId="4">
    <w:abstractNumId w:val="17"/>
  </w:num>
  <w:num w:numId="5">
    <w:abstractNumId w:val="8"/>
  </w:num>
  <w:num w:numId="6">
    <w:abstractNumId w:val="18"/>
  </w:num>
  <w:num w:numId="7">
    <w:abstractNumId w:val="13"/>
  </w:num>
  <w:num w:numId="8">
    <w:abstractNumId w:val="16"/>
  </w:num>
  <w:num w:numId="9">
    <w:abstractNumId w:val="15"/>
  </w:num>
  <w:num w:numId="10">
    <w:abstractNumId w:val="19"/>
  </w:num>
  <w:num w:numId="11">
    <w:abstractNumId w:val="12"/>
  </w:num>
  <w:num w:numId="12">
    <w:abstractNumId w:val="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91F"/>
    <w:rsid w:val="00002CBE"/>
    <w:rsid w:val="00003232"/>
    <w:rsid w:val="000033DA"/>
    <w:rsid w:val="0000579F"/>
    <w:rsid w:val="000074D1"/>
    <w:rsid w:val="000076BD"/>
    <w:rsid w:val="00010481"/>
    <w:rsid w:val="00010671"/>
    <w:rsid w:val="000114E2"/>
    <w:rsid w:val="00013347"/>
    <w:rsid w:val="00013D73"/>
    <w:rsid w:val="000142E1"/>
    <w:rsid w:val="000146BD"/>
    <w:rsid w:val="00014B68"/>
    <w:rsid w:val="0001645D"/>
    <w:rsid w:val="00017A43"/>
    <w:rsid w:val="0002157B"/>
    <w:rsid w:val="00023101"/>
    <w:rsid w:val="0002407C"/>
    <w:rsid w:val="0002476F"/>
    <w:rsid w:val="00024E17"/>
    <w:rsid w:val="000258DB"/>
    <w:rsid w:val="000259E5"/>
    <w:rsid w:val="00031B2C"/>
    <w:rsid w:val="00033D2C"/>
    <w:rsid w:val="00035CE8"/>
    <w:rsid w:val="00036041"/>
    <w:rsid w:val="00040637"/>
    <w:rsid w:val="00040688"/>
    <w:rsid w:val="0004070F"/>
    <w:rsid w:val="0004115B"/>
    <w:rsid w:val="00042F2D"/>
    <w:rsid w:val="000432B2"/>
    <w:rsid w:val="000432CF"/>
    <w:rsid w:val="000438A8"/>
    <w:rsid w:val="00044AC0"/>
    <w:rsid w:val="00045B68"/>
    <w:rsid w:val="00045E69"/>
    <w:rsid w:val="00046EDC"/>
    <w:rsid w:val="00047497"/>
    <w:rsid w:val="000500C9"/>
    <w:rsid w:val="0005014C"/>
    <w:rsid w:val="000508E2"/>
    <w:rsid w:val="00050A69"/>
    <w:rsid w:val="00050C55"/>
    <w:rsid w:val="00050F28"/>
    <w:rsid w:val="00053836"/>
    <w:rsid w:val="00054659"/>
    <w:rsid w:val="00055FA2"/>
    <w:rsid w:val="000571DD"/>
    <w:rsid w:val="00061FF5"/>
    <w:rsid w:val="00062502"/>
    <w:rsid w:val="00063C91"/>
    <w:rsid w:val="000640E7"/>
    <w:rsid w:val="00066DC7"/>
    <w:rsid w:val="0006794A"/>
    <w:rsid w:val="00067F31"/>
    <w:rsid w:val="00071138"/>
    <w:rsid w:val="00073402"/>
    <w:rsid w:val="00075745"/>
    <w:rsid w:val="00075A04"/>
    <w:rsid w:val="00075D39"/>
    <w:rsid w:val="000760C3"/>
    <w:rsid w:val="000763A4"/>
    <w:rsid w:val="00076901"/>
    <w:rsid w:val="0008237C"/>
    <w:rsid w:val="000833C3"/>
    <w:rsid w:val="0008421F"/>
    <w:rsid w:val="0008451C"/>
    <w:rsid w:val="00085A0B"/>
    <w:rsid w:val="000863B7"/>
    <w:rsid w:val="00087DB6"/>
    <w:rsid w:val="00090139"/>
    <w:rsid w:val="0009024C"/>
    <w:rsid w:val="00090ADD"/>
    <w:rsid w:val="000913C0"/>
    <w:rsid w:val="00091F52"/>
    <w:rsid w:val="00092982"/>
    <w:rsid w:val="00092DD6"/>
    <w:rsid w:val="00094C85"/>
    <w:rsid w:val="00094D7E"/>
    <w:rsid w:val="0009517B"/>
    <w:rsid w:val="00095AE2"/>
    <w:rsid w:val="000962DF"/>
    <w:rsid w:val="0009661E"/>
    <w:rsid w:val="000A12BC"/>
    <w:rsid w:val="000A1306"/>
    <w:rsid w:val="000A1521"/>
    <w:rsid w:val="000A2FC1"/>
    <w:rsid w:val="000A3A57"/>
    <w:rsid w:val="000A5408"/>
    <w:rsid w:val="000A6510"/>
    <w:rsid w:val="000B0BB4"/>
    <w:rsid w:val="000B1045"/>
    <w:rsid w:val="000B1BAE"/>
    <w:rsid w:val="000B29B3"/>
    <w:rsid w:val="000B3889"/>
    <w:rsid w:val="000B3B3B"/>
    <w:rsid w:val="000B42E7"/>
    <w:rsid w:val="000B70B7"/>
    <w:rsid w:val="000B73E6"/>
    <w:rsid w:val="000B76A8"/>
    <w:rsid w:val="000B7759"/>
    <w:rsid w:val="000C111E"/>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5FB7"/>
    <w:rsid w:val="000E06A5"/>
    <w:rsid w:val="000E16EB"/>
    <w:rsid w:val="000E591F"/>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4C1"/>
    <w:rsid w:val="0010385D"/>
    <w:rsid w:val="001042E0"/>
    <w:rsid w:val="00104C51"/>
    <w:rsid w:val="0010597B"/>
    <w:rsid w:val="00107FC9"/>
    <w:rsid w:val="00110107"/>
    <w:rsid w:val="00110531"/>
    <w:rsid w:val="00110794"/>
    <w:rsid w:val="00112524"/>
    <w:rsid w:val="00113769"/>
    <w:rsid w:val="00114141"/>
    <w:rsid w:val="00114827"/>
    <w:rsid w:val="00115266"/>
    <w:rsid w:val="001154FB"/>
    <w:rsid w:val="00115B51"/>
    <w:rsid w:val="001171EF"/>
    <w:rsid w:val="001173C5"/>
    <w:rsid w:val="00121092"/>
    <w:rsid w:val="00121AA0"/>
    <w:rsid w:val="00121FE6"/>
    <w:rsid w:val="00123F16"/>
    <w:rsid w:val="0012405D"/>
    <w:rsid w:val="001252B1"/>
    <w:rsid w:val="00126897"/>
    <w:rsid w:val="0012696D"/>
    <w:rsid w:val="00130FC9"/>
    <w:rsid w:val="001310EE"/>
    <w:rsid w:val="0013191A"/>
    <w:rsid w:val="00131E8F"/>
    <w:rsid w:val="00135C24"/>
    <w:rsid w:val="00136389"/>
    <w:rsid w:val="00136894"/>
    <w:rsid w:val="00136A1A"/>
    <w:rsid w:val="00136A96"/>
    <w:rsid w:val="001376B6"/>
    <w:rsid w:val="00140A35"/>
    <w:rsid w:val="00142F4D"/>
    <w:rsid w:val="00143428"/>
    <w:rsid w:val="0014412C"/>
    <w:rsid w:val="00144713"/>
    <w:rsid w:val="00144CC3"/>
    <w:rsid w:val="0015009D"/>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8F4"/>
    <w:rsid w:val="001572CE"/>
    <w:rsid w:val="001603F7"/>
    <w:rsid w:val="00160C95"/>
    <w:rsid w:val="00162777"/>
    <w:rsid w:val="0016337E"/>
    <w:rsid w:val="00164691"/>
    <w:rsid w:val="00164BD2"/>
    <w:rsid w:val="00165AC3"/>
    <w:rsid w:val="001665F3"/>
    <w:rsid w:val="001667B6"/>
    <w:rsid w:val="001668D4"/>
    <w:rsid w:val="00166A09"/>
    <w:rsid w:val="00167809"/>
    <w:rsid w:val="00167F30"/>
    <w:rsid w:val="00171844"/>
    <w:rsid w:val="0017385A"/>
    <w:rsid w:val="00175448"/>
    <w:rsid w:val="001757AF"/>
    <w:rsid w:val="00175825"/>
    <w:rsid w:val="0017666F"/>
    <w:rsid w:val="00176D64"/>
    <w:rsid w:val="00176E2C"/>
    <w:rsid w:val="00177DBF"/>
    <w:rsid w:val="00182417"/>
    <w:rsid w:val="0018242F"/>
    <w:rsid w:val="0018414E"/>
    <w:rsid w:val="00185718"/>
    <w:rsid w:val="001857AF"/>
    <w:rsid w:val="00185BBE"/>
    <w:rsid w:val="00186606"/>
    <w:rsid w:val="00190B6D"/>
    <w:rsid w:val="00191E75"/>
    <w:rsid w:val="00192022"/>
    <w:rsid w:val="0019301D"/>
    <w:rsid w:val="0019454F"/>
    <w:rsid w:val="00194719"/>
    <w:rsid w:val="00194774"/>
    <w:rsid w:val="00195CE0"/>
    <w:rsid w:val="001A098F"/>
    <w:rsid w:val="001A10CB"/>
    <w:rsid w:val="001A110B"/>
    <w:rsid w:val="001A149A"/>
    <w:rsid w:val="001A2AB7"/>
    <w:rsid w:val="001A4A9C"/>
    <w:rsid w:val="001A6B88"/>
    <w:rsid w:val="001A6C33"/>
    <w:rsid w:val="001A6E68"/>
    <w:rsid w:val="001B3131"/>
    <w:rsid w:val="001B4B2F"/>
    <w:rsid w:val="001B7C00"/>
    <w:rsid w:val="001C09D2"/>
    <w:rsid w:val="001C1620"/>
    <w:rsid w:val="001C18B2"/>
    <w:rsid w:val="001C1994"/>
    <w:rsid w:val="001C2933"/>
    <w:rsid w:val="001C5EEE"/>
    <w:rsid w:val="001C6A73"/>
    <w:rsid w:val="001C73C2"/>
    <w:rsid w:val="001D0474"/>
    <w:rsid w:val="001D141D"/>
    <w:rsid w:val="001D1EBD"/>
    <w:rsid w:val="001D2184"/>
    <w:rsid w:val="001D24F3"/>
    <w:rsid w:val="001D2678"/>
    <w:rsid w:val="001D2DC4"/>
    <w:rsid w:val="001D6850"/>
    <w:rsid w:val="001D6A48"/>
    <w:rsid w:val="001E1043"/>
    <w:rsid w:val="001E10E1"/>
    <w:rsid w:val="001E175F"/>
    <w:rsid w:val="001E19F7"/>
    <w:rsid w:val="001E2669"/>
    <w:rsid w:val="001E3FB9"/>
    <w:rsid w:val="001E4083"/>
    <w:rsid w:val="001E5588"/>
    <w:rsid w:val="001E56CB"/>
    <w:rsid w:val="001E56FC"/>
    <w:rsid w:val="001E582D"/>
    <w:rsid w:val="001E6318"/>
    <w:rsid w:val="001F0AD5"/>
    <w:rsid w:val="001F0C0A"/>
    <w:rsid w:val="001F1509"/>
    <w:rsid w:val="001F18E7"/>
    <w:rsid w:val="001F3A75"/>
    <w:rsid w:val="001F3A9D"/>
    <w:rsid w:val="001F3FDB"/>
    <w:rsid w:val="001F6545"/>
    <w:rsid w:val="001F66B5"/>
    <w:rsid w:val="001F6F36"/>
    <w:rsid w:val="001F76FD"/>
    <w:rsid w:val="002004C0"/>
    <w:rsid w:val="002012F2"/>
    <w:rsid w:val="002014D7"/>
    <w:rsid w:val="00202F07"/>
    <w:rsid w:val="00203030"/>
    <w:rsid w:val="00203D45"/>
    <w:rsid w:val="00205495"/>
    <w:rsid w:val="002061DE"/>
    <w:rsid w:val="002065E2"/>
    <w:rsid w:val="00206C61"/>
    <w:rsid w:val="00206F30"/>
    <w:rsid w:val="002072D8"/>
    <w:rsid w:val="00207616"/>
    <w:rsid w:val="00207F10"/>
    <w:rsid w:val="002112E6"/>
    <w:rsid w:val="00213213"/>
    <w:rsid w:val="00213F93"/>
    <w:rsid w:val="0021457F"/>
    <w:rsid w:val="0021505D"/>
    <w:rsid w:val="0021604B"/>
    <w:rsid w:val="00216545"/>
    <w:rsid w:val="0021704F"/>
    <w:rsid w:val="00220227"/>
    <w:rsid w:val="0022176B"/>
    <w:rsid w:val="00222760"/>
    <w:rsid w:val="00222782"/>
    <w:rsid w:val="0022360A"/>
    <w:rsid w:val="00226B82"/>
    <w:rsid w:val="00227103"/>
    <w:rsid w:val="00230249"/>
    <w:rsid w:val="00230D5F"/>
    <w:rsid w:val="00231BE3"/>
    <w:rsid w:val="00232C51"/>
    <w:rsid w:val="00233414"/>
    <w:rsid w:val="00233D69"/>
    <w:rsid w:val="00234E82"/>
    <w:rsid w:val="00235C9D"/>
    <w:rsid w:val="00237419"/>
    <w:rsid w:val="002412D4"/>
    <w:rsid w:val="0024220D"/>
    <w:rsid w:val="00242BD3"/>
    <w:rsid w:val="00242C02"/>
    <w:rsid w:val="00243155"/>
    <w:rsid w:val="00247783"/>
    <w:rsid w:val="0025172C"/>
    <w:rsid w:val="00252CF8"/>
    <w:rsid w:val="00252E2E"/>
    <w:rsid w:val="00253210"/>
    <w:rsid w:val="0025353E"/>
    <w:rsid w:val="00253DE1"/>
    <w:rsid w:val="0025425F"/>
    <w:rsid w:val="00254468"/>
    <w:rsid w:val="00254DE4"/>
    <w:rsid w:val="002559DA"/>
    <w:rsid w:val="00256955"/>
    <w:rsid w:val="0026071A"/>
    <w:rsid w:val="00261B27"/>
    <w:rsid w:val="00262B5A"/>
    <w:rsid w:val="0026520E"/>
    <w:rsid w:val="00266486"/>
    <w:rsid w:val="00266B0A"/>
    <w:rsid w:val="00266C61"/>
    <w:rsid w:val="0026749A"/>
    <w:rsid w:val="00270E72"/>
    <w:rsid w:val="0027167E"/>
    <w:rsid w:val="00271F24"/>
    <w:rsid w:val="00272503"/>
    <w:rsid w:val="00272F3A"/>
    <w:rsid w:val="002736FD"/>
    <w:rsid w:val="00273941"/>
    <w:rsid w:val="00273D91"/>
    <w:rsid w:val="0027403C"/>
    <w:rsid w:val="002743E2"/>
    <w:rsid w:val="0027447E"/>
    <w:rsid w:val="0027520A"/>
    <w:rsid w:val="00275419"/>
    <w:rsid w:val="00275A2D"/>
    <w:rsid w:val="0027655E"/>
    <w:rsid w:val="002772A5"/>
    <w:rsid w:val="002806F8"/>
    <w:rsid w:val="002810B5"/>
    <w:rsid w:val="00281F4F"/>
    <w:rsid w:val="0028491D"/>
    <w:rsid w:val="00286744"/>
    <w:rsid w:val="002909B9"/>
    <w:rsid w:val="00292CEE"/>
    <w:rsid w:val="00292D22"/>
    <w:rsid w:val="0029470D"/>
    <w:rsid w:val="00297B80"/>
    <w:rsid w:val="002A076C"/>
    <w:rsid w:val="002A1059"/>
    <w:rsid w:val="002A3C9D"/>
    <w:rsid w:val="002A5250"/>
    <w:rsid w:val="002A5403"/>
    <w:rsid w:val="002A6C9F"/>
    <w:rsid w:val="002A77F3"/>
    <w:rsid w:val="002B14F0"/>
    <w:rsid w:val="002B1F0F"/>
    <w:rsid w:val="002B53D3"/>
    <w:rsid w:val="002B6202"/>
    <w:rsid w:val="002C014C"/>
    <w:rsid w:val="002C060C"/>
    <w:rsid w:val="002C0BA6"/>
    <w:rsid w:val="002C12A7"/>
    <w:rsid w:val="002C2B6F"/>
    <w:rsid w:val="002C2BC4"/>
    <w:rsid w:val="002C314F"/>
    <w:rsid w:val="002C4AD1"/>
    <w:rsid w:val="002C7D29"/>
    <w:rsid w:val="002D0298"/>
    <w:rsid w:val="002D1662"/>
    <w:rsid w:val="002D1DE5"/>
    <w:rsid w:val="002D3506"/>
    <w:rsid w:val="002D3670"/>
    <w:rsid w:val="002D4807"/>
    <w:rsid w:val="002D5DDC"/>
    <w:rsid w:val="002D5F16"/>
    <w:rsid w:val="002D62F1"/>
    <w:rsid w:val="002D6FD8"/>
    <w:rsid w:val="002D727B"/>
    <w:rsid w:val="002D7EAD"/>
    <w:rsid w:val="002E1169"/>
    <w:rsid w:val="002E1218"/>
    <w:rsid w:val="002E28F3"/>
    <w:rsid w:val="002E6ECB"/>
    <w:rsid w:val="002E7615"/>
    <w:rsid w:val="002E7A2A"/>
    <w:rsid w:val="002E7F16"/>
    <w:rsid w:val="002F1425"/>
    <w:rsid w:val="002F2EC8"/>
    <w:rsid w:val="002F4CE2"/>
    <w:rsid w:val="002F5F6A"/>
    <w:rsid w:val="002F60A4"/>
    <w:rsid w:val="002F6B0C"/>
    <w:rsid w:val="002F77FC"/>
    <w:rsid w:val="003004A6"/>
    <w:rsid w:val="0030129C"/>
    <w:rsid w:val="003013E2"/>
    <w:rsid w:val="00301FE4"/>
    <w:rsid w:val="00303E3A"/>
    <w:rsid w:val="00305417"/>
    <w:rsid w:val="00306127"/>
    <w:rsid w:val="0030641B"/>
    <w:rsid w:val="003067C8"/>
    <w:rsid w:val="00311453"/>
    <w:rsid w:val="003114C9"/>
    <w:rsid w:val="0031229D"/>
    <w:rsid w:val="00314E12"/>
    <w:rsid w:val="003166A5"/>
    <w:rsid w:val="00316C8C"/>
    <w:rsid w:val="003174C2"/>
    <w:rsid w:val="00317CE4"/>
    <w:rsid w:val="00320DF4"/>
    <w:rsid w:val="003219A9"/>
    <w:rsid w:val="00321B00"/>
    <w:rsid w:val="00321C54"/>
    <w:rsid w:val="00321DCD"/>
    <w:rsid w:val="0032261F"/>
    <w:rsid w:val="003237A2"/>
    <w:rsid w:val="00324729"/>
    <w:rsid w:val="00325C8B"/>
    <w:rsid w:val="00327011"/>
    <w:rsid w:val="00334127"/>
    <w:rsid w:val="00335CA6"/>
    <w:rsid w:val="003365F0"/>
    <w:rsid w:val="00336C50"/>
    <w:rsid w:val="00337388"/>
    <w:rsid w:val="0034007D"/>
    <w:rsid w:val="003433E5"/>
    <w:rsid w:val="00344082"/>
    <w:rsid w:val="0034582C"/>
    <w:rsid w:val="00345916"/>
    <w:rsid w:val="00345CAC"/>
    <w:rsid w:val="0034789E"/>
    <w:rsid w:val="003501DA"/>
    <w:rsid w:val="003503E2"/>
    <w:rsid w:val="00351DC1"/>
    <w:rsid w:val="003534EE"/>
    <w:rsid w:val="003600A2"/>
    <w:rsid w:val="003612D8"/>
    <w:rsid w:val="003637B6"/>
    <w:rsid w:val="00363F89"/>
    <w:rsid w:val="00363FB0"/>
    <w:rsid w:val="003646D6"/>
    <w:rsid w:val="00364FC6"/>
    <w:rsid w:val="0036541D"/>
    <w:rsid w:val="00366961"/>
    <w:rsid w:val="00370504"/>
    <w:rsid w:val="003709BE"/>
    <w:rsid w:val="00371814"/>
    <w:rsid w:val="00372BAE"/>
    <w:rsid w:val="00372EE9"/>
    <w:rsid w:val="00373F07"/>
    <w:rsid w:val="00374A60"/>
    <w:rsid w:val="00375181"/>
    <w:rsid w:val="003764C0"/>
    <w:rsid w:val="003767A4"/>
    <w:rsid w:val="003774F6"/>
    <w:rsid w:val="003818B3"/>
    <w:rsid w:val="0038356A"/>
    <w:rsid w:val="0038382F"/>
    <w:rsid w:val="00383D9E"/>
    <w:rsid w:val="0038443F"/>
    <w:rsid w:val="00385427"/>
    <w:rsid w:val="00387542"/>
    <w:rsid w:val="00387C6B"/>
    <w:rsid w:val="00390FC0"/>
    <w:rsid w:val="003911B2"/>
    <w:rsid w:val="00391AFE"/>
    <w:rsid w:val="00392705"/>
    <w:rsid w:val="00393A79"/>
    <w:rsid w:val="0039419C"/>
    <w:rsid w:val="00395987"/>
    <w:rsid w:val="00396375"/>
    <w:rsid w:val="00396801"/>
    <w:rsid w:val="00396E82"/>
    <w:rsid w:val="003A07FF"/>
    <w:rsid w:val="003A146E"/>
    <w:rsid w:val="003A26CD"/>
    <w:rsid w:val="003A37F7"/>
    <w:rsid w:val="003A54E9"/>
    <w:rsid w:val="003A5E7C"/>
    <w:rsid w:val="003A78C7"/>
    <w:rsid w:val="003A7E9A"/>
    <w:rsid w:val="003B15FE"/>
    <w:rsid w:val="003B1C41"/>
    <w:rsid w:val="003B46AD"/>
    <w:rsid w:val="003B5C96"/>
    <w:rsid w:val="003B65FB"/>
    <w:rsid w:val="003B6A26"/>
    <w:rsid w:val="003C1B73"/>
    <w:rsid w:val="003C218D"/>
    <w:rsid w:val="003C3D89"/>
    <w:rsid w:val="003C3EE2"/>
    <w:rsid w:val="003C4224"/>
    <w:rsid w:val="003C426D"/>
    <w:rsid w:val="003C4877"/>
    <w:rsid w:val="003C4B42"/>
    <w:rsid w:val="003C4E91"/>
    <w:rsid w:val="003C6D76"/>
    <w:rsid w:val="003C72F6"/>
    <w:rsid w:val="003D073C"/>
    <w:rsid w:val="003D0791"/>
    <w:rsid w:val="003D1130"/>
    <w:rsid w:val="003D37D4"/>
    <w:rsid w:val="003D47A7"/>
    <w:rsid w:val="003D56B5"/>
    <w:rsid w:val="003D5DCC"/>
    <w:rsid w:val="003D6B84"/>
    <w:rsid w:val="003E1A49"/>
    <w:rsid w:val="003E2D01"/>
    <w:rsid w:val="003E330E"/>
    <w:rsid w:val="003E3AE3"/>
    <w:rsid w:val="003E5733"/>
    <w:rsid w:val="003E5E27"/>
    <w:rsid w:val="003E6FD2"/>
    <w:rsid w:val="003E788F"/>
    <w:rsid w:val="003E7A97"/>
    <w:rsid w:val="003E7D3A"/>
    <w:rsid w:val="003F0950"/>
    <w:rsid w:val="003F09C9"/>
    <w:rsid w:val="003F4C37"/>
    <w:rsid w:val="003F67AE"/>
    <w:rsid w:val="003F6BBB"/>
    <w:rsid w:val="003F719F"/>
    <w:rsid w:val="0040033D"/>
    <w:rsid w:val="004007E1"/>
    <w:rsid w:val="00400B1F"/>
    <w:rsid w:val="004032D2"/>
    <w:rsid w:val="00403C4F"/>
    <w:rsid w:val="004058B4"/>
    <w:rsid w:val="00405C45"/>
    <w:rsid w:val="004062EF"/>
    <w:rsid w:val="004062F0"/>
    <w:rsid w:val="00406CB5"/>
    <w:rsid w:val="00410B8F"/>
    <w:rsid w:val="00412057"/>
    <w:rsid w:val="004126C1"/>
    <w:rsid w:val="00413BA5"/>
    <w:rsid w:val="00413FA6"/>
    <w:rsid w:val="00414FD0"/>
    <w:rsid w:val="00417E93"/>
    <w:rsid w:val="00422A2A"/>
    <w:rsid w:val="00424BB4"/>
    <w:rsid w:val="004258CD"/>
    <w:rsid w:val="004261D2"/>
    <w:rsid w:val="004303D1"/>
    <w:rsid w:val="00433C0A"/>
    <w:rsid w:val="004349FA"/>
    <w:rsid w:val="004406BD"/>
    <w:rsid w:val="00442FBE"/>
    <w:rsid w:val="004433B1"/>
    <w:rsid w:val="00443571"/>
    <w:rsid w:val="004444E3"/>
    <w:rsid w:val="004447FD"/>
    <w:rsid w:val="00445032"/>
    <w:rsid w:val="004450CB"/>
    <w:rsid w:val="00446967"/>
    <w:rsid w:val="00446AB6"/>
    <w:rsid w:val="00450EEE"/>
    <w:rsid w:val="004512B2"/>
    <w:rsid w:val="004528EE"/>
    <w:rsid w:val="00453360"/>
    <w:rsid w:val="00456409"/>
    <w:rsid w:val="004569C6"/>
    <w:rsid w:val="00456ADC"/>
    <w:rsid w:val="0045768F"/>
    <w:rsid w:val="00457769"/>
    <w:rsid w:val="004627AE"/>
    <w:rsid w:val="0046298E"/>
    <w:rsid w:val="004647BB"/>
    <w:rsid w:val="0046482B"/>
    <w:rsid w:val="004648E0"/>
    <w:rsid w:val="00472043"/>
    <w:rsid w:val="00472F56"/>
    <w:rsid w:val="0047335E"/>
    <w:rsid w:val="00473CA1"/>
    <w:rsid w:val="0047572C"/>
    <w:rsid w:val="00475BF5"/>
    <w:rsid w:val="00476407"/>
    <w:rsid w:val="004773F7"/>
    <w:rsid w:val="00481F5F"/>
    <w:rsid w:val="004821D0"/>
    <w:rsid w:val="00482CB2"/>
    <w:rsid w:val="00483D06"/>
    <w:rsid w:val="00485A4A"/>
    <w:rsid w:val="00485CF7"/>
    <w:rsid w:val="004862C2"/>
    <w:rsid w:val="004863F7"/>
    <w:rsid w:val="00486FFC"/>
    <w:rsid w:val="00490ED4"/>
    <w:rsid w:val="00491B91"/>
    <w:rsid w:val="00491C21"/>
    <w:rsid w:val="00491C66"/>
    <w:rsid w:val="004935D6"/>
    <w:rsid w:val="00494195"/>
    <w:rsid w:val="004945FB"/>
    <w:rsid w:val="00497356"/>
    <w:rsid w:val="004A076F"/>
    <w:rsid w:val="004A1DC1"/>
    <w:rsid w:val="004A31A2"/>
    <w:rsid w:val="004A48A7"/>
    <w:rsid w:val="004A655D"/>
    <w:rsid w:val="004B01B1"/>
    <w:rsid w:val="004B08D1"/>
    <w:rsid w:val="004B10E6"/>
    <w:rsid w:val="004B198F"/>
    <w:rsid w:val="004B46D0"/>
    <w:rsid w:val="004B57B0"/>
    <w:rsid w:val="004B60CE"/>
    <w:rsid w:val="004B61C9"/>
    <w:rsid w:val="004C0B26"/>
    <w:rsid w:val="004C12FE"/>
    <w:rsid w:val="004C1D57"/>
    <w:rsid w:val="004C2F7C"/>
    <w:rsid w:val="004C34F8"/>
    <w:rsid w:val="004C375F"/>
    <w:rsid w:val="004C482F"/>
    <w:rsid w:val="004C49C9"/>
    <w:rsid w:val="004C627F"/>
    <w:rsid w:val="004C76C1"/>
    <w:rsid w:val="004C7DDE"/>
    <w:rsid w:val="004D0D1A"/>
    <w:rsid w:val="004D169F"/>
    <w:rsid w:val="004D18CF"/>
    <w:rsid w:val="004D30CE"/>
    <w:rsid w:val="004D4071"/>
    <w:rsid w:val="004D421A"/>
    <w:rsid w:val="004D4D0C"/>
    <w:rsid w:val="004D6144"/>
    <w:rsid w:val="004D678F"/>
    <w:rsid w:val="004E1264"/>
    <w:rsid w:val="004E2CBC"/>
    <w:rsid w:val="004E3DD4"/>
    <w:rsid w:val="004E5C1A"/>
    <w:rsid w:val="004E6C8C"/>
    <w:rsid w:val="004E6CC7"/>
    <w:rsid w:val="004E776F"/>
    <w:rsid w:val="004F111D"/>
    <w:rsid w:val="004F1843"/>
    <w:rsid w:val="004F1EEC"/>
    <w:rsid w:val="004F24C8"/>
    <w:rsid w:val="004F30D6"/>
    <w:rsid w:val="004F34A5"/>
    <w:rsid w:val="004F40D6"/>
    <w:rsid w:val="004F6925"/>
    <w:rsid w:val="00503AE1"/>
    <w:rsid w:val="00503CA6"/>
    <w:rsid w:val="00503FAE"/>
    <w:rsid w:val="00504DC1"/>
    <w:rsid w:val="00505332"/>
    <w:rsid w:val="00505A57"/>
    <w:rsid w:val="00505D37"/>
    <w:rsid w:val="005104E8"/>
    <w:rsid w:val="005107DB"/>
    <w:rsid w:val="00510DB0"/>
    <w:rsid w:val="005119F6"/>
    <w:rsid w:val="00511B7D"/>
    <w:rsid w:val="00511D00"/>
    <w:rsid w:val="005137E7"/>
    <w:rsid w:val="00516256"/>
    <w:rsid w:val="005162CF"/>
    <w:rsid w:val="00517A63"/>
    <w:rsid w:val="00517C8D"/>
    <w:rsid w:val="00517FD1"/>
    <w:rsid w:val="005219E6"/>
    <w:rsid w:val="00521B4A"/>
    <w:rsid w:val="0052212E"/>
    <w:rsid w:val="00522E91"/>
    <w:rsid w:val="0052302D"/>
    <w:rsid w:val="005236A5"/>
    <w:rsid w:val="005266BD"/>
    <w:rsid w:val="0052772D"/>
    <w:rsid w:val="00530442"/>
    <w:rsid w:val="00534AF0"/>
    <w:rsid w:val="00535060"/>
    <w:rsid w:val="00535738"/>
    <w:rsid w:val="00536BDD"/>
    <w:rsid w:val="005409EB"/>
    <w:rsid w:val="00540F30"/>
    <w:rsid w:val="00541DD2"/>
    <w:rsid w:val="00543A63"/>
    <w:rsid w:val="00543AB5"/>
    <w:rsid w:val="005457CF"/>
    <w:rsid w:val="00545976"/>
    <w:rsid w:val="0054660F"/>
    <w:rsid w:val="00547628"/>
    <w:rsid w:val="005533C3"/>
    <w:rsid w:val="005536E6"/>
    <w:rsid w:val="00553AC3"/>
    <w:rsid w:val="00553DBA"/>
    <w:rsid w:val="00554335"/>
    <w:rsid w:val="00554A75"/>
    <w:rsid w:val="00555631"/>
    <w:rsid w:val="00555CF2"/>
    <w:rsid w:val="0055621D"/>
    <w:rsid w:val="0055764D"/>
    <w:rsid w:val="00560C6A"/>
    <w:rsid w:val="00560F85"/>
    <w:rsid w:val="005610A0"/>
    <w:rsid w:val="0056248F"/>
    <w:rsid w:val="00564985"/>
    <w:rsid w:val="00565379"/>
    <w:rsid w:val="005674C3"/>
    <w:rsid w:val="00567990"/>
    <w:rsid w:val="00567C4C"/>
    <w:rsid w:val="005710DD"/>
    <w:rsid w:val="005728C8"/>
    <w:rsid w:val="005733AD"/>
    <w:rsid w:val="0057381A"/>
    <w:rsid w:val="00573ABD"/>
    <w:rsid w:val="00574B91"/>
    <w:rsid w:val="00574E5C"/>
    <w:rsid w:val="005750F7"/>
    <w:rsid w:val="0057512C"/>
    <w:rsid w:val="00576319"/>
    <w:rsid w:val="0057648C"/>
    <w:rsid w:val="00576AF3"/>
    <w:rsid w:val="00581FF0"/>
    <w:rsid w:val="005825FC"/>
    <w:rsid w:val="00583437"/>
    <w:rsid w:val="00583CE0"/>
    <w:rsid w:val="00584B4A"/>
    <w:rsid w:val="00584DCB"/>
    <w:rsid w:val="00585211"/>
    <w:rsid w:val="005854BC"/>
    <w:rsid w:val="00585A16"/>
    <w:rsid w:val="00585B98"/>
    <w:rsid w:val="005863D8"/>
    <w:rsid w:val="005865B2"/>
    <w:rsid w:val="00586812"/>
    <w:rsid w:val="00587BC2"/>
    <w:rsid w:val="005918E4"/>
    <w:rsid w:val="00591C6D"/>
    <w:rsid w:val="00591C71"/>
    <w:rsid w:val="00592392"/>
    <w:rsid w:val="00592484"/>
    <w:rsid w:val="0059283D"/>
    <w:rsid w:val="005928D3"/>
    <w:rsid w:val="00592D5D"/>
    <w:rsid w:val="005955C0"/>
    <w:rsid w:val="00595B68"/>
    <w:rsid w:val="00595EAA"/>
    <w:rsid w:val="0059672B"/>
    <w:rsid w:val="005A0C60"/>
    <w:rsid w:val="005A255F"/>
    <w:rsid w:val="005A330E"/>
    <w:rsid w:val="005A5554"/>
    <w:rsid w:val="005A5651"/>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276D"/>
    <w:rsid w:val="005D5912"/>
    <w:rsid w:val="005D794C"/>
    <w:rsid w:val="005D7A9F"/>
    <w:rsid w:val="005D7AA2"/>
    <w:rsid w:val="005E2154"/>
    <w:rsid w:val="005E2FC7"/>
    <w:rsid w:val="005E37B9"/>
    <w:rsid w:val="005E427F"/>
    <w:rsid w:val="005E4574"/>
    <w:rsid w:val="005E4BBE"/>
    <w:rsid w:val="005E4C97"/>
    <w:rsid w:val="005E5014"/>
    <w:rsid w:val="005E684F"/>
    <w:rsid w:val="005E77BA"/>
    <w:rsid w:val="005F0112"/>
    <w:rsid w:val="005F03E3"/>
    <w:rsid w:val="005F0829"/>
    <w:rsid w:val="005F32BE"/>
    <w:rsid w:val="005F34FB"/>
    <w:rsid w:val="005F39A0"/>
    <w:rsid w:val="005F6B68"/>
    <w:rsid w:val="005F6F2E"/>
    <w:rsid w:val="005F7D85"/>
    <w:rsid w:val="00601A1F"/>
    <w:rsid w:val="00602655"/>
    <w:rsid w:val="00603B68"/>
    <w:rsid w:val="00605297"/>
    <w:rsid w:val="00605CB9"/>
    <w:rsid w:val="006065BF"/>
    <w:rsid w:val="00607C00"/>
    <w:rsid w:val="00610430"/>
    <w:rsid w:val="00611858"/>
    <w:rsid w:val="00614EB1"/>
    <w:rsid w:val="00614F67"/>
    <w:rsid w:val="00615277"/>
    <w:rsid w:val="00615519"/>
    <w:rsid w:val="00615CED"/>
    <w:rsid w:val="00615CFC"/>
    <w:rsid w:val="00617A92"/>
    <w:rsid w:val="00620CEE"/>
    <w:rsid w:val="00622558"/>
    <w:rsid w:val="00622D5F"/>
    <w:rsid w:val="00622EAE"/>
    <w:rsid w:val="0062334E"/>
    <w:rsid w:val="00623A4F"/>
    <w:rsid w:val="00624D17"/>
    <w:rsid w:val="00624F56"/>
    <w:rsid w:val="006265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203"/>
    <w:rsid w:val="00641776"/>
    <w:rsid w:val="0064656E"/>
    <w:rsid w:val="00646DF5"/>
    <w:rsid w:val="00650397"/>
    <w:rsid w:val="006507E8"/>
    <w:rsid w:val="00650C73"/>
    <w:rsid w:val="00651143"/>
    <w:rsid w:val="00651959"/>
    <w:rsid w:val="00653149"/>
    <w:rsid w:val="006531E4"/>
    <w:rsid w:val="00654505"/>
    <w:rsid w:val="006575ED"/>
    <w:rsid w:val="006578FD"/>
    <w:rsid w:val="00660060"/>
    <w:rsid w:val="006609AA"/>
    <w:rsid w:val="00662EDE"/>
    <w:rsid w:val="00664C9F"/>
    <w:rsid w:val="00666548"/>
    <w:rsid w:val="00666A71"/>
    <w:rsid w:val="00667537"/>
    <w:rsid w:val="00670865"/>
    <w:rsid w:val="00671AED"/>
    <w:rsid w:val="006725B5"/>
    <w:rsid w:val="00673521"/>
    <w:rsid w:val="00673767"/>
    <w:rsid w:val="00673F39"/>
    <w:rsid w:val="006746AC"/>
    <w:rsid w:val="0067571B"/>
    <w:rsid w:val="00675E37"/>
    <w:rsid w:val="0067663E"/>
    <w:rsid w:val="00676EAF"/>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601"/>
    <w:rsid w:val="006977FA"/>
    <w:rsid w:val="006A20FB"/>
    <w:rsid w:val="006A339D"/>
    <w:rsid w:val="006A4462"/>
    <w:rsid w:val="006A5B59"/>
    <w:rsid w:val="006A6A14"/>
    <w:rsid w:val="006A753A"/>
    <w:rsid w:val="006A777C"/>
    <w:rsid w:val="006A7C46"/>
    <w:rsid w:val="006B0F76"/>
    <w:rsid w:val="006B1F20"/>
    <w:rsid w:val="006B398A"/>
    <w:rsid w:val="006B3E04"/>
    <w:rsid w:val="006B4024"/>
    <w:rsid w:val="006B47D7"/>
    <w:rsid w:val="006B499D"/>
    <w:rsid w:val="006B5041"/>
    <w:rsid w:val="006B643D"/>
    <w:rsid w:val="006B79A4"/>
    <w:rsid w:val="006C1254"/>
    <w:rsid w:val="006C2DC5"/>
    <w:rsid w:val="006C480B"/>
    <w:rsid w:val="006C570B"/>
    <w:rsid w:val="006C572E"/>
    <w:rsid w:val="006C5997"/>
    <w:rsid w:val="006C5CD2"/>
    <w:rsid w:val="006D0636"/>
    <w:rsid w:val="006D06DC"/>
    <w:rsid w:val="006D6E46"/>
    <w:rsid w:val="006D7FA8"/>
    <w:rsid w:val="006E4601"/>
    <w:rsid w:val="006E5B86"/>
    <w:rsid w:val="006E63FF"/>
    <w:rsid w:val="006E652D"/>
    <w:rsid w:val="006E7572"/>
    <w:rsid w:val="006F2F22"/>
    <w:rsid w:val="006F434A"/>
    <w:rsid w:val="006F7974"/>
    <w:rsid w:val="00700A60"/>
    <w:rsid w:val="00705027"/>
    <w:rsid w:val="00710494"/>
    <w:rsid w:val="007117BD"/>
    <w:rsid w:val="00715129"/>
    <w:rsid w:val="007154CE"/>
    <w:rsid w:val="00715B25"/>
    <w:rsid w:val="00716020"/>
    <w:rsid w:val="007205B1"/>
    <w:rsid w:val="00720860"/>
    <w:rsid w:val="00721087"/>
    <w:rsid w:val="00721530"/>
    <w:rsid w:val="00723422"/>
    <w:rsid w:val="007260FE"/>
    <w:rsid w:val="00726DD6"/>
    <w:rsid w:val="0073076E"/>
    <w:rsid w:val="00733416"/>
    <w:rsid w:val="0073377E"/>
    <w:rsid w:val="00733E05"/>
    <w:rsid w:val="00735C8A"/>
    <w:rsid w:val="00735FE2"/>
    <w:rsid w:val="0073719A"/>
    <w:rsid w:val="00737C62"/>
    <w:rsid w:val="00737C91"/>
    <w:rsid w:val="0074130E"/>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458D"/>
    <w:rsid w:val="007554A9"/>
    <w:rsid w:val="007556F5"/>
    <w:rsid w:val="00757105"/>
    <w:rsid w:val="00757B82"/>
    <w:rsid w:val="0076281A"/>
    <w:rsid w:val="00762ADE"/>
    <w:rsid w:val="0076365D"/>
    <w:rsid w:val="007642DC"/>
    <w:rsid w:val="007660E6"/>
    <w:rsid w:val="007661A9"/>
    <w:rsid w:val="007662C0"/>
    <w:rsid w:val="0076742F"/>
    <w:rsid w:val="00767712"/>
    <w:rsid w:val="007711D0"/>
    <w:rsid w:val="007712E6"/>
    <w:rsid w:val="00771D3D"/>
    <w:rsid w:val="007728AB"/>
    <w:rsid w:val="00772CFE"/>
    <w:rsid w:val="007730CF"/>
    <w:rsid w:val="00774756"/>
    <w:rsid w:val="00775181"/>
    <w:rsid w:val="007751B6"/>
    <w:rsid w:val="00775345"/>
    <w:rsid w:val="00776A33"/>
    <w:rsid w:val="00776F15"/>
    <w:rsid w:val="007779ED"/>
    <w:rsid w:val="00780B1A"/>
    <w:rsid w:val="007810D3"/>
    <w:rsid w:val="0078264A"/>
    <w:rsid w:val="007828FF"/>
    <w:rsid w:val="00783D11"/>
    <w:rsid w:val="00785E46"/>
    <w:rsid w:val="00787917"/>
    <w:rsid w:val="00791489"/>
    <w:rsid w:val="007915BE"/>
    <w:rsid w:val="00791683"/>
    <w:rsid w:val="00792F0C"/>
    <w:rsid w:val="00795460"/>
    <w:rsid w:val="00796CF7"/>
    <w:rsid w:val="007A0313"/>
    <w:rsid w:val="007A0A83"/>
    <w:rsid w:val="007A4BB3"/>
    <w:rsid w:val="007A6307"/>
    <w:rsid w:val="007A6822"/>
    <w:rsid w:val="007A724D"/>
    <w:rsid w:val="007A749D"/>
    <w:rsid w:val="007A7B37"/>
    <w:rsid w:val="007B024C"/>
    <w:rsid w:val="007B1C4C"/>
    <w:rsid w:val="007B2800"/>
    <w:rsid w:val="007B38F7"/>
    <w:rsid w:val="007B40D4"/>
    <w:rsid w:val="007B4511"/>
    <w:rsid w:val="007B5C86"/>
    <w:rsid w:val="007B6071"/>
    <w:rsid w:val="007B6540"/>
    <w:rsid w:val="007B69A2"/>
    <w:rsid w:val="007C09C4"/>
    <w:rsid w:val="007C25E9"/>
    <w:rsid w:val="007C2F78"/>
    <w:rsid w:val="007C34C5"/>
    <w:rsid w:val="007C4079"/>
    <w:rsid w:val="007C4827"/>
    <w:rsid w:val="007C4A20"/>
    <w:rsid w:val="007D0B7F"/>
    <w:rsid w:val="007D1266"/>
    <w:rsid w:val="007D1B94"/>
    <w:rsid w:val="007D2682"/>
    <w:rsid w:val="007D458D"/>
    <w:rsid w:val="007D4E8C"/>
    <w:rsid w:val="007D538F"/>
    <w:rsid w:val="007D668A"/>
    <w:rsid w:val="007E09E2"/>
    <w:rsid w:val="007E0FF5"/>
    <w:rsid w:val="007E1012"/>
    <w:rsid w:val="007E17CD"/>
    <w:rsid w:val="007E24ED"/>
    <w:rsid w:val="007E374B"/>
    <w:rsid w:val="007E39DE"/>
    <w:rsid w:val="007E3F53"/>
    <w:rsid w:val="007E7997"/>
    <w:rsid w:val="007E7B47"/>
    <w:rsid w:val="007F04EF"/>
    <w:rsid w:val="007F342F"/>
    <w:rsid w:val="007F38D1"/>
    <w:rsid w:val="007F56BB"/>
    <w:rsid w:val="007F63CE"/>
    <w:rsid w:val="007F6EA4"/>
    <w:rsid w:val="008002A5"/>
    <w:rsid w:val="0080050E"/>
    <w:rsid w:val="00801329"/>
    <w:rsid w:val="00801424"/>
    <w:rsid w:val="00801AA4"/>
    <w:rsid w:val="00801B7E"/>
    <w:rsid w:val="008021B9"/>
    <w:rsid w:val="00806E68"/>
    <w:rsid w:val="00807FC3"/>
    <w:rsid w:val="00810034"/>
    <w:rsid w:val="008114CF"/>
    <w:rsid w:val="008117CC"/>
    <w:rsid w:val="00811AB3"/>
    <w:rsid w:val="0081421D"/>
    <w:rsid w:val="00814ADB"/>
    <w:rsid w:val="00815C5D"/>
    <w:rsid w:val="0081618F"/>
    <w:rsid w:val="008168B0"/>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62AE"/>
    <w:rsid w:val="00837719"/>
    <w:rsid w:val="00840419"/>
    <w:rsid w:val="00840A24"/>
    <w:rsid w:val="00840F1B"/>
    <w:rsid w:val="0084117A"/>
    <w:rsid w:val="00842827"/>
    <w:rsid w:val="00842965"/>
    <w:rsid w:val="00844300"/>
    <w:rsid w:val="008458BD"/>
    <w:rsid w:val="00846956"/>
    <w:rsid w:val="00846CF1"/>
    <w:rsid w:val="00847622"/>
    <w:rsid w:val="008505B8"/>
    <w:rsid w:val="00851005"/>
    <w:rsid w:val="00851ADD"/>
    <w:rsid w:val="00855CA6"/>
    <w:rsid w:val="00860323"/>
    <w:rsid w:val="00860F4F"/>
    <w:rsid w:val="008610B9"/>
    <w:rsid w:val="00862656"/>
    <w:rsid w:val="00863013"/>
    <w:rsid w:val="00863F67"/>
    <w:rsid w:val="0086483A"/>
    <w:rsid w:val="0087049C"/>
    <w:rsid w:val="00870AAD"/>
    <w:rsid w:val="00870B78"/>
    <w:rsid w:val="00870EDE"/>
    <w:rsid w:val="00871DA0"/>
    <w:rsid w:val="00872030"/>
    <w:rsid w:val="00873973"/>
    <w:rsid w:val="00875C28"/>
    <w:rsid w:val="00875E75"/>
    <w:rsid w:val="0087658F"/>
    <w:rsid w:val="0087762E"/>
    <w:rsid w:val="00877823"/>
    <w:rsid w:val="008803F5"/>
    <w:rsid w:val="008806C0"/>
    <w:rsid w:val="008812BF"/>
    <w:rsid w:val="00881341"/>
    <w:rsid w:val="00882931"/>
    <w:rsid w:val="00884939"/>
    <w:rsid w:val="008853E0"/>
    <w:rsid w:val="00885BE2"/>
    <w:rsid w:val="00885C87"/>
    <w:rsid w:val="008863C8"/>
    <w:rsid w:val="00886D40"/>
    <w:rsid w:val="00887A0E"/>
    <w:rsid w:val="008907F3"/>
    <w:rsid w:val="008920C2"/>
    <w:rsid w:val="00895702"/>
    <w:rsid w:val="00897566"/>
    <w:rsid w:val="0089757B"/>
    <w:rsid w:val="00897F91"/>
    <w:rsid w:val="008A1594"/>
    <w:rsid w:val="008A1757"/>
    <w:rsid w:val="008A1CE6"/>
    <w:rsid w:val="008A1F25"/>
    <w:rsid w:val="008A47FB"/>
    <w:rsid w:val="008A5234"/>
    <w:rsid w:val="008A5397"/>
    <w:rsid w:val="008A6861"/>
    <w:rsid w:val="008A7522"/>
    <w:rsid w:val="008A7B55"/>
    <w:rsid w:val="008B0578"/>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32F"/>
    <w:rsid w:val="008C60C3"/>
    <w:rsid w:val="008C7736"/>
    <w:rsid w:val="008D0948"/>
    <w:rsid w:val="008D311C"/>
    <w:rsid w:val="008D31D2"/>
    <w:rsid w:val="008D3CC5"/>
    <w:rsid w:val="008D564A"/>
    <w:rsid w:val="008D5779"/>
    <w:rsid w:val="008D5E47"/>
    <w:rsid w:val="008D7D8C"/>
    <w:rsid w:val="008E004E"/>
    <w:rsid w:val="008E04FB"/>
    <w:rsid w:val="008E3E79"/>
    <w:rsid w:val="008E5282"/>
    <w:rsid w:val="008E5E2C"/>
    <w:rsid w:val="008E78F1"/>
    <w:rsid w:val="008F03CE"/>
    <w:rsid w:val="008F075B"/>
    <w:rsid w:val="008F0E9E"/>
    <w:rsid w:val="008F262E"/>
    <w:rsid w:val="008F2913"/>
    <w:rsid w:val="008F2A4E"/>
    <w:rsid w:val="008F2AE9"/>
    <w:rsid w:val="008F332B"/>
    <w:rsid w:val="008F52D0"/>
    <w:rsid w:val="008F58BB"/>
    <w:rsid w:val="008F6106"/>
    <w:rsid w:val="008F791D"/>
    <w:rsid w:val="00900959"/>
    <w:rsid w:val="00901900"/>
    <w:rsid w:val="00901B7A"/>
    <w:rsid w:val="00901EE8"/>
    <w:rsid w:val="00901F6C"/>
    <w:rsid w:val="0090266B"/>
    <w:rsid w:val="00902F06"/>
    <w:rsid w:val="009035DB"/>
    <w:rsid w:val="00904671"/>
    <w:rsid w:val="00905BC5"/>
    <w:rsid w:val="009064AA"/>
    <w:rsid w:val="00912257"/>
    <w:rsid w:val="00913495"/>
    <w:rsid w:val="00913874"/>
    <w:rsid w:val="00913DBE"/>
    <w:rsid w:val="00915E3E"/>
    <w:rsid w:val="009163CC"/>
    <w:rsid w:val="0091674C"/>
    <w:rsid w:val="00916862"/>
    <w:rsid w:val="00916B2A"/>
    <w:rsid w:val="00916D96"/>
    <w:rsid w:val="009174F7"/>
    <w:rsid w:val="00917E76"/>
    <w:rsid w:val="00920167"/>
    <w:rsid w:val="00921BB8"/>
    <w:rsid w:val="00921D28"/>
    <w:rsid w:val="00922034"/>
    <w:rsid w:val="0092266C"/>
    <w:rsid w:val="009241E8"/>
    <w:rsid w:val="00925956"/>
    <w:rsid w:val="00925DD2"/>
    <w:rsid w:val="00926344"/>
    <w:rsid w:val="00926929"/>
    <w:rsid w:val="00927301"/>
    <w:rsid w:val="00927E9D"/>
    <w:rsid w:val="00931859"/>
    <w:rsid w:val="0093205C"/>
    <w:rsid w:val="009341E2"/>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2124"/>
    <w:rsid w:val="00956244"/>
    <w:rsid w:val="00956A06"/>
    <w:rsid w:val="00957435"/>
    <w:rsid w:val="009578D0"/>
    <w:rsid w:val="009600C6"/>
    <w:rsid w:val="00960D80"/>
    <w:rsid w:val="009621CE"/>
    <w:rsid w:val="009622BF"/>
    <w:rsid w:val="00962493"/>
    <w:rsid w:val="009651B8"/>
    <w:rsid w:val="009653F3"/>
    <w:rsid w:val="0096587A"/>
    <w:rsid w:val="009666E7"/>
    <w:rsid w:val="00967278"/>
    <w:rsid w:val="00971568"/>
    <w:rsid w:val="009728F2"/>
    <w:rsid w:val="00972BEF"/>
    <w:rsid w:val="00973BCF"/>
    <w:rsid w:val="009744BC"/>
    <w:rsid w:val="00974E60"/>
    <w:rsid w:val="00975896"/>
    <w:rsid w:val="00975DF1"/>
    <w:rsid w:val="00976AFE"/>
    <w:rsid w:val="00983B2D"/>
    <w:rsid w:val="00983CEA"/>
    <w:rsid w:val="00984198"/>
    <w:rsid w:val="00984E04"/>
    <w:rsid w:val="00986194"/>
    <w:rsid w:val="009861D2"/>
    <w:rsid w:val="00986E53"/>
    <w:rsid w:val="00987CE5"/>
    <w:rsid w:val="00993CF0"/>
    <w:rsid w:val="0099428D"/>
    <w:rsid w:val="009949A7"/>
    <w:rsid w:val="00995CDC"/>
    <w:rsid w:val="009975CA"/>
    <w:rsid w:val="009A0C15"/>
    <w:rsid w:val="009A1088"/>
    <w:rsid w:val="009A14CB"/>
    <w:rsid w:val="009A27C7"/>
    <w:rsid w:val="009A2961"/>
    <w:rsid w:val="009A344A"/>
    <w:rsid w:val="009A41C7"/>
    <w:rsid w:val="009A4F5A"/>
    <w:rsid w:val="009A5C82"/>
    <w:rsid w:val="009B010D"/>
    <w:rsid w:val="009B0AAB"/>
    <w:rsid w:val="009B0D3E"/>
    <w:rsid w:val="009B2AD1"/>
    <w:rsid w:val="009B3224"/>
    <w:rsid w:val="009B3A61"/>
    <w:rsid w:val="009B528E"/>
    <w:rsid w:val="009B54FE"/>
    <w:rsid w:val="009B77DD"/>
    <w:rsid w:val="009C0CED"/>
    <w:rsid w:val="009C13BF"/>
    <w:rsid w:val="009C2943"/>
    <w:rsid w:val="009C4B2C"/>
    <w:rsid w:val="009C4CB3"/>
    <w:rsid w:val="009C4F15"/>
    <w:rsid w:val="009C511C"/>
    <w:rsid w:val="009C5416"/>
    <w:rsid w:val="009C587B"/>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0E1D"/>
    <w:rsid w:val="009E11BD"/>
    <w:rsid w:val="009E1DF8"/>
    <w:rsid w:val="009E2C1A"/>
    <w:rsid w:val="009E2C4B"/>
    <w:rsid w:val="009E2E0C"/>
    <w:rsid w:val="009E3218"/>
    <w:rsid w:val="009E3248"/>
    <w:rsid w:val="009E3BED"/>
    <w:rsid w:val="009E4506"/>
    <w:rsid w:val="009E455E"/>
    <w:rsid w:val="009E487A"/>
    <w:rsid w:val="009E4FFB"/>
    <w:rsid w:val="009F045D"/>
    <w:rsid w:val="009F1098"/>
    <w:rsid w:val="009F1458"/>
    <w:rsid w:val="009F1D3A"/>
    <w:rsid w:val="009F2C2E"/>
    <w:rsid w:val="009F4190"/>
    <w:rsid w:val="009F4911"/>
    <w:rsid w:val="009F513E"/>
    <w:rsid w:val="009F5241"/>
    <w:rsid w:val="009F6807"/>
    <w:rsid w:val="009F68DF"/>
    <w:rsid w:val="009F6A24"/>
    <w:rsid w:val="00A0042C"/>
    <w:rsid w:val="00A00495"/>
    <w:rsid w:val="00A01925"/>
    <w:rsid w:val="00A01DEB"/>
    <w:rsid w:val="00A06D32"/>
    <w:rsid w:val="00A07545"/>
    <w:rsid w:val="00A13947"/>
    <w:rsid w:val="00A13E2B"/>
    <w:rsid w:val="00A1562A"/>
    <w:rsid w:val="00A15901"/>
    <w:rsid w:val="00A1618E"/>
    <w:rsid w:val="00A161A1"/>
    <w:rsid w:val="00A20562"/>
    <w:rsid w:val="00A20F75"/>
    <w:rsid w:val="00A212B1"/>
    <w:rsid w:val="00A26FFF"/>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58"/>
    <w:rsid w:val="00A40AF2"/>
    <w:rsid w:val="00A411DC"/>
    <w:rsid w:val="00A43904"/>
    <w:rsid w:val="00A4416B"/>
    <w:rsid w:val="00A4582E"/>
    <w:rsid w:val="00A45BD2"/>
    <w:rsid w:val="00A45DFA"/>
    <w:rsid w:val="00A46A1E"/>
    <w:rsid w:val="00A50595"/>
    <w:rsid w:val="00A50A39"/>
    <w:rsid w:val="00A51DF1"/>
    <w:rsid w:val="00A52AFB"/>
    <w:rsid w:val="00A53967"/>
    <w:rsid w:val="00A5455C"/>
    <w:rsid w:val="00A545EC"/>
    <w:rsid w:val="00A54C5F"/>
    <w:rsid w:val="00A54D3B"/>
    <w:rsid w:val="00A5578A"/>
    <w:rsid w:val="00A61365"/>
    <w:rsid w:val="00A61759"/>
    <w:rsid w:val="00A61B88"/>
    <w:rsid w:val="00A62C70"/>
    <w:rsid w:val="00A63982"/>
    <w:rsid w:val="00A65845"/>
    <w:rsid w:val="00A65A41"/>
    <w:rsid w:val="00A666AA"/>
    <w:rsid w:val="00A671FC"/>
    <w:rsid w:val="00A70154"/>
    <w:rsid w:val="00A71670"/>
    <w:rsid w:val="00A72874"/>
    <w:rsid w:val="00A72E48"/>
    <w:rsid w:val="00A7359C"/>
    <w:rsid w:val="00A73616"/>
    <w:rsid w:val="00A76648"/>
    <w:rsid w:val="00A76DF7"/>
    <w:rsid w:val="00A77523"/>
    <w:rsid w:val="00A83454"/>
    <w:rsid w:val="00A843FC"/>
    <w:rsid w:val="00A84DA5"/>
    <w:rsid w:val="00A85302"/>
    <w:rsid w:val="00A86119"/>
    <w:rsid w:val="00A8649F"/>
    <w:rsid w:val="00A86D25"/>
    <w:rsid w:val="00A877BD"/>
    <w:rsid w:val="00A8786B"/>
    <w:rsid w:val="00A903F1"/>
    <w:rsid w:val="00A905CC"/>
    <w:rsid w:val="00A90974"/>
    <w:rsid w:val="00A9197E"/>
    <w:rsid w:val="00A92065"/>
    <w:rsid w:val="00A92184"/>
    <w:rsid w:val="00A9334F"/>
    <w:rsid w:val="00A93D6F"/>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D1F"/>
    <w:rsid w:val="00AB02C6"/>
    <w:rsid w:val="00AB246B"/>
    <w:rsid w:val="00AB2E96"/>
    <w:rsid w:val="00AB36D4"/>
    <w:rsid w:val="00AB5500"/>
    <w:rsid w:val="00AB5564"/>
    <w:rsid w:val="00AB57FB"/>
    <w:rsid w:val="00AB7348"/>
    <w:rsid w:val="00AC13B0"/>
    <w:rsid w:val="00AC2FD0"/>
    <w:rsid w:val="00AC3DBD"/>
    <w:rsid w:val="00AC5E85"/>
    <w:rsid w:val="00AD03D8"/>
    <w:rsid w:val="00AD0D5F"/>
    <w:rsid w:val="00AD34CF"/>
    <w:rsid w:val="00AD36C8"/>
    <w:rsid w:val="00AD37C9"/>
    <w:rsid w:val="00AD47D3"/>
    <w:rsid w:val="00AD652F"/>
    <w:rsid w:val="00AD7D05"/>
    <w:rsid w:val="00AE01F6"/>
    <w:rsid w:val="00AE16F0"/>
    <w:rsid w:val="00AE2328"/>
    <w:rsid w:val="00AE473C"/>
    <w:rsid w:val="00AE55E7"/>
    <w:rsid w:val="00AE6363"/>
    <w:rsid w:val="00AE6CD6"/>
    <w:rsid w:val="00AE7348"/>
    <w:rsid w:val="00AE7394"/>
    <w:rsid w:val="00AE7CD2"/>
    <w:rsid w:val="00AF0B77"/>
    <w:rsid w:val="00AF138B"/>
    <w:rsid w:val="00AF160F"/>
    <w:rsid w:val="00AF1919"/>
    <w:rsid w:val="00AF1B7B"/>
    <w:rsid w:val="00AF3291"/>
    <w:rsid w:val="00AF395E"/>
    <w:rsid w:val="00AF4D6A"/>
    <w:rsid w:val="00AF5D2C"/>
    <w:rsid w:val="00AF5D6E"/>
    <w:rsid w:val="00AF6318"/>
    <w:rsid w:val="00B0072E"/>
    <w:rsid w:val="00B03B63"/>
    <w:rsid w:val="00B0513A"/>
    <w:rsid w:val="00B0620B"/>
    <w:rsid w:val="00B072A3"/>
    <w:rsid w:val="00B07FCD"/>
    <w:rsid w:val="00B1149C"/>
    <w:rsid w:val="00B1191F"/>
    <w:rsid w:val="00B11F60"/>
    <w:rsid w:val="00B121EF"/>
    <w:rsid w:val="00B127AA"/>
    <w:rsid w:val="00B130CB"/>
    <w:rsid w:val="00B14AD7"/>
    <w:rsid w:val="00B14D9D"/>
    <w:rsid w:val="00B14EF5"/>
    <w:rsid w:val="00B16048"/>
    <w:rsid w:val="00B2028C"/>
    <w:rsid w:val="00B21771"/>
    <w:rsid w:val="00B2191C"/>
    <w:rsid w:val="00B21B30"/>
    <w:rsid w:val="00B2231E"/>
    <w:rsid w:val="00B22E76"/>
    <w:rsid w:val="00B23016"/>
    <w:rsid w:val="00B23771"/>
    <w:rsid w:val="00B24835"/>
    <w:rsid w:val="00B24EA8"/>
    <w:rsid w:val="00B26625"/>
    <w:rsid w:val="00B26A5A"/>
    <w:rsid w:val="00B2713B"/>
    <w:rsid w:val="00B2769B"/>
    <w:rsid w:val="00B307D2"/>
    <w:rsid w:val="00B3398B"/>
    <w:rsid w:val="00B33B1E"/>
    <w:rsid w:val="00B362D9"/>
    <w:rsid w:val="00B36B99"/>
    <w:rsid w:val="00B36D20"/>
    <w:rsid w:val="00B36F67"/>
    <w:rsid w:val="00B40633"/>
    <w:rsid w:val="00B44049"/>
    <w:rsid w:val="00B44318"/>
    <w:rsid w:val="00B44C4B"/>
    <w:rsid w:val="00B477CB"/>
    <w:rsid w:val="00B508A7"/>
    <w:rsid w:val="00B52081"/>
    <w:rsid w:val="00B52695"/>
    <w:rsid w:val="00B545AF"/>
    <w:rsid w:val="00B55B09"/>
    <w:rsid w:val="00B56711"/>
    <w:rsid w:val="00B57EF2"/>
    <w:rsid w:val="00B604F3"/>
    <w:rsid w:val="00B6101C"/>
    <w:rsid w:val="00B615ED"/>
    <w:rsid w:val="00B63A9D"/>
    <w:rsid w:val="00B64888"/>
    <w:rsid w:val="00B672E3"/>
    <w:rsid w:val="00B675F9"/>
    <w:rsid w:val="00B70849"/>
    <w:rsid w:val="00B72C1C"/>
    <w:rsid w:val="00B73BB7"/>
    <w:rsid w:val="00B751C3"/>
    <w:rsid w:val="00B76C0D"/>
    <w:rsid w:val="00B77D0D"/>
    <w:rsid w:val="00B80817"/>
    <w:rsid w:val="00B827E6"/>
    <w:rsid w:val="00B82A28"/>
    <w:rsid w:val="00B82B8D"/>
    <w:rsid w:val="00B82C97"/>
    <w:rsid w:val="00B841EC"/>
    <w:rsid w:val="00B851D5"/>
    <w:rsid w:val="00B85B06"/>
    <w:rsid w:val="00B90558"/>
    <w:rsid w:val="00B92958"/>
    <w:rsid w:val="00B93957"/>
    <w:rsid w:val="00B9404A"/>
    <w:rsid w:val="00B94877"/>
    <w:rsid w:val="00B9491F"/>
    <w:rsid w:val="00B96043"/>
    <w:rsid w:val="00B96F5D"/>
    <w:rsid w:val="00BA02F9"/>
    <w:rsid w:val="00BA1987"/>
    <w:rsid w:val="00BA2682"/>
    <w:rsid w:val="00BA31E4"/>
    <w:rsid w:val="00BA3959"/>
    <w:rsid w:val="00BA47CC"/>
    <w:rsid w:val="00BA524B"/>
    <w:rsid w:val="00BA54F7"/>
    <w:rsid w:val="00BA576C"/>
    <w:rsid w:val="00BA6205"/>
    <w:rsid w:val="00BA6CE5"/>
    <w:rsid w:val="00BA6F38"/>
    <w:rsid w:val="00BB1388"/>
    <w:rsid w:val="00BB2683"/>
    <w:rsid w:val="00BB40DF"/>
    <w:rsid w:val="00BB5E2C"/>
    <w:rsid w:val="00BB7D9E"/>
    <w:rsid w:val="00BC16AC"/>
    <w:rsid w:val="00BC2B7B"/>
    <w:rsid w:val="00BC3AE8"/>
    <w:rsid w:val="00BC3AF4"/>
    <w:rsid w:val="00BC43A8"/>
    <w:rsid w:val="00BC46CF"/>
    <w:rsid w:val="00BC5C6D"/>
    <w:rsid w:val="00BC7120"/>
    <w:rsid w:val="00BC76A3"/>
    <w:rsid w:val="00BD00D1"/>
    <w:rsid w:val="00BD07A2"/>
    <w:rsid w:val="00BD1255"/>
    <w:rsid w:val="00BD2603"/>
    <w:rsid w:val="00BD4EEC"/>
    <w:rsid w:val="00BD4F34"/>
    <w:rsid w:val="00BD537C"/>
    <w:rsid w:val="00BD6F5B"/>
    <w:rsid w:val="00BD7662"/>
    <w:rsid w:val="00BE05ED"/>
    <w:rsid w:val="00BE350E"/>
    <w:rsid w:val="00BE3801"/>
    <w:rsid w:val="00BE38CF"/>
    <w:rsid w:val="00BE394B"/>
    <w:rsid w:val="00BE48A8"/>
    <w:rsid w:val="00BE528F"/>
    <w:rsid w:val="00BE5850"/>
    <w:rsid w:val="00BE58D6"/>
    <w:rsid w:val="00BE5CA6"/>
    <w:rsid w:val="00BE707F"/>
    <w:rsid w:val="00BE7F5D"/>
    <w:rsid w:val="00BF0707"/>
    <w:rsid w:val="00BF164F"/>
    <w:rsid w:val="00BF1AAF"/>
    <w:rsid w:val="00BF268B"/>
    <w:rsid w:val="00BF47C9"/>
    <w:rsid w:val="00BF4D03"/>
    <w:rsid w:val="00BF4E85"/>
    <w:rsid w:val="00BF54BD"/>
    <w:rsid w:val="00BF5892"/>
    <w:rsid w:val="00C01804"/>
    <w:rsid w:val="00C026BC"/>
    <w:rsid w:val="00C02AD4"/>
    <w:rsid w:val="00C03869"/>
    <w:rsid w:val="00C07988"/>
    <w:rsid w:val="00C07C5E"/>
    <w:rsid w:val="00C10068"/>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32151"/>
    <w:rsid w:val="00C3217A"/>
    <w:rsid w:val="00C33551"/>
    <w:rsid w:val="00C3357D"/>
    <w:rsid w:val="00C33BE9"/>
    <w:rsid w:val="00C33C13"/>
    <w:rsid w:val="00C348C7"/>
    <w:rsid w:val="00C35B2A"/>
    <w:rsid w:val="00C36742"/>
    <w:rsid w:val="00C374AD"/>
    <w:rsid w:val="00C40DE4"/>
    <w:rsid w:val="00C40E63"/>
    <w:rsid w:val="00C41A06"/>
    <w:rsid w:val="00C4261B"/>
    <w:rsid w:val="00C42BFB"/>
    <w:rsid w:val="00C44DDC"/>
    <w:rsid w:val="00C5128B"/>
    <w:rsid w:val="00C51423"/>
    <w:rsid w:val="00C5294D"/>
    <w:rsid w:val="00C52F83"/>
    <w:rsid w:val="00C54C1B"/>
    <w:rsid w:val="00C54DBA"/>
    <w:rsid w:val="00C57ED3"/>
    <w:rsid w:val="00C61640"/>
    <w:rsid w:val="00C61AA7"/>
    <w:rsid w:val="00C61B8E"/>
    <w:rsid w:val="00C668DE"/>
    <w:rsid w:val="00C7044F"/>
    <w:rsid w:val="00C720F8"/>
    <w:rsid w:val="00C7294B"/>
    <w:rsid w:val="00C75139"/>
    <w:rsid w:val="00C7525C"/>
    <w:rsid w:val="00C76CF7"/>
    <w:rsid w:val="00C83A4C"/>
    <w:rsid w:val="00C8533B"/>
    <w:rsid w:val="00C858BA"/>
    <w:rsid w:val="00C86977"/>
    <w:rsid w:val="00C916C8"/>
    <w:rsid w:val="00C9398D"/>
    <w:rsid w:val="00C939EE"/>
    <w:rsid w:val="00C93C6E"/>
    <w:rsid w:val="00C93F93"/>
    <w:rsid w:val="00C94D44"/>
    <w:rsid w:val="00C95EEE"/>
    <w:rsid w:val="00C974CB"/>
    <w:rsid w:val="00C97929"/>
    <w:rsid w:val="00CA0049"/>
    <w:rsid w:val="00CA0980"/>
    <w:rsid w:val="00CA2A98"/>
    <w:rsid w:val="00CA2BAE"/>
    <w:rsid w:val="00CA34BA"/>
    <w:rsid w:val="00CA4503"/>
    <w:rsid w:val="00CA5A66"/>
    <w:rsid w:val="00CA651B"/>
    <w:rsid w:val="00CA796A"/>
    <w:rsid w:val="00CB2575"/>
    <w:rsid w:val="00CB3677"/>
    <w:rsid w:val="00CB368F"/>
    <w:rsid w:val="00CB4C42"/>
    <w:rsid w:val="00CB4DFA"/>
    <w:rsid w:val="00CB7BD7"/>
    <w:rsid w:val="00CC4CB6"/>
    <w:rsid w:val="00CC4DB0"/>
    <w:rsid w:val="00CC5038"/>
    <w:rsid w:val="00CC5326"/>
    <w:rsid w:val="00CC7426"/>
    <w:rsid w:val="00CC7910"/>
    <w:rsid w:val="00CD0C20"/>
    <w:rsid w:val="00CD297A"/>
    <w:rsid w:val="00CD3DB0"/>
    <w:rsid w:val="00CD4129"/>
    <w:rsid w:val="00CD5DBB"/>
    <w:rsid w:val="00CD67E7"/>
    <w:rsid w:val="00CD7388"/>
    <w:rsid w:val="00CE130A"/>
    <w:rsid w:val="00CE23CD"/>
    <w:rsid w:val="00CE247A"/>
    <w:rsid w:val="00CE2A1A"/>
    <w:rsid w:val="00CE2F05"/>
    <w:rsid w:val="00CE4A51"/>
    <w:rsid w:val="00CE4F80"/>
    <w:rsid w:val="00CE50E4"/>
    <w:rsid w:val="00CE51E8"/>
    <w:rsid w:val="00CE56A1"/>
    <w:rsid w:val="00CE64A5"/>
    <w:rsid w:val="00CE669E"/>
    <w:rsid w:val="00CE66B5"/>
    <w:rsid w:val="00CE6BFE"/>
    <w:rsid w:val="00CE7031"/>
    <w:rsid w:val="00CE7258"/>
    <w:rsid w:val="00CF0B9B"/>
    <w:rsid w:val="00CF0F7C"/>
    <w:rsid w:val="00CF13B8"/>
    <w:rsid w:val="00CF285E"/>
    <w:rsid w:val="00CF3739"/>
    <w:rsid w:val="00CF5597"/>
    <w:rsid w:val="00CF57B4"/>
    <w:rsid w:val="00CF5CA5"/>
    <w:rsid w:val="00CF658A"/>
    <w:rsid w:val="00CF66B6"/>
    <w:rsid w:val="00CF79DF"/>
    <w:rsid w:val="00D007D6"/>
    <w:rsid w:val="00D01A9F"/>
    <w:rsid w:val="00D01CED"/>
    <w:rsid w:val="00D01E38"/>
    <w:rsid w:val="00D022B5"/>
    <w:rsid w:val="00D039B5"/>
    <w:rsid w:val="00D04AA9"/>
    <w:rsid w:val="00D04F76"/>
    <w:rsid w:val="00D053D2"/>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29B9"/>
    <w:rsid w:val="00D33412"/>
    <w:rsid w:val="00D3482C"/>
    <w:rsid w:val="00D3664C"/>
    <w:rsid w:val="00D3683A"/>
    <w:rsid w:val="00D379C5"/>
    <w:rsid w:val="00D37C36"/>
    <w:rsid w:val="00D40559"/>
    <w:rsid w:val="00D405B8"/>
    <w:rsid w:val="00D41493"/>
    <w:rsid w:val="00D4200A"/>
    <w:rsid w:val="00D4267F"/>
    <w:rsid w:val="00D441E9"/>
    <w:rsid w:val="00D44425"/>
    <w:rsid w:val="00D44FC8"/>
    <w:rsid w:val="00D45D8F"/>
    <w:rsid w:val="00D50332"/>
    <w:rsid w:val="00D52B95"/>
    <w:rsid w:val="00D5362B"/>
    <w:rsid w:val="00D53652"/>
    <w:rsid w:val="00D53A09"/>
    <w:rsid w:val="00D54AAB"/>
    <w:rsid w:val="00D552F9"/>
    <w:rsid w:val="00D56EDF"/>
    <w:rsid w:val="00D56F08"/>
    <w:rsid w:val="00D57361"/>
    <w:rsid w:val="00D61406"/>
    <w:rsid w:val="00D61541"/>
    <w:rsid w:val="00D61575"/>
    <w:rsid w:val="00D621B7"/>
    <w:rsid w:val="00D6294E"/>
    <w:rsid w:val="00D63C9A"/>
    <w:rsid w:val="00D640BC"/>
    <w:rsid w:val="00D654D5"/>
    <w:rsid w:val="00D65A9D"/>
    <w:rsid w:val="00D65CB5"/>
    <w:rsid w:val="00D677BB"/>
    <w:rsid w:val="00D70544"/>
    <w:rsid w:val="00D71463"/>
    <w:rsid w:val="00D7194A"/>
    <w:rsid w:val="00D72AE4"/>
    <w:rsid w:val="00D73026"/>
    <w:rsid w:val="00D73FA1"/>
    <w:rsid w:val="00D7469D"/>
    <w:rsid w:val="00D7550B"/>
    <w:rsid w:val="00D75EEB"/>
    <w:rsid w:val="00D75F1E"/>
    <w:rsid w:val="00D80F87"/>
    <w:rsid w:val="00D812A5"/>
    <w:rsid w:val="00D82A5C"/>
    <w:rsid w:val="00D82D11"/>
    <w:rsid w:val="00D83CD3"/>
    <w:rsid w:val="00D83E51"/>
    <w:rsid w:val="00D84719"/>
    <w:rsid w:val="00D856EA"/>
    <w:rsid w:val="00D85ACD"/>
    <w:rsid w:val="00D86460"/>
    <w:rsid w:val="00D912D5"/>
    <w:rsid w:val="00D91AAF"/>
    <w:rsid w:val="00D92461"/>
    <w:rsid w:val="00D94564"/>
    <w:rsid w:val="00D9536E"/>
    <w:rsid w:val="00D97426"/>
    <w:rsid w:val="00D97568"/>
    <w:rsid w:val="00DA06B0"/>
    <w:rsid w:val="00DA29BA"/>
    <w:rsid w:val="00DA3249"/>
    <w:rsid w:val="00DA38CE"/>
    <w:rsid w:val="00DA4B01"/>
    <w:rsid w:val="00DA5322"/>
    <w:rsid w:val="00DA55AC"/>
    <w:rsid w:val="00DA5600"/>
    <w:rsid w:val="00DA608B"/>
    <w:rsid w:val="00DA7413"/>
    <w:rsid w:val="00DB0066"/>
    <w:rsid w:val="00DB0BD6"/>
    <w:rsid w:val="00DB0F9E"/>
    <w:rsid w:val="00DB1307"/>
    <w:rsid w:val="00DB1E1A"/>
    <w:rsid w:val="00DB2AF6"/>
    <w:rsid w:val="00DB364F"/>
    <w:rsid w:val="00DB39E7"/>
    <w:rsid w:val="00DB3AAE"/>
    <w:rsid w:val="00DB3B3E"/>
    <w:rsid w:val="00DB71DB"/>
    <w:rsid w:val="00DB71E1"/>
    <w:rsid w:val="00DB7B0F"/>
    <w:rsid w:val="00DB7CB3"/>
    <w:rsid w:val="00DC0D57"/>
    <w:rsid w:val="00DC16F7"/>
    <w:rsid w:val="00DC1CA3"/>
    <w:rsid w:val="00DC2641"/>
    <w:rsid w:val="00DC2B1E"/>
    <w:rsid w:val="00DC7481"/>
    <w:rsid w:val="00DC7591"/>
    <w:rsid w:val="00DD0839"/>
    <w:rsid w:val="00DD26D0"/>
    <w:rsid w:val="00DD47D5"/>
    <w:rsid w:val="00DD6729"/>
    <w:rsid w:val="00DD7960"/>
    <w:rsid w:val="00DD7B0D"/>
    <w:rsid w:val="00DE1F29"/>
    <w:rsid w:val="00DE3FEB"/>
    <w:rsid w:val="00DE4905"/>
    <w:rsid w:val="00DE510C"/>
    <w:rsid w:val="00DE7822"/>
    <w:rsid w:val="00DF081A"/>
    <w:rsid w:val="00DF265D"/>
    <w:rsid w:val="00DF2EB0"/>
    <w:rsid w:val="00DF31C1"/>
    <w:rsid w:val="00DF427A"/>
    <w:rsid w:val="00DF45C5"/>
    <w:rsid w:val="00DF5A8C"/>
    <w:rsid w:val="00DF71D8"/>
    <w:rsid w:val="00E00CCA"/>
    <w:rsid w:val="00E01623"/>
    <w:rsid w:val="00E03FE3"/>
    <w:rsid w:val="00E056A2"/>
    <w:rsid w:val="00E06951"/>
    <w:rsid w:val="00E10C94"/>
    <w:rsid w:val="00E10EC4"/>
    <w:rsid w:val="00E118D7"/>
    <w:rsid w:val="00E13F46"/>
    <w:rsid w:val="00E15BD4"/>
    <w:rsid w:val="00E16458"/>
    <w:rsid w:val="00E16FB6"/>
    <w:rsid w:val="00E17001"/>
    <w:rsid w:val="00E17814"/>
    <w:rsid w:val="00E17CEF"/>
    <w:rsid w:val="00E20FBC"/>
    <w:rsid w:val="00E244CA"/>
    <w:rsid w:val="00E2512D"/>
    <w:rsid w:val="00E2548C"/>
    <w:rsid w:val="00E2662B"/>
    <w:rsid w:val="00E26736"/>
    <w:rsid w:val="00E268AC"/>
    <w:rsid w:val="00E27986"/>
    <w:rsid w:val="00E27D23"/>
    <w:rsid w:val="00E30A8A"/>
    <w:rsid w:val="00E31BC7"/>
    <w:rsid w:val="00E31E7F"/>
    <w:rsid w:val="00E363CD"/>
    <w:rsid w:val="00E365C4"/>
    <w:rsid w:val="00E36C7F"/>
    <w:rsid w:val="00E37652"/>
    <w:rsid w:val="00E3768F"/>
    <w:rsid w:val="00E402BC"/>
    <w:rsid w:val="00E41403"/>
    <w:rsid w:val="00E418C7"/>
    <w:rsid w:val="00E41BD7"/>
    <w:rsid w:val="00E428D6"/>
    <w:rsid w:val="00E43284"/>
    <w:rsid w:val="00E445C9"/>
    <w:rsid w:val="00E447C5"/>
    <w:rsid w:val="00E450C1"/>
    <w:rsid w:val="00E4547F"/>
    <w:rsid w:val="00E4574F"/>
    <w:rsid w:val="00E46B7D"/>
    <w:rsid w:val="00E5091C"/>
    <w:rsid w:val="00E50E42"/>
    <w:rsid w:val="00E51009"/>
    <w:rsid w:val="00E511AB"/>
    <w:rsid w:val="00E51350"/>
    <w:rsid w:val="00E51C5E"/>
    <w:rsid w:val="00E523FB"/>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E99"/>
    <w:rsid w:val="00E6454D"/>
    <w:rsid w:val="00E65301"/>
    <w:rsid w:val="00E6598A"/>
    <w:rsid w:val="00E667A7"/>
    <w:rsid w:val="00E679B3"/>
    <w:rsid w:val="00E7190A"/>
    <w:rsid w:val="00E71E5C"/>
    <w:rsid w:val="00E7245E"/>
    <w:rsid w:val="00E73831"/>
    <w:rsid w:val="00E73B66"/>
    <w:rsid w:val="00E7498E"/>
    <w:rsid w:val="00E74BB9"/>
    <w:rsid w:val="00E74FF5"/>
    <w:rsid w:val="00E7584A"/>
    <w:rsid w:val="00E760D0"/>
    <w:rsid w:val="00E76D85"/>
    <w:rsid w:val="00E77C2E"/>
    <w:rsid w:val="00E80A1A"/>
    <w:rsid w:val="00E8292A"/>
    <w:rsid w:val="00E82DE7"/>
    <w:rsid w:val="00E84116"/>
    <w:rsid w:val="00E84C5C"/>
    <w:rsid w:val="00E85533"/>
    <w:rsid w:val="00E86343"/>
    <w:rsid w:val="00E866CD"/>
    <w:rsid w:val="00E877ED"/>
    <w:rsid w:val="00E901FD"/>
    <w:rsid w:val="00E91964"/>
    <w:rsid w:val="00E91FB1"/>
    <w:rsid w:val="00E94468"/>
    <w:rsid w:val="00E94A0E"/>
    <w:rsid w:val="00E96226"/>
    <w:rsid w:val="00E96DDE"/>
    <w:rsid w:val="00EA04AE"/>
    <w:rsid w:val="00EA062F"/>
    <w:rsid w:val="00EA17A9"/>
    <w:rsid w:val="00EA311B"/>
    <w:rsid w:val="00EA36CA"/>
    <w:rsid w:val="00EA3D9C"/>
    <w:rsid w:val="00EA43C0"/>
    <w:rsid w:val="00EA4CB0"/>
    <w:rsid w:val="00EA566F"/>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C13"/>
    <w:rsid w:val="00EC148C"/>
    <w:rsid w:val="00EC2D7D"/>
    <w:rsid w:val="00EC36AD"/>
    <w:rsid w:val="00EC3BCF"/>
    <w:rsid w:val="00EC56B1"/>
    <w:rsid w:val="00EC664F"/>
    <w:rsid w:val="00EC6749"/>
    <w:rsid w:val="00EC72F5"/>
    <w:rsid w:val="00EC7334"/>
    <w:rsid w:val="00ED1877"/>
    <w:rsid w:val="00ED247F"/>
    <w:rsid w:val="00ED27E4"/>
    <w:rsid w:val="00ED2F27"/>
    <w:rsid w:val="00ED3370"/>
    <w:rsid w:val="00ED4D96"/>
    <w:rsid w:val="00ED5A40"/>
    <w:rsid w:val="00ED5F21"/>
    <w:rsid w:val="00ED602C"/>
    <w:rsid w:val="00ED62B5"/>
    <w:rsid w:val="00ED6DDB"/>
    <w:rsid w:val="00ED7985"/>
    <w:rsid w:val="00EE270D"/>
    <w:rsid w:val="00EE6989"/>
    <w:rsid w:val="00EE6C77"/>
    <w:rsid w:val="00EE7604"/>
    <w:rsid w:val="00EE7912"/>
    <w:rsid w:val="00EE7915"/>
    <w:rsid w:val="00EF0465"/>
    <w:rsid w:val="00EF13C5"/>
    <w:rsid w:val="00EF16D8"/>
    <w:rsid w:val="00EF28EF"/>
    <w:rsid w:val="00EF2EB9"/>
    <w:rsid w:val="00EF40E7"/>
    <w:rsid w:val="00EF4529"/>
    <w:rsid w:val="00EF5B34"/>
    <w:rsid w:val="00EF657C"/>
    <w:rsid w:val="00F004D1"/>
    <w:rsid w:val="00F00C0D"/>
    <w:rsid w:val="00F0128B"/>
    <w:rsid w:val="00F02663"/>
    <w:rsid w:val="00F03369"/>
    <w:rsid w:val="00F04E62"/>
    <w:rsid w:val="00F050AA"/>
    <w:rsid w:val="00F05E6D"/>
    <w:rsid w:val="00F11800"/>
    <w:rsid w:val="00F11B61"/>
    <w:rsid w:val="00F135D6"/>
    <w:rsid w:val="00F13922"/>
    <w:rsid w:val="00F13DBC"/>
    <w:rsid w:val="00F15FCF"/>
    <w:rsid w:val="00F16613"/>
    <w:rsid w:val="00F20706"/>
    <w:rsid w:val="00F21496"/>
    <w:rsid w:val="00F21E77"/>
    <w:rsid w:val="00F24D27"/>
    <w:rsid w:val="00F2520C"/>
    <w:rsid w:val="00F25BCB"/>
    <w:rsid w:val="00F25ECC"/>
    <w:rsid w:val="00F264C1"/>
    <w:rsid w:val="00F26D7F"/>
    <w:rsid w:val="00F27305"/>
    <w:rsid w:val="00F30790"/>
    <w:rsid w:val="00F31570"/>
    <w:rsid w:val="00F33355"/>
    <w:rsid w:val="00F34363"/>
    <w:rsid w:val="00F34CE9"/>
    <w:rsid w:val="00F354B9"/>
    <w:rsid w:val="00F35705"/>
    <w:rsid w:val="00F35B93"/>
    <w:rsid w:val="00F37CFD"/>
    <w:rsid w:val="00F37D33"/>
    <w:rsid w:val="00F40178"/>
    <w:rsid w:val="00F40DB9"/>
    <w:rsid w:val="00F40ED1"/>
    <w:rsid w:val="00F41349"/>
    <w:rsid w:val="00F415A3"/>
    <w:rsid w:val="00F41778"/>
    <w:rsid w:val="00F41B3E"/>
    <w:rsid w:val="00F421D1"/>
    <w:rsid w:val="00F4323B"/>
    <w:rsid w:val="00F43B8E"/>
    <w:rsid w:val="00F45196"/>
    <w:rsid w:val="00F45D51"/>
    <w:rsid w:val="00F46842"/>
    <w:rsid w:val="00F4765F"/>
    <w:rsid w:val="00F479B5"/>
    <w:rsid w:val="00F47A1B"/>
    <w:rsid w:val="00F47C4B"/>
    <w:rsid w:val="00F53775"/>
    <w:rsid w:val="00F539A6"/>
    <w:rsid w:val="00F55E0E"/>
    <w:rsid w:val="00F5611D"/>
    <w:rsid w:val="00F56E3E"/>
    <w:rsid w:val="00F578A8"/>
    <w:rsid w:val="00F57EEB"/>
    <w:rsid w:val="00F57F67"/>
    <w:rsid w:val="00F60996"/>
    <w:rsid w:val="00F60B5D"/>
    <w:rsid w:val="00F611E4"/>
    <w:rsid w:val="00F613D4"/>
    <w:rsid w:val="00F61FE7"/>
    <w:rsid w:val="00F62AFE"/>
    <w:rsid w:val="00F633E5"/>
    <w:rsid w:val="00F64A3A"/>
    <w:rsid w:val="00F64F35"/>
    <w:rsid w:val="00F64FC4"/>
    <w:rsid w:val="00F65DE3"/>
    <w:rsid w:val="00F67E6A"/>
    <w:rsid w:val="00F70472"/>
    <w:rsid w:val="00F71430"/>
    <w:rsid w:val="00F71A8A"/>
    <w:rsid w:val="00F75896"/>
    <w:rsid w:val="00F76666"/>
    <w:rsid w:val="00F76ECB"/>
    <w:rsid w:val="00F76EF7"/>
    <w:rsid w:val="00F776B7"/>
    <w:rsid w:val="00F77758"/>
    <w:rsid w:val="00F77BDB"/>
    <w:rsid w:val="00F8031F"/>
    <w:rsid w:val="00F80C5C"/>
    <w:rsid w:val="00F818A5"/>
    <w:rsid w:val="00F8197C"/>
    <w:rsid w:val="00F8465D"/>
    <w:rsid w:val="00F848B3"/>
    <w:rsid w:val="00F85755"/>
    <w:rsid w:val="00F86A0B"/>
    <w:rsid w:val="00F87431"/>
    <w:rsid w:val="00F8765C"/>
    <w:rsid w:val="00F87A53"/>
    <w:rsid w:val="00F9031B"/>
    <w:rsid w:val="00F91DA4"/>
    <w:rsid w:val="00F92728"/>
    <w:rsid w:val="00F937AF"/>
    <w:rsid w:val="00F94494"/>
    <w:rsid w:val="00F96483"/>
    <w:rsid w:val="00F9648C"/>
    <w:rsid w:val="00F96671"/>
    <w:rsid w:val="00F9680E"/>
    <w:rsid w:val="00F96E21"/>
    <w:rsid w:val="00FA00AF"/>
    <w:rsid w:val="00FA0A0A"/>
    <w:rsid w:val="00FA0C9D"/>
    <w:rsid w:val="00FA169B"/>
    <w:rsid w:val="00FA2417"/>
    <w:rsid w:val="00FA2C4B"/>
    <w:rsid w:val="00FA5CC6"/>
    <w:rsid w:val="00FA64D5"/>
    <w:rsid w:val="00FA6760"/>
    <w:rsid w:val="00FA70F6"/>
    <w:rsid w:val="00FA7420"/>
    <w:rsid w:val="00FA756C"/>
    <w:rsid w:val="00FA75E4"/>
    <w:rsid w:val="00FA776B"/>
    <w:rsid w:val="00FB0AB1"/>
    <w:rsid w:val="00FB2BEF"/>
    <w:rsid w:val="00FB36CA"/>
    <w:rsid w:val="00FB72AC"/>
    <w:rsid w:val="00FB7706"/>
    <w:rsid w:val="00FB7EC9"/>
    <w:rsid w:val="00FB7F82"/>
    <w:rsid w:val="00FC0DAF"/>
    <w:rsid w:val="00FC11F5"/>
    <w:rsid w:val="00FC126D"/>
    <w:rsid w:val="00FC3387"/>
    <w:rsid w:val="00FC382F"/>
    <w:rsid w:val="00FC4236"/>
    <w:rsid w:val="00FC615D"/>
    <w:rsid w:val="00FD01CC"/>
    <w:rsid w:val="00FD08AF"/>
    <w:rsid w:val="00FD1E7A"/>
    <w:rsid w:val="00FD2672"/>
    <w:rsid w:val="00FD28F4"/>
    <w:rsid w:val="00FD2CE2"/>
    <w:rsid w:val="00FD4A1E"/>
    <w:rsid w:val="00FD66A9"/>
    <w:rsid w:val="00FD6712"/>
    <w:rsid w:val="00FD6853"/>
    <w:rsid w:val="00FD6E54"/>
    <w:rsid w:val="00FE01B5"/>
    <w:rsid w:val="00FE03BB"/>
    <w:rsid w:val="00FE0BF0"/>
    <w:rsid w:val="00FE15A2"/>
    <w:rsid w:val="00FE3B37"/>
    <w:rsid w:val="00FE4B40"/>
    <w:rsid w:val="00FE5DC4"/>
    <w:rsid w:val="00FE6E94"/>
    <w:rsid w:val="00FE76CB"/>
    <w:rsid w:val="00FE7BD8"/>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3AAE"/>
    <w:rPr>
      <w:rFonts w:ascii="Arial" w:hAnsi="Arial" w:cs="Arial"/>
      <w:sz w:val="22"/>
    </w:rPr>
  </w:style>
  <w:style w:type="paragraph" w:styleId="Heading1">
    <w:name w:val="heading 1"/>
    <w:basedOn w:val="Normal"/>
    <w:next w:val="NormalParaAR"/>
    <w:qFormat/>
    <w:rsid w:val="00DB3AAE"/>
    <w:pPr>
      <w:keepNext/>
      <w:bidi/>
      <w:spacing w:before="240" w:after="240" w:line="400" w:lineRule="exact"/>
      <w:outlineLvl w:val="0"/>
    </w:pPr>
    <w:rPr>
      <w:rFonts w:ascii="Arabic Typesetting" w:hAnsi="Arabic Typesetting" w:cs="Arabic Typesetting"/>
      <w:bCs/>
      <w:sz w:val="40"/>
      <w:szCs w:val="40"/>
      <w:lang w:val="fr-CH"/>
    </w:rPr>
  </w:style>
  <w:style w:type="paragraph" w:styleId="Heading2">
    <w:name w:val="heading 2"/>
    <w:basedOn w:val="Normal"/>
    <w:next w:val="NormalParaAR"/>
    <w:qFormat/>
    <w:rsid w:val="00DB3AAE"/>
    <w:pPr>
      <w:keepNext/>
      <w:bidi/>
      <w:spacing w:before="240" w:after="240" w:line="400" w:lineRule="exact"/>
      <w:outlineLvl w:val="1"/>
    </w:pPr>
    <w:rPr>
      <w:rFonts w:ascii="Arabic Typesetting" w:hAnsi="Arabic Typesetting" w:cs="Arabic Typesetting"/>
      <w:sz w:val="40"/>
      <w:szCs w:val="40"/>
      <w:lang w:val="fr-CH"/>
    </w:rPr>
  </w:style>
  <w:style w:type="paragraph" w:styleId="Heading3">
    <w:name w:val="heading 3"/>
    <w:basedOn w:val="Normal"/>
    <w:next w:val="NormalParaAR"/>
    <w:qFormat/>
    <w:rsid w:val="00DB3AAE"/>
    <w:pPr>
      <w:keepNext/>
      <w:bidi/>
      <w:spacing w:before="120" w:after="240" w:line="360" w:lineRule="exact"/>
      <w:outlineLvl w:val="2"/>
    </w:pPr>
    <w:rPr>
      <w:rFonts w:ascii="Arabic Typesetting" w:hAnsi="Arabic Typesetting" w:cs="Arabic Typesetting"/>
      <w:sz w:val="36"/>
      <w:szCs w:val="36"/>
      <w:u w:val="single"/>
      <w:lang w:val="fr-CH"/>
    </w:rPr>
  </w:style>
  <w:style w:type="paragraph" w:styleId="Heading4">
    <w:name w:val="heading 4"/>
    <w:basedOn w:val="Normal"/>
    <w:next w:val="NormalParaAR"/>
    <w:qFormat/>
    <w:rsid w:val="00DB3AAE"/>
    <w:pPr>
      <w:keepNext/>
      <w:bidi/>
      <w:spacing w:before="120" w:after="240" w:line="360" w:lineRule="exact"/>
      <w:outlineLvl w:val="3"/>
    </w:pPr>
    <w:rPr>
      <w:rFonts w:ascii="Arabic Typesetting" w:hAnsi="Arabic Typesetting" w:cs="Arabic Typesetting"/>
      <w:iCs/>
      <w:sz w:val="36"/>
      <w:szCs w:val="36"/>
      <w:lang w:val="fr-CH"/>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styleId="BalloonText">
    <w:name w:val="Balloon Text"/>
    <w:basedOn w:val="Normal"/>
    <w:link w:val="BalloonTextChar"/>
    <w:rsid w:val="00475BF5"/>
    <w:rPr>
      <w:rFonts w:ascii="Tahoma" w:hAnsi="Tahoma" w:cs="Tahoma"/>
      <w:sz w:val="16"/>
      <w:szCs w:val="16"/>
    </w:rPr>
  </w:style>
  <w:style w:type="character" w:customStyle="1" w:styleId="BalloonTextChar">
    <w:name w:val="Balloon Text Char"/>
    <w:basedOn w:val="DefaultParagraphFont"/>
    <w:link w:val="BalloonText"/>
    <w:rsid w:val="00475BF5"/>
    <w:rPr>
      <w:rFonts w:ascii="Tahoma" w:hAnsi="Tahoma" w:cs="Tahoma"/>
      <w:sz w:val="16"/>
      <w:szCs w:val="16"/>
    </w:rPr>
  </w:style>
  <w:style w:type="character" w:styleId="Hyperlink">
    <w:name w:val="Hyperlink"/>
    <w:basedOn w:val="DefaultParagraphFont"/>
    <w:rsid w:val="00870B7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3AAE"/>
    <w:rPr>
      <w:rFonts w:ascii="Arial" w:hAnsi="Arial" w:cs="Arial"/>
      <w:sz w:val="22"/>
    </w:rPr>
  </w:style>
  <w:style w:type="paragraph" w:styleId="Heading1">
    <w:name w:val="heading 1"/>
    <w:basedOn w:val="Normal"/>
    <w:next w:val="NormalParaAR"/>
    <w:qFormat/>
    <w:rsid w:val="00DB3AAE"/>
    <w:pPr>
      <w:keepNext/>
      <w:bidi/>
      <w:spacing w:before="240" w:after="240" w:line="400" w:lineRule="exact"/>
      <w:outlineLvl w:val="0"/>
    </w:pPr>
    <w:rPr>
      <w:rFonts w:ascii="Arabic Typesetting" w:hAnsi="Arabic Typesetting" w:cs="Arabic Typesetting"/>
      <w:bCs/>
      <w:sz w:val="40"/>
      <w:szCs w:val="40"/>
      <w:lang w:val="fr-CH"/>
    </w:rPr>
  </w:style>
  <w:style w:type="paragraph" w:styleId="Heading2">
    <w:name w:val="heading 2"/>
    <w:basedOn w:val="Normal"/>
    <w:next w:val="NormalParaAR"/>
    <w:qFormat/>
    <w:rsid w:val="00DB3AAE"/>
    <w:pPr>
      <w:keepNext/>
      <w:bidi/>
      <w:spacing w:before="240" w:after="240" w:line="400" w:lineRule="exact"/>
      <w:outlineLvl w:val="1"/>
    </w:pPr>
    <w:rPr>
      <w:rFonts w:ascii="Arabic Typesetting" w:hAnsi="Arabic Typesetting" w:cs="Arabic Typesetting"/>
      <w:sz w:val="40"/>
      <w:szCs w:val="40"/>
      <w:lang w:val="fr-CH"/>
    </w:rPr>
  </w:style>
  <w:style w:type="paragraph" w:styleId="Heading3">
    <w:name w:val="heading 3"/>
    <w:basedOn w:val="Normal"/>
    <w:next w:val="NormalParaAR"/>
    <w:qFormat/>
    <w:rsid w:val="00DB3AAE"/>
    <w:pPr>
      <w:keepNext/>
      <w:bidi/>
      <w:spacing w:before="120" w:after="240" w:line="360" w:lineRule="exact"/>
      <w:outlineLvl w:val="2"/>
    </w:pPr>
    <w:rPr>
      <w:rFonts w:ascii="Arabic Typesetting" w:hAnsi="Arabic Typesetting" w:cs="Arabic Typesetting"/>
      <w:sz w:val="36"/>
      <w:szCs w:val="36"/>
      <w:u w:val="single"/>
      <w:lang w:val="fr-CH"/>
    </w:rPr>
  </w:style>
  <w:style w:type="paragraph" w:styleId="Heading4">
    <w:name w:val="heading 4"/>
    <w:basedOn w:val="Normal"/>
    <w:next w:val="NormalParaAR"/>
    <w:qFormat/>
    <w:rsid w:val="00DB3AAE"/>
    <w:pPr>
      <w:keepNext/>
      <w:bidi/>
      <w:spacing w:before="120" w:after="240" w:line="360" w:lineRule="exact"/>
      <w:outlineLvl w:val="3"/>
    </w:pPr>
    <w:rPr>
      <w:rFonts w:ascii="Arabic Typesetting" w:hAnsi="Arabic Typesetting" w:cs="Arabic Typesetting"/>
      <w:iCs/>
      <w:sz w:val="36"/>
      <w:szCs w:val="36"/>
      <w:lang w:val="fr-CH"/>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styleId="BalloonText">
    <w:name w:val="Balloon Text"/>
    <w:basedOn w:val="Normal"/>
    <w:link w:val="BalloonTextChar"/>
    <w:rsid w:val="00475BF5"/>
    <w:rPr>
      <w:rFonts w:ascii="Tahoma" w:hAnsi="Tahoma" w:cs="Tahoma"/>
      <w:sz w:val="16"/>
      <w:szCs w:val="16"/>
    </w:rPr>
  </w:style>
  <w:style w:type="character" w:customStyle="1" w:styleId="BalloonTextChar">
    <w:name w:val="Balloon Text Char"/>
    <w:basedOn w:val="DefaultParagraphFont"/>
    <w:link w:val="BalloonText"/>
    <w:rsid w:val="00475BF5"/>
    <w:rPr>
      <w:rFonts w:ascii="Tahoma" w:hAnsi="Tahoma" w:cs="Tahoma"/>
      <w:sz w:val="16"/>
      <w:szCs w:val="16"/>
    </w:rPr>
  </w:style>
  <w:style w:type="character" w:styleId="Hyperlink">
    <w:name w:val="Hyperlink"/>
    <w:basedOn w:val="DefaultParagraphFont"/>
    <w:rsid w:val="00870B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wipo.int/roc/en/index.js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s>
</file>

<file path=word/_rels/footnotes.xml.rels><?xml version="1.0" encoding="UTF-8" standalone="yes"?>
<Relationships xmlns="http://schemas.openxmlformats.org/package/2006/relationships"><Relationship Id="rId3" Type="http://schemas.openxmlformats.org/officeDocument/2006/relationships/hyperlink" Target="http://www.wipo.int/edocs/mdocs/mdocs/ar/cdip_3/cdip_3_inf_2.pdf" TargetMode="External"/><Relationship Id="rId2" Type="http://schemas.openxmlformats.org/officeDocument/2006/relationships/hyperlink" Target="http://www.wipo.int/edocs/mdocs/mdocs/ar/cdip_3/cdip_3_2.pdf" TargetMode="External"/><Relationship Id="rId1" Type="http://schemas.openxmlformats.org/officeDocument/2006/relationships/hyperlink" Target="http://www.wipo.int/ip-development/ar/agenda/recommendations.html" TargetMode="External"/><Relationship Id="rId4" Type="http://schemas.openxmlformats.org/officeDocument/2006/relationships/hyperlink" Target="http://gtad.wt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CDIP_20_AR.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[Consultants list 2015-16.xlsx]Sheet1!PivotTable1</c:name>
    <c:fmtId val="-1"/>
  </c:pivotSource>
  <c:chart>
    <c:autoTitleDeleted val="1"/>
    <c:pivotFmts>
      <c:pivotFmt>
        <c:idx val="0"/>
        <c:marker>
          <c:symbol val="none"/>
        </c:marker>
        <c:dLbl>
          <c:idx val="0"/>
          <c:spPr/>
          <c:txPr>
            <a:bodyPr/>
            <a:lstStyle/>
            <a:p>
              <a:pPr>
                <a:defRPr b="1">
                  <a:solidFill>
                    <a:schemeClr val="bg1"/>
                  </a:solidFill>
                </a:defRPr>
              </a:pPr>
              <a:endParaRPr lang="en-US"/>
            </a:p>
          </c:txPr>
          <c:showLegendKey val="0"/>
          <c:showVal val="1"/>
          <c:showCatName val="1"/>
          <c:showSerName val="0"/>
          <c:showPercent val="1"/>
          <c:showBubbleSize val="0"/>
        </c:dLbl>
      </c:pivotFmt>
      <c:pivotFmt>
        <c:idx val="1"/>
        <c:dLbl>
          <c:idx val="0"/>
          <c:layout>
            <c:manualLayout>
              <c:x val="0.22196319018404909"/>
              <c:y val="5.0728064055284232E-2"/>
            </c:manualLayout>
          </c:layout>
          <c:tx>
            <c:rich>
              <a:bodyPr/>
              <a:lstStyle/>
              <a:p>
                <a:r>
                  <a:rPr lang="en-US" b="1">
                    <a:solidFill>
                      <a:schemeClr val="bg1"/>
                    </a:solidFill>
                  </a:rPr>
                  <a:t>Male</a:t>
                </a:r>
              </a:p>
              <a:p>
                <a:r>
                  <a:rPr lang="en-US" b="1">
                    <a:solidFill>
                      <a:schemeClr val="bg1"/>
                    </a:solidFill>
                  </a:rPr>
                  <a:t>545; 70%</a:t>
                </a:r>
                <a:endParaRPr lang="en-US"/>
              </a:p>
            </c:rich>
          </c:tx>
          <c:showLegendKey val="0"/>
          <c:showVal val="1"/>
          <c:showCatName val="1"/>
          <c:showSerName val="0"/>
          <c:showPercent val="1"/>
          <c:showBubbleSize val="0"/>
        </c:dLbl>
      </c:pivotFmt>
      <c:pivotFmt>
        <c:idx val="2"/>
        <c:dLbl>
          <c:idx val="0"/>
          <c:tx>
            <c:rich>
              <a:bodyPr/>
              <a:lstStyle/>
              <a:p>
                <a:r>
                  <a:rPr lang="en-US" b="1">
                    <a:solidFill>
                      <a:schemeClr val="bg1"/>
                    </a:solidFill>
                  </a:rPr>
                  <a:t>Female</a:t>
                </a:r>
              </a:p>
              <a:p>
                <a:r>
                  <a:rPr lang="en-US" b="1">
                    <a:solidFill>
                      <a:schemeClr val="bg1"/>
                    </a:solidFill>
                  </a:rPr>
                  <a:t>238; 30%</a:t>
                </a:r>
              </a:p>
            </c:rich>
          </c:tx>
          <c:showLegendKey val="0"/>
          <c:showVal val="1"/>
          <c:showCatName val="1"/>
          <c:showSerName val="0"/>
          <c:showPercent val="1"/>
          <c:showBubbleSize val="0"/>
        </c:dLbl>
      </c:pivotFmt>
      <c:pivotFmt>
        <c:idx val="3"/>
        <c:marker>
          <c:symbol val="none"/>
        </c:marker>
        <c:dLbl>
          <c:idx val="0"/>
          <c:spPr/>
          <c:txPr>
            <a:bodyPr/>
            <a:lstStyle/>
            <a:p>
              <a:pPr>
                <a:defRPr b="1">
                  <a:solidFill>
                    <a:schemeClr val="bg1"/>
                  </a:solidFill>
                </a:defRPr>
              </a:pPr>
              <a:endParaRPr lang="en-US"/>
            </a:p>
          </c:txPr>
          <c:showLegendKey val="0"/>
          <c:showVal val="1"/>
          <c:showCatName val="1"/>
          <c:showSerName val="0"/>
          <c:showPercent val="1"/>
          <c:showBubbleSize val="0"/>
        </c:dLbl>
      </c:pivotFmt>
      <c:pivotFmt>
        <c:idx val="4"/>
        <c:dLbl>
          <c:idx val="0"/>
          <c:tx>
            <c:rich>
              <a:bodyPr/>
              <a:lstStyle/>
              <a:p>
                <a:r>
                  <a:rPr lang="en-US" b="1">
                    <a:solidFill>
                      <a:schemeClr val="bg1"/>
                    </a:solidFill>
                  </a:rPr>
                  <a:t>Female</a:t>
                </a:r>
              </a:p>
              <a:p>
                <a:r>
                  <a:rPr lang="en-US" b="1">
                    <a:solidFill>
                      <a:schemeClr val="bg1"/>
                    </a:solidFill>
                  </a:rPr>
                  <a:t>238; 30%</a:t>
                </a:r>
              </a:p>
            </c:rich>
          </c:tx>
          <c:showLegendKey val="0"/>
          <c:showVal val="1"/>
          <c:showCatName val="1"/>
          <c:showSerName val="0"/>
          <c:showPercent val="1"/>
          <c:showBubbleSize val="0"/>
        </c:dLbl>
      </c:pivotFmt>
      <c:pivotFmt>
        <c:idx val="5"/>
        <c:dLbl>
          <c:idx val="0"/>
          <c:layout>
            <c:manualLayout>
              <c:x val="0.22196319018404909"/>
              <c:y val="5.0728064055284232E-2"/>
            </c:manualLayout>
          </c:layout>
          <c:tx>
            <c:rich>
              <a:bodyPr/>
              <a:lstStyle/>
              <a:p>
                <a:r>
                  <a:rPr lang="en-US" b="1">
                    <a:solidFill>
                      <a:schemeClr val="bg1"/>
                    </a:solidFill>
                  </a:rPr>
                  <a:t>Male</a:t>
                </a:r>
              </a:p>
              <a:p>
                <a:r>
                  <a:rPr lang="en-US" b="1">
                    <a:solidFill>
                      <a:schemeClr val="bg1"/>
                    </a:solidFill>
                  </a:rPr>
                  <a:t>545; 70%</a:t>
                </a:r>
                <a:endParaRPr lang="en-US"/>
              </a:p>
            </c:rich>
          </c:tx>
          <c:showLegendKey val="0"/>
          <c:showVal val="1"/>
          <c:showCatName val="1"/>
          <c:showSerName val="0"/>
          <c:showPercent val="1"/>
          <c:showBubbleSize val="0"/>
        </c:dLbl>
      </c:pivotFmt>
      <c:pivotFmt>
        <c:idx val="6"/>
        <c:marker>
          <c:symbol val="none"/>
        </c:marker>
        <c:dLbl>
          <c:idx val="0"/>
          <c:spPr/>
          <c:txPr>
            <a:bodyPr/>
            <a:lstStyle/>
            <a:p>
              <a:pPr>
                <a:defRPr b="1">
                  <a:solidFill>
                    <a:schemeClr val="bg1"/>
                  </a:solidFill>
                </a:defRPr>
              </a:pPr>
              <a:endParaRPr lang="en-US"/>
            </a:p>
          </c:txPr>
          <c:showLegendKey val="0"/>
          <c:showVal val="1"/>
          <c:showCatName val="1"/>
          <c:showSerName val="0"/>
          <c:showPercent val="1"/>
          <c:showBubbleSize val="0"/>
        </c:dLbl>
      </c:pivotFmt>
      <c:pivotFmt>
        <c:idx val="7"/>
        <c:dLbl>
          <c:idx val="0"/>
          <c:tx>
            <c:rich>
              <a:bodyPr/>
              <a:lstStyle/>
              <a:p>
                <a:r>
                  <a:rPr lang="en-US" b="1">
                    <a:solidFill>
                      <a:schemeClr val="bg1"/>
                    </a:solidFill>
                  </a:rPr>
                  <a:t>Female</a:t>
                </a:r>
              </a:p>
              <a:p>
                <a:r>
                  <a:rPr lang="en-US" b="1">
                    <a:solidFill>
                      <a:schemeClr val="bg1"/>
                    </a:solidFill>
                  </a:rPr>
                  <a:t>238; 30%</a:t>
                </a:r>
              </a:p>
            </c:rich>
          </c:tx>
          <c:showLegendKey val="0"/>
          <c:showVal val="1"/>
          <c:showCatName val="1"/>
          <c:showSerName val="0"/>
          <c:showPercent val="1"/>
          <c:showBubbleSize val="0"/>
        </c:dLbl>
      </c:pivotFmt>
      <c:pivotFmt>
        <c:idx val="8"/>
        <c:dLbl>
          <c:idx val="0"/>
          <c:layout>
            <c:manualLayout>
              <c:x val="0.22196319018404909"/>
              <c:y val="5.0728064055284232E-2"/>
            </c:manualLayout>
          </c:layout>
          <c:tx>
            <c:rich>
              <a:bodyPr/>
              <a:lstStyle/>
              <a:p>
                <a:r>
                  <a:rPr lang="en-US" b="1">
                    <a:solidFill>
                      <a:schemeClr val="bg1"/>
                    </a:solidFill>
                  </a:rPr>
                  <a:t>Male</a:t>
                </a:r>
              </a:p>
              <a:p>
                <a:r>
                  <a:rPr lang="en-US" b="1">
                    <a:solidFill>
                      <a:schemeClr val="bg1"/>
                    </a:solidFill>
                  </a:rPr>
                  <a:t>545; 70%</a:t>
                </a:r>
                <a:endParaRPr lang="en-US"/>
              </a:p>
            </c:rich>
          </c:tx>
          <c:showLegendKey val="0"/>
          <c:showVal val="1"/>
          <c:showCatName val="1"/>
          <c:showSerName val="0"/>
          <c:showPercent val="1"/>
          <c:showBubbleSize val="0"/>
        </c:dLbl>
      </c:pivotFmt>
    </c:pivotFmts>
    <c:view3D>
      <c:rotX val="20"/>
      <c:rotY val="50"/>
      <c:rAngAx val="0"/>
      <c:perspective val="30"/>
    </c:view3D>
    <c:floor>
      <c:thickness val="0"/>
    </c:floor>
    <c:sideWall>
      <c:thickness val="0"/>
    </c:sideWall>
    <c:backWall>
      <c:thickness val="0"/>
    </c:backWall>
    <c:plotArea>
      <c:layout/>
      <c:pie3DChart>
        <c:varyColors val="1"/>
        <c:ser>
          <c:idx val="0"/>
          <c:order val="0"/>
          <c:tx>
            <c:strRef>
              <c:f>Sheet1!$B$1</c:f>
              <c:strCache>
                <c:ptCount val="1"/>
                <c:pt idx="0">
                  <c:v>Total</c:v>
                </c:pt>
              </c:strCache>
            </c:strRef>
          </c:tx>
          <c:explosion val="25"/>
          <c:dPt>
            <c:idx val="0"/>
            <c:bubble3D val="0"/>
            <c:spPr>
              <a:solidFill>
                <a:schemeClr val="bg1">
                  <a:lumMod val="95000"/>
                </a:schemeClr>
              </a:solidFill>
            </c:spPr>
          </c:dPt>
          <c:dPt>
            <c:idx val="1"/>
            <c:bubble3D val="0"/>
            <c:spPr>
              <a:solidFill>
                <a:schemeClr val="tx1">
                  <a:lumMod val="50000"/>
                  <a:lumOff val="50000"/>
                </a:schemeClr>
              </a:solidFill>
            </c:spPr>
          </c:dPt>
          <c:dLbls>
            <c:dLbl>
              <c:idx val="0"/>
              <c:layout/>
              <c:tx>
                <c:rich>
                  <a:bodyPr/>
                  <a:lstStyle/>
                  <a:p>
                    <a:r>
                      <a:rPr lang="ar-SA" b="1">
                        <a:solidFill>
                          <a:sysClr val="windowText" lastClr="000000"/>
                        </a:solidFill>
                      </a:rPr>
                      <a:t>الإناث</a:t>
                    </a:r>
                    <a:endParaRPr lang="en-US" b="1">
                      <a:solidFill>
                        <a:sysClr val="windowText" lastClr="000000"/>
                      </a:solidFill>
                    </a:endParaRPr>
                  </a:p>
                  <a:p>
                    <a:r>
                      <a:rPr lang="en-US" b="1">
                        <a:solidFill>
                          <a:sysClr val="windowText" lastClr="000000"/>
                        </a:solidFill>
                      </a:rPr>
                      <a:t>238</a:t>
                    </a:r>
                  </a:p>
                  <a:p>
                    <a:r>
                      <a:rPr lang="en-US" b="1">
                        <a:solidFill>
                          <a:sysClr val="windowText" lastClr="000000"/>
                        </a:solidFill>
                      </a:rPr>
                      <a:t>(30%)</a:t>
                    </a:r>
                    <a:endParaRPr lang="en-US" b="1">
                      <a:solidFill>
                        <a:schemeClr val="bg1"/>
                      </a:solidFill>
                    </a:endParaRPr>
                  </a:p>
                </c:rich>
              </c:tx>
              <c:showLegendKey val="0"/>
              <c:showVal val="1"/>
              <c:showCatName val="1"/>
              <c:showSerName val="0"/>
              <c:showPercent val="1"/>
              <c:showBubbleSize val="0"/>
            </c:dLbl>
            <c:dLbl>
              <c:idx val="1"/>
              <c:layout>
                <c:manualLayout>
                  <c:x val="0.22196319018404909"/>
                  <c:y val="5.0728064055284232E-2"/>
                </c:manualLayout>
              </c:layout>
              <c:tx>
                <c:rich>
                  <a:bodyPr/>
                  <a:lstStyle/>
                  <a:p>
                    <a:r>
                      <a:rPr lang="ar-SA" b="1">
                        <a:solidFill>
                          <a:sysClr val="windowText" lastClr="000000"/>
                        </a:solidFill>
                      </a:rPr>
                      <a:t>الذكور</a:t>
                    </a:r>
                    <a:endParaRPr lang="en-US" b="1">
                      <a:solidFill>
                        <a:sysClr val="windowText" lastClr="000000"/>
                      </a:solidFill>
                    </a:endParaRPr>
                  </a:p>
                  <a:p>
                    <a:r>
                      <a:rPr lang="en-US" b="1">
                        <a:solidFill>
                          <a:sysClr val="windowText" lastClr="000000"/>
                        </a:solidFill>
                      </a:rPr>
                      <a:t>545 </a:t>
                    </a:r>
                  </a:p>
                  <a:p>
                    <a:r>
                      <a:rPr lang="en-US" b="1">
                        <a:solidFill>
                          <a:sysClr val="windowText" lastClr="000000"/>
                        </a:solidFill>
                      </a:rPr>
                      <a:t>(70%)</a:t>
                    </a:r>
                    <a:endParaRPr lang="en-US"/>
                  </a:p>
                </c:rich>
              </c:tx>
              <c:showLegendKey val="0"/>
              <c:showVal val="1"/>
              <c:showCatName val="1"/>
              <c:showSerName val="0"/>
              <c:showPercent val="1"/>
              <c:showBubbleSize val="0"/>
            </c:dLbl>
            <c:txPr>
              <a:bodyPr/>
              <a:lstStyle/>
              <a:p>
                <a:pPr>
                  <a:defRPr b="1">
                    <a:solidFill>
                      <a:sysClr val="windowText" lastClr="000000"/>
                    </a:solidFill>
                  </a:defRPr>
                </a:pPr>
                <a:endParaRPr lang="en-US"/>
              </a:p>
            </c:txPr>
            <c:showLegendKey val="0"/>
            <c:showVal val="1"/>
            <c:showCatName val="1"/>
            <c:showSerName val="0"/>
            <c:showPercent val="1"/>
            <c:showBubbleSize val="0"/>
            <c:showLeaderLines val="1"/>
          </c:dLbls>
          <c:cat>
            <c:strRef>
              <c:f>Sheet1!$A$2:$A$4</c:f>
              <c:strCache>
                <c:ptCount val="2"/>
                <c:pt idx="0">
                  <c:v>Female</c:v>
                </c:pt>
                <c:pt idx="1">
                  <c:v>Male</c:v>
                </c:pt>
              </c:strCache>
            </c:strRef>
          </c:cat>
          <c:val>
            <c:numRef>
              <c:f>Sheet1!$B$2:$B$4</c:f>
              <c:numCache>
                <c:formatCode>General</c:formatCode>
                <c:ptCount val="2"/>
                <c:pt idx="0">
                  <c:v>238</c:v>
                </c:pt>
                <c:pt idx="1">
                  <c:v>545</c:v>
                </c:pt>
              </c:numCache>
            </c:numRef>
          </c:val>
        </c:ser>
        <c:dLbls>
          <c:showLegendKey val="0"/>
          <c:showVal val="0"/>
          <c:showCatName val="0"/>
          <c:showSerName val="0"/>
          <c:showPercent val="0"/>
          <c:showBubbleSize val="0"/>
          <c:showLeaderLines val="1"/>
        </c:dLbls>
      </c:pie3DChart>
    </c:plotArea>
    <c:plotVisOnly val="1"/>
    <c:dispBlanksAs val="gap"/>
    <c:showDLblsOverMax val="0"/>
  </c:chart>
  <c:spPr>
    <a:solidFill>
      <a:schemeClr val="bg1">
        <a:lumMod val="95000"/>
      </a:schemeClr>
    </a:solidFill>
  </c:spPr>
  <c:externalData r:id="rId1">
    <c:autoUpdate val="0"/>
  </c:externalData>
  <c:userShapes r:id="rId2"/>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pivotSource>
    <c:name>[Chart in Microsoft Word]Sheet4!PivotTable2</c:name>
    <c:fmtId val="-1"/>
  </c:pivotSource>
  <c:chart>
    <c:title>
      <c:tx>
        <c:rich>
          <a:bodyPr/>
          <a:lstStyle/>
          <a:p>
            <a:pPr algn="ctr" rtl="1">
              <a:defRPr/>
            </a:pPr>
            <a:r>
              <a:rPr lang="ar-SA" sz="1600"/>
              <a:t>الخبراء الاستشاريون المعيّنون بحسب مجالات الملكية الفكرية</a:t>
            </a:r>
            <a:endParaRPr lang="en-US" sz="1600"/>
          </a:p>
        </c:rich>
      </c:tx>
      <c:layout/>
      <c:overlay val="0"/>
    </c:title>
    <c:autoTitleDeleted val="0"/>
    <c:pivotFmts>
      <c:pivotFmt>
        <c:idx val="0"/>
        <c:dLbl>
          <c:idx val="0"/>
          <c:spPr/>
          <c:txPr>
            <a:bodyPr/>
            <a:lstStyle/>
            <a:p>
              <a:pPr>
                <a:defRPr/>
              </a:pPr>
              <a:endParaRPr lang="en-US"/>
            </a:p>
          </c:txPr>
          <c:showLegendKey val="0"/>
          <c:showVal val="1"/>
          <c:showCatName val="0"/>
          <c:showSerName val="0"/>
          <c:showPercent val="0"/>
          <c:showBubbleSize val="0"/>
        </c:dLbl>
      </c:pivotFmt>
      <c:pivotFmt>
        <c:idx val="1"/>
        <c:dLbl>
          <c:idx val="0"/>
          <c:spPr/>
          <c:txPr>
            <a:bodyPr/>
            <a:lstStyle/>
            <a:p>
              <a:pPr>
                <a:defRPr/>
              </a:pPr>
              <a:endParaRPr lang="en-US"/>
            </a:p>
          </c:txPr>
          <c:showLegendKey val="0"/>
          <c:showVal val="1"/>
          <c:showCatName val="0"/>
          <c:showSerName val="0"/>
          <c:showPercent val="0"/>
          <c:showBubbleSize val="0"/>
        </c:dLbl>
      </c:pivotFmt>
      <c:pivotFmt>
        <c:idx val="2"/>
        <c:dLbl>
          <c:idx val="0"/>
          <c:spPr/>
          <c:txPr>
            <a:bodyPr/>
            <a:lstStyle/>
            <a:p>
              <a:pPr>
                <a:defRPr/>
              </a:pPr>
              <a:endParaRPr lang="en-US"/>
            </a:p>
          </c:txPr>
          <c:showLegendKey val="0"/>
          <c:showVal val="1"/>
          <c:showCatName val="0"/>
          <c:showSerName val="0"/>
          <c:showPercent val="0"/>
          <c:showBubbleSize val="0"/>
        </c:dLbl>
      </c:pivotFmt>
    </c:pivotFmts>
    <c:plotArea>
      <c:layout/>
      <c:lineChart>
        <c:grouping val="standard"/>
        <c:varyColors val="0"/>
        <c:ser>
          <c:idx val="0"/>
          <c:order val="0"/>
          <c:tx>
            <c:strRef>
              <c:f>Sheet4!$B$1</c:f>
              <c:strCache>
                <c:ptCount val="1"/>
                <c:pt idx="0">
                  <c:v>Total</c:v>
                </c:pt>
              </c:strCache>
            </c:strRef>
          </c:tx>
          <c:dLbls>
            <c:showLegendKey val="0"/>
            <c:showVal val="1"/>
            <c:showCatName val="0"/>
            <c:showSerName val="0"/>
            <c:showPercent val="0"/>
            <c:showBubbleSize val="0"/>
            <c:showLeaderLines val="0"/>
          </c:dLbls>
          <c:cat>
            <c:strRef>
              <c:f>Sheet4!$A$2:$A$10</c:f>
              <c:strCache>
                <c:ptCount val="8"/>
                <c:pt idx="0">
                  <c:v>كل مجالات الملكية الفكرية</c:v>
                </c:pt>
                <c:pt idx="1">
                  <c:v>الملكية  الصناعية</c:v>
                </c:pt>
                <c:pt idx="2">
                  <c:v>البراءات</c:v>
                </c:pt>
                <c:pt idx="3">
                  <c:v>العلامات التجارية والمؤشرات الجغرافية</c:v>
                </c:pt>
                <c:pt idx="4">
                  <c:v>التصاميم</c:v>
                </c:pt>
                <c:pt idx="5">
                  <c:v>حق المؤلف</c:v>
                </c:pt>
                <c:pt idx="6">
                  <c:v>الإدارة الجماعية</c:v>
                </c:pt>
                <c:pt idx="7">
                  <c:v>المعارف التقليدية والموارد الوراثية وأشكال التعبير الثقافي التقليدي</c:v>
                </c:pt>
              </c:strCache>
            </c:strRef>
          </c:cat>
          <c:val>
            <c:numRef>
              <c:f>Sheet4!$B$2:$B$10</c:f>
              <c:numCache>
                <c:formatCode>General</c:formatCode>
                <c:ptCount val="8"/>
                <c:pt idx="0">
                  <c:v>272</c:v>
                </c:pt>
                <c:pt idx="1">
                  <c:v>201</c:v>
                </c:pt>
                <c:pt idx="2">
                  <c:v>110</c:v>
                </c:pt>
                <c:pt idx="3">
                  <c:v>51</c:v>
                </c:pt>
                <c:pt idx="4">
                  <c:v>4</c:v>
                </c:pt>
                <c:pt idx="5">
                  <c:v>126</c:v>
                </c:pt>
                <c:pt idx="6">
                  <c:v>1</c:v>
                </c:pt>
                <c:pt idx="7">
                  <c:v>18</c:v>
                </c:pt>
              </c:numCache>
            </c:numRef>
          </c:val>
          <c:smooth val="0"/>
        </c:ser>
        <c:dLbls>
          <c:showLegendKey val="0"/>
          <c:showVal val="0"/>
          <c:showCatName val="0"/>
          <c:showSerName val="0"/>
          <c:showPercent val="0"/>
          <c:showBubbleSize val="0"/>
        </c:dLbls>
        <c:marker val="1"/>
        <c:smooth val="0"/>
        <c:axId val="181186944"/>
        <c:axId val="181188480"/>
      </c:lineChart>
      <c:catAx>
        <c:axId val="181186944"/>
        <c:scaling>
          <c:orientation val="minMax"/>
        </c:scaling>
        <c:delete val="0"/>
        <c:axPos val="b"/>
        <c:majorTickMark val="out"/>
        <c:minorTickMark val="none"/>
        <c:tickLblPos val="nextTo"/>
        <c:crossAx val="181188480"/>
        <c:crosses val="autoZero"/>
        <c:auto val="1"/>
        <c:lblAlgn val="ctr"/>
        <c:lblOffset val="100"/>
        <c:noMultiLvlLbl val="0"/>
      </c:catAx>
      <c:valAx>
        <c:axId val="181188480"/>
        <c:scaling>
          <c:orientation val="minMax"/>
        </c:scaling>
        <c:delete val="0"/>
        <c:axPos val="l"/>
        <c:majorGridlines/>
        <c:numFmt formatCode="General" sourceLinked="1"/>
        <c:majorTickMark val="out"/>
        <c:minorTickMark val="none"/>
        <c:tickLblPos val="nextTo"/>
        <c:crossAx val="181186944"/>
        <c:crosses val="autoZero"/>
        <c:crossBetween val="between"/>
      </c:valAx>
    </c:plotArea>
    <c:plotVisOnly val="1"/>
    <c:dispBlanksAs val="gap"/>
    <c:showDLblsOverMax val="0"/>
  </c:chart>
  <c:externalData r:id="rId1">
    <c:autoUpdate val="0"/>
  </c:externalData>
  <c:userShapes r:id="rId2"/>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[Consultants list 2015-16.xlsx]Sheet5!PivotTable3</c:name>
    <c:fmtId val="-1"/>
  </c:pivotSource>
  <c:chart>
    <c:title>
      <c:tx>
        <c:rich>
          <a:bodyPr/>
          <a:lstStyle/>
          <a:p>
            <a:pPr rtl="1">
              <a:defRPr sz="1600"/>
            </a:pPr>
            <a:r>
              <a:rPr lang="ar-SA" sz="1600"/>
              <a:t>الخبراء</a:t>
            </a:r>
            <a:r>
              <a:rPr lang="ar-SA" sz="1600" baseline="0"/>
              <a:t> الاستشاريون المعيّنون بحسب لغتهم الأم</a:t>
            </a:r>
            <a:endParaRPr lang="en-US" sz="1600"/>
          </a:p>
        </c:rich>
      </c:tx>
      <c:layout/>
      <c:overlay val="0"/>
    </c:title>
    <c:autoTitleDeleted val="0"/>
    <c:pivotFmts>
      <c:pivotFmt>
        <c:idx val="0"/>
        <c:spPr>
          <a:ln>
            <a:solidFill>
              <a:sysClr val="windowText" lastClr="000000"/>
            </a:solidFill>
          </a:ln>
        </c:spPr>
        <c:marker>
          <c:symbol val="none"/>
        </c:marker>
        <c:dLbl>
          <c:idx val="0"/>
          <c:spPr/>
          <c:txPr>
            <a:bodyPr/>
            <a:lstStyle/>
            <a:p>
              <a:pPr>
                <a:defRPr b="1">
                  <a:solidFill>
                    <a:schemeClr val="tx1"/>
                  </a:solidFill>
                </a:defRPr>
              </a:pPr>
              <a:endParaRPr lang="en-US"/>
            </a:p>
          </c:txPr>
          <c:showLegendKey val="0"/>
          <c:showVal val="1"/>
          <c:showCatName val="1"/>
          <c:showSerName val="0"/>
          <c:showPercent val="0"/>
          <c:showBubbleSize val="0"/>
        </c:dLbl>
      </c:pivotFmt>
      <c:pivotFmt>
        <c:idx val="1"/>
        <c:spPr>
          <a:solidFill>
            <a:srgbClr val="00B0F0"/>
          </a:solidFill>
          <a:ln>
            <a:solidFill>
              <a:sysClr val="windowText" lastClr="000000"/>
            </a:solidFill>
          </a:ln>
        </c:spPr>
      </c:pivotFmt>
      <c:pivotFmt>
        <c:idx val="2"/>
        <c:spPr>
          <a:solidFill>
            <a:schemeClr val="tx2">
              <a:lumMod val="40000"/>
              <a:lumOff val="60000"/>
            </a:schemeClr>
          </a:solidFill>
          <a:ln>
            <a:solidFill>
              <a:sysClr val="windowText" lastClr="000000"/>
            </a:solidFill>
          </a:ln>
        </c:spPr>
        <c:dLbl>
          <c:idx val="0"/>
          <c:layout>
            <c:manualLayout>
              <c:x val="0.15055899262592176"/>
              <c:y val="1.3285931851111203E-2"/>
            </c:manualLayout>
          </c:layout>
          <c:showLegendKey val="0"/>
          <c:showVal val="1"/>
          <c:showCatName val="1"/>
          <c:showSerName val="0"/>
          <c:showPercent val="0"/>
          <c:showBubbleSize val="0"/>
        </c:dLbl>
      </c:pivotFmt>
      <c:pivotFmt>
        <c:idx val="3"/>
        <c:spPr>
          <a:solidFill>
            <a:schemeClr val="accent4">
              <a:lumMod val="60000"/>
              <a:lumOff val="40000"/>
            </a:schemeClr>
          </a:solidFill>
          <a:ln>
            <a:solidFill>
              <a:sysClr val="windowText" lastClr="000000"/>
            </a:solidFill>
          </a:ln>
        </c:spPr>
        <c:dLbl>
          <c:idx val="0"/>
          <c:layout>
            <c:manualLayout>
              <c:x val="-0.17546525434320709"/>
              <c:y val="-0.11424201604429075"/>
            </c:manualLayout>
          </c:layout>
          <c:showLegendKey val="0"/>
          <c:showVal val="1"/>
          <c:showCatName val="1"/>
          <c:showSerName val="0"/>
          <c:showPercent val="0"/>
          <c:showBubbleSize val="0"/>
        </c:dLbl>
      </c:pivotFmt>
      <c:pivotFmt>
        <c:idx val="4"/>
        <c:spPr>
          <a:solidFill>
            <a:srgbClr val="FFFF00"/>
          </a:solidFill>
          <a:ln>
            <a:solidFill>
              <a:sysClr val="windowText" lastClr="000000"/>
            </a:solidFill>
          </a:ln>
        </c:spPr>
      </c:pivotFmt>
      <c:pivotFmt>
        <c:idx val="5"/>
        <c:spPr>
          <a:solidFill>
            <a:srgbClr val="92D050"/>
          </a:solidFill>
          <a:ln>
            <a:solidFill>
              <a:sysClr val="windowText" lastClr="000000"/>
            </a:solidFill>
          </a:ln>
        </c:spPr>
      </c:pivotFmt>
      <c:pivotFmt>
        <c:idx val="6"/>
        <c:spPr>
          <a:solidFill>
            <a:srgbClr val="002060"/>
          </a:solidFill>
          <a:ln>
            <a:solidFill>
              <a:sysClr val="windowText" lastClr="000000"/>
            </a:solidFill>
          </a:ln>
        </c:spPr>
      </c:pivotFmt>
      <c:pivotFmt>
        <c:idx val="7"/>
        <c:spPr>
          <a:solidFill>
            <a:srgbClr val="FF0000"/>
          </a:solidFill>
          <a:ln>
            <a:solidFill>
              <a:sysClr val="windowText" lastClr="000000"/>
            </a:solidFill>
          </a:ln>
        </c:spPr>
      </c:pivotFmt>
      <c:pivotFmt>
        <c:idx val="8"/>
        <c:spPr>
          <a:solidFill>
            <a:schemeClr val="accent6">
              <a:lumMod val="60000"/>
              <a:lumOff val="40000"/>
            </a:schemeClr>
          </a:solidFill>
          <a:ln>
            <a:solidFill>
              <a:sysClr val="windowText" lastClr="000000"/>
            </a:solidFill>
          </a:ln>
        </c:spPr>
      </c:pivotFmt>
      <c:pivotFmt>
        <c:idx val="9"/>
        <c:spPr>
          <a:ln>
            <a:solidFill>
              <a:sysClr val="windowText" lastClr="000000"/>
            </a:solidFill>
          </a:ln>
        </c:spPr>
        <c:marker>
          <c:symbol val="none"/>
        </c:marker>
        <c:dLbl>
          <c:idx val="0"/>
          <c:spPr/>
          <c:txPr>
            <a:bodyPr/>
            <a:lstStyle/>
            <a:p>
              <a:pPr>
                <a:defRPr b="1">
                  <a:solidFill>
                    <a:schemeClr val="tx1"/>
                  </a:solidFill>
                </a:defRPr>
              </a:pPr>
              <a:endParaRPr lang="en-US"/>
            </a:p>
          </c:txPr>
          <c:showLegendKey val="0"/>
          <c:showVal val="1"/>
          <c:showCatName val="1"/>
          <c:showSerName val="0"/>
          <c:showPercent val="0"/>
          <c:showBubbleSize val="0"/>
        </c:dLbl>
      </c:pivotFmt>
      <c:pivotFmt>
        <c:idx val="10"/>
        <c:spPr>
          <a:solidFill>
            <a:srgbClr val="92D050"/>
          </a:solidFill>
          <a:ln>
            <a:solidFill>
              <a:sysClr val="windowText" lastClr="000000"/>
            </a:solidFill>
          </a:ln>
        </c:spPr>
      </c:pivotFmt>
      <c:pivotFmt>
        <c:idx val="11"/>
        <c:spPr>
          <a:solidFill>
            <a:srgbClr val="FFFF00"/>
          </a:solidFill>
          <a:ln>
            <a:solidFill>
              <a:sysClr val="windowText" lastClr="000000"/>
            </a:solidFill>
          </a:ln>
        </c:spPr>
      </c:pivotFmt>
      <c:pivotFmt>
        <c:idx val="12"/>
        <c:spPr>
          <a:solidFill>
            <a:srgbClr val="002060"/>
          </a:solidFill>
          <a:ln>
            <a:solidFill>
              <a:sysClr val="windowText" lastClr="000000"/>
            </a:solidFill>
          </a:ln>
        </c:spPr>
      </c:pivotFmt>
      <c:pivotFmt>
        <c:idx val="13"/>
        <c:spPr>
          <a:solidFill>
            <a:schemeClr val="accent4">
              <a:lumMod val="60000"/>
              <a:lumOff val="40000"/>
            </a:schemeClr>
          </a:solidFill>
          <a:ln>
            <a:solidFill>
              <a:sysClr val="windowText" lastClr="000000"/>
            </a:solidFill>
          </a:ln>
        </c:spPr>
        <c:dLbl>
          <c:idx val="0"/>
          <c:layout>
            <c:manualLayout>
              <c:x val="-0.17546525434320709"/>
              <c:y val="-0.11424201604429075"/>
            </c:manualLayout>
          </c:layout>
          <c:showLegendKey val="0"/>
          <c:showVal val="1"/>
          <c:showCatName val="1"/>
          <c:showSerName val="0"/>
          <c:showPercent val="0"/>
          <c:showBubbleSize val="0"/>
        </c:dLbl>
      </c:pivotFmt>
      <c:pivotFmt>
        <c:idx val="14"/>
        <c:spPr>
          <a:solidFill>
            <a:srgbClr val="00B0F0"/>
          </a:solidFill>
          <a:ln>
            <a:solidFill>
              <a:sysClr val="windowText" lastClr="000000"/>
            </a:solidFill>
          </a:ln>
        </c:spPr>
      </c:pivotFmt>
      <c:pivotFmt>
        <c:idx val="15"/>
        <c:spPr>
          <a:solidFill>
            <a:schemeClr val="tx2">
              <a:lumMod val="40000"/>
              <a:lumOff val="60000"/>
            </a:schemeClr>
          </a:solidFill>
          <a:ln>
            <a:solidFill>
              <a:sysClr val="windowText" lastClr="000000"/>
            </a:solidFill>
          </a:ln>
        </c:spPr>
        <c:dLbl>
          <c:idx val="0"/>
          <c:layout>
            <c:manualLayout>
              <c:x val="0.15055899262592176"/>
              <c:y val="1.3285931851111203E-2"/>
            </c:manualLayout>
          </c:layout>
          <c:showLegendKey val="0"/>
          <c:showVal val="1"/>
          <c:showCatName val="1"/>
          <c:showSerName val="0"/>
          <c:showPercent val="0"/>
          <c:showBubbleSize val="0"/>
        </c:dLbl>
      </c:pivotFmt>
      <c:pivotFmt>
        <c:idx val="16"/>
        <c:spPr>
          <a:solidFill>
            <a:srgbClr val="FF0000"/>
          </a:solidFill>
          <a:ln>
            <a:solidFill>
              <a:sysClr val="windowText" lastClr="000000"/>
            </a:solidFill>
          </a:ln>
        </c:spPr>
      </c:pivotFmt>
      <c:pivotFmt>
        <c:idx val="17"/>
        <c:spPr>
          <a:solidFill>
            <a:schemeClr val="accent6">
              <a:lumMod val="60000"/>
              <a:lumOff val="40000"/>
            </a:schemeClr>
          </a:solidFill>
          <a:ln>
            <a:solidFill>
              <a:sysClr val="windowText" lastClr="000000"/>
            </a:solidFill>
          </a:ln>
        </c:spPr>
      </c:pivotFmt>
      <c:pivotFmt>
        <c:idx val="18"/>
        <c:spPr>
          <a:ln>
            <a:solidFill>
              <a:sysClr val="windowText" lastClr="000000"/>
            </a:solidFill>
          </a:ln>
        </c:spPr>
        <c:marker>
          <c:symbol val="none"/>
        </c:marker>
        <c:dLbl>
          <c:idx val="0"/>
          <c:spPr/>
          <c:txPr>
            <a:bodyPr/>
            <a:lstStyle/>
            <a:p>
              <a:pPr>
                <a:defRPr b="1">
                  <a:solidFill>
                    <a:schemeClr val="tx1"/>
                  </a:solidFill>
                </a:defRPr>
              </a:pPr>
              <a:endParaRPr lang="en-US"/>
            </a:p>
          </c:txPr>
          <c:showLegendKey val="0"/>
          <c:showVal val="1"/>
          <c:showCatName val="1"/>
          <c:showSerName val="0"/>
          <c:showPercent val="0"/>
          <c:showBubbleSize val="0"/>
        </c:dLbl>
      </c:pivotFmt>
      <c:pivotFmt>
        <c:idx val="19"/>
        <c:spPr>
          <a:solidFill>
            <a:srgbClr val="92D050"/>
          </a:solidFill>
          <a:ln>
            <a:solidFill>
              <a:sysClr val="windowText" lastClr="000000"/>
            </a:solidFill>
          </a:ln>
        </c:spPr>
      </c:pivotFmt>
      <c:pivotFmt>
        <c:idx val="20"/>
        <c:spPr>
          <a:solidFill>
            <a:srgbClr val="FFFF00"/>
          </a:solidFill>
          <a:ln>
            <a:solidFill>
              <a:sysClr val="windowText" lastClr="000000"/>
            </a:solidFill>
          </a:ln>
        </c:spPr>
      </c:pivotFmt>
      <c:pivotFmt>
        <c:idx val="21"/>
        <c:spPr>
          <a:solidFill>
            <a:srgbClr val="002060"/>
          </a:solidFill>
          <a:ln>
            <a:solidFill>
              <a:sysClr val="windowText" lastClr="000000"/>
            </a:solidFill>
          </a:ln>
        </c:spPr>
      </c:pivotFmt>
      <c:pivotFmt>
        <c:idx val="22"/>
        <c:spPr>
          <a:solidFill>
            <a:schemeClr val="accent4">
              <a:lumMod val="60000"/>
              <a:lumOff val="40000"/>
            </a:schemeClr>
          </a:solidFill>
          <a:ln>
            <a:solidFill>
              <a:sysClr val="windowText" lastClr="000000"/>
            </a:solidFill>
          </a:ln>
        </c:spPr>
        <c:dLbl>
          <c:idx val="0"/>
          <c:layout>
            <c:manualLayout>
              <c:x val="-0.17546525434320709"/>
              <c:y val="-0.11424201604429075"/>
            </c:manualLayout>
          </c:layout>
          <c:showLegendKey val="0"/>
          <c:showVal val="1"/>
          <c:showCatName val="1"/>
          <c:showSerName val="0"/>
          <c:showPercent val="0"/>
          <c:showBubbleSize val="0"/>
        </c:dLbl>
      </c:pivotFmt>
      <c:pivotFmt>
        <c:idx val="23"/>
        <c:spPr>
          <a:solidFill>
            <a:srgbClr val="00B0F0"/>
          </a:solidFill>
          <a:ln>
            <a:solidFill>
              <a:sysClr val="windowText" lastClr="000000"/>
            </a:solidFill>
          </a:ln>
        </c:spPr>
      </c:pivotFmt>
      <c:pivotFmt>
        <c:idx val="24"/>
        <c:spPr>
          <a:solidFill>
            <a:schemeClr val="tx2">
              <a:lumMod val="40000"/>
              <a:lumOff val="60000"/>
            </a:schemeClr>
          </a:solidFill>
          <a:ln>
            <a:solidFill>
              <a:sysClr val="windowText" lastClr="000000"/>
            </a:solidFill>
          </a:ln>
        </c:spPr>
        <c:dLbl>
          <c:idx val="0"/>
          <c:layout>
            <c:manualLayout>
              <c:x val="0.15055899262592176"/>
              <c:y val="1.3285931851111203E-2"/>
            </c:manualLayout>
          </c:layout>
          <c:showLegendKey val="0"/>
          <c:showVal val="1"/>
          <c:showCatName val="1"/>
          <c:showSerName val="0"/>
          <c:showPercent val="0"/>
          <c:showBubbleSize val="0"/>
        </c:dLbl>
      </c:pivotFmt>
      <c:pivotFmt>
        <c:idx val="25"/>
        <c:spPr>
          <a:solidFill>
            <a:srgbClr val="FF0000"/>
          </a:solidFill>
          <a:ln>
            <a:solidFill>
              <a:sysClr val="windowText" lastClr="000000"/>
            </a:solidFill>
          </a:ln>
        </c:spPr>
      </c:pivotFmt>
      <c:pivotFmt>
        <c:idx val="26"/>
        <c:spPr>
          <a:solidFill>
            <a:schemeClr val="accent6">
              <a:lumMod val="60000"/>
              <a:lumOff val="40000"/>
            </a:schemeClr>
          </a:solidFill>
          <a:ln>
            <a:solidFill>
              <a:sysClr val="windowText" lastClr="000000"/>
            </a:solidFill>
          </a:ln>
        </c:spPr>
      </c:pivotFmt>
    </c:pivotFmts>
    <c:plotArea>
      <c:layout/>
      <c:pieChart>
        <c:varyColors val="1"/>
        <c:ser>
          <c:idx val="0"/>
          <c:order val="0"/>
          <c:tx>
            <c:strRef>
              <c:f>Sheet5!$B$1</c:f>
              <c:strCache>
                <c:ptCount val="1"/>
                <c:pt idx="0">
                  <c:v>Total</c:v>
                </c:pt>
              </c:strCache>
            </c:strRef>
          </c:tx>
          <c:spPr>
            <a:solidFill>
              <a:schemeClr val="bg1">
                <a:lumMod val="65000"/>
              </a:schemeClr>
            </a:solidFill>
            <a:ln>
              <a:solidFill>
                <a:sysClr val="windowText" lastClr="000000"/>
              </a:solidFill>
            </a:ln>
          </c:spPr>
          <c:explosion val="25"/>
          <c:dPt>
            <c:idx val="0"/>
            <c:bubble3D val="0"/>
          </c:dPt>
          <c:dPt>
            <c:idx val="1"/>
            <c:bubble3D val="0"/>
          </c:dPt>
          <c:dPt>
            <c:idx val="2"/>
            <c:bubble3D val="0"/>
          </c:dPt>
          <c:dPt>
            <c:idx val="3"/>
            <c:bubble3D val="0"/>
          </c:dPt>
          <c:dPt>
            <c:idx val="4"/>
            <c:bubble3D val="0"/>
          </c:dPt>
          <c:dPt>
            <c:idx val="9"/>
            <c:bubble3D val="0"/>
          </c:dPt>
          <c:dPt>
            <c:idx val="10"/>
            <c:bubble3D val="0"/>
          </c:dPt>
          <c:dPt>
            <c:idx val="11"/>
            <c:bubble3D val="0"/>
          </c:dPt>
          <c:dLbls>
            <c:dLbl>
              <c:idx val="0"/>
              <c:layout/>
              <c:tx>
                <c:rich>
                  <a:bodyPr/>
                  <a:lstStyle/>
                  <a:p>
                    <a:r>
                      <a:rPr lang="ar-SA"/>
                      <a:t>العربية؛ 21</a:t>
                    </a:r>
                    <a:endParaRPr lang="en-US"/>
                  </a:p>
                </c:rich>
              </c:tx>
              <c:showLegendKey val="0"/>
              <c:showVal val="1"/>
              <c:showCatName val="1"/>
              <c:showSerName val="0"/>
              <c:showPercent val="0"/>
              <c:showBubbleSize val="0"/>
            </c:dLbl>
            <c:dLbl>
              <c:idx val="1"/>
              <c:layout/>
              <c:tx>
                <c:rich>
                  <a:bodyPr/>
                  <a:lstStyle/>
                  <a:p>
                    <a:r>
                      <a:rPr lang="ar-SA"/>
                      <a:t>الصينية؛ 18</a:t>
                    </a:r>
                    <a:endParaRPr lang="en-US"/>
                  </a:p>
                </c:rich>
              </c:tx>
              <c:showLegendKey val="0"/>
              <c:showVal val="1"/>
              <c:showCatName val="1"/>
              <c:showSerName val="0"/>
              <c:showPercent val="0"/>
              <c:showBubbleSize val="0"/>
            </c:dLbl>
            <c:dLbl>
              <c:idx val="2"/>
              <c:layout/>
              <c:tx>
                <c:rich>
                  <a:bodyPr/>
                  <a:lstStyle/>
                  <a:p>
                    <a:r>
                      <a:rPr lang="ar-SA"/>
                      <a:t>الهولوندية؛ 6</a:t>
                    </a:r>
                    <a:endParaRPr lang="en-US"/>
                  </a:p>
                </c:rich>
              </c:tx>
              <c:showLegendKey val="0"/>
              <c:showVal val="1"/>
              <c:showCatName val="1"/>
              <c:showSerName val="0"/>
              <c:showPercent val="0"/>
              <c:showBubbleSize val="0"/>
            </c:dLbl>
            <c:dLbl>
              <c:idx val="3"/>
              <c:layout>
                <c:manualLayout>
                  <c:x val="-0.17546525434320709"/>
                  <c:y val="-0.11424201604429075"/>
                </c:manualLayout>
              </c:layout>
              <c:tx>
                <c:rich>
                  <a:bodyPr/>
                  <a:lstStyle/>
                  <a:p>
                    <a:r>
                      <a:rPr lang="ar-SA"/>
                      <a:t>الإنكليزية؛ 420</a:t>
                    </a:r>
                    <a:endParaRPr lang="en-US"/>
                  </a:p>
                </c:rich>
              </c:tx>
              <c:showLegendKey val="0"/>
              <c:showVal val="1"/>
              <c:showCatName val="1"/>
              <c:showSerName val="0"/>
              <c:showPercent val="0"/>
              <c:showBubbleSize val="0"/>
            </c:dLbl>
            <c:dLbl>
              <c:idx val="4"/>
              <c:layout/>
              <c:tx>
                <c:rich>
                  <a:bodyPr/>
                  <a:lstStyle/>
                  <a:p>
                    <a:r>
                      <a:rPr lang="ar-SA"/>
                      <a:t>الفرنسية؛ 67</a:t>
                    </a:r>
                    <a:endParaRPr lang="en-US"/>
                  </a:p>
                </c:rich>
              </c:tx>
              <c:showLegendKey val="0"/>
              <c:showVal val="1"/>
              <c:showCatName val="1"/>
              <c:showSerName val="0"/>
              <c:showPercent val="0"/>
              <c:showBubbleSize val="0"/>
            </c:dLbl>
            <c:dLbl>
              <c:idx val="5"/>
              <c:layout/>
              <c:tx>
                <c:rich>
                  <a:bodyPr/>
                  <a:lstStyle/>
                  <a:p>
                    <a:r>
                      <a:rPr lang="ar-SA"/>
                      <a:t>الألمانية؛ 15</a:t>
                    </a:r>
                    <a:endParaRPr lang="en-US"/>
                  </a:p>
                </c:rich>
              </c:tx>
              <c:showLegendKey val="0"/>
              <c:showVal val="1"/>
              <c:showCatName val="1"/>
              <c:showSerName val="0"/>
              <c:showPercent val="0"/>
              <c:showBubbleSize val="0"/>
            </c:dLbl>
            <c:dLbl>
              <c:idx val="6"/>
              <c:layout/>
              <c:tx>
                <c:rich>
                  <a:bodyPr/>
                  <a:lstStyle/>
                  <a:p>
                    <a:r>
                      <a:rPr lang="ar-SA"/>
                      <a:t>الإيطالية؛ 4</a:t>
                    </a:r>
                    <a:endParaRPr lang="en-US"/>
                  </a:p>
                </c:rich>
              </c:tx>
              <c:showLegendKey val="0"/>
              <c:showVal val="1"/>
              <c:showCatName val="1"/>
              <c:showSerName val="0"/>
              <c:showPercent val="0"/>
              <c:showBubbleSize val="0"/>
            </c:dLbl>
            <c:dLbl>
              <c:idx val="7"/>
              <c:layout/>
              <c:tx>
                <c:rich>
                  <a:bodyPr/>
                  <a:lstStyle/>
                  <a:p>
                    <a:r>
                      <a:rPr lang="ar-SA"/>
                      <a:t>اليابانية؛ 25</a:t>
                    </a:r>
                    <a:endParaRPr lang="en-US"/>
                  </a:p>
                </c:rich>
              </c:tx>
              <c:showLegendKey val="0"/>
              <c:showVal val="1"/>
              <c:showCatName val="1"/>
              <c:showSerName val="0"/>
              <c:showPercent val="0"/>
              <c:showBubbleSize val="0"/>
            </c:dLbl>
            <c:dLbl>
              <c:idx val="8"/>
              <c:layout/>
              <c:tx>
                <c:rich>
                  <a:bodyPr/>
                  <a:lstStyle/>
                  <a:p>
                    <a:r>
                      <a:rPr lang="ar-SA"/>
                      <a:t>الكورية؛ 8</a:t>
                    </a:r>
                    <a:endParaRPr lang="en-US"/>
                  </a:p>
                </c:rich>
              </c:tx>
              <c:showLegendKey val="0"/>
              <c:showVal val="1"/>
              <c:showCatName val="1"/>
              <c:showSerName val="0"/>
              <c:showPercent val="0"/>
              <c:showBubbleSize val="0"/>
            </c:dLbl>
            <c:dLbl>
              <c:idx val="9"/>
              <c:layout>
                <c:manualLayout>
                  <c:x val="0.15055899262592176"/>
                  <c:y val="1.3285931851111203E-2"/>
                </c:manualLayout>
              </c:layout>
              <c:tx>
                <c:rich>
                  <a:bodyPr/>
                  <a:lstStyle/>
                  <a:p>
                    <a:r>
                      <a:rPr lang="ar-SA"/>
                      <a:t>البرتغالية؛ 29</a:t>
                    </a:r>
                    <a:endParaRPr lang="en-US"/>
                  </a:p>
                </c:rich>
              </c:tx>
              <c:showLegendKey val="0"/>
              <c:showVal val="1"/>
              <c:showCatName val="1"/>
              <c:showSerName val="0"/>
              <c:showPercent val="0"/>
              <c:showBubbleSize val="0"/>
            </c:dLbl>
            <c:dLbl>
              <c:idx val="10"/>
              <c:layout/>
              <c:tx>
                <c:rich>
                  <a:bodyPr/>
                  <a:lstStyle/>
                  <a:p>
                    <a:r>
                      <a:rPr lang="ar-SA"/>
                      <a:t>الروسية؛ 27</a:t>
                    </a:r>
                    <a:endParaRPr lang="en-US"/>
                  </a:p>
                </c:rich>
              </c:tx>
              <c:showLegendKey val="0"/>
              <c:showVal val="1"/>
              <c:showCatName val="1"/>
              <c:showSerName val="0"/>
              <c:showPercent val="0"/>
              <c:showBubbleSize val="0"/>
            </c:dLbl>
            <c:dLbl>
              <c:idx val="11"/>
              <c:layout/>
              <c:tx>
                <c:rich>
                  <a:bodyPr/>
                  <a:lstStyle/>
                  <a:p>
                    <a:r>
                      <a:rPr lang="ar-SA"/>
                      <a:t>الإسبانية؛ 143</a:t>
                    </a:r>
                    <a:endParaRPr lang="en-US"/>
                  </a:p>
                </c:rich>
              </c:tx>
              <c:showLegendKey val="0"/>
              <c:showVal val="1"/>
              <c:showCatName val="1"/>
              <c:showSerName val="0"/>
              <c:showPercent val="0"/>
              <c:showBubbleSize val="0"/>
            </c:dLbl>
            <c:txPr>
              <a:bodyPr/>
              <a:lstStyle/>
              <a:p>
                <a:pPr rtl="1">
                  <a:defRPr b="1">
                    <a:solidFill>
                      <a:schemeClr val="tx1"/>
                    </a:solidFill>
                  </a:defRPr>
                </a:pPr>
                <a:endParaRPr lang="en-US"/>
              </a:p>
            </c:txPr>
            <c:showLegendKey val="0"/>
            <c:showVal val="1"/>
            <c:showCatName val="1"/>
            <c:showSerName val="0"/>
            <c:showPercent val="0"/>
            <c:showBubbleSize val="0"/>
            <c:showLeaderLines val="1"/>
          </c:dLbls>
          <c:cat>
            <c:strRef>
              <c:f>Sheet5!$A$2:$A$14</c:f>
              <c:strCache>
                <c:ptCount val="12"/>
                <c:pt idx="0">
                  <c:v>Arabic</c:v>
                </c:pt>
                <c:pt idx="1">
                  <c:v>Chinese</c:v>
                </c:pt>
                <c:pt idx="2">
                  <c:v>Dutch</c:v>
                </c:pt>
                <c:pt idx="3">
                  <c:v>English</c:v>
                </c:pt>
                <c:pt idx="4">
                  <c:v>French</c:v>
                </c:pt>
                <c:pt idx="5">
                  <c:v>German</c:v>
                </c:pt>
                <c:pt idx="6">
                  <c:v>Italian</c:v>
                </c:pt>
                <c:pt idx="7">
                  <c:v>Japanese</c:v>
                </c:pt>
                <c:pt idx="8">
                  <c:v>Korean</c:v>
                </c:pt>
                <c:pt idx="9">
                  <c:v>Portuguese</c:v>
                </c:pt>
                <c:pt idx="10">
                  <c:v>Russian</c:v>
                </c:pt>
                <c:pt idx="11">
                  <c:v>Spanish</c:v>
                </c:pt>
              </c:strCache>
            </c:strRef>
          </c:cat>
          <c:val>
            <c:numRef>
              <c:f>Sheet5!$B$2:$B$14</c:f>
              <c:numCache>
                <c:formatCode>General</c:formatCode>
                <c:ptCount val="12"/>
                <c:pt idx="0">
                  <c:v>21</c:v>
                </c:pt>
                <c:pt idx="1">
                  <c:v>18</c:v>
                </c:pt>
                <c:pt idx="2">
                  <c:v>6</c:v>
                </c:pt>
                <c:pt idx="3">
                  <c:v>420</c:v>
                </c:pt>
                <c:pt idx="4">
                  <c:v>67</c:v>
                </c:pt>
                <c:pt idx="5">
                  <c:v>15</c:v>
                </c:pt>
                <c:pt idx="6">
                  <c:v>4</c:v>
                </c:pt>
                <c:pt idx="7">
                  <c:v>25</c:v>
                </c:pt>
                <c:pt idx="8">
                  <c:v>8</c:v>
                </c:pt>
                <c:pt idx="9">
                  <c:v>29</c:v>
                </c:pt>
                <c:pt idx="10">
                  <c:v>27</c:v>
                </c:pt>
                <c:pt idx="11">
                  <c:v>143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solidFill>
      <a:schemeClr val="bg1"/>
    </a:solidFill>
  </c:spPr>
  <c:externalData r:id="rId1">
    <c:autoUpdate val="0"/>
  </c:externalData>
  <c:userShapes r:id="rId2"/>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[Chart in Microsoft Word]Sheet6!PivotTable4</c:name>
    <c:fmtId val="-1"/>
  </c:pivotSource>
  <c:chart>
    <c:autoTitleDeleted val="0"/>
    <c:pivotFmts>
      <c:pivotFmt>
        <c:idx val="0"/>
        <c:spPr>
          <a:ln>
            <a:solidFill>
              <a:sysClr val="windowText" lastClr="000000"/>
            </a:solidFill>
          </a:ln>
        </c:spPr>
        <c:marker>
          <c:symbol val="none"/>
        </c:marker>
      </c:pivotFmt>
      <c:pivotFmt>
        <c:idx val="1"/>
        <c:spPr>
          <a:ln>
            <a:solidFill>
              <a:sysClr val="windowText" lastClr="000000"/>
            </a:solidFill>
          </a:ln>
        </c:spPr>
        <c:marker>
          <c:symbol val="none"/>
        </c:marker>
      </c:pivotFmt>
      <c:pivotFmt>
        <c:idx val="2"/>
        <c:dLbl>
          <c:idx val="0"/>
          <c:spPr/>
          <c:txPr>
            <a:bodyPr/>
            <a:lstStyle/>
            <a:p>
              <a:pPr>
                <a:defRPr/>
              </a:pPr>
              <a:endParaRPr lang="en-US"/>
            </a:p>
          </c:txPr>
          <c:showLegendKey val="0"/>
          <c:showVal val="1"/>
          <c:showCatName val="0"/>
          <c:showSerName val="0"/>
          <c:showPercent val="0"/>
          <c:showBubbleSize val="0"/>
        </c:dLbl>
      </c:pivotFmt>
      <c:pivotFmt>
        <c:idx val="3"/>
        <c:dLbl>
          <c:idx val="0"/>
          <c:spPr/>
          <c:txPr>
            <a:bodyPr/>
            <a:lstStyle/>
            <a:p>
              <a:pPr>
                <a:defRPr/>
              </a:pPr>
              <a:endParaRPr lang="en-US"/>
            </a:p>
          </c:txPr>
          <c:showLegendKey val="0"/>
          <c:showVal val="1"/>
          <c:showCatName val="0"/>
          <c:showSerName val="0"/>
          <c:showPercent val="0"/>
          <c:showBubbleSize val="0"/>
        </c:dLbl>
      </c:pivotFmt>
      <c:pivotFmt>
        <c:idx val="4"/>
        <c:spPr>
          <a:ln>
            <a:solidFill>
              <a:sysClr val="windowText" lastClr="000000"/>
            </a:solidFill>
          </a:ln>
        </c:spPr>
        <c:marker>
          <c:symbol val="none"/>
        </c:marker>
        <c:dLbl>
          <c:idx val="0"/>
          <c:spPr/>
          <c:txPr>
            <a:bodyPr/>
            <a:lstStyle/>
            <a:p>
              <a:pPr>
                <a:defRPr/>
              </a:pPr>
              <a:endParaRPr lang="en-US"/>
            </a:p>
          </c:txPr>
          <c:showLegendKey val="0"/>
          <c:showVal val="1"/>
          <c:showCatName val="0"/>
          <c:showSerName val="0"/>
          <c:showPercent val="0"/>
          <c:showBubbleSize val="0"/>
        </c:dLbl>
      </c:pivotFmt>
      <c:pivotFmt>
        <c:idx val="5"/>
        <c:spPr>
          <a:ln>
            <a:solidFill>
              <a:sysClr val="windowText" lastClr="000000"/>
            </a:solidFill>
          </a:ln>
        </c:spPr>
        <c:marker>
          <c:symbol val="none"/>
        </c:marker>
        <c:dLbl>
          <c:idx val="0"/>
          <c:spPr/>
          <c:txPr>
            <a:bodyPr/>
            <a:lstStyle/>
            <a:p>
              <a:pPr>
                <a:defRPr/>
              </a:pPr>
              <a:endParaRPr lang="en-US"/>
            </a:p>
          </c:txPr>
          <c:showLegendKey val="0"/>
          <c:showVal val="1"/>
          <c:showCatName val="0"/>
          <c:showSerName val="0"/>
          <c:showPercent val="0"/>
          <c:showBubbleSize val="0"/>
        </c:dLbl>
      </c:pivotFmt>
      <c:pivotFmt>
        <c:idx val="6"/>
        <c:spPr>
          <a:ln>
            <a:solidFill>
              <a:sysClr val="windowText" lastClr="000000"/>
            </a:solidFill>
          </a:ln>
        </c:spPr>
        <c:marker>
          <c:symbol val="none"/>
        </c:marker>
        <c:dLbl>
          <c:idx val="0"/>
          <c:spPr/>
          <c:txPr>
            <a:bodyPr/>
            <a:lstStyle/>
            <a:p>
              <a:pPr>
                <a:defRPr/>
              </a:pPr>
              <a:endParaRPr lang="en-US"/>
            </a:p>
          </c:txPr>
          <c:showLegendKey val="0"/>
          <c:showVal val="1"/>
          <c:showCatName val="0"/>
          <c:showSerName val="0"/>
          <c:showPercent val="0"/>
          <c:showBubbleSize val="0"/>
        </c:dLbl>
      </c:pivotFmt>
      <c:pivotFmt>
        <c:idx val="7"/>
        <c:spPr>
          <a:ln>
            <a:solidFill>
              <a:sysClr val="windowText" lastClr="000000"/>
            </a:solidFill>
          </a:ln>
        </c:spPr>
        <c:marker>
          <c:symbol val="none"/>
        </c:marker>
        <c:dLbl>
          <c:idx val="0"/>
          <c:spPr/>
          <c:txPr>
            <a:bodyPr/>
            <a:lstStyle/>
            <a:p>
              <a:pPr>
                <a:defRPr/>
              </a:pPr>
              <a:endParaRPr lang="en-US"/>
            </a:p>
          </c:txPr>
          <c:showLegendKey val="0"/>
          <c:showVal val="1"/>
          <c:showCatName val="0"/>
          <c:showSerName val="0"/>
          <c:showPercent val="0"/>
          <c:showBubbleSize val="0"/>
        </c:dLbl>
      </c:pivotFmt>
    </c:pivotFmts>
    <c:view3D>
      <c:rotX val="0"/>
      <c:rotY val="0"/>
      <c:rAngAx val="0"/>
      <c:perspective val="30"/>
    </c:view3D>
    <c:floor>
      <c:thickness val="0"/>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0.26544032873995294"/>
          <c:y val="3.3212560386473432E-2"/>
          <c:w val="0.58863925912409654"/>
          <c:h val="0.89114838906006311"/>
        </c:manualLayout>
      </c:layout>
      <c:bar3DChart>
        <c:barDir val="bar"/>
        <c:grouping val="clustered"/>
        <c:varyColors val="0"/>
        <c:ser>
          <c:idx val="0"/>
          <c:order val="0"/>
          <c:tx>
            <c:strRef>
              <c:f>Sheet6!$B$1:$B$2</c:f>
              <c:strCache>
                <c:ptCount val="1"/>
                <c:pt idx="0">
                  <c:v>إناث</c:v>
                </c:pt>
              </c:strCache>
            </c:strRef>
          </c:tx>
          <c:spPr>
            <a:solidFill>
              <a:schemeClr val="tx1">
                <a:lumMod val="50000"/>
                <a:lumOff val="50000"/>
              </a:schemeClr>
            </a:solidFill>
            <a:ln>
              <a:solidFill>
                <a:sysClr val="windowText" lastClr="000000"/>
              </a:solidFill>
            </a:ln>
          </c:spPr>
          <c:invertIfNegative val="0"/>
          <c:dLbls>
            <c:txPr>
              <a:bodyPr/>
              <a:lstStyle/>
              <a:p>
                <a:pPr>
                  <a:defRPr/>
                </a:pPr>
                <a:endParaRPr lang="en-US"/>
              </a:p>
            </c:txPr>
            <c:showLegendKey val="0"/>
            <c:showVal val="1"/>
            <c:showCatName val="0"/>
            <c:showSerName val="0"/>
            <c:showPercent val="0"/>
            <c:showBubbleSize val="0"/>
            <c:showLeaderLines val="0"/>
          </c:dLbls>
          <c:cat>
            <c:strRef>
              <c:f>Sheet6!$A$3:$A$9</c:f>
              <c:strCache>
                <c:ptCount val="6"/>
                <c:pt idx="0">
                  <c:v>أفريقيا</c:v>
                </c:pt>
                <c:pt idx="1">
                  <c:v>المنطقة العربية</c:v>
                </c:pt>
                <c:pt idx="2">
                  <c:v>آسيا والمحيط الهادئ</c:v>
                </c:pt>
                <c:pt idx="3">
                  <c:v>البلدان الصناعية</c:v>
                </c:pt>
                <c:pt idx="4">
                  <c:v>أمركيا اللاتينية والكاريبي</c:v>
                </c:pt>
                <c:pt idx="5">
                  <c:v>البلدان المتحولة</c:v>
                </c:pt>
              </c:strCache>
            </c:strRef>
          </c:cat>
          <c:val>
            <c:numRef>
              <c:f>Sheet6!$B$3:$B$9</c:f>
              <c:numCache>
                <c:formatCode>General</c:formatCode>
                <c:ptCount val="6"/>
                <c:pt idx="0">
                  <c:v>31</c:v>
                </c:pt>
                <c:pt idx="1">
                  <c:v>5</c:v>
                </c:pt>
                <c:pt idx="2">
                  <c:v>28</c:v>
                </c:pt>
                <c:pt idx="3">
                  <c:v>93</c:v>
                </c:pt>
                <c:pt idx="4">
                  <c:v>61</c:v>
                </c:pt>
                <c:pt idx="5">
                  <c:v>20</c:v>
                </c:pt>
              </c:numCache>
            </c:numRef>
          </c:val>
        </c:ser>
        <c:ser>
          <c:idx val="1"/>
          <c:order val="1"/>
          <c:tx>
            <c:strRef>
              <c:f>Sheet6!$C$1:$C$2</c:f>
              <c:strCache>
                <c:ptCount val="1"/>
                <c:pt idx="0">
                  <c:v>ذكور</c:v>
                </c:pt>
              </c:strCache>
            </c:strRef>
          </c:tx>
          <c:spPr>
            <a:solidFill>
              <a:schemeClr val="bg1">
                <a:lumMod val="85000"/>
              </a:schemeClr>
            </a:solidFill>
            <a:ln>
              <a:solidFill>
                <a:sysClr val="windowText" lastClr="000000"/>
              </a:solidFill>
            </a:ln>
          </c:spPr>
          <c:invertIfNegative val="0"/>
          <c:dLbls>
            <c:txPr>
              <a:bodyPr/>
              <a:lstStyle/>
              <a:p>
                <a:pPr>
                  <a:defRPr/>
                </a:pPr>
                <a:endParaRPr lang="en-US"/>
              </a:p>
            </c:txPr>
            <c:showLegendKey val="0"/>
            <c:showVal val="1"/>
            <c:showCatName val="0"/>
            <c:showSerName val="0"/>
            <c:showPercent val="0"/>
            <c:showBubbleSize val="0"/>
            <c:showLeaderLines val="0"/>
          </c:dLbls>
          <c:cat>
            <c:strRef>
              <c:f>Sheet6!$A$3:$A$9</c:f>
              <c:strCache>
                <c:ptCount val="6"/>
                <c:pt idx="0">
                  <c:v>أفريقيا</c:v>
                </c:pt>
                <c:pt idx="1">
                  <c:v>المنطقة العربية</c:v>
                </c:pt>
                <c:pt idx="2">
                  <c:v>آسيا والمحيط الهادئ</c:v>
                </c:pt>
                <c:pt idx="3">
                  <c:v>البلدان الصناعية</c:v>
                </c:pt>
                <c:pt idx="4">
                  <c:v>أمركيا اللاتينية والكاريبي</c:v>
                </c:pt>
                <c:pt idx="5">
                  <c:v>البلدان المتحولة</c:v>
                </c:pt>
              </c:strCache>
            </c:strRef>
          </c:cat>
          <c:val>
            <c:numRef>
              <c:f>Sheet6!$C$3:$C$9</c:f>
              <c:numCache>
                <c:formatCode>General</c:formatCode>
                <c:ptCount val="6"/>
                <c:pt idx="0">
                  <c:v>77</c:v>
                </c:pt>
                <c:pt idx="1">
                  <c:v>22</c:v>
                </c:pt>
                <c:pt idx="2">
                  <c:v>71</c:v>
                </c:pt>
                <c:pt idx="3">
                  <c:v>237</c:v>
                </c:pt>
                <c:pt idx="4">
                  <c:v>105</c:v>
                </c:pt>
                <c:pt idx="5">
                  <c:v>33</c:v>
                </c:pt>
              </c:numCache>
            </c:numRef>
          </c:val>
        </c:ser>
        <c:dLbls>
          <c:showLegendKey val="0"/>
          <c:showVal val="0"/>
          <c:showCatName val="0"/>
          <c:showSerName val="0"/>
          <c:showPercent val="0"/>
          <c:showBubbleSize val="0"/>
        </c:dLbls>
        <c:gapWidth val="150"/>
        <c:shape val="cylinder"/>
        <c:axId val="189250944"/>
        <c:axId val="189252736"/>
        <c:axId val="0"/>
      </c:bar3DChart>
      <c:catAx>
        <c:axId val="189250944"/>
        <c:scaling>
          <c:orientation val="minMax"/>
        </c:scaling>
        <c:delete val="0"/>
        <c:axPos val="l"/>
        <c:majorTickMark val="out"/>
        <c:minorTickMark val="none"/>
        <c:tickLblPos val="nextTo"/>
        <c:txPr>
          <a:bodyPr/>
          <a:lstStyle/>
          <a:p>
            <a:pPr>
              <a:defRPr b="1"/>
            </a:pPr>
            <a:endParaRPr lang="en-US"/>
          </a:p>
        </c:txPr>
        <c:crossAx val="189252736"/>
        <c:crosses val="autoZero"/>
        <c:auto val="1"/>
        <c:lblAlgn val="ctr"/>
        <c:lblOffset val="100"/>
        <c:noMultiLvlLbl val="0"/>
      </c:catAx>
      <c:valAx>
        <c:axId val="189252736"/>
        <c:scaling>
          <c:orientation val="minMax"/>
        </c:scaling>
        <c:delete val="0"/>
        <c:axPos val="b"/>
        <c:majorGridlines/>
        <c:numFmt formatCode="General" sourceLinked="1"/>
        <c:majorTickMark val="out"/>
        <c:minorTickMark val="none"/>
        <c:tickLblPos val="nextTo"/>
        <c:txPr>
          <a:bodyPr/>
          <a:lstStyle/>
          <a:p>
            <a:pPr>
              <a:defRPr b="1"/>
            </a:pPr>
            <a:endParaRPr lang="en-US"/>
          </a:p>
        </c:txPr>
        <c:crossAx val="189250944"/>
        <c:crosses val="autoZero"/>
        <c:crossBetween val="between"/>
      </c:valAx>
    </c:plotArea>
    <c:legend>
      <c:legendPos val="r"/>
      <c:layout>
        <c:manualLayout>
          <c:xMode val="edge"/>
          <c:yMode val="edge"/>
          <c:x val="0.86859360361652826"/>
          <c:y val="0.41435507972767011"/>
          <c:w val="0.10273260370173336"/>
          <c:h val="0.11410577937104761"/>
        </c:manualLayout>
      </c:layout>
      <c:overlay val="0"/>
    </c:legend>
    <c:plotVisOnly val="1"/>
    <c:dispBlanksAs val="gap"/>
    <c:showDLblsOverMax val="0"/>
  </c:chart>
  <c:spPr>
    <a:solidFill>
      <a:schemeClr val="bg1"/>
    </a:solidFill>
    <a:ln>
      <a:solidFill>
        <a:schemeClr val="bg1">
          <a:lumMod val="50000"/>
        </a:schemeClr>
      </a:solidFill>
    </a:ln>
  </c:spPr>
  <c:externalData r:id="rId1">
    <c:autoUpdate val="0"/>
  </c:externalData>
  <c:userShapes r:id="rId2"/>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drawings/drawing1.xml><?xml version="1.0" encoding="utf-8"?>
<c:userShapes xmlns:c="http://schemas.openxmlformats.org/drawingml/2006/chart">
  <cdr:relSizeAnchor xmlns:cdr="http://schemas.openxmlformats.org/drawingml/2006/chartDrawing">
    <cdr:from>
      <cdr:x>0.73466</cdr:x>
      <cdr:y>0.90886</cdr:y>
    </cdr:from>
    <cdr:to>
      <cdr:x>0.96472</cdr:x>
      <cdr:y>0.97722</cdr:y>
    </cdr:to>
    <cdr:sp macro="" textlink="">
      <cdr:nvSpPr>
        <cdr:cNvPr id="2" name="Rectangle 1"/>
        <cdr:cNvSpPr/>
      </cdr:nvSpPr>
      <cdr:spPr>
        <a:xfrm xmlns:a="http://schemas.openxmlformats.org/drawingml/2006/main">
          <a:off x="4562475" y="3419475"/>
          <a:ext cx="1428750" cy="257175"/>
        </a:xfrm>
        <a:prstGeom xmlns:a="http://schemas.openxmlformats.org/drawingml/2006/main" prst="rect">
          <a:avLst/>
        </a:prstGeom>
        <a:solidFill xmlns:a="http://schemas.openxmlformats.org/drawingml/2006/main">
          <a:schemeClr val="tx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rtl="1"/>
          <a:r>
            <a:rPr lang="ar-SA"/>
            <a:t>العدد الإجمالي: 783</a:t>
          </a:r>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0.58618</cdr:x>
      <cdr:y>0.9218</cdr:y>
    </cdr:from>
    <cdr:to>
      <cdr:x>0.82012</cdr:x>
      <cdr:y>0.98726</cdr:y>
    </cdr:to>
    <cdr:sp macro="" textlink="">
      <cdr:nvSpPr>
        <cdr:cNvPr id="2" name="Rectangle 1"/>
        <cdr:cNvSpPr/>
      </cdr:nvSpPr>
      <cdr:spPr>
        <a:xfrm xmlns:a="http://schemas.openxmlformats.org/drawingml/2006/main">
          <a:off x="3446807" y="4413488"/>
          <a:ext cx="1375591" cy="313417"/>
        </a:xfrm>
        <a:prstGeom xmlns:a="http://schemas.openxmlformats.org/drawingml/2006/main" prst="rect">
          <a:avLst/>
        </a:prstGeom>
        <a:solidFill xmlns:a="http://schemas.openxmlformats.org/drawingml/2006/main">
          <a:schemeClr val="tx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rtl="1"/>
          <a:r>
            <a:rPr lang="ar-SA"/>
            <a:t>العدد الإجمالي:</a:t>
          </a:r>
          <a:r>
            <a:rPr lang="ar-SA" baseline="0"/>
            <a:t> 783</a:t>
          </a:r>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0.72425</cdr:x>
      <cdr:y>0.91001</cdr:y>
    </cdr:from>
    <cdr:to>
      <cdr:x>0.97425</cdr:x>
      <cdr:y>0.97173</cdr:y>
    </cdr:to>
    <cdr:sp macro="" textlink="">
      <cdr:nvSpPr>
        <cdr:cNvPr id="2" name="Rectangle 1"/>
        <cdr:cNvSpPr/>
      </cdr:nvSpPr>
      <cdr:spPr>
        <a:xfrm xmlns:a="http://schemas.openxmlformats.org/drawingml/2006/main">
          <a:off x="4019501" y="3270673"/>
          <a:ext cx="1387475" cy="221827"/>
        </a:xfrm>
        <a:prstGeom xmlns:a="http://schemas.openxmlformats.org/drawingml/2006/main" prst="rect">
          <a:avLst/>
        </a:prstGeom>
        <a:solidFill xmlns:a="http://schemas.openxmlformats.org/drawingml/2006/main">
          <a:schemeClr val="tx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rtl="1"/>
          <a:r>
            <a:rPr lang="ar-SA"/>
            <a:t>العدد الإجمالي: 783</a:t>
          </a:r>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0.00598</cdr:x>
      <cdr:y>0.91475</cdr:y>
    </cdr:from>
    <cdr:to>
      <cdr:x>0.20818</cdr:x>
      <cdr:y>0.98306</cdr:y>
    </cdr:to>
    <cdr:sp macro="" textlink="">
      <cdr:nvSpPr>
        <cdr:cNvPr id="2" name="Rectangle 1"/>
        <cdr:cNvSpPr/>
      </cdr:nvSpPr>
      <cdr:spPr>
        <a:xfrm xmlns:a="http://schemas.openxmlformats.org/drawingml/2006/main">
          <a:off x="37836" y="3045484"/>
          <a:ext cx="1280160" cy="227437"/>
        </a:xfrm>
        <a:prstGeom xmlns:a="http://schemas.openxmlformats.org/drawingml/2006/main" prst="rect">
          <a:avLst/>
        </a:prstGeom>
        <a:solidFill xmlns:a="http://schemas.openxmlformats.org/drawingml/2006/main">
          <a:schemeClr val="tx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rtl="1"/>
          <a:r>
            <a:rPr lang="ar-SA"/>
            <a:t>العدد</a:t>
          </a:r>
          <a:r>
            <a:rPr lang="ar-SA" baseline="0"/>
            <a:t> الإجمالي: 783</a:t>
          </a:r>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750E4-9D4E-456B-8C3E-EB1E8C50C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CDIP_20_AR.dotx</Template>
  <TotalTime>351</TotalTime>
  <Pages>6</Pages>
  <Words>1167</Words>
  <Characters>6632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CDIP/20/6 (Arabic)</vt:lpstr>
    </vt:vector>
  </TitlesOfParts>
  <Company>World Intellectual Property Organization</Company>
  <LinksUpToDate>false</LinksUpToDate>
  <CharactersWithSpaces>7750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CDIP/20/6 (Arabic)</dc:title>
  <dc:creator>MERZOUK Fawzi</dc:creator>
  <cp:lastModifiedBy>MERZOUK Fawzi</cp:lastModifiedBy>
  <cp:revision>16</cp:revision>
  <cp:lastPrinted>2017-10-18T16:01:00Z</cp:lastPrinted>
  <dcterms:created xsi:type="dcterms:W3CDTF">2017-10-18T08:09:00Z</dcterms:created>
  <dcterms:modified xsi:type="dcterms:W3CDTF">2017-10-18T16:01:00Z</dcterms:modified>
</cp:coreProperties>
</file>