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8F262E">
              <w:t>20</w:t>
            </w:r>
            <w:r w:rsidR="00574E65">
              <w:t>/4</w:t>
            </w:r>
          </w:p>
        </w:tc>
      </w:tr>
      <w:tr w:rsidR="001667B6" w:rsidTr="00BF164F">
        <w:tc>
          <w:tcPr>
            <w:tcW w:w="9571" w:type="dxa"/>
            <w:gridSpan w:val="3"/>
          </w:tcPr>
          <w:p w:rsidR="001667B6" w:rsidRPr="00B6101C" w:rsidRDefault="00B6101C" w:rsidP="00574E65">
            <w:pPr>
              <w:pStyle w:val="DocumentLanguageAR"/>
              <w:bidi/>
              <w:rPr>
                <w:rtl/>
              </w:rPr>
            </w:pPr>
            <w:r w:rsidRPr="00B6101C">
              <w:rPr>
                <w:rFonts w:hint="cs"/>
                <w:rtl/>
              </w:rPr>
              <w:t xml:space="preserve">الأصل: </w:t>
            </w:r>
            <w:proofErr w:type="gramStart"/>
            <w:r w:rsidR="00574E65">
              <w:rPr>
                <w:rFonts w:hint="cs"/>
                <w:rtl/>
              </w:rPr>
              <w:t>بالإنكليزية</w:t>
            </w:r>
            <w:proofErr w:type="gramEnd"/>
          </w:p>
        </w:tc>
      </w:tr>
      <w:tr w:rsidR="001667B6" w:rsidTr="00BF164F">
        <w:tc>
          <w:tcPr>
            <w:tcW w:w="9571" w:type="dxa"/>
            <w:gridSpan w:val="3"/>
          </w:tcPr>
          <w:p w:rsidR="001667B6" w:rsidRPr="00B6101C" w:rsidRDefault="00B6101C" w:rsidP="00574E65">
            <w:pPr>
              <w:pStyle w:val="DocumentDateAR"/>
              <w:bidi/>
              <w:rPr>
                <w:rtl/>
              </w:rPr>
            </w:pPr>
            <w:r w:rsidRPr="00B6101C">
              <w:rPr>
                <w:rFonts w:hint="cs"/>
                <w:rtl/>
              </w:rPr>
              <w:t xml:space="preserve">التاريخ: </w:t>
            </w:r>
            <w:r w:rsidR="00574E65">
              <w:rPr>
                <w:rFonts w:hint="cs"/>
                <w:rtl/>
              </w:rPr>
              <w:t xml:space="preserve">27 </w:t>
            </w:r>
            <w:proofErr w:type="gramStart"/>
            <w:r w:rsidR="00574E65">
              <w:rPr>
                <w:rFonts w:hint="cs"/>
                <w:rtl/>
              </w:rPr>
              <w:t>سبتمبر</w:t>
            </w:r>
            <w:proofErr w:type="gramEnd"/>
            <w:r w:rsidRPr="00B6101C">
              <w:rPr>
                <w:rFonts w:hint="cs"/>
                <w:rtl/>
              </w:rPr>
              <w:t xml:space="preserve"> </w:t>
            </w:r>
            <w:r w:rsidR="00475BF5">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21704F" w:rsidRPr="00783D11" w:rsidRDefault="0021704F" w:rsidP="008F262E">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8F262E">
        <w:rPr>
          <w:rFonts w:ascii="Cambria Math" w:hAnsi="Cambria Math" w:hint="cs"/>
          <w:rtl/>
        </w:rPr>
        <w:t>العشرون</w:t>
      </w:r>
    </w:p>
    <w:p w:rsidR="0021704F" w:rsidRPr="00D61541" w:rsidRDefault="0021704F" w:rsidP="008F262E">
      <w:pPr>
        <w:pStyle w:val="MeetingDatesAR"/>
        <w:bidi/>
      </w:pPr>
      <w:r w:rsidRPr="00D61541">
        <w:rPr>
          <w:rFonts w:hint="cs"/>
          <w:rtl/>
        </w:rPr>
        <w:t xml:space="preserve">جنيف، من </w:t>
      </w:r>
      <w:r w:rsidR="008F262E">
        <w:rPr>
          <w:rFonts w:hint="cs"/>
          <w:rtl/>
        </w:rPr>
        <w:t>27</w:t>
      </w:r>
      <w:r>
        <w:rPr>
          <w:rFonts w:hint="cs"/>
          <w:rtl/>
        </w:rPr>
        <w:t xml:space="preserve"> </w:t>
      </w:r>
      <w:r w:rsidR="008F262E">
        <w:rPr>
          <w:rFonts w:hint="cs"/>
          <w:rtl/>
        </w:rPr>
        <w:t xml:space="preserve">نوفمبر </w:t>
      </w:r>
      <w:r>
        <w:rPr>
          <w:rFonts w:hint="cs"/>
          <w:rtl/>
        </w:rPr>
        <w:t xml:space="preserve">إلى </w:t>
      </w:r>
      <w:r w:rsidR="008F262E">
        <w:rPr>
          <w:rFonts w:hint="cs"/>
          <w:rtl/>
        </w:rPr>
        <w:t xml:space="preserve">1 ديسمبر </w:t>
      </w:r>
      <w:r w:rsidR="00475BF5">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74E65" w:rsidP="00FB7EC9">
      <w:pPr>
        <w:pStyle w:val="DocumentTitleAR"/>
        <w:bidi/>
        <w:rPr>
          <w:rtl/>
        </w:rPr>
      </w:pPr>
      <w:r>
        <w:rPr>
          <w:rFonts w:hint="cs"/>
          <w:rtl/>
        </w:rPr>
        <w:t>متابعة المشروع</w:t>
      </w:r>
      <w:r w:rsidRPr="00574E65">
        <w:rPr>
          <w:rtl/>
        </w:rPr>
        <w:t xml:space="preserve"> الرائد بشأن الملكية الفكرية وإدارة التصاميم لتطوير الأعمال في البلدان النامية والبلدان الأقل نمواً</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574E65">
        <w:rPr>
          <w:rFonts w:hint="cs"/>
          <w:rtl/>
        </w:rPr>
        <w:t xml:space="preserve"> الأمانة</w:t>
      </w:r>
    </w:p>
    <w:p w:rsidR="00CF79DF" w:rsidRDefault="00574E65" w:rsidP="00FE17D3">
      <w:pPr>
        <w:pStyle w:val="Heading2"/>
        <w:rPr>
          <w:rtl/>
        </w:rPr>
      </w:pPr>
      <w:r>
        <w:rPr>
          <w:rFonts w:hint="cs"/>
          <w:rtl/>
        </w:rPr>
        <w:t>الخلفية</w:t>
      </w:r>
    </w:p>
    <w:p w:rsidR="008168B0" w:rsidRDefault="00574E65" w:rsidP="00D86D59">
      <w:pPr>
        <w:pStyle w:val="NumberedParaAR"/>
      </w:pPr>
      <w:r>
        <w:rPr>
          <w:rFonts w:hint="cs"/>
          <w:rtl/>
        </w:rPr>
        <w:t>عقب اقتراح قدمته جمهورية كوريا إبّان الدورة الحادية عشرة للجنة المعنية بالتنمية والملكية الفكرية (لجنة التنمية) المعقودة من 13 إلى 17 مايو 2013</w:t>
      </w:r>
      <w:r>
        <w:rPr>
          <w:rStyle w:val="FootnoteReference"/>
          <w:rtl/>
        </w:rPr>
        <w:footnoteReference w:id="1"/>
      </w:r>
      <w:r>
        <w:rPr>
          <w:rFonts w:hint="cs"/>
          <w:rtl/>
        </w:rPr>
        <w:t>، وافقت لجنة التنمية في دورتها الثانية عشرة المعقودة من 18 إلى 21 نوفمبر 2013 على "</w:t>
      </w:r>
      <w:r w:rsidRPr="00574E65">
        <w:rPr>
          <w:rtl/>
        </w:rPr>
        <w:t>المشروع الرائد بشأن الملكية الفكرية وإدارة التصاميم لتطوير الأعمال في البلدان النامية والبلدان الأقل نمواً</w:t>
      </w:r>
      <w:r>
        <w:rPr>
          <w:rFonts w:hint="cs"/>
          <w:rtl/>
        </w:rPr>
        <w:t>"</w:t>
      </w:r>
      <w:r>
        <w:rPr>
          <w:rStyle w:val="FootnoteReference"/>
          <w:rtl/>
        </w:rPr>
        <w:footnoteReference w:id="2"/>
      </w:r>
      <w:r>
        <w:rPr>
          <w:rFonts w:hint="cs"/>
          <w:rtl/>
        </w:rPr>
        <w:t xml:space="preserve">. وبدأ تنفيذ المشروع في يناير 2014 ووقع الاختيار على الأرجنتين والمغرب كبلدين </w:t>
      </w:r>
      <w:proofErr w:type="gramStart"/>
      <w:r>
        <w:rPr>
          <w:rFonts w:hint="cs"/>
          <w:rtl/>
        </w:rPr>
        <w:t>مستفيدين</w:t>
      </w:r>
      <w:proofErr w:type="gramEnd"/>
      <w:r>
        <w:rPr>
          <w:rFonts w:hint="cs"/>
          <w:rtl/>
        </w:rPr>
        <w:t xml:space="preserve"> </w:t>
      </w:r>
      <w:r w:rsidR="00D86D59">
        <w:rPr>
          <w:rFonts w:hint="cs"/>
          <w:rtl/>
        </w:rPr>
        <w:t>إثر</w:t>
      </w:r>
      <w:r>
        <w:rPr>
          <w:rFonts w:hint="cs"/>
          <w:rtl/>
        </w:rPr>
        <w:t xml:space="preserve"> مرحلة تحضيرية ومشاورات مع الدول الأعضاء. وبدأ تقديم المساعدة التقنية إلى الشركات المختارة في البلدين المذكورين في أواخر </w:t>
      </w:r>
      <w:proofErr w:type="gramStart"/>
      <w:r>
        <w:rPr>
          <w:rFonts w:hint="cs"/>
          <w:rtl/>
        </w:rPr>
        <w:t>عام</w:t>
      </w:r>
      <w:proofErr w:type="gramEnd"/>
      <w:r>
        <w:rPr>
          <w:rFonts w:hint="cs"/>
          <w:rtl/>
        </w:rPr>
        <w:t xml:space="preserve"> 2014 وانتهى في ديسمبر 2016.</w:t>
      </w:r>
    </w:p>
    <w:p w:rsidR="00574E65" w:rsidRDefault="00574E65" w:rsidP="00D86D59">
      <w:pPr>
        <w:pStyle w:val="NumberedParaAR"/>
      </w:pPr>
      <w:r>
        <w:rPr>
          <w:rFonts w:hint="cs"/>
          <w:rtl/>
        </w:rPr>
        <w:t>ونظرت لجنة التنمية في تقرير تقييمي للمشروع خلال دورتها التاسعة عشرة المعقودة من 15 إلى 19 مايو 2017</w:t>
      </w:r>
      <w:r>
        <w:rPr>
          <w:rStyle w:val="FootnoteReference"/>
          <w:rtl/>
        </w:rPr>
        <w:footnoteReference w:id="3"/>
      </w:r>
      <w:r>
        <w:rPr>
          <w:rFonts w:hint="cs"/>
          <w:rtl/>
        </w:rPr>
        <w:t xml:space="preserve">. وأجرى التقييم </w:t>
      </w:r>
      <w:r w:rsidR="00D86D59" w:rsidRPr="00574E65">
        <w:rPr>
          <w:rtl/>
        </w:rPr>
        <w:t xml:space="preserve">السيد دانييل </w:t>
      </w:r>
      <w:proofErr w:type="spellStart"/>
      <w:r w:rsidR="00D86D59" w:rsidRPr="00574E65">
        <w:rPr>
          <w:rtl/>
        </w:rPr>
        <w:t>كيلير</w:t>
      </w:r>
      <w:proofErr w:type="spellEnd"/>
      <w:r w:rsidR="00D86D59" w:rsidRPr="00574E65">
        <w:rPr>
          <w:rtl/>
        </w:rPr>
        <w:t>،</w:t>
      </w:r>
      <w:r w:rsidR="00D86D59">
        <w:rPr>
          <w:rFonts w:hint="cs"/>
          <w:rtl/>
        </w:rPr>
        <w:t xml:space="preserve"> </w:t>
      </w:r>
      <w:r>
        <w:rPr>
          <w:rFonts w:hint="cs"/>
          <w:rtl/>
        </w:rPr>
        <w:t>ا</w:t>
      </w:r>
      <w:r w:rsidRPr="00574E65">
        <w:rPr>
          <w:rtl/>
        </w:rPr>
        <w:t xml:space="preserve">لخبير الاستشاري من شركة إفال </w:t>
      </w:r>
      <w:proofErr w:type="spellStart"/>
      <w:r w:rsidRPr="00574E65">
        <w:rPr>
          <w:rtl/>
        </w:rPr>
        <w:t>كو</w:t>
      </w:r>
      <w:proofErr w:type="spellEnd"/>
      <w:r w:rsidRPr="00574E65">
        <w:rPr>
          <w:rtl/>
        </w:rPr>
        <w:t xml:space="preserve"> المحدودة المسؤولية (</w:t>
      </w:r>
      <w:proofErr w:type="spellStart"/>
      <w:r w:rsidRPr="00574E65">
        <w:t>EvalCo</w:t>
      </w:r>
      <w:proofErr w:type="spellEnd"/>
      <w:r w:rsidRPr="00574E65">
        <w:t xml:space="preserve"> </w:t>
      </w:r>
      <w:proofErr w:type="spellStart"/>
      <w:r w:rsidRPr="00574E65">
        <w:t>Sàrl</w:t>
      </w:r>
      <w:proofErr w:type="spellEnd"/>
      <w:r w:rsidRPr="00574E65">
        <w:rPr>
          <w:rtl/>
        </w:rPr>
        <w:t>)</w:t>
      </w:r>
      <w:r w:rsidR="00D86D59">
        <w:rPr>
          <w:rFonts w:hint="cs"/>
          <w:rtl/>
        </w:rPr>
        <w:t xml:space="preserve"> في</w:t>
      </w:r>
      <w:r w:rsidRPr="00574E65">
        <w:rPr>
          <w:rtl/>
        </w:rPr>
        <w:t xml:space="preserve"> </w:t>
      </w:r>
      <w:proofErr w:type="spellStart"/>
      <w:r w:rsidRPr="00574E65">
        <w:rPr>
          <w:rtl/>
        </w:rPr>
        <w:t>لوبرنغن</w:t>
      </w:r>
      <w:proofErr w:type="spellEnd"/>
      <w:r w:rsidR="00D86D59">
        <w:rPr>
          <w:rFonts w:hint="cs"/>
          <w:rtl/>
        </w:rPr>
        <w:t xml:space="preserve"> ب</w:t>
      </w:r>
      <w:r w:rsidRPr="00574E65">
        <w:rPr>
          <w:rtl/>
        </w:rPr>
        <w:t>سويسرا.</w:t>
      </w:r>
      <w:r>
        <w:rPr>
          <w:rFonts w:hint="cs"/>
          <w:rtl/>
        </w:rPr>
        <w:t xml:space="preserve"> وعرض التقرير نتائج التقييم والتقويم للجوانب التالية من المشروع: (أ) </w:t>
      </w:r>
      <w:proofErr w:type="gramStart"/>
      <w:r>
        <w:rPr>
          <w:rFonts w:hint="cs"/>
          <w:rtl/>
        </w:rPr>
        <w:t>التحضير</w:t>
      </w:r>
      <w:proofErr w:type="gramEnd"/>
      <w:r>
        <w:rPr>
          <w:rFonts w:hint="cs"/>
          <w:rtl/>
        </w:rPr>
        <w:t xml:space="preserve"> للمشروع وإدارته؛ (ب) الوج</w:t>
      </w:r>
      <w:r w:rsidR="00D86D59">
        <w:rPr>
          <w:rFonts w:hint="cs"/>
          <w:rtl/>
        </w:rPr>
        <w:t>ا</w:t>
      </w:r>
      <w:r>
        <w:rPr>
          <w:rFonts w:hint="cs"/>
          <w:rtl/>
        </w:rPr>
        <w:t xml:space="preserve">هة؛ (ج) الفعالية؛ (د) الكفاءة؛ </w:t>
      </w:r>
      <w:r w:rsidR="00FE17D3">
        <w:rPr>
          <w:rFonts w:hint="cs"/>
          <w:rtl/>
        </w:rPr>
        <w:t>(ه) احتمالات استدامة النتائج؛ (و) المساواة بين الجنسين. وتضمن التقرير التقييمي أيضاً عدداً من الاستنتاجات والتوصيات.</w:t>
      </w:r>
    </w:p>
    <w:p w:rsidR="00FE17D3" w:rsidRDefault="00FE17D3" w:rsidP="00D86D59">
      <w:pPr>
        <w:pStyle w:val="NumberedParaAR"/>
      </w:pPr>
      <w:r>
        <w:rPr>
          <w:rFonts w:hint="cs"/>
          <w:rtl/>
        </w:rPr>
        <w:lastRenderedPageBreak/>
        <w:t>وبعد أن نظرت لجنة التنمية في التقرير التقييمي، خلص رئيسها إلى ما يلي:</w:t>
      </w:r>
    </w:p>
    <w:p w:rsidR="00FE17D3" w:rsidRDefault="00FE17D3" w:rsidP="00FE17D3">
      <w:pPr>
        <w:pStyle w:val="NormalParaAR"/>
        <w:ind w:left="567"/>
        <w:rPr>
          <w:rtl/>
        </w:rPr>
      </w:pPr>
      <w:r>
        <w:rPr>
          <w:rFonts w:hint="cs"/>
          <w:rtl/>
        </w:rPr>
        <w:t>"</w:t>
      </w:r>
      <w:r>
        <w:rPr>
          <w:rtl/>
        </w:rPr>
        <w:t>وأحاطت اللجنة علما</w:t>
      </w:r>
      <w:r>
        <w:rPr>
          <w:rFonts w:hint="cs"/>
          <w:rtl/>
        </w:rPr>
        <w:t xml:space="preserve"> [بالتقرير التقييمي]</w:t>
      </w:r>
      <w:r>
        <w:rPr>
          <w:rtl/>
        </w:rPr>
        <w:t>.</w:t>
      </w:r>
      <w:r>
        <w:rPr>
          <w:rFonts w:hint="cs"/>
          <w:rtl/>
        </w:rPr>
        <w:t xml:space="preserve"> </w:t>
      </w:r>
      <w:r>
        <w:rPr>
          <w:rtl/>
        </w:rPr>
        <w:t>وأوصت بمرحلة ثانية للمشروع.</w:t>
      </w:r>
      <w:r>
        <w:rPr>
          <w:rFonts w:hint="cs"/>
          <w:rtl/>
        </w:rPr>
        <w:t xml:space="preserve"> </w:t>
      </w:r>
      <w:proofErr w:type="gramStart"/>
      <w:r>
        <w:rPr>
          <w:rtl/>
        </w:rPr>
        <w:t>ومُنحت</w:t>
      </w:r>
      <w:proofErr w:type="gramEnd"/>
      <w:r>
        <w:rPr>
          <w:rtl/>
        </w:rPr>
        <w:t xml:space="preserve"> الأمانة هامشا من المرونة لتقييم جدوى تنفيذ الأنشطة إما كمرحلة ثانية من المشروع أو كجزء من العمل المنتظم للمنظمة.</w:t>
      </w:r>
      <w:r>
        <w:rPr>
          <w:rFonts w:hint="cs"/>
          <w:rtl/>
        </w:rPr>
        <w:t xml:space="preserve"> </w:t>
      </w:r>
      <w:proofErr w:type="gramStart"/>
      <w:r>
        <w:rPr>
          <w:rtl/>
        </w:rPr>
        <w:t>والتمست</w:t>
      </w:r>
      <w:proofErr w:type="gramEnd"/>
      <w:r>
        <w:rPr>
          <w:rtl/>
        </w:rPr>
        <w:t xml:space="preserve"> اللجنة من الأمانة أن تقدم لها تقريرا في دورتها المقبلة بخصوص قرارها المتعلق بتنفيذ المرحلة الثانية.</w:t>
      </w:r>
      <w:r>
        <w:rPr>
          <w:rFonts w:hint="cs"/>
          <w:rtl/>
        </w:rPr>
        <w:t>"</w:t>
      </w:r>
      <w:r>
        <w:rPr>
          <w:rStyle w:val="FootnoteReference"/>
          <w:rtl/>
        </w:rPr>
        <w:footnoteReference w:id="4"/>
      </w:r>
    </w:p>
    <w:p w:rsidR="00FE17D3" w:rsidRDefault="00FE17D3" w:rsidP="00FE17D3">
      <w:pPr>
        <w:pStyle w:val="NumberedParaAR"/>
      </w:pPr>
      <w:r>
        <w:rPr>
          <w:rFonts w:hint="cs"/>
          <w:rtl/>
        </w:rPr>
        <w:t xml:space="preserve">وهذه الوثيقة هي التقرير الذي أعدته الأمانة استجابة </w:t>
      </w:r>
      <w:proofErr w:type="gramStart"/>
      <w:r>
        <w:rPr>
          <w:rFonts w:hint="cs"/>
          <w:rtl/>
        </w:rPr>
        <w:t>لطلب</w:t>
      </w:r>
      <w:proofErr w:type="gramEnd"/>
      <w:r>
        <w:rPr>
          <w:rFonts w:hint="cs"/>
          <w:rtl/>
        </w:rPr>
        <w:t xml:space="preserve"> اللجنة.</w:t>
      </w:r>
    </w:p>
    <w:p w:rsidR="00FE17D3" w:rsidRDefault="00FE17D3" w:rsidP="00FE17D3">
      <w:pPr>
        <w:pStyle w:val="Heading2"/>
        <w:rPr>
          <w:rtl/>
        </w:rPr>
      </w:pPr>
      <w:proofErr w:type="gramStart"/>
      <w:r>
        <w:rPr>
          <w:rFonts w:hint="cs"/>
          <w:rtl/>
        </w:rPr>
        <w:t>المبادئ</w:t>
      </w:r>
      <w:proofErr w:type="gramEnd"/>
      <w:r>
        <w:rPr>
          <w:rFonts w:hint="cs"/>
          <w:rtl/>
        </w:rPr>
        <w:t xml:space="preserve"> التوجيهية</w:t>
      </w:r>
    </w:p>
    <w:p w:rsidR="00FE17D3" w:rsidRDefault="00FE17D3" w:rsidP="00FE17D3">
      <w:pPr>
        <w:pStyle w:val="NumberedParaAR"/>
        <w:rPr>
          <w:lang w:val="fr-CH"/>
        </w:rPr>
      </w:pPr>
      <w:r>
        <w:rPr>
          <w:rFonts w:hint="cs"/>
          <w:rtl/>
          <w:lang w:val="fr-CH"/>
        </w:rPr>
        <w:t xml:space="preserve">استرشدت الأمانة، في إعداد </w:t>
      </w:r>
      <w:r w:rsidR="00D86D59">
        <w:rPr>
          <w:rFonts w:hint="cs"/>
          <w:rtl/>
          <w:lang w:val="fr-CH"/>
        </w:rPr>
        <w:t xml:space="preserve">تقرير </w:t>
      </w:r>
      <w:proofErr w:type="gramStart"/>
      <w:r>
        <w:rPr>
          <w:rFonts w:hint="cs"/>
          <w:rtl/>
          <w:lang w:val="fr-CH"/>
        </w:rPr>
        <w:t>متابعة</w:t>
      </w:r>
      <w:proofErr w:type="gramEnd"/>
      <w:r>
        <w:rPr>
          <w:rFonts w:hint="cs"/>
          <w:rtl/>
          <w:lang w:val="fr-CH"/>
        </w:rPr>
        <w:t xml:space="preserve"> المشروع، بالمبادئ الثلاثة التالية:</w:t>
      </w:r>
    </w:p>
    <w:p w:rsidR="00FE17D3" w:rsidRPr="00FE17D3" w:rsidRDefault="00FE17D3" w:rsidP="00FE17D3">
      <w:pPr>
        <w:pStyle w:val="NormalParaAR"/>
        <w:ind w:left="567"/>
      </w:pPr>
      <w:r w:rsidRPr="00FE17D3">
        <w:rPr>
          <w:rFonts w:hint="cs"/>
          <w:rtl/>
        </w:rPr>
        <w:t>(أ)</w:t>
      </w:r>
      <w:r w:rsidRPr="00FE17D3">
        <w:rPr>
          <w:rtl/>
        </w:rPr>
        <w:tab/>
      </w:r>
      <w:proofErr w:type="gramStart"/>
      <w:r w:rsidRPr="00FE17D3">
        <w:rPr>
          <w:rFonts w:hint="cs"/>
          <w:rtl/>
        </w:rPr>
        <w:t>ضرورة</w:t>
      </w:r>
      <w:proofErr w:type="gramEnd"/>
      <w:r w:rsidRPr="00FE17D3">
        <w:rPr>
          <w:rFonts w:hint="cs"/>
          <w:rtl/>
        </w:rPr>
        <w:t xml:space="preserve"> رصد </w:t>
      </w:r>
      <w:r>
        <w:rPr>
          <w:rFonts w:hint="cs"/>
          <w:rtl/>
        </w:rPr>
        <w:t>آثار</w:t>
      </w:r>
      <w:r w:rsidRPr="00FE17D3">
        <w:rPr>
          <w:rFonts w:hint="cs"/>
          <w:rtl/>
        </w:rPr>
        <w:t xml:space="preserve"> </w:t>
      </w:r>
      <w:r>
        <w:rPr>
          <w:rFonts w:hint="cs"/>
          <w:rtl/>
        </w:rPr>
        <w:t>ا</w:t>
      </w:r>
      <w:r w:rsidRPr="00FE17D3">
        <w:rPr>
          <w:rFonts w:hint="cs"/>
          <w:rtl/>
        </w:rPr>
        <w:t>لمشروع</w:t>
      </w:r>
      <w:r>
        <w:rPr>
          <w:rFonts w:hint="cs"/>
          <w:rtl/>
        </w:rPr>
        <w:t xml:space="preserve"> على المدى البعيد</w:t>
      </w:r>
      <w:r w:rsidRPr="00FE17D3">
        <w:rPr>
          <w:rFonts w:hint="cs"/>
          <w:rtl/>
        </w:rPr>
        <w:t>؛</w:t>
      </w:r>
    </w:p>
    <w:p w:rsidR="00FE17D3" w:rsidRPr="00FE17D3" w:rsidRDefault="00FE17D3" w:rsidP="00FE17D3">
      <w:pPr>
        <w:pStyle w:val="NormalParaAR"/>
        <w:ind w:left="567"/>
      </w:pPr>
      <w:r w:rsidRPr="00FE17D3">
        <w:rPr>
          <w:rFonts w:hint="cs"/>
          <w:rtl/>
        </w:rPr>
        <w:t>(ب)</w:t>
      </w:r>
      <w:r w:rsidRPr="00FE17D3">
        <w:rPr>
          <w:rFonts w:hint="cs"/>
          <w:rtl/>
        </w:rPr>
        <w:tab/>
        <w:t>وضرورة الاستفادة من الخبرات المكتسبة خلال المشروع؛</w:t>
      </w:r>
    </w:p>
    <w:p w:rsidR="00FE17D3" w:rsidRDefault="00FE17D3" w:rsidP="00FE17D3">
      <w:pPr>
        <w:pStyle w:val="NormalParaAR"/>
        <w:ind w:left="567"/>
        <w:rPr>
          <w:rtl/>
        </w:rPr>
      </w:pPr>
      <w:r w:rsidRPr="00FE17D3">
        <w:rPr>
          <w:rFonts w:hint="cs"/>
          <w:rtl/>
        </w:rPr>
        <w:t>(ج)</w:t>
      </w:r>
      <w:r w:rsidRPr="00FE17D3">
        <w:rPr>
          <w:rFonts w:hint="cs"/>
          <w:rtl/>
        </w:rPr>
        <w:tab/>
        <w:t>وضرورة ضمان أن يكون توس</w:t>
      </w:r>
      <w:r w:rsidR="00D86D59">
        <w:rPr>
          <w:rFonts w:hint="cs"/>
          <w:rtl/>
        </w:rPr>
        <w:t>ي</w:t>
      </w:r>
      <w:r w:rsidRPr="00FE17D3">
        <w:rPr>
          <w:rFonts w:hint="cs"/>
          <w:rtl/>
        </w:rPr>
        <w:t xml:space="preserve">ع المشروع ممكناً </w:t>
      </w:r>
      <w:proofErr w:type="gramStart"/>
      <w:r w:rsidRPr="00FE17D3">
        <w:rPr>
          <w:rFonts w:hint="cs"/>
          <w:rtl/>
        </w:rPr>
        <w:t>وواقعياً</w:t>
      </w:r>
      <w:proofErr w:type="gramEnd"/>
      <w:r w:rsidRPr="00FE17D3">
        <w:rPr>
          <w:rFonts w:hint="cs"/>
          <w:rtl/>
        </w:rPr>
        <w:t>.</w:t>
      </w:r>
    </w:p>
    <w:p w:rsidR="00FE17D3" w:rsidRDefault="00FE17D3" w:rsidP="00FE17D3">
      <w:pPr>
        <w:pStyle w:val="Heading3"/>
        <w:rPr>
          <w:rtl/>
        </w:rPr>
      </w:pPr>
      <w:r>
        <w:rPr>
          <w:rFonts w:hint="cs"/>
          <w:rtl/>
        </w:rPr>
        <w:t xml:space="preserve">رصد الآثار على المدى </w:t>
      </w:r>
      <w:proofErr w:type="gramStart"/>
      <w:r>
        <w:rPr>
          <w:rFonts w:hint="cs"/>
          <w:rtl/>
        </w:rPr>
        <w:t>البعيد</w:t>
      </w:r>
      <w:proofErr w:type="gramEnd"/>
    </w:p>
    <w:p w:rsidR="00FE17D3" w:rsidRDefault="00FE17D3" w:rsidP="00FE17D3">
      <w:pPr>
        <w:pStyle w:val="NumberedParaAR"/>
      </w:pPr>
      <w:r>
        <w:rPr>
          <w:rFonts w:hint="cs"/>
          <w:rtl/>
        </w:rPr>
        <w:t>جاء في التقرير التقييمي ما يلي</w:t>
      </w:r>
      <w:r w:rsidR="00D86D59">
        <w:rPr>
          <w:rFonts w:hint="cs"/>
          <w:rtl/>
        </w:rPr>
        <w:t xml:space="preserve"> بشأن الفعالية</w:t>
      </w:r>
      <w:r>
        <w:rPr>
          <w:rFonts w:hint="cs"/>
          <w:rtl/>
        </w:rPr>
        <w:t>:</w:t>
      </w:r>
    </w:p>
    <w:p w:rsidR="00FE17D3" w:rsidRDefault="00FE17D3" w:rsidP="00806CFE">
      <w:pPr>
        <w:pStyle w:val="NormalParaAR"/>
        <w:ind w:left="567"/>
        <w:rPr>
          <w:rtl/>
        </w:rPr>
      </w:pPr>
      <w:r>
        <w:rPr>
          <w:rFonts w:hint="cs"/>
          <w:rtl/>
        </w:rPr>
        <w:t>"</w:t>
      </w:r>
      <w:proofErr w:type="gramStart"/>
      <w:r>
        <w:rPr>
          <w:rtl/>
        </w:rPr>
        <w:t>تبين</w:t>
      </w:r>
      <w:proofErr w:type="gramEnd"/>
      <w:r>
        <w:rPr>
          <w:rtl/>
        </w:rPr>
        <w:t xml:space="preserve"> التجربة أن تحويل تكوين الكفاءات، باستخدامه من قبل المستفيدين، إلى آثار قابلة للقياس يستغرق فترة من الزمن.</w:t>
      </w:r>
      <w:r>
        <w:rPr>
          <w:rFonts w:hint="cs"/>
          <w:rtl/>
        </w:rPr>
        <w:t xml:space="preserve"> </w:t>
      </w:r>
      <w:proofErr w:type="gramStart"/>
      <w:r>
        <w:rPr>
          <w:rtl/>
        </w:rPr>
        <w:t>فعلى</w:t>
      </w:r>
      <w:proofErr w:type="gramEnd"/>
      <w:r>
        <w:rPr>
          <w:rtl/>
        </w:rPr>
        <w:t xml:space="preserve"> سبيل المثال، قد تستغرق عملية تسجيل تصميم صناعي عقب مساعدة يقدمها المشروع أكثر من سنة.</w:t>
      </w:r>
      <w:r>
        <w:rPr>
          <w:rFonts w:hint="cs"/>
          <w:rtl/>
        </w:rPr>
        <w:t xml:space="preserve"> </w:t>
      </w:r>
      <w:r>
        <w:rPr>
          <w:rtl/>
        </w:rPr>
        <w:t>ولذا لا يمكن حتّى اللحظة قياس آثار تسجيل التصاميم على أداء الشركة.</w:t>
      </w:r>
      <w:r>
        <w:rPr>
          <w:rFonts w:hint="cs"/>
          <w:rtl/>
        </w:rPr>
        <w:t xml:space="preserve"> </w:t>
      </w:r>
      <w:r>
        <w:rPr>
          <w:rtl/>
        </w:rPr>
        <w:t>وليس من المعقول افتراض قدر كاف من السببية بين نواتج المشروع والتغيرات الاجتماعية والاقتصادية الأوسع التي لوحظت في البلدين المستفيدين أو حتى خارجهما.</w:t>
      </w:r>
      <w:r w:rsidR="00806CFE">
        <w:rPr>
          <w:rFonts w:hint="cs"/>
          <w:rtl/>
        </w:rPr>
        <w:t xml:space="preserve"> </w:t>
      </w:r>
      <w:proofErr w:type="gramStart"/>
      <w:r>
        <w:rPr>
          <w:rtl/>
        </w:rPr>
        <w:t>وبالتالي</w:t>
      </w:r>
      <w:proofErr w:type="gramEnd"/>
      <w:r>
        <w:rPr>
          <w:rtl/>
        </w:rPr>
        <w:t xml:space="preserve"> فإن أي محاولة لتقويم نواتج مخرجات المشروع، أو حتى وقعها، على نطاق أوسع أمر سابق لأوانه.</w:t>
      </w:r>
      <w:r w:rsidR="00806CFE">
        <w:rPr>
          <w:rFonts w:hint="cs"/>
          <w:rtl/>
        </w:rPr>
        <w:t xml:space="preserve"> </w:t>
      </w:r>
      <w:r>
        <w:rPr>
          <w:rtl/>
        </w:rPr>
        <w:t xml:space="preserve">ولكن، توصل التقييم إلى مزيد من النتائج المباشرة التي </w:t>
      </w:r>
      <w:proofErr w:type="gramStart"/>
      <w:r>
        <w:rPr>
          <w:rtl/>
        </w:rPr>
        <w:t>ساهم</w:t>
      </w:r>
      <w:proofErr w:type="gramEnd"/>
      <w:r>
        <w:rPr>
          <w:rtl/>
        </w:rPr>
        <w:t xml:space="preserve"> بها المشروع.</w:t>
      </w:r>
      <w:r w:rsidR="00806CFE">
        <w:rPr>
          <w:rFonts w:hint="cs"/>
          <w:rtl/>
        </w:rPr>
        <w:t>"</w:t>
      </w:r>
      <w:r w:rsidR="00806CFE">
        <w:rPr>
          <w:rStyle w:val="FootnoteReference"/>
          <w:rtl/>
        </w:rPr>
        <w:footnoteReference w:id="5"/>
      </w:r>
    </w:p>
    <w:p w:rsidR="00806CFE" w:rsidRDefault="00806CFE" w:rsidP="00806CFE">
      <w:pPr>
        <w:pStyle w:val="NumberedParaAR"/>
      </w:pPr>
      <w:r>
        <w:rPr>
          <w:rFonts w:hint="cs"/>
          <w:rtl/>
        </w:rPr>
        <w:t xml:space="preserve">ووضعت الأمانة ميزانية تقديرية </w:t>
      </w:r>
      <w:proofErr w:type="gramStart"/>
      <w:r>
        <w:rPr>
          <w:rFonts w:hint="cs"/>
          <w:rtl/>
        </w:rPr>
        <w:t>قيمتها</w:t>
      </w:r>
      <w:proofErr w:type="gramEnd"/>
      <w:r>
        <w:rPr>
          <w:rFonts w:hint="cs"/>
          <w:rtl/>
        </w:rPr>
        <w:t xml:space="preserve"> 000 487 فرنك سويسري، وبُذلت جهود كبيرة في كلا البلدين المستفيدين لتنفيذ أنشطة المشروع. وترى الأمانة أنه من الضروري رصد آثار المشروع على فترة أطول، ولا سيما نجاح استراتيجية الخروج واستدامة التقدم المحرز في البلدين على صعيد البلد والشركة، من أجل إرشاد قراراتها في تطور المشروع واستدامته.</w:t>
      </w:r>
    </w:p>
    <w:p w:rsidR="00806CFE" w:rsidRDefault="00806CFE" w:rsidP="00D86D59">
      <w:pPr>
        <w:pStyle w:val="NumberedParaAR"/>
      </w:pPr>
      <w:r>
        <w:rPr>
          <w:rFonts w:hint="cs"/>
          <w:rtl/>
        </w:rPr>
        <w:t xml:space="preserve">وستضع الأمانة، </w:t>
      </w:r>
      <w:proofErr w:type="gramStart"/>
      <w:r>
        <w:rPr>
          <w:rFonts w:hint="cs"/>
          <w:rtl/>
        </w:rPr>
        <w:t>بالاتفاق</w:t>
      </w:r>
      <w:proofErr w:type="gramEnd"/>
      <w:r>
        <w:rPr>
          <w:rFonts w:hint="cs"/>
          <w:rtl/>
        </w:rPr>
        <w:t xml:space="preserve"> والتعاون مع البلدين المستفيدين وبمراعاة العمل المنجَّز في إطار المشروع، إطار تقييم مخصص لتقييم آثار المشروع على المدى البعيد. وإلى جانب الجدوى المباشرة للمشروع المعني، قد يستخلص إطار التقييم </w:t>
      </w:r>
      <w:r w:rsidR="00D86D59">
        <w:rPr>
          <w:rFonts w:hint="cs"/>
          <w:rtl/>
        </w:rPr>
        <w:t>القائم</w:t>
      </w:r>
      <w:r>
        <w:rPr>
          <w:rFonts w:hint="cs"/>
          <w:rtl/>
        </w:rPr>
        <w:t xml:space="preserve"> على النتائج تطبيقات في مجالات أخرى من المساعدة التقنية وأنشطة تكوين الكفاءات التي </w:t>
      </w:r>
      <w:r w:rsidR="00D86D59">
        <w:rPr>
          <w:rFonts w:hint="cs"/>
          <w:rtl/>
        </w:rPr>
        <w:t>تضطلع بها</w:t>
      </w:r>
      <w:r>
        <w:rPr>
          <w:rFonts w:hint="cs"/>
          <w:rtl/>
        </w:rPr>
        <w:t xml:space="preserve"> الويبو.</w:t>
      </w:r>
    </w:p>
    <w:p w:rsidR="00806CFE" w:rsidRDefault="00806CFE" w:rsidP="00806CFE">
      <w:pPr>
        <w:pStyle w:val="Heading3"/>
        <w:rPr>
          <w:rtl/>
        </w:rPr>
      </w:pPr>
      <w:r>
        <w:rPr>
          <w:rFonts w:hint="cs"/>
          <w:rtl/>
        </w:rPr>
        <w:lastRenderedPageBreak/>
        <w:t>الاستفادة من الخبرات المكتسبة</w:t>
      </w:r>
    </w:p>
    <w:p w:rsidR="00806CFE" w:rsidRDefault="00806CFE" w:rsidP="00806CFE">
      <w:pPr>
        <w:pStyle w:val="NumberedParaAR"/>
        <w:rPr>
          <w:lang w:val="fr-CH"/>
        </w:rPr>
      </w:pPr>
      <w:r>
        <w:rPr>
          <w:rFonts w:hint="cs"/>
          <w:rtl/>
          <w:lang w:val="fr-CH"/>
        </w:rPr>
        <w:t xml:space="preserve">وُضعت واعتُمدت منهجيات واضحة خلال تنفيذ المشروع </w:t>
      </w:r>
      <w:proofErr w:type="gramStart"/>
      <w:r>
        <w:rPr>
          <w:rFonts w:hint="cs"/>
          <w:rtl/>
          <w:lang w:val="fr-CH"/>
        </w:rPr>
        <w:t>أفضت</w:t>
      </w:r>
      <w:proofErr w:type="gramEnd"/>
      <w:r>
        <w:rPr>
          <w:rFonts w:hint="cs"/>
          <w:rtl/>
          <w:lang w:val="fr-CH"/>
        </w:rPr>
        <w:t xml:space="preserve"> إلى مجموعة كبيرة ومفيدة من الوثائق. وفي هذا المقام، خلص التقرير التقييم</w:t>
      </w:r>
      <w:r w:rsidR="00D86D59">
        <w:rPr>
          <w:rFonts w:hint="cs"/>
          <w:rtl/>
          <w:lang w:val="fr-CH"/>
        </w:rPr>
        <w:t>ي</w:t>
      </w:r>
      <w:r>
        <w:rPr>
          <w:rFonts w:hint="cs"/>
          <w:rtl/>
          <w:lang w:val="fr-CH"/>
        </w:rPr>
        <w:t xml:space="preserve"> إلى أن "إدارة المشروع [كانت] مرضية للغاية" واقترح تحديداً أن "</w:t>
      </w:r>
      <w:r w:rsidRPr="00806CFE">
        <w:rPr>
          <w:rtl/>
          <w:lang w:val="fr-CH"/>
        </w:rPr>
        <w:t>تطال فوائد الاستثمار الكبير في تطوير المنهجيات والأدوات بلدانا أخرى</w:t>
      </w:r>
      <w:r>
        <w:rPr>
          <w:rFonts w:hint="cs"/>
          <w:rtl/>
          <w:lang w:val="fr-CH"/>
        </w:rPr>
        <w:t>"</w:t>
      </w:r>
      <w:r w:rsidRPr="00806CFE">
        <w:rPr>
          <w:rtl/>
          <w:lang w:val="fr-CH"/>
        </w:rPr>
        <w:t>.</w:t>
      </w:r>
    </w:p>
    <w:p w:rsidR="00806CFE" w:rsidRDefault="00806CFE" w:rsidP="00D86D59">
      <w:pPr>
        <w:pStyle w:val="NumberedParaAR"/>
        <w:rPr>
          <w:lang w:val="fr-CH"/>
        </w:rPr>
      </w:pPr>
      <w:r>
        <w:rPr>
          <w:rFonts w:hint="cs"/>
          <w:rtl/>
          <w:lang w:val="fr-CH"/>
        </w:rPr>
        <w:t xml:space="preserve">واستجابة لاقتراح التقرير التقييمي وتعزيزاً لاحتمال </w:t>
      </w:r>
      <w:r w:rsidR="00E05B8C">
        <w:rPr>
          <w:rFonts w:hint="cs"/>
          <w:rtl/>
          <w:lang w:val="fr-CH"/>
        </w:rPr>
        <w:t>توسيع فوائد الاستثمارات الكبيرة في المشروع المعني للبلدين المستفيدين لتطال بلداناً وجهات أخرى، سيتعين على الأمانة تحويل المنهجيات والأدوات والوثائق والمواد الوجيهة الأخرى المعدّة خلال المشروع إلى مجموعة من الموارد القياسية التي يمكن النفاذ إليها بسهولة. ويمكن لتلك المجموعة أن تصبح بعدئذ عدّة</w:t>
      </w:r>
      <w:r w:rsidR="00E05B8C">
        <w:rPr>
          <w:rFonts w:hint="eastAsia"/>
          <w:rtl/>
          <w:lang w:val="fr-CH"/>
        </w:rPr>
        <w:t> </w:t>
      </w:r>
      <w:r w:rsidR="00E05B8C">
        <w:rPr>
          <w:rFonts w:hint="cs"/>
          <w:rtl/>
          <w:lang w:val="fr-CH"/>
        </w:rPr>
        <w:t xml:space="preserve">مرجعية لأي طرف مهتم بتكرار المشروع (أو أجزاء منه) في بلدان أو سياقات أخرى. وستوفر تلك العدّة </w:t>
      </w:r>
      <w:r w:rsidR="00D86D59">
        <w:rPr>
          <w:rFonts w:hint="cs"/>
          <w:rtl/>
          <w:lang w:val="fr-CH"/>
        </w:rPr>
        <w:t>إرشادات</w:t>
      </w:r>
      <w:r w:rsidR="00E05B8C">
        <w:rPr>
          <w:rFonts w:hint="cs"/>
          <w:rtl/>
          <w:lang w:val="fr-CH"/>
        </w:rPr>
        <w:t xml:space="preserve"> ومواد مرجعية للتعامل مع العناصر التالية من المشروع على سبيل المثال:</w:t>
      </w:r>
    </w:p>
    <w:p w:rsidR="00E05B8C" w:rsidRDefault="00E05B8C" w:rsidP="0018597F">
      <w:pPr>
        <w:pStyle w:val="NormalParaAR"/>
        <w:ind w:left="1134" w:hanging="567"/>
        <w:rPr>
          <w:rtl/>
          <w:lang w:val="fr-CH"/>
        </w:rPr>
      </w:pPr>
      <w:r>
        <w:rPr>
          <w:rFonts w:hint="cs"/>
          <w:rtl/>
          <w:lang w:val="fr-CH"/>
        </w:rPr>
        <w:t>(أ)</w:t>
      </w:r>
      <w:r>
        <w:rPr>
          <w:rtl/>
          <w:lang w:val="fr-CH"/>
        </w:rPr>
        <w:tab/>
      </w:r>
      <w:r>
        <w:rPr>
          <w:rFonts w:hint="cs"/>
          <w:rtl/>
          <w:lang w:val="fr-CH"/>
        </w:rPr>
        <w:t xml:space="preserve">رصد المشروع </w:t>
      </w:r>
      <w:proofErr w:type="gramStart"/>
      <w:r>
        <w:rPr>
          <w:rFonts w:hint="cs"/>
          <w:rtl/>
          <w:lang w:val="fr-CH"/>
        </w:rPr>
        <w:t>وتقييمه</w:t>
      </w:r>
      <w:proofErr w:type="gramEnd"/>
      <w:r>
        <w:rPr>
          <w:rFonts w:hint="cs"/>
          <w:rtl/>
          <w:lang w:val="fr-CH"/>
        </w:rPr>
        <w:t>؛</w:t>
      </w:r>
    </w:p>
    <w:p w:rsidR="00E05B8C" w:rsidRDefault="00E05B8C" w:rsidP="0018597F">
      <w:pPr>
        <w:pStyle w:val="NormalParaAR"/>
        <w:ind w:left="1134" w:hanging="567"/>
        <w:rPr>
          <w:rtl/>
          <w:lang w:val="fr-CH"/>
        </w:rPr>
      </w:pPr>
      <w:r>
        <w:rPr>
          <w:rFonts w:hint="cs"/>
          <w:rtl/>
          <w:lang w:val="fr-CH"/>
        </w:rPr>
        <w:t>(ب)</w:t>
      </w:r>
      <w:r>
        <w:rPr>
          <w:rtl/>
          <w:lang w:val="fr-CH"/>
        </w:rPr>
        <w:tab/>
      </w:r>
      <w:proofErr w:type="gramStart"/>
      <w:r>
        <w:rPr>
          <w:rFonts w:hint="cs"/>
          <w:rtl/>
          <w:lang w:val="fr-CH"/>
        </w:rPr>
        <w:t>تغيير</w:t>
      </w:r>
      <w:proofErr w:type="gramEnd"/>
      <w:r>
        <w:rPr>
          <w:rFonts w:hint="cs"/>
          <w:rtl/>
          <w:lang w:val="fr-CH"/>
        </w:rPr>
        <w:t xml:space="preserve"> الإدارة؛</w:t>
      </w:r>
    </w:p>
    <w:p w:rsidR="00E05B8C" w:rsidRDefault="00E05B8C" w:rsidP="00D86D59">
      <w:pPr>
        <w:pStyle w:val="NormalParaAR"/>
        <w:ind w:left="1134" w:hanging="567"/>
        <w:rPr>
          <w:rtl/>
          <w:lang w:val="fr-CH"/>
        </w:rPr>
      </w:pPr>
      <w:r>
        <w:rPr>
          <w:rFonts w:hint="cs"/>
          <w:rtl/>
          <w:lang w:val="fr-CH"/>
        </w:rPr>
        <w:t>(ج)</w:t>
      </w:r>
      <w:r>
        <w:rPr>
          <w:rtl/>
          <w:lang w:val="fr-CH"/>
        </w:rPr>
        <w:tab/>
      </w:r>
      <w:r w:rsidR="00D86D59">
        <w:rPr>
          <w:rFonts w:hint="cs"/>
          <w:rtl/>
          <w:lang w:val="fr-CH"/>
        </w:rPr>
        <w:t>تحديد</w:t>
      </w:r>
      <w:r>
        <w:rPr>
          <w:rFonts w:hint="cs"/>
          <w:rtl/>
          <w:lang w:val="fr-CH"/>
        </w:rPr>
        <w:t xml:space="preserve"> نطاق المشروع؛</w:t>
      </w:r>
    </w:p>
    <w:p w:rsidR="00E05B8C" w:rsidRDefault="00E05B8C" w:rsidP="0018597F">
      <w:pPr>
        <w:pStyle w:val="NormalParaAR"/>
        <w:keepNext/>
        <w:ind w:left="567"/>
        <w:rPr>
          <w:rtl/>
          <w:lang w:val="fr-CH"/>
        </w:rPr>
      </w:pPr>
      <w:r>
        <w:rPr>
          <w:rFonts w:hint="cs"/>
          <w:rtl/>
          <w:lang w:val="fr-CH"/>
        </w:rPr>
        <w:t>(د)</w:t>
      </w:r>
      <w:r>
        <w:rPr>
          <w:rFonts w:hint="cs"/>
          <w:rtl/>
          <w:lang w:val="fr-CH"/>
        </w:rPr>
        <w:tab/>
      </w:r>
      <w:proofErr w:type="gramStart"/>
      <w:r>
        <w:rPr>
          <w:rFonts w:hint="cs"/>
          <w:rtl/>
          <w:lang w:val="fr-CH"/>
        </w:rPr>
        <w:t>هياكل</w:t>
      </w:r>
      <w:proofErr w:type="gramEnd"/>
      <w:r>
        <w:rPr>
          <w:rFonts w:hint="cs"/>
          <w:rtl/>
          <w:lang w:val="fr-CH"/>
        </w:rPr>
        <w:t xml:space="preserve"> إدارة المشروع، ومنها ما يلي:</w:t>
      </w:r>
    </w:p>
    <w:p w:rsidR="00E05B8C" w:rsidRDefault="00E05B8C" w:rsidP="0018597F">
      <w:pPr>
        <w:pStyle w:val="NormalParaAR"/>
        <w:ind w:left="1701" w:hanging="567"/>
        <w:rPr>
          <w:rtl/>
          <w:lang w:val="fr-CH"/>
        </w:rPr>
      </w:pPr>
      <w:r>
        <w:rPr>
          <w:rFonts w:hint="cs"/>
          <w:rtl/>
          <w:lang w:val="fr-CH"/>
        </w:rPr>
        <w:t>"1"</w:t>
      </w:r>
      <w:r>
        <w:rPr>
          <w:rFonts w:hint="cs"/>
          <w:rtl/>
          <w:lang w:val="fr-CH"/>
        </w:rPr>
        <w:tab/>
        <w:t>الوكالات الرائدة؛</w:t>
      </w:r>
    </w:p>
    <w:p w:rsidR="00E05B8C" w:rsidRDefault="00E05B8C" w:rsidP="0018597F">
      <w:pPr>
        <w:pStyle w:val="NormalParaAR"/>
        <w:ind w:left="1701" w:hanging="567"/>
        <w:rPr>
          <w:rtl/>
          <w:lang w:val="fr-CH"/>
        </w:rPr>
      </w:pPr>
      <w:r>
        <w:rPr>
          <w:rFonts w:hint="cs"/>
          <w:rtl/>
          <w:lang w:val="fr-CH"/>
        </w:rPr>
        <w:t>"2"</w:t>
      </w:r>
      <w:r>
        <w:rPr>
          <w:rFonts w:hint="cs"/>
          <w:rtl/>
          <w:lang w:val="fr-CH"/>
        </w:rPr>
        <w:tab/>
        <w:t>اللجان التوجيهية ومنصات الشراكة بين القطاعين العام والخاص (بما في ذلك الحكومات والجمعيات والغرف التجارية والجامعات)؛</w:t>
      </w:r>
    </w:p>
    <w:p w:rsidR="00E05B8C" w:rsidRDefault="00E05B8C" w:rsidP="0018597F">
      <w:pPr>
        <w:pStyle w:val="NormalParaAR"/>
        <w:ind w:left="1701" w:hanging="567"/>
        <w:rPr>
          <w:rtl/>
          <w:lang w:val="fr-CH"/>
        </w:rPr>
      </w:pPr>
      <w:r>
        <w:rPr>
          <w:rFonts w:hint="cs"/>
          <w:rtl/>
          <w:lang w:val="fr-CH"/>
        </w:rPr>
        <w:t>"3"</w:t>
      </w:r>
      <w:r>
        <w:rPr>
          <w:rFonts w:hint="cs"/>
          <w:rtl/>
          <w:lang w:val="fr-CH"/>
        </w:rPr>
        <w:tab/>
      </w:r>
      <w:proofErr w:type="gramStart"/>
      <w:r>
        <w:rPr>
          <w:rFonts w:hint="cs"/>
          <w:rtl/>
          <w:lang w:val="fr-CH"/>
        </w:rPr>
        <w:t>منسقو</w:t>
      </w:r>
      <w:proofErr w:type="gramEnd"/>
      <w:r>
        <w:rPr>
          <w:rFonts w:hint="cs"/>
          <w:rtl/>
          <w:lang w:val="fr-CH"/>
        </w:rPr>
        <w:t xml:space="preserve"> المشروع على المستوى القطري؛</w:t>
      </w:r>
    </w:p>
    <w:p w:rsidR="00E05B8C" w:rsidRDefault="00E05B8C" w:rsidP="00D86D59">
      <w:pPr>
        <w:pStyle w:val="NormalParaAR"/>
        <w:ind w:left="1701" w:hanging="567"/>
        <w:rPr>
          <w:rtl/>
          <w:lang w:val="fr-CH"/>
        </w:rPr>
      </w:pPr>
      <w:r>
        <w:rPr>
          <w:rFonts w:hint="cs"/>
          <w:rtl/>
          <w:lang w:val="fr-CH"/>
        </w:rPr>
        <w:t>"4"</w:t>
      </w:r>
      <w:r>
        <w:rPr>
          <w:rFonts w:hint="cs"/>
          <w:rtl/>
          <w:lang w:val="fr-CH"/>
        </w:rPr>
        <w:tab/>
      </w:r>
      <w:proofErr w:type="gramStart"/>
      <w:r>
        <w:rPr>
          <w:rFonts w:hint="cs"/>
          <w:rtl/>
          <w:lang w:val="fr-CH"/>
        </w:rPr>
        <w:t>الخبراء</w:t>
      </w:r>
      <w:proofErr w:type="gramEnd"/>
      <w:r>
        <w:rPr>
          <w:rFonts w:hint="cs"/>
          <w:rtl/>
          <w:lang w:val="fr-CH"/>
        </w:rPr>
        <w:t xml:space="preserve"> الوطني</w:t>
      </w:r>
      <w:r w:rsidR="00D86D59">
        <w:rPr>
          <w:rFonts w:hint="cs"/>
          <w:rtl/>
          <w:lang w:val="fr-CH"/>
        </w:rPr>
        <w:t>و</w:t>
      </w:r>
      <w:r>
        <w:rPr>
          <w:rFonts w:hint="cs"/>
          <w:rtl/>
          <w:lang w:val="fr-CH"/>
        </w:rPr>
        <w:t>ن.</w:t>
      </w:r>
    </w:p>
    <w:p w:rsidR="00E05B8C" w:rsidRDefault="00E05B8C" w:rsidP="0018597F">
      <w:pPr>
        <w:pStyle w:val="NormalParaAR"/>
        <w:ind w:left="567"/>
        <w:rPr>
          <w:rtl/>
          <w:lang w:val="fr-CH"/>
        </w:rPr>
      </w:pPr>
      <w:r>
        <w:rPr>
          <w:rFonts w:hint="cs"/>
          <w:rtl/>
          <w:lang w:val="fr-CH"/>
        </w:rPr>
        <w:t>(ه)</w:t>
      </w:r>
      <w:r>
        <w:rPr>
          <w:rtl/>
          <w:lang w:val="fr-CH"/>
        </w:rPr>
        <w:tab/>
      </w:r>
      <w:r>
        <w:rPr>
          <w:rFonts w:hint="cs"/>
          <w:rtl/>
          <w:lang w:val="fr-CH"/>
        </w:rPr>
        <w:t>الاستراتيجيات الوطنية للعلامات التجارية والتصاميم الصناعية والمؤشرات الجغرافية؛</w:t>
      </w:r>
    </w:p>
    <w:p w:rsidR="00E05B8C" w:rsidRDefault="00E05B8C" w:rsidP="0018597F">
      <w:pPr>
        <w:pStyle w:val="NormalParaAR"/>
        <w:ind w:left="567"/>
        <w:rPr>
          <w:rtl/>
          <w:lang w:val="fr-CH"/>
        </w:rPr>
      </w:pPr>
      <w:r>
        <w:rPr>
          <w:rFonts w:hint="cs"/>
          <w:rtl/>
          <w:lang w:val="fr-CH"/>
        </w:rPr>
        <w:t>(و)</w:t>
      </w:r>
      <w:r>
        <w:rPr>
          <w:rFonts w:hint="cs"/>
          <w:rtl/>
          <w:lang w:val="fr-CH"/>
        </w:rPr>
        <w:tab/>
        <w:t xml:space="preserve">خطط الترويج </w:t>
      </w:r>
      <w:proofErr w:type="gramStart"/>
      <w:r>
        <w:rPr>
          <w:rFonts w:hint="cs"/>
          <w:rtl/>
          <w:lang w:val="fr-CH"/>
        </w:rPr>
        <w:t>والتوعية</w:t>
      </w:r>
      <w:proofErr w:type="gramEnd"/>
      <w:r>
        <w:rPr>
          <w:rFonts w:hint="cs"/>
          <w:rtl/>
          <w:lang w:val="fr-CH"/>
        </w:rPr>
        <w:t>؛</w:t>
      </w:r>
    </w:p>
    <w:p w:rsidR="00E05B8C" w:rsidRDefault="00E05B8C" w:rsidP="0018597F">
      <w:pPr>
        <w:pStyle w:val="NormalParaAR"/>
        <w:ind w:left="567"/>
        <w:rPr>
          <w:rtl/>
          <w:lang w:val="fr-CH"/>
        </w:rPr>
      </w:pPr>
      <w:r>
        <w:rPr>
          <w:rFonts w:hint="cs"/>
          <w:rtl/>
          <w:lang w:val="fr-CH"/>
        </w:rPr>
        <w:t>(ز)</w:t>
      </w:r>
      <w:r>
        <w:rPr>
          <w:rFonts w:hint="cs"/>
          <w:rtl/>
          <w:lang w:val="fr-CH"/>
        </w:rPr>
        <w:tab/>
        <w:t xml:space="preserve">دراسات الجدوى </w:t>
      </w:r>
      <w:proofErr w:type="gramStart"/>
      <w:r>
        <w:rPr>
          <w:rFonts w:hint="cs"/>
          <w:rtl/>
          <w:lang w:val="fr-CH"/>
        </w:rPr>
        <w:t>والدراسات</w:t>
      </w:r>
      <w:proofErr w:type="gramEnd"/>
      <w:r>
        <w:rPr>
          <w:rFonts w:hint="cs"/>
          <w:rtl/>
          <w:lang w:val="fr-CH"/>
        </w:rPr>
        <w:t xml:space="preserve"> الاستقصائية؛</w:t>
      </w:r>
    </w:p>
    <w:p w:rsidR="00E05B8C" w:rsidRDefault="00E05B8C" w:rsidP="0018597F">
      <w:pPr>
        <w:pStyle w:val="NormalParaAR"/>
        <w:ind w:left="567"/>
        <w:rPr>
          <w:rtl/>
          <w:lang w:val="fr-CH"/>
        </w:rPr>
      </w:pPr>
      <w:r>
        <w:rPr>
          <w:rFonts w:hint="cs"/>
          <w:rtl/>
          <w:lang w:val="fr-CH"/>
        </w:rPr>
        <w:t>(ح)</w:t>
      </w:r>
      <w:r>
        <w:rPr>
          <w:rFonts w:hint="cs"/>
          <w:rtl/>
          <w:lang w:val="fr-CH"/>
        </w:rPr>
        <w:tab/>
        <w:t>استراتيجيات الخروج؛</w:t>
      </w:r>
    </w:p>
    <w:p w:rsidR="00E05B8C" w:rsidRDefault="00E05B8C" w:rsidP="0018597F">
      <w:pPr>
        <w:pStyle w:val="NormalParaAR"/>
        <w:ind w:left="567"/>
        <w:rPr>
          <w:rtl/>
          <w:lang w:val="fr-CH"/>
        </w:rPr>
      </w:pPr>
      <w:r>
        <w:rPr>
          <w:rFonts w:hint="cs"/>
          <w:rtl/>
          <w:lang w:val="fr-CH"/>
        </w:rPr>
        <w:t>(ط)</w:t>
      </w:r>
      <w:r>
        <w:rPr>
          <w:rFonts w:hint="cs"/>
          <w:rtl/>
          <w:lang w:val="fr-CH"/>
        </w:rPr>
        <w:tab/>
      </w:r>
      <w:proofErr w:type="gramStart"/>
      <w:r>
        <w:rPr>
          <w:rFonts w:hint="cs"/>
          <w:rtl/>
          <w:lang w:val="fr-CH"/>
        </w:rPr>
        <w:t>معايير</w:t>
      </w:r>
      <w:proofErr w:type="gramEnd"/>
      <w:r>
        <w:rPr>
          <w:rFonts w:hint="cs"/>
          <w:rtl/>
          <w:lang w:val="fr-CH"/>
        </w:rPr>
        <w:t xml:space="preserve"> اختيار الشركة ومنهجيات التقييم؛</w:t>
      </w:r>
    </w:p>
    <w:p w:rsidR="00E05B8C" w:rsidRDefault="00E05B8C" w:rsidP="0018597F">
      <w:pPr>
        <w:pStyle w:val="NormalParaAR"/>
        <w:keepNext/>
        <w:ind w:left="567"/>
        <w:rPr>
          <w:rtl/>
          <w:lang w:val="fr-CH"/>
        </w:rPr>
      </w:pPr>
      <w:r>
        <w:rPr>
          <w:rFonts w:hint="cs"/>
          <w:rtl/>
          <w:lang w:val="fr-CH"/>
        </w:rPr>
        <w:lastRenderedPageBreak/>
        <w:t>(ي)</w:t>
      </w:r>
      <w:r>
        <w:rPr>
          <w:rFonts w:hint="cs"/>
          <w:rtl/>
          <w:lang w:val="fr-CH"/>
        </w:rPr>
        <w:tab/>
      </w:r>
      <w:proofErr w:type="gramStart"/>
      <w:r>
        <w:rPr>
          <w:rFonts w:hint="cs"/>
          <w:rtl/>
          <w:lang w:val="fr-CH"/>
        </w:rPr>
        <w:t>أنشطة</w:t>
      </w:r>
      <w:proofErr w:type="gramEnd"/>
      <w:r>
        <w:rPr>
          <w:rFonts w:hint="cs"/>
          <w:rtl/>
          <w:lang w:val="fr-CH"/>
        </w:rPr>
        <w:t xml:space="preserve"> الترويج والتوعية ومنها ما يلي:</w:t>
      </w:r>
    </w:p>
    <w:p w:rsidR="00E05B8C" w:rsidRDefault="00E05B8C" w:rsidP="00B72187">
      <w:pPr>
        <w:pStyle w:val="NormalParaAR"/>
        <w:keepNext/>
        <w:ind w:left="1701" w:hanging="567"/>
        <w:rPr>
          <w:rtl/>
          <w:lang w:val="fr-CH"/>
        </w:rPr>
      </w:pPr>
      <w:r>
        <w:rPr>
          <w:rFonts w:hint="cs"/>
          <w:rtl/>
          <w:lang w:val="fr-CH"/>
        </w:rPr>
        <w:t>"1"</w:t>
      </w:r>
      <w:r>
        <w:rPr>
          <w:rFonts w:hint="cs"/>
          <w:rtl/>
          <w:lang w:val="fr-CH"/>
        </w:rPr>
        <w:tab/>
        <w:t>أسماء البرامج؛</w:t>
      </w:r>
    </w:p>
    <w:p w:rsidR="00E05B8C" w:rsidRDefault="00E05B8C" w:rsidP="0018597F">
      <w:pPr>
        <w:pStyle w:val="NormalParaAR"/>
        <w:keepNext/>
        <w:ind w:left="1701" w:hanging="567"/>
        <w:rPr>
          <w:rtl/>
          <w:lang w:val="fr-CH"/>
        </w:rPr>
      </w:pPr>
      <w:r>
        <w:rPr>
          <w:rFonts w:hint="cs"/>
          <w:rtl/>
          <w:lang w:val="fr-CH"/>
        </w:rPr>
        <w:t>"2"</w:t>
      </w:r>
      <w:r>
        <w:rPr>
          <w:rFonts w:hint="cs"/>
          <w:rtl/>
          <w:lang w:val="fr-CH"/>
        </w:rPr>
        <w:tab/>
        <w:t>المنشورات الترويجية؛</w:t>
      </w:r>
    </w:p>
    <w:p w:rsidR="00E05B8C" w:rsidRDefault="00E05B8C" w:rsidP="0018597F">
      <w:pPr>
        <w:pStyle w:val="NormalParaAR"/>
        <w:ind w:left="1701" w:hanging="567"/>
        <w:rPr>
          <w:rtl/>
          <w:lang w:val="fr-CH"/>
        </w:rPr>
      </w:pPr>
      <w:r>
        <w:rPr>
          <w:rFonts w:hint="cs"/>
          <w:rtl/>
          <w:lang w:val="fr-CH"/>
        </w:rPr>
        <w:t>"3"</w:t>
      </w:r>
      <w:r>
        <w:rPr>
          <w:rFonts w:hint="cs"/>
          <w:rtl/>
          <w:lang w:val="fr-CH"/>
        </w:rPr>
        <w:tab/>
        <w:t xml:space="preserve">الشعارات المكتوبة </w:t>
      </w:r>
      <w:proofErr w:type="gramStart"/>
      <w:r>
        <w:rPr>
          <w:rFonts w:hint="cs"/>
          <w:rtl/>
          <w:lang w:val="fr-CH"/>
        </w:rPr>
        <w:t>والمرئية</w:t>
      </w:r>
      <w:proofErr w:type="gramEnd"/>
      <w:r>
        <w:rPr>
          <w:rFonts w:hint="cs"/>
          <w:rtl/>
          <w:lang w:val="fr-CH"/>
        </w:rPr>
        <w:t>؛</w:t>
      </w:r>
    </w:p>
    <w:p w:rsidR="00E05B8C" w:rsidRDefault="00E05B8C" w:rsidP="0018597F">
      <w:pPr>
        <w:pStyle w:val="NormalParaAR"/>
        <w:ind w:left="1701" w:hanging="567"/>
        <w:rPr>
          <w:rtl/>
          <w:lang w:val="fr-CH"/>
        </w:rPr>
      </w:pPr>
      <w:r>
        <w:rPr>
          <w:rFonts w:hint="cs"/>
          <w:rtl/>
          <w:lang w:val="fr-CH"/>
        </w:rPr>
        <w:t>"4"</w:t>
      </w:r>
      <w:r>
        <w:rPr>
          <w:rFonts w:hint="cs"/>
          <w:rtl/>
          <w:lang w:val="fr-CH"/>
        </w:rPr>
        <w:tab/>
      </w:r>
      <w:proofErr w:type="gramStart"/>
      <w:r>
        <w:rPr>
          <w:rFonts w:hint="cs"/>
          <w:rtl/>
          <w:lang w:val="fr-CH"/>
        </w:rPr>
        <w:t>الصفحات</w:t>
      </w:r>
      <w:proofErr w:type="gramEnd"/>
      <w:r>
        <w:rPr>
          <w:rFonts w:hint="cs"/>
          <w:rtl/>
          <w:lang w:val="fr-CH"/>
        </w:rPr>
        <w:t xml:space="preserve"> الإلكترونية؛</w:t>
      </w:r>
    </w:p>
    <w:p w:rsidR="00E05B8C" w:rsidRDefault="00E05B8C" w:rsidP="0018597F">
      <w:pPr>
        <w:pStyle w:val="NormalParaAR"/>
        <w:ind w:left="1701" w:hanging="567"/>
        <w:rPr>
          <w:rtl/>
          <w:lang w:val="fr-CH"/>
        </w:rPr>
      </w:pPr>
      <w:r>
        <w:rPr>
          <w:rFonts w:hint="cs"/>
          <w:rtl/>
          <w:lang w:val="fr-CH"/>
        </w:rPr>
        <w:t>"5"</w:t>
      </w:r>
      <w:r>
        <w:rPr>
          <w:rFonts w:hint="cs"/>
          <w:rtl/>
          <w:lang w:val="fr-CH"/>
        </w:rPr>
        <w:tab/>
        <w:t>الفيديوهات؛</w:t>
      </w:r>
    </w:p>
    <w:p w:rsidR="00E05B8C" w:rsidRDefault="00E05B8C" w:rsidP="0018597F">
      <w:pPr>
        <w:pStyle w:val="NormalParaAR"/>
        <w:ind w:left="1701" w:hanging="567"/>
        <w:rPr>
          <w:rtl/>
          <w:lang w:val="fr-CH"/>
        </w:rPr>
      </w:pPr>
      <w:r>
        <w:rPr>
          <w:rFonts w:hint="cs"/>
          <w:rtl/>
          <w:lang w:val="fr-CH"/>
        </w:rPr>
        <w:t>"6"</w:t>
      </w:r>
      <w:r>
        <w:rPr>
          <w:rFonts w:hint="cs"/>
          <w:rtl/>
          <w:lang w:val="fr-CH"/>
        </w:rPr>
        <w:tab/>
      </w:r>
      <w:proofErr w:type="gramStart"/>
      <w:r>
        <w:rPr>
          <w:rFonts w:hint="cs"/>
          <w:rtl/>
          <w:lang w:val="fr-CH"/>
        </w:rPr>
        <w:t>التغطية</w:t>
      </w:r>
      <w:proofErr w:type="gramEnd"/>
      <w:r>
        <w:rPr>
          <w:rFonts w:hint="cs"/>
          <w:rtl/>
          <w:lang w:val="fr-CH"/>
        </w:rPr>
        <w:t xml:space="preserve"> الإعلامية.</w:t>
      </w:r>
    </w:p>
    <w:p w:rsidR="00E05B8C" w:rsidRDefault="00E05B8C" w:rsidP="0018597F">
      <w:pPr>
        <w:pStyle w:val="NormalParaAR"/>
        <w:keepNext/>
        <w:ind w:left="567"/>
        <w:rPr>
          <w:rtl/>
          <w:lang w:val="fr-CH"/>
        </w:rPr>
      </w:pPr>
      <w:r>
        <w:rPr>
          <w:rFonts w:hint="cs"/>
          <w:rtl/>
          <w:lang w:val="fr-CH"/>
        </w:rPr>
        <w:t>(ك)</w:t>
      </w:r>
      <w:r>
        <w:rPr>
          <w:rFonts w:hint="cs"/>
          <w:rtl/>
          <w:lang w:val="fr-CH"/>
        </w:rPr>
        <w:tab/>
        <w:t>منهجيات الخبراء وأدواتهم التي تشمل ما يلي:</w:t>
      </w:r>
    </w:p>
    <w:p w:rsidR="00E05B8C" w:rsidRDefault="00E05B8C" w:rsidP="0018597F">
      <w:pPr>
        <w:pStyle w:val="NormalParaAR"/>
        <w:ind w:left="1701" w:hanging="567"/>
        <w:rPr>
          <w:rtl/>
          <w:lang w:val="fr-CH"/>
        </w:rPr>
      </w:pPr>
      <w:r>
        <w:rPr>
          <w:rFonts w:hint="cs"/>
          <w:rtl/>
          <w:lang w:val="fr-CH"/>
        </w:rPr>
        <w:t>"1"</w:t>
      </w:r>
      <w:r>
        <w:rPr>
          <w:rFonts w:hint="cs"/>
          <w:rtl/>
          <w:lang w:val="fr-CH"/>
        </w:rPr>
        <w:tab/>
        <w:t>المعلومات الأساسية عن التصاميم الصناعية؛</w:t>
      </w:r>
    </w:p>
    <w:p w:rsidR="00E05B8C" w:rsidRDefault="00E05B8C" w:rsidP="0018597F">
      <w:pPr>
        <w:pStyle w:val="NormalParaAR"/>
        <w:ind w:left="1701" w:hanging="567"/>
        <w:rPr>
          <w:rtl/>
          <w:lang w:val="fr-CH"/>
        </w:rPr>
      </w:pPr>
      <w:r>
        <w:rPr>
          <w:rFonts w:hint="cs"/>
          <w:rtl/>
          <w:lang w:val="fr-CH"/>
        </w:rPr>
        <w:t>"2"</w:t>
      </w:r>
      <w:r>
        <w:rPr>
          <w:rFonts w:hint="cs"/>
          <w:rtl/>
          <w:lang w:val="fr-CH"/>
        </w:rPr>
        <w:tab/>
        <w:t>الاستراتيجيات التجارية للشركة؛</w:t>
      </w:r>
    </w:p>
    <w:p w:rsidR="00E05B8C" w:rsidRDefault="00E05B8C" w:rsidP="0018597F">
      <w:pPr>
        <w:pStyle w:val="NormalParaAR"/>
        <w:ind w:left="1701" w:hanging="567"/>
        <w:rPr>
          <w:rtl/>
          <w:lang w:val="fr-CH"/>
        </w:rPr>
      </w:pPr>
      <w:r>
        <w:rPr>
          <w:rFonts w:hint="cs"/>
          <w:rtl/>
          <w:lang w:val="fr-CH"/>
        </w:rPr>
        <w:t>"3"</w:t>
      </w:r>
      <w:r>
        <w:rPr>
          <w:rFonts w:hint="cs"/>
          <w:rtl/>
          <w:lang w:val="fr-CH"/>
        </w:rPr>
        <w:tab/>
        <w:t>حافظة الشركة من التصاميم الصناعية؛</w:t>
      </w:r>
    </w:p>
    <w:p w:rsidR="00E05B8C" w:rsidRDefault="00E05B8C" w:rsidP="0018597F">
      <w:pPr>
        <w:pStyle w:val="NormalParaAR"/>
        <w:ind w:left="1701" w:hanging="567"/>
        <w:rPr>
          <w:rtl/>
          <w:lang w:val="fr-CH"/>
        </w:rPr>
      </w:pPr>
      <w:r>
        <w:rPr>
          <w:rFonts w:hint="cs"/>
          <w:rtl/>
          <w:lang w:val="fr-CH"/>
        </w:rPr>
        <w:t>"4"</w:t>
      </w:r>
      <w:r>
        <w:rPr>
          <w:rFonts w:hint="cs"/>
          <w:rtl/>
          <w:lang w:val="fr-CH"/>
        </w:rPr>
        <w:tab/>
        <w:t>استراتيجيات الملكية الفكرية الخاصة بالتصاميم الصناعية في الشركة؛</w:t>
      </w:r>
    </w:p>
    <w:p w:rsidR="00E05B8C" w:rsidRDefault="00E05B8C" w:rsidP="0018597F">
      <w:pPr>
        <w:pStyle w:val="NormalParaAR"/>
        <w:ind w:left="1701" w:hanging="567"/>
        <w:rPr>
          <w:rtl/>
          <w:lang w:val="fr-CH"/>
        </w:rPr>
      </w:pPr>
      <w:r>
        <w:rPr>
          <w:rFonts w:hint="cs"/>
          <w:rtl/>
          <w:lang w:val="fr-CH"/>
        </w:rPr>
        <w:t>"5"</w:t>
      </w:r>
      <w:r>
        <w:rPr>
          <w:rFonts w:hint="cs"/>
          <w:rtl/>
          <w:lang w:val="fr-CH"/>
        </w:rPr>
        <w:tab/>
        <w:t xml:space="preserve">الروابط مع مجالات الملكية الفكرية الأخرى </w:t>
      </w:r>
      <w:proofErr w:type="gramStart"/>
      <w:r>
        <w:rPr>
          <w:rFonts w:hint="cs"/>
          <w:rtl/>
          <w:lang w:val="fr-CH"/>
        </w:rPr>
        <w:t>مثل</w:t>
      </w:r>
      <w:proofErr w:type="gramEnd"/>
      <w:r>
        <w:rPr>
          <w:rFonts w:hint="cs"/>
          <w:rtl/>
          <w:lang w:val="fr-CH"/>
        </w:rPr>
        <w:t xml:space="preserve"> العلامات التجارية والمؤشرات الجغرافية؛</w:t>
      </w:r>
    </w:p>
    <w:p w:rsidR="00E05B8C" w:rsidRDefault="00E05B8C" w:rsidP="0018597F">
      <w:pPr>
        <w:pStyle w:val="NormalParaAR"/>
        <w:ind w:left="1701" w:hanging="567"/>
        <w:rPr>
          <w:rtl/>
          <w:lang w:val="fr-CH"/>
        </w:rPr>
      </w:pPr>
      <w:r>
        <w:rPr>
          <w:rFonts w:hint="cs"/>
          <w:rtl/>
          <w:lang w:val="fr-CH"/>
        </w:rPr>
        <w:t>"6"</w:t>
      </w:r>
      <w:r>
        <w:rPr>
          <w:rFonts w:hint="cs"/>
          <w:rtl/>
          <w:lang w:val="fr-CH"/>
        </w:rPr>
        <w:tab/>
        <w:t>المساعدة التقنية التي يقدمها خبراء وطنيون إلى الشركة.</w:t>
      </w:r>
    </w:p>
    <w:p w:rsidR="00E05B8C" w:rsidRDefault="00E05B8C" w:rsidP="0018597F">
      <w:pPr>
        <w:pStyle w:val="NormalParaAR"/>
        <w:ind w:left="567"/>
        <w:rPr>
          <w:rtl/>
          <w:lang w:val="fr-CH"/>
        </w:rPr>
      </w:pPr>
      <w:r>
        <w:rPr>
          <w:rFonts w:hint="cs"/>
          <w:rtl/>
          <w:lang w:val="fr-CH"/>
        </w:rPr>
        <w:t>(ل)</w:t>
      </w:r>
      <w:r>
        <w:rPr>
          <w:rFonts w:hint="cs"/>
          <w:rtl/>
          <w:lang w:val="fr-CH"/>
        </w:rPr>
        <w:tab/>
      </w:r>
      <w:proofErr w:type="gramStart"/>
      <w:r>
        <w:rPr>
          <w:rFonts w:hint="cs"/>
          <w:rtl/>
          <w:lang w:val="fr-CH"/>
        </w:rPr>
        <w:t>تكوين</w:t>
      </w:r>
      <w:proofErr w:type="gramEnd"/>
      <w:r>
        <w:rPr>
          <w:rFonts w:hint="cs"/>
          <w:rtl/>
          <w:lang w:val="fr-CH"/>
        </w:rPr>
        <w:t xml:space="preserve"> الكفاءات؛</w:t>
      </w:r>
    </w:p>
    <w:p w:rsidR="00E05B8C" w:rsidRDefault="00E05B8C" w:rsidP="0018597F">
      <w:pPr>
        <w:pStyle w:val="NormalParaAR"/>
        <w:keepNext/>
        <w:ind w:left="567"/>
        <w:rPr>
          <w:rtl/>
          <w:lang w:val="fr-CH"/>
        </w:rPr>
      </w:pPr>
      <w:r>
        <w:rPr>
          <w:rFonts w:hint="cs"/>
          <w:rtl/>
          <w:lang w:val="fr-CH"/>
        </w:rPr>
        <w:t>(م)</w:t>
      </w:r>
      <w:r>
        <w:rPr>
          <w:rFonts w:hint="cs"/>
          <w:rtl/>
          <w:lang w:val="fr-CH"/>
        </w:rPr>
        <w:tab/>
        <w:t>تبادل المعرفة:</w:t>
      </w:r>
    </w:p>
    <w:p w:rsidR="00E05B8C" w:rsidRDefault="00E05B8C" w:rsidP="0018597F">
      <w:pPr>
        <w:pStyle w:val="NormalParaAR"/>
        <w:ind w:left="1701" w:hanging="567"/>
        <w:rPr>
          <w:rtl/>
          <w:lang w:val="fr-CH"/>
        </w:rPr>
      </w:pPr>
      <w:r>
        <w:rPr>
          <w:rFonts w:hint="cs"/>
          <w:rtl/>
          <w:lang w:val="fr-CH"/>
        </w:rPr>
        <w:t>"1"</w:t>
      </w:r>
      <w:r>
        <w:rPr>
          <w:rFonts w:hint="cs"/>
          <w:rtl/>
          <w:lang w:val="fr-CH"/>
        </w:rPr>
        <w:tab/>
        <w:t xml:space="preserve">وطنياً </w:t>
      </w:r>
      <w:proofErr w:type="gramStart"/>
      <w:r>
        <w:rPr>
          <w:rFonts w:hint="cs"/>
          <w:rtl/>
          <w:lang w:val="fr-CH"/>
        </w:rPr>
        <w:t>ودولياً</w:t>
      </w:r>
      <w:proofErr w:type="gramEnd"/>
      <w:r>
        <w:rPr>
          <w:rFonts w:hint="cs"/>
          <w:rtl/>
          <w:lang w:val="fr-CH"/>
        </w:rPr>
        <w:t>؛</w:t>
      </w:r>
    </w:p>
    <w:p w:rsidR="00E05B8C" w:rsidRDefault="00E05B8C" w:rsidP="0018597F">
      <w:pPr>
        <w:pStyle w:val="NormalParaAR"/>
        <w:ind w:left="1701" w:hanging="567"/>
        <w:rPr>
          <w:rtl/>
          <w:lang w:val="fr-CH"/>
        </w:rPr>
      </w:pPr>
      <w:r>
        <w:rPr>
          <w:rFonts w:hint="cs"/>
          <w:rtl/>
          <w:lang w:val="fr-CH"/>
        </w:rPr>
        <w:t>"2"</w:t>
      </w:r>
      <w:r>
        <w:rPr>
          <w:rFonts w:hint="cs"/>
          <w:rtl/>
          <w:lang w:val="fr-CH"/>
        </w:rPr>
        <w:tab/>
      </w:r>
      <w:proofErr w:type="gramStart"/>
      <w:r>
        <w:rPr>
          <w:rFonts w:hint="cs"/>
          <w:rtl/>
          <w:lang w:val="fr-CH"/>
        </w:rPr>
        <w:t>بين</w:t>
      </w:r>
      <w:proofErr w:type="gramEnd"/>
      <w:r>
        <w:rPr>
          <w:rFonts w:hint="cs"/>
          <w:rtl/>
          <w:lang w:val="fr-CH"/>
        </w:rPr>
        <w:t xml:space="preserve"> القطاعات.</w:t>
      </w:r>
    </w:p>
    <w:p w:rsidR="00E05B8C" w:rsidRDefault="00E05B8C" w:rsidP="00E05B8C">
      <w:pPr>
        <w:pStyle w:val="NormalParaAR"/>
        <w:ind w:left="567"/>
        <w:rPr>
          <w:rtl/>
          <w:lang w:val="fr-CH"/>
        </w:rPr>
      </w:pPr>
      <w:r>
        <w:rPr>
          <w:rFonts w:hint="cs"/>
          <w:rtl/>
          <w:lang w:val="fr-CH"/>
        </w:rPr>
        <w:t>(ن)</w:t>
      </w:r>
      <w:r>
        <w:rPr>
          <w:rFonts w:hint="cs"/>
          <w:rtl/>
          <w:lang w:val="fr-CH"/>
        </w:rPr>
        <w:tab/>
        <w:t xml:space="preserve">مسائل تتعلق بالمساواة بين الجنسين </w:t>
      </w:r>
      <w:proofErr w:type="gramStart"/>
      <w:r>
        <w:rPr>
          <w:rFonts w:hint="cs"/>
          <w:rtl/>
          <w:lang w:val="fr-CH"/>
        </w:rPr>
        <w:t>والتنوع</w:t>
      </w:r>
      <w:proofErr w:type="gramEnd"/>
      <w:r>
        <w:rPr>
          <w:rFonts w:hint="cs"/>
          <w:rtl/>
          <w:lang w:val="fr-CH"/>
        </w:rPr>
        <w:t>.</w:t>
      </w:r>
    </w:p>
    <w:p w:rsidR="00E05B8C" w:rsidRDefault="00B90365" w:rsidP="00B90365">
      <w:pPr>
        <w:pStyle w:val="NumberedParaAR"/>
        <w:rPr>
          <w:lang w:val="fr-CH"/>
        </w:rPr>
      </w:pPr>
      <w:proofErr w:type="gramStart"/>
      <w:r>
        <w:rPr>
          <w:rFonts w:hint="cs"/>
          <w:rtl/>
          <w:lang w:val="fr-CH"/>
        </w:rPr>
        <w:t>وقد</w:t>
      </w:r>
      <w:proofErr w:type="gramEnd"/>
      <w:r>
        <w:rPr>
          <w:rFonts w:hint="cs"/>
          <w:rtl/>
          <w:lang w:val="fr-CH"/>
        </w:rPr>
        <w:t xml:space="preserve"> تكون عدّة الموارد دليلاً و/أو مجموعة من الصفحات الإلكترونية المخصصة (مع مواد تفاعلية مثل الفيديوهات و</w:t>
      </w:r>
      <w:r w:rsidR="00B72187">
        <w:rPr>
          <w:rFonts w:hint="cs"/>
          <w:rtl/>
          <w:lang w:val="fr-CH"/>
        </w:rPr>
        <w:t xml:space="preserve">وسائل </w:t>
      </w:r>
      <w:r>
        <w:rPr>
          <w:rFonts w:hint="cs"/>
          <w:rtl/>
          <w:lang w:val="fr-CH"/>
        </w:rPr>
        <w:t>التعلّم الإلكتروني).</w:t>
      </w:r>
    </w:p>
    <w:p w:rsidR="00B90365" w:rsidRPr="0018597F" w:rsidRDefault="00B90365" w:rsidP="00B90365">
      <w:pPr>
        <w:pStyle w:val="Heading3"/>
        <w:rPr>
          <w:lang w:val="en-US"/>
        </w:rPr>
      </w:pPr>
      <w:r>
        <w:rPr>
          <w:rFonts w:hint="cs"/>
          <w:rtl/>
        </w:rPr>
        <w:lastRenderedPageBreak/>
        <w:t xml:space="preserve">القابلية للتوسع </w:t>
      </w:r>
      <w:proofErr w:type="gramStart"/>
      <w:r>
        <w:rPr>
          <w:rFonts w:hint="cs"/>
          <w:rtl/>
        </w:rPr>
        <w:t>والتعميم</w:t>
      </w:r>
      <w:proofErr w:type="gramEnd"/>
    </w:p>
    <w:p w:rsidR="00B90365" w:rsidRDefault="00B90365" w:rsidP="00B72187">
      <w:pPr>
        <w:pStyle w:val="NumberedParaAR"/>
        <w:keepLines/>
        <w:rPr>
          <w:lang w:val="fr-CH"/>
        </w:rPr>
      </w:pPr>
      <w:r>
        <w:rPr>
          <w:rFonts w:hint="cs"/>
          <w:rtl/>
          <w:lang w:val="fr-CH"/>
        </w:rPr>
        <w:t xml:space="preserve">لعل القابلية للتوسع من شروط النجاح في تكرار المشروع في بلدان </w:t>
      </w:r>
      <w:proofErr w:type="gramStart"/>
      <w:r>
        <w:rPr>
          <w:rFonts w:hint="cs"/>
          <w:rtl/>
          <w:lang w:val="fr-CH"/>
        </w:rPr>
        <w:t>وسياقات</w:t>
      </w:r>
      <w:proofErr w:type="gramEnd"/>
      <w:r>
        <w:rPr>
          <w:rFonts w:hint="cs"/>
          <w:rtl/>
          <w:lang w:val="fr-CH"/>
        </w:rPr>
        <w:t xml:space="preserve"> أخرى. </w:t>
      </w:r>
      <w:proofErr w:type="gramStart"/>
      <w:r>
        <w:rPr>
          <w:rFonts w:hint="cs"/>
          <w:rtl/>
          <w:lang w:val="fr-CH"/>
        </w:rPr>
        <w:t>ومن</w:t>
      </w:r>
      <w:proofErr w:type="gramEnd"/>
      <w:r>
        <w:rPr>
          <w:rFonts w:hint="cs"/>
          <w:rtl/>
          <w:lang w:val="fr-CH"/>
        </w:rPr>
        <w:t xml:space="preserve"> العجز أن تسعى الأمانة إلى تكرار أي مشروع بالشكل ذاته في عدد متزايد من البلدان نظراً إلى ما يفترضه ذلك من موارد وعبء عمل. ولما كان التقرير التقييمي قد خلص إلى تقييم إيجابي لجوانب عديدة من المشروع، فيبدو من المنطقي إدماج تلك الجوانب في العمل المنتظم الذي تقوم به الأمانة في مجالَي تكوين الكفاءات وتقديم المساعدة التقنية. ومن شأن وضع عدّة الموارد المرجعية المستمدة من وثائق المشروع، كما ذُكر آنفاً، أن ييسر تلك العملية كثيراً. إذ يمكن للبلدان الراغبة في تكرار المشروع (أو أجزاء منه) أن تعرب للأمانة عن رغبتها؛ فتضع الأمانة أولوياتها وخطط المتابعة بناء على تلك الطلبات في إطار عملها </w:t>
      </w:r>
      <w:r w:rsidR="00B72187">
        <w:rPr>
          <w:rFonts w:hint="cs"/>
          <w:rtl/>
          <w:lang w:val="fr-CH"/>
        </w:rPr>
        <w:t>المنتظم</w:t>
      </w:r>
      <w:r>
        <w:rPr>
          <w:rFonts w:hint="cs"/>
          <w:rtl/>
          <w:lang w:val="fr-CH"/>
        </w:rPr>
        <w:t>. وإذا</w:t>
      </w:r>
      <w:r w:rsidR="00B72187">
        <w:rPr>
          <w:rFonts w:hint="cs"/>
          <w:rtl/>
          <w:lang w:val="fr-CH"/>
        </w:rPr>
        <w:t xml:space="preserve"> قررت </w:t>
      </w:r>
      <w:r>
        <w:rPr>
          <w:rFonts w:hint="cs"/>
          <w:rtl/>
          <w:lang w:val="fr-CH"/>
        </w:rPr>
        <w:t>المضي قدماً في إحدى الطلبات، وضع</w:t>
      </w:r>
      <w:r w:rsidR="00B72187">
        <w:rPr>
          <w:rFonts w:hint="cs"/>
          <w:rtl/>
          <w:lang w:val="fr-CH"/>
        </w:rPr>
        <w:t>ت</w:t>
      </w:r>
      <w:r>
        <w:rPr>
          <w:rFonts w:hint="cs"/>
          <w:rtl/>
          <w:lang w:val="fr-CH"/>
        </w:rPr>
        <w:t xml:space="preserve"> خطة بناء على عدّة الموارد المرجعية </w:t>
      </w:r>
      <w:r w:rsidR="00B72187">
        <w:rPr>
          <w:rFonts w:hint="cs"/>
          <w:rtl/>
          <w:lang w:val="fr-CH"/>
        </w:rPr>
        <w:t>ونفذتها</w:t>
      </w:r>
      <w:r>
        <w:rPr>
          <w:rFonts w:hint="cs"/>
          <w:rtl/>
          <w:lang w:val="fr-CH"/>
        </w:rPr>
        <w:t xml:space="preserve"> </w:t>
      </w:r>
      <w:r w:rsidR="00B72187">
        <w:rPr>
          <w:rFonts w:hint="cs"/>
          <w:rtl/>
          <w:lang w:val="fr-CH"/>
        </w:rPr>
        <w:t>خلال</w:t>
      </w:r>
      <w:r>
        <w:rPr>
          <w:rFonts w:hint="cs"/>
          <w:rtl/>
          <w:lang w:val="fr-CH"/>
        </w:rPr>
        <w:t xml:space="preserve"> فترة زمنية محددة.</w:t>
      </w:r>
    </w:p>
    <w:p w:rsidR="00B90365" w:rsidRDefault="00B90365" w:rsidP="00B90365">
      <w:pPr>
        <w:pStyle w:val="Heading2"/>
      </w:pPr>
      <w:proofErr w:type="gramStart"/>
      <w:r>
        <w:rPr>
          <w:rFonts w:hint="cs"/>
          <w:rtl/>
        </w:rPr>
        <w:t>عناصر</w:t>
      </w:r>
      <w:proofErr w:type="gramEnd"/>
      <w:r>
        <w:rPr>
          <w:rFonts w:hint="cs"/>
          <w:rtl/>
        </w:rPr>
        <w:t xml:space="preserve"> التنفيذ</w:t>
      </w:r>
    </w:p>
    <w:p w:rsidR="00B90365" w:rsidRDefault="00B90365" w:rsidP="0018597F">
      <w:pPr>
        <w:pStyle w:val="NumberedParaAR"/>
        <w:rPr>
          <w:lang w:val="fr-CH"/>
        </w:rPr>
      </w:pPr>
      <w:r>
        <w:rPr>
          <w:rFonts w:hint="cs"/>
          <w:rtl/>
          <w:lang w:val="fr-CH"/>
        </w:rPr>
        <w:t xml:space="preserve">بناء </w:t>
      </w:r>
      <w:proofErr w:type="gramStart"/>
      <w:r>
        <w:rPr>
          <w:rFonts w:hint="cs"/>
          <w:rtl/>
          <w:lang w:val="fr-CH"/>
        </w:rPr>
        <w:t>على</w:t>
      </w:r>
      <w:proofErr w:type="gramEnd"/>
      <w:r>
        <w:rPr>
          <w:rFonts w:hint="cs"/>
          <w:rtl/>
          <w:lang w:val="fr-CH"/>
        </w:rPr>
        <w:t xml:space="preserve"> </w:t>
      </w:r>
      <w:r w:rsidR="00B72187">
        <w:rPr>
          <w:rFonts w:hint="cs"/>
          <w:rtl/>
          <w:lang w:val="fr-CH"/>
        </w:rPr>
        <w:t xml:space="preserve">ما تقدَّم، </w:t>
      </w:r>
      <w:r>
        <w:rPr>
          <w:rFonts w:hint="cs"/>
          <w:rtl/>
          <w:lang w:val="fr-CH"/>
        </w:rPr>
        <w:t>تنفَّذ العناصر المستقلة الثلاثة التالية:</w:t>
      </w:r>
    </w:p>
    <w:p w:rsidR="00B90365" w:rsidRDefault="00B90365" w:rsidP="0018597F">
      <w:pPr>
        <w:pStyle w:val="NormalParaAR"/>
        <w:ind w:left="567"/>
        <w:rPr>
          <w:lang w:val="fr-CH"/>
        </w:rPr>
      </w:pPr>
      <w:r>
        <w:rPr>
          <w:rFonts w:hint="cs"/>
          <w:rtl/>
          <w:lang w:val="fr-CH"/>
        </w:rPr>
        <w:t>(أ)</w:t>
      </w:r>
      <w:r>
        <w:rPr>
          <w:rtl/>
          <w:lang w:val="fr-CH"/>
        </w:rPr>
        <w:tab/>
      </w:r>
      <w:proofErr w:type="gramStart"/>
      <w:r>
        <w:rPr>
          <w:rFonts w:hint="cs"/>
          <w:rtl/>
          <w:lang w:val="fr-CH"/>
        </w:rPr>
        <w:t>رصد</w:t>
      </w:r>
      <w:proofErr w:type="gramEnd"/>
      <w:r>
        <w:rPr>
          <w:rFonts w:hint="cs"/>
          <w:rtl/>
          <w:lang w:val="fr-CH"/>
        </w:rPr>
        <w:t xml:space="preserve"> آثار المشروع على المدى البعيد في البلدين المستفيدين على أساس إطار لتقييم الآثار مخصص لذلك</w:t>
      </w:r>
      <w:r>
        <w:rPr>
          <w:rFonts w:hint="eastAsia"/>
          <w:rtl/>
          <w:lang w:val="fr-CH"/>
        </w:rPr>
        <w:t> </w:t>
      </w:r>
      <w:r>
        <w:rPr>
          <w:rFonts w:hint="cs"/>
          <w:rtl/>
          <w:lang w:val="fr-CH"/>
        </w:rPr>
        <w:t>الغرض؛</w:t>
      </w:r>
    </w:p>
    <w:p w:rsidR="00B90365" w:rsidRDefault="00B90365" w:rsidP="0018597F">
      <w:pPr>
        <w:pStyle w:val="NormalParaAR"/>
        <w:ind w:left="567"/>
        <w:rPr>
          <w:lang w:val="fr-CH"/>
        </w:rPr>
      </w:pPr>
      <w:r>
        <w:rPr>
          <w:rFonts w:hint="cs"/>
          <w:rtl/>
          <w:lang w:val="fr-CH"/>
        </w:rPr>
        <w:t>(ب)</w:t>
      </w:r>
      <w:r>
        <w:rPr>
          <w:rtl/>
          <w:lang w:val="fr-CH"/>
        </w:rPr>
        <w:tab/>
      </w:r>
      <w:r>
        <w:rPr>
          <w:rFonts w:hint="cs"/>
          <w:rtl/>
          <w:lang w:val="fr-CH"/>
        </w:rPr>
        <w:t>إعداد عدّة الموارد المرجعية وإتاحتها، كما ورد في الفقرات 8 إلى 10 من هذه الوثيقة؛</w:t>
      </w:r>
    </w:p>
    <w:p w:rsidR="00B90365" w:rsidRDefault="00B90365" w:rsidP="00B72187">
      <w:pPr>
        <w:pStyle w:val="NormalParaAR"/>
        <w:ind w:left="567"/>
        <w:rPr>
          <w:lang w:val="fr-CH"/>
        </w:rPr>
      </w:pPr>
      <w:r>
        <w:rPr>
          <w:rFonts w:hint="cs"/>
          <w:rtl/>
          <w:lang w:val="fr-CH"/>
        </w:rPr>
        <w:t>(ج)</w:t>
      </w:r>
      <w:r>
        <w:rPr>
          <w:rFonts w:hint="cs"/>
          <w:rtl/>
          <w:lang w:val="fr-CH"/>
        </w:rPr>
        <w:tab/>
      </w:r>
      <w:r w:rsidR="00B72187">
        <w:rPr>
          <w:rFonts w:hint="cs"/>
          <w:rtl/>
          <w:lang w:val="fr-CH"/>
        </w:rPr>
        <w:t>إدماج</w:t>
      </w:r>
      <w:r>
        <w:rPr>
          <w:rFonts w:hint="cs"/>
          <w:rtl/>
          <w:lang w:val="fr-CH"/>
        </w:rPr>
        <w:t xml:space="preserve"> أنشطة المشروع </w:t>
      </w:r>
      <w:r w:rsidR="00B72187">
        <w:rPr>
          <w:rFonts w:hint="cs"/>
          <w:rtl/>
          <w:lang w:val="fr-CH"/>
        </w:rPr>
        <w:t>في إطار</w:t>
      </w:r>
      <w:r>
        <w:rPr>
          <w:rFonts w:hint="cs"/>
          <w:rtl/>
          <w:lang w:val="fr-CH"/>
        </w:rPr>
        <w:t xml:space="preserve"> </w:t>
      </w:r>
      <w:proofErr w:type="gramStart"/>
      <w:r w:rsidR="00B72187">
        <w:rPr>
          <w:rFonts w:hint="cs"/>
          <w:rtl/>
          <w:lang w:val="fr-CH"/>
        </w:rPr>
        <w:t>عمل</w:t>
      </w:r>
      <w:proofErr w:type="gramEnd"/>
      <w:r w:rsidR="00B72187">
        <w:rPr>
          <w:rFonts w:hint="cs"/>
          <w:rtl/>
          <w:lang w:val="fr-CH"/>
        </w:rPr>
        <w:t xml:space="preserve"> الأمانة المنتظم</w:t>
      </w:r>
      <w:r>
        <w:rPr>
          <w:rFonts w:hint="cs"/>
          <w:rtl/>
          <w:lang w:val="fr-CH"/>
        </w:rPr>
        <w:t xml:space="preserve"> في مجالَي التوعية وتكوين الكفاءات.</w:t>
      </w:r>
    </w:p>
    <w:p w:rsidR="00B90365" w:rsidRDefault="00B90365" w:rsidP="00B72187">
      <w:pPr>
        <w:pStyle w:val="NumberedParaAR"/>
        <w:rPr>
          <w:lang w:val="fr-CH"/>
        </w:rPr>
      </w:pPr>
      <w:r>
        <w:rPr>
          <w:rFonts w:hint="cs"/>
          <w:rtl/>
          <w:lang w:val="fr-CH"/>
        </w:rPr>
        <w:t xml:space="preserve">وسيؤدي تنفيذ تلك العناصر إلى أن يصبح تنفيذ متابعة المشروع جزءاً من العمل </w:t>
      </w:r>
      <w:r w:rsidR="00B72187">
        <w:rPr>
          <w:rFonts w:hint="cs"/>
          <w:rtl/>
          <w:lang w:val="fr-CH"/>
        </w:rPr>
        <w:t>المنتظم</w:t>
      </w:r>
      <w:r>
        <w:rPr>
          <w:rFonts w:hint="cs"/>
          <w:rtl/>
          <w:lang w:val="fr-CH"/>
        </w:rPr>
        <w:t xml:space="preserve"> للأمانة.</w:t>
      </w:r>
    </w:p>
    <w:p w:rsidR="00B90365" w:rsidRDefault="00B90365" w:rsidP="00B72187">
      <w:pPr>
        <w:pStyle w:val="Heading2"/>
      </w:pPr>
      <w:r>
        <w:rPr>
          <w:rFonts w:hint="cs"/>
          <w:rtl/>
        </w:rPr>
        <w:t>دعم المشروع</w:t>
      </w:r>
    </w:p>
    <w:p w:rsidR="00B90365" w:rsidRDefault="00B72187" w:rsidP="00B72187">
      <w:pPr>
        <w:pStyle w:val="NumberedParaAR"/>
        <w:rPr>
          <w:lang w:val="fr-CH"/>
        </w:rPr>
      </w:pPr>
      <w:r>
        <w:rPr>
          <w:rFonts w:hint="cs"/>
          <w:rtl/>
          <w:lang w:val="fr-CH"/>
        </w:rPr>
        <w:t>عُهدت المسؤولية عن التنفيذ اليومي للمشروع إلى</w:t>
      </w:r>
      <w:r w:rsidR="0018597F">
        <w:rPr>
          <w:rFonts w:hint="cs"/>
          <w:rtl/>
          <w:lang w:val="fr-CH"/>
        </w:rPr>
        <w:t xml:space="preserve"> موظف</w:t>
      </w:r>
      <w:r>
        <w:rPr>
          <w:rFonts w:hint="cs"/>
          <w:rtl/>
          <w:lang w:val="fr-CH"/>
        </w:rPr>
        <w:t xml:space="preserve"> مخصص</w:t>
      </w:r>
      <w:r w:rsidR="0018597F">
        <w:rPr>
          <w:rFonts w:hint="cs"/>
          <w:rtl/>
          <w:lang w:val="fr-CH"/>
        </w:rPr>
        <w:t xml:space="preserve"> بدوام كامل. ووفقاً للتقرير التقييمي، كان ذلك </w:t>
      </w:r>
      <w:r>
        <w:rPr>
          <w:rFonts w:hint="cs"/>
          <w:rtl/>
          <w:lang w:val="fr-CH"/>
        </w:rPr>
        <w:t xml:space="preserve">من </w:t>
      </w:r>
      <w:r w:rsidR="0018597F">
        <w:rPr>
          <w:rFonts w:hint="cs"/>
          <w:rtl/>
          <w:lang w:val="fr-CH"/>
        </w:rPr>
        <w:t>العوامل التي "أدت دوراً محورياً في نجاح المشروع". ومن المفيد بمكان استخدام المعارف والخبرات التي</w:t>
      </w:r>
      <w:r>
        <w:rPr>
          <w:rFonts w:hint="cs"/>
          <w:rtl/>
          <w:lang w:val="fr-CH"/>
        </w:rPr>
        <w:t xml:space="preserve"> اكتسبها</w:t>
      </w:r>
      <w:r w:rsidR="0018597F">
        <w:rPr>
          <w:rFonts w:hint="cs"/>
          <w:rtl/>
          <w:lang w:val="fr-CH"/>
        </w:rPr>
        <w:t xml:space="preserve"> ذلك</w:t>
      </w:r>
      <w:r>
        <w:rPr>
          <w:rFonts w:hint="eastAsia"/>
          <w:rtl/>
          <w:lang w:val="fr-CH"/>
        </w:rPr>
        <w:t> </w:t>
      </w:r>
      <w:r w:rsidR="0018597F">
        <w:rPr>
          <w:rFonts w:hint="cs"/>
          <w:rtl/>
          <w:lang w:val="fr-CH"/>
        </w:rPr>
        <w:t>الموظف في تطوير العنصرين (أ) و(ب) المذكورين آنفاً ونقل المعرفة إلى المنظمة عن طريق تنظيم دورات تدريب وجلسات</w:t>
      </w:r>
      <w:r w:rsidR="0018597F">
        <w:rPr>
          <w:rFonts w:hint="eastAsia"/>
          <w:rtl/>
          <w:lang w:val="fr-CH"/>
        </w:rPr>
        <w:t> </w:t>
      </w:r>
      <w:r w:rsidR="0018597F">
        <w:rPr>
          <w:rFonts w:hint="cs"/>
          <w:rtl/>
          <w:lang w:val="fr-CH"/>
        </w:rPr>
        <w:t>إعلامية.</w:t>
      </w:r>
    </w:p>
    <w:p w:rsidR="0018597F" w:rsidRDefault="0018597F" w:rsidP="0018597F">
      <w:pPr>
        <w:pStyle w:val="DecisionParaAR"/>
        <w:rPr>
          <w:lang w:val="fr-CH"/>
        </w:rPr>
      </w:pPr>
      <w:r>
        <w:rPr>
          <w:rFonts w:hint="cs"/>
          <w:rtl/>
          <w:lang w:val="fr-CH"/>
        </w:rPr>
        <w:t>إن لجنة التنمية مدعوة إلى النظر في المعلومات الواردة في هذه الوثيقة.</w:t>
      </w:r>
    </w:p>
    <w:p w:rsidR="0018597F" w:rsidRPr="00B90365" w:rsidRDefault="0018597F" w:rsidP="0018597F">
      <w:pPr>
        <w:pStyle w:val="EndofDocumentAR"/>
        <w:spacing w:before="600"/>
        <w:rPr>
          <w:lang w:val="fr-CH"/>
        </w:rPr>
      </w:pPr>
      <w:r>
        <w:rPr>
          <w:rFonts w:hint="cs"/>
          <w:rtl/>
          <w:lang w:val="fr-CH"/>
        </w:rPr>
        <w:t>[</w:t>
      </w:r>
      <w:proofErr w:type="gramStart"/>
      <w:r>
        <w:rPr>
          <w:rFonts w:hint="cs"/>
          <w:rtl/>
          <w:lang w:val="fr-CH"/>
        </w:rPr>
        <w:t>نهاية</w:t>
      </w:r>
      <w:proofErr w:type="gramEnd"/>
      <w:r>
        <w:rPr>
          <w:rFonts w:hint="cs"/>
          <w:rtl/>
          <w:lang w:val="fr-CH"/>
        </w:rPr>
        <w:t xml:space="preserve"> الوثيقة]</w:t>
      </w:r>
    </w:p>
    <w:sectPr w:rsidR="0018597F" w:rsidRPr="00B9036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89" w:rsidRDefault="00630589">
      <w:r>
        <w:separator/>
      </w:r>
    </w:p>
  </w:endnote>
  <w:endnote w:type="continuationSeparator" w:id="0">
    <w:p w:rsidR="00630589" w:rsidRDefault="0063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89" w:rsidRDefault="00630589" w:rsidP="009622BF">
      <w:pPr>
        <w:bidi/>
      </w:pPr>
      <w:bookmarkStart w:id="0" w:name="OLE_LINK1"/>
      <w:bookmarkStart w:id="1" w:name="OLE_LINK2"/>
      <w:r>
        <w:separator/>
      </w:r>
      <w:bookmarkEnd w:id="0"/>
      <w:bookmarkEnd w:id="1"/>
    </w:p>
  </w:footnote>
  <w:footnote w:type="continuationSeparator" w:id="0">
    <w:p w:rsidR="00630589" w:rsidRDefault="00630589" w:rsidP="009622BF">
      <w:pPr>
        <w:bidi/>
      </w:pPr>
      <w:r>
        <w:separator/>
      </w:r>
    </w:p>
  </w:footnote>
  <w:footnote w:id="1">
    <w:p w:rsidR="00574E65" w:rsidRDefault="00574E65">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الوثيقة</w:t>
      </w:r>
      <w:proofErr w:type="gramEnd"/>
      <w:r>
        <w:rPr>
          <w:rFonts w:hint="cs"/>
          <w:rtl/>
        </w:rPr>
        <w:t xml:space="preserve"> </w:t>
      </w:r>
      <w:r>
        <w:t>CDIP/11/7</w:t>
      </w:r>
      <w:r>
        <w:rPr>
          <w:rFonts w:hint="cs"/>
          <w:rtl/>
          <w:lang w:bidi="ar-EG"/>
        </w:rPr>
        <w:t>.</w:t>
      </w:r>
    </w:p>
  </w:footnote>
  <w:footnote w:id="2">
    <w:p w:rsidR="00574E65" w:rsidRDefault="00574E65">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الوثيقة</w:t>
      </w:r>
      <w:proofErr w:type="gramEnd"/>
      <w:r>
        <w:rPr>
          <w:rFonts w:hint="cs"/>
          <w:rtl/>
        </w:rPr>
        <w:t xml:space="preserve"> </w:t>
      </w:r>
      <w:r>
        <w:t>CDIP/12/6</w:t>
      </w:r>
      <w:r>
        <w:rPr>
          <w:rFonts w:hint="cs"/>
          <w:rtl/>
          <w:lang w:bidi="ar-EG"/>
        </w:rPr>
        <w:t>.</w:t>
      </w:r>
    </w:p>
  </w:footnote>
  <w:footnote w:id="3">
    <w:p w:rsidR="00574E65" w:rsidRDefault="00574E65">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الوثيقة</w:t>
      </w:r>
      <w:proofErr w:type="gramEnd"/>
      <w:r>
        <w:rPr>
          <w:rFonts w:hint="cs"/>
          <w:rtl/>
        </w:rPr>
        <w:t xml:space="preserve"> </w:t>
      </w:r>
      <w:r>
        <w:t>CDIP/19/4</w:t>
      </w:r>
      <w:r>
        <w:rPr>
          <w:rFonts w:hint="cs"/>
          <w:rtl/>
          <w:lang w:bidi="ar-EG"/>
        </w:rPr>
        <w:t>.</w:t>
      </w:r>
    </w:p>
  </w:footnote>
  <w:footnote w:id="4">
    <w:p w:rsidR="00FE17D3" w:rsidRDefault="00FE17D3">
      <w:pPr>
        <w:pStyle w:val="FootnoteText"/>
        <w:rPr>
          <w:lang w:bidi="ar-EG"/>
        </w:rPr>
      </w:pPr>
      <w:r>
        <w:rPr>
          <w:rStyle w:val="FootnoteReference"/>
        </w:rPr>
        <w:footnoteRef/>
      </w:r>
      <w:r>
        <w:rPr>
          <w:rtl/>
        </w:rPr>
        <w:t xml:space="preserve"> </w:t>
      </w:r>
      <w:r>
        <w:rPr>
          <w:rFonts w:hint="cs"/>
          <w:rtl/>
          <w:lang w:bidi="ar-EG"/>
        </w:rPr>
        <w:t xml:space="preserve">انظر </w:t>
      </w:r>
      <w:proofErr w:type="gramStart"/>
      <w:r>
        <w:rPr>
          <w:rFonts w:hint="cs"/>
          <w:rtl/>
          <w:lang w:bidi="ar-EG"/>
        </w:rPr>
        <w:t>الفقرة</w:t>
      </w:r>
      <w:proofErr w:type="gramEnd"/>
      <w:r>
        <w:rPr>
          <w:rFonts w:hint="cs"/>
          <w:rtl/>
          <w:lang w:bidi="ar-EG"/>
        </w:rPr>
        <w:t xml:space="preserve"> 2.6 من ملخص الرئيس للدورة التاسعة </w:t>
      </w:r>
      <w:proofErr w:type="gramStart"/>
      <w:r>
        <w:rPr>
          <w:rFonts w:hint="cs"/>
          <w:rtl/>
          <w:lang w:bidi="ar-EG"/>
        </w:rPr>
        <w:t>عشرة</w:t>
      </w:r>
      <w:proofErr w:type="gramEnd"/>
      <w:r>
        <w:rPr>
          <w:rFonts w:hint="cs"/>
          <w:rtl/>
          <w:lang w:bidi="ar-EG"/>
        </w:rPr>
        <w:t xml:space="preserve"> للجنة التنمية.</w:t>
      </w:r>
    </w:p>
  </w:footnote>
  <w:footnote w:id="5">
    <w:p w:rsidR="00806CFE" w:rsidRDefault="00806CFE" w:rsidP="00806CFE">
      <w:pPr>
        <w:pStyle w:val="FootnoteText"/>
        <w:rPr>
          <w:rtl/>
          <w:lang w:bidi="ar-EG"/>
        </w:rPr>
      </w:pPr>
      <w:r>
        <w:rPr>
          <w:rStyle w:val="FootnoteReference"/>
        </w:rPr>
        <w:footnoteRef/>
      </w:r>
      <w:r>
        <w:rPr>
          <w:rtl/>
        </w:rPr>
        <w:t xml:space="preserve"> </w:t>
      </w:r>
      <w:r>
        <w:rPr>
          <w:rFonts w:hint="cs"/>
          <w:rtl/>
          <w:lang w:bidi="ar-EG"/>
        </w:rPr>
        <w:t xml:space="preserve">انظر الفقرتين 30 و31 والفقرات 76 </w:t>
      </w:r>
      <w:proofErr w:type="gramStart"/>
      <w:r>
        <w:rPr>
          <w:rFonts w:hint="cs"/>
          <w:rtl/>
          <w:lang w:bidi="ar-EG"/>
        </w:rPr>
        <w:t>إلى</w:t>
      </w:r>
      <w:proofErr w:type="gramEnd"/>
      <w:r>
        <w:rPr>
          <w:rFonts w:hint="cs"/>
          <w:rtl/>
          <w:lang w:bidi="ar-EG"/>
        </w:rPr>
        <w:t xml:space="preserve"> 78 من الوثيقة </w:t>
      </w:r>
      <w:r>
        <w:rPr>
          <w:lang w:bidi="ar-EG"/>
        </w:rPr>
        <w:t>CDIP/19/4</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8F262E">
    <w:r>
      <w:t>CDIP</w:t>
    </w:r>
    <w:r w:rsidR="002F77FC">
      <w:t>/</w:t>
    </w:r>
    <w:r w:rsidR="008F262E">
      <w:t>20</w:t>
    </w:r>
    <w:r w:rsidR="00FE17D3">
      <w:t>/4</w:t>
    </w:r>
  </w:p>
  <w:p w:rsidR="002F77FC" w:rsidRDefault="002F77FC" w:rsidP="00D61541">
    <w:r>
      <w:fldChar w:fldCharType="begin"/>
    </w:r>
    <w:r>
      <w:instrText xml:space="preserve"> PAGE  \* MERGEFORMAT </w:instrText>
    </w:r>
    <w:r>
      <w:fldChar w:fldCharType="separate"/>
    </w:r>
    <w:r w:rsidR="009A57AE">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3560D8D"/>
    <w:multiLevelType w:val="hybridMultilevel"/>
    <w:tmpl w:val="474828B4"/>
    <w:lvl w:ilvl="0" w:tplc="5E72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3205D7"/>
    <w:multiLevelType w:val="hybridMultilevel"/>
    <w:tmpl w:val="BAC6F482"/>
    <w:lvl w:ilvl="0" w:tplc="2A7E690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97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4E65"/>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58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D5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CFE"/>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D6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7AE"/>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187"/>
    <w:rsid w:val="00B72C1C"/>
    <w:rsid w:val="00B73BB7"/>
    <w:rsid w:val="00B751C3"/>
    <w:rsid w:val="00B76C0D"/>
    <w:rsid w:val="00B77D0D"/>
    <w:rsid w:val="00B80817"/>
    <w:rsid w:val="00B827E6"/>
    <w:rsid w:val="00B82A28"/>
    <w:rsid w:val="00B82B8D"/>
    <w:rsid w:val="00B82C97"/>
    <w:rsid w:val="00B841EC"/>
    <w:rsid w:val="00B851D5"/>
    <w:rsid w:val="00B85B06"/>
    <w:rsid w:val="00B9036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D59"/>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5B8C"/>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7D3"/>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4C7D-A9D8-489C-AFD1-450BA107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CDIP_20_AR.dotx</Template>
  <TotalTime>74</TotalTime>
  <Pages>5</Pages>
  <Words>1137</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CDIP/20/4 (Arabic)</vt:lpstr>
    </vt:vector>
  </TitlesOfParts>
  <Company>World Intellectual Property Organization</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CDIP/20/4 (Arabic)</dc:title>
  <dc:creator>Ahmed Hassan</dc:creator>
  <cp:lastModifiedBy>YOUSSEF Randa</cp:lastModifiedBy>
  <cp:revision>4</cp:revision>
  <cp:lastPrinted>2017-10-02T13:49:00Z</cp:lastPrinted>
  <dcterms:created xsi:type="dcterms:W3CDTF">2017-10-02T06:58:00Z</dcterms:created>
  <dcterms:modified xsi:type="dcterms:W3CDTF">2017-10-02T13:50:00Z</dcterms:modified>
</cp:coreProperties>
</file>