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A525C7" w:rsidRPr="00B63F29" w:rsidTr="00104183">
        <w:tc>
          <w:tcPr>
            <w:tcW w:w="4843" w:type="dxa"/>
            <w:tcBorders>
              <w:bottom w:val="single" w:sz="4" w:space="0" w:color="auto"/>
            </w:tcBorders>
          </w:tcPr>
          <w:p w:rsidR="00A525C7" w:rsidRDefault="00A525C7" w:rsidP="00104183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A525C7" w:rsidRPr="00B63F29" w:rsidRDefault="00A525C7" w:rsidP="00104183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63F29">
              <w:rPr>
                <w:noProof/>
              </w:rPr>
              <w:drawing>
                <wp:inline distT="0" distB="0" distL="0" distR="0" wp14:anchorId="41294384" wp14:editId="670FF857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A525C7" w:rsidRPr="00B63F29" w:rsidRDefault="00A525C7" w:rsidP="00104183">
            <w:pPr>
              <w:rPr>
                <w:b/>
                <w:bCs/>
                <w:sz w:val="40"/>
                <w:szCs w:val="40"/>
              </w:rPr>
            </w:pPr>
            <w:r w:rsidRPr="00B63F29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A525C7" w:rsidRPr="00B63F29" w:rsidTr="00104183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A525C7" w:rsidRPr="00B63F29" w:rsidRDefault="00A525C7" w:rsidP="00104183">
            <w:pPr>
              <w:pStyle w:val="DocumentCodeAR"/>
              <w:bidi/>
            </w:pPr>
            <w:r w:rsidRPr="00B63F29">
              <w:t>CDIP/17/INF/2</w:t>
            </w:r>
          </w:p>
        </w:tc>
      </w:tr>
      <w:tr w:rsidR="00A525C7" w:rsidRPr="00B63F29" w:rsidTr="00104183">
        <w:tc>
          <w:tcPr>
            <w:tcW w:w="9571" w:type="dxa"/>
            <w:gridSpan w:val="3"/>
          </w:tcPr>
          <w:p w:rsidR="00A525C7" w:rsidRPr="00B63F29" w:rsidRDefault="00A525C7" w:rsidP="00104183">
            <w:pPr>
              <w:pStyle w:val="DocumentLanguageAR"/>
              <w:bidi/>
              <w:rPr>
                <w:rtl/>
              </w:rPr>
            </w:pPr>
            <w:r w:rsidRPr="00B63F29">
              <w:rPr>
                <w:rFonts w:hint="cs"/>
                <w:rtl/>
              </w:rPr>
              <w:t>الأصل: بالإنكليزية</w:t>
            </w:r>
          </w:p>
        </w:tc>
      </w:tr>
      <w:tr w:rsidR="00A525C7" w:rsidRPr="00B63F29" w:rsidTr="00104183">
        <w:tc>
          <w:tcPr>
            <w:tcW w:w="9571" w:type="dxa"/>
            <w:gridSpan w:val="3"/>
          </w:tcPr>
          <w:p w:rsidR="00A525C7" w:rsidRPr="00B63F29" w:rsidRDefault="00A525C7" w:rsidP="00104183">
            <w:pPr>
              <w:pStyle w:val="DocumentDateAR"/>
              <w:bidi/>
              <w:rPr>
                <w:rtl/>
              </w:rPr>
            </w:pPr>
            <w:r w:rsidRPr="00B63F29">
              <w:rPr>
                <w:rFonts w:hint="cs"/>
                <w:rtl/>
              </w:rPr>
              <w:t>التاريخ: 29 فيراير 2016</w:t>
            </w:r>
          </w:p>
        </w:tc>
      </w:tr>
    </w:tbl>
    <w:p w:rsidR="00A525C7" w:rsidRPr="00B63F29" w:rsidRDefault="00A525C7" w:rsidP="00A525C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A525C7" w:rsidRPr="00B63F29" w:rsidRDefault="00A525C7" w:rsidP="00A525C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A525C7" w:rsidRPr="00B63F29" w:rsidRDefault="00A525C7" w:rsidP="00A525C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A525C7" w:rsidRPr="00B63F29" w:rsidRDefault="00A525C7" w:rsidP="00A525C7">
      <w:pPr>
        <w:pStyle w:val="MeetingTitleAR"/>
        <w:bidi/>
        <w:ind w:right="550"/>
        <w:rPr>
          <w:rtl/>
        </w:rPr>
      </w:pPr>
      <w:r w:rsidRPr="00B63F29">
        <w:rPr>
          <w:rtl/>
        </w:rPr>
        <w:t xml:space="preserve">اللجنة </w:t>
      </w:r>
      <w:r w:rsidRPr="00B63F29">
        <w:rPr>
          <w:rFonts w:hint="cs"/>
          <w:rtl/>
        </w:rPr>
        <w:t>المعنية بالتنمية والملكية الفكرية</w:t>
      </w:r>
    </w:p>
    <w:p w:rsidR="00A525C7" w:rsidRPr="00B63F29" w:rsidRDefault="00A525C7" w:rsidP="00A525C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A525C7" w:rsidRPr="00B63F29" w:rsidRDefault="00A525C7" w:rsidP="00A525C7">
      <w:pPr>
        <w:pStyle w:val="MeetingSessionAR"/>
        <w:bidi/>
        <w:rPr>
          <w:rFonts w:ascii="Cambria Math" w:hAnsi="Cambria Math"/>
          <w:rtl/>
        </w:rPr>
      </w:pPr>
      <w:r w:rsidRPr="00B63F29">
        <w:rPr>
          <w:rFonts w:ascii="Cambria Math" w:hAnsi="Cambria Math"/>
          <w:rtl/>
        </w:rPr>
        <w:t xml:space="preserve">الدورة </w:t>
      </w:r>
      <w:r w:rsidRPr="00B63F29">
        <w:rPr>
          <w:rFonts w:ascii="Cambria Math" w:hAnsi="Cambria Math" w:hint="cs"/>
          <w:rtl/>
        </w:rPr>
        <w:t>السابعة عشرة</w:t>
      </w:r>
    </w:p>
    <w:p w:rsidR="00A525C7" w:rsidRPr="00B63F29" w:rsidRDefault="00A525C7" w:rsidP="00A525C7">
      <w:pPr>
        <w:pStyle w:val="MeetingDatesAR"/>
        <w:bidi/>
        <w:rPr>
          <w:rtl/>
        </w:rPr>
      </w:pPr>
      <w:r w:rsidRPr="00B63F29">
        <w:rPr>
          <w:rFonts w:hint="cs"/>
          <w:rtl/>
        </w:rPr>
        <w:t>جنيف، من 11 إلى 15 أبريل 2016</w:t>
      </w:r>
    </w:p>
    <w:p w:rsidR="00A525C7" w:rsidRPr="00B63F29" w:rsidRDefault="00A525C7" w:rsidP="00A525C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A525C7" w:rsidRPr="00B63F29" w:rsidRDefault="00A525C7" w:rsidP="00A525C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A525C7" w:rsidRPr="00B63F29" w:rsidRDefault="00A525C7" w:rsidP="00A525C7">
      <w:pPr>
        <w:pStyle w:val="DocumentTitleAR"/>
        <w:bidi/>
        <w:rPr>
          <w:b/>
          <w:bCs/>
          <w:rtl/>
        </w:rPr>
      </w:pPr>
      <w:r w:rsidRPr="00B63F29">
        <w:rPr>
          <w:rFonts w:hint="cs"/>
          <w:b/>
          <w:bCs/>
          <w:rtl/>
        </w:rPr>
        <w:t>ملخص ال</w:t>
      </w:r>
      <w:r w:rsidRPr="00B63F29">
        <w:rPr>
          <w:b/>
          <w:bCs/>
          <w:rtl/>
        </w:rPr>
        <w:t xml:space="preserve">دليل </w:t>
      </w:r>
      <w:r w:rsidRPr="00B63F29">
        <w:rPr>
          <w:rFonts w:hint="cs"/>
          <w:b/>
          <w:bCs/>
          <w:rtl/>
        </w:rPr>
        <w:t>ال</w:t>
      </w:r>
      <w:r w:rsidRPr="00B63F29">
        <w:rPr>
          <w:b/>
          <w:bCs/>
          <w:rtl/>
        </w:rPr>
        <w:t xml:space="preserve">عملي لتقييم الأصول غير الملموسة في </w:t>
      </w:r>
      <w:r>
        <w:rPr>
          <w:rFonts w:hint="cs"/>
          <w:b/>
          <w:bCs/>
          <w:rtl/>
        </w:rPr>
        <w:t>معاهد</w:t>
      </w:r>
      <w:r w:rsidRPr="00B63F29">
        <w:rPr>
          <w:b/>
          <w:bCs/>
          <w:rtl/>
        </w:rPr>
        <w:t xml:space="preserve"> الأبحاث</w:t>
      </w:r>
      <w:r w:rsidRPr="00B63F29">
        <w:rPr>
          <w:rFonts w:hint="cs"/>
          <w:b/>
          <w:bCs/>
          <w:rtl/>
        </w:rPr>
        <w:t xml:space="preserve"> والتطوير</w:t>
      </w:r>
    </w:p>
    <w:p w:rsidR="00A525C7" w:rsidRPr="00B63F29" w:rsidRDefault="00A525C7" w:rsidP="00A525C7">
      <w:pPr>
        <w:pStyle w:val="PreparedbyAR"/>
        <w:bidi/>
        <w:rPr>
          <w:rtl/>
        </w:rPr>
      </w:pPr>
      <w:r w:rsidRPr="00B63F29">
        <w:rPr>
          <w:rFonts w:hint="cs"/>
          <w:rtl/>
        </w:rPr>
        <w:t>من إعداد السيد توماس إيوينغ،المحامي التجاري،و</w:t>
      </w:r>
      <w:r w:rsidRPr="00B63F29">
        <w:rPr>
          <w:rtl/>
        </w:rPr>
        <w:t xml:space="preserve">وكيل </w:t>
      </w:r>
      <w:r w:rsidRPr="00B63F29">
        <w:rPr>
          <w:rFonts w:hint="cs"/>
          <w:rtl/>
        </w:rPr>
        <w:t>ال</w:t>
      </w:r>
      <w:r w:rsidRPr="00B63F29">
        <w:rPr>
          <w:rtl/>
        </w:rPr>
        <w:t xml:space="preserve">براءات </w:t>
      </w:r>
      <w:r w:rsidRPr="00B63F29">
        <w:rPr>
          <w:rFonts w:hint="cs"/>
          <w:rtl/>
        </w:rPr>
        <w:t>ال</w:t>
      </w:r>
      <w:r w:rsidRPr="00B63F29">
        <w:rPr>
          <w:rtl/>
        </w:rPr>
        <w:t>معتمد</w:t>
      </w:r>
      <w:r w:rsidRPr="00B63F29">
        <w:rPr>
          <w:rFonts w:hint="cs"/>
          <w:rtl/>
        </w:rPr>
        <w:t xml:space="preserve">،والمستشار في مجال المكية الفكرية، أفانسبت إل إل سي، </w:t>
      </w:r>
      <w:r w:rsidRPr="00B63F29">
        <w:rPr>
          <w:rtl/>
        </w:rPr>
        <w:t>سان فرانسيسكو</w:t>
      </w:r>
      <w:r w:rsidRPr="00B63F29">
        <w:rPr>
          <w:rFonts w:hint="cs"/>
          <w:rtl/>
        </w:rPr>
        <w:t>، الولايات المتحدة الأمريكية</w:t>
      </w:r>
    </w:p>
    <w:p w:rsidR="00A525C7" w:rsidRPr="00B63F29" w:rsidRDefault="00A525C7" w:rsidP="00A525C7">
      <w:pPr>
        <w:pStyle w:val="NormalParaAR"/>
        <w:rPr>
          <w:rtl/>
        </w:rPr>
      </w:pPr>
    </w:p>
    <w:p w:rsidR="00A525C7" w:rsidRPr="00B63F29" w:rsidRDefault="00A525C7" w:rsidP="00A525C7">
      <w:pPr>
        <w:pStyle w:val="NormalParaAR"/>
        <w:rPr>
          <w:rtl/>
        </w:rPr>
      </w:pPr>
    </w:p>
    <w:p w:rsidR="00A525C7" w:rsidRPr="00B63F29" w:rsidRDefault="00A525C7" w:rsidP="00A525C7">
      <w:pPr>
        <w:pStyle w:val="NormalParaAR"/>
        <w:rPr>
          <w:rtl/>
        </w:rPr>
      </w:pPr>
    </w:p>
    <w:p w:rsidR="00A525C7" w:rsidRPr="00B63F29" w:rsidRDefault="00A525C7" w:rsidP="006E6D5A">
      <w:pPr>
        <w:pStyle w:val="NumberedParaAR"/>
        <w:rPr>
          <w:rStyle w:val="CommentReference"/>
          <w:b/>
          <w:bCs/>
          <w:sz w:val="36"/>
          <w:szCs w:val="36"/>
          <w:lang w:bidi="ar-EG"/>
        </w:rPr>
      </w:pPr>
      <w:r>
        <w:rPr>
          <w:rFonts w:hint="cs"/>
          <w:rtl/>
        </w:rPr>
        <w:t>ت</w:t>
      </w:r>
      <w:r w:rsidRPr="00B63F29">
        <w:rPr>
          <w:rtl/>
        </w:rPr>
        <w:t xml:space="preserve">تضمن هذه </w:t>
      </w:r>
      <w:r w:rsidRPr="006E6D5A">
        <w:rPr>
          <w:rtl/>
        </w:rPr>
        <w:t>الوثيقة</w:t>
      </w:r>
      <w:r w:rsidRPr="00B63F29">
        <w:rPr>
          <w:rtl/>
        </w:rPr>
        <w:t xml:space="preserve"> ملخصا عن الدليل العملي لتقييم الأصول غير الملموسة في </w:t>
      </w:r>
      <w:r>
        <w:rPr>
          <w:rFonts w:hint="cs"/>
          <w:rtl/>
          <w:lang w:bidi="ar-EG"/>
        </w:rPr>
        <w:t>معاهد</w:t>
      </w:r>
      <w:r w:rsidRPr="00B63F29">
        <w:rPr>
          <w:rtl/>
        </w:rPr>
        <w:t xml:space="preserve"> الأبحاث </w:t>
      </w:r>
      <w:r w:rsidRPr="00B63F29">
        <w:rPr>
          <w:rFonts w:hint="cs"/>
          <w:rtl/>
        </w:rPr>
        <w:t xml:space="preserve">والتطوير، </w:t>
      </w:r>
      <w:r w:rsidRPr="00B63F29">
        <w:rPr>
          <w:rtl/>
        </w:rPr>
        <w:t xml:space="preserve">الذي أُعدّ في سياق مشروع بنية دعم الابتكار ونقل التكنولوجيا للمؤسسات الوطنية (الوثيقة </w:t>
      </w:r>
      <w:r w:rsidRPr="00B63F29">
        <w:t>CDIP/3/INF/2</w:t>
      </w:r>
      <w:r w:rsidRPr="00B63F29">
        <w:rPr>
          <w:rtl/>
        </w:rPr>
        <w:t>)</w:t>
      </w:r>
      <w:r w:rsidRPr="00B63F29">
        <w:rPr>
          <w:rFonts w:hint="cs"/>
          <w:rtl/>
        </w:rPr>
        <w:t>. و</w:t>
      </w:r>
      <w:r w:rsidRPr="00B63F29">
        <w:rPr>
          <w:rtl/>
        </w:rPr>
        <w:t>أ</w:t>
      </w:r>
      <w:r>
        <w:rPr>
          <w:rFonts w:hint="cs"/>
          <w:rtl/>
        </w:rPr>
        <w:t>َ</w:t>
      </w:r>
      <w:r w:rsidRPr="00B63F29">
        <w:rPr>
          <w:rtl/>
        </w:rPr>
        <w:t>عدّ الدليل</w:t>
      </w:r>
      <w:r w:rsidRPr="00B63F29">
        <w:rPr>
          <w:rFonts w:hint="cs"/>
          <w:rtl/>
        </w:rPr>
        <w:t>َ</w:t>
      </w:r>
      <w:r w:rsidRPr="00B63F29">
        <w:rPr>
          <w:rtl/>
        </w:rPr>
        <w:t xml:space="preserve"> السيد</w:t>
      </w:r>
      <w:r w:rsidRPr="00B63F29">
        <w:rPr>
          <w:rFonts w:hint="cs"/>
          <w:rtl/>
        </w:rPr>
        <w:t xml:space="preserve">ُ </w:t>
      </w:r>
      <w:r w:rsidRPr="00B63F29">
        <w:rPr>
          <w:rtl/>
        </w:rPr>
        <w:t xml:space="preserve">توماس إيوينغ، </w:t>
      </w:r>
      <w:r w:rsidRPr="00B63F29">
        <w:rPr>
          <w:rFonts w:hint="cs"/>
          <w:rtl/>
        </w:rPr>
        <w:t>ال</w:t>
      </w:r>
      <w:r w:rsidRPr="00B63F29">
        <w:rPr>
          <w:rtl/>
        </w:rPr>
        <w:t xml:space="preserve">محامي </w:t>
      </w:r>
      <w:r w:rsidRPr="00B63F29">
        <w:rPr>
          <w:rFonts w:hint="cs"/>
          <w:rtl/>
        </w:rPr>
        <w:t>ال</w:t>
      </w:r>
      <w:r w:rsidRPr="00B63F29">
        <w:rPr>
          <w:rtl/>
        </w:rPr>
        <w:t xml:space="preserve">تجاري،ووكيل </w:t>
      </w:r>
      <w:r w:rsidRPr="00B63F29">
        <w:rPr>
          <w:rFonts w:hint="cs"/>
          <w:rtl/>
        </w:rPr>
        <w:t>ال</w:t>
      </w:r>
      <w:r w:rsidRPr="00B63F29">
        <w:rPr>
          <w:rtl/>
        </w:rPr>
        <w:t xml:space="preserve">براءات </w:t>
      </w:r>
      <w:r w:rsidRPr="00B63F29">
        <w:rPr>
          <w:rFonts w:hint="cs"/>
          <w:rtl/>
        </w:rPr>
        <w:t>ال</w:t>
      </w:r>
      <w:r w:rsidRPr="00B63F29">
        <w:rPr>
          <w:rtl/>
        </w:rPr>
        <w:t>معتمد،و</w:t>
      </w:r>
      <w:r w:rsidRPr="00B63F29">
        <w:rPr>
          <w:rFonts w:hint="cs"/>
          <w:rtl/>
        </w:rPr>
        <w:t>ال</w:t>
      </w:r>
      <w:r w:rsidRPr="00B63F29">
        <w:rPr>
          <w:rtl/>
        </w:rPr>
        <w:t>مستشار في مجال الم</w:t>
      </w:r>
      <w:r w:rsidRPr="00B63F29">
        <w:rPr>
          <w:rFonts w:hint="cs"/>
          <w:rtl/>
        </w:rPr>
        <w:t>ل</w:t>
      </w:r>
      <w:r w:rsidRPr="00B63F29">
        <w:rPr>
          <w:rtl/>
        </w:rPr>
        <w:t>كية الفكرية، أفانسب</w:t>
      </w:r>
      <w:r w:rsidRPr="00B63F29">
        <w:rPr>
          <w:rFonts w:hint="cs"/>
          <w:rtl/>
        </w:rPr>
        <w:t>ت</w:t>
      </w:r>
      <w:r w:rsidRPr="00B63F29">
        <w:rPr>
          <w:rtl/>
        </w:rPr>
        <w:t xml:space="preserve"> إل إل سي، سان فرانسيسكو، الولايات المتحدة الأمريكية</w:t>
      </w:r>
      <w:r w:rsidRPr="00B63F29">
        <w:rPr>
          <w:rStyle w:val="FootnoteReference"/>
          <w:rtl/>
        </w:rPr>
        <w:footnoteReference w:id="1"/>
      </w:r>
    </w:p>
    <w:p w:rsidR="00A525C7" w:rsidRPr="00B63F29" w:rsidRDefault="00A525C7" w:rsidP="00A525C7">
      <w:pPr>
        <w:pStyle w:val="DecisionParaAR"/>
        <w:rPr>
          <w:rStyle w:val="CommentReference"/>
          <w:b/>
          <w:bCs/>
          <w:i w:val="0"/>
          <w:iCs w:val="0"/>
          <w:sz w:val="36"/>
          <w:szCs w:val="36"/>
          <w:lang w:bidi="ar-EG"/>
        </w:rPr>
      </w:pPr>
      <w:r>
        <w:rPr>
          <w:rFonts w:hint="cs"/>
          <w:rtl/>
        </w:rPr>
        <w:t xml:space="preserve">إن </w:t>
      </w:r>
      <w:r>
        <w:rPr>
          <w:rtl/>
        </w:rPr>
        <w:t xml:space="preserve">اللجنة المعنية </w:t>
      </w:r>
      <w:r>
        <w:rPr>
          <w:rFonts w:hint="cs"/>
          <w:rtl/>
        </w:rPr>
        <w:t>بالتنمية</w:t>
      </w:r>
      <w:r w:rsidRPr="00B63F29">
        <w:rPr>
          <w:rtl/>
        </w:rPr>
        <w:t xml:space="preserve"> والملكية الفكرية مدعوة إلى الإحاطة علما بالمعلومات الواردة في هذه الوثيقة</w:t>
      </w:r>
      <w:r w:rsidRPr="00B63F29">
        <w:rPr>
          <w:rFonts w:hint="cs"/>
          <w:rtl/>
        </w:rPr>
        <w:t>.</w:t>
      </w:r>
    </w:p>
    <w:p w:rsidR="00A525C7" w:rsidRPr="00B63F29" w:rsidRDefault="00A525C7" w:rsidP="00A525C7">
      <w:pPr>
        <w:rPr>
          <w:rStyle w:val="CommentReference"/>
          <w:i/>
          <w:iCs/>
          <w:rtl/>
        </w:rPr>
      </w:pPr>
      <w:r w:rsidRPr="00B63F29">
        <w:rPr>
          <w:rStyle w:val="CommentReference"/>
          <w:i/>
          <w:iCs/>
          <w:rtl/>
        </w:rPr>
        <w:br w:type="page"/>
      </w:r>
    </w:p>
    <w:p w:rsidR="00A525C7" w:rsidRPr="00B63F29" w:rsidRDefault="00A525C7" w:rsidP="00A525C7">
      <w:pPr>
        <w:pStyle w:val="NumberedParaAR"/>
        <w:numPr>
          <w:ilvl w:val="0"/>
          <w:numId w:val="0"/>
        </w:numPr>
        <w:spacing w:after="0"/>
        <w:jc w:val="center"/>
        <w:rPr>
          <w:b/>
          <w:bCs/>
          <w:rtl/>
          <w:lang w:bidi="ar-EG"/>
        </w:rPr>
      </w:pPr>
      <w:r w:rsidRPr="00B63F29">
        <w:rPr>
          <w:b/>
          <w:bCs/>
          <w:rtl/>
          <w:lang w:bidi="ar-EG"/>
        </w:rPr>
        <w:lastRenderedPageBreak/>
        <w:t>الدليل العملي لتقييم الأصول غير الملموسة</w:t>
      </w:r>
    </w:p>
    <w:p w:rsidR="00A525C7" w:rsidRPr="00B63F29" w:rsidRDefault="00A525C7" w:rsidP="00A525C7">
      <w:pPr>
        <w:pStyle w:val="NumberedParaAR"/>
        <w:numPr>
          <w:ilvl w:val="0"/>
          <w:numId w:val="0"/>
        </w:numPr>
        <w:spacing w:after="0"/>
        <w:ind w:left="-5"/>
        <w:jc w:val="center"/>
        <w:rPr>
          <w:b/>
          <w:bCs/>
          <w:rtl/>
          <w:lang w:bidi="ar-EG"/>
        </w:rPr>
      </w:pPr>
      <w:r w:rsidRPr="00B63F29">
        <w:rPr>
          <w:b/>
          <w:bCs/>
          <w:rtl/>
          <w:lang w:bidi="ar-EG"/>
        </w:rPr>
        <w:t>في معاهد الأبحاث والتطوي</w:t>
      </w:r>
      <w:r w:rsidRPr="00B63F29">
        <w:rPr>
          <w:rFonts w:hint="cs"/>
          <w:b/>
          <w:bCs/>
          <w:rtl/>
          <w:lang w:bidi="ar-EG"/>
        </w:rPr>
        <w:t>ر</w:t>
      </w:r>
    </w:p>
    <w:p w:rsidR="00A525C7" w:rsidRPr="00B63F29" w:rsidRDefault="00A525C7" w:rsidP="00A525C7">
      <w:pPr>
        <w:pStyle w:val="NumberedParaAR"/>
        <w:numPr>
          <w:ilvl w:val="0"/>
          <w:numId w:val="0"/>
        </w:numPr>
        <w:spacing w:after="0"/>
        <w:ind w:left="-5"/>
        <w:jc w:val="center"/>
        <w:rPr>
          <w:b/>
          <w:bCs/>
        </w:rPr>
      </w:pPr>
    </w:p>
    <w:p w:rsidR="00A525C7" w:rsidRPr="00B63F29" w:rsidRDefault="00A525C7" w:rsidP="00A525C7">
      <w:pPr>
        <w:pStyle w:val="NumberedParaAR"/>
        <w:numPr>
          <w:ilvl w:val="0"/>
          <w:numId w:val="0"/>
        </w:numPr>
        <w:ind w:left="-5"/>
        <w:jc w:val="center"/>
        <w:rPr>
          <w:b/>
          <w:bCs/>
          <w:u w:val="single"/>
          <w:rtl/>
        </w:rPr>
      </w:pPr>
      <w:r w:rsidRPr="00B63F29">
        <w:rPr>
          <w:rFonts w:hint="cs"/>
          <w:b/>
          <w:bCs/>
          <w:u w:val="single"/>
          <w:rtl/>
          <w:lang w:bidi="ar-EG"/>
        </w:rPr>
        <w:t>الملخص التنفيذي</w:t>
      </w:r>
    </w:p>
    <w:p w:rsidR="00A525C7" w:rsidRPr="00B63F29" w:rsidRDefault="00A525C7" w:rsidP="00A525C7">
      <w:pPr>
        <w:pStyle w:val="NormalParaAR"/>
        <w:ind w:firstLine="562"/>
        <w:rPr>
          <w:rtl/>
          <w:lang w:bidi="ar-EG"/>
        </w:rPr>
      </w:pPr>
      <w:r w:rsidRPr="00B63F29">
        <w:rPr>
          <w:rFonts w:hint="cs"/>
          <w:rtl/>
        </w:rPr>
        <w:t xml:space="preserve">يهدف </w:t>
      </w:r>
      <w:r w:rsidRPr="00B63F29">
        <w:rPr>
          <w:rtl/>
        </w:rPr>
        <w:t xml:space="preserve">هذه </w:t>
      </w:r>
      <w:r w:rsidRPr="00B63F29">
        <w:rPr>
          <w:rFonts w:hint="cs"/>
          <w:rtl/>
        </w:rPr>
        <w:t>الدليل</w:t>
      </w:r>
      <w:r w:rsidRPr="00B63F29">
        <w:rPr>
          <w:rtl/>
          <w:lang w:bidi="ar-EG"/>
        </w:rPr>
        <w:t xml:space="preserve"> </w:t>
      </w:r>
      <w:r w:rsidRPr="00B63F29">
        <w:rPr>
          <w:rFonts w:hint="cs"/>
          <w:rtl/>
          <w:lang w:bidi="ar-EG"/>
        </w:rPr>
        <w:t xml:space="preserve">إلى مساعدة الدول الأعضاء على تطوير كفاءاتها المؤسسية وتحسينها وتعزيزها، من خلال المضي في تطوير البنى التحتية وغيرها من المرافق بغية تعزيز وظائف </w:t>
      </w:r>
      <w:r w:rsidRPr="00B63F29">
        <w:rPr>
          <w:rtl/>
          <w:lang w:bidi="ar-EG"/>
        </w:rPr>
        <w:t>المؤسسات الوطنية للملكية الفكرية</w:t>
      </w:r>
      <w:r>
        <w:rPr>
          <w:rFonts w:hint="cs"/>
          <w:rtl/>
          <w:lang w:bidi="ar-EG"/>
        </w:rPr>
        <w:t>،</w:t>
      </w:r>
      <w:r w:rsidRPr="00B63F29">
        <w:rPr>
          <w:rFonts w:hint="cs"/>
          <w:rtl/>
          <w:lang w:bidi="ar-EG"/>
        </w:rPr>
        <w:t xml:space="preserve"> و</w:t>
      </w:r>
      <w:r w:rsidRPr="00B63F29">
        <w:rPr>
          <w:rtl/>
          <w:lang w:bidi="ar-EG"/>
        </w:rPr>
        <w:t>تشجيع تحقيق توازن عادل بين حماية الملكية الفكرية والمصلحة العامة</w:t>
      </w:r>
      <w:r w:rsidRPr="00B63F29">
        <w:rPr>
          <w:rFonts w:hint="cs"/>
          <w:rtl/>
          <w:lang w:bidi="ar-EG"/>
        </w:rPr>
        <w:t>. ويقدم هذا الدليل أدوات لتشجيع هذه المؤسسات على الأخذ بشتى أوجه النظر والآراء لتحديد قيمة أصوله</w:t>
      </w:r>
      <w:r>
        <w:rPr>
          <w:rFonts w:hint="cs"/>
          <w:rtl/>
          <w:lang w:bidi="ar-EG"/>
        </w:rPr>
        <w:t>ا</w:t>
      </w:r>
      <w:r w:rsidRPr="00B63F29">
        <w:rPr>
          <w:rFonts w:hint="cs"/>
          <w:rtl/>
          <w:lang w:bidi="ar-EG"/>
        </w:rPr>
        <w:t xml:space="preserve"> في مجال الملكية الفكرية.</w:t>
      </w:r>
    </w:p>
    <w:p w:rsidR="00A525C7" w:rsidRPr="00B63F29" w:rsidRDefault="00A525C7" w:rsidP="00A525C7">
      <w:pPr>
        <w:pStyle w:val="NormalParaAR"/>
        <w:ind w:firstLine="562"/>
        <w:rPr>
          <w:rtl/>
          <w:lang w:bidi="ar-EG"/>
        </w:rPr>
      </w:pPr>
      <w:r w:rsidRPr="00B63F29">
        <w:rPr>
          <w:rFonts w:hint="cs"/>
          <w:rtl/>
          <w:lang w:bidi="ar-EG"/>
        </w:rPr>
        <w:t>كما يقدم هذا الدليل فيما يقدم استعراضا شاملا عن مختلف منهجيات التقييم، ويوفر دليلا لتقييم التكنولوجيا</w:t>
      </w:r>
      <w:r>
        <w:rPr>
          <w:rFonts w:hint="cs"/>
          <w:rtl/>
          <w:lang w:bidi="ar-EG"/>
        </w:rPr>
        <w:t>ت</w:t>
      </w:r>
      <w:r w:rsidRPr="00B63F29">
        <w:rPr>
          <w:rFonts w:hint="cs"/>
          <w:rtl/>
          <w:lang w:bidi="ar-EG"/>
        </w:rPr>
        <w:t xml:space="preserve"> الجديدة تقييما سريعا ومنتظما. كما </w:t>
      </w:r>
      <w:r>
        <w:rPr>
          <w:rFonts w:hint="cs"/>
          <w:rtl/>
          <w:lang w:bidi="ar-EG"/>
        </w:rPr>
        <w:t>يعرض</w:t>
      </w:r>
      <w:r w:rsidRPr="00B63F29">
        <w:rPr>
          <w:rFonts w:hint="cs"/>
          <w:rtl/>
          <w:lang w:bidi="ar-EG"/>
        </w:rPr>
        <w:t xml:space="preserve"> الدليل</w:t>
      </w:r>
      <w:r>
        <w:rPr>
          <w:rFonts w:hint="cs"/>
          <w:rtl/>
          <w:lang w:bidi="ar-EG"/>
        </w:rPr>
        <w:t xml:space="preserve">ُ </w:t>
      </w:r>
      <w:r w:rsidRPr="00B63F29">
        <w:rPr>
          <w:rFonts w:hint="cs"/>
          <w:rtl/>
          <w:lang w:bidi="ar-EG"/>
        </w:rPr>
        <w:t>نصائح عملية لمساعدة الجامعات و</w:t>
      </w:r>
      <w:r w:rsidRPr="00B63F29">
        <w:rPr>
          <w:rtl/>
          <w:lang w:bidi="ar-EG"/>
        </w:rPr>
        <w:t>المنظمات البحثية الممولة من القطاع العام</w:t>
      </w:r>
      <w:r w:rsidRPr="00B63F29">
        <w:rPr>
          <w:rFonts w:hint="cs"/>
          <w:rtl/>
          <w:lang w:bidi="ar-EG"/>
        </w:rPr>
        <w:t xml:space="preserve"> على تحق</w:t>
      </w:r>
      <w:r>
        <w:rPr>
          <w:rFonts w:hint="cs"/>
          <w:rtl/>
          <w:lang w:bidi="ar-EG"/>
        </w:rPr>
        <w:t>ي</w:t>
      </w:r>
      <w:r w:rsidRPr="00B63F29">
        <w:rPr>
          <w:rFonts w:hint="cs"/>
          <w:rtl/>
          <w:lang w:bidi="ar-EG"/>
        </w:rPr>
        <w:t>ق ما يلي:</w:t>
      </w:r>
    </w:p>
    <w:p w:rsidR="00A525C7" w:rsidRPr="00B63F29" w:rsidRDefault="00A525C7" w:rsidP="006E6D5A">
      <w:pPr>
        <w:pStyle w:val="NormalParaAR"/>
        <w:ind w:left="1133" w:hanging="567"/>
        <w:rPr>
          <w:rtl/>
          <w:lang w:bidi="ar-EG"/>
        </w:rPr>
      </w:pPr>
      <w:r w:rsidRPr="00B63F29">
        <w:rPr>
          <w:rFonts w:hint="cs"/>
          <w:rtl/>
          <w:lang w:bidi="ar-EG"/>
        </w:rPr>
        <w:t>(أ)</w:t>
      </w:r>
      <w:r w:rsidRPr="00B63F29">
        <w:rPr>
          <w:rFonts w:hint="cs"/>
          <w:rtl/>
          <w:lang w:bidi="ar-EG"/>
        </w:rPr>
        <w:tab/>
        <w:t xml:space="preserve">تحديد أصولها </w:t>
      </w:r>
      <w:r w:rsidRPr="00B63F29">
        <w:rPr>
          <w:rtl/>
          <w:lang w:bidi="ar-EG"/>
        </w:rPr>
        <w:t xml:space="preserve">غير </w:t>
      </w:r>
      <w:r w:rsidRPr="00B63F29">
        <w:rPr>
          <w:rFonts w:hint="cs"/>
          <w:rtl/>
          <w:lang w:bidi="ar-EG"/>
        </w:rPr>
        <w:t>ال</w:t>
      </w:r>
      <w:r w:rsidRPr="00B63F29">
        <w:rPr>
          <w:rtl/>
          <w:lang w:bidi="ar-EG"/>
        </w:rPr>
        <w:t>ملموس</w:t>
      </w:r>
      <w:r w:rsidRPr="00B63F29">
        <w:rPr>
          <w:rFonts w:hint="cs"/>
          <w:rtl/>
          <w:lang w:bidi="ar-EG"/>
        </w:rPr>
        <w:t>ة ال</w:t>
      </w:r>
      <w:r w:rsidRPr="00B63F29">
        <w:rPr>
          <w:rtl/>
          <w:lang w:bidi="ar-EG"/>
        </w:rPr>
        <w:t>قيّمة</w:t>
      </w:r>
      <w:r w:rsidRPr="00B63F29">
        <w:rPr>
          <w:rFonts w:hint="cs"/>
          <w:rtl/>
          <w:lang w:bidi="ar-EG"/>
        </w:rPr>
        <w:t>؛</w:t>
      </w:r>
    </w:p>
    <w:p w:rsidR="00A525C7" w:rsidRPr="00B63F29" w:rsidRDefault="00A525C7" w:rsidP="006E6D5A">
      <w:pPr>
        <w:pStyle w:val="NormalParaAR"/>
        <w:ind w:left="1133" w:hanging="567"/>
        <w:rPr>
          <w:rtl/>
          <w:lang w:bidi="ar-EG"/>
        </w:rPr>
      </w:pPr>
      <w:r w:rsidRPr="00B63F29">
        <w:rPr>
          <w:rFonts w:hint="cs"/>
          <w:rtl/>
          <w:lang w:bidi="ar-EG"/>
        </w:rPr>
        <w:t>(ب)</w:t>
      </w:r>
      <w:r w:rsidRPr="00B63F29">
        <w:rPr>
          <w:rFonts w:hint="cs"/>
          <w:rtl/>
          <w:lang w:bidi="ar-EG"/>
        </w:rPr>
        <w:tab/>
        <w:t>ترتيب هذه الأصول غير الملموسة باستخدام مناهج تقييم نوعية وكمية؛</w:t>
      </w:r>
    </w:p>
    <w:p w:rsidR="00A525C7" w:rsidRPr="00B63F29" w:rsidRDefault="00A525C7" w:rsidP="006E6D5A">
      <w:pPr>
        <w:pStyle w:val="NormalParaAR"/>
        <w:ind w:left="1133" w:hanging="567"/>
        <w:rPr>
          <w:rtl/>
          <w:lang w:bidi="ar-EG"/>
        </w:rPr>
      </w:pPr>
      <w:r w:rsidRPr="00B63F29">
        <w:rPr>
          <w:rFonts w:hint="cs"/>
          <w:rtl/>
          <w:lang w:bidi="ar-EG"/>
        </w:rPr>
        <w:t>(ج)</w:t>
      </w:r>
      <w:r w:rsidRPr="00B63F29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إ</w:t>
      </w:r>
      <w:r w:rsidRPr="00B63F29">
        <w:rPr>
          <w:rFonts w:hint="cs"/>
          <w:rtl/>
          <w:lang w:bidi="ar-EG"/>
        </w:rPr>
        <w:t>دارة هذه الأصول غير الملموسة</w:t>
      </w:r>
      <w:r>
        <w:rPr>
          <w:rFonts w:hint="cs"/>
          <w:rtl/>
          <w:lang w:bidi="ar-EG"/>
        </w:rPr>
        <w:t>،</w:t>
      </w:r>
      <w:r w:rsidRPr="00B63F29">
        <w:rPr>
          <w:rFonts w:hint="cs"/>
          <w:rtl/>
          <w:lang w:bidi="ar-EG"/>
        </w:rPr>
        <w:t xml:space="preserve"> التي تم تصنيفها كأصول قيمة</w:t>
      </w:r>
      <w:r>
        <w:rPr>
          <w:rFonts w:hint="cs"/>
          <w:rtl/>
          <w:lang w:bidi="ar-EG"/>
        </w:rPr>
        <w:t>،</w:t>
      </w:r>
      <w:r w:rsidRPr="00B63F29">
        <w:rPr>
          <w:rFonts w:hint="cs"/>
          <w:rtl/>
          <w:lang w:bidi="ar-EG"/>
        </w:rPr>
        <w:t xml:space="preserve"> لتحقيق التعاون ودخول الأسواق على نحو</w:t>
      </w:r>
      <w:r w:rsidR="006E6D5A">
        <w:rPr>
          <w:rFonts w:hint="eastAsia"/>
          <w:rtl/>
          <w:lang w:bidi="ar-EG"/>
        </w:rPr>
        <w:t> </w:t>
      </w:r>
      <w:r w:rsidRPr="00B63F29">
        <w:rPr>
          <w:rFonts w:hint="cs"/>
          <w:rtl/>
          <w:lang w:bidi="ar-EG"/>
        </w:rPr>
        <w:t>استراتيجي؛</w:t>
      </w:r>
    </w:p>
    <w:p w:rsidR="00A525C7" w:rsidRPr="00B63F29" w:rsidRDefault="00A525C7" w:rsidP="006E6D5A">
      <w:pPr>
        <w:pStyle w:val="NormalParaAR"/>
        <w:ind w:left="1133" w:hanging="567"/>
        <w:rPr>
          <w:rtl/>
          <w:lang w:bidi="ar-EG"/>
        </w:rPr>
      </w:pPr>
      <w:r w:rsidRPr="00B63F29">
        <w:rPr>
          <w:rFonts w:hint="cs"/>
          <w:rtl/>
          <w:lang w:bidi="ar-EG"/>
        </w:rPr>
        <w:t>(د)</w:t>
      </w:r>
      <w:r w:rsidRPr="00B63F29">
        <w:rPr>
          <w:rFonts w:hint="cs"/>
          <w:rtl/>
          <w:lang w:bidi="ar-EG"/>
        </w:rPr>
        <w:tab/>
        <w:t>واستغلال</w:t>
      </w:r>
      <w:r>
        <w:rPr>
          <w:rFonts w:hint="cs"/>
          <w:rtl/>
          <w:lang w:bidi="ar-EG"/>
        </w:rPr>
        <w:t xml:space="preserve"> الأ</w:t>
      </w:r>
      <w:r w:rsidRPr="00B63F29">
        <w:rPr>
          <w:rFonts w:hint="cs"/>
          <w:rtl/>
          <w:lang w:bidi="ar-EG"/>
        </w:rPr>
        <w:t>صول غير الملموسة التي تحمل قيمة سوقية محتملة</w:t>
      </w:r>
      <w:r>
        <w:rPr>
          <w:rFonts w:hint="cs"/>
          <w:rtl/>
          <w:lang w:bidi="ar-EG"/>
        </w:rPr>
        <w:t>،</w:t>
      </w:r>
      <w:r w:rsidRPr="00B63F2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على نحو تجاري </w:t>
      </w:r>
      <w:r w:rsidRPr="00B63F29">
        <w:rPr>
          <w:rFonts w:hint="cs"/>
          <w:rtl/>
          <w:lang w:bidi="ar-EG"/>
        </w:rPr>
        <w:t>(تُح</w:t>
      </w:r>
      <w:r>
        <w:rPr>
          <w:rFonts w:hint="cs"/>
          <w:rtl/>
          <w:lang w:bidi="ar-EG"/>
        </w:rPr>
        <w:t>دَّد بتطبيق مناهج التقييم</w:t>
      </w:r>
      <w:r w:rsidR="006E6D5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الكمي</w:t>
      </w:r>
      <w:r w:rsidRPr="00B63F29">
        <w:rPr>
          <w:rFonts w:hint="cs"/>
          <w:rtl/>
          <w:lang w:bidi="ar-EG"/>
        </w:rPr>
        <w:t>).</w:t>
      </w:r>
    </w:p>
    <w:p w:rsidR="00A525C7" w:rsidRPr="00B63F29" w:rsidRDefault="00A525C7" w:rsidP="00A525C7">
      <w:pPr>
        <w:pStyle w:val="NumberedParaAR"/>
        <w:numPr>
          <w:ilvl w:val="0"/>
          <w:numId w:val="0"/>
        </w:numPr>
        <w:ind w:firstLine="562"/>
        <w:rPr>
          <w:rtl/>
          <w:lang w:bidi="ar-EG"/>
        </w:rPr>
      </w:pPr>
      <w:r w:rsidRPr="00B63F29">
        <w:rPr>
          <w:rFonts w:hint="cs"/>
          <w:rtl/>
          <w:lang w:bidi="ar-EG"/>
        </w:rPr>
        <w:t>ويلجأ الدليل لدراسات الحالات، ومعظمها أصله</w:t>
      </w:r>
      <w:r>
        <w:rPr>
          <w:rFonts w:hint="cs"/>
          <w:rtl/>
          <w:lang w:bidi="ar-EG"/>
        </w:rPr>
        <w:t>ا</w:t>
      </w:r>
      <w:r w:rsidRPr="00B63F2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من ال</w:t>
      </w:r>
      <w:r w:rsidRPr="00B63F29">
        <w:rPr>
          <w:rFonts w:hint="cs"/>
          <w:rtl/>
          <w:lang w:bidi="ar-EG"/>
        </w:rPr>
        <w:t xml:space="preserve">حالات </w:t>
      </w:r>
      <w:r>
        <w:rPr>
          <w:rFonts w:hint="cs"/>
          <w:rtl/>
          <w:lang w:bidi="ar-EG"/>
        </w:rPr>
        <w:t>ال</w:t>
      </w:r>
      <w:r w:rsidRPr="00B63F29">
        <w:rPr>
          <w:rFonts w:hint="cs"/>
          <w:rtl/>
          <w:lang w:bidi="ar-EG"/>
        </w:rPr>
        <w:t xml:space="preserve">حقيقية، ويقدم أمثلة عملية تشرح كيف يمكن لتقييم هذه الأصول غير الملموسة أن يوفر قاعدة متينة لاتخاذ القرارات الاستراتيجية </w:t>
      </w:r>
      <w:r>
        <w:rPr>
          <w:rFonts w:hint="cs"/>
          <w:rtl/>
          <w:lang w:bidi="ar-EG"/>
        </w:rPr>
        <w:t>ل</w:t>
      </w:r>
      <w:r w:rsidRPr="00B63F29">
        <w:rPr>
          <w:rFonts w:hint="cs"/>
          <w:rtl/>
          <w:lang w:bidi="ar-EG"/>
        </w:rPr>
        <w:t xml:space="preserve">إدارة الأصول غير الملموسة. كما يتناول الدليل تقييم الملكية الفكرية المسجلة وغير المسجلة، بما في ذلك البراءات، والعلامات التجارية، وحقوق المؤلف، </w:t>
      </w:r>
      <w:r w:rsidRPr="00B63F29">
        <w:rPr>
          <w:rtl/>
          <w:lang w:bidi="ar-EG"/>
        </w:rPr>
        <w:t>والنماذج الصناعية</w:t>
      </w:r>
      <w:r w:rsidRPr="00B63F29">
        <w:rPr>
          <w:rFonts w:hint="cs"/>
          <w:rtl/>
          <w:lang w:bidi="ar-EG"/>
        </w:rPr>
        <w:t>، والدراية، والأسرار التجارية، كما يتضمن الأصول غير الملموسة غير المسجلة مثل الموارد البشرية الماهرة، والعلميات المبتكِرة، وتنظيم الإدارة.</w:t>
      </w:r>
    </w:p>
    <w:p w:rsidR="00A525C7" w:rsidRPr="00B63F29" w:rsidRDefault="006E6D5A" w:rsidP="006E6D5A">
      <w:pPr>
        <w:pStyle w:val="NormalParaAR"/>
        <w:ind w:firstLine="562"/>
        <w:rPr>
          <w:rtl/>
          <w:lang w:bidi="ar-EG"/>
        </w:rPr>
      </w:pPr>
      <w:r>
        <w:rPr>
          <w:rFonts w:hint="cs"/>
          <w:rtl/>
          <w:lang w:bidi="ar-EG"/>
        </w:rPr>
        <w:t>وهذا الدليل كتيب</w:t>
      </w:r>
      <w:r w:rsidR="00A525C7" w:rsidRPr="00B63F29">
        <w:rPr>
          <w:rFonts w:hint="cs"/>
          <w:rtl/>
          <w:lang w:bidi="ar-EG"/>
        </w:rPr>
        <w:t xml:space="preserve"> ميداني لبلوغ عدة أهداف ترتبط بتقييم الملكية الفكرية. أما الهدف الأول، فيتمثل في عرض موضوع تقييم الأصول غير الملموسة على القارئ. ويتوخى الدليل</w:t>
      </w:r>
      <w:r w:rsidR="00A525C7">
        <w:rPr>
          <w:rFonts w:hint="cs"/>
          <w:rtl/>
          <w:lang w:bidi="ar-EG"/>
        </w:rPr>
        <w:t>ُ</w:t>
      </w:r>
      <w:r w:rsidR="00A525C7" w:rsidRPr="00B63F29">
        <w:rPr>
          <w:rFonts w:hint="cs"/>
          <w:rtl/>
          <w:lang w:bidi="ar-EG"/>
        </w:rPr>
        <w:t xml:space="preserve"> نُهجا نموذجية تزود القارئ بنقطة انطلاق للمضي في تطوير </w:t>
      </w:r>
      <w:r w:rsidR="00A525C7">
        <w:rPr>
          <w:rFonts w:hint="cs"/>
          <w:rtl/>
          <w:lang w:bidi="ar-EG"/>
        </w:rPr>
        <w:t>المهارات</w:t>
      </w:r>
      <w:r w:rsidR="00A525C7" w:rsidRPr="00B63F29">
        <w:rPr>
          <w:rFonts w:hint="cs"/>
          <w:rtl/>
          <w:lang w:bidi="ar-EG"/>
        </w:rPr>
        <w:t xml:space="preserve"> ذات الصلة. ولعل القارئ المهتم </w:t>
      </w:r>
      <w:r w:rsidR="00A525C7">
        <w:rPr>
          <w:rFonts w:hint="cs"/>
          <w:rtl/>
          <w:lang w:bidi="ar-EG"/>
        </w:rPr>
        <w:t>في حاجة</w:t>
      </w:r>
      <w:r w:rsidR="00A525C7" w:rsidRPr="00B63F29">
        <w:rPr>
          <w:rFonts w:hint="cs"/>
          <w:rtl/>
          <w:lang w:bidi="ar-EG"/>
        </w:rPr>
        <w:t xml:space="preserve"> إلى اكتساب </w:t>
      </w:r>
      <w:r w:rsidR="00A525C7">
        <w:rPr>
          <w:rFonts w:hint="cs"/>
          <w:rtl/>
          <w:lang w:bidi="ar-EG"/>
        </w:rPr>
        <w:t>مهارات</w:t>
      </w:r>
      <w:r w:rsidR="00A525C7" w:rsidRPr="00B63F29">
        <w:rPr>
          <w:rFonts w:hint="cs"/>
          <w:rtl/>
          <w:lang w:bidi="ar-EG"/>
        </w:rPr>
        <w:t xml:space="preserve"> إضافية للمضي في تطوير المجموعة المحددة من </w:t>
      </w:r>
      <w:r w:rsidR="00A525C7">
        <w:rPr>
          <w:rFonts w:hint="cs"/>
          <w:rtl/>
          <w:lang w:bidi="ar-EG"/>
        </w:rPr>
        <w:t>المهارات</w:t>
      </w:r>
      <w:r w:rsidR="00A525C7" w:rsidRPr="00B63F29">
        <w:rPr>
          <w:rFonts w:hint="cs"/>
          <w:rtl/>
          <w:lang w:bidi="ar-EG"/>
        </w:rPr>
        <w:t xml:space="preserve"> والقدرات المطلوبة في وضعه الخاص. أما الهدف الثاني فيسعي من خلاله الدليل إلى الإجابة عن بعض المشاكل </w:t>
      </w:r>
      <w:r w:rsidR="00A525C7">
        <w:rPr>
          <w:rFonts w:hint="cs"/>
          <w:rtl/>
          <w:lang w:bidi="ar-EG"/>
        </w:rPr>
        <w:t>التي ت</w:t>
      </w:r>
      <w:r w:rsidR="00A525C7" w:rsidRPr="00B63F29">
        <w:rPr>
          <w:rFonts w:hint="cs"/>
          <w:rtl/>
          <w:lang w:bidi="ar-EG"/>
        </w:rPr>
        <w:t xml:space="preserve">واجه مكتب نقل التكنولوجيا في </w:t>
      </w:r>
      <w:r w:rsidR="00A525C7">
        <w:rPr>
          <w:rFonts w:hint="cs"/>
          <w:rtl/>
          <w:lang w:bidi="ar-EG"/>
        </w:rPr>
        <w:t>معهد</w:t>
      </w:r>
      <w:r w:rsidR="00A525C7" w:rsidRPr="00B63F29">
        <w:rPr>
          <w:rFonts w:hint="cs"/>
          <w:rtl/>
          <w:lang w:bidi="ar-EG"/>
        </w:rPr>
        <w:t xml:space="preserve"> البحث، أو تتعرض إليها إدارةُ الاستغلال التجاري في عملهما اليومي.بإيجاز، يسعى هذا الدليل إلى تقديم إجابات لحل المشاكل التي تطرأ في الميدان والتي يجب حلها بسرعة وعملية.</w:t>
      </w:r>
    </w:p>
    <w:p w:rsidR="00A525C7" w:rsidRPr="00B63F29" w:rsidRDefault="00A525C7" w:rsidP="00A525C7">
      <w:pPr>
        <w:pStyle w:val="NormalParaAR"/>
        <w:ind w:firstLine="562"/>
        <w:rPr>
          <w:rtl/>
          <w:lang w:bidi="ar-EG"/>
        </w:rPr>
      </w:pPr>
      <w:r w:rsidRPr="00B63F29">
        <w:rPr>
          <w:rFonts w:hint="cs"/>
          <w:rtl/>
          <w:lang w:bidi="ar-EG"/>
        </w:rPr>
        <w:t xml:space="preserve">ويستعرض الدليل بعض التقنيات </w:t>
      </w:r>
      <w:r>
        <w:rPr>
          <w:rFonts w:hint="cs"/>
          <w:rtl/>
          <w:lang w:bidi="ar-EG"/>
        </w:rPr>
        <w:t>الناشئة</w:t>
      </w:r>
      <w:r w:rsidRPr="00B63F2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B63F29">
        <w:rPr>
          <w:rFonts w:hint="cs"/>
          <w:rtl/>
          <w:lang w:bidi="ar-EG"/>
        </w:rPr>
        <w:t xml:space="preserve">تقييم </w:t>
      </w:r>
      <w:r>
        <w:rPr>
          <w:rFonts w:hint="cs"/>
          <w:rtl/>
          <w:lang w:bidi="ar-EG"/>
        </w:rPr>
        <w:t>ا</w:t>
      </w:r>
      <w:r w:rsidRPr="00B63F29">
        <w:rPr>
          <w:rFonts w:hint="cs"/>
          <w:rtl/>
          <w:lang w:bidi="ar-EG"/>
        </w:rPr>
        <w:t>لملكية الفكرية وتقديرها، ويركز تحديدا على النهج التي ي</w:t>
      </w:r>
      <w:r>
        <w:rPr>
          <w:rFonts w:hint="cs"/>
          <w:rtl/>
          <w:lang w:bidi="ar-EG"/>
        </w:rPr>
        <w:t>َ</w:t>
      </w:r>
      <w:r w:rsidRPr="00B63F29">
        <w:rPr>
          <w:rFonts w:hint="cs"/>
          <w:rtl/>
          <w:lang w:bidi="ar-EG"/>
        </w:rPr>
        <w:t>سهل نفاذ القارئ</w:t>
      </w:r>
      <w:r>
        <w:rPr>
          <w:rFonts w:hint="cs"/>
          <w:rtl/>
          <w:lang w:bidi="ar-EG"/>
        </w:rPr>
        <w:t xml:space="preserve"> العادي</w:t>
      </w:r>
      <w:r w:rsidRPr="00B63F29">
        <w:rPr>
          <w:rFonts w:hint="cs"/>
          <w:rtl/>
          <w:lang w:bidi="ar-EG"/>
        </w:rPr>
        <w:t xml:space="preserve"> إليها، كما يقدم التقنيات الوصفية الإضافية لتقييم "التثليث" </w:t>
      </w:r>
      <w:r>
        <w:rPr>
          <w:rFonts w:hint="cs"/>
          <w:rtl/>
          <w:lang w:bidi="ar-EG"/>
        </w:rPr>
        <w:t>أي</w:t>
      </w:r>
      <w:r w:rsidRPr="00B63F29">
        <w:rPr>
          <w:rFonts w:hint="cs"/>
          <w:rtl/>
          <w:lang w:bidi="ar-EG"/>
        </w:rPr>
        <w:t xml:space="preserve"> التقييم الأعلى والأدنى والمتوسط مثلا. كما يحرص الدليل على إسداء المشورة للخروج من الحالات التي قد لا </w:t>
      </w:r>
      <w:r>
        <w:rPr>
          <w:rFonts w:hint="cs"/>
          <w:rtl/>
          <w:lang w:bidi="ar-EG"/>
        </w:rPr>
        <w:t>تسمح</w:t>
      </w:r>
      <w:r w:rsidRPr="00B63F29">
        <w:rPr>
          <w:rFonts w:hint="cs"/>
          <w:rtl/>
          <w:lang w:bidi="ar-EG"/>
        </w:rPr>
        <w:t xml:space="preserve"> إجابةُ التقييم، الواردة في "الكتب </w:t>
      </w:r>
      <w:r w:rsidRPr="00B63F29">
        <w:rPr>
          <w:rFonts w:hint="cs"/>
          <w:rtl/>
        </w:rPr>
        <w:t>المقررة</w:t>
      </w:r>
      <w:r w:rsidRPr="00B63F29">
        <w:rPr>
          <w:rFonts w:hint="cs"/>
          <w:rtl/>
          <w:lang w:bidi="ar-EG"/>
        </w:rPr>
        <w:t>"،</w:t>
      </w:r>
      <w:r>
        <w:rPr>
          <w:rFonts w:hint="cs"/>
          <w:rtl/>
          <w:lang w:bidi="ar-EG"/>
        </w:rPr>
        <w:t>ببلوغ الهدف ال</w:t>
      </w:r>
      <w:r w:rsidRPr="00B63F29">
        <w:rPr>
          <w:rFonts w:hint="cs"/>
          <w:rtl/>
          <w:lang w:bidi="ar-EG"/>
        </w:rPr>
        <w:t xml:space="preserve">تجاري </w:t>
      </w:r>
      <w:r>
        <w:rPr>
          <w:rFonts w:hint="cs"/>
          <w:rtl/>
          <w:lang w:bidi="ar-EG"/>
        </w:rPr>
        <w:t>العملي فيها</w:t>
      </w:r>
      <w:r w:rsidRPr="00B63F29">
        <w:rPr>
          <w:rFonts w:hint="cs"/>
          <w:rtl/>
          <w:lang w:bidi="ar-EG"/>
        </w:rPr>
        <w:t xml:space="preserve">، فيقدم الدليل مثلا نماذج للعثور على إجابات معقولة وسريعة في تلك الحالات، بينما قد يأتي الكتاب </w:t>
      </w:r>
      <w:r>
        <w:rPr>
          <w:rFonts w:hint="cs"/>
          <w:rtl/>
          <w:lang w:bidi="ar-EG"/>
        </w:rPr>
        <w:t>المقرر</w:t>
      </w:r>
      <w:r w:rsidRPr="00B63F29">
        <w:rPr>
          <w:rFonts w:hint="cs"/>
          <w:rtl/>
          <w:lang w:bidi="ar-EG"/>
        </w:rPr>
        <w:t xml:space="preserve"> بإجابة أكثر دقة ولكنها لا تلبي الهدف التجاري الواقعي، ومن الأمثلة على ذلك السرعة المناسبة في الاستجابة </w:t>
      </w:r>
      <w:r w:rsidRPr="00B63F29">
        <w:rPr>
          <w:rFonts w:hint="cs"/>
          <w:rtl/>
          <w:lang w:bidi="ar-EG"/>
        </w:rPr>
        <w:lastRenderedPageBreak/>
        <w:t xml:space="preserve">و/أو </w:t>
      </w:r>
      <w:r>
        <w:rPr>
          <w:rFonts w:hint="cs"/>
          <w:rtl/>
          <w:lang w:bidi="ar-EG"/>
        </w:rPr>
        <w:t>التقيد</w:t>
      </w:r>
      <w:r w:rsidRPr="00B63F2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بحدود </w:t>
      </w:r>
      <w:r w:rsidRPr="00B63F29">
        <w:rPr>
          <w:rFonts w:hint="cs"/>
          <w:rtl/>
          <w:lang w:bidi="ar-EG"/>
        </w:rPr>
        <w:t xml:space="preserve">الميزانية. ولا يسترسل الدليل في الحالات التي يتوفر فيها عند مدير الأصول الفكرية، الوقتُ والمواردُ المناسبين للتكليف بإجراء تقييم مهني لأن الدليل يفترض عامة أن أحد </w:t>
      </w:r>
      <w:r>
        <w:rPr>
          <w:rFonts w:hint="cs"/>
          <w:rtl/>
          <w:lang w:bidi="ar-EG"/>
        </w:rPr>
        <w:t xml:space="preserve">هذين </w:t>
      </w:r>
      <w:r w:rsidRPr="00B63F29">
        <w:rPr>
          <w:rFonts w:hint="cs"/>
          <w:rtl/>
        </w:rPr>
        <w:t>ال</w:t>
      </w:r>
      <w:r w:rsidRPr="00B63F29">
        <w:rPr>
          <w:rFonts w:hint="cs"/>
          <w:rtl/>
          <w:lang w:bidi="ar-EG"/>
        </w:rPr>
        <w:t>موردين على الأقل، أي الوقت أو المال، غير متوفر أو متآكل تماما.</w:t>
      </w:r>
    </w:p>
    <w:p w:rsidR="00A525C7" w:rsidRPr="00B63F29" w:rsidRDefault="00A525C7" w:rsidP="00A525C7">
      <w:pPr>
        <w:pStyle w:val="NormalParaAR"/>
        <w:ind w:firstLine="562"/>
        <w:rPr>
          <w:rtl/>
          <w:lang w:bidi="ar-EG"/>
        </w:rPr>
      </w:pPr>
      <w:r w:rsidRPr="00B63F29">
        <w:rPr>
          <w:rFonts w:hint="cs"/>
          <w:rtl/>
          <w:lang w:bidi="ar-EG"/>
        </w:rPr>
        <w:t xml:space="preserve">وصُمم هذا الدليل كدليل ميداني يزود القارئ بالتقييم والتقدير، كما </w:t>
      </w:r>
      <w:r>
        <w:rPr>
          <w:rFonts w:hint="cs"/>
          <w:rtl/>
          <w:lang w:bidi="ar-EG"/>
        </w:rPr>
        <w:t>أُعِّد</w:t>
      </w:r>
      <w:r w:rsidRPr="00B63F29">
        <w:rPr>
          <w:rFonts w:hint="cs"/>
          <w:rtl/>
          <w:lang w:bidi="ar-EG"/>
        </w:rPr>
        <w:t xml:space="preserve"> ليكون </w:t>
      </w:r>
      <w:r>
        <w:rPr>
          <w:rFonts w:hint="cs"/>
          <w:rtl/>
          <w:lang w:bidi="ar-EG"/>
        </w:rPr>
        <w:t>كدليل هندسي ميداني</w:t>
      </w:r>
      <w:r w:rsidRPr="00B63F29">
        <w:rPr>
          <w:rFonts w:hint="cs"/>
          <w:rtl/>
          <w:lang w:bidi="ar-EG"/>
        </w:rPr>
        <w:t xml:space="preserve"> يصف </w:t>
      </w:r>
      <w:r>
        <w:rPr>
          <w:rFonts w:hint="cs"/>
          <w:rtl/>
          <w:lang w:bidi="ar-EG"/>
        </w:rPr>
        <w:t xml:space="preserve">كيفية </w:t>
      </w:r>
      <w:r w:rsidRPr="00B63F29">
        <w:rPr>
          <w:rFonts w:hint="cs"/>
          <w:rtl/>
          <w:lang w:bidi="ar-EG"/>
        </w:rPr>
        <w:t xml:space="preserve">بناء </w:t>
      </w:r>
      <w:r>
        <w:rPr>
          <w:rFonts w:hint="cs"/>
          <w:rtl/>
          <w:lang w:bidi="ar-EG"/>
        </w:rPr>
        <w:t>الجسر</w:t>
      </w:r>
      <w:r w:rsidRPr="00B63F29">
        <w:rPr>
          <w:rFonts w:hint="cs"/>
          <w:rtl/>
          <w:lang w:bidi="ar-EG"/>
        </w:rPr>
        <w:t xml:space="preserve"> وصفا عمليا للغاية ولعله يفتقر </w:t>
      </w:r>
      <w:r>
        <w:rPr>
          <w:rFonts w:hint="cs"/>
          <w:rtl/>
          <w:lang w:bidi="ar-EG"/>
        </w:rPr>
        <w:t xml:space="preserve">إلى </w:t>
      </w:r>
      <w:r w:rsidRPr="00B63F29">
        <w:rPr>
          <w:rFonts w:hint="cs"/>
          <w:rtl/>
          <w:lang w:bidi="ar-EG"/>
        </w:rPr>
        <w:t xml:space="preserve">الأسلوب الشيق الذي تتميز به الكتب </w:t>
      </w:r>
      <w:r w:rsidRPr="00B63F29">
        <w:rPr>
          <w:rFonts w:hint="cs"/>
          <w:rtl/>
        </w:rPr>
        <w:t>المقررة</w:t>
      </w:r>
      <w:r w:rsidRPr="00B63F29">
        <w:rPr>
          <w:rFonts w:hint="cs"/>
          <w:rtl/>
          <w:lang w:bidi="ar-EG"/>
        </w:rPr>
        <w:t xml:space="preserve"> في الهندسة المدنية. ويرتكز الدليل على أمثلة </w:t>
      </w:r>
      <w:r>
        <w:rPr>
          <w:rFonts w:hint="cs"/>
          <w:rtl/>
          <w:lang w:bidi="ar-EG"/>
        </w:rPr>
        <w:t xml:space="preserve">لشتى أنواع </w:t>
      </w:r>
      <w:r w:rsidRPr="00B63F29">
        <w:rPr>
          <w:rFonts w:hint="cs"/>
          <w:rtl/>
          <w:lang w:bidi="ar-EG"/>
        </w:rPr>
        <w:t xml:space="preserve"> التقييم بغية تزويد القارئ بنموذج تمهيدي </w:t>
      </w:r>
      <w:r>
        <w:rPr>
          <w:rFonts w:hint="cs"/>
          <w:rtl/>
          <w:lang w:bidi="ar-EG"/>
        </w:rPr>
        <w:t>ل</w:t>
      </w:r>
      <w:r w:rsidRPr="00B63F29">
        <w:rPr>
          <w:rFonts w:hint="cs"/>
          <w:rtl/>
          <w:lang w:bidi="ar-EG"/>
        </w:rPr>
        <w:t>لتقييم. ويأخذ الدليل بمنظور المؤسسات الأكاديمية في البلدان النامية تحديدا، والتحديات الخاصة التي قد تواجهها، ومنها الافتقار إلى الموار</w:t>
      </w:r>
      <w:r>
        <w:rPr>
          <w:rFonts w:hint="cs"/>
          <w:rtl/>
          <w:lang w:bidi="ar-EG"/>
        </w:rPr>
        <w:t xml:space="preserve">د، </w:t>
      </w:r>
      <w:r w:rsidRPr="00B63F29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ضعف </w:t>
      </w:r>
      <w:r w:rsidRPr="00B63F29">
        <w:rPr>
          <w:rFonts w:hint="cs"/>
          <w:rtl/>
          <w:lang w:bidi="ar-EG"/>
        </w:rPr>
        <w:t>الأنظمة المؤسسية تاريخيا.</w:t>
      </w:r>
    </w:p>
    <w:p w:rsidR="00A525C7" w:rsidRPr="00B63F29" w:rsidRDefault="00A525C7" w:rsidP="00A525C7">
      <w:pPr>
        <w:pStyle w:val="NormalParaAR"/>
        <w:ind w:firstLine="562"/>
        <w:rPr>
          <w:rtl/>
          <w:lang w:bidi="ar-EG"/>
        </w:rPr>
      </w:pPr>
      <w:r w:rsidRPr="00B63F29">
        <w:rPr>
          <w:rFonts w:hint="cs"/>
          <w:rtl/>
          <w:lang w:bidi="ar-EG"/>
        </w:rPr>
        <w:t xml:space="preserve">وتدور الأمثلة الواردة في الدليل في جامعة وطنية في بلد خيالي اسمه إيريهون، </w:t>
      </w:r>
      <w:r>
        <w:rPr>
          <w:rFonts w:hint="cs"/>
          <w:rtl/>
          <w:lang w:bidi="ar-EG"/>
        </w:rPr>
        <w:t>و</w:t>
      </w:r>
      <w:r w:rsidRPr="00B63F29">
        <w:rPr>
          <w:rFonts w:hint="cs"/>
          <w:rtl/>
          <w:lang w:bidi="ar-EG"/>
        </w:rPr>
        <w:t xml:space="preserve">إيريهون دولة عضو في الويبو. </w:t>
      </w:r>
      <w:r>
        <w:rPr>
          <w:rFonts w:hint="cs"/>
          <w:rtl/>
          <w:lang w:bidi="ar-EG"/>
        </w:rPr>
        <w:t>واقتصادها</w:t>
      </w:r>
      <w:r w:rsidRPr="00B63F2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نامٍ ولكن البلد</w:t>
      </w:r>
      <w:r w:rsidRPr="00B63F2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يُعرف</w:t>
      </w:r>
      <w:r w:rsidRPr="00B63F2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B63F29">
        <w:rPr>
          <w:rFonts w:hint="cs"/>
          <w:rtl/>
          <w:lang w:bidi="ar-EG"/>
        </w:rPr>
        <w:t xml:space="preserve">ابتكار مواطينه. وحدّث هذا البلد مؤخرا قوانينه المتعلقة بالأصول غير الملموسة والملكية الفكرية، ويعمل مكتب نقل التكنولوجيا في هذه الجامعة الخيالية بهمة ونشاط لبناء قدرات الجامعة </w:t>
      </w:r>
      <w:r>
        <w:rPr>
          <w:rFonts w:hint="cs"/>
          <w:rtl/>
          <w:lang w:bidi="ar-EG"/>
        </w:rPr>
        <w:t>ل</w:t>
      </w:r>
      <w:r w:rsidRPr="00B63F29">
        <w:rPr>
          <w:rFonts w:hint="cs"/>
          <w:rtl/>
          <w:lang w:bidi="ar-EG"/>
        </w:rPr>
        <w:t>استغلال الأصول غير الملموسة.</w:t>
      </w:r>
    </w:p>
    <w:p w:rsidR="00A525C7" w:rsidRPr="00B63F29" w:rsidRDefault="00A525C7" w:rsidP="00A525C7">
      <w:pPr>
        <w:pStyle w:val="NormalParaAR"/>
        <w:ind w:firstLine="562"/>
        <w:rPr>
          <w:rtl/>
          <w:lang w:bidi="ar-EG"/>
        </w:rPr>
      </w:pPr>
      <w:r w:rsidRPr="00B63F29">
        <w:rPr>
          <w:rFonts w:hint="cs"/>
          <w:rtl/>
          <w:lang w:bidi="ar-EG"/>
        </w:rPr>
        <w:t>وختاما، يقوم الدليل على قناعتنا بأن برامج الاستغلال ال</w:t>
      </w:r>
      <w:r>
        <w:rPr>
          <w:rFonts w:hint="cs"/>
          <w:rtl/>
          <w:lang w:bidi="ar-EG"/>
        </w:rPr>
        <w:t>ت</w:t>
      </w:r>
      <w:r w:rsidRPr="00B63F29">
        <w:rPr>
          <w:rFonts w:hint="cs"/>
          <w:rtl/>
          <w:lang w:bidi="ar-EG"/>
        </w:rPr>
        <w:t xml:space="preserve">جاري </w:t>
      </w:r>
      <w:r>
        <w:rPr>
          <w:rFonts w:hint="cs"/>
          <w:rtl/>
          <w:lang w:bidi="ar-EG"/>
        </w:rPr>
        <w:t xml:space="preserve">للتكنولوجيا </w:t>
      </w:r>
      <w:r w:rsidRPr="00B63F29">
        <w:rPr>
          <w:rFonts w:hint="cs"/>
          <w:rtl/>
          <w:lang w:bidi="ar-EG"/>
        </w:rPr>
        <w:t xml:space="preserve">قابلة للتحقيق في جميع البلدان تقريبا أيا كان نظامها القانوني تقريبا. ويتحقق ذلك تحديدا في الأوضاع التي </w:t>
      </w:r>
      <w:r>
        <w:rPr>
          <w:rFonts w:hint="cs"/>
          <w:rtl/>
          <w:lang w:bidi="ar-EG"/>
        </w:rPr>
        <w:t>س</w:t>
      </w:r>
      <w:r w:rsidRPr="00B63F29">
        <w:rPr>
          <w:rFonts w:hint="cs"/>
          <w:rtl/>
          <w:lang w:bidi="ar-EG"/>
        </w:rPr>
        <w:t xml:space="preserve">ترخص فيها التكنولوجيا للكيانات الدولية. ويهدف الدليل إلى تعزيز بنية ترخيص التكنولوجيا التي ستسمح </w:t>
      </w:r>
      <w:r>
        <w:rPr>
          <w:rFonts w:hint="cs"/>
          <w:rtl/>
          <w:lang w:bidi="ar-EG"/>
        </w:rPr>
        <w:t>لشتى</w:t>
      </w:r>
      <w:r w:rsidRPr="00B63F29">
        <w:rPr>
          <w:rFonts w:hint="cs"/>
          <w:rtl/>
          <w:lang w:bidi="ar-EG"/>
        </w:rPr>
        <w:t xml:space="preserve"> أصحاب المصلحة في مجال أصول الملكية الفكرية بالاحتفاظ بقيمة أعلى لهذه الأصول عندما تدخل السوق.</w:t>
      </w:r>
    </w:p>
    <w:p w:rsidR="00A525C7" w:rsidRDefault="00A525C7" w:rsidP="00A525C7">
      <w:pPr>
        <w:pStyle w:val="EndofDocumentAR"/>
        <w:rPr>
          <w:rtl/>
          <w:lang w:bidi="ar-EG"/>
        </w:rPr>
      </w:pPr>
      <w:r w:rsidRPr="00B63F29">
        <w:rPr>
          <w:rtl/>
          <w:lang w:bidi="ar-EG"/>
        </w:rPr>
        <w:t>[</w:t>
      </w:r>
      <w:r w:rsidRPr="00B63F29">
        <w:rPr>
          <w:rFonts w:hint="cs"/>
          <w:rtl/>
          <w:lang w:bidi="ar-EG"/>
        </w:rPr>
        <w:t>نهاية الوثيقة</w:t>
      </w:r>
      <w:r w:rsidRPr="00B63F29">
        <w:rPr>
          <w:rtl/>
          <w:lang w:bidi="ar-EG"/>
        </w:rPr>
        <w:t>]</w:t>
      </w:r>
    </w:p>
    <w:p w:rsidR="006E6D5A" w:rsidRPr="006E6D5A" w:rsidRDefault="006E6D5A" w:rsidP="006E6D5A">
      <w:pPr>
        <w:pStyle w:val="NormalParaAR"/>
        <w:rPr>
          <w:rtl/>
          <w:lang w:bidi="ar-EG"/>
        </w:rPr>
      </w:pPr>
    </w:p>
    <w:sectPr w:rsidR="006E6D5A" w:rsidRPr="006E6D5A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11" w:rsidRDefault="00C05111">
      <w:r>
        <w:separator/>
      </w:r>
    </w:p>
  </w:endnote>
  <w:endnote w:type="continuationSeparator" w:id="0">
    <w:p w:rsidR="00C05111" w:rsidRDefault="00C0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11" w:rsidRDefault="00C0511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05111" w:rsidRDefault="00C05111" w:rsidP="009622BF">
      <w:pPr>
        <w:bidi/>
      </w:pPr>
      <w:r>
        <w:separator/>
      </w:r>
    </w:p>
  </w:footnote>
  <w:footnote w:id="1">
    <w:p w:rsidR="00A525C7" w:rsidRDefault="00A525C7" w:rsidP="00A525C7">
      <w:pPr>
        <w:pStyle w:val="FootnoteText"/>
        <w:rPr>
          <w:lang w:bidi="ar-EG"/>
        </w:rPr>
      </w:pPr>
      <w:r w:rsidRPr="002D5103">
        <w:rPr>
          <w:rStyle w:val="FootnoteReference"/>
        </w:rPr>
        <w:footnoteRef/>
      </w:r>
      <w:r w:rsidRPr="002D5103">
        <w:rPr>
          <w:rtl/>
        </w:rPr>
        <w:t xml:space="preserve"> </w:t>
      </w:r>
      <w:r w:rsidRPr="002D5103">
        <w:rPr>
          <w:rFonts w:hint="cs"/>
          <w:rtl/>
        </w:rPr>
        <w:t xml:space="preserve">تعبر الأراء الواردة في هذه الدليل عن </w:t>
      </w:r>
      <w:r>
        <w:rPr>
          <w:rFonts w:hint="cs"/>
          <w:rtl/>
        </w:rPr>
        <w:t>آراء المؤلف، ولا تعبر بالضرورة عن آ</w:t>
      </w:r>
      <w:r w:rsidRPr="002D5103">
        <w:rPr>
          <w:rFonts w:hint="cs"/>
          <w:rtl/>
        </w:rPr>
        <w:t>راء أمانة الويبو أو الدول الأعضاء في الويبو.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1493" w:rsidP="006E6D5A">
    <w:r>
      <w:t>CDIP</w:t>
    </w:r>
    <w:r w:rsidR="002F77FC">
      <w:t>/</w:t>
    </w:r>
    <w:r w:rsidR="00A361E8">
      <w:t>17</w:t>
    </w:r>
    <w:r w:rsidR="002F77FC">
      <w:t>/</w:t>
    </w:r>
    <w:r w:rsidR="006E6D5A">
      <w:t>INF/2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720DD1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349EFA06"/>
    <w:lvl w:ilvl="0" w:tplc="7938E3E0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1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5FD6"/>
    <w:rsid w:val="0015009D"/>
    <w:rsid w:val="00151493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BF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D5A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0DD1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4E0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1E8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5C7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40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5111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6CD9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DD7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5C7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525C7"/>
    <w:rPr>
      <w:rFonts w:ascii="Arabic Typesetting" w:hAnsi="Arabic Typesetting" w:cs="Arabic Typesetting"/>
      <w:sz w:val="28"/>
      <w:szCs w:val="28"/>
    </w:rPr>
  </w:style>
  <w:style w:type="character" w:styleId="CommentReference">
    <w:name w:val="annotation reference"/>
    <w:basedOn w:val="DefaultParagraphFont"/>
    <w:rsid w:val="00A525C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5C7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A525C7"/>
    <w:rPr>
      <w:rFonts w:ascii="Arabic Typesetting" w:hAnsi="Arabic Typesetting" w:cs="Arabic Typesetting"/>
      <w:sz w:val="28"/>
      <w:szCs w:val="28"/>
    </w:rPr>
  </w:style>
  <w:style w:type="character" w:styleId="CommentReference">
    <w:name w:val="annotation reference"/>
    <w:basedOn w:val="DefaultParagraphFont"/>
    <w:rsid w:val="00A525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3EB5-3AB4-454D-A24E-EBAD60E9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CDIP_17_AR.dotx</Template>
  <TotalTime>5</TotalTime>
  <Pages>3</Pages>
  <Words>771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CDIP/15/-- (Arabic)</vt:lpstr>
    </vt:vector>
  </TitlesOfParts>
  <Company>World Intellectual Property Organization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CDIP/15/-- (Arabic)</dc:title>
  <dc:creator>Hebatallah Zohni</dc:creator>
  <cp:lastModifiedBy>AHMIDOUCH Noureddine</cp:lastModifiedBy>
  <cp:revision>4</cp:revision>
  <cp:lastPrinted>2016-03-09T10:25:00Z</cp:lastPrinted>
  <dcterms:created xsi:type="dcterms:W3CDTF">2016-03-04T08:18:00Z</dcterms:created>
  <dcterms:modified xsi:type="dcterms:W3CDTF">2016-03-09T10:26:00Z</dcterms:modified>
</cp:coreProperties>
</file>