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021D4C5D" wp14:editId="390748B4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51493" w:rsidP="00F007BD">
            <w:pPr>
              <w:pStyle w:val="DocumentCodeAR"/>
              <w:bidi/>
              <w:rPr>
                <w:rtl/>
              </w:rPr>
            </w:pPr>
            <w:r>
              <w:t>CDIP</w:t>
            </w:r>
            <w:r w:rsidR="00100F97">
              <w:t>/</w:t>
            </w:r>
            <w:r w:rsidR="00A361E8">
              <w:t>17</w:t>
            </w:r>
            <w:r w:rsidR="00B6101C" w:rsidRPr="00B6101C">
              <w:t>/</w:t>
            </w:r>
            <w:r w:rsidR="00F007BD">
              <w:t>5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F007BD" w:rsidP="00F007BD">
            <w:pPr>
              <w:pStyle w:val="DocumentLanguageAR"/>
              <w:bidi/>
              <w:rPr>
                <w:rtl/>
              </w:rPr>
            </w:pPr>
            <w:r>
              <w:rPr>
                <w:rFonts w:hint="cs"/>
                <w:rtl/>
              </w:rPr>
              <w:t>الأصل: 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007BD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F007BD">
              <w:rPr>
                <w:rFonts w:hint="cs"/>
                <w:rtl/>
              </w:rPr>
              <w:t>12</w:t>
            </w:r>
            <w:r w:rsidRPr="00B6101C">
              <w:rPr>
                <w:rFonts w:hint="cs"/>
                <w:rtl/>
              </w:rPr>
              <w:t xml:space="preserve"> </w:t>
            </w:r>
            <w:r w:rsidR="00F007BD">
              <w:rPr>
                <w:rFonts w:hint="cs"/>
                <w:rtl/>
              </w:rPr>
              <w:t>فبراير</w:t>
            </w:r>
            <w:r w:rsidRPr="00B6101C">
              <w:rPr>
                <w:rFonts w:hint="cs"/>
                <w:rtl/>
              </w:rPr>
              <w:t xml:space="preserve"> </w:t>
            </w:r>
            <w:r w:rsidR="00A361E8">
              <w:rPr>
                <w:rFonts w:hint="cs"/>
                <w:rtl/>
              </w:rPr>
              <w:t>2016</w:t>
            </w:r>
          </w:p>
        </w:tc>
      </w:tr>
    </w:tbl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Pr="00100F97" w:rsidRDefault="00151493" w:rsidP="00151493">
      <w:pPr>
        <w:pStyle w:val="MeetingTitleAR"/>
        <w:bidi/>
        <w:ind w:right="550"/>
        <w:rPr>
          <w:rtl/>
        </w:rPr>
      </w:pPr>
      <w:r w:rsidRPr="00100F97">
        <w:rPr>
          <w:rtl/>
        </w:rPr>
        <w:t xml:space="preserve">اللجنة </w:t>
      </w:r>
      <w:r>
        <w:rPr>
          <w:rFonts w:hint="cs"/>
          <w:rtl/>
        </w:rPr>
        <w:t>المعنية بالتنمية والملكية الفكرية</w:t>
      </w: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Pr="00783D11" w:rsidRDefault="00151493" w:rsidP="00A361E8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A361E8">
        <w:rPr>
          <w:rFonts w:ascii="Cambria Math" w:hAnsi="Cambria Math" w:hint="cs"/>
          <w:rtl/>
        </w:rPr>
        <w:t>السابعة</w:t>
      </w:r>
      <w:r>
        <w:rPr>
          <w:rFonts w:ascii="Cambria Math" w:hAnsi="Cambria Math" w:hint="cs"/>
          <w:rtl/>
        </w:rPr>
        <w:t xml:space="preserve"> عشرة</w:t>
      </w:r>
    </w:p>
    <w:p w:rsidR="00151493" w:rsidRPr="00D61541" w:rsidRDefault="00151493" w:rsidP="00A361E8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A361E8">
        <w:rPr>
          <w:rFonts w:hint="cs"/>
          <w:rtl/>
        </w:rPr>
        <w:t>11</w:t>
      </w:r>
      <w:r>
        <w:rPr>
          <w:rFonts w:hint="cs"/>
          <w:rtl/>
        </w:rPr>
        <w:t xml:space="preserve"> إلى </w:t>
      </w:r>
      <w:r w:rsidR="00A361E8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="00A361E8">
        <w:rPr>
          <w:rFonts w:hint="cs"/>
          <w:rtl/>
        </w:rPr>
        <w:t>أبريل</w:t>
      </w:r>
      <w:r>
        <w:rPr>
          <w:rFonts w:hint="cs"/>
          <w:rtl/>
        </w:rPr>
        <w:t xml:space="preserve"> </w:t>
      </w:r>
      <w:r w:rsidR="00A361E8">
        <w:rPr>
          <w:rFonts w:hint="cs"/>
          <w:rtl/>
        </w:rPr>
        <w:t>2016</w:t>
      </w: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Default="00151493" w:rsidP="0015149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51493" w:rsidRPr="00D61541" w:rsidRDefault="00477DBB" w:rsidP="00151493">
      <w:pPr>
        <w:pStyle w:val="DocumentTitleAR"/>
        <w:bidi/>
        <w:rPr>
          <w:rtl/>
        </w:rPr>
      </w:pPr>
      <w:r>
        <w:rPr>
          <w:rFonts w:hint="cs"/>
          <w:rtl/>
        </w:rPr>
        <w:t>آلية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>
        <w:rPr>
          <w:rFonts w:hint="cs"/>
          <w:rtl/>
        </w:rPr>
        <w:t>تحديث قاعدة البيانات بشأن المرونة</w:t>
      </w:r>
    </w:p>
    <w:p w:rsidR="00151493" w:rsidRDefault="00151493" w:rsidP="00151493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F007BD">
        <w:rPr>
          <w:rFonts w:hint="cs"/>
          <w:rtl/>
        </w:rPr>
        <w:t xml:space="preserve"> الأمانة</w:t>
      </w:r>
    </w:p>
    <w:p w:rsidR="00A361E8" w:rsidRDefault="00A91D95" w:rsidP="00BE0BA9">
      <w:pPr>
        <w:pStyle w:val="NumberedParaAR"/>
      </w:pPr>
      <w:r>
        <w:rPr>
          <w:rFonts w:hint="cs"/>
          <w:rtl/>
        </w:rPr>
        <w:t xml:space="preserve">التمست </w:t>
      </w:r>
      <w:r w:rsidR="00477DBB" w:rsidRPr="00477DBB">
        <w:rPr>
          <w:rtl/>
        </w:rPr>
        <w:t xml:space="preserve">اللجنة المعنية بالتنمية والملكية الفكرية (اللجنة) في دورتها </w:t>
      </w:r>
      <w:r>
        <w:rPr>
          <w:rFonts w:hint="cs"/>
          <w:rtl/>
        </w:rPr>
        <w:t>السادسة</w:t>
      </w:r>
      <w:r w:rsidR="00477DBB" w:rsidRPr="00477DBB">
        <w:rPr>
          <w:rtl/>
        </w:rPr>
        <w:t xml:space="preserve"> عشرة من الأمانة </w:t>
      </w:r>
      <w:r>
        <w:rPr>
          <w:rFonts w:hint="cs"/>
          <w:rtl/>
        </w:rPr>
        <w:t>اقتراح آلية تسمح ب</w:t>
      </w:r>
      <w:r w:rsidR="00477DBB" w:rsidRPr="00477DBB">
        <w:rPr>
          <w:rtl/>
        </w:rPr>
        <w:t xml:space="preserve">تحديث قاعدة البيانات بشأن المرونة </w:t>
      </w:r>
      <w:r>
        <w:rPr>
          <w:rFonts w:hint="cs"/>
          <w:rtl/>
        </w:rPr>
        <w:t xml:space="preserve">في نظام الملكية الفكرية تحديثا منتظما يأخذ في الحسبان </w:t>
      </w:r>
      <w:r w:rsidR="00BE0BA9">
        <w:rPr>
          <w:rFonts w:hint="cs"/>
          <w:rtl/>
        </w:rPr>
        <w:t>ال</w:t>
      </w:r>
      <w:r>
        <w:rPr>
          <w:rFonts w:hint="cs"/>
          <w:rtl/>
        </w:rPr>
        <w:t>تعليقات</w:t>
      </w:r>
      <w:r w:rsidR="00BE0BA9">
        <w:rPr>
          <w:rFonts w:hint="cs"/>
          <w:rtl/>
        </w:rPr>
        <w:t xml:space="preserve"> الواردة من</w:t>
      </w:r>
      <w:r>
        <w:rPr>
          <w:rFonts w:hint="cs"/>
          <w:rtl/>
        </w:rPr>
        <w:t xml:space="preserve"> الدول</w:t>
      </w:r>
      <w:r w:rsidR="00BE0BA9">
        <w:rPr>
          <w:rFonts w:hint="eastAsia"/>
          <w:rtl/>
        </w:rPr>
        <w:t> </w:t>
      </w:r>
      <w:r>
        <w:rPr>
          <w:rFonts w:hint="cs"/>
          <w:rtl/>
        </w:rPr>
        <w:t>الأعضاء</w:t>
      </w:r>
      <w:r w:rsidR="00477DBB" w:rsidRPr="00477DBB">
        <w:rPr>
          <w:rtl/>
        </w:rPr>
        <w:t>.</w:t>
      </w:r>
    </w:p>
    <w:p w:rsidR="00F007BD" w:rsidRDefault="00477DBB" w:rsidP="00BE0BA9">
      <w:pPr>
        <w:pStyle w:val="NumberedParaAR"/>
      </w:pPr>
      <w:r>
        <w:rPr>
          <w:rFonts w:hint="cs"/>
          <w:rtl/>
        </w:rPr>
        <w:t xml:space="preserve">وعليه، </w:t>
      </w:r>
      <w:proofErr w:type="spellStart"/>
      <w:r w:rsidR="00BE0BA9">
        <w:rPr>
          <w:rFonts w:hint="cs"/>
          <w:rtl/>
        </w:rPr>
        <w:t>ن</w:t>
      </w:r>
      <w:r w:rsidR="00DA7EA1">
        <w:rPr>
          <w:rFonts w:hint="cs"/>
          <w:rtl/>
        </w:rPr>
        <w:t>قترحنا</w:t>
      </w:r>
      <w:proofErr w:type="spellEnd"/>
      <w:r w:rsidR="00A91D95">
        <w:rPr>
          <w:rFonts w:hint="cs"/>
          <w:rtl/>
        </w:rPr>
        <w:t xml:space="preserve"> في</w:t>
      </w:r>
      <w:r>
        <w:rPr>
          <w:rFonts w:hint="cs"/>
          <w:rtl/>
        </w:rPr>
        <w:t xml:space="preserve"> مرفق هذه الوثيقة </w:t>
      </w:r>
      <w:r w:rsidR="00DA7EA1">
        <w:rPr>
          <w:rFonts w:hint="cs"/>
          <w:rtl/>
        </w:rPr>
        <w:t>خيارين</w:t>
      </w:r>
      <w:r>
        <w:rPr>
          <w:rFonts w:hint="cs"/>
          <w:rtl/>
        </w:rPr>
        <w:t xml:space="preserve"> </w:t>
      </w:r>
      <w:r w:rsidR="00DA7EA1">
        <w:rPr>
          <w:rFonts w:hint="cs"/>
          <w:rtl/>
        </w:rPr>
        <w:t>ممكنين</w:t>
      </w:r>
      <w:r w:rsidR="00A91D95">
        <w:rPr>
          <w:rFonts w:hint="cs"/>
          <w:rtl/>
        </w:rPr>
        <w:t xml:space="preserve"> لتحديث قاعدة البيانات</w:t>
      </w:r>
      <w:r>
        <w:rPr>
          <w:rFonts w:hint="cs"/>
          <w:rtl/>
        </w:rPr>
        <w:t>.</w:t>
      </w:r>
    </w:p>
    <w:p w:rsidR="00F007BD" w:rsidRDefault="00477DBB" w:rsidP="00A975FF">
      <w:pPr>
        <w:pStyle w:val="DecisionParaAR"/>
        <w:rPr>
          <w:rFonts w:hint="cs"/>
        </w:rPr>
      </w:pPr>
      <w:r>
        <w:rPr>
          <w:rFonts w:hint="cs"/>
          <w:rtl/>
        </w:rPr>
        <w:t xml:space="preserve">إن اللجنة مدعوة إلى </w:t>
      </w:r>
      <w:r w:rsidR="00A975FF">
        <w:rPr>
          <w:rFonts w:hint="cs"/>
          <w:rtl/>
        </w:rPr>
        <w:t xml:space="preserve">النظر في </w:t>
      </w:r>
      <w:r>
        <w:rPr>
          <w:rFonts w:hint="cs"/>
          <w:rtl/>
        </w:rPr>
        <w:t>المعلومات الواردة في مرفق هذه الوثيقة.</w:t>
      </w:r>
    </w:p>
    <w:p w:rsidR="00C8683B" w:rsidRPr="00A361E8" w:rsidRDefault="00C8683B" w:rsidP="00C8683B">
      <w:pPr>
        <w:pStyle w:val="DecisionParaAR"/>
        <w:numPr>
          <w:ilvl w:val="0"/>
          <w:numId w:val="0"/>
        </w:numPr>
        <w:ind w:left="5534"/>
        <w:rPr>
          <w:rtl/>
        </w:rPr>
      </w:pPr>
    </w:p>
    <w:p w:rsidR="008804E0" w:rsidRDefault="00F007BD" w:rsidP="00F007BD">
      <w:pPr>
        <w:pStyle w:val="EndofDocumentAR"/>
        <w:rPr>
          <w:rtl/>
        </w:rPr>
      </w:pPr>
      <w:r>
        <w:rPr>
          <w:rFonts w:hint="cs"/>
          <w:rtl/>
        </w:rPr>
        <w:t>[يلي ذلك المرفق]</w:t>
      </w:r>
    </w:p>
    <w:p w:rsidR="00F007BD" w:rsidRPr="00F007BD" w:rsidRDefault="00F007BD" w:rsidP="00F007BD">
      <w:pPr>
        <w:pStyle w:val="NormalParaAR"/>
        <w:rPr>
          <w:rtl/>
        </w:rPr>
      </w:pPr>
    </w:p>
    <w:p w:rsidR="00F007BD" w:rsidRDefault="00F007BD" w:rsidP="008804E0">
      <w:pPr>
        <w:pStyle w:val="NormalParaAR"/>
        <w:rPr>
          <w:rtl/>
        </w:rPr>
        <w:sectPr w:rsidR="00F007BD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8804E0" w:rsidRDefault="00F007BD" w:rsidP="00F007BD">
      <w:pPr>
        <w:pStyle w:val="Heading1AR"/>
        <w:rPr>
          <w:rtl/>
        </w:rPr>
      </w:pPr>
      <w:r>
        <w:rPr>
          <w:rFonts w:hint="cs"/>
          <w:rtl/>
        </w:rPr>
        <w:lastRenderedPageBreak/>
        <w:t>أولاً.</w:t>
      </w:r>
      <w:r>
        <w:rPr>
          <w:rFonts w:hint="cs"/>
          <w:rtl/>
        </w:rPr>
        <w:tab/>
      </w:r>
      <w:r w:rsidR="009E78AA">
        <w:rPr>
          <w:rFonts w:hint="cs"/>
          <w:rtl/>
        </w:rPr>
        <w:t>خلفية</w:t>
      </w:r>
    </w:p>
    <w:p w:rsidR="00F007BD" w:rsidRDefault="009E78AA" w:rsidP="00BE0BA9">
      <w:pPr>
        <w:pStyle w:val="NumberedParaAR"/>
        <w:numPr>
          <w:ilvl w:val="0"/>
          <w:numId w:val="21"/>
        </w:numPr>
        <w:rPr>
          <w:rFonts w:hint="cs"/>
        </w:rPr>
      </w:pPr>
      <w:r>
        <w:rPr>
          <w:rFonts w:hint="cs"/>
          <w:rtl/>
        </w:rPr>
        <w:t>تمّ نشر قاعدة البيانات بشأن المرونة في نظام الملكية الفكرية (المشار إليها لاحقا بعبارة "قاعدة البيانات") في</w:t>
      </w:r>
      <w:r w:rsidR="00BE0BA9">
        <w:rPr>
          <w:rFonts w:hint="eastAsia"/>
          <w:rtl/>
        </w:rPr>
        <w:t> </w:t>
      </w:r>
      <w:r>
        <w:rPr>
          <w:rFonts w:hint="cs"/>
          <w:rtl/>
        </w:rPr>
        <w:t>يونيو 2013 كما اتفقت عليه اللجنة في دورتها السادسة عشرة:</w:t>
      </w:r>
      <w:r>
        <w:rPr>
          <w:rtl/>
        </w:rPr>
        <w:br/>
      </w:r>
      <w:hyperlink r:id="rId11" w:history="1">
        <w:r w:rsidRPr="009E78AA">
          <w:rPr>
            <w:rStyle w:val="Hyperlink"/>
            <w:color w:val="auto"/>
            <w:u w:val="none"/>
          </w:rPr>
          <w:t>http://www.wipo.int/ip-development/en/agenda/flexibilities/search.jsp</w:t>
        </w:r>
      </w:hyperlink>
      <w:r>
        <w:rPr>
          <w:rFonts w:hint="cs"/>
          <w:rtl/>
        </w:rPr>
        <w:t>. وتحتوي قاعدة البيانات على قائمة بمواطن المرونة وردت سابقا في الوثيقة </w:t>
      </w:r>
      <w:r w:rsidRPr="009E78AA">
        <w:t>CDIP/5/4 Rev</w:t>
      </w:r>
      <w:r>
        <w:rPr>
          <w:rFonts w:hint="cs"/>
          <w:rtl/>
        </w:rPr>
        <w:t xml:space="preserve"> المعنونة </w:t>
      </w:r>
      <w:r w:rsidRPr="009E78AA">
        <w:rPr>
          <w:i/>
          <w:iCs/>
          <w:rtl/>
        </w:rPr>
        <w:t>مواطن المرونة المتعلقة بالبراءات في الإطار القانوني متعدد الأطراف</w:t>
      </w:r>
      <w:r w:rsidRPr="009E78AA">
        <w:rPr>
          <w:rFonts w:hint="cs"/>
          <w:i/>
          <w:iCs/>
          <w:rtl/>
        </w:rPr>
        <w:t xml:space="preserve"> </w:t>
      </w:r>
      <w:r w:rsidRPr="009E78AA">
        <w:rPr>
          <w:i/>
          <w:iCs/>
          <w:rtl/>
        </w:rPr>
        <w:t>وتنفيذها التشريعي على الصعيد الوطني والإقليمي</w:t>
      </w:r>
      <w:r>
        <w:rPr>
          <w:rFonts w:hint="cs"/>
          <w:i/>
          <w:iCs/>
          <w:rtl/>
        </w:rPr>
        <w:t xml:space="preserve">. </w:t>
      </w:r>
      <w:r>
        <w:rPr>
          <w:rFonts w:hint="cs"/>
          <w:rtl/>
        </w:rPr>
        <w:t>وهي:</w:t>
      </w:r>
    </w:p>
    <w:p w:rsidR="009E78AA" w:rsidRDefault="009E78AA" w:rsidP="00423720">
      <w:pPr>
        <w:pStyle w:val="NumberedParaAR"/>
        <w:numPr>
          <w:ilvl w:val="0"/>
          <w:numId w:val="22"/>
        </w:numPr>
        <w:spacing w:after="120"/>
        <w:ind w:left="567" w:firstLine="0"/>
        <w:rPr>
          <w:rtl/>
        </w:rPr>
      </w:pPr>
      <w:r>
        <w:rPr>
          <w:rtl/>
        </w:rPr>
        <w:t>التراخيص الإجبارية والاستعمال الحكومي</w:t>
      </w:r>
      <w:r w:rsidR="00813138">
        <w:rPr>
          <w:rFonts w:hint="cs"/>
          <w:rtl/>
        </w:rPr>
        <w:t>؛</w:t>
      </w:r>
    </w:p>
    <w:p w:rsidR="009E78AA" w:rsidRDefault="009E78AA" w:rsidP="00423720">
      <w:pPr>
        <w:pStyle w:val="NumberedParaAR"/>
        <w:numPr>
          <w:ilvl w:val="0"/>
          <w:numId w:val="22"/>
        </w:numPr>
        <w:spacing w:after="120"/>
        <w:ind w:left="567" w:firstLine="0"/>
        <w:rPr>
          <w:rtl/>
        </w:rPr>
      </w:pPr>
      <w:r>
        <w:rPr>
          <w:rtl/>
        </w:rPr>
        <w:t>استنفاد الحقوق</w:t>
      </w:r>
      <w:r w:rsidR="00813138">
        <w:rPr>
          <w:rFonts w:hint="cs"/>
          <w:rtl/>
        </w:rPr>
        <w:t>؛</w:t>
      </w:r>
    </w:p>
    <w:p w:rsidR="009E78AA" w:rsidRDefault="00690771" w:rsidP="00423720">
      <w:pPr>
        <w:pStyle w:val="NumberedParaAR"/>
        <w:numPr>
          <w:ilvl w:val="0"/>
          <w:numId w:val="0"/>
        </w:numPr>
        <w:spacing w:after="120"/>
        <w:ind w:left="567"/>
        <w:rPr>
          <w:rtl/>
        </w:rPr>
      </w:pPr>
      <w:r>
        <w:rPr>
          <w:rFonts w:hint="cs"/>
          <w:rtl/>
        </w:rPr>
        <w:t>(ج)</w:t>
      </w:r>
      <w:r>
        <w:rPr>
          <w:rFonts w:hint="cs"/>
          <w:rtl/>
        </w:rPr>
        <w:tab/>
      </w:r>
      <w:r w:rsidR="009E78AA">
        <w:rPr>
          <w:rtl/>
        </w:rPr>
        <w:t>الاستثناء لأغراض الفحص الإداري</w:t>
      </w:r>
      <w:r w:rsidR="00813138">
        <w:rPr>
          <w:rFonts w:hint="cs"/>
          <w:rtl/>
        </w:rPr>
        <w:t>؛</w:t>
      </w:r>
    </w:p>
    <w:p w:rsidR="009E78AA" w:rsidRDefault="00690771" w:rsidP="00423720">
      <w:pPr>
        <w:pStyle w:val="NumberedParaAR"/>
        <w:numPr>
          <w:ilvl w:val="0"/>
          <w:numId w:val="0"/>
        </w:numPr>
        <w:spacing w:after="120"/>
        <w:ind w:left="567"/>
        <w:rPr>
          <w:rtl/>
        </w:rPr>
      </w:pPr>
      <w:r>
        <w:rPr>
          <w:rFonts w:hint="cs"/>
          <w:rtl/>
        </w:rPr>
        <w:t>(د)</w:t>
      </w:r>
      <w:r>
        <w:rPr>
          <w:rFonts w:hint="cs"/>
          <w:rtl/>
        </w:rPr>
        <w:tab/>
      </w:r>
      <w:r w:rsidR="009E78AA">
        <w:rPr>
          <w:rtl/>
        </w:rPr>
        <w:t>الإعفاء لأغراض البحث</w:t>
      </w:r>
      <w:r w:rsidR="00813138">
        <w:rPr>
          <w:rFonts w:hint="cs"/>
          <w:rtl/>
        </w:rPr>
        <w:t>؛</w:t>
      </w:r>
    </w:p>
    <w:p w:rsidR="00F007BD" w:rsidRDefault="00690771" w:rsidP="00560EAC">
      <w:pPr>
        <w:pStyle w:val="NumberedParaAR"/>
        <w:numPr>
          <w:ilvl w:val="0"/>
          <w:numId w:val="0"/>
        </w:numPr>
        <w:ind w:left="566"/>
        <w:rPr>
          <w:rtl/>
        </w:rPr>
      </w:pPr>
      <w:r>
        <w:rPr>
          <w:rFonts w:hint="cs"/>
          <w:rtl/>
        </w:rPr>
        <w:t>(</w:t>
      </w:r>
      <w:r w:rsidR="00560EAC">
        <w:rPr>
          <w:rFonts w:hint="cs"/>
          <w:rtl/>
        </w:rPr>
        <w:t>ه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  <w:r w:rsidR="009E78AA">
        <w:rPr>
          <w:rtl/>
        </w:rPr>
        <w:t>الاستثناء من الحماية كنماذج منفعة</w:t>
      </w:r>
      <w:r w:rsidR="00813138">
        <w:rPr>
          <w:rFonts w:hint="cs"/>
          <w:rtl/>
        </w:rPr>
        <w:t>.</w:t>
      </w:r>
    </w:p>
    <w:p w:rsidR="00F007BD" w:rsidRDefault="00E024AA" w:rsidP="00813138">
      <w:pPr>
        <w:pStyle w:val="NumberedParaAR"/>
        <w:rPr>
          <w:rFonts w:hint="cs"/>
        </w:rPr>
      </w:pPr>
      <w:r>
        <w:rPr>
          <w:rFonts w:hint="cs"/>
          <w:rtl/>
        </w:rPr>
        <w:t>ونفذّت الأمانة التماس اللجنة في دورتها الخامسة عشرة بتحديث قاعدة البيانات لتشمل أحكاما قانونية جديدة مستمدة من الوثائق </w:t>
      </w:r>
      <w:r w:rsidRPr="00E024AA">
        <w:t>CDIP/7/3 Add</w:t>
      </w:r>
      <w:r>
        <w:rPr>
          <w:rFonts w:hint="cs"/>
          <w:rtl/>
        </w:rPr>
        <w:t xml:space="preserve"> و</w:t>
      </w:r>
      <w:r w:rsidRPr="00E024AA">
        <w:t xml:space="preserve"> CDIP/13/10 Rev</w:t>
      </w:r>
      <w:r>
        <w:rPr>
          <w:rFonts w:hint="cs"/>
          <w:rtl/>
        </w:rPr>
        <w:t>و</w:t>
      </w:r>
      <w:r w:rsidRPr="00E024AA">
        <w:t xml:space="preserve"> CDIP/15/6</w:t>
      </w:r>
      <w:r w:rsidR="00813138">
        <w:rPr>
          <w:rFonts w:hint="cs"/>
          <w:rtl/>
        </w:rPr>
        <w:t>بشأن "</w:t>
      </w:r>
      <w:r w:rsidR="00813138" w:rsidRPr="00813138">
        <w:rPr>
          <w:rtl/>
        </w:rPr>
        <w:t>مواطن المرونة المتعلقة بالبراءات في الإطار القانوني متعدد الأطراف وتنفيذها التشريعي على الصعيد الوطني والإقليمي</w:t>
      </w:r>
      <w:r w:rsidR="00813138">
        <w:rPr>
          <w:rFonts w:hint="cs"/>
          <w:rtl/>
        </w:rPr>
        <w:t>" ما يتعلق منها بمواطن المرونة التسعة</w:t>
      </w:r>
      <w:r w:rsidR="00813138">
        <w:rPr>
          <w:rFonts w:hint="eastAsia"/>
          <w:rtl/>
        </w:rPr>
        <w:t> </w:t>
      </w:r>
      <w:r w:rsidR="00813138">
        <w:rPr>
          <w:rFonts w:hint="cs"/>
          <w:rtl/>
        </w:rPr>
        <w:t>التالية:</w:t>
      </w:r>
    </w:p>
    <w:p w:rsidR="00560EAC" w:rsidRDefault="00813138" w:rsidP="00423720">
      <w:pPr>
        <w:pStyle w:val="NumberedParaAR"/>
        <w:numPr>
          <w:ilvl w:val="0"/>
          <w:numId w:val="0"/>
        </w:numPr>
        <w:spacing w:after="120"/>
        <w:ind w:left="567"/>
        <w:rPr>
          <w:rFonts w:hint="cs"/>
          <w:rtl/>
        </w:rPr>
      </w:pPr>
      <w:r>
        <w:rPr>
          <w:rFonts w:hint="cs"/>
          <w:rtl/>
        </w:rPr>
        <w:t>(</w:t>
      </w:r>
      <w:r w:rsidR="00560EAC">
        <w:rPr>
          <w:rFonts w:hint="cs"/>
          <w:rtl/>
        </w:rPr>
        <w:t>و</w:t>
      </w:r>
      <w:r>
        <w:rPr>
          <w:rFonts w:hint="cs"/>
          <w:rtl/>
        </w:rPr>
        <w:t>)</w:t>
      </w:r>
      <w:r>
        <w:rPr>
          <w:rFonts w:hint="cs"/>
          <w:rtl/>
        </w:rPr>
        <w:tab/>
      </w:r>
      <w:r w:rsidR="00560EAC" w:rsidRPr="00F870B3">
        <w:rPr>
          <w:rtl/>
        </w:rPr>
        <w:t>الفترات الانتقالية</w:t>
      </w:r>
      <w:r w:rsidR="00541DF0">
        <w:rPr>
          <w:rFonts w:hint="cs"/>
          <w:rtl/>
        </w:rPr>
        <w:t>؛</w:t>
      </w:r>
    </w:p>
    <w:p w:rsidR="00560EAC" w:rsidRDefault="00560EAC" w:rsidP="00423720">
      <w:pPr>
        <w:pStyle w:val="NumberedParaAR"/>
        <w:numPr>
          <w:ilvl w:val="0"/>
          <w:numId w:val="0"/>
        </w:numPr>
        <w:spacing w:after="120"/>
        <w:ind w:left="567"/>
        <w:rPr>
          <w:rFonts w:hint="cs"/>
          <w:rtl/>
        </w:rPr>
      </w:pPr>
      <w:r>
        <w:rPr>
          <w:rFonts w:hint="cs"/>
          <w:rtl/>
        </w:rPr>
        <w:t>(ز)</w:t>
      </w:r>
      <w:r>
        <w:rPr>
          <w:rFonts w:hint="cs"/>
          <w:rtl/>
        </w:rPr>
        <w:tab/>
      </w:r>
      <w:r w:rsidRPr="00F870B3">
        <w:rPr>
          <w:rtl/>
        </w:rPr>
        <w:t>إمكانية منح البراءات في المواد الموجودة في الطبيعة</w:t>
      </w:r>
      <w:r w:rsidR="00541DF0">
        <w:rPr>
          <w:rFonts w:hint="cs"/>
          <w:rtl/>
        </w:rPr>
        <w:t>؛</w:t>
      </w:r>
    </w:p>
    <w:p w:rsidR="00560EAC" w:rsidRDefault="00560EAC" w:rsidP="00423720">
      <w:pPr>
        <w:pStyle w:val="NumberedParaAR"/>
        <w:numPr>
          <w:ilvl w:val="0"/>
          <w:numId w:val="0"/>
        </w:numPr>
        <w:spacing w:after="120"/>
        <w:ind w:left="567"/>
        <w:rPr>
          <w:rFonts w:hint="cs"/>
          <w:rtl/>
        </w:rPr>
      </w:pPr>
      <w:r>
        <w:rPr>
          <w:rFonts w:hint="cs"/>
          <w:rtl/>
        </w:rPr>
        <w:t>(ح)</w:t>
      </w:r>
      <w:r>
        <w:rPr>
          <w:rFonts w:hint="cs"/>
          <w:rtl/>
        </w:rPr>
        <w:tab/>
      </w:r>
      <w:r w:rsidRPr="00560EAC">
        <w:rPr>
          <w:rtl/>
        </w:rPr>
        <w:t>مواطن المرونة المتعلقة بالكشف</w:t>
      </w:r>
      <w:r w:rsidR="00541DF0">
        <w:rPr>
          <w:rFonts w:hint="cs"/>
          <w:rtl/>
        </w:rPr>
        <w:t>؛</w:t>
      </w:r>
    </w:p>
    <w:p w:rsidR="00560EAC" w:rsidRDefault="00560EAC" w:rsidP="00423720">
      <w:pPr>
        <w:pStyle w:val="NumberedParaAR"/>
        <w:numPr>
          <w:ilvl w:val="0"/>
          <w:numId w:val="0"/>
        </w:numPr>
        <w:spacing w:after="120"/>
        <w:ind w:left="567"/>
        <w:rPr>
          <w:rFonts w:hint="cs"/>
          <w:rtl/>
        </w:rPr>
      </w:pPr>
      <w:r w:rsidRPr="00560EAC">
        <w:rPr>
          <w:rtl/>
        </w:rPr>
        <w:t>(ط)</w:t>
      </w:r>
      <w:r>
        <w:rPr>
          <w:rFonts w:hint="cs"/>
          <w:rtl/>
        </w:rPr>
        <w:tab/>
      </w:r>
      <w:r w:rsidRPr="00560EAC">
        <w:rPr>
          <w:rtl/>
        </w:rPr>
        <w:t>الفحص الموضوعي</w:t>
      </w:r>
      <w:r w:rsidR="00541DF0">
        <w:rPr>
          <w:rFonts w:hint="cs"/>
          <w:rtl/>
        </w:rPr>
        <w:t>؛</w:t>
      </w:r>
    </w:p>
    <w:p w:rsidR="00813138" w:rsidRDefault="00560EAC" w:rsidP="00423720">
      <w:pPr>
        <w:pStyle w:val="NumberedParaAR"/>
        <w:numPr>
          <w:ilvl w:val="0"/>
          <w:numId w:val="0"/>
        </w:numPr>
        <w:spacing w:after="120"/>
        <w:ind w:left="567"/>
        <w:rPr>
          <w:rtl/>
        </w:rPr>
      </w:pPr>
      <w:r>
        <w:rPr>
          <w:rFonts w:hint="cs"/>
          <w:rtl/>
        </w:rPr>
        <w:t>(ي)</w:t>
      </w:r>
      <w:r>
        <w:rPr>
          <w:rFonts w:hint="cs"/>
          <w:rtl/>
        </w:rPr>
        <w:tab/>
      </w:r>
      <w:r w:rsidR="00813138">
        <w:rPr>
          <w:rtl/>
        </w:rPr>
        <w:t>الرقابة التلقائية من مكاتب البراءات على البنود التعاقدية المنافية للمنافسة المشـروعة</w:t>
      </w:r>
      <w:r w:rsidR="00541DF0">
        <w:rPr>
          <w:rFonts w:hint="cs"/>
          <w:rtl/>
        </w:rPr>
        <w:t>؛</w:t>
      </w:r>
    </w:p>
    <w:p w:rsidR="00813138" w:rsidRDefault="00560EAC" w:rsidP="00423720">
      <w:pPr>
        <w:pStyle w:val="NumberedParaAR"/>
        <w:numPr>
          <w:ilvl w:val="0"/>
          <w:numId w:val="0"/>
        </w:numPr>
        <w:spacing w:after="120"/>
        <w:ind w:left="567"/>
        <w:rPr>
          <w:rtl/>
        </w:rPr>
      </w:pPr>
      <w:r>
        <w:rPr>
          <w:rFonts w:hint="cs"/>
          <w:rtl/>
        </w:rPr>
        <w:t>(ك)</w:t>
      </w:r>
      <w:r>
        <w:rPr>
          <w:rFonts w:hint="cs"/>
          <w:rtl/>
        </w:rPr>
        <w:tab/>
      </w:r>
      <w:r w:rsidR="00813138">
        <w:rPr>
          <w:rtl/>
        </w:rPr>
        <w:t>نطاق استبعاد النباتات من إمكانية الحماية ببراءة</w:t>
      </w:r>
      <w:r w:rsidR="00541DF0">
        <w:rPr>
          <w:rFonts w:hint="cs"/>
          <w:rtl/>
        </w:rPr>
        <w:t>؛</w:t>
      </w:r>
    </w:p>
    <w:p w:rsidR="00813138" w:rsidRDefault="00560EAC" w:rsidP="00423720">
      <w:pPr>
        <w:pStyle w:val="NumberedParaAR"/>
        <w:numPr>
          <w:ilvl w:val="0"/>
          <w:numId w:val="0"/>
        </w:numPr>
        <w:spacing w:after="120"/>
        <w:ind w:left="567"/>
        <w:rPr>
          <w:rtl/>
        </w:rPr>
      </w:pPr>
      <w:r>
        <w:rPr>
          <w:rFonts w:hint="cs"/>
          <w:rtl/>
        </w:rPr>
        <w:t>(ل)</w:t>
      </w:r>
      <w:r>
        <w:rPr>
          <w:rFonts w:hint="cs"/>
          <w:rtl/>
        </w:rPr>
        <w:tab/>
      </w:r>
      <w:r w:rsidR="00813138">
        <w:rPr>
          <w:rtl/>
        </w:rPr>
        <w:t>إمكانية حماية الاختراعات المتعلقة بالبرمجيات أو استبعادها من ذلك</w:t>
      </w:r>
      <w:r w:rsidR="00541DF0">
        <w:rPr>
          <w:rFonts w:hint="cs"/>
          <w:rtl/>
        </w:rPr>
        <w:t>؛</w:t>
      </w:r>
    </w:p>
    <w:p w:rsidR="00813138" w:rsidRDefault="00560EAC" w:rsidP="00423720">
      <w:pPr>
        <w:pStyle w:val="NumberedParaAR"/>
        <w:numPr>
          <w:ilvl w:val="0"/>
          <w:numId w:val="0"/>
        </w:numPr>
        <w:spacing w:after="120"/>
        <w:ind w:left="567"/>
        <w:rPr>
          <w:rtl/>
        </w:rPr>
      </w:pPr>
      <w:r>
        <w:rPr>
          <w:rFonts w:hint="cs"/>
          <w:rtl/>
        </w:rPr>
        <w:t>(م)</w:t>
      </w:r>
      <w:r>
        <w:rPr>
          <w:rFonts w:hint="cs"/>
          <w:rtl/>
        </w:rPr>
        <w:tab/>
      </w:r>
      <w:r w:rsidR="00813138">
        <w:rPr>
          <w:rtl/>
        </w:rPr>
        <w:t>المرونة في تنفيذ العقوبات الجنائية في إنفاذ البراءات</w:t>
      </w:r>
      <w:r w:rsidR="00541DF0">
        <w:rPr>
          <w:rFonts w:hint="cs"/>
          <w:rtl/>
        </w:rPr>
        <w:t>؛</w:t>
      </w:r>
      <w:r w:rsidR="00813138">
        <w:rPr>
          <w:rtl/>
        </w:rPr>
        <w:t xml:space="preserve"> </w:t>
      </w:r>
    </w:p>
    <w:p w:rsidR="00813138" w:rsidRDefault="00560EAC" w:rsidP="00541DF0">
      <w:pPr>
        <w:pStyle w:val="NumberedParaAR"/>
        <w:numPr>
          <w:ilvl w:val="0"/>
          <w:numId w:val="0"/>
        </w:numPr>
        <w:ind w:left="566"/>
        <w:rPr>
          <w:rFonts w:hint="cs"/>
          <w:rtl/>
        </w:rPr>
      </w:pPr>
      <w:r>
        <w:rPr>
          <w:rFonts w:hint="cs"/>
          <w:rtl/>
        </w:rPr>
        <w:t>(ن)</w:t>
      </w:r>
      <w:r>
        <w:rPr>
          <w:rFonts w:hint="cs"/>
          <w:rtl/>
        </w:rPr>
        <w:tab/>
      </w:r>
      <w:r w:rsidR="00813138">
        <w:rPr>
          <w:rtl/>
        </w:rPr>
        <w:t>الإجراءات المتصلة بالأمن الوطني (ما يسمى "الاستثناء الأمني")</w:t>
      </w:r>
      <w:r w:rsidR="00541DF0">
        <w:rPr>
          <w:rFonts w:hint="cs"/>
          <w:rtl/>
        </w:rPr>
        <w:t>.</w:t>
      </w:r>
    </w:p>
    <w:p w:rsidR="00541DF0" w:rsidRDefault="00541DF0" w:rsidP="00541DF0">
      <w:pPr>
        <w:pStyle w:val="NumberedParaAR"/>
        <w:rPr>
          <w:rFonts w:hint="cs"/>
        </w:rPr>
      </w:pPr>
      <w:r>
        <w:rPr>
          <w:rFonts w:hint="cs"/>
          <w:rtl/>
        </w:rPr>
        <w:t>ثم أضيفت إلى قاعدة البيانات جداول بفئات مختلف الأحكام المتعلقة بمواطن محددة من المرونة كما وردت في الوثائق المذكورة أعلاه.</w:t>
      </w:r>
    </w:p>
    <w:p w:rsidR="00541DF0" w:rsidRDefault="00541DF0" w:rsidP="00862163">
      <w:pPr>
        <w:pStyle w:val="NumberedParaAR"/>
        <w:rPr>
          <w:rFonts w:hint="cs"/>
        </w:rPr>
      </w:pPr>
      <w:r>
        <w:rPr>
          <w:rFonts w:hint="cs"/>
          <w:rtl/>
        </w:rPr>
        <w:t>وكانت اللجنة قد ناقشت في دورتها السادسة عشرة "</w:t>
      </w:r>
      <w:r w:rsidRPr="00541DF0">
        <w:rPr>
          <w:rtl/>
        </w:rPr>
        <w:t>تقرير</w:t>
      </w:r>
      <w:r>
        <w:rPr>
          <w:rFonts w:hint="cs"/>
          <w:rtl/>
        </w:rPr>
        <w:t>اً</w:t>
      </w:r>
      <w:r w:rsidRPr="00541DF0">
        <w:rPr>
          <w:rtl/>
        </w:rPr>
        <w:t xml:space="preserve"> عن تحديث قاعدة البيانات بشأن المرونة</w:t>
      </w:r>
      <w:r>
        <w:rPr>
          <w:rFonts w:hint="cs"/>
          <w:rtl/>
        </w:rPr>
        <w:t>". وورد التقرير في الوثيقة </w:t>
      </w:r>
      <w:r w:rsidRPr="00541DF0">
        <w:t>CDIP/16/15</w:t>
      </w:r>
      <w:r>
        <w:rPr>
          <w:rFonts w:hint="cs"/>
          <w:rtl/>
        </w:rPr>
        <w:t>. وبرز فيه من ضمن ما برز أن قاعدة البيانات تحتوي حاليا على 1371 حكما قان</w:t>
      </w:r>
      <w:r w:rsidR="00110C4D">
        <w:rPr>
          <w:rFonts w:hint="cs"/>
          <w:rtl/>
        </w:rPr>
        <w:t>ونيا من 202 من الأنظمة القضائية، وتتعلق تلك الأحكام بمواطن المرونة</w:t>
      </w:r>
      <w:r w:rsidR="00110C4D" w:rsidRPr="00110C4D">
        <w:rPr>
          <w:rFonts w:hint="cs"/>
          <w:rtl/>
        </w:rPr>
        <w:t xml:space="preserve"> </w:t>
      </w:r>
      <w:r w:rsidR="00110C4D">
        <w:rPr>
          <w:rFonts w:hint="cs"/>
          <w:rtl/>
        </w:rPr>
        <w:t>ال</w:t>
      </w:r>
      <w:r w:rsidR="00110C4D">
        <w:rPr>
          <w:rFonts w:hint="cs"/>
          <w:rtl/>
        </w:rPr>
        <w:t>أربعة عشر</w:t>
      </w:r>
      <w:r w:rsidR="00110C4D">
        <w:rPr>
          <w:rFonts w:hint="cs"/>
          <w:rtl/>
        </w:rPr>
        <w:t xml:space="preserve"> المذكورة </w:t>
      </w:r>
      <w:r w:rsidR="00862163">
        <w:rPr>
          <w:rFonts w:hint="cs"/>
          <w:rtl/>
        </w:rPr>
        <w:t>سالفا</w:t>
      </w:r>
      <w:r w:rsidR="00110C4D">
        <w:rPr>
          <w:rFonts w:hint="cs"/>
          <w:rtl/>
        </w:rPr>
        <w:t>. والتمس</w:t>
      </w:r>
      <w:r w:rsidR="00862163">
        <w:rPr>
          <w:rFonts w:hint="cs"/>
          <w:rtl/>
        </w:rPr>
        <w:t>ت</w:t>
      </w:r>
      <w:r w:rsidR="00110C4D">
        <w:rPr>
          <w:rFonts w:hint="cs"/>
          <w:rtl/>
        </w:rPr>
        <w:t xml:space="preserve"> اللجنة من الأمانة أن تقترح عليها في دورتها المقبلة آلية تسمح </w:t>
      </w:r>
      <w:r w:rsidR="00110C4D" w:rsidRPr="00110C4D">
        <w:rPr>
          <w:rtl/>
        </w:rPr>
        <w:t>بتحديث قاعدة البيانات بشأن المرونة في نظام الملكية الفكرية تحديثا منتظما يأخذ في الحسبان تعليقات الدول الأعضاء</w:t>
      </w:r>
      <w:r w:rsidR="00CF7E85">
        <w:rPr>
          <w:rFonts w:hint="cs"/>
          <w:rtl/>
        </w:rPr>
        <w:t>.</w:t>
      </w:r>
    </w:p>
    <w:p w:rsidR="00CF7E85" w:rsidRDefault="00CF7E85" w:rsidP="00862163">
      <w:pPr>
        <w:pStyle w:val="NumberedParaAR"/>
        <w:rPr>
          <w:rtl/>
        </w:rPr>
      </w:pPr>
      <w:r>
        <w:rPr>
          <w:rFonts w:hint="cs"/>
          <w:rtl/>
        </w:rPr>
        <w:lastRenderedPageBreak/>
        <w:t xml:space="preserve">ونظرا إلى أن من غير الممكن حاليا تقييم انتظام التحديث في أحكام القوانين الوطنية التي تُدرج في قاعدة البيانات، من </w:t>
      </w:r>
      <w:r w:rsidR="00862163">
        <w:rPr>
          <w:rFonts w:hint="cs"/>
          <w:rtl/>
        </w:rPr>
        <w:t xml:space="preserve">المهم بمكان ضمان ألا تؤدي آلية </w:t>
      </w:r>
      <w:r>
        <w:rPr>
          <w:rFonts w:hint="cs"/>
          <w:rtl/>
        </w:rPr>
        <w:t>تحديث</w:t>
      </w:r>
      <w:r w:rsidR="00862163">
        <w:rPr>
          <w:rFonts w:hint="cs"/>
          <w:rtl/>
        </w:rPr>
        <w:t xml:space="preserve"> قاعدة البيانات</w:t>
      </w:r>
      <w:r>
        <w:rPr>
          <w:rFonts w:hint="cs"/>
          <w:rtl/>
        </w:rPr>
        <w:t xml:space="preserve"> إلى استخدام موارد المنظمة البشرية والمالية استخداما غير فعّال. وعليه، يُعتبر الخياران التاليان </w:t>
      </w:r>
      <w:r w:rsidR="00B426DB">
        <w:rPr>
          <w:rFonts w:hint="cs"/>
          <w:rtl/>
        </w:rPr>
        <w:t>آليتين قليل</w:t>
      </w:r>
      <w:r w:rsidR="00862163">
        <w:rPr>
          <w:rFonts w:hint="cs"/>
          <w:rtl/>
        </w:rPr>
        <w:t>ت</w:t>
      </w:r>
      <w:r w:rsidR="00B426DB">
        <w:rPr>
          <w:rFonts w:hint="cs"/>
          <w:rtl/>
        </w:rPr>
        <w:t>ي الثقل ولكنهما محكم</w:t>
      </w:r>
      <w:r w:rsidR="00862163">
        <w:rPr>
          <w:rFonts w:hint="cs"/>
          <w:rtl/>
        </w:rPr>
        <w:t>تان ت</w:t>
      </w:r>
      <w:r w:rsidR="00B426DB">
        <w:rPr>
          <w:rFonts w:hint="cs"/>
          <w:rtl/>
        </w:rPr>
        <w:t>ستجيبان لاحتياجات الدول الأعضاء.</w:t>
      </w:r>
    </w:p>
    <w:p w:rsidR="00813138" w:rsidRDefault="00813138" w:rsidP="00156C47">
      <w:pPr>
        <w:pStyle w:val="Heading1AR"/>
        <w:rPr>
          <w:rtl/>
        </w:rPr>
      </w:pPr>
      <w:r>
        <w:rPr>
          <w:rtl/>
        </w:rPr>
        <w:t>ثانيا</w:t>
      </w:r>
      <w:r w:rsidR="00156C47">
        <w:rPr>
          <w:rFonts w:hint="cs"/>
          <w:rtl/>
        </w:rPr>
        <w:t>.</w:t>
      </w:r>
      <w:r>
        <w:rPr>
          <w:rtl/>
        </w:rPr>
        <w:tab/>
      </w:r>
      <w:r w:rsidR="00156C47">
        <w:rPr>
          <w:rFonts w:hint="cs"/>
          <w:rtl/>
        </w:rPr>
        <w:t>آلية لتحديث قاعدة البيانات بشأن المرونة</w:t>
      </w:r>
    </w:p>
    <w:p w:rsidR="00F007BD" w:rsidRPr="00E37915" w:rsidRDefault="00E37915" w:rsidP="00E37915">
      <w:pPr>
        <w:pStyle w:val="Heading3AR"/>
        <w:rPr>
          <w:rtl/>
        </w:rPr>
      </w:pPr>
      <w:r>
        <w:rPr>
          <w:rFonts w:hint="cs"/>
          <w:rtl/>
        </w:rPr>
        <w:t>الخيار الأول</w:t>
      </w:r>
    </w:p>
    <w:p w:rsidR="00F007BD" w:rsidRDefault="00666869" w:rsidP="000E4080">
      <w:pPr>
        <w:pStyle w:val="NumberedParaAR"/>
        <w:rPr>
          <w:rFonts w:hint="cs"/>
        </w:rPr>
      </w:pPr>
      <w:r>
        <w:rPr>
          <w:rFonts w:hint="cs"/>
          <w:rtl/>
        </w:rPr>
        <w:t>تزوِّد</w:t>
      </w:r>
      <w:r w:rsidR="00DE59D6">
        <w:rPr>
          <w:rFonts w:hint="cs"/>
          <w:rtl/>
        </w:rPr>
        <w:t xml:space="preserve"> الدول الأعضاء الأمانة </w:t>
      </w:r>
      <w:r>
        <w:rPr>
          <w:rFonts w:hint="cs"/>
          <w:rtl/>
        </w:rPr>
        <w:t>بتحديثات</w:t>
      </w:r>
      <w:r w:rsidR="00DE59D6">
        <w:rPr>
          <w:rFonts w:hint="cs"/>
          <w:rtl/>
        </w:rPr>
        <w:t xml:space="preserve"> أحكامها الوطنية المتعلقة ب</w:t>
      </w:r>
      <w:r>
        <w:rPr>
          <w:rFonts w:hint="cs"/>
          <w:rtl/>
        </w:rPr>
        <w:t xml:space="preserve">مواطن </w:t>
      </w:r>
      <w:r w:rsidR="00DE59D6">
        <w:rPr>
          <w:rFonts w:hint="cs"/>
          <w:rtl/>
        </w:rPr>
        <w:t xml:space="preserve">المرونة </w:t>
      </w:r>
      <w:r w:rsidR="009C37A9">
        <w:rPr>
          <w:rFonts w:hint="cs"/>
          <w:rtl/>
        </w:rPr>
        <w:t xml:space="preserve">والواردة في قاعدة البيانات، </w:t>
      </w:r>
      <w:r w:rsidR="000E4080">
        <w:rPr>
          <w:rFonts w:hint="cs"/>
          <w:rtl/>
        </w:rPr>
        <w:t>بموجب</w:t>
      </w:r>
      <w:r w:rsidR="009C37A9">
        <w:rPr>
          <w:rFonts w:hint="cs"/>
          <w:rtl/>
        </w:rPr>
        <w:t xml:space="preserve"> تبليغ</w:t>
      </w:r>
      <w:r w:rsidR="009C37A9">
        <w:rPr>
          <w:rFonts w:hint="eastAsia"/>
          <w:rtl/>
        </w:rPr>
        <w:t> </w:t>
      </w:r>
      <w:r w:rsidR="009C37A9">
        <w:rPr>
          <w:rFonts w:hint="cs"/>
          <w:rtl/>
        </w:rPr>
        <w:t>رسمي.</w:t>
      </w:r>
    </w:p>
    <w:p w:rsidR="009C37A9" w:rsidRDefault="009C37A9" w:rsidP="00666869">
      <w:pPr>
        <w:pStyle w:val="NumberedParaAR"/>
        <w:rPr>
          <w:rFonts w:hint="cs"/>
        </w:rPr>
      </w:pPr>
      <w:r>
        <w:rPr>
          <w:rFonts w:hint="cs"/>
          <w:rtl/>
        </w:rPr>
        <w:t xml:space="preserve">ويُدرج التحديث المبلّغ في قاعدة البيانات تحت ركن جديد يسمّى </w:t>
      </w:r>
      <w:r>
        <w:t>“Updates by Member States”</w:t>
      </w:r>
      <w:r>
        <w:rPr>
          <w:rFonts w:hint="cs"/>
          <w:rtl/>
        </w:rPr>
        <w:t>. ويُذكر في ذلك الركن بوضوح أن الأمانة لم تفحص الأحكام المبلّغة للتأكد من انتمائها إلى موطن المرونة المحال إليه.</w:t>
      </w:r>
    </w:p>
    <w:p w:rsidR="009C37A9" w:rsidRDefault="00666869" w:rsidP="00666869">
      <w:pPr>
        <w:pStyle w:val="NumberedParaAR"/>
      </w:pPr>
      <w:r>
        <w:rPr>
          <w:rFonts w:hint="cs"/>
          <w:rtl/>
        </w:rPr>
        <w:t>إذن</w:t>
      </w:r>
      <w:r w:rsidR="009C37A9">
        <w:rPr>
          <w:rFonts w:hint="cs"/>
          <w:rtl/>
        </w:rPr>
        <w:t xml:space="preserve"> </w:t>
      </w:r>
      <w:r w:rsidR="005F6636">
        <w:rPr>
          <w:rFonts w:hint="cs"/>
          <w:rtl/>
        </w:rPr>
        <w:t>تظهر</w:t>
      </w:r>
      <w:r w:rsidR="009C37A9">
        <w:rPr>
          <w:rFonts w:hint="cs"/>
          <w:rtl/>
        </w:rPr>
        <w:t xml:space="preserve"> في قاعدة البيانات الأحكام الموجودة في قوانين الملكية الفكرية الوطنية </w:t>
      </w:r>
      <w:r>
        <w:rPr>
          <w:rFonts w:hint="cs"/>
          <w:rtl/>
        </w:rPr>
        <w:t>والتي ت</w:t>
      </w:r>
      <w:r w:rsidR="009C37A9">
        <w:rPr>
          <w:rFonts w:hint="cs"/>
          <w:rtl/>
        </w:rPr>
        <w:t xml:space="preserve">كون </w:t>
      </w:r>
      <w:r>
        <w:rPr>
          <w:rFonts w:hint="cs"/>
          <w:rtl/>
        </w:rPr>
        <w:t>مراجعها</w:t>
      </w:r>
      <w:r w:rsidR="009C37A9">
        <w:rPr>
          <w:rFonts w:hint="cs"/>
          <w:rtl/>
        </w:rPr>
        <w:t xml:space="preserve"> الوثائق المتعلقة بالمرونة التي ناقشتها اللجنة</w:t>
      </w:r>
      <w:r w:rsidR="009C37A9">
        <w:rPr>
          <w:rStyle w:val="FootnoteReference"/>
          <w:rtl/>
        </w:rPr>
        <w:footnoteReference w:id="1"/>
      </w:r>
      <w:r w:rsidR="005F6636">
        <w:rPr>
          <w:rFonts w:hint="cs"/>
          <w:rtl/>
        </w:rPr>
        <w:t xml:space="preserve">، كما تظهر في ركن آخَر </w:t>
      </w:r>
      <w:r>
        <w:rPr>
          <w:rFonts w:hint="cs"/>
          <w:rtl/>
        </w:rPr>
        <w:t>من قاعدة البيانات التحديثات</w:t>
      </w:r>
      <w:r w:rsidR="005F6636">
        <w:rPr>
          <w:rFonts w:hint="cs"/>
          <w:rtl/>
        </w:rPr>
        <w:t xml:space="preserve"> المبلّغ</w:t>
      </w:r>
      <w:r>
        <w:rPr>
          <w:rFonts w:hint="cs"/>
          <w:rtl/>
        </w:rPr>
        <w:t>ة</w:t>
      </w:r>
      <w:r w:rsidR="005F6636">
        <w:rPr>
          <w:rFonts w:hint="cs"/>
          <w:rtl/>
        </w:rPr>
        <w:t xml:space="preserve"> من الدول الأعضاء.</w:t>
      </w:r>
    </w:p>
    <w:p w:rsidR="00F007BD" w:rsidRDefault="005F6636" w:rsidP="00F303F6">
      <w:pPr>
        <w:pStyle w:val="NumberedParaAR"/>
      </w:pPr>
      <w:r>
        <w:rPr>
          <w:rFonts w:hint="cs"/>
          <w:rtl/>
        </w:rPr>
        <w:t xml:space="preserve">وترفع الأمانة </w:t>
      </w:r>
      <w:r w:rsidR="00F303F6">
        <w:rPr>
          <w:rFonts w:hint="cs"/>
          <w:rtl/>
        </w:rPr>
        <w:t xml:space="preserve">إلى اللجنة </w:t>
      </w:r>
      <w:r>
        <w:rPr>
          <w:rFonts w:hint="cs"/>
          <w:rtl/>
        </w:rPr>
        <w:t xml:space="preserve">تقريرا سنويا </w:t>
      </w:r>
      <w:r w:rsidR="00527DB3">
        <w:rPr>
          <w:rFonts w:hint="cs"/>
          <w:rtl/>
        </w:rPr>
        <w:t>بالتحديثات</w:t>
      </w:r>
      <w:r>
        <w:rPr>
          <w:rFonts w:hint="cs"/>
          <w:rtl/>
        </w:rPr>
        <w:t xml:space="preserve"> المضافة إلى قاعدة البيانات.</w:t>
      </w:r>
    </w:p>
    <w:p w:rsidR="00F007BD" w:rsidRDefault="005F6636" w:rsidP="005F6636">
      <w:pPr>
        <w:pStyle w:val="Heading3AR"/>
      </w:pPr>
      <w:r>
        <w:rPr>
          <w:rFonts w:hint="cs"/>
          <w:rtl/>
        </w:rPr>
        <w:t>الخيار الثاني</w:t>
      </w:r>
    </w:p>
    <w:p w:rsidR="00F007BD" w:rsidRDefault="00FE02C0" w:rsidP="000E4080">
      <w:pPr>
        <w:pStyle w:val="NumberedParaAR"/>
      </w:pPr>
      <w:r>
        <w:rPr>
          <w:rFonts w:hint="cs"/>
          <w:rtl/>
        </w:rPr>
        <w:t xml:space="preserve">تزوِّد الدول الأعضاء الأمانة </w:t>
      </w:r>
      <w:r w:rsidR="000E4080">
        <w:rPr>
          <w:rFonts w:hint="cs"/>
          <w:rtl/>
        </w:rPr>
        <w:t>بتحديثات في</w:t>
      </w:r>
      <w:r>
        <w:rPr>
          <w:rFonts w:hint="cs"/>
          <w:rtl/>
        </w:rPr>
        <w:t xml:space="preserve"> أحكامها الوطنية المتعلقة ب</w:t>
      </w:r>
      <w:r w:rsidR="000E4080">
        <w:rPr>
          <w:rFonts w:hint="cs"/>
          <w:rtl/>
        </w:rPr>
        <w:t xml:space="preserve">مواطن </w:t>
      </w:r>
      <w:r>
        <w:rPr>
          <w:rFonts w:hint="cs"/>
          <w:rtl/>
        </w:rPr>
        <w:t xml:space="preserve">المرونة الواردة في قاعدة البيانات، </w:t>
      </w:r>
      <w:r w:rsidR="000E4080">
        <w:rPr>
          <w:rFonts w:hint="cs"/>
          <w:rtl/>
        </w:rPr>
        <w:t>بموجب</w:t>
      </w:r>
      <w:r>
        <w:rPr>
          <w:rFonts w:hint="cs"/>
          <w:rtl/>
        </w:rPr>
        <w:t xml:space="preserve"> تبليغ</w:t>
      </w:r>
      <w:r>
        <w:rPr>
          <w:rFonts w:hint="eastAsia"/>
          <w:rtl/>
        </w:rPr>
        <w:t> </w:t>
      </w:r>
      <w:r>
        <w:rPr>
          <w:rFonts w:hint="cs"/>
          <w:rtl/>
        </w:rPr>
        <w:t>رسمي.</w:t>
      </w:r>
    </w:p>
    <w:p w:rsidR="00F007BD" w:rsidRDefault="0025431B" w:rsidP="00D01844">
      <w:pPr>
        <w:pStyle w:val="NumberedParaAR"/>
      </w:pPr>
      <w:r>
        <w:rPr>
          <w:rFonts w:hint="cs"/>
          <w:rtl/>
        </w:rPr>
        <w:t>و</w:t>
      </w:r>
      <w:r w:rsidR="00FE02C0">
        <w:rPr>
          <w:rFonts w:hint="cs"/>
          <w:rtl/>
        </w:rPr>
        <w:t xml:space="preserve">يمكن أن تشير </w:t>
      </w:r>
      <w:r w:rsidR="00D01844">
        <w:rPr>
          <w:rFonts w:hint="cs"/>
          <w:rtl/>
        </w:rPr>
        <w:t>التحديثات</w:t>
      </w:r>
      <w:r w:rsidR="00FE02C0">
        <w:rPr>
          <w:rFonts w:hint="cs"/>
          <w:rtl/>
        </w:rPr>
        <w:t xml:space="preserve"> المبلّغ</w:t>
      </w:r>
      <w:r w:rsidR="00D01844">
        <w:rPr>
          <w:rFonts w:hint="cs"/>
          <w:rtl/>
        </w:rPr>
        <w:t>ة</w:t>
      </w:r>
      <w:r w:rsidR="00FE02C0">
        <w:rPr>
          <w:rFonts w:hint="cs"/>
          <w:rtl/>
        </w:rPr>
        <w:t xml:space="preserve"> من الدول الأعضاء إلى</w:t>
      </w:r>
      <w:r w:rsidR="00527DB3">
        <w:rPr>
          <w:rFonts w:hint="cs"/>
          <w:rtl/>
        </w:rPr>
        <w:t>:</w:t>
      </w:r>
    </w:p>
    <w:p w:rsidR="00F007BD" w:rsidRDefault="00FE02C0" w:rsidP="00423720">
      <w:pPr>
        <w:pStyle w:val="NumberedParaAR"/>
        <w:numPr>
          <w:ilvl w:val="0"/>
          <w:numId w:val="0"/>
        </w:numPr>
        <w:spacing w:after="120"/>
        <w:ind w:left="567"/>
        <w:rPr>
          <w:rFonts w:hint="cs"/>
          <w:rtl/>
        </w:rPr>
      </w:pPr>
      <w:r>
        <w:rPr>
          <w:rFonts w:hint="cs"/>
          <w:rtl/>
        </w:rPr>
        <w:t>"1"</w:t>
      </w:r>
      <w:r>
        <w:rPr>
          <w:rFonts w:hint="cs"/>
          <w:rtl/>
        </w:rPr>
        <w:tab/>
        <w:t>تعديل مادة أو أكثر سبق إدراجها في قاعدة البيانات؛</w:t>
      </w:r>
    </w:p>
    <w:p w:rsidR="00FE02C0" w:rsidRDefault="00FE02C0" w:rsidP="00FE02C0">
      <w:pPr>
        <w:pStyle w:val="NumberedParaAR"/>
        <w:numPr>
          <w:ilvl w:val="0"/>
          <w:numId w:val="0"/>
        </w:numPr>
        <w:ind w:left="566"/>
      </w:pPr>
      <w:r>
        <w:rPr>
          <w:rFonts w:hint="cs"/>
          <w:rtl/>
        </w:rPr>
        <w:t>"2"</w:t>
      </w:r>
      <w:r>
        <w:rPr>
          <w:rFonts w:hint="cs"/>
          <w:rtl/>
        </w:rPr>
        <w:tab/>
      </w:r>
      <w:r w:rsidR="00D01844">
        <w:rPr>
          <w:rFonts w:hint="cs"/>
          <w:rtl/>
        </w:rPr>
        <w:t>و</w:t>
      </w:r>
      <w:r>
        <w:rPr>
          <w:rFonts w:hint="cs"/>
          <w:rtl/>
        </w:rPr>
        <w:t>مادة لا سابق لها ومعتمدة جديدا في القانون الوطني وتتعلق بمواطن المرونة الواردة في قاعدة البيانات.</w:t>
      </w:r>
    </w:p>
    <w:p w:rsidR="00F007BD" w:rsidRDefault="00A824C3" w:rsidP="00D01844">
      <w:pPr>
        <w:pStyle w:val="NumberedParaAR"/>
        <w:rPr>
          <w:rFonts w:hint="cs"/>
        </w:rPr>
      </w:pPr>
      <w:r>
        <w:rPr>
          <w:rFonts w:hint="cs"/>
          <w:rtl/>
        </w:rPr>
        <w:t xml:space="preserve">فتفحص الأمانة </w:t>
      </w:r>
      <w:r w:rsidR="00D01844">
        <w:rPr>
          <w:rFonts w:hint="cs"/>
          <w:rtl/>
        </w:rPr>
        <w:t>التحديث الوارد إليها لتتأكد من أنه</w:t>
      </w:r>
      <w:r>
        <w:rPr>
          <w:rFonts w:hint="cs"/>
          <w:rtl/>
        </w:rPr>
        <w:t xml:space="preserve"> </w:t>
      </w:r>
      <w:r w:rsidR="00D01844">
        <w:rPr>
          <w:rFonts w:hint="cs"/>
          <w:rtl/>
        </w:rPr>
        <w:t>ي</w:t>
      </w:r>
      <w:r>
        <w:rPr>
          <w:rFonts w:hint="cs"/>
          <w:rtl/>
        </w:rPr>
        <w:t>تماشى فعلا والنطاق والمعايير التي اتفقت عليها اللجنة أثناء مناقشة موطن المرونة المعني.</w:t>
      </w:r>
    </w:p>
    <w:p w:rsidR="001E2BCF" w:rsidRDefault="001E2BCF" w:rsidP="001E2BCF">
      <w:pPr>
        <w:pStyle w:val="NumberedParaAR"/>
      </w:pPr>
      <w:r>
        <w:rPr>
          <w:rFonts w:hint="cs"/>
          <w:rtl/>
        </w:rPr>
        <w:t>ف</w:t>
      </w:r>
      <w:r w:rsidRPr="001E2BCF">
        <w:rPr>
          <w:rtl/>
        </w:rPr>
        <w:t xml:space="preserve">إذا تبيّن أن المواد </w:t>
      </w:r>
      <w:r>
        <w:rPr>
          <w:rFonts w:hint="cs"/>
          <w:rtl/>
        </w:rPr>
        <w:t>المحدّثة</w:t>
      </w:r>
      <w:r w:rsidRPr="001E2BCF">
        <w:rPr>
          <w:rtl/>
        </w:rPr>
        <w:t xml:space="preserve"> تتماشى والنطاق والمعايير المشار إليها </w:t>
      </w:r>
      <w:r>
        <w:rPr>
          <w:rFonts w:hint="cs"/>
          <w:rtl/>
        </w:rPr>
        <w:t>في الفقرة 12 أعلاه</w:t>
      </w:r>
      <w:r w:rsidRPr="001E2BCF">
        <w:rPr>
          <w:rtl/>
        </w:rPr>
        <w:t>،</w:t>
      </w:r>
      <w:r>
        <w:rPr>
          <w:rFonts w:hint="cs"/>
          <w:rtl/>
        </w:rPr>
        <w:t xml:space="preserve"> تباشر الأمانة نشر تلك الأحكام في قاعدة البيانات في غضون ستة أشهر.</w:t>
      </w:r>
    </w:p>
    <w:p w:rsidR="00F007BD" w:rsidRDefault="001E2BCF" w:rsidP="001E2BCF">
      <w:pPr>
        <w:pStyle w:val="NumberedParaAR"/>
      </w:pPr>
      <w:r>
        <w:rPr>
          <w:rFonts w:hint="cs"/>
          <w:rtl/>
        </w:rPr>
        <w:t xml:space="preserve">وإذا تبيّن أن المواد المحدثة لا </w:t>
      </w:r>
      <w:r w:rsidRPr="001E2BCF">
        <w:rPr>
          <w:rtl/>
        </w:rPr>
        <w:t>تتماشى والنطاق والمعايير</w:t>
      </w:r>
      <w:r>
        <w:rPr>
          <w:rFonts w:hint="cs"/>
          <w:rtl/>
        </w:rPr>
        <w:t xml:space="preserve"> المشار إليها أعلاه، تبلّغ الأمانة الدولة العضو المعنية الأسباب الداعية إلى العدول عن إدراجها في قاعدة البيانات.</w:t>
      </w:r>
    </w:p>
    <w:p w:rsidR="00F007BD" w:rsidRPr="001E2BCF" w:rsidRDefault="00527DB3" w:rsidP="00527DB3">
      <w:pPr>
        <w:pStyle w:val="NumberedParaAR"/>
      </w:pPr>
      <w:r w:rsidRPr="00527DB3">
        <w:rPr>
          <w:rtl/>
        </w:rPr>
        <w:t xml:space="preserve">وترفع الأمانة تقريرا سنويا إلى اللجنة </w:t>
      </w:r>
      <w:r>
        <w:rPr>
          <w:rFonts w:hint="cs"/>
          <w:rtl/>
        </w:rPr>
        <w:t>بالتحديثات</w:t>
      </w:r>
      <w:r w:rsidRPr="00527DB3">
        <w:rPr>
          <w:rtl/>
        </w:rPr>
        <w:t xml:space="preserve"> المضافة إلى قاعدة البيانات.</w:t>
      </w:r>
    </w:p>
    <w:p w:rsidR="00F007BD" w:rsidRDefault="00423720" w:rsidP="00423720">
      <w:pPr>
        <w:pStyle w:val="NumberedParaAR"/>
        <w:keepNext/>
        <w:rPr>
          <w:rFonts w:hint="cs"/>
        </w:rPr>
      </w:pPr>
      <w:r>
        <w:rPr>
          <w:rFonts w:hint="cs"/>
          <w:rtl/>
        </w:rPr>
        <w:lastRenderedPageBreak/>
        <w:t>ولعل من الجدير ذكر أن التحديثات ستضاف إلى قاعدة البيانات فقط وليس في الوثائق المرجعية الحالية أو أية وثائق أخرى تتعلق بهذا الموضوع.</w:t>
      </w:r>
    </w:p>
    <w:p w:rsidR="00423720" w:rsidRDefault="00C32C2E" w:rsidP="00C32C2E">
      <w:pPr>
        <w:pStyle w:val="NumberedParaAR"/>
      </w:pPr>
      <w:r>
        <w:rPr>
          <w:rFonts w:hint="cs"/>
          <w:rtl/>
        </w:rPr>
        <w:t>وأيّاً كان قرار اللجنة في الخيارين الواردين أعلاه، فقد يتعين م</w:t>
      </w:r>
      <w:bookmarkStart w:id="2" w:name="_GoBack"/>
      <w:bookmarkEnd w:id="2"/>
      <w:r>
        <w:rPr>
          <w:rFonts w:hint="cs"/>
          <w:rtl/>
        </w:rPr>
        <w:t>راجعة الموارد البشرية والمالية المخصصة لهذا العمل إذا ما تبيّن أن عدد التحديثات أكبر من أن تستوعبه قدرات الأمانة حاليا.</w:t>
      </w:r>
    </w:p>
    <w:p w:rsidR="00F007BD" w:rsidRDefault="00F007BD" w:rsidP="00F007BD">
      <w:pPr>
        <w:pStyle w:val="NumberedParaAR"/>
        <w:numPr>
          <w:ilvl w:val="0"/>
          <w:numId w:val="0"/>
        </w:numPr>
        <w:rPr>
          <w:rtl/>
        </w:rPr>
      </w:pPr>
    </w:p>
    <w:p w:rsidR="00F007BD" w:rsidRPr="00F007BD" w:rsidRDefault="00F007BD" w:rsidP="00F007BD">
      <w:pPr>
        <w:pStyle w:val="EndofDocumentAR"/>
        <w:rPr>
          <w:rtl/>
        </w:rPr>
      </w:pPr>
      <w:r>
        <w:rPr>
          <w:rFonts w:hint="cs"/>
          <w:rtl/>
        </w:rPr>
        <w:t>[نهاية المرفق والوثيقة]</w:t>
      </w:r>
    </w:p>
    <w:sectPr w:rsidR="00F007BD" w:rsidRPr="00F007BD" w:rsidSect="00F007BD">
      <w:headerReference w:type="default" r:id="rId12"/>
      <w:headerReference w:type="first" r:id="rId13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E9" w:rsidRDefault="004041E9">
      <w:r>
        <w:separator/>
      </w:r>
    </w:p>
  </w:endnote>
  <w:endnote w:type="continuationSeparator" w:id="0">
    <w:p w:rsidR="004041E9" w:rsidRDefault="0040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E9" w:rsidRDefault="004041E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041E9" w:rsidRDefault="004041E9" w:rsidP="009622BF">
      <w:pPr>
        <w:bidi/>
      </w:pPr>
      <w:r>
        <w:separator/>
      </w:r>
    </w:p>
  </w:footnote>
  <w:footnote w:id="1">
    <w:p w:rsidR="009C37A9" w:rsidRDefault="009C37A9" w:rsidP="002F2EBD">
      <w:pPr>
        <w:pStyle w:val="FootnoteText"/>
        <w:rPr>
          <w:rFonts w:hint="cs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أشرنا أعلاه إلى أن قاعدة البيانات تتضمن حاليا أحكاما مستمدة من الوثائق المعدّة بشأن </w:t>
      </w:r>
      <w:r w:rsidRPr="009C37A9">
        <w:rPr>
          <w:rtl/>
        </w:rPr>
        <w:t>مواطن المرونة المتعلقة بالبراءات في الإطار القانوني متعدد الأطراف وتنفيذها التشريعي على الصعيد الوطني والإقليمي</w:t>
      </w:r>
      <w:r w:rsidR="002F2EBD">
        <w:rPr>
          <w:rFonts w:hint="cs"/>
          <w:rtl/>
        </w:rPr>
        <w:t xml:space="preserve">، أي </w:t>
      </w:r>
      <w:r w:rsidR="002F2EBD" w:rsidRPr="002F2EBD">
        <w:rPr>
          <w:rtl/>
        </w:rPr>
        <w:t>الوثائق</w:t>
      </w:r>
      <w:r w:rsidR="002F2EBD">
        <w:rPr>
          <w:rFonts w:hint="cs"/>
          <w:rtl/>
        </w:rPr>
        <w:t xml:space="preserve"> </w:t>
      </w:r>
      <w:r w:rsidR="002F2EBD">
        <w:t>CDIP/5/4</w:t>
      </w:r>
      <w:r w:rsidR="002F2EBD" w:rsidRPr="002F2EBD">
        <w:rPr>
          <w:rtl/>
        </w:rPr>
        <w:t xml:space="preserve"> </w:t>
      </w:r>
      <w:r w:rsidR="002F2EBD">
        <w:rPr>
          <w:rFonts w:hint="cs"/>
          <w:rtl/>
          <w:lang w:bidi="ar-EG"/>
        </w:rPr>
        <w:t>و</w:t>
      </w:r>
      <w:r w:rsidR="002F2EBD" w:rsidRPr="002F2EBD">
        <w:t>CDIP/7/3 Add</w:t>
      </w:r>
      <w:r w:rsidR="002F2EBD" w:rsidRPr="002F2EBD">
        <w:rPr>
          <w:rtl/>
        </w:rPr>
        <w:t xml:space="preserve"> و</w:t>
      </w:r>
      <w:r w:rsidR="002F2EBD" w:rsidRPr="002F2EBD">
        <w:t>CDIP/13/10 Rev</w:t>
      </w:r>
      <w:r w:rsidR="002F2EBD">
        <w:rPr>
          <w:rFonts w:hint="cs"/>
          <w:rtl/>
        </w:rPr>
        <w:t xml:space="preserve"> </w:t>
      </w:r>
      <w:r w:rsidR="002F2EBD" w:rsidRPr="002F2EBD">
        <w:rPr>
          <w:rtl/>
        </w:rPr>
        <w:t>و</w:t>
      </w:r>
      <w:r w:rsidR="002F2EBD" w:rsidRPr="002F2EBD">
        <w:t>CDIP/15/6</w:t>
      </w:r>
      <w:r w:rsidR="002F2EBD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151493" w:rsidP="00A361E8">
    <w:r>
      <w:t>CDIP</w:t>
    </w:r>
    <w:r w:rsidR="002F77FC">
      <w:t>/</w:t>
    </w:r>
    <w:r w:rsidR="00A361E8">
      <w:t>17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F007BD">
      <w:rPr>
        <w:noProof/>
      </w:rPr>
      <w:t>2</w:t>
    </w:r>
    <w:r>
      <w:fldChar w:fldCharType="end"/>
    </w:r>
  </w:p>
  <w:p w:rsidR="002F77FC" w:rsidRDefault="002F77F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BD" w:rsidRDefault="00F007BD" w:rsidP="00F007BD">
    <w:pPr>
      <w:rPr>
        <w:szCs w:val="22"/>
        <w:rtl/>
      </w:rPr>
    </w:pPr>
    <w:r w:rsidRPr="00F007BD">
      <w:rPr>
        <w:szCs w:val="22"/>
      </w:rPr>
      <w:t>CDIP/17/</w:t>
    </w:r>
    <w:r w:rsidRPr="00F007BD">
      <w:rPr>
        <w:rFonts w:hint="cs"/>
        <w:szCs w:val="22"/>
        <w:rtl/>
      </w:rPr>
      <w:t>5</w:t>
    </w:r>
  </w:p>
  <w:p w:rsidR="00F007BD" w:rsidRPr="00F007BD" w:rsidRDefault="00F007BD" w:rsidP="00F007BD">
    <w:pPr>
      <w:rPr>
        <w:szCs w:val="22"/>
      </w:rPr>
    </w:pPr>
    <w:r>
      <w:rPr>
        <w:szCs w:val="22"/>
      </w:rPr>
      <w:t>Annex</w:t>
    </w:r>
  </w:p>
  <w:p w:rsidR="00F007BD" w:rsidRDefault="00F007BD" w:rsidP="00D61541">
    <w:r>
      <w:fldChar w:fldCharType="begin"/>
    </w:r>
    <w:r>
      <w:instrText xml:space="preserve"> PAGE  \* MERGEFORMAT </w:instrText>
    </w:r>
    <w:r>
      <w:fldChar w:fldCharType="separate"/>
    </w:r>
    <w:r w:rsidR="00497AFA">
      <w:rPr>
        <w:noProof/>
      </w:rPr>
      <w:t>3</w:t>
    </w:r>
    <w:r>
      <w:fldChar w:fldCharType="end"/>
    </w:r>
  </w:p>
  <w:p w:rsidR="00F007BD" w:rsidRDefault="00F007BD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7BD" w:rsidRDefault="00F007BD">
    <w:pPr>
      <w:pStyle w:val="Header"/>
    </w:pPr>
    <w:r>
      <w:t>CDIP/17/5</w:t>
    </w:r>
  </w:p>
  <w:p w:rsidR="00F007BD" w:rsidRDefault="00F007BD">
    <w:pPr>
      <w:pStyle w:val="Header"/>
    </w:pPr>
    <w:r>
      <w:t>ANNEX</w:t>
    </w:r>
  </w:p>
  <w:p w:rsidR="00F007BD" w:rsidRPr="00F007BD" w:rsidRDefault="00F007BD">
    <w:pPr>
      <w:pStyle w:val="Header"/>
      <w:rPr>
        <w:rFonts w:ascii="Arabic Typesetting" w:hAnsi="Arabic Typesetting" w:cs="Arabic Typesetting"/>
        <w:sz w:val="36"/>
        <w:szCs w:val="36"/>
        <w:rtl/>
      </w:rPr>
    </w:pPr>
    <w:r w:rsidRPr="00F007BD">
      <w:rPr>
        <w:rFonts w:ascii="Arabic Typesetting" w:hAnsi="Arabic Typesetting" w:cs="Arabic Typesetting"/>
        <w:sz w:val="36"/>
        <w:szCs w:val="36"/>
        <w:rtl/>
      </w:rPr>
      <w:t>المرفق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E8E66CA"/>
    <w:multiLevelType w:val="hybridMultilevel"/>
    <w:tmpl w:val="5FD6218E"/>
    <w:lvl w:ilvl="0" w:tplc="59BC017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8"/>
  </w:num>
  <w:num w:numId="5">
    <w:abstractNumId w:val="8"/>
  </w:num>
  <w:num w:numId="6">
    <w:abstractNumId w:val="19"/>
  </w:num>
  <w:num w:numId="7">
    <w:abstractNumId w:val="13"/>
  </w:num>
  <w:num w:numId="8">
    <w:abstractNumId w:val="17"/>
  </w:num>
  <w:num w:numId="9">
    <w:abstractNumId w:val="16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</w:num>
  <w:num w:numId="22">
    <w:abstractNumId w:val="15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E9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4080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0C4D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45FD6"/>
    <w:rsid w:val="0015009D"/>
    <w:rsid w:val="00151493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6C47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2BCF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31B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10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BD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BF3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2E1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47C9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1E9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3720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77DBB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97AFA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27DB3"/>
    <w:rsid w:val="00530442"/>
    <w:rsid w:val="00534AF0"/>
    <w:rsid w:val="00535060"/>
    <w:rsid w:val="00535738"/>
    <w:rsid w:val="005409EB"/>
    <w:rsid w:val="00540F30"/>
    <w:rsid w:val="00541DD2"/>
    <w:rsid w:val="00541DF0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EAC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636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869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771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25D3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B5D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3138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163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04E0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060C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1D12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B79A2"/>
    <w:rsid w:val="009C13BF"/>
    <w:rsid w:val="009C2943"/>
    <w:rsid w:val="009C37A9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78AA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1E8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24C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D95"/>
    <w:rsid w:val="00A92040"/>
    <w:rsid w:val="00A92065"/>
    <w:rsid w:val="00A92184"/>
    <w:rsid w:val="00A9334F"/>
    <w:rsid w:val="00A93D6F"/>
    <w:rsid w:val="00A9614E"/>
    <w:rsid w:val="00A963B5"/>
    <w:rsid w:val="00A96FA8"/>
    <w:rsid w:val="00A975FF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4B7C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26DB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2C4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0BA9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2C2E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83B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E85"/>
    <w:rsid w:val="00D007D6"/>
    <w:rsid w:val="00D01844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A7EA1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59D6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24AA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6CD9"/>
    <w:rsid w:val="00E37652"/>
    <w:rsid w:val="00E3768F"/>
    <w:rsid w:val="00E37915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0DD7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7BD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3F6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2C0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007BD"/>
    <w:rPr>
      <w:rFonts w:ascii="Arial" w:hAnsi="Arial" w:cs="Arial"/>
      <w:sz w:val="22"/>
    </w:rPr>
  </w:style>
  <w:style w:type="character" w:styleId="Hyperlink">
    <w:name w:val="Hyperlink"/>
    <w:uiPriority w:val="99"/>
    <w:rsid w:val="00477D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007BD"/>
    <w:rPr>
      <w:rFonts w:ascii="Arial" w:hAnsi="Arial" w:cs="Arial"/>
      <w:sz w:val="22"/>
    </w:rPr>
  </w:style>
  <w:style w:type="character" w:styleId="Hyperlink">
    <w:name w:val="Hyperlink"/>
    <w:uiPriority w:val="99"/>
    <w:rsid w:val="00477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ip-development/en/agenda/flexibilities/search.js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DIP_17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B719-8C9A-4E80-8254-3BECE5F1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CDIP_17_AR.dotx</Template>
  <TotalTime>201</TotalTime>
  <Pages>4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CDIP/15/-- (Arabic)</vt:lpstr>
    </vt:vector>
  </TitlesOfParts>
  <Company>World Intellectual Property Organization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CDIP/15/-- (Arabic)</dc:title>
  <dc:creator>YOUSSEF Randa</dc:creator>
  <cp:lastModifiedBy>CHADAREVIAN Diane</cp:lastModifiedBy>
  <cp:revision>32</cp:revision>
  <cp:lastPrinted>2016-02-22T13:21:00Z</cp:lastPrinted>
  <dcterms:created xsi:type="dcterms:W3CDTF">2016-02-22T09:35:00Z</dcterms:created>
  <dcterms:modified xsi:type="dcterms:W3CDTF">2016-02-22T13:21:00Z</dcterms:modified>
</cp:coreProperties>
</file>