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8804E0">
            <w:pPr>
              <w:pStyle w:val="DocumentCodeAR"/>
              <w:bidi/>
              <w:rPr>
                <w:rtl/>
              </w:rPr>
            </w:pPr>
            <w:r>
              <w:t>CDIP</w:t>
            </w:r>
            <w:r w:rsidR="00100F97">
              <w:t>/</w:t>
            </w:r>
            <w:r w:rsidR="008804E0">
              <w:t>16</w:t>
            </w:r>
            <w:r w:rsidR="002C49D1">
              <w:t>/INF/2</w:t>
            </w:r>
          </w:p>
        </w:tc>
      </w:tr>
      <w:tr w:rsidR="001667B6" w:rsidTr="00BF164F">
        <w:tc>
          <w:tcPr>
            <w:tcW w:w="9571" w:type="dxa"/>
            <w:gridSpan w:val="3"/>
          </w:tcPr>
          <w:p w:rsidR="001667B6" w:rsidRPr="00B6101C" w:rsidRDefault="00B6101C" w:rsidP="002C49D1">
            <w:pPr>
              <w:pStyle w:val="DocumentLanguageAR"/>
              <w:bidi/>
              <w:rPr>
                <w:rtl/>
              </w:rPr>
            </w:pPr>
            <w:r w:rsidRPr="00B6101C">
              <w:rPr>
                <w:rFonts w:hint="cs"/>
                <w:rtl/>
              </w:rPr>
              <w:t xml:space="preserve">الأصل: </w:t>
            </w:r>
            <w:proofErr w:type="gramStart"/>
            <w:r w:rsidR="002C49D1">
              <w:rPr>
                <w:rFonts w:hint="cs"/>
                <w:rtl/>
              </w:rPr>
              <w:t>بالإنكليزية</w:t>
            </w:r>
            <w:proofErr w:type="gramEnd"/>
          </w:p>
        </w:tc>
      </w:tr>
      <w:tr w:rsidR="001667B6" w:rsidTr="00BF164F">
        <w:tc>
          <w:tcPr>
            <w:tcW w:w="9571" w:type="dxa"/>
            <w:gridSpan w:val="3"/>
          </w:tcPr>
          <w:p w:rsidR="001667B6" w:rsidRPr="00B6101C" w:rsidRDefault="00B6101C" w:rsidP="002C49D1">
            <w:pPr>
              <w:pStyle w:val="DocumentDateAR"/>
              <w:bidi/>
              <w:rPr>
                <w:rtl/>
              </w:rPr>
            </w:pPr>
            <w:r w:rsidRPr="00B6101C">
              <w:rPr>
                <w:rFonts w:hint="cs"/>
                <w:rtl/>
              </w:rPr>
              <w:t xml:space="preserve">التاريخ: </w:t>
            </w:r>
            <w:r w:rsidR="002C49D1">
              <w:rPr>
                <w:rFonts w:hint="cs"/>
                <w:rtl/>
              </w:rPr>
              <w:t>28</w:t>
            </w:r>
            <w:r w:rsidRPr="00B6101C">
              <w:rPr>
                <w:rFonts w:hint="cs"/>
                <w:rtl/>
              </w:rPr>
              <w:t xml:space="preserve"> </w:t>
            </w:r>
            <w:proofErr w:type="gramStart"/>
            <w:r w:rsidR="002C49D1">
              <w:rPr>
                <w:rFonts w:hint="cs"/>
                <w:rtl/>
              </w:rPr>
              <w:t>سبتمبر</w:t>
            </w:r>
            <w:proofErr w:type="gramEnd"/>
            <w:r w:rsidRPr="00B6101C">
              <w:rPr>
                <w:rFonts w:hint="cs"/>
                <w:rtl/>
              </w:rPr>
              <w:t xml:space="preserve">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 xml:space="preserve">المعنية بالتنمية </w:t>
      </w:r>
      <w:proofErr w:type="gramStart"/>
      <w:r>
        <w:rPr>
          <w:rFonts w:hint="cs"/>
          <w:rtl/>
        </w:rPr>
        <w:t>والملكية</w:t>
      </w:r>
      <w:proofErr w:type="gramEnd"/>
      <w:r>
        <w:rPr>
          <w:rFonts w:hint="cs"/>
          <w:rtl/>
        </w:rPr>
        <w:t xml:space="preserve">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8804E0">
      <w:pPr>
        <w:pStyle w:val="MeetingSessionAR"/>
        <w:bidi/>
        <w:rPr>
          <w:rFonts w:ascii="Cambria Math" w:hAnsi="Cambria Math"/>
          <w:rtl/>
        </w:rPr>
      </w:pPr>
      <w:r w:rsidRPr="00783D11">
        <w:rPr>
          <w:rFonts w:ascii="Cambria Math" w:hAnsi="Cambria Math"/>
          <w:rtl/>
        </w:rPr>
        <w:t xml:space="preserve">الدورة </w:t>
      </w:r>
      <w:proofErr w:type="gramStart"/>
      <w:r w:rsidR="008804E0">
        <w:rPr>
          <w:rFonts w:ascii="Cambria Math" w:hAnsi="Cambria Math" w:hint="cs"/>
          <w:rtl/>
        </w:rPr>
        <w:t>السادسة</w:t>
      </w:r>
      <w:proofErr w:type="gramEnd"/>
      <w:r>
        <w:rPr>
          <w:rFonts w:ascii="Cambria Math" w:hAnsi="Cambria Math" w:hint="cs"/>
          <w:rtl/>
        </w:rPr>
        <w:t xml:space="preserve"> عشرة</w:t>
      </w:r>
    </w:p>
    <w:p w:rsidR="00151493" w:rsidRPr="00D61541" w:rsidRDefault="00151493" w:rsidP="008804E0">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8804E0">
        <w:rPr>
          <w:rFonts w:hint="cs"/>
          <w:rtl/>
        </w:rPr>
        <w:t>9</w:t>
      </w:r>
      <w:r>
        <w:rPr>
          <w:rFonts w:hint="cs"/>
          <w:rtl/>
        </w:rPr>
        <w:t xml:space="preserve"> إلى </w:t>
      </w:r>
      <w:r w:rsidR="008804E0">
        <w:rPr>
          <w:rFonts w:hint="cs"/>
          <w:rtl/>
        </w:rPr>
        <w:t>13</w:t>
      </w:r>
      <w:r>
        <w:rPr>
          <w:rFonts w:hint="cs"/>
          <w:rtl/>
        </w:rPr>
        <w:t xml:space="preserve"> </w:t>
      </w:r>
      <w:r w:rsidR="008804E0">
        <w:rPr>
          <w:rFonts w:hint="cs"/>
          <w:rtl/>
        </w:rPr>
        <w:t>نوفمبر</w:t>
      </w:r>
      <w:r>
        <w:rPr>
          <w:rFonts w:hint="cs"/>
          <w:rtl/>
        </w:rPr>
        <w:t xml:space="preserve">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2C49D1" w:rsidP="000A3B16">
      <w:pPr>
        <w:pStyle w:val="DocumentTitleAR"/>
        <w:bidi/>
        <w:rPr>
          <w:rtl/>
        </w:rPr>
      </w:pPr>
      <w:proofErr w:type="gramStart"/>
      <w:r>
        <w:rPr>
          <w:rFonts w:hint="cs"/>
          <w:rtl/>
        </w:rPr>
        <w:t>ملخص</w:t>
      </w:r>
      <w:proofErr w:type="gramEnd"/>
      <w:r>
        <w:rPr>
          <w:rFonts w:hint="cs"/>
          <w:rtl/>
        </w:rPr>
        <w:t xml:space="preserve"> دليل ترخيص </w:t>
      </w:r>
      <w:r w:rsidR="000A3B16">
        <w:rPr>
          <w:rFonts w:hint="cs"/>
          <w:rtl/>
        </w:rPr>
        <w:t>العلامات التجارية</w:t>
      </w:r>
    </w:p>
    <w:p w:rsidR="00151493" w:rsidRDefault="00151493" w:rsidP="00151493">
      <w:pPr>
        <w:pStyle w:val="PreparedbyAR"/>
        <w:bidi/>
        <w:rPr>
          <w:rtl/>
        </w:rPr>
      </w:pPr>
      <w:r w:rsidRPr="00D61541">
        <w:rPr>
          <w:rFonts w:hint="cs"/>
          <w:rtl/>
        </w:rPr>
        <w:t xml:space="preserve">من </w:t>
      </w:r>
      <w:r w:rsidRPr="00931859">
        <w:rPr>
          <w:rFonts w:hint="cs"/>
          <w:rtl/>
        </w:rPr>
        <w:t>إعداد</w:t>
      </w:r>
      <w:r w:rsidR="003D0C6B">
        <w:rPr>
          <w:rFonts w:hint="cs"/>
          <w:rtl/>
        </w:rPr>
        <w:t xml:space="preserve"> السيد كينيث د. </w:t>
      </w:r>
      <w:proofErr w:type="spellStart"/>
      <w:r w:rsidR="003D0C6B">
        <w:rPr>
          <w:rFonts w:hint="cs"/>
          <w:rtl/>
        </w:rPr>
        <w:t>ماكاي</w:t>
      </w:r>
      <w:proofErr w:type="spellEnd"/>
      <w:r w:rsidR="003D0C6B">
        <w:rPr>
          <w:rFonts w:hint="cs"/>
          <w:rtl/>
        </w:rPr>
        <w:t xml:space="preserve">، شريك في مكتب المحاماة سيم لومان أشتون </w:t>
      </w:r>
      <w:proofErr w:type="spellStart"/>
      <w:r w:rsidR="003D0C6B">
        <w:rPr>
          <w:rFonts w:hint="cs"/>
          <w:rtl/>
        </w:rPr>
        <w:t>وماكاي</w:t>
      </w:r>
      <w:proofErr w:type="spellEnd"/>
      <w:r w:rsidR="003D0C6B">
        <w:rPr>
          <w:rFonts w:hint="cs"/>
          <w:rtl/>
        </w:rPr>
        <w:t>، تورونتو، كند</w:t>
      </w:r>
      <w:r w:rsidR="003D0C6B">
        <w:rPr>
          <w:rStyle w:val="FootnoteReference"/>
          <w:rtl/>
        </w:rPr>
        <w:footnoteReference w:id="1"/>
      </w:r>
      <w:r w:rsidR="003D0C6B">
        <w:rPr>
          <w:rFonts w:hint="cs"/>
          <w:rtl/>
        </w:rPr>
        <w:t>ا</w:t>
      </w:r>
    </w:p>
    <w:p w:rsidR="008804E0" w:rsidRDefault="000A3B16" w:rsidP="005C4135">
      <w:pPr>
        <w:pStyle w:val="NumberedParaAR"/>
      </w:pPr>
      <w:proofErr w:type="gramStart"/>
      <w:r>
        <w:rPr>
          <w:rFonts w:hint="cs"/>
          <w:rtl/>
        </w:rPr>
        <w:t>تحتوي</w:t>
      </w:r>
      <w:proofErr w:type="gramEnd"/>
      <w:r>
        <w:rPr>
          <w:rFonts w:hint="cs"/>
          <w:rtl/>
        </w:rPr>
        <w:t xml:space="preserve"> هذه الوثيقة على ملخص </w:t>
      </w:r>
      <w:r w:rsidRPr="000A3B16">
        <w:rPr>
          <w:rFonts w:hint="cs"/>
          <w:b/>
          <w:bCs/>
          <w:rtl/>
        </w:rPr>
        <w:t>دليل ترخيص العلامات التجارية</w:t>
      </w:r>
      <w:r w:rsidR="005C4135">
        <w:rPr>
          <w:rFonts w:hint="cs"/>
          <w:rtl/>
        </w:rPr>
        <w:t xml:space="preserve">، الذي أعِد في إطار </w:t>
      </w:r>
      <w:r w:rsidR="005C4135" w:rsidRPr="005C4135">
        <w:rPr>
          <w:rFonts w:hint="cs"/>
          <w:i/>
          <w:iCs/>
          <w:rtl/>
        </w:rPr>
        <w:t>م</w:t>
      </w:r>
      <w:r w:rsidRPr="005C4135">
        <w:rPr>
          <w:i/>
          <w:iCs/>
          <w:rtl/>
        </w:rPr>
        <w:t>شروع بنية دعم الابتكار ونقل التكنولوجيا لفائدة المؤسسات الوطنية</w:t>
      </w:r>
      <w:r w:rsidR="005C4135">
        <w:rPr>
          <w:rFonts w:hint="cs"/>
          <w:rtl/>
        </w:rPr>
        <w:t xml:space="preserve"> (</w:t>
      </w:r>
      <w:r w:rsidR="005C4135" w:rsidRPr="005C4135">
        <w:t>CDIP/3/INF/2</w:t>
      </w:r>
      <w:r w:rsidR="005C4135">
        <w:rPr>
          <w:rFonts w:hint="cs"/>
          <w:rtl/>
        </w:rPr>
        <w:t xml:space="preserve">). وتولى إعداد الدليل </w:t>
      </w:r>
      <w:r w:rsidR="005C4135" w:rsidRPr="005C4135">
        <w:rPr>
          <w:rtl/>
        </w:rPr>
        <w:t xml:space="preserve">السيد كينيث د. </w:t>
      </w:r>
      <w:proofErr w:type="spellStart"/>
      <w:r w:rsidR="005C4135" w:rsidRPr="005C4135">
        <w:rPr>
          <w:rtl/>
        </w:rPr>
        <w:t>ماكاي</w:t>
      </w:r>
      <w:proofErr w:type="spellEnd"/>
      <w:r w:rsidR="005C4135" w:rsidRPr="005C4135">
        <w:rPr>
          <w:rtl/>
        </w:rPr>
        <w:t xml:space="preserve">، شريك في مكتب المحاماة سيم لومان أشتون </w:t>
      </w:r>
      <w:proofErr w:type="spellStart"/>
      <w:r w:rsidR="005C4135" w:rsidRPr="005C4135">
        <w:rPr>
          <w:rtl/>
        </w:rPr>
        <w:t>وماكاي</w:t>
      </w:r>
      <w:proofErr w:type="spellEnd"/>
      <w:r w:rsidR="005C4135" w:rsidRPr="005C4135">
        <w:rPr>
          <w:rtl/>
        </w:rPr>
        <w:t>، تورونتو، كند</w:t>
      </w:r>
      <w:r w:rsidR="005C4135">
        <w:rPr>
          <w:rFonts w:hint="cs"/>
          <w:rtl/>
        </w:rPr>
        <w:t>ا.</w:t>
      </w:r>
    </w:p>
    <w:p w:rsidR="005C4135" w:rsidRDefault="005C4135" w:rsidP="005C4135">
      <w:pPr>
        <w:pStyle w:val="DecisionParaAR"/>
      </w:pPr>
      <w:r>
        <w:rPr>
          <w:rFonts w:hint="cs"/>
          <w:rtl/>
        </w:rPr>
        <w:t>إن اللجنة مدعوة إلى الإحاطة علما بالمعلومات الواردة في هذه الوثيقة.</w:t>
      </w:r>
    </w:p>
    <w:p w:rsidR="005C4135" w:rsidRDefault="005C4135">
      <w:pPr>
        <w:rPr>
          <w:rFonts w:ascii="Arabic Typesetting" w:hAnsi="Arabic Typesetting" w:cs="Arabic Typesetting"/>
          <w:sz w:val="36"/>
          <w:szCs w:val="36"/>
          <w:rtl/>
        </w:rPr>
      </w:pPr>
      <w:r>
        <w:rPr>
          <w:rtl/>
        </w:rPr>
        <w:br w:type="page"/>
      </w:r>
    </w:p>
    <w:p w:rsidR="005C4135" w:rsidRPr="005C4135" w:rsidRDefault="005C4135" w:rsidP="005C4135">
      <w:pPr>
        <w:pStyle w:val="NormalParaAR"/>
        <w:rPr>
          <w:b/>
          <w:bCs/>
          <w:sz w:val="40"/>
          <w:szCs w:val="40"/>
          <w:rtl/>
        </w:rPr>
      </w:pPr>
      <w:proofErr w:type="gramStart"/>
      <w:r w:rsidRPr="005C4135">
        <w:rPr>
          <w:rFonts w:hint="cs"/>
          <w:b/>
          <w:bCs/>
          <w:sz w:val="40"/>
          <w:szCs w:val="40"/>
          <w:rtl/>
        </w:rPr>
        <w:lastRenderedPageBreak/>
        <w:t>ملخص</w:t>
      </w:r>
      <w:proofErr w:type="gramEnd"/>
      <w:r w:rsidRPr="005C4135">
        <w:rPr>
          <w:rFonts w:hint="cs"/>
          <w:b/>
          <w:bCs/>
          <w:sz w:val="40"/>
          <w:szCs w:val="40"/>
          <w:rtl/>
        </w:rPr>
        <w:t xml:space="preserve"> عملي</w:t>
      </w:r>
    </w:p>
    <w:p w:rsidR="005C4135" w:rsidRDefault="005C4135" w:rsidP="00FF23F8">
      <w:pPr>
        <w:pStyle w:val="NormalParaAR"/>
        <w:rPr>
          <w:rtl/>
        </w:rPr>
      </w:pPr>
      <w:r>
        <w:rPr>
          <w:rFonts w:hint="cs"/>
          <w:rtl/>
        </w:rPr>
        <w:t xml:space="preserve">هذا المنشور مُعد ليكون مصدر معلومات يسهل الاطلاع عليه وقائمة مرجعية فيما يخص اتفاقات ترخيص العلامات التجارية والاتفاقات ذات </w:t>
      </w:r>
      <w:r w:rsidR="00BE6192">
        <w:rPr>
          <w:rFonts w:hint="cs"/>
          <w:rtl/>
        </w:rPr>
        <w:t>الصلة التي يكثر إبرامها في إطار العلاقات التعاقدية الخاصة ب</w:t>
      </w:r>
      <w:r>
        <w:rPr>
          <w:rFonts w:hint="cs"/>
          <w:rtl/>
        </w:rPr>
        <w:t>الع</w:t>
      </w:r>
      <w:r w:rsidR="00BE6192">
        <w:rPr>
          <w:rFonts w:hint="cs"/>
          <w:rtl/>
        </w:rPr>
        <w:t>لامات التجارية وعقود الامتياز. و</w:t>
      </w:r>
      <w:r w:rsidR="00FF23F8">
        <w:rPr>
          <w:rFonts w:hint="cs"/>
          <w:rtl/>
        </w:rPr>
        <w:t>هو ليس مُعداً ليكون</w:t>
      </w:r>
      <w:r w:rsidR="007E541F">
        <w:rPr>
          <w:rFonts w:hint="cs"/>
          <w:rtl/>
        </w:rPr>
        <w:t xml:space="preserve"> </w:t>
      </w:r>
      <w:r w:rsidR="00BE6192">
        <w:rPr>
          <w:rFonts w:hint="cs"/>
          <w:rtl/>
        </w:rPr>
        <w:t>كتاب</w:t>
      </w:r>
      <w:r w:rsidR="007E541F">
        <w:rPr>
          <w:rFonts w:hint="cs"/>
          <w:rtl/>
        </w:rPr>
        <w:t>ا</w:t>
      </w:r>
      <w:r w:rsidR="00BE6192">
        <w:rPr>
          <w:rFonts w:hint="cs"/>
          <w:rtl/>
        </w:rPr>
        <w:t xml:space="preserve"> مرجعي</w:t>
      </w:r>
      <w:r w:rsidR="007E541F">
        <w:rPr>
          <w:rFonts w:hint="cs"/>
          <w:rtl/>
        </w:rPr>
        <w:t>ا</w:t>
      </w:r>
      <w:r w:rsidR="00BE6192">
        <w:rPr>
          <w:rFonts w:hint="cs"/>
          <w:rtl/>
        </w:rPr>
        <w:t xml:space="preserve"> موثوق</w:t>
      </w:r>
      <w:r w:rsidR="007E541F">
        <w:rPr>
          <w:rFonts w:hint="cs"/>
          <w:rtl/>
        </w:rPr>
        <w:t>ا</w:t>
      </w:r>
      <w:r w:rsidR="00BE6192">
        <w:rPr>
          <w:rFonts w:hint="cs"/>
          <w:rtl/>
        </w:rPr>
        <w:t xml:space="preserve"> في هذا المجال.</w:t>
      </w:r>
    </w:p>
    <w:p w:rsidR="00BE6192" w:rsidRDefault="00BE6192" w:rsidP="00303EF2">
      <w:pPr>
        <w:pStyle w:val="NormalParaAR"/>
        <w:rPr>
          <w:rtl/>
        </w:rPr>
      </w:pPr>
      <w:r>
        <w:rPr>
          <w:rFonts w:hint="cs"/>
          <w:rtl/>
        </w:rPr>
        <w:t>ويبدأ هذا المنشور ب</w:t>
      </w:r>
      <w:r w:rsidR="008B3076">
        <w:rPr>
          <w:rFonts w:hint="cs"/>
          <w:rtl/>
        </w:rPr>
        <w:t xml:space="preserve">عرض تاريخي موجز لكيفية </w:t>
      </w:r>
      <w:r>
        <w:rPr>
          <w:rFonts w:hint="cs"/>
          <w:rtl/>
        </w:rPr>
        <w:t xml:space="preserve">ظهور الترخيص </w:t>
      </w:r>
      <w:r w:rsidR="00FF23F8">
        <w:rPr>
          <w:rFonts w:hint="cs"/>
          <w:rtl/>
        </w:rPr>
        <w:t xml:space="preserve">والعوامل التي أدت إلى ظهوره </w:t>
      </w:r>
      <w:r>
        <w:rPr>
          <w:rFonts w:hint="cs"/>
          <w:rtl/>
        </w:rPr>
        <w:t>ويتناول</w:t>
      </w:r>
      <w:r w:rsidR="00FF23F8">
        <w:rPr>
          <w:rFonts w:hint="cs"/>
          <w:rtl/>
        </w:rPr>
        <w:t>،</w:t>
      </w:r>
      <w:r w:rsidR="00FF23F8" w:rsidRPr="00FF23F8">
        <w:rPr>
          <w:rFonts w:hint="cs"/>
          <w:rtl/>
        </w:rPr>
        <w:t xml:space="preserve"> </w:t>
      </w:r>
      <w:r w:rsidR="00FF23F8">
        <w:rPr>
          <w:rFonts w:hint="cs"/>
          <w:rtl/>
        </w:rPr>
        <w:t>في</w:t>
      </w:r>
      <w:r w:rsidR="00303EF2">
        <w:rPr>
          <w:rFonts w:hint="eastAsia"/>
          <w:rtl/>
        </w:rPr>
        <w:t> </w:t>
      </w:r>
      <w:r w:rsidR="00FF23F8">
        <w:rPr>
          <w:rFonts w:hint="cs"/>
          <w:rtl/>
        </w:rPr>
        <w:t>الفصل</w:t>
      </w:r>
      <w:r w:rsidR="00FF23F8">
        <w:rPr>
          <w:rFonts w:hint="eastAsia"/>
          <w:rtl/>
        </w:rPr>
        <w:t> </w:t>
      </w:r>
      <w:r w:rsidR="00FF23F8">
        <w:rPr>
          <w:rFonts w:hint="cs"/>
          <w:rtl/>
        </w:rPr>
        <w:t>1</w:t>
      </w:r>
      <w:r w:rsidR="00FF23F8">
        <w:rPr>
          <w:rFonts w:hint="eastAsia"/>
          <w:rtl/>
        </w:rPr>
        <w:t> </w:t>
      </w:r>
      <w:r w:rsidR="00FF23F8">
        <w:rPr>
          <w:rFonts w:hint="cs"/>
          <w:rtl/>
        </w:rPr>
        <w:t>(الصفحات من 1 إلى 9)،</w:t>
      </w:r>
      <w:r>
        <w:rPr>
          <w:rFonts w:hint="cs"/>
          <w:rtl/>
        </w:rPr>
        <w:t xml:space="preserve"> الامتياز والتسويق والتوسيم المشترك ومراقبة الجودة وتحديد المعايير وأسباب الترخ</w:t>
      </w:r>
      <w:r w:rsidR="008B3076">
        <w:rPr>
          <w:rFonts w:hint="cs"/>
          <w:rtl/>
        </w:rPr>
        <w:t xml:space="preserve">يص. </w:t>
      </w:r>
      <w:proofErr w:type="gramStart"/>
      <w:r w:rsidR="00303EF2">
        <w:rPr>
          <w:rFonts w:hint="cs"/>
          <w:rtl/>
        </w:rPr>
        <w:t>ثم</w:t>
      </w:r>
      <w:proofErr w:type="gramEnd"/>
      <w:r w:rsidR="00303EF2">
        <w:rPr>
          <w:rFonts w:hint="cs"/>
          <w:rtl/>
        </w:rPr>
        <w:t xml:space="preserve"> </w:t>
      </w:r>
      <w:r w:rsidR="008B3076">
        <w:rPr>
          <w:rFonts w:hint="cs"/>
          <w:rtl/>
        </w:rPr>
        <w:t>يناقش</w:t>
      </w:r>
      <w:r w:rsidR="00FF23F8">
        <w:rPr>
          <w:rFonts w:hint="cs"/>
          <w:rtl/>
        </w:rPr>
        <w:t>،</w:t>
      </w:r>
      <w:r w:rsidR="008B3076">
        <w:rPr>
          <w:rFonts w:hint="cs"/>
          <w:rtl/>
        </w:rPr>
        <w:t xml:space="preserve"> </w:t>
      </w:r>
      <w:r w:rsidR="00FF23F8">
        <w:rPr>
          <w:rFonts w:hint="cs"/>
          <w:rtl/>
        </w:rPr>
        <w:t>في الفصل</w:t>
      </w:r>
      <w:r w:rsidR="00303EF2">
        <w:rPr>
          <w:rFonts w:hint="eastAsia"/>
          <w:rtl/>
        </w:rPr>
        <w:t> </w:t>
      </w:r>
      <w:r w:rsidR="00FF23F8">
        <w:rPr>
          <w:rFonts w:hint="cs"/>
          <w:rtl/>
        </w:rPr>
        <w:t>2 (الصفحات من 10 إلى 17)</w:t>
      </w:r>
      <w:r w:rsidR="00303EF2">
        <w:rPr>
          <w:rFonts w:hint="cs"/>
          <w:rtl/>
        </w:rPr>
        <w:t>،</w:t>
      </w:r>
      <w:r w:rsidR="008B3076">
        <w:rPr>
          <w:rFonts w:hint="cs"/>
          <w:rtl/>
        </w:rPr>
        <w:t xml:space="preserve"> العناية الواجبة في مرحلة ما قبل الترخيص من جانب كل من المرخ</w:t>
      </w:r>
      <w:r w:rsidR="00303EF2">
        <w:rPr>
          <w:rFonts w:hint="cs"/>
          <w:rtl/>
        </w:rPr>
        <w:t>ِ</w:t>
      </w:r>
      <w:r w:rsidR="008B3076">
        <w:rPr>
          <w:rFonts w:hint="cs"/>
          <w:rtl/>
        </w:rPr>
        <w:t>ص والمرخ</w:t>
      </w:r>
      <w:r w:rsidR="00303EF2">
        <w:rPr>
          <w:rFonts w:hint="cs"/>
          <w:rtl/>
        </w:rPr>
        <w:t>َ</w:t>
      </w:r>
      <w:r w:rsidR="008B3076">
        <w:rPr>
          <w:rFonts w:hint="cs"/>
          <w:rtl/>
        </w:rPr>
        <w:t>ص له. ويركّز على أهمية إدراك كل طرف في علاقة الترخيص لمسؤولياته حيال الطرف الآخر لكي يضمن الترخيص أكبر قدر من الفعالية لكل منهما.</w:t>
      </w:r>
    </w:p>
    <w:p w:rsidR="00084409" w:rsidRDefault="008B3076" w:rsidP="00303EF2">
      <w:pPr>
        <w:pStyle w:val="NormalParaAR"/>
        <w:rPr>
          <w:rtl/>
        </w:rPr>
      </w:pPr>
      <w:proofErr w:type="gramStart"/>
      <w:r>
        <w:rPr>
          <w:rFonts w:hint="cs"/>
          <w:rtl/>
        </w:rPr>
        <w:t>و</w:t>
      </w:r>
      <w:r w:rsidR="00303EF2">
        <w:rPr>
          <w:rFonts w:hint="cs"/>
          <w:rtl/>
        </w:rPr>
        <w:t>ت</w:t>
      </w:r>
      <w:r>
        <w:rPr>
          <w:rFonts w:hint="cs"/>
          <w:rtl/>
        </w:rPr>
        <w:t>لي</w:t>
      </w:r>
      <w:proofErr w:type="gramEnd"/>
      <w:r>
        <w:rPr>
          <w:rFonts w:hint="cs"/>
          <w:rtl/>
        </w:rPr>
        <w:t xml:space="preserve"> العناية الواجبة في مرحلة ما قبل الترخيص عملية أكثر تقنية تتمثّل في </w:t>
      </w:r>
      <w:r w:rsidR="00303EF2">
        <w:rPr>
          <w:rFonts w:hint="cs"/>
          <w:rtl/>
        </w:rPr>
        <w:t xml:space="preserve">إجراء </w:t>
      </w:r>
      <w:r>
        <w:rPr>
          <w:rFonts w:hint="cs"/>
          <w:rtl/>
        </w:rPr>
        <w:t xml:space="preserve">فحص </w:t>
      </w:r>
      <w:r w:rsidR="00303EF2">
        <w:rPr>
          <w:rFonts w:hint="cs"/>
          <w:rtl/>
        </w:rPr>
        <w:t>في الفصل 3</w:t>
      </w:r>
      <w:r w:rsidR="00303EF2">
        <w:rPr>
          <w:rFonts w:hint="eastAsia"/>
          <w:rtl/>
        </w:rPr>
        <w:t> </w:t>
      </w:r>
      <w:r w:rsidR="00303EF2">
        <w:rPr>
          <w:rFonts w:hint="cs"/>
          <w:rtl/>
        </w:rPr>
        <w:t>(الصفحات من</w:t>
      </w:r>
      <w:r w:rsidR="00303EF2">
        <w:rPr>
          <w:rFonts w:hint="eastAsia"/>
          <w:rtl/>
        </w:rPr>
        <w:t> </w:t>
      </w:r>
      <w:r w:rsidR="00303EF2">
        <w:rPr>
          <w:rFonts w:hint="cs"/>
          <w:rtl/>
        </w:rPr>
        <w:t>18 إلى 23) ل</w:t>
      </w:r>
      <w:r>
        <w:rPr>
          <w:rFonts w:hint="cs"/>
          <w:rtl/>
        </w:rPr>
        <w:t>قيمة العلامات التجارية من منظ</w:t>
      </w:r>
      <w:r w:rsidR="00303EF2">
        <w:rPr>
          <w:rFonts w:hint="cs"/>
          <w:rtl/>
        </w:rPr>
        <w:t>و</w:t>
      </w:r>
      <w:r>
        <w:rPr>
          <w:rFonts w:hint="cs"/>
          <w:rtl/>
        </w:rPr>
        <w:t xml:space="preserve">ر المرخِص والمرخَص له على حد سواء. </w:t>
      </w:r>
      <w:proofErr w:type="gramStart"/>
      <w:r>
        <w:rPr>
          <w:rFonts w:hint="cs"/>
          <w:rtl/>
        </w:rPr>
        <w:t>وبعد</w:t>
      </w:r>
      <w:proofErr w:type="gramEnd"/>
      <w:r>
        <w:rPr>
          <w:rFonts w:hint="cs"/>
          <w:rtl/>
        </w:rPr>
        <w:t xml:space="preserve"> الفصول التمهيدية الثلاثة، يأتي </w:t>
      </w:r>
      <w:r w:rsidR="00303EF2">
        <w:rPr>
          <w:rFonts w:hint="cs"/>
          <w:rtl/>
        </w:rPr>
        <w:t>في الفصل</w:t>
      </w:r>
      <w:r w:rsidR="00303EF2">
        <w:rPr>
          <w:rFonts w:hint="eastAsia"/>
          <w:rtl/>
        </w:rPr>
        <w:t> </w:t>
      </w:r>
      <w:r w:rsidR="00303EF2">
        <w:rPr>
          <w:rFonts w:hint="cs"/>
          <w:rtl/>
        </w:rPr>
        <w:t xml:space="preserve">4 (الصفحات من 24 إلى 63) </w:t>
      </w:r>
      <w:r>
        <w:rPr>
          <w:rFonts w:hint="cs"/>
          <w:rtl/>
        </w:rPr>
        <w:t xml:space="preserve">فحص العناصر الرئيسية </w:t>
      </w:r>
      <w:r w:rsidR="00024281">
        <w:rPr>
          <w:rFonts w:hint="cs"/>
          <w:rtl/>
        </w:rPr>
        <w:t>لاتفاق ترخيص العلامات التجارية</w:t>
      </w:r>
      <w:r w:rsidR="00303EF2">
        <w:rPr>
          <w:rFonts w:hint="cs"/>
          <w:rtl/>
        </w:rPr>
        <w:t>،</w:t>
      </w:r>
      <w:r w:rsidR="00024281">
        <w:rPr>
          <w:rFonts w:hint="cs"/>
          <w:rtl/>
        </w:rPr>
        <w:t xml:space="preserve"> بما في ذلك مبدأ العدل في معاملات الترخيص. </w:t>
      </w:r>
      <w:r w:rsidR="00D92FE4">
        <w:rPr>
          <w:rFonts w:hint="cs"/>
          <w:rtl/>
        </w:rPr>
        <w:t>وتتعلق الأجزاء الموضوعية المتناولة في الصفحات التالية بأهمية الأحكام الخاصة بمراقبة الجودة والإنفاذ الفعلي لتلك الأحكام (الصفحات من 25 إلى 27)، وقسم التعاريف (الصفحات من 28 إلى 30)، وشروط المنح (الصفحات</w:t>
      </w:r>
      <w:r w:rsidR="00303EF2">
        <w:rPr>
          <w:rFonts w:hint="eastAsia"/>
          <w:rtl/>
        </w:rPr>
        <w:t> </w:t>
      </w:r>
      <w:r w:rsidR="00D92FE4">
        <w:rPr>
          <w:rFonts w:hint="cs"/>
          <w:rtl/>
        </w:rPr>
        <w:t xml:space="preserve">من 30 إلى 34)، وشروط الفسخ والوسائل البديلة لتسوية المنازعات واستمرار التزامات الطرفين بعد الفسخ (الصفحات من </w:t>
      </w:r>
      <w:r w:rsidR="00084409">
        <w:rPr>
          <w:rFonts w:hint="cs"/>
          <w:rtl/>
        </w:rPr>
        <w:t xml:space="preserve">35 إلى 38)، وشروط مراقبة الجودة (الصفحتان 41 و42)، وتشكيل العلامات وصيانتها (الصفحة 43)، والمعلومات السرية والتعدي </w:t>
      </w:r>
      <w:r w:rsidR="003A3DB5">
        <w:rPr>
          <w:rFonts w:hint="cs"/>
          <w:rtl/>
        </w:rPr>
        <w:t>على الحقوق وت</w:t>
      </w:r>
      <w:r w:rsidR="00303EF2">
        <w:rPr>
          <w:rFonts w:hint="cs"/>
          <w:rtl/>
        </w:rPr>
        <w:t>نظيم</w:t>
      </w:r>
      <w:r w:rsidR="003A3DB5">
        <w:rPr>
          <w:rFonts w:hint="cs"/>
          <w:rtl/>
        </w:rPr>
        <w:t xml:space="preserve"> الحقوق (الصفحتان 44 و45)، وشروط عدم المنافسة وعدم الاستعانة (الصفحتان 46 و47)، وأحكام التعهّد والضمان الخاصة بالأفراد (الصفحة 47)، وشروط التأمين والتعويض (الصفحتان</w:t>
      </w:r>
      <w:r w:rsidR="00303EF2">
        <w:rPr>
          <w:rFonts w:hint="eastAsia"/>
          <w:rtl/>
        </w:rPr>
        <w:t> </w:t>
      </w:r>
      <w:r w:rsidR="003A3DB5">
        <w:rPr>
          <w:rFonts w:hint="cs"/>
          <w:rtl/>
        </w:rPr>
        <w:t>47 و48)، وشروط المدفوعات والإتاوات (الصفحات من 50 إلى 53)، والشروط القانونية العامة أو المعيارية (الصفحات من 53 إلى 62).</w:t>
      </w:r>
    </w:p>
    <w:p w:rsidR="003A3DB5" w:rsidRDefault="00AA13A4" w:rsidP="003A3DB5">
      <w:pPr>
        <w:pStyle w:val="NormalParaAR"/>
        <w:rPr>
          <w:rtl/>
        </w:rPr>
      </w:pPr>
      <w:r>
        <w:rPr>
          <w:rFonts w:hint="cs"/>
          <w:rtl/>
        </w:rPr>
        <w:t>ويتطرق الدليل بعد ذلك إلى بعض القضايا العامة التي تؤثر في الترخيص مثل مكافحة الاحتكار والترخيص عبر الإنترنت والإفلاس وترخيص العلامات الجماعية وعلامات التصديق.</w:t>
      </w:r>
    </w:p>
    <w:p w:rsidR="00AA13A4" w:rsidRDefault="00AA13A4" w:rsidP="00303EF2">
      <w:pPr>
        <w:pStyle w:val="NormalParaAR"/>
        <w:spacing w:after="480"/>
      </w:pPr>
      <w:r>
        <w:rPr>
          <w:rFonts w:hint="cs"/>
          <w:rtl/>
        </w:rPr>
        <w:t xml:space="preserve">وتلي ذلك، أخيرا، سلسلة من المرفقات الخاصة بقضايا محدّدة، مثل المرفق الأول </w:t>
      </w:r>
      <w:r w:rsidR="006811C3">
        <w:rPr>
          <w:rFonts w:hint="cs"/>
          <w:rtl/>
        </w:rPr>
        <w:t>بشأن التمييز بين حقوق الملكية الفكرية، أي البراءات (الصفحة 65) والعلامات التجارية (الصفحة 67) والتصاميم الصناعية (الصفحة 67) والأسرار التجارية (الصفحة</w:t>
      </w:r>
      <w:r w:rsidR="006811C3">
        <w:rPr>
          <w:rFonts w:hint="eastAsia"/>
          <w:rtl/>
        </w:rPr>
        <w:t> </w:t>
      </w:r>
      <w:r w:rsidR="006811C3">
        <w:rPr>
          <w:rFonts w:hint="cs"/>
          <w:rtl/>
        </w:rPr>
        <w:t xml:space="preserve">68) وحق المؤلف (الصفحتان 68 و69)؛ والمرفق الثاني بشأن أهمية الصياغة بلغة </w:t>
      </w:r>
      <w:r w:rsidR="00303EF2">
        <w:rPr>
          <w:rFonts w:hint="cs"/>
          <w:rtl/>
        </w:rPr>
        <w:t>بسيطة</w:t>
      </w:r>
      <w:r w:rsidR="006811C3">
        <w:rPr>
          <w:rFonts w:hint="cs"/>
          <w:rtl/>
        </w:rPr>
        <w:t xml:space="preserve"> (الصفحات من 71 إلى 78)؛ والمرفق الثالث بشأن الاتفاقات الوجيهة الأخرى المتعلقة بترخيص الامتياز مثل اتفاقات الإيجار واتفاقات التصنيع </w:t>
      </w:r>
      <w:r w:rsidR="00E6256B">
        <w:rPr>
          <w:rFonts w:hint="cs"/>
          <w:rtl/>
        </w:rPr>
        <w:t>وغيرها من الاتفاقات (الصفحات من 78 إلى 86)؛ والمرفق الرابع بشأن اتفاقات ترخيص العلامات التجارية لفائدة الكيانات ذات الصلة</w:t>
      </w:r>
      <w:r w:rsidR="00CE4E09">
        <w:rPr>
          <w:rFonts w:hint="cs"/>
          <w:rtl/>
        </w:rPr>
        <w:t xml:space="preserve"> بالمجال المعني (الصفحات من 87 إلى 90)؛ والمرفق الخامس بشأن اتفاقات ترخيص العلامات التجارية لفائدة الكيانات التي لا صلة لها بالمجال المعني (الصفحات من 91 إلى 116)؛ والمرفق السادس بشأن القائمة المرجعية الخاصة بالعناية الواجبة في مرحلة ما قبل </w:t>
      </w:r>
      <w:r w:rsidR="00721D61">
        <w:rPr>
          <w:rFonts w:hint="cs"/>
          <w:rtl/>
        </w:rPr>
        <w:t>ترخيص</w:t>
      </w:r>
      <w:r w:rsidR="00303EF2">
        <w:rPr>
          <w:rFonts w:hint="cs"/>
          <w:rtl/>
        </w:rPr>
        <w:t xml:space="preserve"> العلامات</w:t>
      </w:r>
      <w:r w:rsidR="00721D61">
        <w:rPr>
          <w:rFonts w:hint="cs"/>
          <w:rtl/>
        </w:rPr>
        <w:t xml:space="preserve"> التجارية</w:t>
      </w:r>
      <w:r w:rsidR="00CE4E09">
        <w:rPr>
          <w:rFonts w:hint="cs"/>
          <w:rtl/>
        </w:rPr>
        <w:t>.</w:t>
      </w:r>
    </w:p>
    <w:p w:rsidR="00721D61" w:rsidRDefault="00721D61" w:rsidP="00721D61">
      <w:pPr>
        <w:pStyle w:val="EndofDocumentAR"/>
        <w:rPr>
          <w:rtl/>
        </w:rPr>
      </w:pPr>
      <w:r>
        <w:rPr>
          <w:rFonts w:hint="cs"/>
          <w:rtl/>
        </w:rPr>
        <w:t>[</w:t>
      </w:r>
      <w:proofErr w:type="gramStart"/>
      <w:r>
        <w:rPr>
          <w:rFonts w:hint="cs"/>
          <w:rtl/>
        </w:rPr>
        <w:t>نهاية</w:t>
      </w:r>
      <w:proofErr w:type="gramEnd"/>
      <w:r>
        <w:rPr>
          <w:rFonts w:hint="cs"/>
          <w:rtl/>
        </w:rPr>
        <w:t xml:space="preserve"> الوثيقة]</w:t>
      </w:r>
    </w:p>
    <w:sectPr w:rsidR="00721D6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B5" w:rsidRDefault="00FC51B5">
      <w:r>
        <w:separator/>
      </w:r>
    </w:p>
  </w:endnote>
  <w:endnote w:type="continuationSeparator" w:id="0">
    <w:p w:rsidR="00FC51B5" w:rsidRDefault="00FC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B5" w:rsidRDefault="00FC51B5" w:rsidP="009622BF">
      <w:pPr>
        <w:bidi/>
      </w:pPr>
      <w:bookmarkStart w:id="0" w:name="OLE_LINK1"/>
      <w:bookmarkStart w:id="1" w:name="OLE_LINK2"/>
      <w:r>
        <w:separator/>
      </w:r>
      <w:bookmarkEnd w:id="0"/>
      <w:bookmarkEnd w:id="1"/>
    </w:p>
  </w:footnote>
  <w:footnote w:type="continuationSeparator" w:id="0">
    <w:p w:rsidR="00FC51B5" w:rsidRDefault="00FC51B5" w:rsidP="009622BF">
      <w:pPr>
        <w:bidi/>
      </w:pPr>
      <w:r>
        <w:separator/>
      </w:r>
    </w:p>
  </w:footnote>
  <w:footnote w:id="1">
    <w:p w:rsidR="003D0C6B" w:rsidRDefault="003D0C6B" w:rsidP="003D0C6B">
      <w:pPr>
        <w:pStyle w:val="FootnoteText"/>
      </w:pPr>
      <w:r>
        <w:rPr>
          <w:rStyle w:val="FootnoteReference"/>
        </w:rPr>
        <w:footnoteRef/>
      </w:r>
      <w:r>
        <w:rPr>
          <w:rtl/>
        </w:rPr>
        <w:t xml:space="preserve"> </w:t>
      </w:r>
      <w:r w:rsidRPr="003D0C6B">
        <w:rPr>
          <w:rtl/>
        </w:rPr>
        <w:t xml:space="preserve">لآراء </w:t>
      </w:r>
      <w:r>
        <w:rPr>
          <w:rFonts w:hint="cs"/>
          <w:rtl/>
        </w:rPr>
        <w:t>المُعبّر عنها</w:t>
      </w:r>
      <w:r w:rsidRPr="003D0C6B">
        <w:rPr>
          <w:rtl/>
        </w:rPr>
        <w:t xml:space="preserve"> في </w:t>
      </w:r>
      <w:r>
        <w:rPr>
          <w:rFonts w:hint="cs"/>
          <w:rtl/>
        </w:rPr>
        <w:t>الدليل</w:t>
      </w:r>
      <w:r w:rsidRPr="003D0C6B">
        <w:rPr>
          <w:rtl/>
        </w:rPr>
        <w:t xml:space="preserve"> هي آراء المؤلفين، وليست بالضرورة آراء أمانة الويبو أو الدول الأعضاء في الويبو.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1493" w:rsidP="008804E0">
    <w:r>
      <w:t>CDIP</w:t>
    </w:r>
    <w:r w:rsidR="002F77FC">
      <w:t>/</w:t>
    </w:r>
    <w:r w:rsidR="008804E0">
      <w:t>16</w:t>
    </w:r>
    <w:r w:rsidR="005C4135">
      <w:t>/INF/2</w:t>
    </w:r>
  </w:p>
  <w:p w:rsidR="002F77FC" w:rsidRDefault="002F77FC" w:rsidP="00D61541">
    <w:r>
      <w:fldChar w:fldCharType="begin"/>
    </w:r>
    <w:r>
      <w:instrText xml:space="preserve"> PAGE  \* MERGEFORMAT </w:instrText>
    </w:r>
    <w:r>
      <w:fldChar w:fldCharType="separate"/>
    </w:r>
    <w:r w:rsidR="00DA4F03">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B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281"/>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409"/>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3B16"/>
    <w:rsid w:val="000A5408"/>
    <w:rsid w:val="000A6510"/>
    <w:rsid w:val="000B0BB4"/>
    <w:rsid w:val="000B1045"/>
    <w:rsid w:val="000B1BAE"/>
    <w:rsid w:val="000B29B3"/>
    <w:rsid w:val="000B3889"/>
    <w:rsid w:val="000B3B3B"/>
    <w:rsid w:val="000B42E7"/>
    <w:rsid w:val="000B454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9D1"/>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3EF2"/>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3DB5"/>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0C6B"/>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135"/>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1C3"/>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1D61"/>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41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E0"/>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076"/>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3A4"/>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192"/>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826"/>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E09"/>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FE4"/>
    <w:rsid w:val="00D94564"/>
    <w:rsid w:val="00D9536E"/>
    <w:rsid w:val="00D97426"/>
    <w:rsid w:val="00D97568"/>
    <w:rsid w:val="00DA06B0"/>
    <w:rsid w:val="00DA29BA"/>
    <w:rsid w:val="00DA3249"/>
    <w:rsid w:val="00DA38CE"/>
    <w:rsid w:val="00DA4B01"/>
    <w:rsid w:val="00DA4F03"/>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56B"/>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1B5"/>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3F8"/>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3391-31E2-4A3A-81FE-CA01FE9E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CDIP/16/inf/2 (Arabic)</vt:lpstr>
    </vt:vector>
  </TitlesOfParts>
  <Company>World Intellectual Property Organization</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CDIP/16/inf/2 (Arabic)</dc:title>
  <dc:creator>MERZOUK Fawzi</dc:creator>
  <cp:lastModifiedBy>BRACI Biljana</cp:lastModifiedBy>
  <cp:revision>2</cp:revision>
  <cp:lastPrinted>2015-10-19T10:09:00Z</cp:lastPrinted>
  <dcterms:created xsi:type="dcterms:W3CDTF">2015-10-20T08:56:00Z</dcterms:created>
  <dcterms:modified xsi:type="dcterms:W3CDTF">2015-10-20T08:56:00Z</dcterms:modified>
</cp:coreProperties>
</file>