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5E1ED1">
            <w:pPr>
              <w:pStyle w:val="DocumentCodeAR"/>
              <w:bidi/>
              <w:rPr>
                <w:rtl/>
              </w:rPr>
            </w:pPr>
            <w:r>
              <w:t>CDIP</w:t>
            </w:r>
            <w:r w:rsidR="00100F97">
              <w:t>/</w:t>
            </w:r>
            <w:r w:rsidR="008804E0">
              <w:t>16</w:t>
            </w:r>
            <w:r w:rsidR="00B6101C" w:rsidRPr="00B6101C">
              <w:t>/</w:t>
            </w:r>
            <w:r w:rsidR="005E1ED1">
              <w:t>5</w:t>
            </w:r>
          </w:p>
        </w:tc>
      </w:tr>
      <w:tr w:rsidR="001667B6" w:rsidTr="00BF164F">
        <w:tc>
          <w:tcPr>
            <w:tcW w:w="9571" w:type="dxa"/>
            <w:gridSpan w:val="3"/>
          </w:tcPr>
          <w:p w:rsidR="001667B6" w:rsidRPr="00B6101C" w:rsidRDefault="00B6101C" w:rsidP="005E1ED1">
            <w:pPr>
              <w:pStyle w:val="DocumentLanguageAR"/>
              <w:bidi/>
              <w:rPr>
                <w:rtl/>
              </w:rPr>
            </w:pPr>
            <w:r w:rsidRPr="00B6101C">
              <w:rPr>
                <w:rFonts w:hint="cs"/>
                <w:rtl/>
              </w:rPr>
              <w:t xml:space="preserve">الأصل: </w:t>
            </w:r>
            <w:r w:rsidR="005E1ED1">
              <w:rPr>
                <w:rFonts w:hint="cs"/>
                <w:rtl/>
              </w:rPr>
              <w:t>بالإنكليزية</w:t>
            </w:r>
          </w:p>
        </w:tc>
      </w:tr>
      <w:tr w:rsidR="001667B6" w:rsidTr="00BF164F">
        <w:tc>
          <w:tcPr>
            <w:tcW w:w="9571" w:type="dxa"/>
            <w:gridSpan w:val="3"/>
          </w:tcPr>
          <w:p w:rsidR="001667B6" w:rsidRPr="00B6101C" w:rsidRDefault="00B6101C" w:rsidP="005E1ED1">
            <w:pPr>
              <w:pStyle w:val="DocumentDateAR"/>
              <w:bidi/>
              <w:rPr>
                <w:rtl/>
              </w:rPr>
            </w:pPr>
            <w:r w:rsidRPr="00B6101C">
              <w:rPr>
                <w:rFonts w:hint="cs"/>
                <w:rtl/>
              </w:rPr>
              <w:t xml:space="preserve">التاريخ: </w:t>
            </w:r>
            <w:r w:rsidR="005E1ED1">
              <w:rPr>
                <w:rFonts w:hint="cs"/>
                <w:rtl/>
              </w:rPr>
              <w:t xml:space="preserve">27 أغسطس </w:t>
            </w:r>
            <w:r w:rsidR="00190B6D">
              <w:rPr>
                <w:rFonts w:hint="cs"/>
                <w:rtl/>
              </w:rPr>
              <w:t>201</w:t>
            </w:r>
            <w:r w:rsidR="00151493">
              <w:rPr>
                <w:rFonts w:hint="cs"/>
                <w:rtl/>
              </w:rPr>
              <w:t>5</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المعنية بالتنمية والملكية الفكرية</w:t>
      </w:r>
    </w:p>
    <w:p w:rsidR="00151493" w:rsidRDefault="00151493" w:rsidP="00151493">
      <w:pPr>
        <w:bidi/>
        <w:spacing w:line="360" w:lineRule="exact"/>
        <w:rPr>
          <w:rFonts w:ascii="Arabic Typesetting" w:hAnsi="Arabic Typesetting" w:cs="Arabic Typesetting"/>
          <w:sz w:val="36"/>
          <w:szCs w:val="36"/>
          <w:rtl/>
        </w:rPr>
      </w:pPr>
    </w:p>
    <w:p w:rsidR="00151493" w:rsidRPr="00783D11" w:rsidRDefault="00151493" w:rsidP="008804E0">
      <w:pPr>
        <w:pStyle w:val="MeetingSessionAR"/>
        <w:bidi/>
        <w:rPr>
          <w:rFonts w:ascii="Cambria Math" w:hAnsi="Cambria Math"/>
          <w:rtl/>
        </w:rPr>
      </w:pPr>
      <w:r w:rsidRPr="00783D11">
        <w:rPr>
          <w:rFonts w:ascii="Cambria Math" w:hAnsi="Cambria Math"/>
          <w:rtl/>
        </w:rPr>
        <w:t xml:space="preserve">الدورة </w:t>
      </w:r>
      <w:r w:rsidR="008804E0">
        <w:rPr>
          <w:rFonts w:ascii="Cambria Math" w:hAnsi="Cambria Math" w:hint="cs"/>
          <w:rtl/>
        </w:rPr>
        <w:t>السادسة</w:t>
      </w:r>
      <w:r>
        <w:rPr>
          <w:rFonts w:ascii="Cambria Math" w:hAnsi="Cambria Math" w:hint="cs"/>
          <w:rtl/>
        </w:rPr>
        <w:t xml:space="preserve"> عشرة</w:t>
      </w:r>
    </w:p>
    <w:p w:rsidR="00151493" w:rsidRPr="00D61541" w:rsidRDefault="00151493" w:rsidP="008804E0">
      <w:pPr>
        <w:pStyle w:val="MeetingDatesAR"/>
        <w:bidi/>
        <w:rPr>
          <w:rtl/>
        </w:rPr>
      </w:pPr>
      <w:r w:rsidRPr="00D61541">
        <w:rPr>
          <w:rFonts w:hint="cs"/>
          <w:rtl/>
        </w:rPr>
        <w:t xml:space="preserve">جنيف، من </w:t>
      </w:r>
      <w:r w:rsidR="008804E0">
        <w:rPr>
          <w:rFonts w:hint="cs"/>
          <w:rtl/>
        </w:rPr>
        <w:t>9</w:t>
      </w:r>
      <w:r>
        <w:rPr>
          <w:rFonts w:hint="cs"/>
          <w:rtl/>
        </w:rPr>
        <w:t xml:space="preserve"> إلى </w:t>
      </w:r>
      <w:r w:rsidR="008804E0">
        <w:rPr>
          <w:rFonts w:hint="cs"/>
          <w:rtl/>
        </w:rPr>
        <w:t>13</w:t>
      </w:r>
      <w:r>
        <w:rPr>
          <w:rFonts w:hint="cs"/>
          <w:rtl/>
        </w:rPr>
        <w:t xml:space="preserve"> </w:t>
      </w:r>
      <w:r w:rsidR="008804E0">
        <w:rPr>
          <w:rFonts w:hint="cs"/>
          <w:rtl/>
        </w:rPr>
        <w:t>نوفمبر</w:t>
      </w:r>
      <w:r>
        <w:rPr>
          <w:rFonts w:hint="cs"/>
          <w:rtl/>
        </w:rPr>
        <w:t xml:space="preserve"> 2015</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5E1ED1" w:rsidP="00BA44C2">
      <w:pPr>
        <w:pStyle w:val="DocumentTitleAR"/>
        <w:bidi/>
        <w:rPr>
          <w:rtl/>
        </w:rPr>
      </w:pPr>
      <w:r>
        <w:rPr>
          <w:rFonts w:hint="cs"/>
          <w:rtl/>
        </w:rPr>
        <w:t xml:space="preserve">تقرير عن تحديث قاعدة البيانات بشأن </w:t>
      </w:r>
      <w:r w:rsidR="00BA44C2">
        <w:rPr>
          <w:rFonts w:hint="cs"/>
          <w:rtl/>
        </w:rPr>
        <w:t>المرونة</w:t>
      </w:r>
    </w:p>
    <w:p w:rsidR="00151493" w:rsidRDefault="00151493" w:rsidP="00151493">
      <w:pPr>
        <w:pStyle w:val="PreparedbyAR"/>
        <w:bidi/>
        <w:rPr>
          <w:rtl/>
        </w:rPr>
      </w:pPr>
      <w:r w:rsidRPr="00D61541">
        <w:rPr>
          <w:rFonts w:hint="cs"/>
          <w:rtl/>
        </w:rPr>
        <w:t xml:space="preserve">من </w:t>
      </w:r>
      <w:r w:rsidRPr="00931859">
        <w:rPr>
          <w:rFonts w:hint="cs"/>
          <w:rtl/>
        </w:rPr>
        <w:t>إعداد</w:t>
      </w:r>
      <w:r w:rsidR="007448D4">
        <w:rPr>
          <w:rFonts w:hint="cs"/>
          <w:rtl/>
        </w:rPr>
        <w:t xml:space="preserve"> الأمانة</w:t>
      </w:r>
    </w:p>
    <w:p w:rsidR="008804E0" w:rsidRDefault="007C4643" w:rsidP="00BA44C2">
      <w:pPr>
        <w:pStyle w:val="NumberedParaAR"/>
      </w:pPr>
      <w:r>
        <w:rPr>
          <w:rFonts w:hint="cs"/>
          <w:rtl/>
        </w:rPr>
        <w:t>التمست اللجنة المعنية بالتنمية والملكية الفكر</w:t>
      </w:r>
      <w:r w:rsidR="00A577E1">
        <w:rPr>
          <w:rFonts w:hint="cs"/>
          <w:rtl/>
        </w:rPr>
        <w:t>ي</w:t>
      </w:r>
      <w:r>
        <w:rPr>
          <w:rFonts w:hint="cs"/>
          <w:rtl/>
        </w:rPr>
        <w:t>ة (اللجنة) في دورتها الخامسة عشرة من الأمانة تحديث قاعدة البيانات بشأن المرونة وتقديم تقرير عن ذلك في الدورة المقبلة للجنة.</w:t>
      </w:r>
    </w:p>
    <w:p w:rsidR="007C4643" w:rsidRDefault="007C4643" w:rsidP="003B4361">
      <w:pPr>
        <w:pStyle w:val="NumberedParaAR"/>
      </w:pPr>
      <w:r>
        <w:rPr>
          <w:rFonts w:hint="cs"/>
          <w:rtl/>
        </w:rPr>
        <w:t xml:space="preserve">وعليه، يحتوي مرفق هذه الوثيقة عن تحديث قاعدة البيانات المتاحة على الموقع </w:t>
      </w:r>
      <w:r w:rsidR="003B4361">
        <w:rPr>
          <w:rFonts w:hint="cs"/>
          <w:rtl/>
        </w:rPr>
        <w:t xml:space="preserve">الإلكتروني </w:t>
      </w:r>
      <w:r w:rsidR="00BA44C2">
        <w:rPr>
          <w:rFonts w:hint="cs"/>
          <w:rtl/>
        </w:rPr>
        <w:t xml:space="preserve">للمرونة </w:t>
      </w:r>
      <w:r>
        <w:rPr>
          <w:rFonts w:hint="cs"/>
          <w:rtl/>
        </w:rPr>
        <w:t xml:space="preserve">في نظام الملكية الفكرية على العنوان: </w:t>
      </w:r>
      <w:hyperlink r:id="rId10" w:history="1">
        <w:r w:rsidRPr="00A95769">
          <w:rPr>
            <w:rStyle w:val="Hyperlink"/>
            <w:szCs w:val="22"/>
          </w:rPr>
          <w:t>http://www.wipo.int/ip-development/en/agenda/flexibilities/</w:t>
        </w:r>
      </w:hyperlink>
      <w:r>
        <w:rPr>
          <w:rFonts w:hint="cs"/>
          <w:rtl/>
        </w:rPr>
        <w:t>.</w:t>
      </w:r>
    </w:p>
    <w:p w:rsidR="007C4643" w:rsidRDefault="007C4643" w:rsidP="007C4643">
      <w:pPr>
        <w:pStyle w:val="DecisionParaAR"/>
      </w:pPr>
      <w:r>
        <w:rPr>
          <w:rFonts w:hint="cs"/>
          <w:rtl/>
        </w:rPr>
        <w:t>إن اللجنة مدعوة إلى الإحاطة علما بالمعلومات الواردة في مرفق هذه الوثيقة.</w:t>
      </w:r>
    </w:p>
    <w:p w:rsidR="007C4643" w:rsidRDefault="007C4643" w:rsidP="007C4643">
      <w:pPr>
        <w:pStyle w:val="EndofDocumentAR"/>
        <w:rPr>
          <w:rtl/>
        </w:rPr>
      </w:pPr>
      <w:r>
        <w:rPr>
          <w:rFonts w:hint="cs"/>
          <w:rtl/>
        </w:rPr>
        <w:t>[يلي ذلك المرفق]</w:t>
      </w:r>
    </w:p>
    <w:p w:rsidR="008804E0" w:rsidRDefault="008804E0" w:rsidP="008804E0">
      <w:pPr>
        <w:pStyle w:val="NormalParaAR"/>
      </w:pPr>
    </w:p>
    <w:p w:rsidR="00BA44C2" w:rsidRDefault="00BA44C2" w:rsidP="008804E0">
      <w:pPr>
        <w:pStyle w:val="NormalParaAR"/>
        <w:rPr>
          <w:rtl/>
        </w:rPr>
        <w:sectPr w:rsidR="00BA44C2" w:rsidSect="00EB7752">
          <w:headerReference w:type="default" r:id="rId11"/>
          <w:pgSz w:w="11907" w:h="16840" w:code="9"/>
          <w:pgMar w:top="567" w:right="1418" w:bottom="1418" w:left="1134" w:header="510" w:footer="1021" w:gutter="0"/>
          <w:cols w:space="720"/>
          <w:titlePg/>
          <w:docGrid w:linePitch="299"/>
        </w:sectPr>
      </w:pPr>
    </w:p>
    <w:p w:rsidR="00BA44C2" w:rsidRPr="00BA44C2" w:rsidRDefault="00BA44C2" w:rsidP="00F24A46">
      <w:pPr>
        <w:pStyle w:val="Heading1AR"/>
        <w:spacing w:before="0" w:after="240"/>
        <w:rPr>
          <w:rtl/>
          <w:lang w:val="fr-CH"/>
        </w:rPr>
      </w:pPr>
      <w:r>
        <w:rPr>
          <w:rFonts w:hint="cs"/>
          <w:rtl/>
          <w:lang w:val="fr-CH"/>
        </w:rPr>
        <w:lastRenderedPageBreak/>
        <w:t>تحديث قاعدة البي</w:t>
      </w:r>
      <w:r w:rsidR="003B4361">
        <w:rPr>
          <w:rFonts w:hint="cs"/>
          <w:rtl/>
          <w:lang w:val="fr-CH"/>
        </w:rPr>
        <w:t>ا</w:t>
      </w:r>
      <w:r>
        <w:rPr>
          <w:rFonts w:hint="cs"/>
          <w:rtl/>
          <w:lang w:val="fr-CH"/>
        </w:rPr>
        <w:t>نات بشأن المرونة</w:t>
      </w:r>
    </w:p>
    <w:p w:rsidR="00BA44C2" w:rsidRPr="00BA44C2" w:rsidRDefault="00BA44C2" w:rsidP="00F24A46">
      <w:pPr>
        <w:pStyle w:val="Heading1AR"/>
        <w:spacing w:before="0" w:after="240"/>
        <w:rPr>
          <w:rtl/>
          <w:lang w:val="fr-CH"/>
        </w:rPr>
      </w:pPr>
      <w:r w:rsidRPr="00BA44C2">
        <w:rPr>
          <w:rFonts w:hint="cs"/>
          <w:rtl/>
          <w:lang w:val="fr-CH"/>
        </w:rPr>
        <w:t>معلومات أساسية</w:t>
      </w:r>
    </w:p>
    <w:p w:rsidR="00604D3C" w:rsidRDefault="00604D3C" w:rsidP="008804E0">
      <w:pPr>
        <w:pStyle w:val="NormalParaAR"/>
        <w:rPr>
          <w:rtl/>
        </w:rPr>
      </w:pPr>
      <w:r>
        <w:rPr>
          <w:rFonts w:hint="cs"/>
          <w:rtl/>
        </w:rPr>
        <w:t>اتفقت اللجنة المعنية بالتنمية والملكية الفكرية (اللجنة) في دورتها السادسة على إنشاء صفحة إلكترونية مخصصة لمواطن المرونة في نظام الملكية تحتوي على ما يلي:</w:t>
      </w:r>
    </w:p>
    <w:p w:rsidR="00604D3C" w:rsidRDefault="00604D3C" w:rsidP="00604D3C">
      <w:pPr>
        <w:pStyle w:val="NormalParaAR"/>
        <w:ind w:left="1133" w:hanging="567"/>
        <w:rPr>
          <w:rtl/>
        </w:rPr>
      </w:pPr>
      <w:r>
        <w:rPr>
          <w:rtl/>
        </w:rPr>
        <w:t>"1"</w:t>
      </w:r>
      <w:r>
        <w:rPr>
          <w:rFonts w:hint="cs"/>
          <w:rtl/>
        </w:rPr>
        <w:tab/>
      </w:r>
      <w:r w:rsidRPr="00604D3C">
        <w:rPr>
          <w:rtl/>
        </w:rPr>
        <w:t>خارطة طريق تحتوي على إرشادات بشأن عمل الويبو على مواطن المرونة في القطاعات الموضوعية واللجان المختصة؛</w:t>
      </w:r>
    </w:p>
    <w:p w:rsidR="00604D3C" w:rsidRDefault="00604D3C" w:rsidP="00604D3C">
      <w:pPr>
        <w:pStyle w:val="NormalParaAR"/>
        <w:ind w:left="1133" w:hanging="567"/>
        <w:rPr>
          <w:rtl/>
        </w:rPr>
      </w:pPr>
      <w:r>
        <w:rPr>
          <w:rtl/>
        </w:rPr>
        <w:t>"2"</w:t>
      </w:r>
      <w:r>
        <w:rPr>
          <w:rFonts w:hint="cs"/>
          <w:rtl/>
        </w:rPr>
        <w:tab/>
      </w:r>
      <w:r w:rsidRPr="00604D3C">
        <w:rPr>
          <w:rtl/>
        </w:rPr>
        <w:t xml:space="preserve">قاعدة بيانات تحتوي على أحكام بشأن التشريعات الوطنية المتعلقة بمواطن </w:t>
      </w:r>
      <w:r>
        <w:rPr>
          <w:rtl/>
        </w:rPr>
        <w:t>المرونة في نظام الملكية الفكرية</w:t>
      </w:r>
      <w:r>
        <w:rPr>
          <w:rFonts w:hint="cs"/>
          <w:rtl/>
        </w:rPr>
        <w:t>، فضلا عن معلومات حول التجارب والحالات الإفرادية الوطنية في تنفيذ المرونة على الصعيد الوطني؛</w:t>
      </w:r>
    </w:p>
    <w:p w:rsidR="00604D3C" w:rsidRDefault="00604D3C" w:rsidP="00343FE1">
      <w:pPr>
        <w:pStyle w:val="NormalParaAR"/>
        <w:ind w:left="1133" w:hanging="567"/>
        <w:rPr>
          <w:rtl/>
        </w:rPr>
      </w:pPr>
      <w:r>
        <w:rPr>
          <w:rtl/>
        </w:rPr>
        <w:t>3"</w:t>
      </w:r>
      <w:r>
        <w:rPr>
          <w:rFonts w:hint="cs"/>
          <w:rtl/>
        </w:rPr>
        <w:tab/>
      </w:r>
      <w:r w:rsidRPr="00604D3C">
        <w:rPr>
          <w:rtl/>
        </w:rPr>
        <w:t>روابط إلى الأدبيات والمراجع عن مواطن المرونة من إعداد الأمانة وخبراء بتكليف من الويبو، وروابط إلى مراجع عن مواطن المرونة من إعداد المنظمات الدولية الأخرى المعنية</w:t>
      </w:r>
      <w:r w:rsidR="00343FE1">
        <w:rPr>
          <w:rFonts w:hint="cs"/>
          <w:rtl/>
        </w:rPr>
        <w:t>؛</w:t>
      </w:r>
    </w:p>
    <w:p w:rsidR="00343FE1" w:rsidRDefault="0065585E" w:rsidP="00343FE1">
      <w:pPr>
        <w:pStyle w:val="NormalParaAR"/>
        <w:ind w:left="1133" w:hanging="567"/>
        <w:rPr>
          <w:rtl/>
        </w:rPr>
      </w:pPr>
      <w:r>
        <w:rPr>
          <w:rFonts w:hint="cs"/>
          <w:rtl/>
        </w:rPr>
        <w:t>"4"</w:t>
      </w:r>
      <w:r>
        <w:rPr>
          <w:rFonts w:hint="cs"/>
          <w:rtl/>
        </w:rPr>
        <w:tab/>
        <w:t>المواد والنتائج المتحصلة من الندوات وحلقات العمل وأنشطة العمل التقنية للويبو حول مواطن المرونة.</w:t>
      </w:r>
    </w:p>
    <w:p w:rsidR="00BA44C2" w:rsidRDefault="0065585E" w:rsidP="0065585E">
      <w:pPr>
        <w:pStyle w:val="NormalParaAR"/>
        <w:rPr>
          <w:rtl/>
        </w:rPr>
      </w:pPr>
      <w:r>
        <w:rPr>
          <w:rFonts w:hint="cs"/>
          <w:rtl/>
        </w:rPr>
        <w:t>وقدّمت الأمانة إلى اللجنة في دورتها الثامنة قاعدة البيانات في إصدارها التجريبي. وشملت معلومات عن مواطن المرونة المتصلة بالبراءات في الإطار القانوني متعدد الأطراف وتنفيذها التشريعي على الصعيد الوطني والإقليمي، كما وردت في الوثيقة</w:t>
      </w:r>
      <w:r>
        <w:rPr>
          <w:rFonts w:hint="eastAsia"/>
          <w:rtl/>
        </w:rPr>
        <w:t> </w:t>
      </w:r>
      <w:r>
        <w:t>CDIP/5/4 Rev.</w:t>
      </w:r>
      <w:r>
        <w:rPr>
          <w:rFonts w:hint="cs"/>
          <w:rtl/>
        </w:rPr>
        <w:t>. وتتعلق تلك المعلومات بمواطن المرونة التالية:</w:t>
      </w:r>
    </w:p>
    <w:p w:rsidR="0065585E" w:rsidRDefault="0065585E" w:rsidP="00F24A46">
      <w:pPr>
        <w:pStyle w:val="NormalParaAR"/>
        <w:numPr>
          <w:ilvl w:val="0"/>
          <w:numId w:val="21"/>
        </w:numPr>
        <w:spacing w:after="0"/>
        <w:ind w:left="991" w:hanging="425"/>
        <w:rPr>
          <w:rtl/>
        </w:rPr>
      </w:pPr>
      <w:r w:rsidRPr="0065585E">
        <w:rPr>
          <w:rtl/>
        </w:rPr>
        <w:t xml:space="preserve">التراخيص الإجبارية </w:t>
      </w:r>
      <w:r w:rsidR="00F24A46">
        <w:rPr>
          <w:rFonts w:hint="cs"/>
          <w:rtl/>
        </w:rPr>
        <w:t>والاستعمال الحكومي</w:t>
      </w:r>
    </w:p>
    <w:p w:rsidR="0065585E" w:rsidRDefault="0065585E" w:rsidP="0065585E">
      <w:pPr>
        <w:pStyle w:val="NormalParaAR"/>
        <w:numPr>
          <w:ilvl w:val="0"/>
          <w:numId w:val="21"/>
        </w:numPr>
        <w:spacing w:after="0"/>
        <w:ind w:left="991" w:hanging="425"/>
        <w:rPr>
          <w:rtl/>
        </w:rPr>
      </w:pPr>
      <w:r w:rsidRPr="0065585E">
        <w:rPr>
          <w:rtl/>
        </w:rPr>
        <w:t>است</w:t>
      </w:r>
      <w:r w:rsidR="003B4361">
        <w:rPr>
          <w:rFonts w:hint="cs"/>
          <w:rtl/>
        </w:rPr>
        <w:t>ن</w:t>
      </w:r>
      <w:r w:rsidRPr="0065585E">
        <w:rPr>
          <w:rtl/>
        </w:rPr>
        <w:t>فاد الحقوق</w:t>
      </w:r>
    </w:p>
    <w:p w:rsidR="0065585E" w:rsidRDefault="0065585E" w:rsidP="0065585E">
      <w:pPr>
        <w:pStyle w:val="NormalParaAR"/>
        <w:numPr>
          <w:ilvl w:val="0"/>
          <w:numId w:val="21"/>
        </w:numPr>
        <w:spacing w:after="0"/>
        <w:ind w:left="991" w:hanging="425"/>
        <w:rPr>
          <w:rtl/>
        </w:rPr>
      </w:pPr>
      <w:r w:rsidRPr="0065585E">
        <w:rPr>
          <w:rtl/>
        </w:rPr>
        <w:t>الاستثناء لأغراض الفحص الإداري</w:t>
      </w:r>
    </w:p>
    <w:p w:rsidR="0065585E" w:rsidRDefault="0065585E" w:rsidP="0065585E">
      <w:pPr>
        <w:pStyle w:val="NormalParaAR"/>
        <w:numPr>
          <w:ilvl w:val="0"/>
          <w:numId w:val="21"/>
        </w:numPr>
        <w:spacing w:after="0"/>
        <w:ind w:left="991" w:hanging="425"/>
        <w:rPr>
          <w:rtl/>
        </w:rPr>
      </w:pPr>
      <w:r w:rsidRPr="0065585E">
        <w:rPr>
          <w:rtl/>
        </w:rPr>
        <w:t>الإعفاء لأغراض البحث</w:t>
      </w:r>
    </w:p>
    <w:p w:rsidR="0065585E" w:rsidRDefault="0065585E" w:rsidP="0065585E">
      <w:pPr>
        <w:pStyle w:val="NormalParaAR"/>
        <w:numPr>
          <w:ilvl w:val="0"/>
          <w:numId w:val="21"/>
        </w:numPr>
        <w:ind w:left="991" w:hanging="425"/>
        <w:rPr>
          <w:rtl/>
        </w:rPr>
      </w:pPr>
      <w:r>
        <w:rPr>
          <w:rFonts w:hint="cs"/>
          <w:rtl/>
        </w:rPr>
        <w:t>الاستثناء من الحماية ك</w:t>
      </w:r>
      <w:r w:rsidRPr="0065585E">
        <w:rPr>
          <w:rtl/>
        </w:rPr>
        <w:t>نماذج منفعة</w:t>
      </w:r>
    </w:p>
    <w:p w:rsidR="0065585E" w:rsidRDefault="00E91791" w:rsidP="00E91791">
      <w:pPr>
        <w:pStyle w:val="NormalParaAR"/>
        <w:rPr>
          <w:rtl/>
          <w:lang w:val="fr-CH"/>
        </w:rPr>
      </w:pPr>
      <w:r>
        <w:rPr>
          <w:rFonts w:hint="cs"/>
          <w:rtl/>
        </w:rPr>
        <w:t xml:space="preserve">وقدّمت الأمانة إلى اللجنة في دورتها التاسعة </w:t>
      </w:r>
      <w:r w:rsidRPr="00E91791">
        <w:rPr>
          <w:rtl/>
        </w:rPr>
        <w:t>برنامج عمل بشأن مواطن المرونة في نظام الملكية الفكرية – عناصر جديدة اقتُرحت في الدورة الثامنة للجنة</w:t>
      </w:r>
      <w:r>
        <w:rPr>
          <w:rFonts w:hint="cs"/>
          <w:rtl/>
        </w:rPr>
        <w:t xml:space="preserve">، كما ورد في الوثيقة </w:t>
      </w:r>
      <w:r>
        <w:t>CDIP/9/11</w:t>
      </w:r>
      <w:r>
        <w:rPr>
          <w:rFonts w:hint="cs"/>
          <w:rtl/>
          <w:lang w:val="fr-CH"/>
        </w:rPr>
        <w:t>، نزولا عند طلب الدول الأعضاء في الدورة الثامنة للجنة. وناقشت اللج</w:t>
      </w:r>
      <w:r w:rsidR="003B4361">
        <w:rPr>
          <w:rFonts w:hint="cs"/>
          <w:rtl/>
          <w:lang w:val="fr-CH"/>
        </w:rPr>
        <w:t>ن</w:t>
      </w:r>
      <w:r>
        <w:rPr>
          <w:rFonts w:hint="cs"/>
          <w:rtl/>
          <w:lang w:val="fr-CH"/>
        </w:rPr>
        <w:t>ة الوثيقة واتفقت على نقاط من بينها أن تضيف إلى قاعدة البيانات المعلومات التي تقدمها الدول الأعضاء عن تجاربها العملية في تنفيذ مواطن المرونة.</w:t>
      </w:r>
    </w:p>
    <w:p w:rsidR="00E91791" w:rsidRDefault="00E91791" w:rsidP="003414E6">
      <w:pPr>
        <w:pStyle w:val="NormalParaAR"/>
        <w:rPr>
          <w:rtl/>
          <w:lang w:val="fr-CH"/>
        </w:rPr>
      </w:pPr>
      <w:r>
        <w:rPr>
          <w:rFonts w:hint="cs"/>
          <w:rtl/>
          <w:lang w:val="fr-CH"/>
        </w:rPr>
        <w:t>و</w:t>
      </w:r>
      <w:r w:rsidRPr="00E91791">
        <w:rPr>
          <w:rFonts w:hint="cs"/>
          <w:rtl/>
          <w:lang w:val="fr-CH"/>
        </w:rPr>
        <w:t>في</w:t>
      </w:r>
      <w:r w:rsidRPr="00E91791">
        <w:rPr>
          <w:rtl/>
          <w:lang w:val="fr-CH"/>
        </w:rPr>
        <w:t xml:space="preserve"> </w:t>
      </w:r>
      <w:r w:rsidRPr="00E91791">
        <w:rPr>
          <w:rFonts w:hint="cs"/>
          <w:rtl/>
          <w:lang w:val="fr-CH"/>
        </w:rPr>
        <w:t>الدورة</w:t>
      </w:r>
      <w:r w:rsidRPr="00E91791">
        <w:rPr>
          <w:rtl/>
          <w:lang w:val="fr-CH"/>
        </w:rPr>
        <w:t xml:space="preserve"> </w:t>
      </w:r>
      <w:r w:rsidRPr="00E91791">
        <w:rPr>
          <w:rFonts w:hint="cs"/>
          <w:rtl/>
          <w:lang w:val="fr-CH"/>
        </w:rPr>
        <w:t>العاشرة،</w:t>
      </w:r>
      <w:r w:rsidRPr="00E91791">
        <w:rPr>
          <w:rtl/>
          <w:lang w:val="fr-CH"/>
        </w:rPr>
        <w:t xml:space="preserve"> </w:t>
      </w:r>
      <w:r w:rsidRPr="00E91791">
        <w:rPr>
          <w:rFonts w:hint="cs"/>
          <w:rtl/>
          <w:lang w:val="fr-CH"/>
        </w:rPr>
        <w:t>ناقشت</w:t>
      </w:r>
      <w:r w:rsidRPr="00E91791">
        <w:rPr>
          <w:rtl/>
          <w:lang w:val="fr-CH"/>
        </w:rPr>
        <w:t xml:space="preserve"> </w:t>
      </w:r>
      <w:r w:rsidRPr="00E91791">
        <w:rPr>
          <w:rFonts w:hint="cs"/>
          <w:rtl/>
          <w:lang w:val="fr-CH"/>
        </w:rPr>
        <w:t>اللجنة</w:t>
      </w:r>
      <w:r w:rsidRPr="00E91791">
        <w:rPr>
          <w:rtl/>
          <w:lang w:val="fr-CH"/>
        </w:rPr>
        <w:t xml:space="preserve"> </w:t>
      </w:r>
      <w:r w:rsidRPr="00E91791">
        <w:rPr>
          <w:rFonts w:hint="cs"/>
          <w:rtl/>
          <w:lang w:val="fr-CH"/>
        </w:rPr>
        <w:t>خطوات</w:t>
      </w:r>
      <w:r w:rsidRPr="00E91791">
        <w:rPr>
          <w:rtl/>
          <w:lang w:val="fr-CH"/>
        </w:rPr>
        <w:t xml:space="preserve"> </w:t>
      </w:r>
      <w:r w:rsidRPr="00E91791">
        <w:rPr>
          <w:rFonts w:hint="cs"/>
          <w:rtl/>
          <w:lang w:val="fr-CH"/>
        </w:rPr>
        <w:t>إضافية</w:t>
      </w:r>
      <w:r w:rsidRPr="00E91791">
        <w:rPr>
          <w:rtl/>
          <w:lang w:val="fr-CH"/>
        </w:rPr>
        <w:t xml:space="preserve"> </w:t>
      </w:r>
      <w:r w:rsidRPr="00E91791">
        <w:rPr>
          <w:rFonts w:hint="cs"/>
          <w:rtl/>
          <w:lang w:val="fr-CH"/>
        </w:rPr>
        <w:t>في</w:t>
      </w:r>
      <w:r w:rsidRPr="00E91791">
        <w:rPr>
          <w:rtl/>
          <w:lang w:val="fr-CH"/>
        </w:rPr>
        <w:t xml:space="preserve"> </w:t>
      </w:r>
      <w:r w:rsidRPr="00E91791">
        <w:rPr>
          <w:rFonts w:hint="cs"/>
          <w:rtl/>
          <w:lang w:val="fr-CH"/>
        </w:rPr>
        <w:t>برنامج</w:t>
      </w:r>
      <w:r w:rsidRPr="00E91791">
        <w:rPr>
          <w:rtl/>
          <w:lang w:val="fr-CH"/>
        </w:rPr>
        <w:t xml:space="preserve"> </w:t>
      </w:r>
      <w:r w:rsidRPr="00E91791">
        <w:rPr>
          <w:rFonts w:hint="cs"/>
          <w:rtl/>
          <w:lang w:val="fr-CH"/>
        </w:rPr>
        <w:t>عمل</w:t>
      </w:r>
      <w:r w:rsidRPr="00E91791">
        <w:rPr>
          <w:rtl/>
          <w:lang w:val="fr-CH"/>
        </w:rPr>
        <w:t xml:space="preserve"> </w:t>
      </w:r>
      <w:r w:rsidRPr="00E91791">
        <w:rPr>
          <w:rFonts w:hint="cs"/>
          <w:rtl/>
          <w:lang w:val="fr-CH"/>
        </w:rPr>
        <w:t>مواطن</w:t>
      </w:r>
      <w:r w:rsidRPr="00E91791">
        <w:rPr>
          <w:rtl/>
          <w:lang w:val="fr-CH"/>
        </w:rPr>
        <w:t xml:space="preserve"> </w:t>
      </w:r>
      <w:r w:rsidRPr="00E91791">
        <w:rPr>
          <w:rFonts w:hint="cs"/>
          <w:rtl/>
          <w:lang w:val="fr-CH"/>
        </w:rPr>
        <w:t>المرون</w:t>
      </w:r>
      <w:r>
        <w:rPr>
          <w:rtl/>
          <w:lang w:val="fr-CH"/>
        </w:rPr>
        <w:t>ة في نظام الملكية</w:t>
      </w:r>
      <w:r w:rsidR="003B4361">
        <w:rPr>
          <w:rFonts w:hint="cs"/>
          <w:rtl/>
          <w:lang w:val="fr-CH"/>
        </w:rPr>
        <w:t xml:space="preserve"> الفكرية</w:t>
      </w:r>
      <w:r>
        <w:rPr>
          <w:rFonts w:hint="cs"/>
          <w:rtl/>
          <w:lang w:val="fr-CH"/>
        </w:rPr>
        <w:t xml:space="preserve">، كما ورد في </w:t>
      </w:r>
      <w:r w:rsidRPr="00E91791">
        <w:rPr>
          <w:rtl/>
          <w:lang w:val="fr-CH"/>
        </w:rPr>
        <w:t>الوثيقة </w:t>
      </w:r>
      <w:r w:rsidRPr="00E91791">
        <w:rPr>
          <w:lang w:val="fr-CH"/>
        </w:rPr>
        <w:t>CDIP/10/10</w:t>
      </w:r>
      <w:r>
        <w:rPr>
          <w:rFonts w:hint="cs"/>
          <w:rtl/>
          <w:lang w:val="fr-CH"/>
        </w:rPr>
        <w:t>. والتمست الأمانة التوجيه حول مضمون قاعدة البيانات. وتم التوصل إلى توافق للآراء حول ال</w:t>
      </w:r>
      <w:r w:rsidR="003414E6">
        <w:rPr>
          <w:rFonts w:hint="cs"/>
          <w:rtl/>
          <w:lang w:val="fr-CH"/>
        </w:rPr>
        <w:t>أ</w:t>
      </w:r>
      <w:r>
        <w:rPr>
          <w:rFonts w:hint="cs"/>
          <w:rtl/>
          <w:lang w:val="fr-CH"/>
        </w:rPr>
        <w:t>نو</w:t>
      </w:r>
      <w:r w:rsidR="003414E6">
        <w:rPr>
          <w:rFonts w:hint="cs"/>
          <w:rtl/>
          <w:lang w:val="fr-CH"/>
        </w:rPr>
        <w:t>ا</w:t>
      </w:r>
      <w:r>
        <w:rPr>
          <w:rFonts w:hint="cs"/>
          <w:rtl/>
          <w:lang w:val="fr-CH"/>
        </w:rPr>
        <w:t>ع التالي</w:t>
      </w:r>
      <w:r w:rsidR="003414E6">
        <w:rPr>
          <w:rFonts w:hint="cs"/>
          <w:rtl/>
          <w:lang w:val="fr-CH"/>
        </w:rPr>
        <w:t>ة</w:t>
      </w:r>
      <w:r>
        <w:rPr>
          <w:rFonts w:hint="cs"/>
          <w:rtl/>
          <w:lang w:val="fr-CH"/>
        </w:rPr>
        <w:t xml:space="preserve"> من المعلومات الواجب إدراجها في قاعدة البيانات:</w:t>
      </w:r>
    </w:p>
    <w:p w:rsidR="00531C26" w:rsidRDefault="00582106" w:rsidP="00582106">
      <w:pPr>
        <w:pStyle w:val="NormalParaAR"/>
        <w:numPr>
          <w:ilvl w:val="0"/>
          <w:numId w:val="21"/>
        </w:numPr>
        <w:spacing w:after="0"/>
        <w:ind w:left="991" w:hanging="425"/>
      </w:pPr>
      <w:r>
        <w:rPr>
          <w:rFonts w:hint="cs"/>
          <w:rtl/>
        </w:rPr>
        <w:t>روابط تحيل إلى قضايا المحاكم والمقالات الأكاديمية والدراسات الإفرادية التي تقدمها الدول الأعضاء؛</w:t>
      </w:r>
    </w:p>
    <w:p w:rsidR="00582106" w:rsidRPr="00582106" w:rsidRDefault="00582106" w:rsidP="00582106">
      <w:pPr>
        <w:pStyle w:val="NormalParaAR"/>
        <w:numPr>
          <w:ilvl w:val="0"/>
          <w:numId w:val="21"/>
        </w:numPr>
        <w:spacing w:after="0"/>
        <w:ind w:left="991" w:hanging="425"/>
      </w:pPr>
      <w:r w:rsidRPr="00582106">
        <w:rPr>
          <w:rtl/>
          <w:lang w:val="fr-CH"/>
        </w:rPr>
        <w:t xml:space="preserve">والمواد المكتوبة أو المعدة </w:t>
      </w:r>
      <w:r>
        <w:rPr>
          <w:rFonts w:hint="cs"/>
          <w:rtl/>
          <w:lang w:val="fr-CH"/>
        </w:rPr>
        <w:t xml:space="preserve">بتكليف من </w:t>
      </w:r>
      <w:r w:rsidRPr="00582106">
        <w:rPr>
          <w:rtl/>
          <w:lang w:val="fr-CH"/>
        </w:rPr>
        <w:t>الويبو أثناء أنشطة المساعدة التقنية الدورية للمنظمة؛</w:t>
      </w:r>
    </w:p>
    <w:p w:rsidR="00582106" w:rsidRPr="00582106" w:rsidRDefault="00582106" w:rsidP="00582106">
      <w:pPr>
        <w:pStyle w:val="NormalParaAR"/>
        <w:numPr>
          <w:ilvl w:val="0"/>
          <w:numId w:val="21"/>
        </w:numPr>
        <w:ind w:left="992" w:hanging="425"/>
        <w:rPr>
          <w:rtl/>
        </w:rPr>
      </w:pPr>
      <w:r w:rsidRPr="00582106">
        <w:rPr>
          <w:rtl/>
          <w:lang w:val="fr-CH"/>
        </w:rPr>
        <w:t xml:space="preserve">والوثائق والعروض الصادرة عن </w:t>
      </w:r>
      <w:r w:rsidRPr="00582106">
        <w:rPr>
          <w:rFonts w:hint="cs"/>
          <w:rtl/>
          <w:lang w:val="fr-CH"/>
        </w:rPr>
        <w:t xml:space="preserve">الندوات التي </w:t>
      </w:r>
      <w:r w:rsidRPr="00582106">
        <w:rPr>
          <w:rtl/>
          <w:lang w:val="fr-CH"/>
        </w:rPr>
        <w:t>تنظمها الويبو أثناء أنشطة المساعدة التقنية</w:t>
      </w:r>
      <w:r w:rsidRPr="00582106">
        <w:rPr>
          <w:rFonts w:hint="cs"/>
          <w:rtl/>
          <w:lang w:val="fr-CH"/>
        </w:rPr>
        <w:t xml:space="preserve"> الدولية للمنظمة.</w:t>
      </w:r>
    </w:p>
    <w:p w:rsidR="00531C26" w:rsidRDefault="00582106" w:rsidP="00F24A46">
      <w:pPr>
        <w:pStyle w:val="Heading1AR"/>
        <w:spacing w:before="0" w:after="240"/>
        <w:rPr>
          <w:rtl/>
          <w:lang w:val="fr-CH"/>
        </w:rPr>
      </w:pPr>
      <w:r>
        <w:rPr>
          <w:rFonts w:hint="cs"/>
          <w:rtl/>
          <w:lang w:val="fr-CH"/>
        </w:rPr>
        <w:lastRenderedPageBreak/>
        <w:t>إنشاء قاعدة البيانات</w:t>
      </w:r>
    </w:p>
    <w:p w:rsidR="00531C26" w:rsidRPr="00E91791" w:rsidRDefault="00582106" w:rsidP="00E91791">
      <w:pPr>
        <w:pStyle w:val="NormalParaAR"/>
        <w:rPr>
          <w:rtl/>
          <w:lang w:val="fr-CH"/>
        </w:rPr>
      </w:pPr>
      <w:r>
        <w:rPr>
          <w:rFonts w:hint="cs"/>
          <w:rtl/>
          <w:lang w:val="fr-CH"/>
        </w:rPr>
        <w:t xml:space="preserve">أصبحت قاعدة بيانات المرونة متاحة على الإنترنت في يونيو 2013، وهي تمكن الدول الأعضاء من النفاذ إلى </w:t>
      </w:r>
      <w:r w:rsidRPr="00582106">
        <w:rPr>
          <w:rFonts w:hint="cs"/>
          <w:i/>
          <w:iCs/>
          <w:rtl/>
          <w:lang w:val="fr-CH"/>
        </w:rPr>
        <w:t>"</w:t>
      </w:r>
      <w:r w:rsidRPr="00582106">
        <w:rPr>
          <w:i/>
          <w:iCs/>
          <w:rtl/>
          <w:lang w:val="fr-CH"/>
        </w:rPr>
        <w:t>قائمة مفتوحة من مواطن المرونة المستعملة، وهي التراخيص الإجبارية والاستعمال الحكومي؛ واستنفاد الحقوق؛ والإعفاء لأغراض البحث؛ والاستثناء لأغراض الفحص الإداري؛ ونماذج المنفعة.</w:t>
      </w:r>
      <w:r>
        <w:rPr>
          <w:rFonts w:hint="cs"/>
          <w:i/>
          <w:iCs/>
          <w:rtl/>
          <w:lang w:val="fr-CH"/>
        </w:rPr>
        <w:t>"</w:t>
      </w:r>
    </w:p>
    <w:p w:rsidR="00E91791" w:rsidRDefault="00582106" w:rsidP="00582106">
      <w:pPr>
        <w:pStyle w:val="NormalParaAR"/>
        <w:rPr>
          <w:rtl/>
          <w:lang w:val="fr-CH"/>
        </w:rPr>
      </w:pPr>
      <w:r>
        <w:rPr>
          <w:rFonts w:hint="cs"/>
          <w:rtl/>
          <w:lang w:val="fr-CH"/>
        </w:rPr>
        <w:t xml:space="preserve">وأتاحت الأمانة أيضا على الصفحة الإلكترونية للمرونة </w:t>
      </w:r>
      <w:r w:rsidRPr="00582106">
        <w:rPr>
          <w:rtl/>
          <w:lang w:val="fr-CH"/>
        </w:rPr>
        <w:t xml:space="preserve">المواد المكتوبة أو المعدة </w:t>
      </w:r>
      <w:r>
        <w:rPr>
          <w:rFonts w:hint="cs"/>
          <w:rtl/>
          <w:lang w:val="fr-CH"/>
        </w:rPr>
        <w:t xml:space="preserve">بتكليف من </w:t>
      </w:r>
      <w:r w:rsidRPr="00582106">
        <w:rPr>
          <w:rtl/>
          <w:lang w:val="fr-CH"/>
        </w:rPr>
        <w:t>الويبو أثناء أنشطة المساعدة التقنية الدورية للمنظمة</w:t>
      </w:r>
      <w:r>
        <w:rPr>
          <w:rFonts w:hint="cs"/>
          <w:rtl/>
          <w:lang w:val="fr-CH"/>
        </w:rPr>
        <w:t>، بما فيها مواد الندوات.</w:t>
      </w:r>
    </w:p>
    <w:p w:rsidR="00610906" w:rsidRDefault="00610906" w:rsidP="00F24A46">
      <w:pPr>
        <w:pStyle w:val="Heading1AR"/>
        <w:spacing w:before="0" w:after="240"/>
        <w:rPr>
          <w:rtl/>
          <w:lang w:val="fr-CH"/>
        </w:rPr>
      </w:pPr>
      <w:r>
        <w:rPr>
          <w:rFonts w:hint="cs"/>
          <w:rtl/>
          <w:lang w:val="fr-CH"/>
        </w:rPr>
        <w:t>التحديث والوضع الراهن</w:t>
      </w:r>
    </w:p>
    <w:p w:rsidR="00610906" w:rsidRDefault="002D1F32" w:rsidP="00582106">
      <w:pPr>
        <w:pStyle w:val="NormalParaAR"/>
        <w:rPr>
          <w:rtl/>
          <w:lang w:val="fr-CH"/>
        </w:rPr>
      </w:pPr>
      <w:r>
        <w:rPr>
          <w:rFonts w:hint="cs"/>
          <w:rtl/>
          <w:lang w:val="fr-CH"/>
        </w:rPr>
        <w:t>بناء على طلب اللجنة في دورتها الخامسة عشرة، خضعت قاعدة بيانات المرونة للتحديث بهدف إضافة ما يلي:</w:t>
      </w:r>
    </w:p>
    <w:p w:rsidR="002D1F32" w:rsidRDefault="002D1F32" w:rsidP="00F870B3">
      <w:pPr>
        <w:pStyle w:val="NormalParaAR"/>
        <w:ind w:left="1133" w:hanging="567"/>
        <w:rPr>
          <w:rtl/>
          <w:lang w:val="fr-CH"/>
        </w:rPr>
      </w:pPr>
      <w:r>
        <w:rPr>
          <w:rFonts w:hint="cs"/>
          <w:rtl/>
          <w:lang w:val="fr-CH"/>
        </w:rPr>
        <w:t>أولا</w:t>
      </w:r>
      <w:r>
        <w:rPr>
          <w:rFonts w:hint="cs"/>
          <w:rtl/>
          <w:lang w:val="fr-CH"/>
        </w:rPr>
        <w:tab/>
        <w:t xml:space="preserve">954 حكما قانونيا جديدا مستخرجا من وثائق </w:t>
      </w:r>
      <w:r w:rsidR="00F870B3">
        <w:rPr>
          <w:rFonts w:hint="cs"/>
          <w:rtl/>
        </w:rPr>
        <w:t>مواطن المرونة المتصلة بالبراءات في الإطار القانوني متعدد الأطراف وتنفيذها التشريعي على الصعيد الوطني والإقليمي، كما وردت في الوثائق </w:t>
      </w:r>
      <w:r w:rsidR="00F870B3">
        <w:t>CDIP/7/3 Add.</w:t>
      </w:r>
      <w:r w:rsidR="00F870B3">
        <w:rPr>
          <w:rFonts w:hint="cs"/>
          <w:rtl/>
        </w:rPr>
        <w:t xml:space="preserve"> </w:t>
      </w:r>
      <w:r w:rsidR="00F870B3">
        <w:rPr>
          <w:rFonts w:hint="cs"/>
          <w:rtl/>
          <w:lang w:val="fr-CH"/>
        </w:rPr>
        <w:t>و</w:t>
      </w:r>
      <w:r w:rsidR="00F870B3">
        <w:t>CDIP/13/10</w:t>
      </w:r>
      <w:r w:rsidR="00F870B3">
        <w:rPr>
          <w:rFonts w:hint="cs"/>
          <w:rtl/>
          <w:lang w:val="fr-CH"/>
        </w:rPr>
        <w:t xml:space="preserve"> و</w:t>
      </w:r>
      <w:r w:rsidR="00F870B3">
        <w:t>CDIP/15/6</w:t>
      </w:r>
      <w:r w:rsidR="00F870B3">
        <w:rPr>
          <w:rFonts w:hint="cs"/>
          <w:rtl/>
          <w:lang w:val="fr-CH"/>
        </w:rPr>
        <w:t>. وتتعلق تلك المعلومات بمواطن المرونة التسعة التالية:</w:t>
      </w:r>
    </w:p>
    <w:p w:rsidR="00F870B3" w:rsidRPr="00F870B3" w:rsidRDefault="00F870B3" w:rsidP="00F24A46">
      <w:pPr>
        <w:pStyle w:val="NormalParaAR"/>
        <w:numPr>
          <w:ilvl w:val="0"/>
          <w:numId w:val="21"/>
        </w:numPr>
        <w:spacing w:after="0"/>
        <w:ind w:left="1558" w:hanging="425"/>
        <w:rPr>
          <w:rtl/>
        </w:rPr>
      </w:pPr>
      <w:r w:rsidRPr="00F870B3">
        <w:rPr>
          <w:rtl/>
        </w:rPr>
        <w:t>الفترات الانتقالية</w:t>
      </w:r>
    </w:p>
    <w:p w:rsidR="00F870B3" w:rsidRPr="00F870B3" w:rsidRDefault="00F870B3" w:rsidP="00F24A46">
      <w:pPr>
        <w:pStyle w:val="NormalParaAR"/>
        <w:numPr>
          <w:ilvl w:val="0"/>
          <w:numId w:val="21"/>
        </w:numPr>
        <w:spacing w:after="0"/>
        <w:ind w:left="1558" w:hanging="425"/>
        <w:rPr>
          <w:rtl/>
        </w:rPr>
      </w:pPr>
      <w:r w:rsidRPr="00F870B3">
        <w:rPr>
          <w:rtl/>
        </w:rPr>
        <w:t>إمكانية منح البراءات في المواد الموجودة في الطبيعة</w:t>
      </w:r>
    </w:p>
    <w:p w:rsidR="00F870B3" w:rsidRPr="00F870B3" w:rsidRDefault="00F870B3" w:rsidP="00F24A46">
      <w:pPr>
        <w:pStyle w:val="NormalParaAR"/>
        <w:numPr>
          <w:ilvl w:val="0"/>
          <w:numId w:val="21"/>
        </w:numPr>
        <w:spacing w:after="0"/>
        <w:ind w:left="1558" w:hanging="425"/>
        <w:rPr>
          <w:rtl/>
        </w:rPr>
      </w:pPr>
      <w:r w:rsidRPr="00F870B3">
        <w:rPr>
          <w:rtl/>
        </w:rPr>
        <w:t>مواطن المرونة المتعلقة بالكشف</w:t>
      </w:r>
    </w:p>
    <w:p w:rsidR="00F870B3" w:rsidRPr="00F870B3" w:rsidRDefault="00F870B3" w:rsidP="00F24A46">
      <w:pPr>
        <w:pStyle w:val="NormalParaAR"/>
        <w:numPr>
          <w:ilvl w:val="0"/>
          <w:numId w:val="21"/>
        </w:numPr>
        <w:spacing w:after="0"/>
        <w:ind w:left="1558" w:hanging="425"/>
        <w:rPr>
          <w:rtl/>
        </w:rPr>
      </w:pPr>
      <w:r w:rsidRPr="00F870B3">
        <w:rPr>
          <w:rtl/>
        </w:rPr>
        <w:t>الفحص الموضوعي</w:t>
      </w:r>
    </w:p>
    <w:p w:rsidR="00F870B3" w:rsidRPr="00F870B3" w:rsidRDefault="00F870B3" w:rsidP="00F24A46">
      <w:pPr>
        <w:pStyle w:val="NormalParaAR"/>
        <w:numPr>
          <w:ilvl w:val="0"/>
          <w:numId w:val="21"/>
        </w:numPr>
        <w:spacing w:after="0"/>
        <w:ind w:left="1558" w:hanging="425"/>
        <w:rPr>
          <w:rtl/>
        </w:rPr>
      </w:pPr>
      <w:r w:rsidRPr="00F870B3">
        <w:rPr>
          <w:rtl/>
        </w:rPr>
        <w:t>الرقابة التلقائية من مكاتب البراءات على البنود التعاقدية المنافية للمنافسة المشـروعة</w:t>
      </w:r>
    </w:p>
    <w:p w:rsidR="00F870B3" w:rsidRPr="00F870B3" w:rsidRDefault="00F870B3" w:rsidP="00F24A46">
      <w:pPr>
        <w:pStyle w:val="NormalParaAR"/>
        <w:numPr>
          <w:ilvl w:val="0"/>
          <w:numId w:val="21"/>
        </w:numPr>
        <w:spacing w:after="0"/>
        <w:ind w:left="1558" w:hanging="425"/>
        <w:rPr>
          <w:rtl/>
        </w:rPr>
      </w:pPr>
      <w:r w:rsidRPr="00F870B3">
        <w:rPr>
          <w:rtl/>
        </w:rPr>
        <w:t>نطاق استبعاد النباتات من إمكانية الحماية ببراءة</w:t>
      </w:r>
    </w:p>
    <w:p w:rsidR="00F870B3" w:rsidRPr="00F870B3" w:rsidRDefault="00F870B3" w:rsidP="00F24A46">
      <w:pPr>
        <w:pStyle w:val="NormalParaAR"/>
        <w:numPr>
          <w:ilvl w:val="0"/>
          <w:numId w:val="21"/>
        </w:numPr>
        <w:spacing w:after="0"/>
        <w:ind w:left="1558" w:hanging="425"/>
        <w:rPr>
          <w:rtl/>
        </w:rPr>
      </w:pPr>
      <w:r w:rsidRPr="00F870B3">
        <w:rPr>
          <w:rtl/>
        </w:rPr>
        <w:t>إمكانية حماية الاختراعات المتعلقة بالبرمجيات أو استبعادها من ذلك</w:t>
      </w:r>
    </w:p>
    <w:p w:rsidR="00F870B3" w:rsidRPr="00F870B3" w:rsidRDefault="00F870B3" w:rsidP="00F24A46">
      <w:pPr>
        <w:pStyle w:val="NormalParaAR"/>
        <w:numPr>
          <w:ilvl w:val="0"/>
          <w:numId w:val="21"/>
        </w:numPr>
        <w:spacing w:after="0"/>
        <w:ind w:left="1558" w:hanging="425"/>
        <w:rPr>
          <w:rtl/>
        </w:rPr>
      </w:pPr>
      <w:r w:rsidRPr="00F870B3">
        <w:rPr>
          <w:rFonts w:hint="cs"/>
          <w:rtl/>
        </w:rPr>
        <w:t xml:space="preserve">المرونة في تنفيذ </w:t>
      </w:r>
      <w:r w:rsidRPr="00F870B3">
        <w:rPr>
          <w:rtl/>
        </w:rPr>
        <w:t xml:space="preserve">العقوبات الجنائية في إنفاذ البراءات </w:t>
      </w:r>
    </w:p>
    <w:p w:rsidR="00F870B3" w:rsidRPr="00F870B3" w:rsidRDefault="00F870B3" w:rsidP="00F24A46">
      <w:pPr>
        <w:pStyle w:val="NormalParaAR"/>
        <w:numPr>
          <w:ilvl w:val="0"/>
          <w:numId w:val="21"/>
        </w:numPr>
        <w:ind w:left="1558" w:hanging="425"/>
        <w:rPr>
          <w:rtl/>
        </w:rPr>
      </w:pPr>
      <w:r w:rsidRPr="00F870B3">
        <w:rPr>
          <w:rtl/>
        </w:rPr>
        <w:t>الإجراءات المتصلة بالأمن الوطني</w:t>
      </w:r>
      <w:r w:rsidRPr="00F870B3">
        <w:rPr>
          <w:rFonts w:hint="cs"/>
          <w:rtl/>
        </w:rPr>
        <w:t xml:space="preserve"> (ما يسمى "الاستثناء الأمني")</w:t>
      </w:r>
    </w:p>
    <w:p w:rsidR="0065585E" w:rsidRPr="00F870B3" w:rsidRDefault="00F870B3" w:rsidP="00512BC6">
      <w:pPr>
        <w:pStyle w:val="NormalParaAR"/>
        <w:ind w:left="1133" w:hanging="567"/>
        <w:rPr>
          <w:rtl/>
          <w:lang w:val="fr-CH"/>
        </w:rPr>
      </w:pPr>
      <w:r>
        <w:rPr>
          <w:rFonts w:hint="cs"/>
          <w:rtl/>
          <w:lang w:val="fr-CH"/>
        </w:rPr>
        <w:t>ثانيا</w:t>
      </w:r>
      <w:r>
        <w:rPr>
          <w:rFonts w:hint="cs"/>
          <w:rtl/>
          <w:lang w:val="fr-CH"/>
        </w:rPr>
        <w:tab/>
        <w:t>جداول فئات مختلف الأحكام حول مواطن المرونة المحددة الواردة في الوثائق المذكورة أعلاه.</w:t>
      </w:r>
    </w:p>
    <w:p w:rsidR="0065585E" w:rsidRDefault="00A65985" w:rsidP="008804E0">
      <w:pPr>
        <w:pStyle w:val="NormalParaAR"/>
        <w:rPr>
          <w:rtl/>
        </w:rPr>
      </w:pPr>
      <w:r>
        <w:rPr>
          <w:rFonts w:hint="cs"/>
          <w:rtl/>
        </w:rPr>
        <w:t xml:space="preserve">تضم قاعدة البيانات حاليا 1371 حكما </w:t>
      </w:r>
      <w:r w:rsidR="00F24A46">
        <w:rPr>
          <w:rFonts w:hint="cs"/>
          <w:rtl/>
        </w:rPr>
        <w:t>بشأن تشريعات الملكية الفكرية الوطنية المتعلقة بمواطن المرونة من 202 أنظمة قانونية مختارة. وتمكن المستخدم من البحث في 14 نوعا من أنواع المرونة وهي:</w:t>
      </w:r>
    </w:p>
    <w:p w:rsidR="00F24A46" w:rsidRDefault="00F24A46" w:rsidP="00F24A46">
      <w:pPr>
        <w:pStyle w:val="NormalParaAR"/>
        <w:numPr>
          <w:ilvl w:val="0"/>
          <w:numId w:val="22"/>
        </w:numPr>
        <w:spacing w:after="0"/>
        <w:ind w:left="1133" w:hanging="567"/>
      </w:pPr>
      <w:r>
        <w:rPr>
          <w:rFonts w:hint="cs"/>
          <w:rtl/>
        </w:rPr>
        <w:t>التراخيص الإجبارية والاستعمال الحكومي</w:t>
      </w:r>
    </w:p>
    <w:p w:rsidR="00F24A46" w:rsidRDefault="00F24A46" w:rsidP="00F24A46">
      <w:pPr>
        <w:pStyle w:val="NormalParaAR"/>
        <w:numPr>
          <w:ilvl w:val="0"/>
          <w:numId w:val="22"/>
        </w:numPr>
        <w:spacing w:after="0"/>
        <w:ind w:left="1133" w:hanging="567"/>
      </w:pPr>
      <w:r>
        <w:rPr>
          <w:rFonts w:hint="cs"/>
          <w:rtl/>
        </w:rPr>
        <w:t>استنفاد الحقوق</w:t>
      </w:r>
    </w:p>
    <w:p w:rsidR="00F24A46" w:rsidRDefault="00F24A46" w:rsidP="00F24A46">
      <w:pPr>
        <w:pStyle w:val="NormalParaAR"/>
        <w:numPr>
          <w:ilvl w:val="0"/>
          <w:numId w:val="22"/>
        </w:numPr>
        <w:spacing w:after="0"/>
        <w:ind w:left="1133" w:hanging="567"/>
      </w:pPr>
      <w:r w:rsidRPr="00F24A46">
        <w:rPr>
          <w:rtl/>
        </w:rPr>
        <w:t>الاستثناء لأغراض الفحص الإداري</w:t>
      </w:r>
    </w:p>
    <w:p w:rsidR="00F24A46" w:rsidRDefault="00F24A46" w:rsidP="00F24A46">
      <w:pPr>
        <w:pStyle w:val="NormalParaAR"/>
        <w:numPr>
          <w:ilvl w:val="0"/>
          <w:numId w:val="22"/>
        </w:numPr>
        <w:spacing w:after="0"/>
        <w:ind w:left="1133" w:hanging="567"/>
      </w:pPr>
      <w:r>
        <w:rPr>
          <w:rtl/>
        </w:rPr>
        <w:t>الإعفاء لأغراض البحث</w:t>
      </w:r>
    </w:p>
    <w:p w:rsidR="00F24A46" w:rsidRDefault="00F24A46" w:rsidP="00F24A46">
      <w:pPr>
        <w:pStyle w:val="NormalParaAR"/>
        <w:numPr>
          <w:ilvl w:val="0"/>
          <w:numId w:val="22"/>
        </w:numPr>
        <w:spacing w:after="0"/>
        <w:ind w:left="1133" w:hanging="567"/>
      </w:pPr>
      <w:r w:rsidRPr="00F24A46">
        <w:rPr>
          <w:rtl/>
        </w:rPr>
        <w:t>الاستثناء من الحماية كنماذج منفعة</w:t>
      </w:r>
    </w:p>
    <w:p w:rsidR="00F24A46" w:rsidRPr="00F870B3" w:rsidRDefault="00F24A46" w:rsidP="00F24A46">
      <w:pPr>
        <w:pStyle w:val="NormalParaAR"/>
        <w:numPr>
          <w:ilvl w:val="0"/>
          <w:numId w:val="22"/>
        </w:numPr>
        <w:spacing w:after="0"/>
        <w:ind w:left="1133" w:hanging="567"/>
        <w:rPr>
          <w:rtl/>
        </w:rPr>
      </w:pPr>
      <w:r w:rsidRPr="00F870B3">
        <w:rPr>
          <w:rtl/>
        </w:rPr>
        <w:t>الفترات الانتقالية</w:t>
      </w:r>
    </w:p>
    <w:p w:rsidR="00F24A46" w:rsidRPr="00F870B3" w:rsidRDefault="00F24A46" w:rsidP="00F24A46">
      <w:pPr>
        <w:pStyle w:val="NormalParaAR"/>
        <w:numPr>
          <w:ilvl w:val="0"/>
          <w:numId w:val="22"/>
        </w:numPr>
        <w:spacing w:after="0"/>
        <w:ind w:left="1133" w:hanging="567"/>
        <w:rPr>
          <w:rtl/>
        </w:rPr>
      </w:pPr>
      <w:r w:rsidRPr="00F870B3">
        <w:rPr>
          <w:rtl/>
        </w:rPr>
        <w:t>إمكانية منح البراءات في المواد الموجودة في الطبيعة</w:t>
      </w:r>
    </w:p>
    <w:p w:rsidR="00F24A46" w:rsidRPr="00F870B3" w:rsidRDefault="00F24A46" w:rsidP="00F24A46">
      <w:pPr>
        <w:pStyle w:val="NormalParaAR"/>
        <w:numPr>
          <w:ilvl w:val="0"/>
          <w:numId w:val="22"/>
        </w:numPr>
        <w:spacing w:after="0"/>
        <w:ind w:left="1133" w:hanging="567"/>
        <w:rPr>
          <w:rtl/>
        </w:rPr>
      </w:pPr>
      <w:r w:rsidRPr="00F870B3">
        <w:rPr>
          <w:rtl/>
        </w:rPr>
        <w:t>مواطن المرونة المتعلقة بالكشف</w:t>
      </w:r>
    </w:p>
    <w:p w:rsidR="00F24A46" w:rsidRPr="00F870B3" w:rsidRDefault="00F24A46" w:rsidP="00F24A46">
      <w:pPr>
        <w:pStyle w:val="NormalParaAR"/>
        <w:numPr>
          <w:ilvl w:val="0"/>
          <w:numId w:val="22"/>
        </w:numPr>
        <w:spacing w:after="0"/>
        <w:ind w:left="1133" w:hanging="567"/>
        <w:rPr>
          <w:rtl/>
        </w:rPr>
      </w:pPr>
      <w:r w:rsidRPr="00F870B3">
        <w:rPr>
          <w:rtl/>
        </w:rPr>
        <w:t>الفحص الموضوعي</w:t>
      </w:r>
    </w:p>
    <w:p w:rsidR="00F24A46" w:rsidRPr="00F870B3" w:rsidRDefault="00F24A46" w:rsidP="00F24A46">
      <w:pPr>
        <w:pStyle w:val="NormalParaAR"/>
        <w:numPr>
          <w:ilvl w:val="0"/>
          <w:numId w:val="22"/>
        </w:numPr>
        <w:spacing w:after="0"/>
        <w:ind w:left="1133" w:hanging="567"/>
        <w:rPr>
          <w:rtl/>
        </w:rPr>
      </w:pPr>
      <w:r w:rsidRPr="00F870B3">
        <w:rPr>
          <w:rtl/>
        </w:rPr>
        <w:t>الرقابة التلقائية من مكاتب البراءات على البنود التعاقدية المنافية للمنافسة المشـروعة</w:t>
      </w:r>
    </w:p>
    <w:p w:rsidR="00F24A46" w:rsidRPr="00F870B3" w:rsidRDefault="00F24A46" w:rsidP="00F24A46">
      <w:pPr>
        <w:pStyle w:val="NormalParaAR"/>
        <w:numPr>
          <w:ilvl w:val="0"/>
          <w:numId w:val="22"/>
        </w:numPr>
        <w:spacing w:after="0"/>
        <w:ind w:left="1133" w:hanging="567"/>
        <w:rPr>
          <w:rtl/>
        </w:rPr>
      </w:pPr>
      <w:r w:rsidRPr="00F870B3">
        <w:rPr>
          <w:rtl/>
        </w:rPr>
        <w:t>نطاق استبعاد النباتات من إمكانية الحماية ببراءة</w:t>
      </w:r>
    </w:p>
    <w:p w:rsidR="00F24A46" w:rsidRPr="00F870B3" w:rsidRDefault="00F24A46" w:rsidP="00F24A46">
      <w:pPr>
        <w:pStyle w:val="NormalParaAR"/>
        <w:numPr>
          <w:ilvl w:val="0"/>
          <w:numId w:val="22"/>
        </w:numPr>
        <w:spacing w:after="0"/>
        <w:ind w:left="1133" w:hanging="567"/>
        <w:rPr>
          <w:rtl/>
        </w:rPr>
      </w:pPr>
      <w:r w:rsidRPr="00F870B3">
        <w:rPr>
          <w:rtl/>
        </w:rPr>
        <w:t>إمكانية حماية الاختراعات المتعلقة بالبرمجيات أو استبعادها من ذلك</w:t>
      </w:r>
    </w:p>
    <w:p w:rsidR="00F24A46" w:rsidRPr="00F870B3" w:rsidRDefault="00F24A46" w:rsidP="00F24A46">
      <w:pPr>
        <w:pStyle w:val="NormalParaAR"/>
        <w:numPr>
          <w:ilvl w:val="0"/>
          <w:numId w:val="22"/>
        </w:numPr>
        <w:spacing w:after="0"/>
        <w:ind w:left="1133" w:hanging="567"/>
        <w:rPr>
          <w:rtl/>
        </w:rPr>
      </w:pPr>
      <w:r w:rsidRPr="00F870B3">
        <w:rPr>
          <w:rFonts w:hint="cs"/>
          <w:rtl/>
        </w:rPr>
        <w:t xml:space="preserve">المرونة في تنفيذ </w:t>
      </w:r>
      <w:r w:rsidRPr="00F870B3">
        <w:rPr>
          <w:rtl/>
        </w:rPr>
        <w:t xml:space="preserve">العقوبات الجنائية في إنفاذ البراءات </w:t>
      </w:r>
    </w:p>
    <w:p w:rsidR="00F24A46" w:rsidRPr="00F870B3" w:rsidRDefault="00F24A46" w:rsidP="00F24A46">
      <w:pPr>
        <w:pStyle w:val="NormalParaAR"/>
        <w:numPr>
          <w:ilvl w:val="0"/>
          <w:numId w:val="22"/>
        </w:numPr>
        <w:ind w:left="1133" w:hanging="567"/>
        <w:rPr>
          <w:rtl/>
        </w:rPr>
      </w:pPr>
      <w:r w:rsidRPr="00F870B3">
        <w:rPr>
          <w:rtl/>
        </w:rPr>
        <w:t>الإجراءات المتصلة بالأمن الوطني</w:t>
      </w:r>
      <w:r w:rsidRPr="00F870B3">
        <w:rPr>
          <w:rFonts w:hint="cs"/>
          <w:rtl/>
        </w:rPr>
        <w:t xml:space="preserve"> (ما يسمى "الاستثناء الأمني")</w:t>
      </w:r>
    </w:p>
    <w:p w:rsidR="00F24A46" w:rsidRDefault="00F24A46" w:rsidP="00F24A46">
      <w:pPr>
        <w:pStyle w:val="NormalParaAR"/>
        <w:rPr>
          <w:rtl/>
        </w:rPr>
      </w:pPr>
      <w:r>
        <w:rPr>
          <w:rFonts w:hint="cs"/>
          <w:rtl/>
        </w:rPr>
        <w:t>ويمكن للمستخدمين تصفّح المعلومات من خلال جداول فئات مختلف الأحكام المتعلقة بمواطن المرونة المذكورة أعلاه.</w:t>
      </w:r>
    </w:p>
    <w:p w:rsidR="00F24A46" w:rsidRPr="00F24A46" w:rsidRDefault="00F24A46" w:rsidP="00F24A46">
      <w:pPr>
        <w:pStyle w:val="Heading1AR"/>
        <w:spacing w:before="0" w:after="240"/>
        <w:rPr>
          <w:rtl/>
          <w:lang w:val="fr-CH"/>
        </w:rPr>
      </w:pPr>
      <w:r w:rsidRPr="00F24A46">
        <w:rPr>
          <w:rFonts w:hint="cs"/>
          <w:rtl/>
          <w:lang w:val="fr-CH"/>
        </w:rPr>
        <w:t>إحصاءات الاستخدام قبل التحديث</w:t>
      </w:r>
    </w:p>
    <w:p w:rsidR="00F24A46" w:rsidRDefault="00FF3F02" w:rsidP="00512BC6">
      <w:pPr>
        <w:pStyle w:val="NormalParaAR"/>
        <w:rPr>
          <w:rtl/>
        </w:rPr>
      </w:pPr>
      <w:r>
        <w:rPr>
          <w:rFonts w:hint="cs"/>
          <w:rtl/>
        </w:rPr>
        <w:t xml:space="preserve">تجدر الإشارة في هذا الصدد أنه منذ إنشاء قاعدة البيانات في يونيو 2013 حتى مرحلة ما قبل التحديث في يونيو 2015، زار 77 من المتصفحين قاعدة بيانات المرونة، و43 منهم </w:t>
      </w:r>
      <w:r w:rsidR="00512BC6">
        <w:rPr>
          <w:rFonts w:hint="cs"/>
          <w:rtl/>
        </w:rPr>
        <w:t xml:space="preserve">كانوا </w:t>
      </w:r>
      <w:r>
        <w:rPr>
          <w:rFonts w:hint="cs"/>
          <w:rtl/>
        </w:rPr>
        <w:t>زوار</w:t>
      </w:r>
      <w:r w:rsidR="00512BC6">
        <w:rPr>
          <w:rFonts w:hint="cs"/>
          <w:rtl/>
        </w:rPr>
        <w:t>ا</w:t>
      </w:r>
      <w:r>
        <w:rPr>
          <w:rFonts w:hint="cs"/>
          <w:rtl/>
        </w:rPr>
        <w:t xml:space="preserve"> غير متكررين أو زوار</w:t>
      </w:r>
      <w:r w:rsidR="00512BC6">
        <w:rPr>
          <w:rFonts w:hint="cs"/>
          <w:rtl/>
        </w:rPr>
        <w:t>ا</w:t>
      </w:r>
      <w:r>
        <w:rPr>
          <w:rFonts w:hint="cs"/>
          <w:rtl/>
        </w:rPr>
        <w:t xml:space="preserve"> لأول مرة. </w:t>
      </w:r>
      <w:r w:rsidR="008E31E5">
        <w:rPr>
          <w:rFonts w:hint="cs"/>
          <w:rtl/>
        </w:rPr>
        <w:t xml:space="preserve">وبلغ معدل </w:t>
      </w:r>
      <w:r>
        <w:rPr>
          <w:rFonts w:hint="cs"/>
          <w:rtl/>
        </w:rPr>
        <w:t xml:space="preserve">ارتداد الزوار 50%، مما يعني أن نصف المتصفحين تركوا </w:t>
      </w:r>
      <w:r w:rsidR="008E31E5">
        <w:rPr>
          <w:rFonts w:hint="cs"/>
          <w:rtl/>
        </w:rPr>
        <w:t xml:space="preserve">صفحة قاعدة البيانات دون الاطلاع على أية مواد أخرى فيها. وكان معدل الخروج 19.48%. وهذه النسبة هي </w:t>
      </w:r>
      <w:r w:rsidR="00512BC6">
        <w:rPr>
          <w:rFonts w:hint="cs"/>
          <w:rtl/>
        </w:rPr>
        <w:t xml:space="preserve">معدل </w:t>
      </w:r>
      <w:r w:rsidR="008E31E5">
        <w:rPr>
          <w:rFonts w:hint="cs"/>
          <w:rtl/>
        </w:rPr>
        <w:t>عدد المتصفحين الذين يتركون قاعدة البيانات بعد تصفّحها، ولا ت</w:t>
      </w:r>
      <w:r w:rsidR="00512BC6">
        <w:rPr>
          <w:rFonts w:hint="cs"/>
          <w:rtl/>
        </w:rPr>
        <w:t>وحي بالضرورة بأنهم لم ي</w:t>
      </w:r>
      <w:r w:rsidR="008E31E5">
        <w:rPr>
          <w:rFonts w:hint="cs"/>
          <w:rtl/>
        </w:rPr>
        <w:t>طلعوا قبلها على صفحات أخرى في الموقع نفسه.</w:t>
      </w:r>
    </w:p>
    <w:p w:rsidR="008E31E5" w:rsidRDefault="008E31E5" w:rsidP="008E31E5">
      <w:pPr>
        <w:pStyle w:val="NormalParaAR"/>
        <w:rPr>
          <w:rtl/>
        </w:rPr>
      </w:pPr>
    </w:p>
    <w:p w:rsidR="008E31E5" w:rsidRDefault="008E31E5" w:rsidP="008E31E5">
      <w:pPr>
        <w:pStyle w:val="EndofDocumentAR"/>
        <w:rPr>
          <w:rtl/>
        </w:rPr>
      </w:pPr>
      <w:r>
        <w:rPr>
          <w:rFonts w:hint="cs"/>
          <w:rtl/>
        </w:rPr>
        <w:t>[نهاية المرفق والوثيقة]</w:t>
      </w:r>
    </w:p>
    <w:p w:rsidR="008C2D3F" w:rsidRPr="007C4643" w:rsidRDefault="008C2D3F" w:rsidP="008804E0">
      <w:pPr>
        <w:pStyle w:val="NormalParaAR"/>
        <w:rPr>
          <w:rtl/>
          <w:lang w:val="fr-CH"/>
        </w:rPr>
      </w:pPr>
    </w:p>
    <w:sectPr w:rsidR="008C2D3F" w:rsidRPr="007C4643" w:rsidSect="00582106">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D1" w:rsidRDefault="005E1ED1">
      <w:r>
        <w:separator/>
      </w:r>
    </w:p>
  </w:endnote>
  <w:endnote w:type="continuationSeparator" w:id="0">
    <w:p w:rsidR="005E1ED1" w:rsidRDefault="005E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D1" w:rsidRDefault="005E1ED1" w:rsidP="009622BF">
      <w:pPr>
        <w:bidi/>
      </w:pPr>
      <w:bookmarkStart w:id="0" w:name="OLE_LINK1"/>
      <w:bookmarkStart w:id="1" w:name="OLE_LINK2"/>
      <w:r>
        <w:separator/>
      </w:r>
      <w:bookmarkEnd w:id="0"/>
      <w:bookmarkEnd w:id="1"/>
    </w:p>
  </w:footnote>
  <w:footnote w:type="continuationSeparator" w:id="0">
    <w:p w:rsidR="005E1ED1" w:rsidRDefault="005E1ED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1493" w:rsidP="001D212B">
    <w:r>
      <w:t>CDIP</w:t>
    </w:r>
    <w:r w:rsidR="002F77FC">
      <w:t>/</w:t>
    </w:r>
    <w:r w:rsidR="008804E0">
      <w:t>16</w:t>
    </w:r>
    <w:r w:rsidR="002F77FC">
      <w:t>/</w:t>
    </w:r>
    <w:r w:rsidR="001D212B">
      <w:t>5</w:t>
    </w:r>
  </w:p>
  <w:p w:rsidR="002F77FC" w:rsidRDefault="002F77FC" w:rsidP="00D61541">
    <w:r>
      <w:fldChar w:fldCharType="begin"/>
    </w:r>
    <w:r>
      <w:instrText xml:space="preserve"> PAGE  \* MERGEFORMAT </w:instrText>
    </w:r>
    <w:r>
      <w:fldChar w:fldCharType="separate"/>
    </w:r>
    <w:r w:rsidR="00BA44C2">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C2" w:rsidRDefault="00BA44C2" w:rsidP="001D212B">
    <w:r>
      <w:t>CDIP/16/5</w:t>
    </w:r>
  </w:p>
  <w:p w:rsidR="00BA44C2" w:rsidRDefault="00BA44C2" w:rsidP="00D61541">
    <w:r>
      <w:t>Annex</w:t>
    </w:r>
  </w:p>
  <w:p w:rsidR="00BA44C2" w:rsidRDefault="00BA44C2" w:rsidP="00BA44C2">
    <w:r>
      <w:fldChar w:fldCharType="begin"/>
    </w:r>
    <w:r>
      <w:instrText xml:space="preserve"> PAGE  \* MERGEFORMAT </w:instrText>
    </w:r>
    <w:r>
      <w:fldChar w:fldCharType="separate"/>
    </w:r>
    <w:r w:rsidR="001503B6">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C2" w:rsidRDefault="00BA44C2" w:rsidP="00BA44C2">
    <w:r>
      <w:t>CDIP/16/5</w:t>
    </w:r>
  </w:p>
  <w:p w:rsidR="00BA44C2" w:rsidRDefault="00BA44C2" w:rsidP="00BA44C2">
    <w:r>
      <w:t>ANNEX</w:t>
    </w:r>
  </w:p>
  <w:p w:rsidR="00BA44C2" w:rsidRPr="00BA44C2" w:rsidRDefault="00BA44C2" w:rsidP="00BA44C2">
    <w:pPr>
      <w:rPr>
        <w:rFonts w:ascii="Arabic Typesetting" w:hAnsi="Arabic Typesetting" w:cs="Arabic Typesetting"/>
        <w:sz w:val="36"/>
        <w:szCs w:val="36"/>
        <w:rtl/>
        <w:lang w:val="fr-CH"/>
      </w:rPr>
    </w:pPr>
    <w:r w:rsidRPr="00BA44C2">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A9C0906"/>
    <w:multiLevelType w:val="hybridMultilevel"/>
    <w:tmpl w:val="B4DA7C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E71E2"/>
    <w:multiLevelType w:val="hybridMultilevel"/>
    <w:tmpl w:val="55CE551E"/>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10"/>
  </w:num>
  <w:num w:numId="4">
    <w:abstractNumId w:val="19"/>
  </w:num>
  <w:num w:numId="5">
    <w:abstractNumId w:val="8"/>
  </w:num>
  <w:num w:numId="6">
    <w:abstractNumId w:val="20"/>
  </w:num>
  <w:num w:numId="7">
    <w:abstractNumId w:val="15"/>
  </w:num>
  <w:num w:numId="8">
    <w:abstractNumId w:val="18"/>
  </w:num>
  <w:num w:numId="9">
    <w:abstractNumId w:val="17"/>
  </w:num>
  <w:num w:numId="10">
    <w:abstractNumId w:val="21"/>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D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0F7DDD"/>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03B6"/>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2B"/>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1F32"/>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14E6"/>
    <w:rsid w:val="003433E5"/>
    <w:rsid w:val="00343FE1"/>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36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879"/>
    <w:rsid w:val="00504DC1"/>
    <w:rsid w:val="00505332"/>
    <w:rsid w:val="00505A57"/>
    <w:rsid w:val="00505D37"/>
    <w:rsid w:val="005104E8"/>
    <w:rsid w:val="005107DB"/>
    <w:rsid w:val="00510DB0"/>
    <w:rsid w:val="005119F6"/>
    <w:rsid w:val="00511B7D"/>
    <w:rsid w:val="00511D00"/>
    <w:rsid w:val="00512BC6"/>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C26"/>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106"/>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1ED1"/>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4D3C"/>
    <w:rsid w:val="00605297"/>
    <w:rsid w:val="00605CB9"/>
    <w:rsid w:val="006065BF"/>
    <w:rsid w:val="00607C00"/>
    <w:rsid w:val="00610430"/>
    <w:rsid w:val="00610906"/>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585E"/>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8D4"/>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643"/>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4E0"/>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2D3F"/>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1E5"/>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77E1"/>
    <w:rsid w:val="00A61365"/>
    <w:rsid w:val="00A61759"/>
    <w:rsid w:val="00A61B88"/>
    <w:rsid w:val="00A62C70"/>
    <w:rsid w:val="00A63982"/>
    <w:rsid w:val="00A65845"/>
    <w:rsid w:val="00A6598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4C2"/>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DD7"/>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791"/>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A46"/>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0F3"/>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0B3"/>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3F02"/>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uiPriority w:val="99"/>
    <w:rsid w:val="007C46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uiPriority w:val="99"/>
    <w:rsid w:val="007C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ip-development/en/agenda/flexibilit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A623-2F48-4CAC-82CB-00E0F329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CDIP/15/-- (Arabic)</vt:lpstr>
    </vt:vector>
  </TitlesOfParts>
  <Company>World Intellectual Property Organization</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 (Arabic)</dc:title>
  <dc:creator>AHMIDOUCH Noureddine</dc:creator>
  <cp:lastModifiedBy>SHOUSHA Sally</cp:lastModifiedBy>
  <cp:revision>2</cp:revision>
  <cp:lastPrinted>2015-09-07T12:16:00Z</cp:lastPrinted>
  <dcterms:created xsi:type="dcterms:W3CDTF">2015-09-09T09:18:00Z</dcterms:created>
  <dcterms:modified xsi:type="dcterms:W3CDTF">2015-09-09T09:18:00Z</dcterms:modified>
</cp:coreProperties>
</file>