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7750F6">
            <w:pPr>
              <w:widowControl w:val="0"/>
              <w:suppressAutoHyphens/>
              <w:bidi/>
              <w:rPr>
                <w:rFonts w:ascii="Arabic Typesetting" w:hAnsi="Arabic Typesetting" w:cs="Arabic Typesetting"/>
                <w:sz w:val="36"/>
                <w:szCs w:val="36"/>
                <w:rtl/>
                <w:lang w:bidi="ar-SY"/>
              </w:rPr>
            </w:pPr>
          </w:p>
        </w:tc>
        <w:tc>
          <w:tcPr>
            <w:tcW w:w="4223" w:type="dxa"/>
            <w:tcBorders>
              <w:bottom w:val="single" w:sz="4" w:space="0" w:color="auto"/>
            </w:tcBorders>
          </w:tcPr>
          <w:p w:rsidR="001667B6" w:rsidRDefault="00772E46" w:rsidP="007750F6">
            <w:pPr>
              <w:widowControl w:val="0"/>
              <w:suppressAutoHyphens/>
              <w:bidi/>
              <w:spacing w:after="20"/>
              <w:rPr>
                <w:rFonts w:ascii="Arabic Typesetting" w:hAnsi="Arabic Typesetting" w:cs="Arabic Typesetting"/>
                <w:sz w:val="36"/>
                <w:szCs w:val="36"/>
                <w:rtl/>
              </w:rPr>
            </w:pPr>
            <w:r>
              <w:rPr>
                <w:noProof/>
              </w:rPr>
              <w:drawing>
                <wp:inline distT="0" distB="0" distL="0" distR="0" wp14:anchorId="16B5446C" wp14:editId="430E9FB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7750F6">
            <w:pPr>
              <w:widowControl w:val="0"/>
              <w:suppressAutoHyphens/>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7750F6">
            <w:pPr>
              <w:pStyle w:val="DocumentCodeAR"/>
              <w:widowControl w:val="0"/>
              <w:suppressAutoHyphens/>
              <w:bidi/>
              <w:rPr>
                <w:rtl/>
              </w:rPr>
            </w:pPr>
            <w:r>
              <w:t>CDIP</w:t>
            </w:r>
            <w:r w:rsidR="00100F97">
              <w:t>/</w:t>
            </w:r>
            <w:r w:rsidR="008804E0">
              <w:t>16</w:t>
            </w:r>
            <w:r w:rsidR="00EE6D08">
              <w:t>/3</w:t>
            </w:r>
          </w:p>
        </w:tc>
      </w:tr>
      <w:tr w:rsidR="001667B6" w:rsidTr="00BF164F">
        <w:tc>
          <w:tcPr>
            <w:tcW w:w="9571" w:type="dxa"/>
            <w:gridSpan w:val="3"/>
          </w:tcPr>
          <w:p w:rsidR="001667B6" w:rsidRPr="00B6101C" w:rsidRDefault="00B6101C" w:rsidP="007750F6">
            <w:pPr>
              <w:pStyle w:val="DocumentLanguageAR"/>
              <w:widowControl w:val="0"/>
              <w:suppressAutoHyphens/>
              <w:bidi/>
              <w:rPr>
                <w:rtl/>
              </w:rPr>
            </w:pPr>
            <w:r w:rsidRPr="00B6101C">
              <w:rPr>
                <w:rFonts w:hint="cs"/>
                <w:rtl/>
              </w:rPr>
              <w:t xml:space="preserve">الأصل: </w:t>
            </w:r>
            <w:proofErr w:type="gramStart"/>
            <w:r w:rsidR="00EE6D08">
              <w:rPr>
                <w:rFonts w:hint="cs"/>
                <w:rtl/>
              </w:rPr>
              <w:t>بالإنكليزية</w:t>
            </w:r>
            <w:proofErr w:type="gramEnd"/>
          </w:p>
        </w:tc>
      </w:tr>
      <w:tr w:rsidR="001667B6" w:rsidTr="00BF164F">
        <w:tc>
          <w:tcPr>
            <w:tcW w:w="9571" w:type="dxa"/>
            <w:gridSpan w:val="3"/>
          </w:tcPr>
          <w:p w:rsidR="001667B6" w:rsidRPr="00B6101C" w:rsidRDefault="00EE6D08" w:rsidP="007750F6">
            <w:pPr>
              <w:pStyle w:val="DocumentDateAR"/>
              <w:widowControl w:val="0"/>
              <w:suppressAutoHyphens/>
              <w:bidi/>
              <w:rPr>
                <w:rtl/>
              </w:rPr>
            </w:pPr>
            <w:r>
              <w:rPr>
                <w:rFonts w:hint="cs"/>
                <w:rtl/>
              </w:rPr>
              <w:t>التاريخ: 10</w:t>
            </w:r>
            <w:r w:rsidR="00B6101C" w:rsidRPr="00B6101C">
              <w:rPr>
                <w:rFonts w:hint="cs"/>
                <w:rtl/>
              </w:rPr>
              <w:t xml:space="preserve"> </w:t>
            </w:r>
            <w:proofErr w:type="gramStart"/>
            <w:r>
              <w:rPr>
                <w:rFonts w:hint="cs"/>
                <w:rtl/>
              </w:rPr>
              <w:t>أغسطس</w:t>
            </w:r>
            <w:proofErr w:type="gramEnd"/>
            <w:r w:rsidR="00B6101C" w:rsidRPr="00B6101C">
              <w:rPr>
                <w:rFonts w:hint="cs"/>
                <w:rtl/>
              </w:rPr>
              <w:t xml:space="preserve"> </w:t>
            </w:r>
            <w:r w:rsidR="00190B6D">
              <w:rPr>
                <w:rFonts w:hint="cs"/>
                <w:rtl/>
              </w:rPr>
              <w:t>201</w:t>
            </w:r>
            <w:r w:rsidR="00151493">
              <w:rPr>
                <w:rFonts w:hint="cs"/>
                <w:rtl/>
              </w:rPr>
              <w:t>5</w:t>
            </w:r>
          </w:p>
        </w:tc>
      </w:tr>
    </w:tbl>
    <w:p w:rsidR="00151493" w:rsidRDefault="00151493" w:rsidP="007750F6">
      <w:pPr>
        <w:widowControl w:val="0"/>
        <w:suppressAutoHyphens/>
        <w:bidi/>
        <w:spacing w:line="360" w:lineRule="exact"/>
        <w:rPr>
          <w:rFonts w:ascii="Arabic Typesetting" w:hAnsi="Arabic Typesetting" w:cs="Arabic Typesetting"/>
          <w:sz w:val="36"/>
          <w:szCs w:val="36"/>
          <w:rtl/>
        </w:rPr>
      </w:pPr>
    </w:p>
    <w:p w:rsidR="00151493" w:rsidRDefault="00151493" w:rsidP="007750F6">
      <w:pPr>
        <w:widowControl w:val="0"/>
        <w:suppressAutoHyphens/>
        <w:bidi/>
        <w:spacing w:line="360" w:lineRule="exact"/>
        <w:rPr>
          <w:rFonts w:ascii="Arabic Typesetting" w:hAnsi="Arabic Typesetting" w:cs="Arabic Typesetting"/>
          <w:sz w:val="36"/>
          <w:szCs w:val="36"/>
          <w:rtl/>
        </w:rPr>
      </w:pPr>
    </w:p>
    <w:p w:rsidR="00151493" w:rsidRDefault="00151493" w:rsidP="007750F6">
      <w:pPr>
        <w:widowControl w:val="0"/>
        <w:suppressAutoHyphens/>
        <w:bidi/>
        <w:spacing w:line="360" w:lineRule="exact"/>
        <w:rPr>
          <w:rFonts w:ascii="Arabic Typesetting" w:hAnsi="Arabic Typesetting" w:cs="Arabic Typesetting"/>
          <w:sz w:val="36"/>
          <w:szCs w:val="36"/>
          <w:rtl/>
        </w:rPr>
      </w:pPr>
    </w:p>
    <w:p w:rsidR="00151493" w:rsidRPr="00100F97" w:rsidRDefault="00151493" w:rsidP="007750F6">
      <w:pPr>
        <w:pStyle w:val="MeetingTitleAR"/>
        <w:widowControl w:val="0"/>
        <w:suppressAutoHyphens/>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7750F6">
      <w:pPr>
        <w:widowControl w:val="0"/>
        <w:suppressAutoHyphens/>
        <w:bidi/>
        <w:spacing w:line="360" w:lineRule="exact"/>
        <w:rPr>
          <w:rFonts w:ascii="Arabic Typesetting" w:hAnsi="Arabic Typesetting" w:cs="Arabic Typesetting"/>
          <w:sz w:val="36"/>
          <w:szCs w:val="36"/>
          <w:rtl/>
        </w:rPr>
      </w:pPr>
    </w:p>
    <w:p w:rsidR="00151493" w:rsidRPr="00783D11" w:rsidRDefault="00151493" w:rsidP="007750F6">
      <w:pPr>
        <w:pStyle w:val="MeetingSessionAR"/>
        <w:widowControl w:val="0"/>
        <w:suppressAutoHyphens/>
        <w:bidi/>
        <w:rPr>
          <w:rFonts w:ascii="Cambria Math" w:hAnsi="Cambria Math"/>
          <w:rtl/>
        </w:rPr>
      </w:pPr>
      <w:r w:rsidRPr="00783D11">
        <w:rPr>
          <w:rFonts w:ascii="Cambria Math" w:hAnsi="Cambria Math"/>
          <w:rtl/>
        </w:rPr>
        <w:t xml:space="preserve">الدورة </w:t>
      </w:r>
      <w:proofErr w:type="gramStart"/>
      <w:r w:rsidR="008804E0">
        <w:rPr>
          <w:rFonts w:ascii="Cambria Math" w:hAnsi="Cambria Math" w:hint="cs"/>
          <w:rtl/>
        </w:rPr>
        <w:t>السادسة</w:t>
      </w:r>
      <w:proofErr w:type="gramEnd"/>
      <w:r>
        <w:rPr>
          <w:rFonts w:ascii="Cambria Math" w:hAnsi="Cambria Math" w:hint="cs"/>
          <w:rtl/>
        </w:rPr>
        <w:t xml:space="preserve"> عشرة</w:t>
      </w:r>
    </w:p>
    <w:p w:rsidR="00151493" w:rsidRPr="00D61541" w:rsidRDefault="00151493" w:rsidP="007750F6">
      <w:pPr>
        <w:pStyle w:val="MeetingDatesAR"/>
        <w:widowControl w:val="0"/>
        <w:suppressAutoHyphens/>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8804E0">
        <w:rPr>
          <w:rFonts w:hint="cs"/>
          <w:rtl/>
        </w:rPr>
        <w:t>9</w:t>
      </w:r>
      <w:r>
        <w:rPr>
          <w:rFonts w:hint="cs"/>
          <w:rtl/>
        </w:rPr>
        <w:t xml:space="preserve"> إلى </w:t>
      </w:r>
      <w:r w:rsidR="008804E0">
        <w:rPr>
          <w:rFonts w:hint="cs"/>
          <w:rtl/>
        </w:rPr>
        <w:t>13</w:t>
      </w:r>
      <w:r>
        <w:rPr>
          <w:rFonts w:hint="cs"/>
          <w:rtl/>
        </w:rPr>
        <w:t xml:space="preserve"> </w:t>
      </w:r>
      <w:r w:rsidR="008804E0">
        <w:rPr>
          <w:rFonts w:hint="cs"/>
          <w:rtl/>
        </w:rPr>
        <w:t>نوفمبر</w:t>
      </w:r>
      <w:r>
        <w:rPr>
          <w:rFonts w:hint="cs"/>
          <w:rtl/>
        </w:rPr>
        <w:t xml:space="preserve"> 2015</w:t>
      </w:r>
    </w:p>
    <w:p w:rsidR="00151493" w:rsidRDefault="00151493" w:rsidP="007750F6">
      <w:pPr>
        <w:widowControl w:val="0"/>
        <w:suppressAutoHyphens/>
        <w:bidi/>
        <w:spacing w:line="360" w:lineRule="exact"/>
        <w:rPr>
          <w:rFonts w:ascii="Arabic Typesetting" w:hAnsi="Arabic Typesetting" w:cs="Arabic Typesetting"/>
          <w:sz w:val="36"/>
          <w:szCs w:val="36"/>
          <w:rtl/>
        </w:rPr>
      </w:pPr>
    </w:p>
    <w:p w:rsidR="00151493" w:rsidRDefault="00151493" w:rsidP="007750F6">
      <w:pPr>
        <w:widowControl w:val="0"/>
        <w:suppressAutoHyphens/>
        <w:bidi/>
        <w:spacing w:line="360" w:lineRule="exact"/>
        <w:rPr>
          <w:rFonts w:ascii="Arabic Typesetting" w:hAnsi="Arabic Typesetting" w:cs="Arabic Typesetting"/>
          <w:sz w:val="36"/>
          <w:szCs w:val="36"/>
          <w:rtl/>
        </w:rPr>
      </w:pPr>
    </w:p>
    <w:p w:rsidR="00151493" w:rsidRPr="00D61541" w:rsidRDefault="00425FC6" w:rsidP="007750F6">
      <w:pPr>
        <w:pStyle w:val="DocumentTitleAR"/>
        <w:widowControl w:val="0"/>
        <w:suppressAutoHyphens/>
        <w:bidi/>
        <w:rPr>
          <w:rtl/>
        </w:rPr>
      </w:pPr>
      <w:r w:rsidRPr="00AC0463">
        <w:rPr>
          <w:rFonts w:hint="cs"/>
          <w:rtl/>
        </w:rPr>
        <w:t>ال</w:t>
      </w:r>
      <w:r w:rsidR="007E19AD" w:rsidRPr="00AC0463">
        <w:rPr>
          <w:rFonts w:hint="cs"/>
          <w:rtl/>
        </w:rPr>
        <w:t xml:space="preserve">تقرير </w:t>
      </w:r>
      <w:r w:rsidRPr="00AC0463">
        <w:rPr>
          <w:rFonts w:hint="cs"/>
          <w:rtl/>
        </w:rPr>
        <w:t>ال</w:t>
      </w:r>
      <w:r w:rsidR="007E19AD" w:rsidRPr="00AC0463">
        <w:rPr>
          <w:rFonts w:hint="cs"/>
          <w:rtl/>
        </w:rPr>
        <w:t>تقييم</w:t>
      </w:r>
      <w:r w:rsidRPr="00AC0463">
        <w:rPr>
          <w:rFonts w:hint="cs"/>
          <w:rtl/>
        </w:rPr>
        <w:t>ي</w:t>
      </w:r>
      <w:r w:rsidR="00FF69EA">
        <w:rPr>
          <w:rFonts w:hint="cs"/>
          <w:rtl/>
        </w:rPr>
        <w:t xml:space="preserve"> بشأن </w:t>
      </w:r>
      <w:r w:rsidR="007E19AD">
        <w:rPr>
          <w:rFonts w:hint="cs"/>
          <w:rtl/>
        </w:rPr>
        <w:t xml:space="preserve">مشروع </w:t>
      </w:r>
      <w:r w:rsidR="00C015C7">
        <w:rPr>
          <w:rFonts w:hint="cs"/>
          <w:rtl/>
        </w:rPr>
        <w:t>ا</w:t>
      </w:r>
      <w:r w:rsidR="007E19AD">
        <w:rPr>
          <w:rFonts w:hint="cs"/>
          <w:rtl/>
        </w:rPr>
        <w:t>لملكية الفكرية و</w:t>
      </w:r>
      <w:r w:rsidR="00C015C7">
        <w:rPr>
          <w:rFonts w:hint="cs"/>
          <w:rtl/>
        </w:rPr>
        <w:t xml:space="preserve">نقل </w:t>
      </w:r>
      <w:r w:rsidR="00F943D7">
        <w:rPr>
          <w:rFonts w:hint="cs"/>
          <w:rtl/>
        </w:rPr>
        <w:t>التكنولوجيا</w:t>
      </w:r>
      <w:r w:rsidR="007E19AD">
        <w:rPr>
          <w:rFonts w:hint="cs"/>
          <w:rtl/>
        </w:rPr>
        <w:t xml:space="preserve">: </w:t>
      </w:r>
      <w:r w:rsidRPr="00425FC6">
        <w:rPr>
          <w:rtl/>
        </w:rPr>
        <w:t>التحديات المشتركة وبناء الحلول</w:t>
      </w:r>
    </w:p>
    <w:p w:rsidR="00151493" w:rsidRDefault="00151493" w:rsidP="007750F6">
      <w:pPr>
        <w:pStyle w:val="PreparedbyAR"/>
        <w:widowControl w:val="0"/>
        <w:suppressAutoHyphens/>
        <w:bidi/>
        <w:rPr>
          <w:rtl/>
        </w:rPr>
      </w:pPr>
      <w:r w:rsidRPr="00D61541">
        <w:rPr>
          <w:rFonts w:hint="cs"/>
          <w:rtl/>
        </w:rPr>
        <w:t xml:space="preserve">من </w:t>
      </w:r>
      <w:r w:rsidRPr="00931859">
        <w:rPr>
          <w:rFonts w:hint="cs"/>
          <w:rtl/>
        </w:rPr>
        <w:t>إعداد</w:t>
      </w:r>
      <w:r w:rsidR="00745D2F">
        <w:rPr>
          <w:rFonts w:hint="cs"/>
          <w:rtl/>
        </w:rPr>
        <w:t xml:space="preserve"> السيد </w:t>
      </w:r>
      <w:r w:rsidR="00CE40C4">
        <w:rPr>
          <w:rFonts w:hint="cs"/>
          <w:rtl/>
        </w:rPr>
        <w:t>دانيي</w:t>
      </w:r>
      <w:r w:rsidR="00AC0463">
        <w:rPr>
          <w:rFonts w:hint="cs"/>
          <w:rtl/>
        </w:rPr>
        <w:t xml:space="preserve">ل </w:t>
      </w:r>
      <w:proofErr w:type="spellStart"/>
      <w:r w:rsidR="00AC0463">
        <w:rPr>
          <w:rFonts w:hint="cs"/>
          <w:rtl/>
        </w:rPr>
        <w:t>كيلير</w:t>
      </w:r>
      <w:proofErr w:type="spellEnd"/>
      <w:r w:rsidR="00B27244">
        <w:rPr>
          <w:rFonts w:hint="cs"/>
          <w:rtl/>
        </w:rPr>
        <w:t>،</w:t>
      </w:r>
      <w:r w:rsidR="0017686F">
        <w:rPr>
          <w:rFonts w:hint="cs"/>
          <w:rtl/>
        </w:rPr>
        <w:t xml:space="preserve"> </w:t>
      </w:r>
      <w:r w:rsidR="0017686F" w:rsidRPr="0017686F">
        <w:rPr>
          <w:rtl/>
        </w:rPr>
        <w:t xml:space="preserve">خبير استشاري، </w:t>
      </w:r>
      <w:proofErr w:type="spellStart"/>
      <w:r w:rsidR="0017686F" w:rsidRPr="0017686F">
        <w:rPr>
          <w:rtl/>
        </w:rPr>
        <w:t>لوبرنغن</w:t>
      </w:r>
      <w:proofErr w:type="spellEnd"/>
      <w:r w:rsidR="0017686F" w:rsidRPr="0017686F">
        <w:rPr>
          <w:rtl/>
        </w:rPr>
        <w:t>، سويسرا</w:t>
      </w:r>
      <w:r w:rsidR="0017686F">
        <w:rPr>
          <w:rFonts w:hint="cs"/>
          <w:rtl/>
        </w:rPr>
        <w:t xml:space="preserve">، والسيد </w:t>
      </w:r>
      <w:r w:rsidR="00D84CC9">
        <w:rPr>
          <w:rFonts w:hint="cs"/>
          <w:rtl/>
        </w:rPr>
        <w:t>راشد</w:t>
      </w:r>
      <w:r w:rsidR="0017686F">
        <w:rPr>
          <w:rFonts w:hint="cs"/>
          <w:rtl/>
        </w:rPr>
        <w:t xml:space="preserve"> خان، </w:t>
      </w:r>
      <w:r w:rsidR="00A707A6">
        <w:rPr>
          <w:rFonts w:hint="cs"/>
          <w:rtl/>
        </w:rPr>
        <w:t>رئيس الابتكار العالمي والملكية الفكرية</w:t>
      </w:r>
      <w:r w:rsidR="00920A08">
        <w:rPr>
          <w:rFonts w:hint="cs"/>
          <w:rtl/>
        </w:rPr>
        <w:t xml:space="preserve"> في الولايات المتحدة الأمريكية وآسيا، الظهران، المملكة العربية السعودية</w:t>
      </w:r>
    </w:p>
    <w:p w:rsidR="00FA7E65" w:rsidRDefault="00877D40" w:rsidP="007750F6">
      <w:pPr>
        <w:pStyle w:val="NumberedParaAR"/>
        <w:widowControl w:val="0"/>
        <w:suppressAutoHyphens/>
      </w:pPr>
      <w:r w:rsidRPr="00AC0463">
        <w:rPr>
          <w:rFonts w:hint="cs"/>
          <w:rtl/>
        </w:rPr>
        <w:t xml:space="preserve">يتضمن مرفق هذه الوثيقة </w:t>
      </w:r>
      <w:r w:rsidR="009C4551">
        <w:rPr>
          <w:rFonts w:hint="cs"/>
          <w:rtl/>
        </w:rPr>
        <w:t>ت</w:t>
      </w:r>
      <w:r w:rsidR="00717696" w:rsidRPr="00AC0463">
        <w:rPr>
          <w:rFonts w:hint="cs"/>
          <w:rtl/>
        </w:rPr>
        <w:t>قرير</w:t>
      </w:r>
      <w:r w:rsidR="009C4551">
        <w:rPr>
          <w:rFonts w:hint="cs"/>
          <w:rtl/>
        </w:rPr>
        <w:t>اً</w:t>
      </w:r>
      <w:r w:rsidR="00717696" w:rsidRPr="00AC0463">
        <w:rPr>
          <w:rFonts w:hint="cs"/>
          <w:rtl/>
        </w:rPr>
        <w:t xml:space="preserve"> تقييمي</w:t>
      </w:r>
      <w:r w:rsidR="009C4551">
        <w:rPr>
          <w:rFonts w:hint="cs"/>
          <w:rtl/>
        </w:rPr>
        <w:t>اً</w:t>
      </w:r>
      <w:r w:rsidR="00717696" w:rsidRPr="00AC0463">
        <w:rPr>
          <w:rFonts w:hint="cs"/>
          <w:rtl/>
        </w:rPr>
        <w:t xml:space="preserve"> خارجي</w:t>
      </w:r>
      <w:r w:rsidR="009C4551">
        <w:rPr>
          <w:rFonts w:hint="cs"/>
          <w:rtl/>
        </w:rPr>
        <w:t>اً</w:t>
      </w:r>
      <w:r w:rsidR="00717696" w:rsidRPr="00AC0463">
        <w:rPr>
          <w:rFonts w:hint="cs"/>
          <w:rtl/>
        </w:rPr>
        <w:t xml:space="preserve"> مستقل</w:t>
      </w:r>
      <w:r w:rsidR="009C4551">
        <w:rPr>
          <w:rFonts w:hint="cs"/>
          <w:rtl/>
        </w:rPr>
        <w:t>اً</w:t>
      </w:r>
      <w:r w:rsidR="00E26D93" w:rsidRPr="00AC0463">
        <w:rPr>
          <w:rFonts w:hint="cs"/>
          <w:rtl/>
        </w:rPr>
        <w:t xml:space="preserve"> </w:t>
      </w:r>
      <w:r w:rsidR="00D51BD5" w:rsidRPr="00AC0463">
        <w:rPr>
          <w:rFonts w:hint="cs"/>
          <w:rtl/>
        </w:rPr>
        <w:t>بشأن</w:t>
      </w:r>
      <w:r w:rsidR="00D51BD5">
        <w:rPr>
          <w:rFonts w:hint="cs"/>
          <w:rtl/>
        </w:rPr>
        <w:t xml:space="preserve"> مشروع </w:t>
      </w:r>
      <w:r w:rsidR="00D51BD5">
        <w:rPr>
          <w:rFonts w:hint="cs"/>
          <w:i/>
          <w:iCs/>
          <w:rtl/>
        </w:rPr>
        <w:t>الملكية الفكرية ونقل التكنولوجي</w:t>
      </w:r>
      <w:r w:rsidR="00E26D93">
        <w:rPr>
          <w:rFonts w:hint="cs"/>
          <w:i/>
          <w:iCs/>
          <w:rtl/>
        </w:rPr>
        <w:t>ا</w:t>
      </w:r>
      <w:r w:rsidR="00E26D93">
        <w:rPr>
          <w:rFonts w:hint="cs"/>
          <w:rtl/>
        </w:rPr>
        <w:t xml:space="preserve">: </w:t>
      </w:r>
      <w:r w:rsidR="00E26D93">
        <w:rPr>
          <w:rFonts w:hint="cs"/>
          <w:i/>
          <w:iCs/>
          <w:rtl/>
        </w:rPr>
        <w:t>التحديات المشتركة وبناء الحلول</w:t>
      </w:r>
      <w:r w:rsidR="00E26D93">
        <w:rPr>
          <w:rFonts w:hint="cs"/>
          <w:rtl/>
        </w:rPr>
        <w:t xml:space="preserve">، </w:t>
      </w:r>
      <w:r w:rsidR="00440014">
        <w:rPr>
          <w:rFonts w:hint="cs"/>
          <w:rtl/>
        </w:rPr>
        <w:t>الذي أعده الخبير الاستشاري</w:t>
      </w:r>
      <w:r w:rsidR="007940EC">
        <w:rPr>
          <w:rFonts w:hint="cs"/>
          <w:rtl/>
        </w:rPr>
        <w:t xml:space="preserve"> من شركة إفال</w:t>
      </w:r>
      <w:r w:rsidR="000B3530">
        <w:rPr>
          <w:rFonts w:hint="cs"/>
          <w:rtl/>
        </w:rPr>
        <w:t xml:space="preserve"> </w:t>
      </w:r>
      <w:proofErr w:type="spellStart"/>
      <w:r w:rsidR="000B3530">
        <w:rPr>
          <w:rFonts w:hint="cs"/>
          <w:rtl/>
        </w:rPr>
        <w:t>كو</w:t>
      </w:r>
      <w:proofErr w:type="spellEnd"/>
      <w:r w:rsidR="000B3530">
        <w:rPr>
          <w:rFonts w:hint="cs"/>
          <w:rtl/>
        </w:rPr>
        <w:t xml:space="preserve"> المحدودة المسؤولية (</w:t>
      </w:r>
      <w:proofErr w:type="spellStart"/>
      <w:r w:rsidR="000B3530" w:rsidRPr="000D23C2">
        <w:t>EvalCo</w:t>
      </w:r>
      <w:proofErr w:type="spellEnd"/>
      <w:r w:rsidR="000B3530" w:rsidRPr="000D23C2">
        <w:t xml:space="preserve"> </w:t>
      </w:r>
      <w:proofErr w:type="spellStart"/>
      <w:r w:rsidR="000B3530" w:rsidRPr="000D23C2">
        <w:t>Sàrl</w:t>
      </w:r>
      <w:proofErr w:type="spellEnd"/>
      <w:r w:rsidR="000B3530">
        <w:rPr>
          <w:rFonts w:hint="cs"/>
          <w:rtl/>
        </w:rPr>
        <w:t>)</w:t>
      </w:r>
      <w:r w:rsidR="00440014">
        <w:rPr>
          <w:rFonts w:hint="cs"/>
          <w:rtl/>
        </w:rPr>
        <w:t xml:space="preserve">، </w:t>
      </w:r>
      <w:r w:rsidR="001462B1">
        <w:rPr>
          <w:rFonts w:hint="cs"/>
          <w:rtl/>
        </w:rPr>
        <w:t xml:space="preserve">السيد دانييل </w:t>
      </w:r>
      <w:proofErr w:type="spellStart"/>
      <w:r w:rsidR="001462B1">
        <w:rPr>
          <w:rFonts w:hint="cs"/>
          <w:rtl/>
        </w:rPr>
        <w:t>كيلير</w:t>
      </w:r>
      <w:proofErr w:type="spellEnd"/>
      <w:r w:rsidR="00ED0993">
        <w:rPr>
          <w:rFonts w:hint="cs"/>
          <w:rtl/>
        </w:rPr>
        <w:t xml:space="preserve">، </w:t>
      </w:r>
      <w:proofErr w:type="spellStart"/>
      <w:r w:rsidR="00ED0993" w:rsidRPr="0017686F">
        <w:rPr>
          <w:rtl/>
        </w:rPr>
        <w:t>لوبرنغن</w:t>
      </w:r>
      <w:proofErr w:type="spellEnd"/>
      <w:r w:rsidR="00ED0993" w:rsidRPr="0017686F">
        <w:rPr>
          <w:rtl/>
        </w:rPr>
        <w:t>، سويسرا</w:t>
      </w:r>
      <w:r w:rsidR="00ED0993">
        <w:rPr>
          <w:rFonts w:hint="cs"/>
          <w:rtl/>
        </w:rPr>
        <w:t xml:space="preserve">، والسيد </w:t>
      </w:r>
      <w:r w:rsidR="00D84CC9">
        <w:rPr>
          <w:rFonts w:hint="cs"/>
          <w:rtl/>
        </w:rPr>
        <w:t>راشد</w:t>
      </w:r>
      <w:r w:rsidR="00ED0993">
        <w:rPr>
          <w:rFonts w:hint="cs"/>
          <w:rtl/>
        </w:rPr>
        <w:t xml:space="preserve"> خان، رئيس الابتكار العالمي والملكية الفكرية في الولايات ا</w:t>
      </w:r>
      <w:r w:rsidR="00257782">
        <w:rPr>
          <w:rFonts w:hint="cs"/>
          <w:rtl/>
        </w:rPr>
        <w:t>لمتحدة الأمريكية وآسيا، الظهران</w:t>
      </w:r>
      <w:r w:rsidR="00F943D7">
        <w:rPr>
          <w:rFonts w:hint="cs"/>
          <w:rtl/>
        </w:rPr>
        <w:t>،</w:t>
      </w:r>
      <w:r w:rsidR="00ED0993">
        <w:rPr>
          <w:rFonts w:hint="cs"/>
          <w:rtl/>
        </w:rPr>
        <w:t xml:space="preserve"> المملكة العربية السعودية.</w:t>
      </w:r>
    </w:p>
    <w:p w:rsidR="00ED0993" w:rsidRDefault="00A57A22" w:rsidP="007750F6">
      <w:pPr>
        <w:pStyle w:val="DecisionParaAR"/>
        <w:widowControl w:val="0"/>
        <w:suppressAutoHyphens/>
        <w:rPr>
          <w:rtl/>
        </w:rPr>
      </w:pPr>
      <w:r>
        <w:rPr>
          <w:rFonts w:hint="cs"/>
          <w:rtl/>
        </w:rPr>
        <w:t xml:space="preserve">إن </w:t>
      </w:r>
      <w:r w:rsidR="00A86EF4">
        <w:rPr>
          <w:rFonts w:hint="cs"/>
          <w:rtl/>
        </w:rPr>
        <w:t>اللجنة</w:t>
      </w:r>
      <w:r>
        <w:rPr>
          <w:rFonts w:hint="cs"/>
          <w:rtl/>
        </w:rPr>
        <w:t xml:space="preserve"> </w:t>
      </w:r>
      <w:r w:rsidRPr="007019A5">
        <w:rPr>
          <w:rtl/>
        </w:rPr>
        <w:t>المعنية بالتنمية والملكي</w:t>
      </w:r>
      <w:r>
        <w:rPr>
          <w:rtl/>
        </w:rPr>
        <w:t>ة الفكرية مدعوة إلى الإحاطة علم</w:t>
      </w:r>
      <w:r>
        <w:rPr>
          <w:rFonts w:hint="cs"/>
          <w:rtl/>
        </w:rPr>
        <w:t>اً</w:t>
      </w:r>
      <w:r w:rsidRPr="007019A5">
        <w:rPr>
          <w:rtl/>
        </w:rPr>
        <w:t xml:space="preserve"> بالمعلومات الواردة في مرفق هذه الوثيقة</w:t>
      </w:r>
      <w:r>
        <w:rPr>
          <w:rFonts w:hint="cs"/>
          <w:rtl/>
        </w:rPr>
        <w:t>.</w:t>
      </w:r>
    </w:p>
    <w:p w:rsidR="008D1718" w:rsidRDefault="0035502D" w:rsidP="007750F6">
      <w:pPr>
        <w:pStyle w:val="EndofDocumentAR"/>
        <w:widowControl w:val="0"/>
        <w:suppressAutoHyphens/>
      </w:pPr>
      <w:r w:rsidRPr="007019A5">
        <w:rPr>
          <w:rFonts w:hint="cs"/>
          <w:rtl/>
        </w:rPr>
        <w:t xml:space="preserve">[يلي ذلك </w:t>
      </w:r>
      <w:proofErr w:type="gramStart"/>
      <w:r w:rsidRPr="007019A5">
        <w:rPr>
          <w:rFonts w:hint="cs"/>
          <w:rtl/>
        </w:rPr>
        <w:t>المرفق</w:t>
      </w:r>
      <w:proofErr w:type="gramEnd"/>
      <w:r>
        <w:rPr>
          <w:rFonts w:hint="cs"/>
          <w:rtl/>
        </w:rPr>
        <w:t>]</w:t>
      </w:r>
    </w:p>
    <w:p w:rsidR="007750F6" w:rsidRDefault="007750F6" w:rsidP="007750F6">
      <w:pPr>
        <w:pStyle w:val="NormalParaAR"/>
        <w:widowControl w:val="0"/>
        <w:suppressAutoHyphens/>
      </w:pPr>
    </w:p>
    <w:p w:rsidR="007750F6" w:rsidRPr="007750F6" w:rsidRDefault="007750F6" w:rsidP="007750F6">
      <w:pPr>
        <w:pStyle w:val="NormalParaAR"/>
        <w:widowControl w:val="0"/>
        <w:suppressAutoHyphens/>
        <w:rPr>
          <w:rtl/>
        </w:rPr>
        <w:sectPr w:rsidR="007750F6" w:rsidRPr="007750F6" w:rsidSect="00EB7752">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pPr>
    </w:p>
    <w:p w:rsidR="007750F6" w:rsidRDefault="007750F6" w:rsidP="007750F6">
      <w:pPr>
        <w:pStyle w:val="Heading1AR"/>
        <w:keepNext w:val="0"/>
        <w:widowControl w:val="0"/>
        <w:suppressAutoHyphens/>
        <w:rPr>
          <w:rFonts w:eastAsia="Arial"/>
          <w:bdr w:val="nil"/>
          <w:lang w:eastAsia="zh-CN"/>
        </w:rPr>
      </w:pPr>
      <w:r>
        <w:rPr>
          <w:rFonts w:eastAsia="Arial"/>
          <w:bdr w:val="nil"/>
          <w:rtl/>
          <w:lang w:val="ar-SA" w:eastAsia="zh-CN"/>
        </w:rPr>
        <w:lastRenderedPageBreak/>
        <w:t>جدول المحتويات</w:t>
      </w:r>
    </w:p>
    <w:p w:rsidR="000C0F0C" w:rsidRDefault="000C0F0C" w:rsidP="000C0F0C">
      <w:pPr>
        <w:pStyle w:val="NormalParaAR"/>
        <w:rPr>
          <w:lang w:eastAsia="zh-CN"/>
        </w:rPr>
      </w:pPr>
    </w:p>
    <w:p w:rsidR="000C0F0C" w:rsidRPr="00010F60" w:rsidRDefault="000C0F0C" w:rsidP="000C0F0C">
      <w:pPr>
        <w:pStyle w:val="NormalParaAR"/>
        <w:tabs>
          <w:tab w:val="left" w:leader="dot" w:pos="9356"/>
        </w:tabs>
        <w:spacing w:after="0"/>
        <w:rPr>
          <w:b/>
          <w:bCs/>
          <w:lang w:eastAsia="zh-CN"/>
        </w:rPr>
      </w:pPr>
      <w:r w:rsidRPr="00010F60">
        <w:rPr>
          <w:b/>
          <w:bCs/>
          <w:rtl/>
          <w:lang w:eastAsia="zh-CN"/>
        </w:rPr>
        <w:t>مقدمة</w:t>
      </w:r>
      <w:r w:rsidRPr="00010F60">
        <w:rPr>
          <w:b/>
          <w:bCs/>
          <w:rtl/>
          <w:lang w:eastAsia="zh-CN"/>
        </w:rPr>
        <w:tab/>
        <w:t>5</w:t>
      </w:r>
    </w:p>
    <w:p w:rsidR="000C0F0C" w:rsidRDefault="000C0F0C" w:rsidP="000C0F0C">
      <w:pPr>
        <w:pStyle w:val="NormalParaAR"/>
        <w:tabs>
          <w:tab w:val="left" w:leader="dot" w:pos="9356"/>
        </w:tabs>
        <w:spacing w:after="0"/>
        <w:rPr>
          <w:lang w:eastAsia="zh-CN"/>
        </w:rPr>
      </w:pPr>
      <w:r>
        <w:rPr>
          <w:rtl/>
          <w:lang w:eastAsia="zh-CN"/>
        </w:rPr>
        <w:t xml:space="preserve">(ألف) معلومات أساسية عن المشروع </w:t>
      </w:r>
      <w:proofErr w:type="gramStart"/>
      <w:r>
        <w:rPr>
          <w:rtl/>
          <w:lang w:eastAsia="zh-CN"/>
        </w:rPr>
        <w:t>ووصفه</w:t>
      </w:r>
      <w:proofErr w:type="gramEnd"/>
      <w:r>
        <w:rPr>
          <w:rtl/>
          <w:lang w:eastAsia="zh-CN"/>
        </w:rPr>
        <w:tab/>
        <w:t>5</w:t>
      </w:r>
    </w:p>
    <w:p w:rsidR="000C0F0C" w:rsidRDefault="000C0F0C" w:rsidP="000C0F0C">
      <w:pPr>
        <w:pStyle w:val="NormalParaAR"/>
        <w:tabs>
          <w:tab w:val="left" w:pos="566"/>
          <w:tab w:val="left" w:pos="1558"/>
          <w:tab w:val="left" w:leader="dot" w:pos="9356"/>
        </w:tabs>
        <w:spacing w:after="0"/>
        <w:rPr>
          <w:lang w:eastAsia="zh-CN"/>
        </w:rPr>
      </w:pPr>
      <w:r>
        <w:rPr>
          <w:rtl/>
          <w:lang w:eastAsia="zh-CN"/>
        </w:rPr>
        <w:t xml:space="preserve">(باء) نطاق هذا التقييم وغرضه </w:t>
      </w:r>
      <w:proofErr w:type="spellStart"/>
      <w:r>
        <w:rPr>
          <w:rtl/>
          <w:lang w:eastAsia="zh-CN"/>
        </w:rPr>
        <w:t>ومنهجيته</w:t>
      </w:r>
      <w:proofErr w:type="spellEnd"/>
      <w:r>
        <w:rPr>
          <w:rtl/>
          <w:lang w:eastAsia="zh-CN"/>
        </w:rPr>
        <w:t xml:space="preserve"> وقيوده</w:t>
      </w:r>
      <w:r>
        <w:rPr>
          <w:rtl/>
          <w:lang w:eastAsia="zh-CN"/>
        </w:rPr>
        <w:tab/>
        <w:t>7</w:t>
      </w:r>
    </w:p>
    <w:p w:rsidR="000C0F0C" w:rsidRDefault="000C0F0C" w:rsidP="000C0F0C">
      <w:pPr>
        <w:pStyle w:val="NormalParaAR"/>
        <w:tabs>
          <w:tab w:val="left" w:pos="1558"/>
          <w:tab w:val="left" w:leader="dot" w:pos="9356"/>
        </w:tabs>
        <w:spacing w:after="0"/>
        <w:ind w:left="566"/>
        <w:rPr>
          <w:lang w:eastAsia="zh-CN"/>
        </w:rPr>
      </w:pPr>
      <w:r>
        <w:rPr>
          <w:rtl/>
          <w:lang w:eastAsia="zh-CN"/>
        </w:rPr>
        <w:t xml:space="preserve">('1') </w:t>
      </w:r>
      <w:r w:rsidR="00010F60">
        <w:rPr>
          <w:lang w:eastAsia="zh-CN"/>
        </w:rPr>
        <w:tab/>
      </w:r>
      <w:r>
        <w:rPr>
          <w:rtl/>
          <w:lang w:eastAsia="zh-CN"/>
        </w:rPr>
        <w:t>النطاق</w:t>
      </w:r>
      <w:r>
        <w:rPr>
          <w:rtl/>
          <w:lang w:eastAsia="zh-CN"/>
        </w:rPr>
        <w:tab/>
        <w:t>7</w:t>
      </w:r>
    </w:p>
    <w:p w:rsidR="000C0F0C" w:rsidRDefault="00395C1C" w:rsidP="000C0F0C">
      <w:pPr>
        <w:pStyle w:val="NormalParaAR"/>
        <w:tabs>
          <w:tab w:val="left" w:pos="1558"/>
          <w:tab w:val="left" w:leader="dot" w:pos="9356"/>
        </w:tabs>
        <w:spacing w:after="0"/>
        <w:ind w:left="566"/>
        <w:rPr>
          <w:lang w:eastAsia="zh-CN"/>
        </w:rPr>
      </w:pPr>
      <w:r>
        <w:rPr>
          <w:rtl/>
          <w:lang w:eastAsia="zh-CN"/>
        </w:rPr>
        <w:t>('2')</w:t>
      </w:r>
      <w:r>
        <w:rPr>
          <w:rtl/>
          <w:lang w:eastAsia="zh-CN"/>
        </w:rPr>
        <w:tab/>
      </w:r>
      <w:proofErr w:type="gramStart"/>
      <w:r w:rsidR="000C0F0C">
        <w:rPr>
          <w:rtl/>
          <w:lang w:eastAsia="zh-CN"/>
        </w:rPr>
        <w:t>الغرض</w:t>
      </w:r>
      <w:proofErr w:type="gramEnd"/>
      <w:r w:rsidR="000C0F0C">
        <w:rPr>
          <w:rtl/>
          <w:lang w:eastAsia="zh-CN"/>
        </w:rPr>
        <w:t xml:space="preserve"> الأساسي</w:t>
      </w:r>
      <w:r w:rsidR="000C0F0C">
        <w:rPr>
          <w:rtl/>
          <w:lang w:eastAsia="zh-CN"/>
        </w:rPr>
        <w:tab/>
        <w:t>7</w:t>
      </w:r>
    </w:p>
    <w:p w:rsidR="000C0F0C" w:rsidRDefault="000C0F0C" w:rsidP="000C0F0C">
      <w:pPr>
        <w:pStyle w:val="NormalParaAR"/>
        <w:tabs>
          <w:tab w:val="left" w:pos="1558"/>
          <w:tab w:val="left" w:leader="dot" w:pos="9356"/>
        </w:tabs>
        <w:spacing w:after="0"/>
        <w:ind w:left="566"/>
        <w:rPr>
          <w:lang w:eastAsia="zh-CN"/>
        </w:rPr>
      </w:pPr>
      <w:r>
        <w:rPr>
          <w:rtl/>
          <w:lang w:eastAsia="zh-CN"/>
        </w:rPr>
        <w:t>('3')</w:t>
      </w:r>
      <w:r>
        <w:rPr>
          <w:rtl/>
          <w:lang w:eastAsia="zh-CN"/>
        </w:rPr>
        <w:tab/>
        <w:t xml:space="preserve"> المنهجية</w:t>
      </w:r>
      <w:r>
        <w:rPr>
          <w:rtl/>
          <w:lang w:eastAsia="zh-CN"/>
        </w:rPr>
        <w:tab/>
        <w:t>7</w:t>
      </w:r>
    </w:p>
    <w:p w:rsidR="000C0F0C" w:rsidRDefault="000C0F0C" w:rsidP="000C0F0C">
      <w:pPr>
        <w:pStyle w:val="NormalParaAR"/>
        <w:tabs>
          <w:tab w:val="left" w:pos="1558"/>
          <w:tab w:val="left" w:leader="dot" w:pos="9356"/>
        </w:tabs>
        <w:spacing w:after="0"/>
        <w:ind w:left="566"/>
        <w:rPr>
          <w:lang w:eastAsia="zh-CN"/>
        </w:rPr>
      </w:pPr>
      <w:r>
        <w:rPr>
          <w:rtl/>
          <w:lang w:eastAsia="zh-CN"/>
        </w:rPr>
        <w:t>('4')</w:t>
      </w:r>
      <w:r>
        <w:rPr>
          <w:rtl/>
          <w:lang w:eastAsia="zh-CN"/>
        </w:rPr>
        <w:tab/>
        <w:t xml:space="preserve"> القيود الرئيسية على هذا التقييم</w:t>
      </w:r>
      <w:r>
        <w:rPr>
          <w:rtl/>
          <w:lang w:eastAsia="zh-CN"/>
        </w:rPr>
        <w:tab/>
        <w:t>8</w:t>
      </w:r>
    </w:p>
    <w:p w:rsidR="000C0F0C" w:rsidRDefault="000C0F0C" w:rsidP="000C0F0C">
      <w:pPr>
        <w:pStyle w:val="NormalParaAR"/>
        <w:tabs>
          <w:tab w:val="left" w:pos="566"/>
          <w:tab w:val="left" w:pos="1558"/>
          <w:tab w:val="left" w:leader="dot" w:pos="9356"/>
        </w:tabs>
        <w:spacing w:after="0"/>
        <w:rPr>
          <w:lang w:eastAsia="zh-CN"/>
        </w:rPr>
      </w:pPr>
      <w:r>
        <w:rPr>
          <w:rtl/>
          <w:lang w:eastAsia="zh-CN"/>
        </w:rPr>
        <w:t>2</w:t>
      </w:r>
      <w:r w:rsidRPr="00010F60">
        <w:rPr>
          <w:b/>
          <w:bCs/>
          <w:rtl/>
          <w:lang w:eastAsia="zh-CN"/>
        </w:rPr>
        <w:t>.النتائ</w:t>
      </w:r>
      <w:proofErr w:type="gramStart"/>
      <w:r w:rsidRPr="00010F60">
        <w:rPr>
          <w:b/>
          <w:bCs/>
          <w:rtl/>
          <w:lang w:eastAsia="zh-CN"/>
        </w:rPr>
        <w:t>ج والتقويم</w:t>
      </w:r>
      <w:r w:rsidRPr="00010F60">
        <w:rPr>
          <w:b/>
          <w:bCs/>
          <w:rtl/>
          <w:lang w:eastAsia="zh-CN"/>
        </w:rPr>
        <w:tab/>
      </w:r>
      <w:proofErr w:type="gramEnd"/>
      <w:r w:rsidRPr="00010F60">
        <w:rPr>
          <w:b/>
          <w:bCs/>
          <w:rtl/>
          <w:lang w:eastAsia="zh-CN"/>
        </w:rPr>
        <w:tab/>
        <w:t>8</w:t>
      </w:r>
    </w:p>
    <w:p w:rsidR="000C0F0C" w:rsidRDefault="000C0F0C" w:rsidP="000C0F0C">
      <w:pPr>
        <w:pStyle w:val="NormalParaAR"/>
        <w:tabs>
          <w:tab w:val="left" w:pos="566"/>
          <w:tab w:val="left" w:pos="1558"/>
          <w:tab w:val="left" w:leader="dot" w:pos="9356"/>
        </w:tabs>
        <w:spacing w:after="0"/>
        <w:rPr>
          <w:lang w:eastAsia="zh-CN"/>
        </w:rPr>
      </w:pPr>
      <w:r>
        <w:rPr>
          <w:rtl/>
          <w:lang w:eastAsia="zh-CN"/>
        </w:rPr>
        <w:t xml:space="preserve">(ألف) التحضير للمشروع </w:t>
      </w:r>
      <w:proofErr w:type="gramStart"/>
      <w:r>
        <w:rPr>
          <w:rtl/>
          <w:lang w:eastAsia="zh-CN"/>
        </w:rPr>
        <w:t>وإدارته</w:t>
      </w:r>
      <w:proofErr w:type="gramEnd"/>
      <w:r>
        <w:rPr>
          <w:rtl/>
          <w:lang w:eastAsia="zh-CN"/>
        </w:rPr>
        <w:tab/>
        <w:t>8</w:t>
      </w:r>
    </w:p>
    <w:p w:rsidR="000C0F0C" w:rsidRDefault="00395C1C" w:rsidP="00395C1C">
      <w:pPr>
        <w:pStyle w:val="NormalParaAR"/>
        <w:tabs>
          <w:tab w:val="left" w:pos="1558"/>
          <w:tab w:val="left" w:leader="dot" w:pos="9356"/>
        </w:tabs>
        <w:spacing w:after="0"/>
        <w:ind w:left="566"/>
        <w:rPr>
          <w:lang w:eastAsia="zh-CN"/>
        </w:rPr>
      </w:pPr>
      <w:r>
        <w:rPr>
          <w:rtl/>
          <w:lang w:eastAsia="zh-CN"/>
        </w:rPr>
        <w:t>('1')</w:t>
      </w:r>
      <w:r>
        <w:rPr>
          <w:lang w:eastAsia="zh-CN"/>
        </w:rPr>
        <w:tab/>
      </w:r>
      <w:proofErr w:type="gramStart"/>
      <w:r w:rsidR="000C0F0C">
        <w:rPr>
          <w:rtl/>
          <w:lang w:eastAsia="zh-CN"/>
        </w:rPr>
        <w:t>التحضير</w:t>
      </w:r>
      <w:proofErr w:type="gramEnd"/>
      <w:r w:rsidR="000C0F0C">
        <w:rPr>
          <w:rtl/>
          <w:lang w:eastAsia="zh-CN"/>
        </w:rPr>
        <w:t xml:space="preserve"> للمشروع</w:t>
      </w:r>
      <w:r w:rsidR="000C0F0C">
        <w:rPr>
          <w:rtl/>
          <w:lang w:eastAsia="zh-CN"/>
        </w:rPr>
        <w:tab/>
        <w:t>8</w:t>
      </w:r>
    </w:p>
    <w:p w:rsidR="000C0F0C" w:rsidRDefault="000C0F0C" w:rsidP="00395C1C">
      <w:pPr>
        <w:pStyle w:val="NormalParaAR"/>
        <w:tabs>
          <w:tab w:val="left" w:pos="1558"/>
          <w:tab w:val="left" w:leader="dot" w:pos="9356"/>
        </w:tabs>
        <w:spacing w:after="0"/>
        <w:ind w:left="566"/>
        <w:rPr>
          <w:lang w:eastAsia="zh-CN"/>
        </w:rPr>
      </w:pPr>
      <w:r>
        <w:rPr>
          <w:rtl/>
          <w:lang w:eastAsia="zh-CN"/>
        </w:rPr>
        <w:t>('2')</w:t>
      </w:r>
      <w:r w:rsidR="00395C1C">
        <w:rPr>
          <w:lang w:eastAsia="zh-CN"/>
        </w:rPr>
        <w:tab/>
      </w:r>
      <w:r>
        <w:rPr>
          <w:rtl/>
          <w:lang w:eastAsia="zh-CN"/>
        </w:rPr>
        <w:t>استخدام أدوات تخطيط المشروعات ورصدها</w:t>
      </w:r>
      <w:r>
        <w:rPr>
          <w:rtl/>
          <w:lang w:eastAsia="zh-CN"/>
        </w:rPr>
        <w:tab/>
        <w:t>9</w:t>
      </w:r>
    </w:p>
    <w:p w:rsidR="000C0F0C" w:rsidRDefault="00395C1C" w:rsidP="00395C1C">
      <w:pPr>
        <w:pStyle w:val="NormalParaAR"/>
        <w:tabs>
          <w:tab w:val="left" w:pos="1558"/>
          <w:tab w:val="left" w:leader="dot" w:pos="9356"/>
        </w:tabs>
        <w:spacing w:after="0"/>
        <w:ind w:left="566"/>
        <w:rPr>
          <w:lang w:eastAsia="zh-CN"/>
        </w:rPr>
      </w:pPr>
      <w:r>
        <w:rPr>
          <w:rtl/>
          <w:lang w:eastAsia="zh-CN"/>
        </w:rPr>
        <w:t>('3')</w:t>
      </w:r>
      <w:r>
        <w:rPr>
          <w:lang w:eastAsia="zh-CN"/>
        </w:rPr>
        <w:tab/>
      </w:r>
      <w:proofErr w:type="gramStart"/>
      <w:r w:rsidR="000C0F0C">
        <w:rPr>
          <w:rtl/>
          <w:lang w:eastAsia="zh-CN"/>
        </w:rPr>
        <w:t>إدارة</w:t>
      </w:r>
      <w:proofErr w:type="gramEnd"/>
      <w:r w:rsidR="000C0F0C">
        <w:rPr>
          <w:rtl/>
          <w:lang w:eastAsia="zh-CN"/>
        </w:rPr>
        <w:t xml:space="preserve"> المشروع</w:t>
      </w:r>
      <w:r>
        <w:rPr>
          <w:lang w:eastAsia="zh-CN"/>
        </w:rPr>
        <w:tab/>
      </w:r>
      <w:r w:rsidR="000C0F0C">
        <w:rPr>
          <w:rtl/>
          <w:lang w:eastAsia="zh-CN"/>
        </w:rPr>
        <w:t>9</w:t>
      </w:r>
    </w:p>
    <w:p w:rsidR="000C0F0C" w:rsidRDefault="000C0F0C" w:rsidP="000C0F0C">
      <w:pPr>
        <w:pStyle w:val="NormalParaAR"/>
        <w:tabs>
          <w:tab w:val="left" w:pos="566"/>
          <w:tab w:val="left" w:pos="1558"/>
          <w:tab w:val="left" w:leader="dot" w:pos="9356"/>
        </w:tabs>
        <w:spacing w:after="0"/>
        <w:rPr>
          <w:lang w:eastAsia="zh-CN"/>
        </w:rPr>
      </w:pPr>
      <w:r>
        <w:rPr>
          <w:rtl/>
          <w:lang w:eastAsia="zh-CN"/>
        </w:rPr>
        <w:t>(ب)</w:t>
      </w:r>
      <w:r>
        <w:rPr>
          <w:rtl/>
          <w:lang w:eastAsia="zh-CN"/>
        </w:rPr>
        <w:tab/>
        <w:t>الوجاهة</w:t>
      </w:r>
      <w:r>
        <w:rPr>
          <w:rtl/>
          <w:lang w:eastAsia="zh-CN"/>
        </w:rPr>
        <w:tab/>
      </w:r>
      <w:r w:rsidR="00395C1C">
        <w:rPr>
          <w:lang w:eastAsia="zh-CN"/>
        </w:rPr>
        <w:tab/>
      </w:r>
      <w:r>
        <w:rPr>
          <w:rtl/>
          <w:lang w:eastAsia="zh-CN"/>
        </w:rPr>
        <w:t>10</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('1')</w:t>
      </w:r>
      <w:r>
        <w:rPr>
          <w:lang w:eastAsia="zh-CN"/>
        </w:rPr>
        <w:tab/>
      </w:r>
      <w:r w:rsidR="000C0F0C">
        <w:rPr>
          <w:rtl/>
          <w:lang w:eastAsia="zh-CN"/>
        </w:rPr>
        <w:t>وجاهة السياسات</w:t>
      </w:r>
      <w:r w:rsidR="000C0F0C">
        <w:rPr>
          <w:rtl/>
          <w:lang w:eastAsia="zh-CN"/>
        </w:rPr>
        <w:tab/>
        <w:t>10</w:t>
      </w:r>
    </w:p>
    <w:p w:rsidR="000C0F0C" w:rsidRDefault="000C0F0C" w:rsidP="000C0F0C">
      <w:pPr>
        <w:pStyle w:val="NormalParaAR"/>
        <w:tabs>
          <w:tab w:val="left" w:pos="566"/>
          <w:tab w:val="left" w:pos="1558"/>
          <w:tab w:val="left" w:leader="dot" w:pos="9356"/>
        </w:tabs>
        <w:spacing w:after="0"/>
        <w:rPr>
          <w:lang w:eastAsia="zh-CN"/>
        </w:rPr>
      </w:pPr>
      <w:r>
        <w:rPr>
          <w:rtl/>
          <w:lang w:eastAsia="zh-CN"/>
        </w:rPr>
        <w:t>(ج) الفعالية</w:t>
      </w:r>
      <w:r>
        <w:rPr>
          <w:rtl/>
          <w:lang w:eastAsia="zh-CN"/>
        </w:rPr>
        <w:tab/>
      </w:r>
      <w:r w:rsidR="00395C1C">
        <w:rPr>
          <w:lang w:eastAsia="zh-CN"/>
        </w:rPr>
        <w:tab/>
      </w:r>
      <w:r>
        <w:rPr>
          <w:rtl/>
          <w:lang w:eastAsia="zh-CN"/>
        </w:rPr>
        <w:t>11</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('1')</w:t>
      </w:r>
      <w:r>
        <w:rPr>
          <w:lang w:eastAsia="zh-CN"/>
        </w:rPr>
        <w:tab/>
      </w:r>
      <w:r w:rsidR="000C0F0C">
        <w:rPr>
          <w:rtl/>
          <w:lang w:eastAsia="zh-CN"/>
        </w:rPr>
        <w:t>المخرج 1:  اجتماعات تشاورية إقليمية بشأن نقل التكنولوجيا</w:t>
      </w:r>
      <w:r w:rsidR="000C0F0C">
        <w:rPr>
          <w:rtl/>
          <w:lang w:eastAsia="zh-CN"/>
        </w:rPr>
        <w:tab/>
        <w:t>11</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('2')</w:t>
      </w:r>
      <w:r>
        <w:rPr>
          <w:lang w:eastAsia="zh-CN"/>
        </w:rPr>
        <w:tab/>
      </w:r>
      <w:r w:rsidR="000C0F0C">
        <w:rPr>
          <w:rtl/>
          <w:lang w:eastAsia="zh-CN"/>
        </w:rPr>
        <w:t xml:space="preserve">المخرج 2:  </w:t>
      </w:r>
      <w:proofErr w:type="gramStart"/>
      <w:r w:rsidR="000C0F0C">
        <w:rPr>
          <w:rtl/>
          <w:lang w:eastAsia="zh-CN"/>
        </w:rPr>
        <w:t>دراسات</w:t>
      </w:r>
      <w:proofErr w:type="gramEnd"/>
      <w:r w:rsidR="000C0F0C">
        <w:rPr>
          <w:rtl/>
          <w:lang w:eastAsia="zh-CN"/>
        </w:rPr>
        <w:t xml:space="preserve"> تحليلية</w:t>
      </w:r>
      <w:r w:rsidR="000C0F0C">
        <w:rPr>
          <w:rtl/>
          <w:lang w:eastAsia="zh-CN"/>
        </w:rPr>
        <w:tab/>
        <w:t>11</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('3')</w:t>
      </w:r>
      <w:r>
        <w:rPr>
          <w:rtl/>
          <w:lang w:eastAsia="zh-CN"/>
        </w:rPr>
        <w:tab/>
      </w:r>
      <w:r w:rsidR="000C0F0C">
        <w:rPr>
          <w:rtl/>
          <w:lang w:eastAsia="zh-CN"/>
        </w:rPr>
        <w:t xml:space="preserve">المخرج 3:  ورقة </w:t>
      </w:r>
      <w:proofErr w:type="spellStart"/>
      <w:r w:rsidR="000C0F0C">
        <w:rPr>
          <w:rtl/>
          <w:lang w:eastAsia="zh-CN"/>
        </w:rPr>
        <w:t>مفاهيمية</w:t>
      </w:r>
      <w:proofErr w:type="spellEnd"/>
      <w:r w:rsidR="000C0F0C">
        <w:rPr>
          <w:rtl/>
          <w:lang w:eastAsia="zh-CN"/>
        </w:rPr>
        <w:tab/>
        <w:t>12</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('4')</w:t>
      </w:r>
      <w:r>
        <w:rPr>
          <w:rtl/>
          <w:lang w:eastAsia="zh-CN"/>
        </w:rPr>
        <w:tab/>
      </w:r>
      <w:r w:rsidR="000C0F0C">
        <w:rPr>
          <w:rtl/>
          <w:lang w:eastAsia="zh-CN"/>
        </w:rPr>
        <w:t xml:space="preserve">المخرج 4:  </w:t>
      </w:r>
      <w:proofErr w:type="gramStart"/>
      <w:r w:rsidR="000C0F0C">
        <w:rPr>
          <w:rtl/>
          <w:lang w:eastAsia="zh-CN"/>
        </w:rPr>
        <w:t>مواد</w:t>
      </w:r>
      <w:proofErr w:type="gramEnd"/>
      <w:r w:rsidR="000C0F0C">
        <w:rPr>
          <w:rtl/>
          <w:lang w:eastAsia="zh-CN"/>
        </w:rPr>
        <w:t xml:space="preserve"> تدريبية</w:t>
      </w:r>
      <w:r w:rsidR="000C0F0C">
        <w:rPr>
          <w:rtl/>
          <w:lang w:eastAsia="zh-CN"/>
        </w:rPr>
        <w:tab/>
        <w:t>13</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('5')</w:t>
      </w:r>
      <w:r>
        <w:rPr>
          <w:rtl/>
          <w:lang w:eastAsia="zh-CN"/>
        </w:rPr>
        <w:tab/>
      </w:r>
      <w:r w:rsidR="000C0F0C">
        <w:rPr>
          <w:rtl/>
          <w:lang w:eastAsia="zh-CN"/>
        </w:rPr>
        <w:t>المخرج 5:  منتدى دولي للخبراء</w:t>
      </w:r>
      <w:r w:rsidR="000C0F0C">
        <w:rPr>
          <w:rtl/>
          <w:lang w:eastAsia="zh-CN"/>
        </w:rPr>
        <w:tab/>
        <w:t>13</w:t>
      </w:r>
    </w:p>
    <w:p w:rsidR="000C0F0C" w:rsidRDefault="000C0F0C" w:rsidP="00395C1C">
      <w:pPr>
        <w:pStyle w:val="NormalParaAR"/>
        <w:tabs>
          <w:tab w:val="left" w:pos="566"/>
          <w:tab w:val="left" w:pos="1558"/>
          <w:tab w:val="left" w:leader="dot" w:pos="9356"/>
        </w:tabs>
        <w:spacing w:after="0"/>
        <w:ind w:left="566"/>
        <w:rPr>
          <w:lang w:eastAsia="zh-CN"/>
        </w:rPr>
      </w:pPr>
      <w:r>
        <w:rPr>
          <w:rtl/>
          <w:lang w:eastAsia="zh-CN"/>
        </w:rPr>
        <w:t>('6')</w:t>
      </w:r>
      <w:r>
        <w:rPr>
          <w:rtl/>
          <w:lang w:eastAsia="zh-CN"/>
        </w:rPr>
        <w:tab/>
        <w:t xml:space="preserve">المخرج 6:  منتدى إلكتروني بشأن نقل </w:t>
      </w:r>
      <w:proofErr w:type="gramStart"/>
      <w:r>
        <w:rPr>
          <w:rtl/>
          <w:lang w:eastAsia="zh-CN"/>
        </w:rPr>
        <w:t>التكنولوجيا</w:t>
      </w:r>
      <w:proofErr w:type="gramEnd"/>
      <w:r>
        <w:rPr>
          <w:rtl/>
          <w:lang w:eastAsia="zh-CN"/>
        </w:rPr>
        <w:tab/>
        <w:t>13</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('7')</w:t>
      </w:r>
      <w:r>
        <w:rPr>
          <w:rtl/>
          <w:lang w:eastAsia="zh-CN"/>
        </w:rPr>
        <w:tab/>
      </w:r>
      <w:r w:rsidR="000C0F0C">
        <w:rPr>
          <w:rtl/>
          <w:lang w:eastAsia="zh-CN"/>
        </w:rPr>
        <w:t>المخرج 7:  دمج نتائج المشروع في أعمال الويبو</w:t>
      </w:r>
      <w:r w:rsidR="000C0F0C">
        <w:rPr>
          <w:rtl/>
          <w:lang w:eastAsia="zh-CN"/>
        </w:rPr>
        <w:tab/>
        <w:t>13</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('8')</w:t>
      </w:r>
      <w:r>
        <w:rPr>
          <w:rtl/>
          <w:lang w:eastAsia="zh-CN"/>
        </w:rPr>
        <w:tab/>
      </w:r>
      <w:proofErr w:type="gramStart"/>
      <w:r w:rsidR="000C0F0C">
        <w:rPr>
          <w:rtl/>
          <w:lang w:eastAsia="zh-CN"/>
        </w:rPr>
        <w:t>النتائج</w:t>
      </w:r>
      <w:proofErr w:type="gramEnd"/>
      <w:r w:rsidR="000C0F0C">
        <w:rPr>
          <w:rtl/>
          <w:lang w:eastAsia="zh-CN"/>
        </w:rPr>
        <w:t xml:space="preserve"> المبدئية المشاهَدة من حيث "الفهم المحسَّن"</w:t>
      </w:r>
      <w:r w:rsidR="000C0F0C">
        <w:rPr>
          <w:rtl/>
          <w:lang w:eastAsia="zh-CN"/>
        </w:rPr>
        <w:tab/>
        <w:t>13</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('9')</w:t>
      </w:r>
      <w:r>
        <w:rPr>
          <w:rtl/>
          <w:lang w:eastAsia="zh-CN"/>
        </w:rPr>
        <w:tab/>
      </w:r>
      <w:proofErr w:type="gramStart"/>
      <w:r w:rsidR="000C0F0C">
        <w:rPr>
          <w:rtl/>
          <w:lang w:eastAsia="zh-CN"/>
        </w:rPr>
        <w:t>نواتج</w:t>
      </w:r>
      <w:proofErr w:type="gramEnd"/>
      <w:r w:rsidR="000C0F0C">
        <w:rPr>
          <w:rtl/>
          <w:lang w:eastAsia="zh-CN"/>
        </w:rPr>
        <w:t xml:space="preserve"> أخرى</w:t>
      </w:r>
      <w:r w:rsidR="000C0F0C">
        <w:rPr>
          <w:rtl/>
          <w:lang w:eastAsia="zh-CN"/>
        </w:rPr>
        <w:tab/>
        <w:t>15</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('10')</w:t>
      </w:r>
      <w:r>
        <w:rPr>
          <w:lang w:eastAsia="zh-CN"/>
        </w:rPr>
        <w:tab/>
      </w:r>
      <w:r w:rsidR="000C0F0C">
        <w:rPr>
          <w:rtl/>
          <w:lang w:eastAsia="zh-CN"/>
        </w:rPr>
        <w:t>الوقع</w:t>
      </w:r>
      <w:r w:rsidR="000C0F0C">
        <w:rPr>
          <w:rtl/>
          <w:lang w:eastAsia="zh-CN"/>
        </w:rPr>
        <w:tab/>
        <w:t>15</w:t>
      </w:r>
    </w:p>
    <w:p w:rsidR="000C0F0C" w:rsidRDefault="000C0F0C" w:rsidP="000C0F0C">
      <w:pPr>
        <w:pStyle w:val="NormalParaAR"/>
        <w:tabs>
          <w:tab w:val="left" w:pos="566"/>
          <w:tab w:val="left" w:pos="1558"/>
          <w:tab w:val="left" w:leader="dot" w:pos="9356"/>
        </w:tabs>
        <w:spacing w:after="0"/>
        <w:rPr>
          <w:lang w:eastAsia="zh-CN"/>
        </w:rPr>
      </w:pPr>
      <w:r>
        <w:rPr>
          <w:rtl/>
          <w:lang w:eastAsia="zh-CN"/>
        </w:rPr>
        <w:t xml:space="preserve">(دال) </w:t>
      </w:r>
      <w:proofErr w:type="gramStart"/>
      <w:r>
        <w:rPr>
          <w:rtl/>
          <w:lang w:eastAsia="zh-CN"/>
        </w:rPr>
        <w:t>الكفاءة</w:t>
      </w:r>
      <w:r>
        <w:rPr>
          <w:rtl/>
          <w:lang w:eastAsia="zh-CN"/>
        </w:rPr>
        <w:tab/>
      </w:r>
      <w:r w:rsidR="00395C1C">
        <w:rPr>
          <w:lang w:eastAsia="zh-CN"/>
        </w:rPr>
        <w:tab/>
      </w:r>
      <w:r>
        <w:rPr>
          <w:rtl/>
          <w:lang w:eastAsia="zh-CN"/>
        </w:rPr>
        <w:t>15</w:t>
      </w:r>
      <w:proofErr w:type="gramEnd"/>
    </w:p>
    <w:p w:rsidR="000C0F0C" w:rsidRDefault="000C0F0C" w:rsidP="00395C1C">
      <w:pPr>
        <w:pStyle w:val="NormalParaAR"/>
        <w:tabs>
          <w:tab w:val="left" w:pos="566"/>
          <w:tab w:val="left" w:pos="1558"/>
          <w:tab w:val="left" w:leader="dot" w:pos="9356"/>
        </w:tabs>
        <w:spacing w:after="0"/>
        <w:ind w:left="566"/>
        <w:rPr>
          <w:lang w:eastAsia="zh-CN"/>
        </w:rPr>
      </w:pPr>
      <w:r>
        <w:rPr>
          <w:rtl/>
          <w:lang w:eastAsia="zh-CN"/>
        </w:rPr>
        <w:t>('1')</w:t>
      </w:r>
      <w:r w:rsidR="00395C1C">
        <w:rPr>
          <w:lang w:eastAsia="zh-CN"/>
        </w:rPr>
        <w:tab/>
      </w:r>
      <w:proofErr w:type="gramStart"/>
      <w:r>
        <w:rPr>
          <w:rtl/>
          <w:lang w:eastAsia="zh-CN"/>
        </w:rPr>
        <w:t>التنفيذ</w:t>
      </w:r>
      <w:proofErr w:type="gramEnd"/>
      <w:r>
        <w:rPr>
          <w:rtl/>
          <w:lang w:eastAsia="zh-CN"/>
        </w:rPr>
        <w:t xml:space="preserve"> المالي</w:t>
      </w:r>
      <w:r>
        <w:rPr>
          <w:rtl/>
          <w:lang w:eastAsia="zh-CN"/>
        </w:rPr>
        <w:tab/>
        <w:t>15</w:t>
      </w:r>
    </w:p>
    <w:p w:rsidR="000C0F0C" w:rsidRDefault="00395C1C" w:rsidP="00395C1C">
      <w:pPr>
        <w:pStyle w:val="NormalParaAR"/>
        <w:tabs>
          <w:tab w:val="left" w:pos="566"/>
          <w:tab w:val="left" w:pos="1558"/>
          <w:tab w:val="left" w:leader="dot" w:pos="9356"/>
        </w:tabs>
        <w:spacing w:after="0"/>
        <w:ind w:left="566"/>
        <w:rPr>
          <w:lang w:eastAsia="zh-CN"/>
        </w:rPr>
      </w:pPr>
      <w:r>
        <w:rPr>
          <w:rtl/>
          <w:lang w:eastAsia="zh-CN"/>
        </w:rPr>
        <w:t>('2')</w:t>
      </w:r>
      <w:r>
        <w:rPr>
          <w:lang w:eastAsia="zh-CN"/>
        </w:rPr>
        <w:tab/>
      </w:r>
      <w:r w:rsidR="000C0F0C">
        <w:rPr>
          <w:rtl/>
          <w:lang w:eastAsia="zh-CN"/>
        </w:rPr>
        <w:t xml:space="preserve">أوجه التآزر مع أنشطة أخرى تضطلع </w:t>
      </w:r>
      <w:proofErr w:type="gramStart"/>
      <w:r w:rsidR="000C0F0C">
        <w:rPr>
          <w:rtl/>
          <w:lang w:eastAsia="zh-CN"/>
        </w:rPr>
        <w:t>بها</w:t>
      </w:r>
      <w:proofErr w:type="gramEnd"/>
      <w:r w:rsidR="000C0F0C">
        <w:rPr>
          <w:rtl/>
          <w:lang w:eastAsia="zh-CN"/>
        </w:rPr>
        <w:t xml:space="preserve"> الأمانة</w:t>
      </w:r>
      <w:r w:rsidR="000C0F0C">
        <w:rPr>
          <w:rtl/>
          <w:lang w:eastAsia="zh-CN"/>
        </w:rPr>
        <w:tab/>
        <w:t>16</w:t>
      </w:r>
    </w:p>
    <w:p w:rsidR="000C0F0C" w:rsidRDefault="000C0F0C" w:rsidP="000C0F0C">
      <w:pPr>
        <w:pStyle w:val="NormalParaAR"/>
        <w:tabs>
          <w:tab w:val="left" w:pos="566"/>
          <w:tab w:val="left" w:pos="1558"/>
          <w:tab w:val="left" w:leader="dot" w:pos="9356"/>
        </w:tabs>
        <w:spacing w:after="0"/>
        <w:rPr>
          <w:lang w:eastAsia="zh-CN"/>
        </w:rPr>
      </w:pPr>
      <w:r>
        <w:rPr>
          <w:rtl/>
          <w:lang w:eastAsia="zh-CN"/>
        </w:rPr>
        <w:t>(هاء) احتمالات استدامة النتائج</w:t>
      </w:r>
      <w:r>
        <w:rPr>
          <w:rtl/>
          <w:lang w:eastAsia="zh-CN"/>
        </w:rPr>
        <w:tab/>
        <w:t>16</w:t>
      </w:r>
    </w:p>
    <w:p w:rsidR="000C0F0C" w:rsidRPr="00395C1C" w:rsidRDefault="000C0F0C" w:rsidP="000C0F0C">
      <w:pPr>
        <w:pStyle w:val="NormalParaAR"/>
        <w:tabs>
          <w:tab w:val="left" w:pos="566"/>
          <w:tab w:val="left" w:pos="1558"/>
          <w:tab w:val="left" w:leader="dot" w:pos="9356"/>
        </w:tabs>
        <w:spacing w:after="0"/>
        <w:rPr>
          <w:b/>
          <w:bCs/>
          <w:lang w:eastAsia="zh-CN"/>
        </w:rPr>
      </w:pPr>
      <w:r w:rsidRPr="00395C1C">
        <w:rPr>
          <w:b/>
          <w:bCs/>
          <w:rtl/>
          <w:lang w:eastAsia="zh-CN"/>
        </w:rPr>
        <w:t>3</w:t>
      </w:r>
      <w:r w:rsidRPr="00395C1C">
        <w:rPr>
          <w:b/>
          <w:bCs/>
          <w:cs/>
          <w:lang w:eastAsia="zh-CN"/>
        </w:rPr>
        <w:t>‎</w:t>
      </w:r>
      <w:r w:rsidRPr="00395C1C">
        <w:rPr>
          <w:b/>
          <w:bCs/>
          <w:rtl/>
          <w:lang w:eastAsia="zh-CN"/>
        </w:rPr>
        <w:t>. الاستنتاجات</w:t>
      </w:r>
      <w:r w:rsidR="00395C1C" w:rsidRPr="00395C1C">
        <w:rPr>
          <w:b/>
          <w:bCs/>
          <w:lang w:eastAsia="zh-CN"/>
        </w:rPr>
        <w:tab/>
      </w:r>
      <w:r w:rsidRPr="00395C1C">
        <w:rPr>
          <w:b/>
          <w:bCs/>
          <w:rtl/>
          <w:lang w:eastAsia="zh-CN"/>
        </w:rPr>
        <w:tab/>
        <w:t>17</w:t>
      </w:r>
    </w:p>
    <w:p w:rsidR="000C0F0C" w:rsidRDefault="000C0F0C" w:rsidP="000C0F0C">
      <w:pPr>
        <w:pStyle w:val="NormalParaAR"/>
        <w:tabs>
          <w:tab w:val="left" w:pos="566"/>
          <w:tab w:val="left" w:pos="1558"/>
          <w:tab w:val="left" w:leader="dot" w:pos="9356"/>
        </w:tabs>
        <w:spacing w:after="0"/>
        <w:rPr>
          <w:lang w:eastAsia="zh-CN"/>
        </w:rPr>
      </w:pPr>
      <w:r w:rsidRPr="00395C1C">
        <w:rPr>
          <w:b/>
          <w:bCs/>
          <w:rtl/>
          <w:lang w:eastAsia="zh-CN"/>
        </w:rPr>
        <w:t>4</w:t>
      </w:r>
      <w:r w:rsidRPr="00395C1C">
        <w:rPr>
          <w:b/>
          <w:bCs/>
          <w:cs/>
          <w:lang w:eastAsia="zh-CN"/>
        </w:rPr>
        <w:t>‎</w:t>
      </w:r>
      <w:r w:rsidRPr="00395C1C">
        <w:rPr>
          <w:b/>
          <w:bCs/>
          <w:rtl/>
          <w:lang w:eastAsia="zh-CN"/>
        </w:rPr>
        <w:t>. التوصيات</w:t>
      </w:r>
      <w:r w:rsidRPr="00395C1C">
        <w:rPr>
          <w:b/>
          <w:bCs/>
          <w:rtl/>
          <w:lang w:eastAsia="zh-CN"/>
        </w:rPr>
        <w:tab/>
      </w:r>
      <w:r w:rsidRPr="00395C1C">
        <w:rPr>
          <w:b/>
          <w:bCs/>
          <w:rtl/>
          <w:lang w:eastAsia="zh-CN"/>
        </w:rPr>
        <w:tab/>
        <w:t>19</w:t>
      </w:r>
    </w:p>
    <w:p w:rsidR="000C0F0C" w:rsidRPr="000C0F0C" w:rsidRDefault="000C0F0C" w:rsidP="000C0F0C">
      <w:pPr>
        <w:pStyle w:val="NormalParaAR"/>
        <w:rPr>
          <w:lang w:eastAsia="zh-CN"/>
        </w:rPr>
      </w:pPr>
    </w:p>
    <w:p w:rsidR="007750F6" w:rsidRPr="00C60449" w:rsidRDefault="007750F6" w:rsidP="007750F6">
      <w:pPr>
        <w:widowControl w:val="0"/>
        <w:suppressAutoHyphens/>
        <w:rPr>
          <w:rFonts w:ascii="Arabic Typesetting" w:hAnsi="Arabic Typesetting" w:cs="Arabic Typesetting"/>
          <w:bCs/>
          <w:sz w:val="36"/>
          <w:szCs w:val="36"/>
          <w:rtl/>
        </w:rPr>
      </w:pPr>
    </w:p>
    <w:p w:rsidR="00AE1126" w:rsidRPr="00C60449" w:rsidRDefault="00AE1126" w:rsidP="007750F6">
      <w:pPr>
        <w:widowControl w:val="0"/>
        <w:suppressAutoHyphens/>
        <w:rPr>
          <w:rFonts w:ascii="Arabic Typesetting" w:hAnsi="Arabic Typesetting" w:cs="Arabic Typesetting"/>
          <w:bCs/>
          <w:sz w:val="36"/>
          <w:szCs w:val="36"/>
          <w:rtl/>
        </w:rPr>
      </w:pPr>
      <w:r w:rsidRPr="00C60449">
        <w:rPr>
          <w:rFonts w:ascii="Arabic Typesetting" w:hAnsi="Arabic Typesetting" w:cs="Arabic Typesetting"/>
          <w:sz w:val="36"/>
          <w:szCs w:val="36"/>
          <w:rtl/>
        </w:rPr>
        <w:br w:type="page"/>
      </w:r>
    </w:p>
    <w:p w:rsidR="0035502D" w:rsidRDefault="000D7612" w:rsidP="007750F6">
      <w:pPr>
        <w:pStyle w:val="Heading1AR"/>
        <w:keepNext w:val="0"/>
        <w:widowControl w:val="0"/>
        <w:suppressAutoHyphens/>
        <w:rPr>
          <w:rtl/>
        </w:rPr>
      </w:pPr>
      <w:proofErr w:type="gramStart"/>
      <w:r>
        <w:rPr>
          <w:rFonts w:hint="cs"/>
          <w:rtl/>
        </w:rPr>
        <w:lastRenderedPageBreak/>
        <w:t>ملخص</w:t>
      </w:r>
      <w:proofErr w:type="gramEnd"/>
      <w:r>
        <w:rPr>
          <w:rFonts w:hint="cs"/>
          <w:rtl/>
        </w:rPr>
        <w:t xml:space="preserve"> </w:t>
      </w:r>
      <w:r w:rsidR="00AE1126">
        <w:rPr>
          <w:rFonts w:hint="cs"/>
          <w:rtl/>
        </w:rPr>
        <w:t>تنفيذي</w:t>
      </w:r>
    </w:p>
    <w:p w:rsidR="00476A07" w:rsidRDefault="00D95D30" w:rsidP="007750F6">
      <w:pPr>
        <w:pStyle w:val="NormalParaAR"/>
        <w:widowControl w:val="0"/>
        <w:suppressAutoHyphens/>
        <w:rPr>
          <w:rtl/>
        </w:rPr>
      </w:pPr>
      <w:r>
        <w:rPr>
          <w:rFonts w:hint="cs"/>
          <w:rtl/>
        </w:rPr>
        <w:t xml:space="preserve">يغطي </w:t>
      </w:r>
      <w:r>
        <w:rPr>
          <w:rtl/>
        </w:rPr>
        <w:t xml:space="preserve">هذا التقييم النهائي </w:t>
      </w:r>
      <w:r>
        <w:rPr>
          <w:rFonts w:hint="cs"/>
          <w:rtl/>
        </w:rPr>
        <w:t>ال</w:t>
      </w:r>
      <w:r>
        <w:rPr>
          <w:rtl/>
        </w:rPr>
        <w:t>مستقل</w:t>
      </w:r>
      <w:r>
        <w:rPr>
          <w:rFonts w:hint="cs"/>
          <w:rtl/>
        </w:rPr>
        <w:t xml:space="preserve"> الذي أ</w:t>
      </w:r>
      <w:r w:rsidR="00234587">
        <w:rPr>
          <w:rFonts w:hint="cs"/>
          <w:rtl/>
        </w:rPr>
        <w:t>ُ</w:t>
      </w:r>
      <w:r>
        <w:rPr>
          <w:rFonts w:hint="cs"/>
          <w:rtl/>
        </w:rPr>
        <w:t>عدّ</w:t>
      </w:r>
      <w:r>
        <w:rPr>
          <w:rtl/>
        </w:rPr>
        <w:t xml:space="preserve"> بتكليف من الأمانة</w:t>
      </w:r>
      <w:r>
        <w:rPr>
          <w:rFonts w:hint="cs"/>
          <w:rtl/>
        </w:rPr>
        <w:t xml:space="preserve"> "</w:t>
      </w:r>
      <w:r w:rsidR="005C22EB">
        <w:rPr>
          <w:rFonts w:hint="cs"/>
          <w:rtl/>
        </w:rPr>
        <w:t xml:space="preserve">مشروع </w:t>
      </w:r>
      <w:r w:rsidR="005C22EB">
        <w:rPr>
          <w:rFonts w:hint="cs"/>
          <w:i/>
          <w:iCs/>
          <w:rtl/>
        </w:rPr>
        <w:t>الملكية الفكرية ونقل التكنولوجيا</w:t>
      </w:r>
      <w:r w:rsidR="005C22EB">
        <w:rPr>
          <w:rFonts w:hint="cs"/>
          <w:rtl/>
        </w:rPr>
        <w:t xml:space="preserve">: </w:t>
      </w:r>
      <w:r w:rsidR="005C22EB">
        <w:rPr>
          <w:rFonts w:hint="cs"/>
          <w:i/>
          <w:iCs/>
          <w:rtl/>
        </w:rPr>
        <w:t>التحديات المشتركة وبناء الحلول</w:t>
      </w:r>
      <w:r>
        <w:rPr>
          <w:rtl/>
        </w:rPr>
        <w:t>" (</w:t>
      </w:r>
      <w:r>
        <w:rPr>
          <w:rFonts w:hint="cs"/>
          <w:rtl/>
        </w:rPr>
        <w:t xml:space="preserve">رمز </w:t>
      </w:r>
      <w:r>
        <w:rPr>
          <w:rtl/>
        </w:rPr>
        <w:t xml:space="preserve">المشروع: </w:t>
      </w:r>
      <w:r w:rsidR="005C22EB" w:rsidRPr="000D23C2">
        <w:t>DA_19_25_26_28</w:t>
      </w:r>
      <w:r>
        <w:rPr>
          <w:rtl/>
        </w:rPr>
        <w:t>، "المشروع") في إطار جدول أعمال التنمية</w:t>
      </w:r>
      <w:r w:rsidR="005C22EB">
        <w:rPr>
          <w:rFonts w:hint="cs"/>
          <w:rtl/>
        </w:rPr>
        <w:t>،</w:t>
      </w:r>
      <w:r w:rsidR="00013952">
        <w:rPr>
          <w:rFonts w:hint="cs"/>
          <w:rtl/>
        </w:rPr>
        <w:t xml:space="preserve"> ويسترشد بالاختصاصات المؤرخة في 14 مايو 2015.</w:t>
      </w:r>
    </w:p>
    <w:p w:rsidR="00087DD5" w:rsidRDefault="00B965C9" w:rsidP="007750F6">
      <w:pPr>
        <w:pStyle w:val="NormalParaAR"/>
        <w:widowControl w:val="0"/>
        <w:suppressAutoHyphens/>
        <w:rPr>
          <w:rtl/>
        </w:rPr>
      </w:pPr>
      <w:r>
        <w:rPr>
          <w:rFonts w:hint="cs"/>
          <w:rtl/>
        </w:rPr>
        <w:t>واضطلع بالعمل في الفترة الممتدة من 1 يونيو إلى 13 نوفمبر 2015</w:t>
      </w:r>
      <w:r w:rsidR="00E50C5F">
        <w:rPr>
          <w:rFonts w:hint="cs"/>
          <w:rtl/>
        </w:rPr>
        <w:t xml:space="preserve">، </w:t>
      </w:r>
      <w:r w:rsidR="006E6632">
        <w:rPr>
          <w:rFonts w:hint="cs"/>
          <w:rtl/>
        </w:rPr>
        <w:t>المقي</w:t>
      </w:r>
      <w:r w:rsidR="000C4E09">
        <w:rPr>
          <w:rFonts w:hint="cs"/>
          <w:rtl/>
        </w:rPr>
        <w:t>ِّ</w:t>
      </w:r>
      <w:r w:rsidR="006E6632">
        <w:rPr>
          <w:rFonts w:hint="cs"/>
          <w:rtl/>
        </w:rPr>
        <w:t>مان الخارجيان (</w:t>
      </w:r>
      <w:r w:rsidR="001462B1">
        <w:rPr>
          <w:rFonts w:hint="cs"/>
          <w:rtl/>
        </w:rPr>
        <w:t xml:space="preserve">السيد دانييل </w:t>
      </w:r>
      <w:proofErr w:type="spellStart"/>
      <w:r w:rsidR="001462B1">
        <w:rPr>
          <w:rFonts w:hint="cs"/>
          <w:rtl/>
        </w:rPr>
        <w:t>كيلير</w:t>
      </w:r>
      <w:proofErr w:type="spellEnd"/>
      <w:r w:rsidR="006E6632" w:rsidRPr="006E6632">
        <w:rPr>
          <w:rFonts w:hint="cs"/>
          <w:rtl/>
        </w:rPr>
        <w:t>،</w:t>
      </w:r>
      <w:r w:rsidR="004920EF">
        <w:rPr>
          <w:rFonts w:hint="cs"/>
          <w:rtl/>
        </w:rPr>
        <w:t xml:space="preserve"> </w:t>
      </w:r>
      <w:r w:rsidR="00000513">
        <w:rPr>
          <w:rFonts w:hint="cs"/>
          <w:rtl/>
        </w:rPr>
        <w:t xml:space="preserve">من </w:t>
      </w:r>
      <w:r w:rsidR="004920EF">
        <w:rPr>
          <w:rFonts w:hint="cs"/>
          <w:rtl/>
        </w:rPr>
        <w:t>شركة إفال</w:t>
      </w:r>
      <w:r w:rsidR="00B61C0F">
        <w:rPr>
          <w:rFonts w:hint="eastAsia"/>
          <w:rtl/>
        </w:rPr>
        <w:t> </w:t>
      </w:r>
      <w:proofErr w:type="spellStart"/>
      <w:r w:rsidR="004920EF">
        <w:rPr>
          <w:rFonts w:hint="cs"/>
          <w:rtl/>
        </w:rPr>
        <w:t>كو</w:t>
      </w:r>
      <w:proofErr w:type="spellEnd"/>
      <w:r w:rsidR="004920EF">
        <w:rPr>
          <w:rFonts w:hint="cs"/>
          <w:rtl/>
        </w:rPr>
        <w:t xml:space="preserve"> المحدودة المسؤولية (</w:t>
      </w:r>
      <w:proofErr w:type="spellStart"/>
      <w:r w:rsidR="004920EF" w:rsidRPr="000D23C2">
        <w:t>EvalCo</w:t>
      </w:r>
      <w:proofErr w:type="spellEnd"/>
      <w:r w:rsidR="004920EF" w:rsidRPr="000D23C2">
        <w:t xml:space="preserve"> </w:t>
      </w:r>
      <w:proofErr w:type="spellStart"/>
      <w:r w:rsidR="004920EF" w:rsidRPr="000D23C2">
        <w:t>Sàrl</w:t>
      </w:r>
      <w:proofErr w:type="spellEnd"/>
      <w:r w:rsidR="004920EF">
        <w:rPr>
          <w:rFonts w:hint="cs"/>
          <w:rtl/>
        </w:rPr>
        <w:t>)،</w:t>
      </w:r>
      <w:r w:rsidR="006E6632" w:rsidRPr="006E6632">
        <w:rPr>
          <w:rFonts w:hint="cs"/>
          <w:rtl/>
        </w:rPr>
        <w:t xml:space="preserve"> </w:t>
      </w:r>
      <w:r w:rsidR="006E6632" w:rsidRPr="006E6632">
        <w:rPr>
          <w:rtl/>
        </w:rPr>
        <w:t>سويسرا</w:t>
      </w:r>
      <w:r w:rsidR="004920EF">
        <w:rPr>
          <w:rFonts w:hint="cs"/>
          <w:rtl/>
        </w:rPr>
        <w:t>، والدكتور</w:t>
      </w:r>
      <w:r w:rsidR="006E6632" w:rsidRPr="006E6632">
        <w:rPr>
          <w:rFonts w:hint="cs"/>
          <w:rtl/>
        </w:rPr>
        <w:t xml:space="preserve"> </w:t>
      </w:r>
      <w:r w:rsidR="00D84CC9">
        <w:rPr>
          <w:rFonts w:hint="cs"/>
          <w:rtl/>
        </w:rPr>
        <w:t>راشد</w:t>
      </w:r>
      <w:r w:rsidR="006E6632" w:rsidRPr="006E6632">
        <w:rPr>
          <w:rFonts w:hint="cs"/>
          <w:rtl/>
        </w:rPr>
        <w:t xml:space="preserve"> خان، </w:t>
      </w:r>
      <w:r w:rsidR="00000513">
        <w:rPr>
          <w:rFonts w:hint="cs"/>
          <w:rtl/>
        </w:rPr>
        <w:t>من شركة</w:t>
      </w:r>
      <w:r w:rsidR="006E6632" w:rsidRPr="006E6632">
        <w:rPr>
          <w:rFonts w:hint="cs"/>
          <w:rtl/>
        </w:rPr>
        <w:t xml:space="preserve"> الابتكار العالمي والملكية الفكرية في الولايات المتحدة الأمريكية وآسيا</w:t>
      </w:r>
      <w:r w:rsidR="006E6632">
        <w:rPr>
          <w:rFonts w:hint="cs"/>
          <w:rtl/>
        </w:rPr>
        <w:t>)</w:t>
      </w:r>
      <w:r w:rsidR="00000513">
        <w:rPr>
          <w:rFonts w:hint="cs"/>
          <w:rtl/>
        </w:rPr>
        <w:t xml:space="preserve"> بالتنسيق </w:t>
      </w:r>
      <w:r w:rsidR="007A0A0D">
        <w:rPr>
          <w:rFonts w:hint="cs"/>
          <w:rtl/>
        </w:rPr>
        <w:t>الوثيق</w:t>
      </w:r>
      <w:r w:rsidR="00087DD5">
        <w:rPr>
          <w:rFonts w:hint="cs"/>
          <w:rtl/>
        </w:rPr>
        <w:t xml:space="preserve"> مع شعبة تنسيق جدول أعمال التنمية.</w:t>
      </w:r>
    </w:p>
    <w:p w:rsidR="00521A28" w:rsidRDefault="00D84CC9" w:rsidP="007750F6">
      <w:pPr>
        <w:pStyle w:val="NormalParaAR"/>
        <w:widowControl w:val="0"/>
        <w:suppressAutoHyphens/>
        <w:rPr>
          <w:rtl/>
        </w:rPr>
      </w:pPr>
      <w:proofErr w:type="gramStart"/>
      <w:r>
        <w:rPr>
          <w:rFonts w:hint="cs"/>
          <w:rtl/>
        </w:rPr>
        <w:t>و</w:t>
      </w:r>
      <w:r w:rsidR="00811523">
        <w:rPr>
          <w:rFonts w:hint="cs"/>
          <w:rtl/>
        </w:rPr>
        <w:t>يُعرَّف</w:t>
      </w:r>
      <w:proofErr w:type="gramEnd"/>
      <w:r w:rsidR="00811523">
        <w:rPr>
          <w:rFonts w:hint="cs"/>
          <w:rtl/>
        </w:rPr>
        <w:t xml:space="preserve"> نقل التكنولوجيا </w:t>
      </w:r>
      <w:r>
        <w:rPr>
          <w:rFonts w:hint="cs"/>
          <w:rtl/>
        </w:rPr>
        <w:t>بتعريف</w:t>
      </w:r>
      <w:r w:rsidR="00811523">
        <w:rPr>
          <w:rFonts w:hint="cs"/>
          <w:rtl/>
        </w:rPr>
        <w:t xml:space="preserve"> غير رسمي، على أنه </w:t>
      </w:r>
      <w:r w:rsidR="003A401E">
        <w:rPr>
          <w:rFonts w:hint="cs"/>
          <w:rtl/>
        </w:rPr>
        <w:t>عملية نشر التكنولوجيا التجارية و</w:t>
      </w:r>
      <w:r w:rsidR="00C23122">
        <w:rPr>
          <w:rFonts w:hint="cs"/>
          <w:rtl/>
        </w:rPr>
        <w:t>فهمها</w:t>
      </w:r>
      <w:r w:rsidR="00C01244">
        <w:rPr>
          <w:rFonts w:hint="cs"/>
          <w:rtl/>
        </w:rPr>
        <w:t>.</w:t>
      </w:r>
      <w:r w:rsidR="00007187">
        <w:rPr>
          <w:rFonts w:hint="cs"/>
          <w:rtl/>
        </w:rPr>
        <w:t xml:space="preserve"> </w:t>
      </w:r>
      <w:proofErr w:type="gramStart"/>
      <w:r w:rsidR="00D602DC">
        <w:rPr>
          <w:rFonts w:hint="cs"/>
          <w:rtl/>
        </w:rPr>
        <w:t>ولا</w:t>
      </w:r>
      <w:proofErr w:type="gramEnd"/>
      <w:r w:rsidR="00D602DC">
        <w:rPr>
          <w:rFonts w:hint="cs"/>
          <w:rtl/>
        </w:rPr>
        <w:t xml:space="preserve"> يقتصر نقل التكنولوجيا التجارية</w:t>
      </w:r>
      <w:r w:rsidR="002E42A3">
        <w:rPr>
          <w:rFonts w:hint="cs"/>
          <w:rtl/>
        </w:rPr>
        <w:t xml:space="preserve"> على بيع حقوق الملكية الصناعية وترخيصها (باستثناء العلامات التجارية)</w:t>
      </w:r>
      <w:r w:rsidR="002440FC">
        <w:rPr>
          <w:rFonts w:hint="cs"/>
          <w:rtl/>
        </w:rPr>
        <w:t>،</w:t>
      </w:r>
      <w:r w:rsidR="00111A0E">
        <w:rPr>
          <w:rFonts w:hint="cs"/>
          <w:rtl/>
        </w:rPr>
        <w:t xml:space="preserve"> </w:t>
      </w:r>
      <w:r w:rsidR="00222A10">
        <w:rPr>
          <w:rFonts w:hint="cs"/>
          <w:rtl/>
        </w:rPr>
        <w:t>بل</w:t>
      </w:r>
      <w:r w:rsidR="00111A0E">
        <w:rPr>
          <w:rFonts w:hint="cs"/>
          <w:rtl/>
        </w:rPr>
        <w:t xml:space="preserve"> يتضمن </w:t>
      </w:r>
      <w:r w:rsidR="00222A10">
        <w:rPr>
          <w:rFonts w:hint="cs"/>
          <w:rtl/>
        </w:rPr>
        <w:t xml:space="preserve">كذلك </w:t>
      </w:r>
      <w:r w:rsidR="00111A0E">
        <w:rPr>
          <w:rFonts w:hint="cs"/>
          <w:rtl/>
        </w:rPr>
        <w:t>توفير الدراية العملية والمهارات والأفكار والخبرة التقنية بأشكال مختلفة.</w:t>
      </w:r>
      <w:r w:rsidR="00AE28C9">
        <w:rPr>
          <w:rFonts w:hint="cs"/>
          <w:rtl/>
        </w:rPr>
        <w:t xml:space="preserve"> </w:t>
      </w:r>
      <w:r>
        <w:rPr>
          <w:rFonts w:hint="cs"/>
          <w:rtl/>
        </w:rPr>
        <w:t>وعند إدخال تكنولوجيا</w:t>
      </w:r>
      <w:r w:rsidR="00F362F9">
        <w:rPr>
          <w:rFonts w:hint="cs"/>
          <w:rtl/>
        </w:rPr>
        <w:t xml:space="preserve"> إلى البلد</w:t>
      </w:r>
      <w:r>
        <w:rPr>
          <w:rFonts w:hint="cs"/>
          <w:rtl/>
        </w:rPr>
        <w:t xml:space="preserve"> يلمّ بها </w:t>
      </w:r>
      <w:proofErr w:type="gramStart"/>
      <w:r>
        <w:rPr>
          <w:rFonts w:hint="cs"/>
          <w:rtl/>
        </w:rPr>
        <w:t>أهل</w:t>
      </w:r>
      <w:proofErr w:type="gramEnd"/>
      <w:r>
        <w:rPr>
          <w:rFonts w:hint="cs"/>
          <w:rtl/>
        </w:rPr>
        <w:t xml:space="preserve"> البلد</w:t>
      </w:r>
      <w:r w:rsidR="00F362F9">
        <w:rPr>
          <w:rFonts w:hint="cs"/>
          <w:rtl/>
        </w:rPr>
        <w:t>.</w:t>
      </w:r>
      <w:r w:rsidR="002D6716">
        <w:rPr>
          <w:rFonts w:hint="cs"/>
          <w:rtl/>
        </w:rPr>
        <w:t xml:space="preserve"> </w:t>
      </w:r>
      <w:r w:rsidR="00A01BB7">
        <w:rPr>
          <w:rFonts w:hint="cs"/>
          <w:rtl/>
        </w:rPr>
        <w:t>ومن فوائد نقل التكنولوجيا</w:t>
      </w:r>
      <w:r w:rsidR="001E62B9">
        <w:rPr>
          <w:rFonts w:hint="cs"/>
          <w:rtl/>
        </w:rPr>
        <w:t xml:space="preserve"> أن </w:t>
      </w:r>
      <w:r w:rsidR="00A01BB7">
        <w:rPr>
          <w:rFonts w:hint="cs"/>
          <w:rtl/>
        </w:rPr>
        <w:t xml:space="preserve">انتشارها </w:t>
      </w:r>
      <w:r w:rsidR="001E62B9">
        <w:rPr>
          <w:rFonts w:hint="cs"/>
          <w:rtl/>
        </w:rPr>
        <w:t xml:space="preserve">يولِّد </w:t>
      </w:r>
      <w:r w:rsidR="00AE28C9">
        <w:rPr>
          <w:rFonts w:hint="cs"/>
          <w:rtl/>
        </w:rPr>
        <w:t>تأثير</w:t>
      </w:r>
      <w:r w:rsidR="001E62B9">
        <w:rPr>
          <w:rFonts w:hint="cs"/>
          <w:rtl/>
        </w:rPr>
        <w:t>اً</w:t>
      </w:r>
      <w:r w:rsidR="00AE28C9">
        <w:rPr>
          <w:rFonts w:hint="cs"/>
          <w:rtl/>
        </w:rPr>
        <w:t xml:space="preserve"> اقتصادي</w:t>
      </w:r>
      <w:r w:rsidR="001E62B9">
        <w:rPr>
          <w:rFonts w:hint="cs"/>
          <w:rtl/>
        </w:rPr>
        <w:t>اً</w:t>
      </w:r>
      <w:r w:rsidR="00AE28C9">
        <w:rPr>
          <w:rFonts w:hint="cs"/>
          <w:rtl/>
        </w:rPr>
        <w:t xml:space="preserve"> واسع النطاق</w:t>
      </w:r>
      <w:r w:rsidR="001E62B9">
        <w:rPr>
          <w:rFonts w:hint="cs"/>
          <w:rtl/>
        </w:rPr>
        <w:t>.</w:t>
      </w:r>
    </w:p>
    <w:p w:rsidR="00BD511B" w:rsidRDefault="00521A28" w:rsidP="007750F6">
      <w:pPr>
        <w:pStyle w:val="NormalParaAR"/>
        <w:widowControl w:val="0"/>
        <w:suppressAutoHyphens/>
        <w:rPr>
          <w:rtl/>
        </w:rPr>
      </w:pPr>
      <w:proofErr w:type="gramStart"/>
      <w:r>
        <w:rPr>
          <w:rFonts w:hint="cs"/>
          <w:rtl/>
        </w:rPr>
        <w:t>واعتمدت</w:t>
      </w:r>
      <w:proofErr w:type="gramEnd"/>
      <w:r>
        <w:rPr>
          <w:rFonts w:hint="cs"/>
          <w:rtl/>
        </w:rPr>
        <w:t xml:space="preserve"> </w:t>
      </w:r>
      <w:r w:rsidR="001E62B9">
        <w:rPr>
          <w:rFonts w:hint="cs"/>
          <w:rtl/>
        </w:rPr>
        <w:t xml:space="preserve">المشروع </w:t>
      </w:r>
      <w:r w:rsidR="00C5366B">
        <w:rPr>
          <w:rFonts w:hint="cs"/>
          <w:rtl/>
        </w:rPr>
        <w:t>ال</w:t>
      </w:r>
      <w:r>
        <w:rPr>
          <w:rFonts w:hint="cs"/>
          <w:rtl/>
        </w:rPr>
        <w:t>لجنة</w:t>
      </w:r>
      <w:r w:rsidR="00C5366B">
        <w:rPr>
          <w:rFonts w:hint="cs"/>
          <w:rtl/>
        </w:rPr>
        <w:t xml:space="preserve"> المعنية بالتنمية والملكية الفكرية </w:t>
      </w:r>
      <w:r w:rsidR="00D25E4E">
        <w:rPr>
          <w:rFonts w:hint="cs"/>
          <w:rtl/>
        </w:rPr>
        <w:t xml:space="preserve">في دورتها السادسة التي عُقدت في </w:t>
      </w:r>
      <w:r w:rsidR="00C5366B">
        <w:rPr>
          <w:rFonts w:hint="cs"/>
          <w:rtl/>
        </w:rPr>
        <w:t>جنيف (من 22 إلى 26 نوفمبر</w:t>
      </w:r>
      <w:r w:rsidR="00912340">
        <w:rPr>
          <w:rFonts w:hint="eastAsia"/>
          <w:rtl/>
        </w:rPr>
        <w:t> </w:t>
      </w:r>
      <w:r w:rsidR="00C5366B">
        <w:rPr>
          <w:rFonts w:hint="cs"/>
          <w:rtl/>
        </w:rPr>
        <w:t xml:space="preserve">2010) </w:t>
      </w:r>
      <w:r w:rsidR="00B346C4">
        <w:rPr>
          <w:rFonts w:hint="cs"/>
          <w:rtl/>
        </w:rPr>
        <w:t>وكان على شكل</w:t>
      </w:r>
      <w:r w:rsidR="005D3EA2">
        <w:rPr>
          <w:rFonts w:hint="cs"/>
          <w:rtl/>
        </w:rPr>
        <w:t xml:space="preserve"> </w:t>
      </w:r>
      <w:r w:rsidR="00A2789F">
        <w:rPr>
          <w:rFonts w:hint="cs"/>
          <w:rtl/>
        </w:rPr>
        <w:t>اقتراح مواضيعي مبدأي (</w:t>
      </w:r>
      <w:r w:rsidR="00A2789F">
        <w:t>CDIP/6/4 R</w:t>
      </w:r>
      <w:r w:rsidR="00A2789F" w:rsidRPr="000D23C2">
        <w:t>ev</w:t>
      </w:r>
      <w:r w:rsidR="00A2789F">
        <w:t>.</w:t>
      </w:r>
      <w:r w:rsidR="00A2789F">
        <w:rPr>
          <w:rFonts w:hint="cs"/>
          <w:rtl/>
        </w:rPr>
        <w:t>)</w:t>
      </w:r>
      <w:r w:rsidR="005A780C">
        <w:rPr>
          <w:rFonts w:hint="cs"/>
          <w:rtl/>
        </w:rPr>
        <w:t xml:space="preserve"> </w:t>
      </w:r>
      <w:r w:rsidR="00B346C4">
        <w:rPr>
          <w:rFonts w:hint="cs"/>
          <w:rtl/>
        </w:rPr>
        <w:t xml:space="preserve">ثم </w:t>
      </w:r>
      <w:r w:rsidR="005A780C">
        <w:rPr>
          <w:rFonts w:hint="cs"/>
          <w:rtl/>
        </w:rPr>
        <w:t xml:space="preserve">تحول إلى </w:t>
      </w:r>
      <w:r w:rsidR="00C62538">
        <w:rPr>
          <w:rFonts w:hint="cs"/>
          <w:rtl/>
        </w:rPr>
        <w:t>وثيقة</w:t>
      </w:r>
      <w:r w:rsidR="005A780C">
        <w:rPr>
          <w:rFonts w:hint="cs"/>
          <w:rtl/>
        </w:rPr>
        <w:t xml:space="preserve"> </w:t>
      </w:r>
      <w:proofErr w:type="gramStart"/>
      <w:r w:rsidR="005A780C">
        <w:rPr>
          <w:rFonts w:hint="cs"/>
          <w:rtl/>
        </w:rPr>
        <w:t>مشروع</w:t>
      </w:r>
      <w:proofErr w:type="gramEnd"/>
      <w:r w:rsidR="005A780C">
        <w:rPr>
          <w:rFonts w:hint="cs"/>
          <w:rtl/>
        </w:rPr>
        <w:t xml:space="preserve"> (</w:t>
      </w:r>
      <w:r w:rsidR="005A780C" w:rsidRPr="000D23C2">
        <w:t>CDIP</w:t>
      </w:r>
      <w:r w:rsidR="005A780C">
        <w:t>/</w:t>
      </w:r>
      <w:r w:rsidR="005A780C" w:rsidRPr="000D23C2">
        <w:t>8/7</w:t>
      </w:r>
      <w:r w:rsidR="005A780C">
        <w:rPr>
          <w:rFonts w:hint="cs"/>
          <w:rtl/>
        </w:rPr>
        <w:t>).</w:t>
      </w:r>
    </w:p>
    <w:p w:rsidR="00FF18CE" w:rsidRDefault="00912340" w:rsidP="007750F6">
      <w:pPr>
        <w:pStyle w:val="NormalParaAR"/>
        <w:widowControl w:val="0"/>
        <w:suppressAutoHyphens/>
        <w:rPr>
          <w:rtl/>
        </w:rPr>
      </w:pPr>
      <w:proofErr w:type="gramStart"/>
      <w:r>
        <w:rPr>
          <w:rFonts w:hint="cs"/>
          <w:rtl/>
        </w:rPr>
        <w:t>وبفضل</w:t>
      </w:r>
      <w:proofErr w:type="gramEnd"/>
      <w:r w:rsidR="00EB0DAC">
        <w:rPr>
          <w:rFonts w:hint="cs"/>
          <w:rtl/>
        </w:rPr>
        <w:t xml:space="preserve"> </w:t>
      </w:r>
      <w:r>
        <w:rPr>
          <w:rFonts w:hint="cs"/>
          <w:rtl/>
        </w:rPr>
        <w:t xml:space="preserve">إسهامات </w:t>
      </w:r>
      <w:r w:rsidR="005914A0">
        <w:rPr>
          <w:rFonts w:hint="cs"/>
          <w:rtl/>
        </w:rPr>
        <w:t>خمسة اجتماعات</w:t>
      </w:r>
      <w:r>
        <w:rPr>
          <w:rFonts w:hint="cs"/>
          <w:rtl/>
        </w:rPr>
        <w:t xml:space="preserve"> إقليمية</w:t>
      </w:r>
      <w:r w:rsidR="005914A0">
        <w:rPr>
          <w:rFonts w:hint="cs"/>
          <w:rtl/>
        </w:rPr>
        <w:t xml:space="preserve"> </w:t>
      </w:r>
      <w:r w:rsidR="002B28F0">
        <w:rPr>
          <w:rFonts w:hint="cs"/>
          <w:rtl/>
        </w:rPr>
        <w:t xml:space="preserve">وست دراسات تحليلية </w:t>
      </w:r>
      <w:r w:rsidR="002C71B6">
        <w:rPr>
          <w:rFonts w:hint="cs"/>
          <w:rtl/>
        </w:rPr>
        <w:t xml:space="preserve">خضعت </w:t>
      </w:r>
      <w:r w:rsidR="0066535A">
        <w:rPr>
          <w:rFonts w:hint="cs"/>
          <w:rtl/>
        </w:rPr>
        <w:t>ل</w:t>
      </w:r>
      <w:r w:rsidR="002B28F0">
        <w:rPr>
          <w:rFonts w:hint="cs"/>
          <w:rtl/>
        </w:rPr>
        <w:t>استعراض الأقران</w:t>
      </w:r>
      <w:r>
        <w:rPr>
          <w:rFonts w:hint="cs"/>
          <w:rtl/>
        </w:rPr>
        <w:t>، استفاد منها</w:t>
      </w:r>
      <w:r w:rsidR="00B245DD">
        <w:rPr>
          <w:rFonts w:hint="cs"/>
          <w:rtl/>
        </w:rPr>
        <w:t xml:space="preserve"> </w:t>
      </w:r>
      <w:r w:rsidR="00481B73">
        <w:rPr>
          <w:rFonts w:hint="cs"/>
          <w:rtl/>
        </w:rPr>
        <w:t>منتدى خبراء،</w:t>
      </w:r>
      <w:r>
        <w:rPr>
          <w:rFonts w:hint="cs"/>
          <w:rtl/>
        </w:rPr>
        <w:t xml:space="preserve"> </w:t>
      </w:r>
      <w:r w:rsidR="00EB0DAC">
        <w:rPr>
          <w:rFonts w:hint="cs"/>
          <w:rtl/>
        </w:rPr>
        <w:t xml:space="preserve">سعى المشروع </w:t>
      </w:r>
      <w:r w:rsidR="00D85D72">
        <w:rPr>
          <w:rFonts w:hint="cs"/>
          <w:rtl/>
        </w:rPr>
        <w:t xml:space="preserve">إلى تطوير أفكار الخبراء </w:t>
      </w:r>
      <w:r w:rsidR="006B524E">
        <w:rPr>
          <w:rFonts w:hint="cs"/>
          <w:rtl/>
        </w:rPr>
        <w:t xml:space="preserve">من أجل </w:t>
      </w:r>
      <w:r w:rsidR="00051949">
        <w:rPr>
          <w:rFonts w:hint="cs"/>
          <w:rtl/>
        </w:rPr>
        <w:t>النهوض</w:t>
      </w:r>
      <w:r w:rsidR="006B524E">
        <w:rPr>
          <w:rFonts w:hint="cs"/>
          <w:rtl/>
        </w:rPr>
        <w:t xml:space="preserve"> </w:t>
      </w:r>
      <w:r w:rsidR="00051949">
        <w:rPr>
          <w:rFonts w:hint="cs"/>
          <w:rtl/>
        </w:rPr>
        <w:t>ب</w:t>
      </w:r>
      <w:r w:rsidR="006B524E">
        <w:rPr>
          <w:rFonts w:hint="cs"/>
          <w:rtl/>
        </w:rPr>
        <w:t>نقل التكنولوجيا</w:t>
      </w:r>
      <w:r w:rsidR="0016020F">
        <w:rPr>
          <w:rFonts w:hint="cs"/>
          <w:rtl/>
        </w:rPr>
        <w:t xml:space="preserve"> على الصعيد الدولي</w:t>
      </w:r>
      <w:r w:rsidR="006B524E">
        <w:rPr>
          <w:rFonts w:hint="cs"/>
          <w:rtl/>
        </w:rPr>
        <w:t xml:space="preserve">. </w:t>
      </w:r>
      <w:proofErr w:type="gramStart"/>
      <w:r w:rsidR="00C575C7">
        <w:rPr>
          <w:rFonts w:hint="cs"/>
          <w:rtl/>
        </w:rPr>
        <w:t>وكان</w:t>
      </w:r>
      <w:proofErr w:type="gramEnd"/>
      <w:r w:rsidR="00C575C7">
        <w:rPr>
          <w:rFonts w:hint="cs"/>
          <w:rtl/>
        </w:rPr>
        <w:t xml:space="preserve"> من المتوقع</w:t>
      </w:r>
      <w:r w:rsidR="00B11E16">
        <w:rPr>
          <w:rFonts w:hint="cs"/>
          <w:rtl/>
        </w:rPr>
        <w:t xml:space="preserve"> </w:t>
      </w:r>
      <w:r w:rsidR="00071220">
        <w:rPr>
          <w:rFonts w:hint="cs"/>
          <w:rtl/>
        </w:rPr>
        <w:t xml:space="preserve">أن يُسهم </w:t>
      </w:r>
      <w:r w:rsidR="00051949">
        <w:rPr>
          <w:rFonts w:hint="cs"/>
          <w:rtl/>
        </w:rPr>
        <w:t>ذلك</w:t>
      </w:r>
      <w:r w:rsidR="00071220">
        <w:rPr>
          <w:rFonts w:hint="cs"/>
          <w:rtl/>
        </w:rPr>
        <w:t xml:space="preserve"> في اكتشاف سبل جديدة </w:t>
      </w:r>
      <w:r w:rsidR="000F0405">
        <w:rPr>
          <w:rFonts w:hint="cs"/>
          <w:rtl/>
        </w:rPr>
        <w:t>ل</w:t>
      </w:r>
      <w:r w:rsidR="00071220">
        <w:rPr>
          <w:rFonts w:hint="cs"/>
          <w:rtl/>
        </w:rPr>
        <w:t xml:space="preserve">إنشاء تعاون </w:t>
      </w:r>
      <w:r w:rsidR="00051949">
        <w:rPr>
          <w:rFonts w:hint="cs"/>
          <w:rtl/>
        </w:rPr>
        <w:t xml:space="preserve">الدولي </w:t>
      </w:r>
      <w:r w:rsidR="00071220">
        <w:rPr>
          <w:rFonts w:hint="cs"/>
          <w:rtl/>
        </w:rPr>
        <w:t xml:space="preserve">في مجال الملكية الفكرية </w:t>
      </w:r>
      <w:r w:rsidR="00051949">
        <w:rPr>
          <w:rFonts w:hint="cs"/>
          <w:rtl/>
        </w:rPr>
        <w:t>وتعزيز</w:t>
      </w:r>
      <w:r w:rsidR="00D61688">
        <w:rPr>
          <w:rFonts w:hint="cs"/>
          <w:rtl/>
        </w:rPr>
        <w:t xml:space="preserve"> </w:t>
      </w:r>
      <w:r w:rsidR="00051949">
        <w:rPr>
          <w:rFonts w:hint="cs"/>
          <w:rtl/>
        </w:rPr>
        <w:t>ال</w:t>
      </w:r>
      <w:r w:rsidR="00D61688">
        <w:rPr>
          <w:rFonts w:hint="cs"/>
          <w:rtl/>
        </w:rPr>
        <w:t xml:space="preserve">تفاهم </w:t>
      </w:r>
      <w:r w:rsidR="00051949">
        <w:rPr>
          <w:rFonts w:hint="cs"/>
          <w:rtl/>
        </w:rPr>
        <w:t>والتوافق</w:t>
      </w:r>
      <w:r w:rsidR="00D61688">
        <w:rPr>
          <w:rFonts w:hint="cs"/>
          <w:rtl/>
        </w:rPr>
        <w:t xml:space="preserve"> </w:t>
      </w:r>
      <w:r w:rsidR="00051949">
        <w:rPr>
          <w:rFonts w:hint="cs"/>
          <w:rtl/>
        </w:rPr>
        <w:t>على</w:t>
      </w:r>
      <w:r w:rsidR="00D61688">
        <w:rPr>
          <w:rFonts w:hint="cs"/>
          <w:rtl/>
        </w:rPr>
        <w:t xml:space="preserve"> </w:t>
      </w:r>
      <w:r w:rsidR="00FF18CE">
        <w:rPr>
          <w:rFonts w:hint="cs"/>
          <w:rtl/>
        </w:rPr>
        <w:t>مبادرات الملكية الفكرية أو سياس</w:t>
      </w:r>
      <w:r w:rsidR="00051949">
        <w:rPr>
          <w:rFonts w:hint="cs"/>
          <w:rtl/>
        </w:rPr>
        <w:t>ا</w:t>
      </w:r>
      <w:r w:rsidR="00FF18CE">
        <w:rPr>
          <w:rFonts w:hint="cs"/>
          <w:rtl/>
        </w:rPr>
        <w:t xml:space="preserve">تها من أجل </w:t>
      </w:r>
      <w:r w:rsidR="00051949">
        <w:rPr>
          <w:rFonts w:hint="cs"/>
          <w:rtl/>
        </w:rPr>
        <w:t>النهوض</w:t>
      </w:r>
      <w:r w:rsidR="00FF18CE">
        <w:rPr>
          <w:rFonts w:hint="cs"/>
          <w:rtl/>
        </w:rPr>
        <w:t xml:space="preserve"> </w:t>
      </w:r>
      <w:r w:rsidR="00051949">
        <w:rPr>
          <w:rFonts w:hint="cs"/>
          <w:rtl/>
        </w:rPr>
        <w:t>ب</w:t>
      </w:r>
      <w:r w:rsidR="00FF18CE">
        <w:rPr>
          <w:rFonts w:hint="cs"/>
          <w:rtl/>
        </w:rPr>
        <w:t>نقل التكنولوجيا.</w:t>
      </w:r>
      <w:r w:rsidR="00AB2346">
        <w:rPr>
          <w:rFonts w:hint="cs"/>
          <w:rtl/>
        </w:rPr>
        <w:t xml:space="preserve"> </w:t>
      </w:r>
    </w:p>
    <w:p w:rsidR="00540D4F" w:rsidRDefault="00AB2346" w:rsidP="007750F6">
      <w:pPr>
        <w:pStyle w:val="NormalParaAR"/>
        <w:widowControl w:val="0"/>
        <w:suppressAutoHyphens/>
        <w:rPr>
          <w:rtl/>
        </w:rPr>
      </w:pPr>
      <w:r>
        <w:rPr>
          <w:rFonts w:hint="cs"/>
          <w:rtl/>
        </w:rPr>
        <w:t>و</w:t>
      </w:r>
      <w:r w:rsidR="00EA2F48">
        <w:rPr>
          <w:rFonts w:hint="cs"/>
          <w:rtl/>
        </w:rPr>
        <w:t xml:space="preserve">كانت </w:t>
      </w:r>
      <w:r w:rsidR="00051949">
        <w:rPr>
          <w:rFonts w:hint="cs"/>
          <w:rtl/>
        </w:rPr>
        <w:t>المدة</w:t>
      </w:r>
      <w:r>
        <w:rPr>
          <w:rFonts w:hint="cs"/>
          <w:rtl/>
        </w:rPr>
        <w:t xml:space="preserve"> المقررة في الأصل لإنجاز المشروع </w:t>
      </w:r>
      <w:r w:rsidR="005A25AC">
        <w:rPr>
          <w:rFonts w:hint="cs"/>
          <w:rtl/>
        </w:rPr>
        <w:t xml:space="preserve">27 </w:t>
      </w:r>
      <w:proofErr w:type="gramStart"/>
      <w:r w:rsidR="005A25AC">
        <w:rPr>
          <w:rFonts w:hint="cs"/>
          <w:rtl/>
        </w:rPr>
        <w:t>شهراً</w:t>
      </w:r>
      <w:proofErr w:type="gramEnd"/>
      <w:r w:rsidR="005A25AC">
        <w:rPr>
          <w:rFonts w:hint="cs"/>
          <w:rtl/>
        </w:rPr>
        <w:t xml:space="preserve"> (من 1 يناير 2011 إلى 31 مارس 2013). وقد </w:t>
      </w:r>
      <w:r w:rsidR="00930F40">
        <w:rPr>
          <w:rFonts w:hint="cs"/>
          <w:rtl/>
        </w:rPr>
        <w:t>ا</w:t>
      </w:r>
      <w:r w:rsidR="005A25AC">
        <w:rPr>
          <w:rFonts w:hint="cs"/>
          <w:rtl/>
        </w:rPr>
        <w:t>ب</w:t>
      </w:r>
      <w:r w:rsidR="00930F40">
        <w:rPr>
          <w:rFonts w:hint="cs"/>
          <w:rtl/>
        </w:rPr>
        <w:t>تدأ تنفيذ</w:t>
      </w:r>
      <w:r w:rsidR="002A0A2A">
        <w:rPr>
          <w:rFonts w:hint="cs"/>
          <w:rtl/>
        </w:rPr>
        <w:t>ه</w:t>
      </w:r>
      <w:r w:rsidR="00930F40">
        <w:rPr>
          <w:rFonts w:hint="cs"/>
          <w:rtl/>
        </w:rPr>
        <w:t xml:space="preserve"> </w:t>
      </w:r>
      <w:r w:rsidR="005A25AC">
        <w:rPr>
          <w:rFonts w:hint="cs"/>
          <w:rtl/>
        </w:rPr>
        <w:t xml:space="preserve">في </w:t>
      </w:r>
      <w:r w:rsidR="00930F40">
        <w:rPr>
          <w:rFonts w:hint="cs"/>
          <w:rtl/>
        </w:rPr>
        <w:t xml:space="preserve">يناير 2011 </w:t>
      </w:r>
      <w:r w:rsidR="00055F6D">
        <w:rPr>
          <w:rFonts w:hint="cs"/>
          <w:rtl/>
        </w:rPr>
        <w:t xml:space="preserve">وانتهى رسمياً في يوليو 2014 (43 شهراً)، </w:t>
      </w:r>
      <w:r w:rsidR="00051949">
        <w:rPr>
          <w:rFonts w:hint="cs"/>
          <w:rtl/>
        </w:rPr>
        <w:t>أي</w:t>
      </w:r>
      <w:r w:rsidR="00055F6D">
        <w:rPr>
          <w:rFonts w:hint="cs"/>
          <w:rtl/>
        </w:rPr>
        <w:t xml:space="preserve"> بعد تمديدين دون تكاليف إضافية. </w:t>
      </w:r>
      <w:r w:rsidR="00051949">
        <w:rPr>
          <w:rFonts w:hint="cs"/>
          <w:rtl/>
        </w:rPr>
        <w:t>و</w:t>
      </w:r>
      <w:r w:rsidR="008B0BD1">
        <w:rPr>
          <w:rFonts w:hint="cs"/>
          <w:rtl/>
        </w:rPr>
        <w:t xml:space="preserve">استمر تنفيذ بعض الأنشطة بعد هذا التاريخ. </w:t>
      </w:r>
      <w:proofErr w:type="gramStart"/>
      <w:r w:rsidR="00051949">
        <w:rPr>
          <w:rFonts w:hint="cs"/>
          <w:rtl/>
        </w:rPr>
        <w:t>وأما</w:t>
      </w:r>
      <w:proofErr w:type="gramEnd"/>
      <w:r w:rsidR="00051949">
        <w:rPr>
          <w:rFonts w:hint="cs"/>
          <w:rtl/>
        </w:rPr>
        <w:t xml:space="preserve"> </w:t>
      </w:r>
      <w:r w:rsidR="000D4102">
        <w:rPr>
          <w:rFonts w:hint="cs"/>
          <w:rtl/>
        </w:rPr>
        <w:t>مشروع الم</w:t>
      </w:r>
      <w:r w:rsidR="005F000C">
        <w:rPr>
          <w:rFonts w:hint="cs"/>
          <w:rtl/>
        </w:rPr>
        <w:t>ن</w:t>
      </w:r>
      <w:r w:rsidR="000D4102">
        <w:rPr>
          <w:rFonts w:hint="cs"/>
          <w:rtl/>
        </w:rPr>
        <w:t>تدى الإلكتروني</w:t>
      </w:r>
      <w:r w:rsidR="005F000C">
        <w:rPr>
          <w:rFonts w:hint="cs"/>
          <w:rtl/>
        </w:rPr>
        <w:t xml:space="preserve"> المقرر </w:t>
      </w:r>
      <w:r w:rsidR="00051949">
        <w:rPr>
          <w:rFonts w:hint="cs"/>
          <w:rtl/>
        </w:rPr>
        <w:t xml:space="preserve">فلم يُستكمل </w:t>
      </w:r>
      <w:r w:rsidR="005F000C">
        <w:rPr>
          <w:rFonts w:hint="cs"/>
          <w:rtl/>
        </w:rPr>
        <w:t xml:space="preserve">إلا في نهاية يونيو 2015 (بعد 54 شهراً). </w:t>
      </w:r>
      <w:r w:rsidR="009C0043">
        <w:rPr>
          <w:rFonts w:hint="cs"/>
          <w:rtl/>
        </w:rPr>
        <w:t xml:space="preserve">ولم تُتخذ </w:t>
      </w:r>
      <w:r w:rsidR="00A12BA6">
        <w:rPr>
          <w:rFonts w:hint="cs"/>
          <w:rtl/>
        </w:rPr>
        <w:t xml:space="preserve">بعد </w:t>
      </w:r>
      <w:r w:rsidR="00051949">
        <w:rPr>
          <w:rFonts w:hint="cs"/>
          <w:rtl/>
        </w:rPr>
        <w:t>أية تدابير</w:t>
      </w:r>
      <w:r w:rsidR="009C0043">
        <w:rPr>
          <w:rFonts w:hint="cs"/>
          <w:rtl/>
        </w:rPr>
        <w:t xml:space="preserve"> نحو إدراج نتائج </w:t>
      </w:r>
      <w:r w:rsidR="00233832">
        <w:rPr>
          <w:rFonts w:hint="cs"/>
          <w:rtl/>
        </w:rPr>
        <w:t xml:space="preserve">المشروع في برامج الويبو </w:t>
      </w:r>
      <w:r w:rsidR="00540D4F">
        <w:rPr>
          <w:rFonts w:hint="cs"/>
          <w:rtl/>
        </w:rPr>
        <w:t>الواردة في وثيقة المشروع.</w:t>
      </w:r>
    </w:p>
    <w:p w:rsidR="00A12BA6" w:rsidRDefault="00226204" w:rsidP="007750F6">
      <w:pPr>
        <w:pStyle w:val="NormalParaAR"/>
        <w:widowControl w:val="0"/>
        <w:suppressAutoHyphens/>
        <w:rPr>
          <w:rtl/>
        </w:rPr>
      </w:pPr>
      <w:r>
        <w:rPr>
          <w:rFonts w:hint="cs"/>
          <w:rtl/>
        </w:rPr>
        <w:t xml:space="preserve">واستناداً إلى آخر تقرير مالي </w:t>
      </w:r>
      <w:r w:rsidR="00F02F65">
        <w:rPr>
          <w:rFonts w:hint="cs"/>
          <w:rtl/>
        </w:rPr>
        <w:t>رسمي صدر في نهاية مايو 2015، أنفق</w:t>
      </w:r>
      <w:r>
        <w:rPr>
          <w:rFonts w:hint="cs"/>
          <w:rtl/>
        </w:rPr>
        <w:t xml:space="preserve"> 76.8</w:t>
      </w:r>
      <w:r>
        <w:rPr>
          <w:rtl/>
        </w:rPr>
        <w:t>٪</w:t>
      </w:r>
      <w:r>
        <w:rPr>
          <w:rFonts w:hint="cs"/>
          <w:rtl/>
        </w:rPr>
        <w:t xml:space="preserve"> </w:t>
      </w:r>
      <w:proofErr w:type="gramStart"/>
      <w:r w:rsidR="00441205">
        <w:rPr>
          <w:rFonts w:hint="cs"/>
          <w:rtl/>
        </w:rPr>
        <w:t>من</w:t>
      </w:r>
      <w:proofErr w:type="gramEnd"/>
      <w:r w:rsidR="00441205">
        <w:rPr>
          <w:rFonts w:hint="cs"/>
          <w:rtl/>
        </w:rPr>
        <w:t xml:space="preserve"> الميزانية الإجمالية وقدرها 1532000 فرنك سويسري</w:t>
      </w:r>
      <w:r w:rsidR="00CF6A22">
        <w:rPr>
          <w:rFonts w:hint="cs"/>
          <w:rtl/>
        </w:rPr>
        <w:t xml:space="preserve"> </w:t>
      </w:r>
      <w:r w:rsidR="004839C6">
        <w:rPr>
          <w:rFonts w:hint="cs"/>
          <w:rtl/>
        </w:rPr>
        <w:t>(بم</w:t>
      </w:r>
      <w:r w:rsidR="00F02F65">
        <w:rPr>
          <w:rFonts w:hint="cs"/>
          <w:rtl/>
        </w:rPr>
        <w:t>ا فيها 549000 فرنك سويسري لتكاليف</w:t>
      </w:r>
      <w:r w:rsidR="004839C6">
        <w:rPr>
          <w:rFonts w:hint="cs"/>
          <w:rtl/>
        </w:rPr>
        <w:t xml:space="preserve"> الموظفين و983000 فرنك سويسري</w:t>
      </w:r>
      <w:r w:rsidR="00F02F65">
        <w:rPr>
          <w:rFonts w:hint="cs"/>
          <w:rtl/>
        </w:rPr>
        <w:t xml:space="preserve"> لغيرها من التكاليف</w:t>
      </w:r>
      <w:r w:rsidR="004839C6">
        <w:rPr>
          <w:rFonts w:hint="cs"/>
          <w:rtl/>
        </w:rPr>
        <w:t>)</w:t>
      </w:r>
      <w:r w:rsidR="00F445E2">
        <w:rPr>
          <w:rFonts w:hint="cs"/>
          <w:rtl/>
        </w:rPr>
        <w:t>.</w:t>
      </w:r>
    </w:p>
    <w:p w:rsidR="00F445E2" w:rsidRDefault="00F445E2" w:rsidP="007750F6">
      <w:pPr>
        <w:pStyle w:val="NormalParaAR"/>
        <w:widowControl w:val="0"/>
        <w:suppressAutoHyphens/>
        <w:rPr>
          <w:rtl/>
        </w:rPr>
      </w:pPr>
      <w:r>
        <w:rPr>
          <w:rFonts w:hint="cs"/>
          <w:rtl/>
        </w:rPr>
        <w:t xml:space="preserve">وتوصل التقييم إلى </w:t>
      </w:r>
      <w:r w:rsidR="007E0B7B" w:rsidRPr="007E0B7B">
        <w:rPr>
          <w:rtl/>
        </w:rPr>
        <w:t>الاستنتاج</w:t>
      </w:r>
      <w:r w:rsidR="007E0B7B">
        <w:rPr>
          <w:rFonts w:hint="cs"/>
          <w:rtl/>
        </w:rPr>
        <w:t>ات</w:t>
      </w:r>
      <w:r w:rsidR="007E0B7B" w:rsidRPr="007E0B7B">
        <w:rPr>
          <w:rtl/>
        </w:rPr>
        <w:t xml:space="preserve"> </w:t>
      </w:r>
      <w:r>
        <w:rPr>
          <w:rFonts w:hint="cs"/>
          <w:rtl/>
        </w:rPr>
        <w:t>التالية:</w:t>
      </w:r>
    </w:p>
    <w:p w:rsidR="00E46B5C" w:rsidRDefault="00D77AD8" w:rsidP="007750F6">
      <w:pPr>
        <w:pStyle w:val="NormalParaAR"/>
        <w:widowControl w:val="0"/>
        <w:suppressAutoHyphens/>
        <w:rPr>
          <w:i/>
          <w:iCs/>
          <w:rtl/>
        </w:rPr>
      </w:pPr>
      <w:r>
        <w:rPr>
          <w:rFonts w:hint="cs"/>
          <w:i/>
          <w:iCs/>
          <w:rtl/>
        </w:rPr>
        <w:t>الاستنتاج</w:t>
      </w:r>
      <w:r w:rsidR="00290707">
        <w:rPr>
          <w:rFonts w:hint="cs"/>
          <w:i/>
          <w:iCs/>
          <w:rtl/>
        </w:rPr>
        <w:t xml:space="preserve"> 1: </w:t>
      </w:r>
      <w:r w:rsidR="007615F5" w:rsidRPr="007615F5">
        <w:rPr>
          <w:i/>
          <w:iCs/>
          <w:rtl/>
        </w:rPr>
        <w:t>كانت مخرجات المشروع ذات وجاهة بال</w:t>
      </w:r>
      <w:r w:rsidR="007615F5">
        <w:rPr>
          <w:i/>
          <w:iCs/>
          <w:rtl/>
        </w:rPr>
        <w:t>غة، لكن بعض المخرجات لم تسلَّم</w:t>
      </w:r>
      <w:r w:rsidR="00B1336F">
        <w:rPr>
          <w:rFonts w:hint="cs"/>
          <w:i/>
          <w:iCs/>
          <w:rtl/>
        </w:rPr>
        <w:t>،</w:t>
      </w:r>
      <w:r w:rsidR="007615F5" w:rsidRPr="007615F5">
        <w:rPr>
          <w:rtl/>
        </w:rPr>
        <w:t xml:space="preserve"> </w:t>
      </w:r>
      <w:r w:rsidR="007615F5" w:rsidRPr="007615F5">
        <w:rPr>
          <w:i/>
          <w:iCs/>
          <w:rtl/>
        </w:rPr>
        <w:t>وكانت عناصر التسليم، عدا بعض الاستثناءات، ذات نوعية جيدة.</w:t>
      </w:r>
      <w:r w:rsidR="007724A9">
        <w:rPr>
          <w:rFonts w:hint="cs"/>
          <w:i/>
          <w:iCs/>
          <w:rtl/>
        </w:rPr>
        <w:t xml:space="preserve"> </w:t>
      </w:r>
      <w:proofErr w:type="gramStart"/>
      <w:r w:rsidR="007724A9">
        <w:rPr>
          <w:rFonts w:hint="cs"/>
          <w:i/>
          <w:iCs/>
          <w:rtl/>
        </w:rPr>
        <w:t>و</w:t>
      </w:r>
      <w:r w:rsidR="0096163F">
        <w:rPr>
          <w:rFonts w:hint="cs"/>
          <w:i/>
          <w:iCs/>
          <w:rtl/>
        </w:rPr>
        <w:t>قد</w:t>
      </w:r>
      <w:proofErr w:type="gramEnd"/>
      <w:r w:rsidR="0096163F">
        <w:rPr>
          <w:rFonts w:hint="cs"/>
          <w:i/>
          <w:iCs/>
          <w:rtl/>
        </w:rPr>
        <w:t xml:space="preserve"> أثر </w:t>
      </w:r>
      <w:r w:rsidR="007724A9">
        <w:rPr>
          <w:rFonts w:hint="cs"/>
          <w:i/>
          <w:iCs/>
          <w:rtl/>
        </w:rPr>
        <w:t xml:space="preserve">التأخير الكبير في </w:t>
      </w:r>
      <w:r w:rsidR="00E46B5C">
        <w:rPr>
          <w:rFonts w:hint="cs"/>
          <w:i/>
          <w:iCs/>
          <w:rtl/>
        </w:rPr>
        <w:t>تنفيذ</w:t>
      </w:r>
      <w:r w:rsidR="0096163F">
        <w:rPr>
          <w:rFonts w:hint="cs"/>
          <w:i/>
          <w:iCs/>
          <w:rtl/>
        </w:rPr>
        <w:t xml:space="preserve"> المشروع </w:t>
      </w:r>
      <w:r w:rsidR="00E46B5C">
        <w:rPr>
          <w:rFonts w:hint="cs"/>
          <w:i/>
          <w:iCs/>
          <w:rtl/>
        </w:rPr>
        <w:t>سلباً في فعالي</w:t>
      </w:r>
      <w:r w:rsidR="0096163F">
        <w:rPr>
          <w:rFonts w:hint="cs"/>
          <w:i/>
          <w:iCs/>
          <w:rtl/>
        </w:rPr>
        <w:t>ته</w:t>
      </w:r>
      <w:r w:rsidR="00E46B5C">
        <w:rPr>
          <w:rFonts w:hint="cs"/>
          <w:i/>
          <w:iCs/>
          <w:rtl/>
        </w:rPr>
        <w:t>،</w:t>
      </w:r>
      <w:r w:rsidR="0096163F">
        <w:rPr>
          <w:rFonts w:hint="cs"/>
          <w:i/>
          <w:iCs/>
          <w:rtl/>
        </w:rPr>
        <w:t xml:space="preserve"> غير أن </w:t>
      </w:r>
      <w:r w:rsidR="00E46B5C">
        <w:rPr>
          <w:rFonts w:hint="cs"/>
          <w:i/>
          <w:iCs/>
          <w:rtl/>
        </w:rPr>
        <w:t>الأمانة استخدمت الموارد على نحو ملائم.</w:t>
      </w:r>
    </w:p>
    <w:p w:rsidR="00AB2346" w:rsidRDefault="00193E09" w:rsidP="007750F6">
      <w:pPr>
        <w:pStyle w:val="NormalParaAR"/>
        <w:widowControl w:val="0"/>
        <w:suppressAutoHyphens/>
        <w:rPr>
          <w:rtl/>
        </w:rPr>
      </w:pPr>
      <w:r w:rsidRPr="001545B3">
        <w:rPr>
          <w:rFonts w:hint="cs"/>
          <w:rtl/>
        </w:rPr>
        <w:t>وأسهمت نتائج المؤتمرات والدراسات التي مولها المشروع</w:t>
      </w:r>
      <w:r w:rsidR="00BE3976">
        <w:rPr>
          <w:rFonts w:hint="cs"/>
          <w:rtl/>
        </w:rPr>
        <w:t>،</w:t>
      </w:r>
      <w:r w:rsidRPr="001545B3">
        <w:rPr>
          <w:rFonts w:hint="cs"/>
          <w:rtl/>
        </w:rPr>
        <w:t xml:space="preserve"> في تحديد </w:t>
      </w:r>
      <w:r w:rsidR="007C16CC">
        <w:rPr>
          <w:rFonts w:hint="cs"/>
          <w:rtl/>
        </w:rPr>
        <w:t>معوقات</w:t>
      </w:r>
      <w:r w:rsidRPr="001545B3">
        <w:rPr>
          <w:rFonts w:hint="cs"/>
          <w:rtl/>
        </w:rPr>
        <w:t xml:space="preserve"> نقل التكنولوجيا</w:t>
      </w:r>
      <w:r w:rsidR="00096C31">
        <w:rPr>
          <w:rFonts w:hint="cs"/>
          <w:rtl/>
        </w:rPr>
        <w:t xml:space="preserve"> ومناقشتها</w:t>
      </w:r>
      <w:r w:rsidRPr="001545B3">
        <w:rPr>
          <w:rFonts w:hint="cs"/>
          <w:rtl/>
        </w:rPr>
        <w:t xml:space="preserve">، </w:t>
      </w:r>
      <w:r w:rsidR="002A1835">
        <w:rPr>
          <w:rFonts w:hint="cs"/>
          <w:rtl/>
        </w:rPr>
        <w:t>و</w:t>
      </w:r>
      <w:r w:rsidR="009E37E3" w:rsidRPr="001545B3">
        <w:rPr>
          <w:rFonts w:hint="cs"/>
          <w:rtl/>
        </w:rPr>
        <w:t xml:space="preserve">استخلاص الممارسات الجيدة من </w:t>
      </w:r>
      <w:r w:rsidR="008F1C41" w:rsidRPr="001545B3">
        <w:rPr>
          <w:rFonts w:hint="cs"/>
          <w:rtl/>
        </w:rPr>
        <w:t>ال</w:t>
      </w:r>
      <w:r w:rsidR="009E37E3" w:rsidRPr="001545B3">
        <w:rPr>
          <w:rFonts w:hint="cs"/>
          <w:rtl/>
        </w:rPr>
        <w:t xml:space="preserve">دراسات </w:t>
      </w:r>
      <w:r w:rsidR="008F1C41" w:rsidRPr="001545B3">
        <w:rPr>
          <w:rFonts w:hint="cs"/>
          <w:rtl/>
        </w:rPr>
        <w:t>الإفرادية</w:t>
      </w:r>
      <w:r w:rsidR="009E37E3" w:rsidRPr="001545B3">
        <w:rPr>
          <w:rFonts w:hint="cs"/>
          <w:rtl/>
        </w:rPr>
        <w:t xml:space="preserve"> </w:t>
      </w:r>
      <w:r w:rsidR="008F1C41" w:rsidRPr="001545B3">
        <w:rPr>
          <w:rFonts w:hint="cs"/>
          <w:rtl/>
        </w:rPr>
        <w:t>لل</w:t>
      </w:r>
      <w:r w:rsidR="009E37E3" w:rsidRPr="001545B3">
        <w:rPr>
          <w:rFonts w:hint="cs"/>
          <w:rtl/>
        </w:rPr>
        <w:t>ممارسات الناجحة</w:t>
      </w:r>
      <w:r w:rsidR="00292466">
        <w:rPr>
          <w:rFonts w:hint="cs"/>
          <w:rtl/>
        </w:rPr>
        <w:t>،</w:t>
      </w:r>
      <w:r w:rsidR="00483259" w:rsidRPr="001545B3">
        <w:rPr>
          <w:rFonts w:hint="cs"/>
          <w:rtl/>
        </w:rPr>
        <w:t xml:space="preserve"> ومناقشة النتائج </w:t>
      </w:r>
      <w:r w:rsidR="002A1835">
        <w:rPr>
          <w:rFonts w:hint="cs"/>
          <w:rtl/>
        </w:rPr>
        <w:t>مع جمهور محدد</w:t>
      </w:r>
      <w:r w:rsidR="00680C21" w:rsidRPr="001545B3">
        <w:rPr>
          <w:rFonts w:hint="cs"/>
          <w:rtl/>
        </w:rPr>
        <w:t xml:space="preserve">. </w:t>
      </w:r>
      <w:r w:rsidR="00D618F0" w:rsidRPr="001545B3">
        <w:rPr>
          <w:rFonts w:hint="cs"/>
          <w:rtl/>
        </w:rPr>
        <w:t xml:space="preserve">لكن لم </w:t>
      </w:r>
      <w:r w:rsidR="00355580">
        <w:rPr>
          <w:rFonts w:hint="cs"/>
          <w:rtl/>
        </w:rPr>
        <w:t>يعط</w:t>
      </w:r>
      <w:r w:rsidR="00D509E5">
        <w:rPr>
          <w:rFonts w:hint="cs"/>
          <w:rtl/>
        </w:rPr>
        <w:t xml:space="preserve"> </w:t>
      </w:r>
      <w:r w:rsidR="00D618F0" w:rsidRPr="001545B3">
        <w:rPr>
          <w:rFonts w:hint="cs"/>
          <w:rtl/>
        </w:rPr>
        <w:t>المشروع</w:t>
      </w:r>
      <w:r w:rsidR="00D509E5">
        <w:rPr>
          <w:rFonts w:hint="cs"/>
          <w:rtl/>
        </w:rPr>
        <w:t xml:space="preserve"> إلى الآن </w:t>
      </w:r>
      <w:proofErr w:type="gramStart"/>
      <w:r w:rsidR="00E964A1" w:rsidRPr="001545B3">
        <w:rPr>
          <w:rFonts w:hint="cs"/>
          <w:rtl/>
        </w:rPr>
        <w:t>نتائج</w:t>
      </w:r>
      <w:proofErr w:type="gramEnd"/>
      <w:r w:rsidR="00E964A1" w:rsidRPr="001545B3">
        <w:rPr>
          <w:rFonts w:hint="cs"/>
          <w:rtl/>
        </w:rPr>
        <w:t xml:space="preserve"> ملموسة </w:t>
      </w:r>
      <w:r w:rsidR="00EB3EDD">
        <w:rPr>
          <w:rFonts w:hint="cs"/>
          <w:rtl/>
        </w:rPr>
        <w:t>واسعة النطاق</w:t>
      </w:r>
      <w:r w:rsidR="00B27244">
        <w:rPr>
          <w:rFonts w:hint="cs"/>
          <w:rtl/>
        </w:rPr>
        <w:t>.</w:t>
      </w:r>
      <w:r w:rsidR="008B0BD1" w:rsidRPr="001545B3">
        <w:rPr>
          <w:rFonts w:hint="cs"/>
          <w:rtl/>
        </w:rPr>
        <w:t xml:space="preserve"> </w:t>
      </w:r>
    </w:p>
    <w:p w:rsidR="00915E13" w:rsidRDefault="007D0B18" w:rsidP="007750F6">
      <w:pPr>
        <w:pStyle w:val="NormalParaAR"/>
        <w:widowControl w:val="0"/>
        <w:suppressAutoHyphens/>
        <w:rPr>
          <w:rtl/>
        </w:rPr>
      </w:pPr>
      <w:proofErr w:type="gramStart"/>
      <w:r>
        <w:rPr>
          <w:rFonts w:hint="cs"/>
          <w:rtl/>
        </w:rPr>
        <w:t>ولم</w:t>
      </w:r>
      <w:proofErr w:type="gramEnd"/>
      <w:r>
        <w:rPr>
          <w:rFonts w:hint="cs"/>
          <w:rtl/>
        </w:rPr>
        <w:t xml:space="preserve"> تعد</w:t>
      </w:r>
      <w:r w:rsidR="006036D0">
        <w:rPr>
          <w:rFonts w:hint="cs"/>
          <w:rtl/>
        </w:rPr>
        <w:t xml:space="preserve"> أدوات </w:t>
      </w:r>
      <w:r>
        <w:rPr>
          <w:rFonts w:hint="cs"/>
          <w:rtl/>
        </w:rPr>
        <w:t>تكوين الكفاءات</w:t>
      </w:r>
      <w:r w:rsidR="006036D0">
        <w:rPr>
          <w:rFonts w:hint="cs"/>
          <w:rtl/>
        </w:rPr>
        <w:t xml:space="preserve"> </w:t>
      </w:r>
      <w:r w:rsidR="000837FE">
        <w:rPr>
          <w:rFonts w:hint="cs"/>
          <w:rtl/>
        </w:rPr>
        <w:t>المقررة</w:t>
      </w:r>
      <w:r w:rsidR="00D35843">
        <w:rPr>
          <w:rFonts w:hint="cs"/>
          <w:rtl/>
        </w:rPr>
        <w:t xml:space="preserve">، </w:t>
      </w:r>
      <w:r w:rsidR="000837FE">
        <w:rPr>
          <w:rFonts w:hint="cs"/>
          <w:rtl/>
        </w:rPr>
        <w:t>و</w:t>
      </w:r>
      <w:r w:rsidR="002636B1">
        <w:rPr>
          <w:rFonts w:hint="cs"/>
          <w:rtl/>
        </w:rPr>
        <w:t>انتهى إعداد</w:t>
      </w:r>
      <w:r w:rsidR="000837FE">
        <w:rPr>
          <w:rFonts w:hint="cs"/>
          <w:rtl/>
        </w:rPr>
        <w:t xml:space="preserve"> مشروع </w:t>
      </w:r>
      <w:r w:rsidR="00D35843">
        <w:rPr>
          <w:rFonts w:hint="cs"/>
          <w:rtl/>
        </w:rPr>
        <w:t>ا</w:t>
      </w:r>
      <w:r w:rsidR="000837FE">
        <w:rPr>
          <w:rFonts w:hint="cs"/>
          <w:rtl/>
        </w:rPr>
        <w:t>لمنتدى</w:t>
      </w:r>
      <w:r w:rsidR="00D35843">
        <w:rPr>
          <w:rFonts w:hint="cs"/>
          <w:rtl/>
        </w:rPr>
        <w:t xml:space="preserve"> الإلكتروني بعد مضي عام على النهاية الرسمية </w:t>
      </w:r>
      <w:r w:rsidR="00512567">
        <w:rPr>
          <w:rFonts w:hint="cs"/>
          <w:rtl/>
        </w:rPr>
        <w:t>ل</w:t>
      </w:r>
      <w:r w:rsidR="000837FE">
        <w:rPr>
          <w:rFonts w:hint="cs"/>
          <w:rtl/>
        </w:rPr>
        <w:t>لمشروع</w:t>
      </w:r>
      <w:r w:rsidR="00D35843">
        <w:rPr>
          <w:rFonts w:hint="cs"/>
          <w:rtl/>
        </w:rPr>
        <w:t xml:space="preserve"> قيد</w:t>
      </w:r>
      <w:r w:rsidR="00512567">
        <w:rPr>
          <w:rFonts w:hint="cs"/>
          <w:rtl/>
        </w:rPr>
        <w:t xml:space="preserve"> التقييم.</w:t>
      </w:r>
      <w:r w:rsidR="00887CC5">
        <w:rPr>
          <w:rFonts w:hint="cs"/>
          <w:rtl/>
        </w:rPr>
        <w:t xml:space="preserve"> ولم ت</w:t>
      </w:r>
      <w:r w:rsidR="00512567">
        <w:rPr>
          <w:rFonts w:hint="cs"/>
          <w:rtl/>
        </w:rPr>
        <w:t>ُ</w:t>
      </w:r>
      <w:r w:rsidR="00887CC5">
        <w:rPr>
          <w:rFonts w:hint="cs"/>
          <w:rtl/>
        </w:rPr>
        <w:t>تخذ أي</w:t>
      </w:r>
      <w:r>
        <w:rPr>
          <w:rFonts w:hint="cs"/>
          <w:rtl/>
        </w:rPr>
        <w:t>ة</w:t>
      </w:r>
      <w:r w:rsidR="00887CC5">
        <w:rPr>
          <w:rFonts w:hint="cs"/>
          <w:rtl/>
        </w:rPr>
        <w:t xml:space="preserve"> خطوات </w:t>
      </w:r>
      <w:r w:rsidR="005C5969">
        <w:rPr>
          <w:rFonts w:hint="cs"/>
          <w:rtl/>
        </w:rPr>
        <w:t xml:space="preserve">باتجاه </w:t>
      </w:r>
      <w:r w:rsidR="002636B1">
        <w:rPr>
          <w:rFonts w:hint="cs"/>
          <w:rtl/>
        </w:rPr>
        <w:t>دمج</w:t>
      </w:r>
      <w:r w:rsidR="005C5969">
        <w:rPr>
          <w:rFonts w:hint="cs"/>
          <w:rtl/>
        </w:rPr>
        <w:t xml:space="preserve"> نتائج المشروع </w:t>
      </w:r>
      <w:r w:rsidR="002636B1">
        <w:rPr>
          <w:rFonts w:hint="cs"/>
          <w:rtl/>
        </w:rPr>
        <w:t>في</w:t>
      </w:r>
      <w:r w:rsidR="00300CB1">
        <w:rPr>
          <w:rFonts w:hint="cs"/>
          <w:rtl/>
        </w:rPr>
        <w:t xml:space="preserve"> برنامج أنشطة الويبو القائمة. </w:t>
      </w:r>
      <w:proofErr w:type="gramStart"/>
      <w:r w:rsidR="00B06428">
        <w:rPr>
          <w:rFonts w:hint="cs"/>
          <w:rtl/>
        </w:rPr>
        <w:t>وتدل</w:t>
      </w:r>
      <w:proofErr w:type="gramEnd"/>
      <w:r w:rsidR="00B06428">
        <w:rPr>
          <w:rFonts w:hint="cs"/>
          <w:rtl/>
        </w:rPr>
        <w:t xml:space="preserve"> صياغة </w:t>
      </w:r>
      <w:r w:rsidR="006E210A">
        <w:rPr>
          <w:rFonts w:hint="cs"/>
          <w:rtl/>
        </w:rPr>
        <w:t xml:space="preserve">النتيجة </w:t>
      </w:r>
      <w:r w:rsidR="006E210A">
        <w:rPr>
          <w:rFonts w:hint="cs"/>
          <w:rtl/>
        </w:rPr>
        <w:lastRenderedPageBreak/>
        <w:t>المرتقبة</w:t>
      </w:r>
      <w:r w:rsidR="00D131DA">
        <w:rPr>
          <w:rFonts w:hint="cs"/>
          <w:rtl/>
        </w:rPr>
        <w:t xml:space="preserve"> 7 على </w:t>
      </w:r>
      <w:r w:rsidR="006E210A">
        <w:rPr>
          <w:rFonts w:hint="cs"/>
          <w:rtl/>
        </w:rPr>
        <w:t>أن</w:t>
      </w:r>
      <w:r w:rsidR="00D131DA">
        <w:rPr>
          <w:rFonts w:hint="cs"/>
          <w:rtl/>
        </w:rPr>
        <w:t xml:space="preserve"> الدول الأعضاء</w:t>
      </w:r>
      <w:r w:rsidR="006E210A">
        <w:rPr>
          <w:rFonts w:hint="cs"/>
          <w:rtl/>
        </w:rPr>
        <w:t xml:space="preserve"> تتوقع</w:t>
      </w:r>
      <w:r w:rsidR="00D131DA">
        <w:rPr>
          <w:rFonts w:hint="cs"/>
          <w:rtl/>
        </w:rPr>
        <w:t xml:space="preserve"> </w:t>
      </w:r>
      <w:r w:rsidR="009544C6">
        <w:rPr>
          <w:rFonts w:hint="cs"/>
          <w:rtl/>
        </w:rPr>
        <w:t>مقترحاً</w:t>
      </w:r>
      <w:r w:rsidR="00B5068E">
        <w:rPr>
          <w:rFonts w:hint="cs"/>
          <w:rtl/>
        </w:rPr>
        <w:t xml:space="preserve"> </w:t>
      </w:r>
      <w:r w:rsidR="006E210A">
        <w:rPr>
          <w:rFonts w:hint="cs"/>
          <w:rtl/>
        </w:rPr>
        <w:t>محددا</w:t>
      </w:r>
      <w:r w:rsidR="00B5068E">
        <w:rPr>
          <w:rFonts w:hint="cs"/>
          <w:rtl/>
        </w:rPr>
        <w:t xml:space="preserve"> من الأمانة</w:t>
      </w:r>
      <w:r w:rsidR="00915E13">
        <w:rPr>
          <w:rFonts w:hint="cs"/>
          <w:rtl/>
        </w:rPr>
        <w:t>،</w:t>
      </w:r>
      <w:r w:rsidR="00B5068E">
        <w:rPr>
          <w:rFonts w:hint="cs"/>
          <w:rtl/>
        </w:rPr>
        <w:t xml:space="preserve"> بعد مناقشة نتائج منتدى الخبراء الدولي.</w:t>
      </w:r>
      <w:r w:rsidR="00EB3EDD">
        <w:rPr>
          <w:rFonts w:hint="cs"/>
          <w:rtl/>
        </w:rPr>
        <w:t xml:space="preserve"> </w:t>
      </w:r>
    </w:p>
    <w:p w:rsidR="00E80970" w:rsidRDefault="00915E13" w:rsidP="007750F6">
      <w:pPr>
        <w:pStyle w:val="NormalParaAR"/>
        <w:widowControl w:val="0"/>
        <w:suppressAutoHyphens/>
        <w:rPr>
          <w:rtl/>
        </w:rPr>
      </w:pPr>
      <w:r>
        <w:rPr>
          <w:rFonts w:hint="cs"/>
          <w:rtl/>
        </w:rPr>
        <w:t xml:space="preserve">وتقدم تنفيذ المشروع عموماً بإيقاع بطئ، </w:t>
      </w:r>
      <w:r w:rsidR="00570606">
        <w:rPr>
          <w:rFonts w:hint="cs"/>
          <w:rtl/>
        </w:rPr>
        <w:t>إذ</w:t>
      </w:r>
      <w:r>
        <w:rPr>
          <w:rFonts w:hint="cs"/>
          <w:rtl/>
        </w:rPr>
        <w:t xml:space="preserve"> استغرق ضعف الوقت المقرر في الأصل. </w:t>
      </w:r>
      <w:r w:rsidR="00CF692A">
        <w:rPr>
          <w:rFonts w:hint="cs"/>
          <w:rtl/>
        </w:rPr>
        <w:t>وعلى الرغم من ال</w:t>
      </w:r>
      <w:r w:rsidR="00B615D2">
        <w:rPr>
          <w:rFonts w:hint="cs"/>
          <w:rtl/>
        </w:rPr>
        <w:t>تمديد</w:t>
      </w:r>
      <w:r w:rsidR="00570606">
        <w:rPr>
          <w:rFonts w:hint="cs"/>
          <w:rtl/>
        </w:rPr>
        <w:t xml:space="preserve"> له</w:t>
      </w:r>
      <w:r w:rsidR="00B615D2">
        <w:rPr>
          <w:rFonts w:hint="cs"/>
          <w:rtl/>
        </w:rPr>
        <w:t xml:space="preserve"> مرتين دون تكاليف، فإن تنفيذ</w:t>
      </w:r>
      <w:r w:rsidR="00CF692A">
        <w:rPr>
          <w:rFonts w:hint="cs"/>
          <w:rtl/>
        </w:rPr>
        <w:t xml:space="preserve"> بعض الأنشطة</w:t>
      </w:r>
      <w:r w:rsidR="00B615D2">
        <w:rPr>
          <w:rFonts w:hint="cs"/>
          <w:rtl/>
        </w:rPr>
        <w:t xml:space="preserve"> استمر إلى ما بعد انتهاء</w:t>
      </w:r>
      <w:r w:rsidR="0073271A">
        <w:rPr>
          <w:rFonts w:hint="cs"/>
          <w:rtl/>
        </w:rPr>
        <w:t xml:space="preserve"> المشروع رسمياً</w:t>
      </w:r>
      <w:r w:rsidR="00570606">
        <w:rPr>
          <w:rFonts w:hint="cs"/>
          <w:rtl/>
        </w:rPr>
        <w:t>،</w:t>
      </w:r>
      <w:r w:rsidR="002B3BF6">
        <w:rPr>
          <w:rFonts w:hint="cs"/>
          <w:rtl/>
        </w:rPr>
        <w:t xml:space="preserve"> </w:t>
      </w:r>
      <w:r w:rsidR="009C78AD">
        <w:rPr>
          <w:rFonts w:hint="cs"/>
          <w:rtl/>
        </w:rPr>
        <w:t>و</w:t>
      </w:r>
      <w:r w:rsidR="00570606">
        <w:rPr>
          <w:rFonts w:hint="cs"/>
          <w:rtl/>
        </w:rPr>
        <w:t xml:space="preserve">لم يُنجز إلا </w:t>
      </w:r>
      <w:r w:rsidR="009C78AD">
        <w:rPr>
          <w:rFonts w:hint="cs"/>
          <w:rtl/>
        </w:rPr>
        <w:t xml:space="preserve">في يونيو 2015. </w:t>
      </w:r>
      <w:r w:rsidR="001C2F30">
        <w:rPr>
          <w:rFonts w:hint="cs"/>
          <w:rtl/>
        </w:rPr>
        <w:t>و</w:t>
      </w:r>
      <w:r w:rsidR="007F108D">
        <w:rPr>
          <w:rFonts w:hint="cs"/>
          <w:rtl/>
        </w:rPr>
        <w:t xml:space="preserve">ساهم </w:t>
      </w:r>
      <w:r w:rsidR="006E210A">
        <w:rPr>
          <w:rFonts w:hint="cs"/>
          <w:rtl/>
        </w:rPr>
        <w:t xml:space="preserve">في هذا التأخير </w:t>
      </w:r>
      <w:r w:rsidR="001C2F30">
        <w:rPr>
          <w:rFonts w:hint="cs"/>
          <w:rtl/>
        </w:rPr>
        <w:t>تفاقم المشكلات</w:t>
      </w:r>
      <w:r w:rsidR="00BC22D2">
        <w:rPr>
          <w:rFonts w:hint="cs"/>
          <w:rtl/>
        </w:rPr>
        <w:t xml:space="preserve"> الإدارية الناتجة عن</w:t>
      </w:r>
      <w:r w:rsidR="001C2F30">
        <w:rPr>
          <w:rFonts w:hint="cs"/>
          <w:rtl/>
        </w:rPr>
        <w:t xml:space="preserve"> </w:t>
      </w:r>
      <w:r w:rsidR="007E2413">
        <w:rPr>
          <w:rFonts w:hint="cs"/>
          <w:rtl/>
        </w:rPr>
        <w:t>تعديل الهيكل</w:t>
      </w:r>
      <w:r w:rsidR="001C2F30">
        <w:rPr>
          <w:rFonts w:hint="cs"/>
          <w:rtl/>
        </w:rPr>
        <w:t xml:space="preserve"> التنظيمي في </w:t>
      </w:r>
      <w:r w:rsidR="007F108D">
        <w:rPr>
          <w:rFonts w:hint="cs"/>
          <w:rtl/>
        </w:rPr>
        <w:t>الويبو</w:t>
      </w:r>
      <w:r w:rsidR="00B27244">
        <w:rPr>
          <w:rFonts w:hint="cs"/>
          <w:rtl/>
        </w:rPr>
        <w:t xml:space="preserve">. </w:t>
      </w:r>
    </w:p>
    <w:p w:rsidR="005828F6" w:rsidRDefault="00D77AD8" w:rsidP="007750F6">
      <w:pPr>
        <w:pStyle w:val="NormalParaAR"/>
        <w:widowControl w:val="0"/>
        <w:suppressAutoHyphens/>
        <w:rPr>
          <w:i/>
          <w:iCs/>
          <w:rtl/>
        </w:rPr>
      </w:pPr>
      <w:r>
        <w:rPr>
          <w:rFonts w:hint="cs"/>
          <w:i/>
          <w:iCs/>
          <w:rtl/>
        </w:rPr>
        <w:t>الاستنتاج</w:t>
      </w:r>
      <w:r w:rsidR="007E2413" w:rsidRPr="007E2413">
        <w:rPr>
          <w:rFonts w:hint="cs"/>
          <w:i/>
          <w:iCs/>
          <w:rtl/>
        </w:rPr>
        <w:t xml:space="preserve"> </w:t>
      </w:r>
      <w:r w:rsidR="00FF5C1F">
        <w:rPr>
          <w:rFonts w:hint="cs"/>
          <w:i/>
          <w:iCs/>
          <w:rtl/>
        </w:rPr>
        <w:t>2: من</w:t>
      </w:r>
      <w:r w:rsidR="004E22FC">
        <w:rPr>
          <w:rFonts w:hint="cs"/>
          <w:i/>
          <w:iCs/>
          <w:rtl/>
        </w:rPr>
        <w:t xml:space="preserve"> </w:t>
      </w:r>
      <w:r w:rsidR="00FF5C1F">
        <w:rPr>
          <w:rFonts w:hint="cs"/>
          <w:i/>
          <w:iCs/>
          <w:rtl/>
        </w:rPr>
        <w:t>المرجح ألا</w:t>
      </w:r>
      <w:r w:rsidR="00193170">
        <w:rPr>
          <w:rFonts w:hint="cs"/>
          <w:i/>
          <w:iCs/>
          <w:rtl/>
        </w:rPr>
        <w:t xml:space="preserve"> </w:t>
      </w:r>
      <w:r w:rsidR="00725CAA">
        <w:rPr>
          <w:rFonts w:hint="cs"/>
          <w:i/>
          <w:iCs/>
          <w:rtl/>
        </w:rPr>
        <w:t xml:space="preserve">تتحول </w:t>
      </w:r>
      <w:r w:rsidR="00FC580A">
        <w:rPr>
          <w:rFonts w:hint="cs"/>
          <w:i/>
          <w:iCs/>
          <w:rtl/>
        </w:rPr>
        <w:t>المخرجات</w:t>
      </w:r>
      <w:r w:rsidR="00C86968">
        <w:rPr>
          <w:rFonts w:hint="cs"/>
          <w:i/>
          <w:iCs/>
          <w:rtl/>
        </w:rPr>
        <w:t xml:space="preserve"> إلى </w:t>
      </w:r>
      <w:r w:rsidR="00FC580A">
        <w:rPr>
          <w:rFonts w:hint="cs"/>
          <w:i/>
          <w:iCs/>
          <w:rtl/>
        </w:rPr>
        <w:t>نواتج</w:t>
      </w:r>
      <w:r w:rsidR="00C86968">
        <w:rPr>
          <w:rFonts w:hint="cs"/>
          <w:i/>
          <w:iCs/>
          <w:rtl/>
        </w:rPr>
        <w:t xml:space="preserve"> ملموسة</w:t>
      </w:r>
      <w:r w:rsidR="0027637C">
        <w:rPr>
          <w:rFonts w:hint="cs"/>
          <w:i/>
          <w:iCs/>
          <w:rtl/>
        </w:rPr>
        <w:t xml:space="preserve"> مستدامة</w:t>
      </w:r>
      <w:r w:rsidR="00C86968">
        <w:rPr>
          <w:rFonts w:hint="cs"/>
          <w:i/>
          <w:iCs/>
          <w:rtl/>
        </w:rPr>
        <w:t xml:space="preserve"> </w:t>
      </w:r>
      <w:r w:rsidR="00FF5C1F">
        <w:rPr>
          <w:rFonts w:hint="cs"/>
          <w:i/>
          <w:iCs/>
          <w:rtl/>
        </w:rPr>
        <w:t>ينجم عنها فوائد واسعة النطاق</w:t>
      </w:r>
      <w:r w:rsidR="001175C0">
        <w:rPr>
          <w:rFonts w:hint="cs"/>
          <w:i/>
          <w:iCs/>
          <w:rtl/>
        </w:rPr>
        <w:t>،</w:t>
      </w:r>
      <w:r w:rsidR="005828F6">
        <w:rPr>
          <w:rFonts w:hint="cs"/>
          <w:i/>
          <w:iCs/>
          <w:rtl/>
        </w:rPr>
        <w:t xml:space="preserve"> ما لم يتابع المشروع،</w:t>
      </w:r>
      <w:r w:rsidR="004E22FC">
        <w:rPr>
          <w:rFonts w:hint="cs"/>
          <w:i/>
          <w:iCs/>
          <w:rtl/>
        </w:rPr>
        <w:t xml:space="preserve"> </w:t>
      </w:r>
      <w:r w:rsidR="001175C0">
        <w:rPr>
          <w:rFonts w:hint="cs"/>
          <w:i/>
          <w:iCs/>
          <w:rtl/>
        </w:rPr>
        <w:t xml:space="preserve">مما يعني ضياع معظم </w:t>
      </w:r>
      <w:r w:rsidR="005828F6">
        <w:rPr>
          <w:rFonts w:hint="cs"/>
          <w:i/>
          <w:iCs/>
          <w:rtl/>
        </w:rPr>
        <w:t>الموارد المخصصة له</w:t>
      </w:r>
      <w:r w:rsidR="001175C0">
        <w:rPr>
          <w:rFonts w:hint="cs"/>
          <w:i/>
          <w:iCs/>
          <w:rtl/>
        </w:rPr>
        <w:t>.</w:t>
      </w:r>
      <w:r w:rsidR="00FF5C1F" w:rsidRPr="00FF5C1F">
        <w:rPr>
          <w:rFonts w:hint="cs"/>
          <w:i/>
          <w:iCs/>
          <w:rtl/>
        </w:rPr>
        <w:t xml:space="preserve"> </w:t>
      </w:r>
    </w:p>
    <w:p w:rsidR="00D037FA" w:rsidRDefault="00A339DB" w:rsidP="007750F6">
      <w:pPr>
        <w:pStyle w:val="NormalParaAR"/>
        <w:widowControl w:val="0"/>
        <w:suppressAutoHyphens/>
        <w:rPr>
          <w:rtl/>
        </w:rPr>
      </w:pPr>
      <w:r>
        <w:rPr>
          <w:rFonts w:hint="cs"/>
          <w:rtl/>
        </w:rPr>
        <w:t>ف</w:t>
      </w:r>
      <w:r w:rsidR="00563CA0">
        <w:rPr>
          <w:rFonts w:hint="cs"/>
          <w:rtl/>
        </w:rPr>
        <w:t>دون متاب</w:t>
      </w:r>
      <w:r w:rsidR="00407A19">
        <w:rPr>
          <w:rFonts w:hint="cs"/>
          <w:rtl/>
        </w:rPr>
        <w:t xml:space="preserve">عة </w:t>
      </w:r>
      <w:r w:rsidR="00563CA0">
        <w:rPr>
          <w:rFonts w:hint="cs"/>
          <w:rtl/>
        </w:rPr>
        <w:t xml:space="preserve">لاستخدام </w:t>
      </w:r>
      <w:r w:rsidR="00FC580A" w:rsidRPr="00FC580A">
        <w:rPr>
          <w:rtl/>
        </w:rPr>
        <w:t>مخرجات المشروع في تعزيز دعم الويبو لأنشطة نقل التكنولوجيا، سيبقى نطاق المشروع ووقعه في التنمية الاجتماعية الاقتصادية محدوداً</w:t>
      </w:r>
      <w:r w:rsidR="00FC580A">
        <w:rPr>
          <w:rFonts w:hint="cs"/>
          <w:rtl/>
        </w:rPr>
        <w:t xml:space="preserve"> نوعاً ما</w:t>
      </w:r>
      <w:r w:rsidR="00BA29DE">
        <w:rPr>
          <w:rFonts w:hint="cs"/>
          <w:rtl/>
        </w:rPr>
        <w:t xml:space="preserve">. </w:t>
      </w:r>
      <w:r w:rsidR="009B2A44">
        <w:rPr>
          <w:rFonts w:hint="cs"/>
          <w:rtl/>
        </w:rPr>
        <w:t>وستتبدد</w:t>
      </w:r>
      <w:r w:rsidR="00F876DC">
        <w:rPr>
          <w:rFonts w:hint="cs"/>
          <w:rtl/>
        </w:rPr>
        <w:t xml:space="preserve"> النتائج الهامة الأولية والأموال التي </w:t>
      </w:r>
      <w:proofErr w:type="gramStart"/>
      <w:r w:rsidR="00F876DC">
        <w:rPr>
          <w:rFonts w:hint="cs"/>
          <w:rtl/>
        </w:rPr>
        <w:t>أُنفقت</w:t>
      </w:r>
      <w:proofErr w:type="gramEnd"/>
      <w:r w:rsidR="00F876DC">
        <w:rPr>
          <w:rFonts w:hint="cs"/>
          <w:rtl/>
        </w:rPr>
        <w:t xml:space="preserve"> من أجل الوصول إلى تلك النتائج. </w:t>
      </w:r>
      <w:r w:rsidR="009801C6">
        <w:rPr>
          <w:rFonts w:hint="cs"/>
          <w:rtl/>
        </w:rPr>
        <w:t xml:space="preserve">وستبقى </w:t>
      </w:r>
      <w:r w:rsidR="0054176F">
        <w:rPr>
          <w:rFonts w:hint="cs"/>
          <w:rtl/>
        </w:rPr>
        <w:t xml:space="preserve">إمكانية تحقيق استدامة </w:t>
      </w:r>
      <w:r w:rsidR="00D037FA">
        <w:rPr>
          <w:rFonts w:hint="cs"/>
          <w:rtl/>
        </w:rPr>
        <w:t>النتائج وفعالية المشروع منخفضة.</w:t>
      </w:r>
    </w:p>
    <w:p w:rsidR="00435129" w:rsidRDefault="00D77AD8" w:rsidP="007750F6">
      <w:pPr>
        <w:pStyle w:val="NormalParaAR"/>
        <w:widowControl w:val="0"/>
        <w:suppressAutoHyphens/>
        <w:rPr>
          <w:i/>
          <w:iCs/>
          <w:rtl/>
        </w:rPr>
      </w:pPr>
      <w:r>
        <w:rPr>
          <w:rFonts w:hint="cs"/>
          <w:i/>
          <w:iCs/>
          <w:rtl/>
        </w:rPr>
        <w:t>الاستنتاج</w:t>
      </w:r>
      <w:r w:rsidR="00D037FA">
        <w:rPr>
          <w:rFonts w:hint="cs"/>
          <w:i/>
          <w:iCs/>
          <w:rtl/>
        </w:rPr>
        <w:t xml:space="preserve"> 3: </w:t>
      </w:r>
      <w:r w:rsidR="00D54725">
        <w:rPr>
          <w:rFonts w:hint="cs"/>
          <w:i/>
          <w:iCs/>
          <w:rtl/>
        </w:rPr>
        <w:t>حددت آ</w:t>
      </w:r>
      <w:r w:rsidR="00697FA8">
        <w:rPr>
          <w:rFonts w:hint="cs"/>
          <w:i/>
          <w:iCs/>
          <w:rtl/>
        </w:rPr>
        <w:t>راء الخبراء عدداً من المجالات</w:t>
      </w:r>
      <w:r w:rsidR="00164306">
        <w:rPr>
          <w:rFonts w:hint="cs"/>
          <w:i/>
          <w:iCs/>
          <w:rtl/>
        </w:rPr>
        <w:t xml:space="preserve"> التي من شأن تعزيز خدمات الويبو فيه</w:t>
      </w:r>
      <w:r w:rsidR="003D6A63">
        <w:rPr>
          <w:rFonts w:hint="cs"/>
          <w:i/>
          <w:iCs/>
          <w:rtl/>
        </w:rPr>
        <w:t>ا إضفاء</w:t>
      </w:r>
      <w:r w:rsidR="00EF34ED">
        <w:rPr>
          <w:rFonts w:hint="cs"/>
          <w:i/>
          <w:iCs/>
          <w:rtl/>
        </w:rPr>
        <w:t xml:space="preserve"> قيمة مضافة </w:t>
      </w:r>
      <w:r w:rsidR="00722D6B">
        <w:rPr>
          <w:rFonts w:hint="cs"/>
          <w:i/>
          <w:iCs/>
          <w:rtl/>
        </w:rPr>
        <w:t>عل</w:t>
      </w:r>
      <w:r w:rsidR="00EF34ED">
        <w:rPr>
          <w:rFonts w:hint="cs"/>
          <w:i/>
          <w:iCs/>
          <w:rtl/>
        </w:rPr>
        <w:t>ى تيسير نقل</w:t>
      </w:r>
      <w:r w:rsidR="00857F69">
        <w:rPr>
          <w:rFonts w:hint="cs"/>
          <w:i/>
          <w:iCs/>
          <w:rtl/>
        </w:rPr>
        <w:t xml:space="preserve"> التكنولوجيا</w:t>
      </w:r>
      <w:r w:rsidR="003D6A63">
        <w:rPr>
          <w:rFonts w:hint="cs"/>
          <w:i/>
          <w:iCs/>
          <w:rtl/>
        </w:rPr>
        <w:t>. و</w:t>
      </w:r>
      <w:r w:rsidR="00085041">
        <w:rPr>
          <w:rFonts w:hint="cs"/>
          <w:i/>
          <w:iCs/>
          <w:rtl/>
        </w:rPr>
        <w:t xml:space="preserve">أصبح من الواضح كذلك أن تعزيز نقل التكنولوجيا يتطلب </w:t>
      </w:r>
      <w:r w:rsidR="00E21E81">
        <w:rPr>
          <w:rFonts w:hint="cs"/>
          <w:i/>
          <w:iCs/>
          <w:rtl/>
        </w:rPr>
        <w:t xml:space="preserve">مجموعة كبيرة من التدابير التي لا تغطي </w:t>
      </w:r>
      <w:r w:rsidR="00BE0447">
        <w:rPr>
          <w:rFonts w:hint="cs"/>
          <w:i/>
          <w:iCs/>
          <w:rtl/>
        </w:rPr>
        <w:t xml:space="preserve">ولاية الويبو </w:t>
      </w:r>
      <w:r w:rsidR="00E21E81">
        <w:rPr>
          <w:rFonts w:hint="cs"/>
          <w:i/>
          <w:iCs/>
          <w:rtl/>
        </w:rPr>
        <w:t>العديد منها</w:t>
      </w:r>
      <w:r w:rsidR="00C23669">
        <w:rPr>
          <w:rFonts w:hint="cs"/>
          <w:i/>
          <w:iCs/>
          <w:rtl/>
        </w:rPr>
        <w:t>.</w:t>
      </w:r>
      <w:r w:rsidR="00C35CFA">
        <w:rPr>
          <w:rFonts w:hint="cs"/>
          <w:i/>
          <w:iCs/>
          <w:rtl/>
        </w:rPr>
        <w:t xml:space="preserve"> ويقتضي</w:t>
      </w:r>
      <w:r w:rsidR="004B6C75">
        <w:rPr>
          <w:rFonts w:hint="cs"/>
          <w:i/>
          <w:iCs/>
          <w:rtl/>
        </w:rPr>
        <w:t xml:space="preserve"> </w:t>
      </w:r>
      <w:r w:rsidR="00C35CFA">
        <w:rPr>
          <w:rFonts w:hint="cs"/>
          <w:i/>
          <w:iCs/>
          <w:rtl/>
        </w:rPr>
        <w:t>إيجاد</w:t>
      </w:r>
      <w:r w:rsidR="004B6C75">
        <w:rPr>
          <w:rFonts w:hint="cs"/>
          <w:i/>
          <w:iCs/>
          <w:rtl/>
        </w:rPr>
        <w:t xml:space="preserve"> ظروف </w:t>
      </w:r>
      <w:r w:rsidR="00D34502">
        <w:rPr>
          <w:rFonts w:hint="cs"/>
          <w:i/>
          <w:iCs/>
          <w:rtl/>
        </w:rPr>
        <w:t xml:space="preserve">ملائمة لإنشاء إطار يمكن من </w:t>
      </w:r>
      <w:r w:rsidR="00C35CFA">
        <w:rPr>
          <w:rFonts w:hint="cs"/>
          <w:i/>
          <w:iCs/>
          <w:rtl/>
        </w:rPr>
        <w:t>نقل التكنولوجي</w:t>
      </w:r>
      <w:r w:rsidR="00435129">
        <w:rPr>
          <w:rFonts w:hint="cs"/>
          <w:i/>
          <w:iCs/>
          <w:rtl/>
        </w:rPr>
        <w:t>ا،</w:t>
      </w:r>
      <w:r w:rsidR="00E820E7">
        <w:rPr>
          <w:rFonts w:hint="cs"/>
          <w:i/>
          <w:iCs/>
          <w:rtl/>
        </w:rPr>
        <w:t xml:space="preserve"> بذل جهود</w:t>
      </w:r>
      <w:r w:rsidR="00435129">
        <w:rPr>
          <w:rFonts w:hint="cs"/>
          <w:i/>
          <w:iCs/>
          <w:rtl/>
        </w:rPr>
        <w:t xml:space="preserve"> منسقة ضمن منظومة الأمم المتحدة وخارجها.</w:t>
      </w:r>
    </w:p>
    <w:p w:rsidR="00274F41" w:rsidRDefault="00BE0447" w:rsidP="007750F6">
      <w:pPr>
        <w:pStyle w:val="NormalParaAR"/>
        <w:widowControl w:val="0"/>
        <w:suppressAutoHyphens/>
        <w:rPr>
          <w:rtl/>
        </w:rPr>
      </w:pPr>
      <w:r>
        <w:rPr>
          <w:rFonts w:hint="cs"/>
          <w:rtl/>
        </w:rPr>
        <w:t>و</w:t>
      </w:r>
      <w:r w:rsidR="00AB0533">
        <w:rPr>
          <w:rFonts w:hint="cs"/>
          <w:rtl/>
        </w:rPr>
        <w:t>نقل التكنولوجيا ليس خدمة يمكن "تعميمها"،</w:t>
      </w:r>
      <w:r w:rsidR="00896A8E">
        <w:rPr>
          <w:rFonts w:hint="cs"/>
          <w:rtl/>
        </w:rPr>
        <w:t xml:space="preserve"> إذ تبي</w:t>
      </w:r>
      <w:r w:rsidR="00E820E7">
        <w:rPr>
          <w:rFonts w:hint="cs"/>
          <w:rtl/>
        </w:rPr>
        <w:t>ِّ</w:t>
      </w:r>
      <w:r w:rsidR="00896A8E">
        <w:rPr>
          <w:rFonts w:hint="cs"/>
          <w:rtl/>
        </w:rPr>
        <w:t xml:space="preserve">ن </w:t>
      </w:r>
      <w:r w:rsidR="00E820E7">
        <w:rPr>
          <w:rFonts w:hint="cs"/>
          <w:rtl/>
        </w:rPr>
        <w:t xml:space="preserve">صياغة </w:t>
      </w:r>
      <w:r w:rsidR="00FC580A">
        <w:rPr>
          <w:rFonts w:hint="cs"/>
          <w:rtl/>
        </w:rPr>
        <w:t>المخرج</w:t>
      </w:r>
      <w:r w:rsidR="00D84182">
        <w:rPr>
          <w:rFonts w:hint="cs"/>
          <w:rtl/>
        </w:rPr>
        <w:t xml:space="preserve"> 7 </w:t>
      </w:r>
      <w:r w:rsidR="008E0999">
        <w:rPr>
          <w:rFonts w:hint="cs"/>
          <w:rtl/>
        </w:rPr>
        <w:t xml:space="preserve">التي </w:t>
      </w:r>
      <w:r w:rsidR="0088374D">
        <w:rPr>
          <w:rFonts w:hint="cs"/>
          <w:rtl/>
        </w:rPr>
        <w:t>توافقت</w:t>
      </w:r>
      <w:r w:rsidR="00DB3E7F">
        <w:rPr>
          <w:rFonts w:hint="cs"/>
          <w:rtl/>
        </w:rPr>
        <w:t xml:space="preserve"> عليها الدول الأعضاء </w:t>
      </w:r>
      <w:r w:rsidR="00585594">
        <w:rPr>
          <w:rFonts w:hint="cs"/>
          <w:rtl/>
        </w:rPr>
        <w:t>أن</w:t>
      </w:r>
      <w:r w:rsidR="007B50B9">
        <w:rPr>
          <w:rFonts w:hint="cs"/>
          <w:rtl/>
        </w:rPr>
        <w:t xml:space="preserve"> إدراج توصيات المشروع </w:t>
      </w:r>
      <w:r w:rsidR="00585594">
        <w:rPr>
          <w:rFonts w:hint="cs"/>
          <w:rtl/>
        </w:rPr>
        <w:t>في برامج الويبو ذات الصلة</w:t>
      </w:r>
      <w:r w:rsidR="00112AC8">
        <w:rPr>
          <w:rFonts w:hint="cs"/>
          <w:rtl/>
        </w:rPr>
        <w:t>،</w:t>
      </w:r>
      <w:r w:rsidR="00960E0A">
        <w:rPr>
          <w:rFonts w:hint="cs"/>
          <w:rtl/>
        </w:rPr>
        <w:t xml:space="preserve"> </w:t>
      </w:r>
      <w:r w:rsidR="00E23097">
        <w:rPr>
          <w:rFonts w:hint="cs"/>
          <w:rtl/>
        </w:rPr>
        <w:t>كان</w:t>
      </w:r>
      <w:r w:rsidR="00667F09">
        <w:rPr>
          <w:rFonts w:hint="cs"/>
          <w:rtl/>
        </w:rPr>
        <w:t xml:space="preserve"> </w:t>
      </w:r>
      <w:r w:rsidR="007116C7">
        <w:rPr>
          <w:rFonts w:hint="cs"/>
          <w:rtl/>
        </w:rPr>
        <w:t>هدفاً أساسياً</w:t>
      </w:r>
      <w:r w:rsidR="00585594">
        <w:rPr>
          <w:rFonts w:hint="cs"/>
          <w:rtl/>
        </w:rPr>
        <w:t xml:space="preserve"> من أهداف المشروع. </w:t>
      </w:r>
      <w:proofErr w:type="gramStart"/>
      <w:r w:rsidR="00725F7A">
        <w:rPr>
          <w:rFonts w:hint="cs"/>
          <w:rtl/>
        </w:rPr>
        <w:t>و</w:t>
      </w:r>
      <w:r w:rsidR="00112AC8">
        <w:rPr>
          <w:rFonts w:hint="cs"/>
          <w:rtl/>
        </w:rPr>
        <w:t>قد</w:t>
      </w:r>
      <w:proofErr w:type="gramEnd"/>
      <w:r w:rsidR="00725F7A">
        <w:rPr>
          <w:rFonts w:hint="cs"/>
          <w:rtl/>
        </w:rPr>
        <w:t xml:space="preserve"> يدل ذلك على أن الدول الأعضاء </w:t>
      </w:r>
      <w:r w:rsidR="003664CA">
        <w:rPr>
          <w:rFonts w:hint="cs"/>
          <w:rtl/>
        </w:rPr>
        <w:t>تتوقع مقترحاً</w:t>
      </w:r>
      <w:r w:rsidR="00810948">
        <w:rPr>
          <w:rFonts w:hint="cs"/>
          <w:rtl/>
        </w:rPr>
        <w:t xml:space="preserve"> ملموساً من الأمانة، بعد مناقشة النتائج الأساسية التي </w:t>
      </w:r>
      <w:r w:rsidR="00274F41">
        <w:rPr>
          <w:rFonts w:hint="cs"/>
          <w:rtl/>
        </w:rPr>
        <w:t>تأتت عن المشروع إبَّان الدورة السادسة عشرة للجنة.</w:t>
      </w:r>
    </w:p>
    <w:p w:rsidR="00853409" w:rsidRDefault="00A4040A" w:rsidP="007750F6">
      <w:pPr>
        <w:pStyle w:val="NormalParaAR"/>
        <w:widowControl w:val="0"/>
        <w:suppressAutoHyphens/>
        <w:rPr>
          <w:rtl/>
        </w:rPr>
      </w:pPr>
      <w:r>
        <w:rPr>
          <w:rFonts w:hint="cs"/>
          <w:rtl/>
        </w:rPr>
        <w:t>و</w:t>
      </w:r>
      <w:r w:rsidR="00743BE4">
        <w:rPr>
          <w:rFonts w:hint="cs"/>
          <w:rtl/>
        </w:rPr>
        <w:t xml:space="preserve">يتطلب </w:t>
      </w:r>
      <w:r>
        <w:rPr>
          <w:rFonts w:hint="cs"/>
          <w:rtl/>
        </w:rPr>
        <w:t xml:space="preserve">وضع خطة </w:t>
      </w:r>
      <w:r w:rsidR="003664CA">
        <w:rPr>
          <w:rFonts w:hint="cs"/>
          <w:rtl/>
        </w:rPr>
        <w:t>للتقدم في المشروع،</w:t>
      </w:r>
      <w:r w:rsidR="00743BE4">
        <w:rPr>
          <w:rFonts w:hint="cs"/>
          <w:rtl/>
        </w:rPr>
        <w:t xml:space="preserve"> تخطيط أنشطة الويبو القائمة </w:t>
      </w:r>
      <w:r w:rsidR="00BD66B9">
        <w:rPr>
          <w:rFonts w:hint="cs"/>
          <w:rtl/>
        </w:rPr>
        <w:t xml:space="preserve">والمتعلقة بنقل التكنولوجيا، بقصد تحديد الاحتياجات </w:t>
      </w:r>
      <w:r w:rsidR="0042075B">
        <w:rPr>
          <w:rFonts w:hint="cs"/>
          <w:rtl/>
        </w:rPr>
        <w:t xml:space="preserve">استناداً إلى نتائج المشروع، </w:t>
      </w:r>
      <w:r w:rsidR="0088374D">
        <w:rPr>
          <w:rFonts w:hint="cs"/>
          <w:rtl/>
        </w:rPr>
        <w:t>ثم</w:t>
      </w:r>
      <w:r w:rsidR="0042075B">
        <w:rPr>
          <w:rFonts w:hint="cs"/>
          <w:rtl/>
        </w:rPr>
        <w:t xml:space="preserve"> إعداد مقترح </w:t>
      </w:r>
      <w:r w:rsidR="00AC7000">
        <w:rPr>
          <w:rFonts w:hint="cs"/>
          <w:rtl/>
        </w:rPr>
        <w:t xml:space="preserve">يعرض كيفية تعزيز أو استكمال </w:t>
      </w:r>
      <w:r w:rsidR="005C7F45">
        <w:rPr>
          <w:rFonts w:hint="cs"/>
          <w:rtl/>
        </w:rPr>
        <w:t xml:space="preserve">الخدمات القائمة </w:t>
      </w:r>
      <w:r w:rsidR="00853409">
        <w:rPr>
          <w:rFonts w:hint="cs"/>
          <w:rtl/>
        </w:rPr>
        <w:t>عند الاقتضاء.</w:t>
      </w:r>
    </w:p>
    <w:p w:rsidR="00BB3FFE" w:rsidRDefault="0088374D" w:rsidP="007750F6">
      <w:pPr>
        <w:pStyle w:val="NormalParaAR"/>
        <w:widowControl w:val="0"/>
        <w:suppressAutoHyphens/>
        <w:rPr>
          <w:rtl/>
        </w:rPr>
      </w:pPr>
      <w:r>
        <w:rPr>
          <w:rFonts w:hint="cs"/>
          <w:rtl/>
        </w:rPr>
        <w:t>ويؤثر في</w:t>
      </w:r>
      <w:r w:rsidR="006E6D99">
        <w:rPr>
          <w:rFonts w:hint="cs"/>
          <w:rtl/>
        </w:rPr>
        <w:t xml:space="preserve"> قدرة البلدان النامية على الاستفادة من نقل التكنولوجيا</w:t>
      </w:r>
      <w:r w:rsidR="00417294">
        <w:rPr>
          <w:rFonts w:hint="cs"/>
          <w:rtl/>
        </w:rPr>
        <w:t xml:space="preserve"> عوامل عدة، ولا صلة مباشرة للعديد من</w:t>
      </w:r>
      <w:r w:rsidR="00145406">
        <w:rPr>
          <w:rFonts w:hint="cs"/>
          <w:rtl/>
        </w:rPr>
        <w:t xml:space="preserve"> هذه العوامل</w:t>
      </w:r>
      <w:r w:rsidR="00417294">
        <w:rPr>
          <w:rFonts w:hint="cs"/>
          <w:rtl/>
        </w:rPr>
        <w:t xml:space="preserve"> بالملكية الفكرية. </w:t>
      </w:r>
      <w:r w:rsidR="0058158E">
        <w:rPr>
          <w:rFonts w:hint="cs"/>
          <w:rtl/>
        </w:rPr>
        <w:t>ل</w:t>
      </w:r>
      <w:r w:rsidR="00045B2A">
        <w:rPr>
          <w:rFonts w:hint="cs"/>
          <w:rtl/>
        </w:rPr>
        <w:t>ذلك لا يزال</w:t>
      </w:r>
      <w:r w:rsidR="00DB6D0D">
        <w:rPr>
          <w:rFonts w:hint="cs"/>
          <w:rtl/>
        </w:rPr>
        <w:t xml:space="preserve"> من الأهمية بمكان</w:t>
      </w:r>
      <w:r w:rsidR="00045B2A">
        <w:rPr>
          <w:rFonts w:hint="cs"/>
          <w:rtl/>
        </w:rPr>
        <w:t xml:space="preserve"> التعاون الوثيق مع المنظمات الدولية الأخرى </w:t>
      </w:r>
      <w:r w:rsidR="00E20B66">
        <w:rPr>
          <w:rFonts w:hint="cs"/>
          <w:rtl/>
        </w:rPr>
        <w:t>في منظومة الأمم المتحدة وخارجها</w:t>
      </w:r>
      <w:r w:rsidR="00DB6D0D">
        <w:rPr>
          <w:rFonts w:hint="cs"/>
          <w:rtl/>
        </w:rPr>
        <w:t xml:space="preserve">. </w:t>
      </w:r>
      <w:r w:rsidR="009A7749">
        <w:rPr>
          <w:rFonts w:hint="cs"/>
          <w:rtl/>
        </w:rPr>
        <w:t xml:space="preserve">ونظراً إلى </w:t>
      </w:r>
      <w:r w:rsidR="00886D38">
        <w:rPr>
          <w:rFonts w:hint="cs"/>
          <w:rtl/>
        </w:rPr>
        <w:t>إحاطة الويبو بموضوع</w:t>
      </w:r>
      <w:r w:rsidR="00886827">
        <w:rPr>
          <w:rFonts w:hint="cs"/>
          <w:rtl/>
        </w:rPr>
        <w:t xml:space="preserve"> نقل التكنولوجيا</w:t>
      </w:r>
      <w:r w:rsidR="00886D38">
        <w:rPr>
          <w:rFonts w:hint="cs"/>
          <w:rtl/>
        </w:rPr>
        <w:t xml:space="preserve"> من منظور الملكية الفكرية،</w:t>
      </w:r>
      <w:r w:rsidR="00B5232C">
        <w:rPr>
          <w:rFonts w:hint="cs"/>
          <w:rtl/>
        </w:rPr>
        <w:t xml:space="preserve"> فقد تكون في الموقع</w:t>
      </w:r>
      <w:r w:rsidR="009A7749">
        <w:rPr>
          <w:rFonts w:hint="cs"/>
          <w:rtl/>
        </w:rPr>
        <w:t xml:space="preserve"> الم</w:t>
      </w:r>
      <w:r w:rsidR="00B5232C">
        <w:rPr>
          <w:rFonts w:hint="cs"/>
          <w:rtl/>
        </w:rPr>
        <w:t xml:space="preserve">ناسب </w:t>
      </w:r>
      <w:r w:rsidR="00431540">
        <w:rPr>
          <w:rFonts w:hint="cs"/>
          <w:rtl/>
        </w:rPr>
        <w:t xml:space="preserve">للمساهمة بنشاط في </w:t>
      </w:r>
      <w:r w:rsidR="00380CAF">
        <w:rPr>
          <w:rFonts w:hint="cs"/>
          <w:rtl/>
        </w:rPr>
        <w:t>وضع إطار يم</w:t>
      </w:r>
      <w:r w:rsidR="00886827">
        <w:rPr>
          <w:rFonts w:hint="cs"/>
          <w:rtl/>
        </w:rPr>
        <w:t>كِّ</w:t>
      </w:r>
      <w:r w:rsidR="006628F2">
        <w:rPr>
          <w:rFonts w:hint="cs"/>
          <w:rtl/>
        </w:rPr>
        <w:t xml:space="preserve">ن من نقل التكنولوجيا، ولا سيما من خلال مشاركتها بانتظام في المنتديات </w:t>
      </w:r>
      <w:r w:rsidR="00BB3FFE">
        <w:rPr>
          <w:rFonts w:hint="cs"/>
          <w:rtl/>
        </w:rPr>
        <w:t>الدولية ذات الصلة.</w:t>
      </w:r>
    </w:p>
    <w:p w:rsidR="009C4754" w:rsidRDefault="00D77AD8" w:rsidP="007750F6">
      <w:pPr>
        <w:pStyle w:val="NormalParaAR"/>
        <w:widowControl w:val="0"/>
        <w:suppressAutoHyphens/>
        <w:rPr>
          <w:i/>
          <w:iCs/>
          <w:rtl/>
        </w:rPr>
      </w:pPr>
      <w:proofErr w:type="gramStart"/>
      <w:r>
        <w:rPr>
          <w:rFonts w:hint="cs"/>
          <w:i/>
          <w:iCs/>
          <w:rtl/>
        </w:rPr>
        <w:t>الاستنتاج</w:t>
      </w:r>
      <w:proofErr w:type="gramEnd"/>
      <w:r w:rsidR="00D30126">
        <w:rPr>
          <w:rFonts w:hint="cs"/>
          <w:i/>
          <w:iCs/>
          <w:rtl/>
        </w:rPr>
        <w:t xml:space="preserve"> 4:</w:t>
      </w:r>
      <w:r w:rsidR="00DA4B93">
        <w:rPr>
          <w:rFonts w:hint="cs"/>
          <w:i/>
          <w:iCs/>
          <w:rtl/>
        </w:rPr>
        <w:t xml:space="preserve"> </w:t>
      </w:r>
      <w:r w:rsidR="0088374D">
        <w:rPr>
          <w:rFonts w:hint="cs"/>
          <w:i/>
          <w:iCs/>
          <w:rtl/>
        </w:rPr>
        <w:t>لم يكن</w:t>
      </w:r>
      <w:r w:rsidR="00DA4B93">
        <w:rPr>
          <w:rFonts w:hint="cs"/>
          <w:i/>
          <w:iCs/>
          <w:rtl/>
        </w:rPr>
        <w:t xml:space="preserve"> </w:t>
      </w:r>
      <w:r w:rsidR="00E86DFB">
        <w:rPr>
          <w:rFonts w:hint="cs"/>
          <w:i/>
          <w:iCs/>
          <w:rtl/>
        </w:rPr>
        <w:t xml:space="preserve">تطبيق الأدوات المعيارية الخاصة بالتخطيط للمشروعات ورصدها </w:t>
      </w:r>
      <w:r w:rsidR="0088374D">
        <w:rPr>
          <w:rFonts w:hint="cs"/>
          <w:i/>
          <w:iCs/>
          <w:rtl/>
        </w:rPr>
        <w:t>على قدر كاف من الجودة</w:t>
      </w:r>
      <w:r w:rsidR="00E86DFB">
        <w:rPr>
          <w:rFonts w:hint="cs"/>
          <w:i/>
          <w:iCs/>
          <w:rtl/>
        </w:rPr>
        <w:t>.</w:t>
      </w:r>
      <w:r w:rsidR="00241E63">
        <w:rPr>
          <w:rFonts w:hint="cs"/>
          <w:i/>
          <w:iCs/>
          <w:rtl/>
        </w:rPr>
        <w:t xml:space="preserve"> </w:t>
      </w:r>
      <w:proofErr w:type="gramStart"/>
      <w:r w:rsidR="0088374D">
        <w:rPr>
          <w:rFonts w:hint="cs"/>
          <w:i/>
          <w:iCs/>
          <w:rtl/>
        </w:rPr>
        <w:t>وقد</w:t>
      </w:r>
      <w:proofErr w:type="gramEnd"/>
      <w:r w:rsidR="0088374D">
        <w:rPr>
          <w:rFonts w:hint="cs"/>
          <w:i/>
          <w:iCs/>
          <w:rtl/>
        </w:rPr>
        <w:t xml:space="preserve"> تبيّن من هذا</w:t>
      </w:r>
      <w:r w:rsidR="00DA5489">
        <w:rPr>
          <w:rFonts w:hint="cs"/>
          <w:i/>
          <w:iCs/>
          <w:rtl/>
        </w:rPr>
        <w:t xml:space="preserve"> التقييم </w:t>
      </w:r>
      <w:r w:rsidR="0088374D">
        <w:rPr>
          <w:rFonts w:hint="cs"/>
          <w:i/>
          <w:iCs/>
          <w:rtl/>
        </w:rPr>
        <w:t xml:space="preserve">أن من الضروري </w:t>
      </w:r>
      <w:r w:rsidR="0034104C">
        <w:rPr>
          <w:rFonts w:hint="cs"/>
          <w:i/>
          <w:iCs/>
          <w:rtl/>
        </w:rPr>
        <w:t xml:space="preserve">تعزيز دور شعبة تنسيق </w:t>
      </w:r>
      <w:r w:rsidR="00561EFF">
        <w:rPr>
          <w:rFonts w:hint="cs"/>
          <w:i/>
          <w:iCs/>
          <w:rtl/>
        </w:rPr>
        <w:t>ج</w:t>
      </w:r>
      <w:r w:rsidR="008F77C2">
        <w:rPr>
          <w:rFonts w:hint="cs"/>
          <w:i/>
          <w:iCs/>
          <w:rtl/>
        </w:rPr>
        <w:t xml:space="preserve">دول أعمال التنمية في </w:t>
      </w:r>
      <w:r w:rsidR="00877BD6">
        <w:rPr>
          <w:rFonts w:hint="cs"/>
          <w:i/>
          <w:iCs/>
          <w:rtl/>
        </w:rPr>
        <w:t>رصد تقدم مشروعات جدول أعمال التنمية و</w:t>
      </w:r>
      <w:r w:rsidR="009C4754">
        <w:rPr>
          <w:rFonts w:hint="cs"/>
          <w:i/>
          <w:iCs/>
          <w:rtl/>
        </w:rPr>
        <w:t>جودتها</w:t>
      </w:r>
      <w:r w:rsidR="0088374D">
        <w:rPr>
          <w:rFonts w:hint="cs"/>
          <w:i/>
          <w:iCs/>
          <w:rtl/>
        </w:rPr>
        <w:t xml:space="preserve"> </w:t>
      </w:r>
      <w:r w:rsidR="000A79BA">
        <w:rPr>
          <w:rFonts w:hint="cs"/>
          <w:i/>
          <w:iCs/>
          <w:rtl/>
        </w:rPr>
        <w:t>بانتظام</w:t>
      </w:r>
      <w:r w:rsidR="009C4754">
        <w:rPr>
          <w:rFonts w:hint="cs"/>
          <w:i/>
          <w:iCs/>
          <w:rtl/>
        </w:rPr>
        <w:t xml:space="preserve">، </w:t>
      </w:r>
      <w:r w:rsidR="0088374D">
        <w:rPr>
          <w:rFonts w:hint="cs"/>
          <w:i/>
          <w:iCs/>
          <w:rtl/>
        </w:rPr>
        <w:t>و</w:t>
      </w:r>
      <w:r w:rsidR="009C4754">
        <w:rPr>
          <w:rFonts w:hint="cs"/>
          <w:i/>
          <w:iCs/>
          <w:rtl/>
        </w:rPr>
        <w:t xml:space="preserve">إجراء تدريب أساسي إلزامي </w:t>
      </w:r>
      <w:r w:rsidR="0088374D">
        <w:rPr>
          <w:rFonts w:hint="cs"/>
          <w:i/>
          <w:iCs/>
          <w:rtl/>
        </w:rPr>
        <w:t>للمشرفين على</w:t>
      </w:r>
      <w:r w:rsidR="009C4754">
        <w:rPr>
          <w:rFonts w:hint="cs"/>
          <w:i/>
          <w:iCs/>
          <w:rtl/>
        </w:rPr>
        <w:t xml:space="preserve"> المشروعات.</w:t>
      </w:r>
    </w:p>
    <w:p w:rsidR="002A04A8" w:rsidRDefault="0088374D" w:rsidP="007750F6">
      <w:pPr>
        <w:pStyle w:val="NormalParaAR"/>
        <w:widowControl w:val="0"/>
        <w:suppressAutoHyphens/>
        <w:rPr>
          <w:rtl/>
        </w:rPr>
      </w:pPr>
      <w:r w:rsidRPr="001D557C">
        <w:rPr>
          <w:rFonts w:hint="cs"/>
          <w:rtl/>
        </w:rPr>
        <w:t>و</w:t>
      </w:r>
      <w:r w:rsidR="00036D78" w:rsidRPr="001D557C">
        <w:rPr>
          <w:rFonts w:hint="cs"/>
          <w:rtl/>
        </w:rPr>
        <w:t xml:space="preserve">لم يُطبق الإطار المنطقي كأداة </w:t>
      </w:r>
      <w:r w:rsidR="00A402D3" w:rsidRPr="001D557C">
        <w:rPr>
          <w:rFonts w:hint="cs"/>
          <w:rtl/>
        </w:rPr>
        <w:t>معياري</w:t>
      </w:r>
      <w:r w:rsidR="00095E98" w:rsidRPr="001D557C">
        <w:rPr>
          <w:rFonts w:hint="cs"/>
          <w:rtl/>
        </w:rPr>
        <w:t xml:space="preserve">ة لتخطيط المشروع ورصده </w:t>
      </w:r>
      <w:proofErr w:type="gramStart"/>
      <w:r w:rsidR="00095E98" w:rsidRPr="001D557C">
        <w:rPr>
          <w:rFonts w:hint="cs"/>
          <w:rtl/>
        </w:rPr>
        <w:t>وتقييمه</w:t>
      </w:r>
      <w:proofErr w:type="gramEnd"/>
      <w:r w:rsidR="00095E98" w:rsidRPr="001D557C">
        <w:rPr>
          <w:rFonts w:hint="cs"/>
          <w:rtl/>
        </w:rPr>
        <w:t xml:space="preserve">، وركزت عمليات التخطيط وإعداد التقارير على الأنشطة </w:t>
      </w:r>
      <w:r w:rsidR="001D557C">
        <w:rPr>
          <w:rFonts w:hint="cs"/>
          <w:rtl/>
        </w:rPr>
        <w:t>لا</w:t>
      </w:r>
      <w:r w:rsidR="00095E98" w:rsidRPr="001D557C">
        <w:rPr>
          <w:rFonts w:hint="cs"/>
          <w:rtl/>
        </w:rPr>
        <w:t xml:space="preserve"> النتائج. </w:t>
      </w:r>
      <w:proofErr w:type="gramStart"/>
      <w:r w:rsidR="00FE43F2" w:rsidRPr="001D557C">
        <w:rPr>
          <w:rFonts w:hint="cs"/>
          <w:rtl/>
        </w:rPr>
        <w:t>ويجدر</w:t>
      </w:r>
      <w:proofErr w:type="gramEnd"/>
      <w:r w:rsidR="00FE43F2" w:rsidRPr="001D557C">
        <w:rPr>
          <w:rFonts w:hint="cs"/>
          <w:rtl/>
        </w:rPr>
        <w:t xml:space="preserve"> التشديد </w:t>
      </w:r>
      <w:r w:rsidR="00477CD5" w:rsidRPr="001D557C">
        <w:rPr>
          <w:rFonts w:hint="cs"/>
          <w:rtl/>
        </w:rPr>
        <w:t xml:space="preserve">على أن الأمانة سبق وبذلت جهوداً كبيرة في جميع </w:t>
      </w:r>
      <w:r w:rsidR="009136B8" w:rsidRPr="001D557C">
        <w:rPr>
          <w:rFonts w:hint="cs"/>
          <w:rtl/>
        </w:rPr>
        <w:t>ال</w:t>
      </w:r>
      <w:r w:rsidR="00477CD5" w:rsidRPr="001D557C">
        <w:rPr>
          <w:rFonts w:hint="cs"/>
          <w:rtl/>
        </w:rPr>
        <w:t xml:space="preserve">مشروعات </w:t>
      </w:r>
      <w:r w:rsidR="009136B8" w:rsidRPr="001D557C">
        <w:rPr>
          <w:rFonts w:hint="cs"/>
          <w:rtl/>
        </w:rPr>
        <w:t>الحديثة لجدول أ</w:t>
      </w:r>
      <w:r w:rsidR="00477CD5" w:rsidRPr="001D557C">
        <w:rPr>
          <w:rFonts w:hint="cs"/>
          <w:rtl/>
        </w:rPr>
        <w:t>عمال التنمية</w:t>
      </w:r>
      <w:r w:rsidR="009136B8" w:rsidRPr="001D557C">
        <w:rPr>
          <w:rFonts w:hint="cs"/>
          <w:rtl/>
        </w:rPr>
        <w:t xml:space="preserve"> </w:t>
      </w:r>
      <w:r w:rsidR="002A04A8" w:rsidRPr="001D557C">
        <w:rPr>
          <w:rFonts w:hint="cs"/>
          <w:rtl/>
        </w:rPr>
        <w:t>من أجل تعزيز الإدارة القائمة على النتائج باستمرار.</w:t>
      </w:r>
    </w:p>
    <w:p w:rsidR="008F20D8" w:rsidRDefault="001D557C" w:rsidP="007750F6">
      <w:pPr>
        <w:pStyle w:val="NormalParaAR"/>
        <w:widowControl w:val="0"/>
        <w:suppressAutoHyphens/>
        <w:rPr>
          <w:rtl/>
        </w:rPr>
      </w:pPr>
      <w:r>
        <w:rPr>
          <w:rFonts w:hint="cs"/>
          <w:rtl/>
        </w:rPr>
        <w:t>ويتضح من</w:t>
      </w:r>
      <w:r w:rsidR="00905356">
        <w:rPr>
          <w:rFonts w:hint="cs"/>
          <w:rtl/>
        </w:rPr>
        <w:t xml:space="preserve"> التقييم </w:t>
      </w:r>
      <w:r>
        <w:rPr>
          <w:rFonts w:hint="cs"/>
          <w:rtl/>
        </w:rPr>
        <w:t>أن من الضروري</w:t>
      </w:r>
      <w:r w:rsidR="003E3C8F">
        <w:rPr>
          <w:rFonts w:hint="cs"/>
          <w:rtl/>
        </w:rPr>
        <w:t xml:space="preserve"> تعزيز </w:t>
      </w:r>
      <w:r>
        <w:rPr>
          <w:rFonts w:hint="cs"/>
          <w:rtl/>
        </w:rPr>
        <w:t>الرقابة على</w:t>
      </w:r>
      <w:r w:rsidR="003E3C8F">
        <w:rPr>
          <w:rFonts w:hint="cs"/>
          <w:rtl/>
        </w:rPr>
        <w:t xml:space="preserve"> </w:t>
      </w:r>
      <w:r w:rsidR="0091488F">
        <w:rPr>
          <w:rFonts w:hint="cs"/>
          <w:rtl/>
        </w:rPr>
        <w:t>المشروع</w:t>
      </w:r>
      <w:r>
        <w:rPr>
          <w:rFonts w:hint="cs"/>
          <w:rtl/>
        </w:rPr>
        <w:t>ات</w:t>
      </w:r>
      <w:r w:rsidR="0091488F">
        <w:rPr>
          <w:rFonts w:hint="cs"/>
          <w:rtl/>
        </w:rPr>
        <w:t xml:space="preserve"> ورصد جودته</w:t>
      </w:r>
      <w:r>
        <w:rPr>
          <w:rFonts w:hint="cs"/>
          <w:rtl/>
        </w:rPr>
        <w:t>ا</w:t>
      </w:r>
      <w:r w:rsidR="0091488F">
        <w:rPr>
          <w:rFonts w:hint="cs"/>
          <w:rtl/>
        </w:rPr>
        <w:t xml:space="preserve"> </w:t>
      </w:r>
      <w:r>
        <w:rPr>
          <w:rFonts w:hint="cs"/>
          <w:rtl/>
        </w:rPr>
        <w:t>من داخل</w:t>
      </w:r>
      <w:r w:rsidR="0091488F">
        <w:rPr>
          <w:rFonts w:hint="cs"/>
          <w:rtl/>
        </w:rPr>
        <w:t xml:space="preserve"> الأمانة، </w:t>
      </w:r>
      <w:r>
        <w:rPr>
          <w:rFonts w:hint="cs"/>
          <w:rtl/>
        </w:rPr>
        <w:t>ولا سيما</w:t>
      </w:r>
      <w:r w:rsidR="0091488F">
        <w:rPr>
          <w:rFonts w:hint="cs"/>
          <w:rtl/>
        </w:rPr>
        <w:t xml:space="preserve"> شعبة تنسيق جدول أعمال التنمية. </w:t>
      </w:r>
      <w:r w:rsidR="00B36584">
        <w:rPr>
          <w:rFonts w:hint="cs"/>
          <w:rtl/>
        </w:rPr>
        <w:t xml:space="preserve">ومن شأن </w:t>
      </w:r>
      <w:r w:rsidR="008724F1">
        <w:rPr>
          <w:rFonts w:hint="cs"/>
          <w:rtl/>
        </w:rPr>
        <w:t>اشتراط</w:t>
      </w:r>
      <w:r w:rsidR="00B36584">
        <w:rPr>
          <w:rFonts w:hint="cs"/>
          <w:rtl/>
        </w:rPr>
        <w:t xml:space="preserve"> تأشير </w:t>
      </w:r>
      <w:r w:rsidR="004B6335">
        <w:rPr>
          <w:rFonts w:hint="cs"/>
          <w:rtl/>
        </w:rPr>
        <w:t>الشعبة</w:t>
      </w:r>
      <w:r w:rsidR="006F2184">
        <w:rPr>
          <w:rFonts w:hint="cs"/>
          <w:rtl/>
        </w:rPr>
        <w:t xml:space="preserve"> على جميع المراحل</w:t>
      </w:r>
      <w:r w:rsidR="004B6335">
        <w:rPr>
          <w:rFonts w:hint="cs"/>
          <w:rtl/>
        </w:rPr>
        <w:t xml:space="preserve"> الرئيسية</w:t>
      </w:r>
      <w:r w:rsidR="006F2184">
        <w:rPr>
          <w:rFonts w:hint="cs"/>
          <w:rtl/>
        </w:rPr>
        <w:t xml:space="preserve"> في تنفيذ المشروع (مثل </w:t>
      </w:r>
      <w:r w:rsidR="008724F1">
        <w:rPr>
          <w:rFonts w:hint="cs"/>
          <w:rtl/>
        </w:rPr>
        <w:t>تلزيم</w:t>
      </w:r>
      <w:r w:rsidR="009958BB">
        <w:rPr>
          <w:rFonts w:hint="cs"/>
          <w:rtl/>
        </w:rPr>
        <w:t xml:space="preserve"> الخدمات ونشر </w:t>
      </w:r>
      <w:r w:rsidR="004253D2">
        <w:rPr>
          <w:rFonts w:hint="cs"/>
          <w:rtl/>
        </w:rPr>
        <w:t>المواد وغيرها</w:t>
      </w:r>
      <w:r w:rsidR="006F2184">
        <w:rPr>
          <w:rFonts w:hint="cs"/>
          <w:rtl/>
        </w:rPr>
        <w:t>)</w:t>
      </w:r>
      <w:r w:rsidR="004253D2">
        <w:rPr>
          <w:rFonts w:hint="cs"/>
          <w:rtl/>
        </w:rPr>
        <w:t xml:space="preserve"> </w:t>
      </w:r>
      <w:r w:rsidR="00CE571F">
        <w:rPr>
          <w:rFonts w:hint="cs"/>
          <w:rtl/>
        </w:rPr>
        <w:t>وتنظيم</w:t>
      </w:r>
      <w:r w:rsidR="004253D2">
        <w:rPr>
          <w:rFonts w:hint="cs"/>
          <w:rtl/>
        </w:rPr>
        <w:t xml:space="preserve"> اجتماعات </w:t>
      </w:r>
      <w:r w:rsidR="00CE571F">
        <w:rPr>
          <w:rFonts w:hint="cs"/>
          <w:rtl/>
        </w:rPr>
        <w:t>منتظمة</w:t>
      </w:r>
      <w:r w:rsidR="004253D2">
        <w:rPr>
          <w:rFonts w:hint="cs"/>
          <w:rtl/>
        </w:rPr>
        <w:t xml:space="preserve"> </w:t>
      </w:r>
      <w:r w:rsidR="008724F1">
        <w:rPr>
          <w:rFonts w:hint="cs"/>
          <w:rtl/>
        </w:rPr>
        <w:t>للمشرفين</w:t>
      </w:r>
      <w:r w:rsidR="0027564F">
        <w:rPr>
          <w:rFonts w:hint="cs"/>
          <w:rtl/>
        </w:rPr>
        <w:t xml:space="preserve"> على</w:t>
      </w:r>
      <w:r w:rsidR="004253D2">
        <w:rPr>
          <w:rFonts w:hint="cs"/>
          <w:rtl/>
        </w:rPr>
        <w:t xml:space="preserve"> المشروع</w:t>
      </w:r>
      <w:r w:rsidR="008724F1">
        <w:rPr>
          <w:rFonts w:hint="cs"/>
          <w:rtl/>
        </w:rPr>
        <w:t>ات</w:t>
      </w:r>
      <w:r w:rsidR="004253D2">
        <w:rPr>
          <w:rFonts w:hint="cs"/>
          <w:rtl/>
        </w:rPr>
        <w:t xml:space="preserve">، أن يتيح للشعبة </w:t>
      </w:r>
      <w:r w:rsidR="008F20D8">
        <w:rPr>
          <w:rFonts w:hint="cs"/>
          <w:rtl/>
        </w:rPr>
        <w:t>استباق المشكلات.</w:t>
      </w:r>
    </w:p>
    <w:p w:rsidR="008F20D8" w:rsidRDefault="00EA4F3F" w:rsidP="007750F6">
      <w:pPr>
        <w:pStyle w:val="Heading2AR"/>
        <w:keepNext w:val="0"/>
        <w:widowControl w:val="0"/>
        <w:suppressAutoHyphens/>
        <w:rPr>
          <w:rtl/>
        </w:rPr>
      </w:pPr>
      <w:r>
        <w:rPr>
          <w:rFonts w:hint="cs"/>
          <w:rtl/>
        </w:rPr>
        <w:lastRenderedPageBreak/>
        <w:t>التوصيات</w:t>
      </w:r>
    </w:p>
    <w:p w:rsidR="00A60184" w:rsidRDefault="00EA4F3F" w:rsidP="007750F6">
      <w:pPr>
        <w:pStyle w:val="NormalParaAR"/>
        <w:widowControl w:val="0"/>
        <w:suppressAutoHyphens/>
        <w:rPr>
          <w:i/>
          <w:iCs/>
          <w:rtl/>
        </w:rPr>
      </w:pPr>
      <w:r>
        <w:rPr>
          <w:rFonts w:hint="cs"/>
          <w:i/>
          <w:iCs/>
          <w:rtl/>
        </w:rPr>
        <w:t>التوصية 1 (</w:t>
      </w:r>
      <w:r w:rsidR="008D2CA6">
        <w:rPr>
          <w:rFonts w:hint="cs"/>
          <w:i/>
          <w:iCs/>
          <w:rtl/>
        </w:rPr>
        <w:t>من الاستنتاجين 2 و3</w:t>
      </w:r>
      <w:r>
        <w:rPr>
          <w:rFonts w:hint="cs"/>
          <w:i/>
          <w:iCs/>
          <w:rtl/>
        </w:rPr>
        <w:t>)</w:t>
      </w:r>
      <w:r w:rsidR="008D2CA6">
        <w:rPr>
          <w:rFonts w:hint="cs"/>
          <w:i/>
          <w:iCs/>
          <w:rtl/>
        </w:rPr>
        <w:t xml:space="preserve"> موجهة إلى الدول الأعضاء </w:t>
      </w:r>
      <w:r w:rsidR="00D747C1">
        <w:rPr>
          <w:rFonts w:hint="cs"/>
          <w:i/>
          <w:iCs/>
          <w:rtl/>
        </w:rPr>
        <w:t xml:space="preserve">وأمانة الويبو بشأن إعداد مقترح </w:t>
      </w:r>
      <w:r w:rsidR="00554739">
        <w:rPr>
          <w:rFonts w:hint="cs"/>
          <w:i/>
          <w:iCs/>
          <w:rtl/>
        </w:rPr>
        <w:t xml:space="preserve">عن كيفية زيادة مساهمة الويبو في </w:t>
      </w:r>
      <w:r w:rsidR="00A60184">
        <w:rPr>
          <w:rFonts w:hint="cs"/>
          <w:i/>
          <w:iCs/>
          <w:rtl/>
        </w:rPr>
        <w:t>تيسير نقل التكنولوجيا:</w:t>
      </w:r>
    </w:p>
    <w:p w:rsidR="0087254E" w:rsidRDefault="00A75DFA" w:rsidP="007750F6">
      <w:pPr>
        <w:pStyle w:val="NormalParaAR"/>
        <w:widowControl w:val="0"/>
        <w:suppressAutoHyphens/>
        <w:rPr>
          <w:rtl/>
        </w:rPr>
      </w:pPr>
      <w:r>
        <w:rPr>
          <w:rFonts w:hint="cs"/>
          <w:rtl/>
        </w:rPr>
        <w:t xml:space="preserve">ينبغي </w:t>
      </w:r>
      <w:r w:rsidR="008724F1">
        <w:rPr>
          <w:rFonts w:hint="cs"/>
          <w:rtl/>
        </w:rPr>
        <w:t>ل</w:t>
      </w:r>
      <w:r>
        <w:rPr>
          <w:rFonts w:hint="cs"/>
          <w:rtl/>
        </w:rPr>
        <w:t xml:space="preserve">لدول الأعضاء </w:t>
      </w:r>
      <w:r w:rsidR="00F903DE">
        <w:rPr>
          <w:rFonts w:hint="cs"/>
          <w:rtl/>
        </w:rPr>
        <w:t>بعد مناقشة نتائج المشروع في ال</w:t>
      </w:r>
      <w:r w:rsidR="008724F1">
        <w:rPr>
          <w:rFonts w:hint="cs"/>
          <w:rtl/>
        </w:rPr>
        <w:t>دورة السادسة عشرة القادمة للجنة</w:t>
      </w:r>
      <w:r w:rsidR="00F903DE">
        <w:rPr>
          <w:rFonts w:hint="cs"/>
          <w:rtl/>
        </w:rPr>
        <w:t>،</w:t>
      </w:r>
      <w:r>
        <w:rPr>
          <w:rFonts w:hint="cs"/>
          <w:rtl/>
        </w:rPr>
        <w:t xml:space="preserve"> أن </w:t>
      </w:r>
      <w:r w:rsidR="008724F1">
        <w:rPr>
          <w:rFonts w:hint="cs"/>
          <w:rtl/>
        </w:rPr>
        <w:t>تطلب</w:t>
      </w:r>
      <w:r>
        <w:rPr>
          <w:rFonts w:hint="cs"/>
          <w:rtl/>
        </w:rPr>
        <w:t xml:space="preserve"> من الأمانة </w:t>
      </w:r>
      <w:r w:rsidR="00423B37">
        <w:rPr>
          <w:rFonts w:hint="cs"/>
          <w:rtl/>
        </w:rPr>
        <w:t xml:space="preserve">تخطيط خدمات الويبو </w:t>
      </w:r>
      <w:r w:rsidR="008724F1">
        <w:rPr>
          <w:rFonts w:hint="cs"/>
          <w:rtl/>
        </w:rPr>
        <w:t>القائمة في مجال نقل التكنولوجيا</w:t>
      </w:r>
      <w:r w:rsidR="0087254E">
        <w:rPr>
          <w:rFonts w:hint="cs"/>
          <w:rtl/>
        </w:rPr>
        <w:t xml:space="preserve">، </w:t>
      </w:r>
      <w:r w:rsidR="008724F1">
        <w:rPr>
          <w:rFonts w:hint="cs"/>
          <w:rtl/>
        </w:rPr>
        <w:t xml:space="preserve">وتنظر في </w:t>
      </w:r>
      <w:r w:rsidR="0087254E">
        <w:rPr>
          <w:rFonts w:hint="cs"/>
          <w:rtl/>
        </w:rPr>
        <w:t>طريقة استكماله</w:t>
      </w:r>
      <w:r w:rsidR="00FC580A">
        <w:rPr>
          <w:rFonts w:hint="cs"/>
          <w:rtl/>
        </w:rPr>
        <w:t>ا</w:t>
      </w:r>
      <w:r w:rsidR="0087254E">
        <w:rPr>
          <w:rFonts w:hint="cs"/>
          <w:rtl/>
        </w:rPr>
        <w:t xml:space="preserve"> وتحسينها</w:t>
      </w:r>
      <w:r w:rsidR="008724F1" w:rsidRPr="008724F1">
        <w:rPr>
          <w:rFonts w:hint="cs"/>
          <w:rtl/>
        </w:rPr>
        <w:t xml:space="preserve"> </w:t>
      </w:r>
      <w:r w:rsidR="008724F1">
        <w:rPr>
          <w:rFonts w:hint="cs"/>
          <w:rtl/>
        </w:rPr>
        <w:t>مع مراعاة نتائج المشروع</w:t>
      </w:r>
      <w:r w:rsidR="0087254E">
        <w:rPr>
          <w:rFonts w:hint="cs"/>
          <w:rtl/>
        </w:rPr>
        <w:t>.</w:t>
      </w:r>
    </w:p>
    <w:p w:rsidR="003A669B" w:rsidRDefault="0087254E" w:rsidP="007750F6">
      <w:pPr>
        <w:pStyle w:val="NormalParaAR"/>
        <w:widowControl w:val="0"/>
        <w:suppressAutoHyphens/>
        <w:rPr>
          <w:i/>
          <w:iCs/>
          <w:rtl/>
        </w:rPr>
      </w:pPr>
      <w:r>
        <w:rPr>
          <w:rFonts w:hint="cs"/>
          <w:i/>
          <w:iCs/>
          <w:rtl/>
        </w:rPr>
        <w:t>التوصية 2 (</w:t>
      </w:r>
      <w:r w:rsidR="00C637B0">
        <w:rPr>
          <w:rFonts w:hint="cs"/>
          <w:i/>
          <w:iCs/>
          <w:rtl/>
        </w:rPr>
        <w:t>من الاستنتاجين 2 و3</w:t>
      </w:r>
      <w:r>
        <w:rPr>
          <w:rFonts w:hint="cs"/>
          <w:i/>
          <w:iCs/>
          <w:rtl/>
        </w:rPr>
        <w:t>)</w:t>
      </w:r>
      <w:r w:rsidR="00065C4B">
        <w:rPr>
          <w:rFonts w:hint="cs"/>
          <w:i/>
          <w:iCs/>
          <w:rtl/>
        </w:rPr>
        <w:t xml:space="preserve"> </w:t>
      </w:r>
      <w:r w:rsidR="00C637B0">
        <w:rPr>
          <w:rFonts w:hint="cs"/>
          <w:i/>
          <w:iCs/>
          <w:rtl/>
        </w:rPr>
        <w:t xml:space="preserve">موجهة إلى الدول الأعضاء </w:t>
      </w:r>
      <w:r w:rsidR="00065C4B">
        <w:rPr>
          <w:rFonts w:hint="cs"/>
          <w:i/>
          <w:iCs/>
          <w:rtl/>
        </w:rPr>
        <w:t>و</w:t>
      </w:r>
      <w:r w:rsidR="00FC580A">
        <w:rPr>
          <w:rFonts w:hint="cs"/>
          <w:i/>
          <w:iCs/>
          <w:rtl/>
        </w:rPr>
        <w:t xml:space="preserve">أمانة الويبو عن </w:t>
      </w:r>
      <w:r w:rsidR="00C637B0">
        <w:rPr>
          <w:rFonts w:hint="cs"/>
          <w:i/>
          <w:iCs/>
          <w:rtl/>
        </w:rPr>
        <w:t xml:space="preserve">مضمون </w:t>
      </w:r>
      <w:r w:rsidR="00F52363">
        <w:rPr>
          <w:rFonts w:hint="cs"/>
          <w:i/>
          <w:iCs/>
          <w:rtl/>
        </w:rPr>
        <w:t xml:space="preserve">مقترح </w:t>
      </w:r>
      <w:r w:rsidR="00FC580A">
        <w:rPr>
          <w:rFonts w:hint="cs"/>
          <w:i/>
          <w:iCs/>
          <w:rtl/>
        </w:rPr>
        <w:t>محدد</w:t>
      </w:r>
      <w:r w:rsidR="00065C4B">
        <w:rPr>
          <w:rFonts w:hint="cs"/>
          <w:i/>
          <w:iCs/>
          <w:rtl/>
        </w:rPr>
        <w:t xml:space="preserve"> </w:t>
      </w:r>
      <w:r w:rsidR="009A6BAC">
        <w:rPr>
          <w:rFonts w:hint="cs"/>
          <w:i/>
          <w:iCs/>
          <w:rtl/>
        </w:rPr>
        <w:t>(</w:t>
      </w:r>
      <w:r w:rsidR="00065C4B">
        <w:rPr>
          <w:rFonts w:hint="cs"/>
          <w:i/>
          <w:iCs/>
          <w:rtl/>
        </w:rPr>
        <w:t>إذا ما اعتمدت</w:t>
      </w:r>
      <w:r w:rsidR="003A669B">
        <w:rPr>
          <w:rFonts w:hint="cs"/>
          <w:i/>
          <w:iCs/>
          <w:rtl/>
        </w:rPr>
        <w:t xml:space="preserve"> الدول الأعضاء التوصية 1 أعلاه</w:t>
      </w:r>
      <w:r w:rsidR="009A6BAC">
        <w:rPr>
          <w:rFonts w:hint="cs"/>
          <w:i/>
          <w:iCs/>
          <w:rtl/>
        </w:rPr>
        <w:t>)</w:t>
      </w:r>
      <w:r w:rsidR="003A669B">
        <w:rPr>
          <w:rFonts w:hint="cs"/>
          <w:i/>
          <w:iCs/>
          <w:rtl/>
        </w:rPr>
        <w:t>:</w:t>
      </w:r>
    </w:p>
    <w:p w:rsidR="009C7C17" w:rsidRDefault="00FC580A" w:rsidP="007750F6">
      <w:pPr>
        <w:pStyle w:val="NormalParaAR"/>
        <w:widowControl w:val="0"/>
        <w:suppressAutoHyphens/>
        <w:rPr>
          <w:rtl/>
        </w:rPr>
      </w:pPr>
      <w:proofErr w:type="gramStart"/>
      <w:r>
        <w:rPr>
          <w:rFonts w:hint="cs"/>
          <w:rtl/>
        </w:rPr>
        <w:t>و</w:t>
      </w:r>
      <w:r w:rsidR="00DF63BD">
        <w:rPr>
          <w:rFonts w:hint="cs"/>
          <w:rtl/>
        </w:rPr>
        <w:t>استناداً</w:t>
      </w:r>
      <w:proofErr w:type="gramEnd"/>
      <w:r w:rsidR="00DF63BD">
        <w:rPr>
          <w:rFonts w:hint="cs"/>
          <w:rtl/>
        </w:rPr>
        <w:t xml:space="preserve"> إلى نتائج هذا التقييم، </w:t>
      </w:r>
      <w:r w:rsidR="00415B35">
        <w:rPr>
          <w:rFonts w:hint="cs"/>
          <w:rtl/>
        </w:rPr>
        <w:t>توصى</w:t>
      </w:r>
      <w:r w:rsidR="00DF63BD">
        <w:rPr>
          <w:rFonts w:hint="cs"/>
          <w:rtl/>
        </w:rPr>
        <w:t xml:space="preserve"> الأمانة </w:t>
      </w:r>
      <w:r w:rsidR="00415B35">
        <w:rPr>
          <w:rFonts w:hint="cs"/>
          <w:rtl/>
        </w:rPr>
        <w:t>بأن تبحث في إمكانية</w:t>
      </w:r>
      <w:r w:rsidR="00DF63BD">
        <w:rPr>
          <w:rFonts w:hint="cs"/>
          <w:rtl/>
        </w:rPr>
        <w:t xml:space="preserve"> تقديم الدعم </w:t>
      </w:r>
      <w:r w:rsidR="009C7C17">
        <w:rPr>
          <w:rFonts w:hint="cs"/>
          <w:rtl/>
        </w:rPr>
        <w:t>في مجالات التدخل التالية:</w:t>
      </w:r>
    </w:p>
    <w:p w:rsidR="00494498" w:rsidRDefault="000E099B" w:rsidP="00C5792A">
      <w:pPr>
        <w:pStyle w:val="NormalParaAR"/>
        <w:widowControl w:val="0"/>
        <w:numPr>
          <w:ilvl w:val="0"/>
          <w:numId w:val="3"/>
        </w:numPr>
        <w:suppressAutoHyphens/>
        <w:ind w:left="566" w:firstLine="0"/>
      </w:pPr>
      <w:r>
        <w:rPr>
          <w:rFonts w:hint="cs"/>
          <w:rtl/>
        </w:rPr>
        <w:t>الاستمرار في تحديد أفضل الممارسات</w:t>
      </w:r>
      <w:r w:rsidR="006D6372">
        <w:rPr>
          <w:rFonts w:hint="cs"/>
          <w:rtl/>
        </w:rPr>
        <w:t xml:space="preserve"> في مجال نقل التكنولوجيا </w:t>
      </w:r>
      <w:r w:rsidR="0060092B">
        <w:rPr>
          <w:rFonts w:hint="cs"/>
          <w:rtl/>
        </w:rPr>
        <w:t>وجمعها وتشاطرها</w:t>
      </w:r>
      <w:r w:rsidR="006D6372">
        <w:rPr>
          <w:rFonts w:hint="cs"/>
          <w:rtl/>
        </w:rPr>
        <w:t xml:space="preserve"> من خلال إجراء </w:t>
      </w:r>
      <w:r w:rsidR="006D6372" w:rsidRPr="001545B3">
        <w:rPr>
          <w:rFonts w:hint="cs"/>
          <w:rtl/>
        </w:rPr>
        <w:t>دراسات إفرادية</w:t>
      </w:r>
      <w:r w:rsidR="001D2804">
        <w:rPr>
          <w:rFonts w:hint="cs"/>
          <w:rtl/>
        </w:rPr>
        <w:t xml:space="preserve"> إضافية وتوثيق</w:t>
      </w:r>
      <w:r w:rsidR="00085AB3">
        <w:rPr>
          <w:rFonts w:hint="cs"/>
          <w:rtl/>
        </w:rPr>
        <w:t xml:space="preserve"> قصص النجاح الناتجة عن التعاون بين البلدان النامية </w:t>
      </w:r>
      <w:r w:rsidR="00FF7402">
        <w:rPr>
          <w:rFonts w:hint="cs"/>
          <w:rtl/>
        </w:rPr>
        <w:t xml:space="preserve">والبلدان المتقدمة. </w:t>
      </w:r>
      <w:r w:rsidR="00415B35">
        <w:rPr>
          <w:rFonts w:hint="cs"/>
          <w:rtl/>
        </w:rPr>
        <w:t>ولعل من المفيد</w:t>
      </w:r>
      <w:r w:rsidR="004E22FC">
        <w:rPr>
          <w:rFonts w:hint="cs"/>
          <w:rtl/>
        </w:rPr>
        <w:t xml:space="preserve"> </w:t>
      </w:r>
      <w:r w:rsidR="00415B35">
        <w:rPr>
          <w:rFonts w:hint="cs"/>
          <w:rtl/>
        </w:rPr>
        <w:t xml:space="preserve">خاصة </w:t>
      </w:r>
      <w:r w:rsidR="00FF7402">
        <w:rPr>
          <w:rFonts w:hint="cs"/>
          <w:rtl/>
        </w:rPr>
        <w:t xml:space="preserve">تحديد </w:t>
      </w:r>
      <w:r w:rsidR="00B801E1">
        <w:rPr>
          <w:rFonts w:hint="cs"/>
          <w:rtl/>
        </w:rPr>
        <w:t xml:space="preserve">نماذج </w:t>
      </w:r>
      <w:proofErr w:type="gramStart"/>
      <w:r w:rsidR="00B801E1">
        <w:rPr>
          <w:rFonts w:hint="cs"/>
          <w:rtl/>
        </w:rPr>
        <w:t>تطور</w:t>
      </w:r>
      <w:proofErr w:type="gramEnd"/>
      <w:r w:rsidR="00B801E1">
        <w:rPr>
          <w:rFonts w:hint="cs"/>
          <w:rtl/>
        </w:rPr>
        <w:t xml:space="preserve"> البلدان التي أصبحت حديثاً بلداناً متقدمة</w:t>
      </w:r>
      <w:r w:rsidR="00494498">
        <w:rPr>
          <w:rFonts w:hint="cs"/>
          <w:rtl/>
        </w:rPr>
        <w:t>.</w:t>
      </w:r>
    </w:p>
    <w:p w:rsidR="008E283C" w:rsidRDefault="00FF3F39" w:rsidP="00C5792A">
      <w:pPr>
        <w:pStyle w:val="NormalParaAR"/>
        <w:widowControl w:val="0"/>
        <w:numPr>
          <w:ilvl w:val="0"/>
          <w:numId w:val="3"/>
        </w:numPr>
        <w:suppressAutoHyphens/>
        <w:ind w:left="566" w:firstLine="0"/>
      </w:pPr>
      <w:proofErr w:type="gramStart"/>
      <w:r>
        <w:rPr>
          <w:rFonts w:hint="cs"/>
          <w:rtl/>
        </w:rPr>
        <w:t>الاستمرار</w:t>
      </w:r>
      <w:proofErr w:type="gramEnd"/>
      <w:r>
        <w:rPr>
          <w:rFonts w:hint="cs"/>
          <w:rtl/>
        </w:rPr>
        <w:t xml:space="preserve"> في </w:t>
      </w:r>
      <w:r w:rsidR="00415B35">
        <w:rPr>
          <w:rFonts w:hint="cs"/>
          <w:rtl/>
        </w:rPr>
        <w:t>تكوين</w:t>
      </w:r>
      <w:r w:rsidR="006F384D">
        <w:rPr>
          <w:rFonts w:hint="cs"/>
          <w:rtl/>
        </w:rPr>
        <w:t xml:space="preserve"> </w:t>
      </w:r>
      <w:r w:rsidR="00415B35">
        <w:rPr>
          <w:rFonts w:hint="cs"/>
          <w:rtl/>
        </w:rPr>
        <w:t>الكفاءات</w:t>
      </w:r>
      <w:r w:rsidR="007555DD">
        <w:rPr>
          <w:rFonts w:hint="cs"/>
          <w:rtl/>
        </w:rPr>
        <w:t xml:space="preserve"> العملية</w:t>
      </w:r>
      <w:r w:rsidR="006F384D">
        <w:rPr>
          <w:rFonts w:hint="cs"/>
          <w:rtl/>
        </w:rPr>
        <w:t xml:space="preserve"> (بما فيها مجموع</w:t>
      </w:r>
      <w:r w:rsidR="0041190D">
        <w:rPr>
          <w:rFonts w:hint="cs"/>
          <w:rtl/>
        </w:rPr>
        <w:t>ات</w:t>
      </w:r>
      <w:r w:rsidR="006F384D">
        <w:rPr>
          <w:rFonts w:hint="cs"/>
          <w:rtl/>
        </w:rPr>
        <w:t xml:space="preserve"> </w:t>
      </w:r>
      <w:r w:rsidR="0041190D">
        <w:rPr>
          <w:rFonts w:hint="cs"/>
          <w:rtl/>
        </w:rPr>
        <w:t>ال</w:t>
      </w:r>
      <w:r w:rsidR="006F384D">
        <w:rPr>
          <w:rFonts w:hint="cs"/>
          <w:rtl/>
        </w:rPr>
        <w:t>أدوات)</w:t>
      </w:r>
      <w:r w:rsidR="0041190D">
        <w:rPr>
          <w:rFonts w:hint="cs"/>
          <w:rtl/>
        </w:rPr>
        <w:t xml:space="preserve"> المصممة </w:t>
      </w:r>
      <w:r w:rsidR="008E283C">
        <w:rPr>
          <w:rFonts w:hint="cs"/>
          <w:rtl/>
        </w:rPr>
        <w:t xml:space="preserve">خصيصاً </w:t>
      </w:r>
      <w:r w:rsidR="00266EA3">
        <w:rPr>
          <w:rFonts w:hint="cs"/>
          <w:rtl/>
        </w:rPr>
        <w:t>لمستخدمين</w:t>
      </w:r>
      <w:r w:rsidR="008E283C">
        <w:rPr>
          <w:rFonts w:hint="cs"/>
          <w:rtl/>
        </w:rPr>
        <w:t xml:space="preserve"> محددين مع التركيز على البلدان الأقل نمواً.</w:t>
      </w:r>
    </w:p>
    <w:p w:rsidR="003A416E" w:rsidRDefault="000B3942" w:rsidP="00C5792A">
      <w:pPr>
        <w:pStyle w:val="NormalParaAR"/>
        <w:widowControl w:val="0"/>
        <w:numPr>
          <w:ilvl w:val="0"/>
          <w:numId w:val="3"/>
        </w:numPr>
        <w:suppressAutoHyphens/>
        <w:ind w:left="566" w:firstLine="0"/>
      </w:pPr>
      <w:proofErr w:type="gramStart"/>
      <w:r>
        <w:rPr>
          <w:rFonts w:hint="cs"/>
          <w:rtl/>
        </w:rPr>
        <w:t>الاستمرار</w:t>
      </w:r>
      <w:proofErr w:type="gramEnd"/>
      <w:r>
        <w:rPr>
          <w:rFonts w:hint="cs"/>
          <w:rtl/>
        </w:rPr>
        <w:t xml:space="preserve"> في</w:t>
      </w:r>
      <w:r w:rsidR="00F37C0D">
        <w:rPr>
          <w:rFonts w:hint="cs"/>
          <w:rtl/>
        </w:rPr>
        <w:t xml:space="preserve"> </w:t>
      </w:r>
      <w:r w:rsidR="00415B35">
        <w:rPr>
          <w:rFonts w:hint="cs"/>
          <w:rtl/>
        </w:rPr>
        <w:t xml:space="preserve">تكوين كفاءات </w:t>
      </w:r>
      <w:r w:rsidR="00BA5604">
        <w:rPr>
          <w:rFonts w:hint="cs"/>
          <w:rtl/>
        </w:rPr>
        <w:t xml:space="preserve">مزودي خدمات الملكية الفكرية أو الابتكار في البلدان النامية، </w:t>
      </w:r>
      <w:r w:rsidR="003A416E">
        <w:rPr>
          <w:rFonts w:hint="cs"/>
          <w:rtl/>
        </w:rPr>
        <w:t>مثل مكاتب الملكية الفكرية ومراكز نقل التكنولوجيا وغيرها.</w:t>
      </w:r>
    </w:p>
    <w:p w:rsidR="00024D2F" w:rsidRDefault="00921137" w:rsidP="00C5792A">
      <w:pPr>
        <w:pStyle w:val="NormalParaAR"/>
        <w:widowControl w:val="0"/>
        <w:numPr>
          <w:ilvl w:val="0"/>
          <w:numId w:val="3"/>
        </w:numPr>
        <w:suppressAutoHyphens/>
        <w:ind w:left="566" w:firstLine="0"/>
      </w:pPr>
      <w:r>
        <w:rPr>
          <w:rFonts w:hint="cs"/>
          <w:rtl/>
        </w:rPr>
        <w:t xml:space="preserve">دعم </w:t>
      </w:r>
      <w:r w:rsidRPr="00356F88">
        <w:rPr>
          <w:rFonts w:hint="cs"/>
          <w:rtl/>
        </w:rPr>
        <w:t>وتوثيق</w:t>
      </w:r>
      <w:r>
        <w:rPr>
          <w:rFonts w:hint="cs"/>
          <w:rtl/>
        </w:rPr>
        <w:t xml:space="preserve"> أنشطة</w:t>
      </w:r>
      <w:r w:rsidR="00024D2F">
        <w:rPr>
          <w:rFonts w:hint="cs"/>
          <w:rtl/>
        </w:rPr>
        <w:t xml:space="preserve"> </w:t>
      </w:r>
      <w:r>
        <w:rPr>
          <w:rFonts w:hint="cs"/>
          <w:rtl/>
        </w:rPr>
        <w:t>رائدة في مجال نقل التكنولوجيا</w:t>
      </w:r>
      <w:r w:rsidR="00024D2F">
        <w:rPr>
          <w:rFonts w:hint="cs"/>
          <w:rtl/>
        </w:rPr>
        <w:t xml:space="preserve"> في البلدان النامية </w:t>
      </w:r>
      <w:r w:rsidR="00024D2F" w:rsidRPr="00356F88">
        <w:rPr>
          <w:rFonts w:hint="cs"/>
          <w:rtl/>
        </w:rPr>
        <w:t xml:space="preserve">لأغراض </w:t>
      </w:r>
      <w:r w:rsidR="00356F88">
        <w:rPr>
          <w:rFonts w:hint="cs"/>
          <w:rtl/>
        </w:rPr>
        <w:t>توضيحية</w:t>
      </w:r>
      <w:r w:rsidR="00B27244">
        <w:rPr>
          <w:rFonts w:hint="cs"/>
          <w:rtl/>
        </w:rPr>
        <w:t xml:space="preserve">. </w:t>
      </w:r>
      <w:r w:rsidR="0060092B">
        <w:rPr>
          <w:rFonts w:hint="cs"/>
          <w:rtl/>
        </w:rPr>
        <w:t xml:space="preserve"> </w:t>
      </w:r>
    </w:p>
    <w:p w:rsidR="00A43CCE" w:rsidRDefault="008B5501" w:rsidP="00C5792A">
      <w:pPr>
        <w:pStyle w:val="NormalParaAR"/>
        <w:widowControl w:val="0"/>
        <w:numPr>
          <w:ilvl w:val="0"/>
          <w:numId w:val="3"/>
        </w:numPr>
        <w:suppressAutoHyphens/>
        <w:ind w:left="566" w:firstLine="0"/>
      </w:pPr>
      <w:proofErr w:type="gramStart"/>
      <w:r>
        <w:rPr>
          <w:rFonts w:hint="cs"/>
          <w:rtl/>
        </w:rPr>
        <w:t>إسداء</w:t>
      </w:r>
      <w:proofErr w:type="gramEnd"/>
      <w:r>
        <w:rPr>
          <w:rFonts w:hint="cs"/>
          <w:rtl/>
        </w:rPr>
        <w:t xml:space="preserve"> مشورة</w:t>
      </w:r>
      <w:r w:rsidR="00E250E6">
        <w:rPr>
          <w:rFonts w:hint="cs"/>
          <w:rtl/>
        </w:rPr>
        <w:t xml:space="preserve"> </w:t>
      </w:r>
      <w:r>
        <w:rPr>
          <w:rFonts w:hint="cs"/>
          <w:rtl/>
        </w:rPr>
        <w:t>في</w:t>
      </w:r>
      <w:r w:rsidR="00E250E6">
        <w:rPr>
          <w:rFonts w:hint="cs"/>
          <w:rtl/>
        </w:rPr>
        <w:t xml:space="preserve"> مجال السياسات</w:t>
      </w:r>
      <w:r w:rsidR="00415B35" w:rsidRPr="00415B35">
        <w:rPr>
          <w:rFonts w:hint="cs"/>
          <w:rtl/>
        </w:rPr>
        <w:t xml:space="preserve"> </w:t>
      </w:r>
      <w:r w:rsidR="00415B35">
        <w:rPr>
          <w:rFonts w:hint="cs"/>
          <w:rtl/>
        </w:rPr>
        <w:t>للدول الأعضاء</w:t>
      </w:r>
      <w:r w:rsidR="00356F88">
        <w:rPr>
          <w:rFonts w:hint="cs"/>
          <w:rtl/>
        </w:rPr>
        <w:t>،</w:t>
      </w:r>
      <w:r w:rsidR="00E250E6">
        <w:rPr>
          <w:rFonts w:hint="cs"/>
          <w:rtl/>
        </w:rPr>
        <w:t xml:space="preserve"> </w:t>
      </w:r>
      <w:r w:rsidR="00415B35">
        <w:rPr>
          <w:rFonts w:hint="cs"/>
          <w:rtl/>
        </w:rPr>
        <w:t xml:space="preserve">تكون </w:t>
      </w:r>
      <w:r w:rsidR="00E250E6">
        <w:rPr>
          <w:rFonts w:hint="cs"/>
          <w:rtl/>
        </w:rPr>
        <w:t xml:space="preserve">مصممة خصيصاً </w:t>
      </w:r>
      <w:r w:rsidR="00415B35">
        <w:rPr>
          <w:rFonts w:hint="cs"/>
          <w:rtl/>
        </w:rPr>
        <w:t>للبلدان</w:t>
      </w:r>
      <w:r w:rsidR="00E250E6">
        <w:rPr>
          <w:rFonts w:hint="cs"/>
          <w:rtl/>
        </w:rPr>
        <w:t xml:space="preserve"> الأقل نمواً بغية إنشاء إطار </w:t>
      </w:r>
      <w:r w:rsidR="00A43CCE">
        <w:rPr>
          <w:rFonts w:hint="cs"/>
          <w:rtl/>
        </w:rPr>
        <w:t>يمك</w:t>
      </w:r>
      <w:r w:rsidR="00356F88">
        <w:rPr>
          <w:rFonts w:hint="cs"/>
          <w:rtl/>
        </w:rPr>
        <w:t>ِّ</w:t>
      </w:r>
      <w:r w:rsidR="00A43CCE">
        <w:rPr>
          <w:rFonts w:hint="cs"/>
          <w:rtl/>
        </w:rPr>
        <w:t>ن</w:t>
      </w:r>
      <w:r w:rsidR="00B157AA">
        <w:rPr>
          <w:rFonts w:hint="cs"/>
          <w:rtl/>
        </w:rPr>
        <w:t>ها</w:t>
      </w:r>
      <w:r w:rsidR="00A43CCE">
        <w:rPr>
          <w:rFonts w:hint="cs"/>
          <w:rtl/>
        </w:rPr>
        <w:t xml:space="preserve"> من نقل التكنولوجيا. وقد يتضمن </w:t>
      </w:r>
      <w:proofErr w:type="gramStart"/>
      <w:r w:rsidR="00A43CCE">
        <w:rPr>
          <w:rFonts w:hint="cs"/>
          <w:rtl/>
        </w:rPr>
        <w:t>ذلك</w:t>
      </w:r>
      <w:proofErr w:type="gramEnd"/>
      <w:r w:rsidR="00A43CCE">
        <w:rPr>
          <w:rFonts w:hint="cs"/>
          <w:rtl/>
        </w:rPr>
        <w:t xml:space="preserve"> إسداء المشورة في مجال استخدام</w:t>
      </w:r>
      <w:r w:rsidR="00B157AA">
        <w:rPr>
          <w:rFonts w:hint="cs"/>
          <w:rtl/>
        </w:rPr>
        <w:t xml:space="preserve"> مواطن المرونة </w:t>
      </w:r>
      <w:r w:rsidR="00A43CCE">
        <w:rPr>
          <w:rFonts w:hint="cs"/>
          <w:rtl/>
        </w:rPr>
        <w:t>في إطار الاتفاقات الدولية.</w:t>
      </w:r>
    </w:p>
    <w:p w:rsidR="00B6798D" w:rsidRDefault="009525F1" w:rsidP="00C5792A">
      <w:pPr>
        <w:pStyle w:val="NormalParaAR"/>
        <w:widowControl w:val="0"/>
        <w:numPr>
          <w:ilvl w:val="0"/>
          <w:numId w:val="3"/>
        </w:numPr>
        <w:suppressAutoHyphens/>
        <w:ind w:left="566" w:firstLine="0"/>
      </w:pPr>
      <w:r>
        <w:rPr>
          <w:rFonts w:hint="cs"/>
          <w:rtl/>
        </w:rPr>
        <w:t xml:space="preserve">تزويد قاعدة بيانات ركن البراءات بالقدرة على تحليل البيانات </w:t>
      </w:r>
      <w:r w:rsidR="00DF3199">
        <w:rPr>
          <w:rFonts w:hint="cs"/>
          <w:rtl/>
        </w:rPr>
        <w:t>بغية زيادة فائدة بيانات البراءات</w:t>
      </w:r>
      <w:r w:rsidR="006700ED">
        <w:rPr>
          <w:rFonts w:hint="cs"/>
          <w:rtl/>
        </w:rPr>
        <w:t xml:space="preserve"> لعموم مستخدميها في جميع البلدان، بما فيها البلدان الأقل نمواً.</w:t>
      </w:r>
      <w:r w:rsidR="00A77C86">
        <w:rPr>
          <w:rFonts w:hint="cs"/>
          <w:rtl/>
        </w:rPr>
        <w:t xml:space="preserve"> </w:t>
      </w:r>
      <w:r w:rsidR="00415B35">
        <w:rPr>
          <w:rFonts w:hint="cs"/>
          <w:rtl/>
        </w:rPr>
        <w:t>و</w:t>
      </w:r>
      <w:r w:rsidR="009C730E">
        <w:rPr>
          <w:rFonts w:hint="cs"/>
          <w:rtl/>
        </w:rPr>
        <w:t xml:space="preserve">البحث في </w:t>
      </w:r>
      <w:r w:rsidR="007116CB">
        <w:rPr>
          <w:rFonts w:hint="cs"/>
          <w:rtl/>
        </w:rPr>
        <w:t xml:space="preserve">توفير </w:t>
      </w:r>
      <w:r w:rsidR="007F3CD4">
        <w:rPr>
          <w:rFonts w:hint="cs"/>
          <w:rtl/>
        </w:rPr>
        <w:t>آ</w:t>
      </w:r>
      <w:r w:rsidR="007116CB">
        <w:rPr>
          <w:rFonts w:hint="cs"/>
          <w:rtl/>
        </w:rPr>
        <w:t>لية "</w:t>
      </w:r>
      <w:proofErr w:type="gramStart"/>
      <w:r w:rsidR="007116CB">
        <w:rPr>
          <w:rFonts w:hint="cs"/>
          <w:rtl/>
        </w:rPr>
        <w:t>لا</w:t>
      </w:r>
      <w:r w:rsidR="00A77C86" w:rsidRPr="00A77C86">
        <w:rPr>
          <w:rtl/>
        </w:rPr>
        <w:t>ستخراج</w:t>
      </w:r>
      <w:proofErr w:type="gramEnd"/>
      <w:r w:rsidR="00A77C86" w:rsidRPr="00A77C86">
        <w:rPr>
          <w:rtl/>
        </w:rPr>
        <w:t xml:space="preserve"> البيانات والتصوير البياني للبيانات والأدلة الإحصائية </w:t>
      </w:r>
      <w:r w:rsidR="00415B35">
        <w:rPr>
          <w:rFonts w:hint="cs"/>
          <w:rtl/>
        </w:rPr>
        <w:t>بشأن ا</w:t>
      </w:r>
      <w:r w:rsidR="00A77C86" w:rsidRPr="00A77C86">
        <w:rPr>
          <w:rtl/>
        </w:rPr>
        <w:t>لملكية الفكرية</w:t>
      </w:r>
      <w:r w:rsidR="00B6798D">
        <w:rPr>
          <w:rFonts w:hint="cs"/>
          <w:rtl/>
        </w:rPr>
        <w:t>".</w:t>
      </w:r>
    </w:p>
    <w:p w:rsidR="00385886" w:rsidRDefault="00B6798D" w:rsidP="00C5792A">
      <w:pPr>
        <w:pStyle w:val="NormalParaAR"/>
        <w:widowControl w:val="0"/>
        <w:numPr>
          <w:ilvl w:val="0"/>
          <w:numId w:val="3"/>
        </w:numPr>
        <w:suppressAutoHyphens/>
        <w:ind w:left="566" w:firstLine="0"/>
      </w:pPr>
      <w:r>
        <w:rPr>
          <w:rFonts w:hint="cs"/>
          <w:rtl/>
        </w:rPr>
        <w:t>تعزيز</w:t>
      </w:r>
      <w:r w:rsidR="005D19D0">
        <w:rPr>
          <w:rFonts w:hint="cs"/>
          <w:rtl/>
        </w:rPr>
        <w:t xml:space="preserve"> الفائدة المرجوة من الموقع الإلكتروني في مجال نقل التكنولوجيا </w:t>
      </w:r>
      <w:r w:rsidR="00D27202">
        <w:rPr>
          <w:rFonts w:hint="cs"/>
          <w:rtl/>
        </w:rPr>
        <w:t xml:space="preserve">بحيث يعرض جميع أنشطة الويبو </w:t>
      </w:r>
      <w:r w:rsidR="00385886">
        <w:rPr>
          <w:rFonts w:hint="cs"/>
          <w:rtl/>
        </w:rPr>
        <w:t>ومواردها و</w:t>
      </w:r>
      <w:r w:rsidR="004F5E44">
        <w:rPr>
          <w:rFonts w:hint="cs"/>
          <w:rtl/>
        </w:rPr>
        <w:t>المؤسسات</w:t>
      </w:r>
      <w:r w:rsidR="00385886">
        <w:rPr>
          <w:rFonts w:hint="cs"/>
          <w:rtl/>
        </w:rPr>
        <w:t xml:space="preserve"> الوطنية.</w:t>
      </w:r>
    </w:p>
    <w:p w:rsidR="00415B35" w:rsidRDefault="00B93E18" w:rsidP="00C5792A">
      <w:pPr>
        <w:pStyle w:val="NormalParaAR"/>
        <w:widowControl w:val="0"/>
        <w:numPr>
          <w:ilvl w:val="0"/>
          <w:numId w:val="3"/>
        </w:numPr>
        <w:suppressAutoHyphens/>
        <w:ind w:left="566" w:firstLine="0"/>
        <w:rPr>
          <w:rtl/>
        </w:rPr>
      </w:pPr>
      <w:r>
        <w:rPr>
          <w:rFonts w:hint="cs"/>
          <w:rtl/>
        </w:rPr>
        <w:t xml:space="preserve">إسداء المشورة إلى الدول الأعضاء </w:t>
      </w:r>
      <w:r w:rsidR="0040124A">
        <w:rPr>
          <w:rFonts w:hint="cs"/>
          <w:rtl/>
        </w:rPr>
        <w:t xml:space="preserve">بشأن أفضل الممارسات </w:t>
      </w:r>
      <w:r w:rsidR="00385766">
        <w:rPr>
          <w:rFonts w:hint="cs"/>
          <w:rtl/>
        </w:rPr>
        <w:t>لتطوير</w:t>
      </w:r>
      <w:r w:rsidR="00295BBE">
        <w:rPr>
          <w:rFonts w:hint="cs"/>
          <w:rtl/>
        </w:rPr>
        <w:t xml:space="preserve"> </w:t>
      </w:r>
      <w:r w:rsidR="0013337D">
        <w:rPr>
          <w:rFonts w:hint="cs"/>
          <w:rtl/>
        </w:rPr>
        <w:t>بنى تحتية وشبكات</w:t>
      </w:r>
      <w:r w:rsidR="00FC528B">
        <w:rPr>
          <w:rFonts w:hint="cs"/>
          <w:rtl/>
        </w:rPr>
        <w:t xml:space="preserve"> فعالة</w:t>
      </w:r>
      <w:r w:rsidR="0013337D">
        <w:rPr>
          <w:rFonts w:hint="cs"/>
          <w:rtl/>
        </w:rPr>
        <w:t xml:space="preserve"> </w:t>
      </w:r>
      <w:r w:rsidR="00FC528B">
        <w:rPr>
          <w:rFonts w:hint="cs"/>
          <w:rtl/>
        </w:rPr>
        <w:t>لل</w:t>
      </w:r>
      <w:r w:rsidR="0013337D">
        <w:rPr>
          <w:rFonts w:hint="cs"/>
          <w:rtl/>
        </w:rPr>
        <w:t>ابتكار</w:t>
      </w:r>
      <w:r w:rsidR="00B27244">
        <w:rPr>
          <w:rFonts w:hint="cs"/>
          <w:rtl/>
        </w:rPr>
        <w:t xml:space="preserve">. </w:t>
      </w:r>
    </w:p>
    <w:p w:rsidR="00F611E8" w:rsidRDefault="00415B35" w:rsidP="007750F6">
      <w:pPr>
        <w:pStyle w:val="NormalParaAR"/>
        <w:widowControl w:val="0"/>
        <w:suppressAutoHyphens/>
        <w:rPr>
          <w:i/>
          <w:iCs/>
          <w:rtl/>
        </w:rPr>
      </w:pPr>
      <w:r>
        <w:rPr>
          <w:rFonts w:hint="cs"/>
          <w:i/>
          <w:iCs/>
          <w:rtl/>
        </w:rPr>
        <w:t xml:space="preserve">التوصية 3 (من الاستنتاج 3) </w:t>
      </w:r>
      <w:r w:rsidR="00FD4843">
        <w:rPr>
          <w:rFonts w:hint="cs"/>
          <w:i/>
          <w:iCs/>
          <w:rtl/>
        </w:rPr>
        <w:t xml:space="preserve">موجهة إلى </w:t>
      </w:r>
      <w:r w:rsidR="00935EF0">
        <w:rPr>
          <w:rFonts w:hint="cs"/>
          <w:i/>
          <w:iCs/>
          <w:rtl/>
        </w:rPr>
        <w:t xml:space="preserve">أمانة الويبو </w:t>
      </w:r>
      <w:r w:rsidR="000B24C2">
        <w:rPr>
          <w:rFonts w:hint="cs"/>
          <w:i/>
          <w:iCs/>
          <w:rtl/>
        </w:rPr>
        <w:t>من أجل زيادة فعالية</w:t>
      </w:r>
      <w:r w:rsidR="00CF6865">
        <w:rPr>
          <w:rFonts w:hint="cs"/>
          <w:i/>
          <w:iCs/>
          <w:rtl/>
        </w:rPr>
        <w:t xml:space="preserve"> مشاركة الويبو في المؤتمرات والمنتديات </w:t>
      </w:r>
      <w:r w:rsidR="00F611E8">
        <w:rPr>
          <w:rFonts w:hint="cs"/>
          <w:i/>
          <w:iCs/>
          <w:rtl/>
        </w:rPr>
        <w:t>المتعلقة بنقل التكنولوجيا.</w:t>
      </w:r>
    </w:p>
    <w:p w:rsidR="00AB205C" w:rsidRDefault="00F611E8" w:rsidP="007750F6">
      <w:pPr>
        <w:pStyle w:val="NormalParaAR"/>
        <w:widowControl w:val="0"/>
        <w:suppressAutoHyphens/>
        <w:rPr>
          <w:rtl/>
        </w:rPr>
      </w:pPr>
      <w:r>
        <w:rPr>
          <w:rFonts w:hint="cs"/>
          <w:rtl/>
        </w:rPr>
        <w:t xml:space="preserve">ينبغي </w:t>
      </w:r>
      <w:r w:rsidR="00415B35">
        <w:rPr>
          <w:rFonts w:hint="cs"/>
          <w:rtl/>
        </w:rPr>
        <w:t>ل</w:t>
      </w:r>
      <w:r>
        <w:rPr>
          <w:rFonts w:hint="cs"/>
          <w:rtl/>
        </w:rPr>
        <w:t>لأمانة</w:t>
      </w:r>
      <w:r w:rsidR="004E22FC">
        <w:rPr>
          <w:rFonts w:hint="cs"/>
          <w:rtl/>
        </w:rPr>
        <w:t xml:space="preserve"> </w:t>
      </w:r>
      <w:r>
        <w:rPr>
          <w:rFonts w:hint="cs"/>
          <w:rtl/>
        </w:rPr>
        <w:t xml:space="preserve">تعزيز مشاركتها الفعالة في </w:t>
      </w:r>
      <w:r w:rsidR="006A5A53">
        <w:rPr>
          <w:rFonts w:hint="cs"/>
          <w:rtl/>
        </w:rPr>
        <w:t>ال</w:t>
      </w:r>
      <w:r>
        <w:rPr>
          <w:rFonts w:hint="cs"/>
          <w:rtl/>
        </w:rPr>
        <w:t>منتديات و</w:t>
      </w:r>
      <w:r w:rsidR="006A5A53">
        <w:rPr>
          <w:rFonts w:hint="cs"/>
          <w:rtl/>
        </w:rPr>
        <w:t>ال</w:t>
      </w:r>
      <w:r>
        <w:rPr>
          <w:rFonts w:hint="cs"/>
          <w:rtl/>
        </w:rPr>
        <w:t>مؤتمرات الدولية</w:t>
      </w:r>
      <w:r w:rsidR="006A5A53">
        <w:rPr>
          <w:rFonts w:hint="cs"/>
          <w:rtl/>
        </w:rPr>
        <w:t xml:space="preserve"> لنقل التكنولوجيا، </w:t>
      </w:r>
      <w:r w:rsidR="00415B35">
        <w:rPr>
          <w:rFonts w:hint="cs"/>
          <w:rtl/>
        </w:rPr>
        <w:t>بهدف</w:t>
      </w:r>
      <w:r w:rsidR="00457496">
        <w:rPr>
          <w:rFonts w:hint="cs"/>
          <w:rtl/>
        </w:rPr>
        <w:t xml:space="preserve"> </w:t>
      </w:r>
      <w:r w:rsidR="00A142AF">
        <w:rPr>
          <w:rFonts w:hint="cs"/>
          <w:rtl/>
        </w:rPr>
        <w:t xml:space="preserve">تكوين رؤية واضحة </w:t>
      </w:r>
      <w:r w:rsidR="00415B35">
        <w:rPr>
          <w:rFonts w:hint="cs"/>
          <w:rtl/>
        </w:rPr>
        <w:t>والإسهام</w:t>
      </w:r>
      <w:r w:rsidR="001B1595">
        <w:rPr>
          <w:rFonts w:hint="cs"/>
          <w:rtl/>
        </w:rPr>
        <w:t xml:space="preserve"> </w:t>
      </w:r>
      <w:r w:rsidR="00415B35">
        <w:rPr>
          <w:rFonts w:hint="cs"/>
          <w:rtl/>
        </w:rPr>
        <w:t>ب</w:t>
      </w:r>
      <w:r w:rsidR="001B1595">
        <w:rPr>
          <w:rFonts w:hint="cs"/>
          <w:rtl/>
        </w:rPr>
        <w:t>درايتها العملية</w:t>
      </w:r>
      <w:r w:rsidR="00BA1230">
        <w:rPr>
          <w:rFonts w:hint="cs"/>
          <w:rtl/>
        </w:rPr>
        <w:t xml:space="preserve"> والاستفادة من</w:t>
      </w:r>
      <w:r w:rsidR="000D489C">
        <w:rPr>
          <w:rFonts w:hint="cs"/>
          <w:rtl/>
        </w:rPr>
        <w:t xml:space="preserve"> </w:t>
      </w:r>
      <w:r w:rsidR="002E6CD5">
        <w:rPr>
          <w:rFonts w:hint="cs"/>
          <w:rtl/>
        </w:rPr>
        <w:t xml:space="preserve">خبرات </w:t>
      </w:r>
      <w:r w:rsidR="00944ABD">
        <w:rPr>
          <w:rFonts w:hint="cs"/>
          <w:rtl/>
        </w:rPr>
        <w:t>ا</w:t>
      </w:r>
      <w:r w:rsidR="002E6CD5">
        <w:rPr>
          <w:rFonts w:hint="cs"/>
          <w:rtl/>
        </w:rPr>
        <w:t xml:space="preserve">لمشاركين </w:t>
      </w:r>
      <w:r w:rsidR="00BA1230">
        <w:rPr>
          <w:rFonts w:hint="cs"/>
          <w:rtl/>
        </w:rPr>
        <w:t xml:space="preserve">الكثر </w:t>
      </w:r>
      <w:r w:rsidR="002E6CD5">
        <w:rPr>
          <w:rFonts w:hint="cs"/>
          <w:rtl/>
        </w:rPr>
        <w:t>في المؤتمرات</w:t>
      </w:r>
      <w:r w:rsidR="00AB205C">
        <w:rPr>
          <w:rFonts w:hint="cs"/>
          <w:rtl/>
        </w:rPr>
        <w:t>.</w:t>
      </w:r>
    </w:p>
    <w:p w:rsidR="00751F59" w:rsidRDefault="00AB205C" w:rsidP="007750F6">
      <w:pPr>
        <w:pStyle w:val="NormalParaAR"/>
        <w:widowControl w:val="0"/>
        <w:suppressAutoHyphens/>
        <w:rPr>
          <w:i/>
          <w:iCs/>
          <w:rtl/>
        </w:rPr>
      </w:pPr>
      <w:r>
        <w:rPr>
          <w:rFonts w:hint="cs"/>
          <w:i/>
          <w:iCs/>
          <w:rtl/>
        </w:rPr>
        <w:lastRenderedPageBreak/>
        <w:t xml:space="preserve">التوصية 4 (من الاستنتاج 4) موجهة إلى أمانة الويبو </w:t>
      </w:r>
      <w:r w:rsidR="00751F59">
        <w:rPr>
          <w:rFonts w:hint="cs"/>
          <w:i/>
          <w:iCs/>
          <w:rtl/>
        </w:rPr>
        <w:t>بشأن تعزيز قدراتها في إدارة المشروع</w:t>
      </w:r>
      <w:r w:rsidR="00BA1230">
        <w:rPr>
          <w:rFonts w:hint="cs"/>
          <w:i/>
          <w:iCs/>
          <w:rtl/>
        </w:rPr>
        <w:t>ات</w:t>
      </w:r>
      <w:r w:rsidR="00751F59">
        <w:rPr>
          <w:rFonts w:hint="cs"/>
          <w:i/>
          <w:iCs/>
          <w:rtl/>
        </w:rPr>
        <w:t xml:space="preserve"> وفي مجال مراقبة جودة مشروعات جدول أعمال التنمية:</w:t>
      </w:r>
    </w:p>
    <w:p w:rsidR="000A79BA" w:rsidRDefault="000D0DDA" w:rsidP="00C5792A">
      <w:pPr>
        <w:pStyle w:val="NormalParaAR"/>
        <w:widowControl w:val="0"/>
        <w:numPr>
          <w:ilvl w:val="0"/>
          <w:numId w:val="4"/>
        </w:numPr>
        <w:suppressAutoHyphens/>
        <w:ind w:left="566" w:firstLine="0"/>
      </w:pPr>
      <w:r>
        <w:rPr>
          <w:rFonts w:hint="cs"/>
          <w:rtl/>
        </w:rPr>
        <w:t>استخدام</w:t>
      </w:r>
      <w:r w:rsidR="00283D37">
        <w:rPr>
          <w:rFonts w:hint="cs"/>
          <w:rtl/>
        </w:rPr>
        <w:t xml:space="preserve"> أداة الإطار المنطقي في عمليات التخطيط والرصد </w:t>
      </w:r>
      <w:proofErr w:type="gramStart"/>
      <w:r w:rsidR="00283D37">
        <w:rPr>
          <w:rFonts w:hint="cs"/>
          <w:rtl/>
        </w:rPr>
        <w:t>والتقييم</w:t>
      </w:r>
      <w:proofErr w:type="gramEnd"/>
      <w:r w:rsidR="00283D37">
        <w:rPr>
          <w:rFonts w:hint="cs"/>
          <w:rtl/>
        </w:rPr>
        <w:t>.</w:t>
      </w:r>
    </w:p>
    <w:p w:rsidR="00283D37" w:rsidRDefault="00CE571F" w:rsidP="007750F6">
      <w:pPr>
        <w:pStyle w:val="NormalParaAR"/>
        <w:widowControl w:val="0"/>
        <w:numPr>
          <w:ilvl w:val="0"/>
          <w:numId w:val="4"/>
        </w:numPr>
        <w:suppressAutoHyphens/>
        <w:ind w:left="1133" w:hanging="567"/>
      </w:pPr>
      <w:proofErr w:type="gramStart"/>
      <w:r>
        <w:rPr>
          <w:rFonts w:hint="cs"/>
          <w:rtl/>
        </w:rPr>
        <w:t>تنظيم</w:t>
      </w:r>
      <w:proofErr w:type="gramEnd"/>
      <w:r w:rsidR="000D0DDA">
        <w:rPr>
          <w:rFonts w:hint="cs"/>
          <w:rtl/>
        </w:rPr>
        <w:t xml:space="preserve"> دورات </w:t>
      </w:r>
      <w:r w:rsidR="00556E8E">
        <w:rPr>
          <w:rFonts w:hint="cs"/>
          <w:rtl/>
        </w:rPr>
        <w:t xml:space="preserve">إلزامية </w:t>
      </w:r>
      <w:r>
        <w:rPr>
          <w:rFonts w:hint="cs"/>
          <w:rtl/>
        </w:rPr>
        <w:t xml:space="preserve">عن </w:t>
      </w:r>
      <w:r w:rsidR="00556E8E">
        <w:rPr>
          <w:rFonts w:hint="cs"/>
          <w:rtl/>
        </w:rPr>
        <w:t xml:space="preserve">إدارة المشروعات موجهة </w:t>
      </w:r>
      <w:r>
        <w:rPr>
          <w:rFonts w:hint="cs"/>
          <w:rtl/>
        </w:rPr>
        <w:t>للمشرفين على</w:t>
      </w:r>
      <w:r w:rsidR="00556E8E">
        <w:rPr>
          <w:rFonts w:hint="cs"/>
          <w:rtl/>
        </w:rPr>
        <w:t xml:space="preserve"> المشروعات.</w:t>
      </w:r>
    </w:p>
    <w:p w:rsidR="00F36C03" w:rsidRDefault="00F63BA1" w:rsidP="007750F6">
      <w:pPr>
        <w:pStyle w:val="NormalParaAR"/>
        <w:widowControl w:val="0"/>
        <w:numPr>
          <w:ilvl w:val="0"/>
          <w:numId w:val="4"/>
        </w:numPr>
        <w:suppressAutoHyphens/>
        <w:ind w:left="1133" w:hanging="567"/>
      </w:pPr>
      <w:proofErr w:type="gramStart"/>
      <w:r>
        <w:rPr>
          <w:rFonts w:hint="cs"/>
          <w:rtl/>
        </w:rPr>
        <w:t>النظر</w:t>
      </w:r>
      <w:proofErr w:type="gramEnd"/>
      <w:r>
        <w:rPr>
          <w:rFonts w:hint="cs"/>
          <w:rtl/>
        </w:rPr>
        <w:t xml:space="preserve"> في </w:t>
      </w:r>
      <w:r w:rsidR="00CE571F">
        <w:rPr>
          <w:rFonts w:hint="cs"/>
          <w:rtl/>
        </w:rPr>
        <w:t>تطبيق</w:t>
      </w:r>
      <w:r>
        <w:rPr>
          <w:rFonts w:hint="cs"/>
          <w:rtl/>
        </w:rPr>
        <w:t xml:space="preserve"> آلية </w:t>
      </w:r>
      <w:r w:rsidR="00CE571F">
        <w:rPr>
          <w:rFonts w:hint="cs"/>
          <w:rtl/>
        </w:rPr>
        <w:t>تضع</w:t>
      </w:r>
      <w:r w:rsidR="003576D8">
        <w:rPr>
          <w:rFonts w:hint="cs"/>
          <w:rtl/>
        </w:rPr>
        <w:t xml:space="preserve"> بموجبها شعبة تنسيق جدول أعمال التنمية </w:t>
      </w:r>
      <w:r w:rsidR="00F36C03">
        <w:rPr>
          <w:rFonts w:hint="cs"/>
          <w:rtl/>
        </w:rPr>
        <w:t xml:space="preserve">"تأشيرتها" على جميع </w:t>
      </w:r>
      <w:r w:rsidR="00CE571F">
        <w:rPr>
          <w:rFonts w:hint="cs"/>
          <w:rtl/>
        </w:rPr>
        <w:t>ال</w:t>
      </w:r>
      <w:r w:rsidR="00F36C03">
        <w:rPr>
          <w:rFonts w:hint="cs"/>
          <w:rtl/>
        </w:rPr>
        <w:t>قرارات الإدار</w:t>
      </w:r>
      <w:r w:rsidR="00CE571F">
        <w:rPr>
          <w:rFonts w:hint="cs"/>
          <w:rtl/>
        </w:rPr>
        <w:t>ي</w:t>
      </w:r>
      <w:r w:rsidR="00F36C03">
        <w:rPr>
          <w:rFonts w:hint="cs"/>
          <w:rtl/>
        </w:rPr>
        <w:t>ة الرئيسية المتعلقة بمشروعات جدول أعمال التنمية.</w:t>
      </w:r>
    </w:p>
    <w:p w:rsidR="00AE1126" w:rsidRDefault="00CE571F" w:rsidP="007750F6">
      <w:pPr>
        <w:pStyle w:val="NormalParaAR"/>
        <w:widowControl w:val="0"/>
        <w:numPr>
          <w:ilvl w:val="0"/>
          <w:numId w:val="4"/>
        </w:numPr>
        <w:suppressAutoHyphens/>
        <w:ind w:left="1133" w:hanging="567"/>
        <w:rPr>
          <w:rtl/>
        </w:rPr>
      </w:pPr>
      <w:r>
        <w:rPr>
          <w:rFonts w:hint="cs"/>
          <w:rtl/>
        </w:rPr>
        <w:t>تنظيم</w:t>
      </w:r>
      <w:r w:rsidR="0020206E">
        <w:rPr>
          <w:rFonts w:hint="cs"/>
          <w:rtl/>
        </w:rPr>
        <w:t xml:space="preserve"> اجتماعات</w:t>
      </w:r>
      <w:r w:rsidR="00DC0A4B">
        <w:rPr>
          <w:rFonts w:hint="cs"/>
          <w:rtl/>
        </w:rPr>
        <w:t xml:space="preserve"> دورية</w:t>
      </w:r>
      <w:r w:rsidR="006A06EC">
        <w:rPr>
          <w:rFonts w:hint="cs"/>
          <w:rtl/>
        </w:rPr>
        <w:t xml:space="preserve"> </w:t>
      </w:r>
      <w:r>
        <w:rPr>
          <w:rFonts w:hint="cs"/>
          <w:rtl/>
        </w:rPr>
        <w:t>للمشرفين على</w:t>
      </w:r>
      <w:r w:rsidR="006A06EC">
        <w:rPr>
          <w:rFonts w:hint="cs"/>
          <w:rtl/>
        </w:rPr>
        <w:t xml:space="preserve"> مشروعات </w:t>
      </w:r>
      <w:r w:rsidR="00717133">
        <w:rPr>
          <w:rFonts w:hint="cs"/>
          <w:rtl/>
        </w:rPr>
        <w:t xml:space="preserve">جدول أعمال التنمية </w:t>
      </w:r>
      <w:r w:rsidR="006A06EC">
        <w:rPr>
          <w:rFonts w:hint="cs"/>
          <w:rtl/>
        </w:rPr>
        <w:t>للاطلاع على</w:t>
      </w:r>
      <w:r w:rsidR="0020206E">
        <w:rPr>
          <w:rFonts w:hint="cs"/>
          <w:rtl/>
        </w:rPr>
        <w:t xml:space="preserve"> التقدم المحرز</w:t>
      </w:r>
      <w:r w:rsidR="00717133">
        <w:rPr>
          <w:rFonts w:hint="cs"/>
          <w:rtl/>
        </w:rPr>
        <w:t xml:space="preserve"> فيها.</w:t>
      </w:r>
    </w:p>
    <w:p w:rsidR="00AE1126" w:rsidRDefault="00AE1126" w:rsidP="007750F6">
      <w:pPr>
        <w:widowControl w:val="0"/>
        <w:suppressAutoHyphens/>
        <w:rPr>
          <w:rFonts w:ascii="Arabic Typesetting" w:hAnsi="Arabic Typesetting" w:cs="Arabic Typesetting"/>
          <w:sz w:val="36"/>
          <w:szCs w:val="36"/>
          <w:rtl/>
        </w:rPr>
      </w:pPr>
      <w:r>
        <w:rPr>
          <w:rtl/>
        </w:rPr>
        <w:br w:type="page"/>
      </w:r>
    </w:p>
    <w:p w:rsidR="00AE1126" w:rsidRDefault="00AE1126" w:rsidP="007750F6">
      <w:pPr>
        <w:pStyle w:val="Heading1AR"/>
        <w:keepNext w:val="0"/>
        <w:widowControl w:val="0"/>
        <w:suppressAutoHyphens/>
      </w:pPr>
      <w:bookmarkStart w:id="2" w:name="_Toc436483277"/>
      <w:r>
        <w:rPr>
          <w:rFonts w:eastAsia="Arial"/>
          <w:bdr w:val="nil"/>
          <w:rtl/>
          <w:lang w:val="ar-SA" w:eastAsia="zh-CN"/>
        </w:rPr>
        <w:lastRenderedPageBreak/>
        <w:t>مقدمة</w:t>
      </w:r>
      <w:bookmarkEnd w:id="2"/>
    </w:p>
    <w:p w:rsidR="00AE1126" w:rsidRDefault="00AE1126" w:rsidP="007750F6">
      <w:pPr>
        <w:pStyle w:val="NumberedParaAR"/>
        <w:widowControl w:val="0"/>
        <w:numPr>
          <w:ilvl w:val="0"/>
          <w:numId w:val="9"/>
        </w:numPr>
        <w:suppressAutoHyphens/>
      </w:pPr>
      <w:r w:rsidRPr="00AE1126">
        <w:rPr>
          <w:rFonts w:eastAsia="Arial"/>
          <w:bdr w:val="nil"/>
          <w:rtl/>
          <w:lang w:val="ar-SA"/>
        </w:rPr>
        <w:t xml:space="preserve">يغطي هذا التقييم النهائي المستقل الذي أُعدّ بتكليف من الأمانة </w:t>
      </w:r>
      <w:r w:rsidRPr="00AE1126">
        <w:rPr>
          <w:rFonts w:eastAsia="Arial"/>
          <w:i/>
          <w:iCs/>
          <w:bdr w:val="nil"/>
          <w:rtl/>
          <w:lang w:val="ar-SA"/>
        </w:rPr>
        <w:t>مشروع الملكية الفكرية ونقل التكنولوجيا</w:t>
      </w:r>
      <w:r w:rsidR="00241FA8">
        <w:rPr>
          <w:rFonts w:eastAsia="Arial"/>
          <w:i/>
          <w:iCs/>
          <w:bdr w:val="nil"/>
          <w:rtl/>
          <w:lang w:val="ar-SA"/>
        </w:rPr>
        <w:t xml:space="preserve">: </w:t>
      </w:r>
      <w:r w:rsidRPr="00AE1126">
        <w:rPr>
          <w:rFonts w:eastAsia="Arial"/>
          <w:i/>
          <w:iCs/>
          <w:bdr w:val="nil"/>
          <w:rtl/>
          <w:lang w:val="ar-SA"/>
        </w:rPr>
        <w:t>التحديات المشتركة وبناء الحلول</w:t>
      </w:r>
      <w:r w:rsidRPr="00AE1126">
        <w:rPr>
          <w:rFonts w:eastAsia="Arial"/>
          <w:bdr w:val="nil"/>
          <w:rtl/>
          <w:lang w:val="ar-SA"/>
        </w:rPr>
        <w:t xml:space="preserve"> (رمز المشروع</w:t>
      </w:r>
      <w:r w:rsidR="00241FA8">
        <w:rPr>
          <w:rFonts w:eastAsia="Arial"/>
          <w:bdr w:val="nil"/>
          <w:rtl/>
          <w:lang w:val="ar-SA"/>
        </w:rPr>
        <w:t xml:space="preserve">: </w:t>
      </w:r>
      <w:r w:rsidRPr="00AE1126">
        <w:rPr>
          <w:rFonts w:eastAsia="Arial"/>
          <w:bdr w:val="nil"/>
          <w:rtl/>
          <w:lang w:val="ar-SA"/>
        </w:rPr>
        <w:t>DA_19_25_26_28، "المشروع") المنفذ في إطار جدول أعمال التنمية، انظر الملحق الأول.</w:t>
      </w:r>
    </w:p>
    <w:p w:rsidR="00AE1126" w:rsidRDefault="00AE1126" w:rsidP="007750F6">
      <w:pPr>
        <w:pStyle w:val="NumberedParaAR"/>
        <w:widowControl w:val="0"/>
        <w:suppressAutoHyphens/>
      </w:pPr>
      <w:r>
        <w:rPr>
          <w:rFonts w:eastAsia="Arial"/>
          <w:bdr w:val="nil"/>
          <w:rtl/>
          <w:lang w:val="ar-SA"/>
        </w:rPr>
        <w:t>وقد أجرى التقييم مقيِّمان خارجيان</w:t>
      </w:r>
      <w:r>
        <w:rPr>
          <w:rStyle w:val="FootnoteReference"/>
        </w:rPr>
        <w:footnoteReference w:id="1"/>
      </w:r>
      <w:r>
        <w:rPr>
          <w:rFonts w:eastAsia="Arial"/>
          <w:bdr w:val="nil"/>
          <w:rtl/>
          <w:lang w:val="ar-SA"/>
        </w:rPr>
        <w:t xml:space="preserve"> بالتنسيق الوثيق مع شعبة تنسيق جدول أعمال التنمية والاسترشاد بالاختصاصات المؤرخة في 14 مايو 2015 (الملحق الأول)، وامتد عملهما من 1 يونيه إلى 13 نوفمبر 2015.</w:t>
      </w:r>
    </w:p>
    <w:p w:rsidR="00AE1126" w:rsidRPr="00624AA2" w:rsidRDefault="00AE1126" w:rsidP="007750F6">
      <w:pPr>
        <w:pStyle w:val="Heading2AR"/>
        <w:keepNext w:val="0"/>
        <w:widowControl w:val="0"/>
        <w:suppressAutoHyphens/>
      </w:pPr>
      <w:r>
        <w:rPr>
          <w:rFonts w:eastAsia="Arial"/>
          <w:bdr w:val="nil"/>
          <w:rtl/>
          <w:lang w:val="ar-SA" w:eastAsia="zh-CN"/>
        </w:rPr>
        <w:t>(ألف)</w:t>
      </w:r>
      <w:r>
        <w:rPr>
          <w:rFonts w:eastAsia="Arial" w:hint="cs"/>
          <w:bdr w:val="nil"/>
          <w:rtl/>
          <w:lang w:val="ar-SA" w:eastAsia="zh-CN"/>
        </w:rPr>
        <w:t xml:space="preserve"> </w:t>
      </w:r>
      <w:r>
        <w:rPr>
          <w:rFonts w:eastAsia="Arial"/>
          <w:bdr w:val="nil"/>
          <w:rtl/>
          <w:lang w:val="ar-SA" w:eastAsia="zh-CN"/>
        </w:rPr>
        <w:t xml:space="preserve">معلومات أساسية عن المشروع </w:t>
      </w:r>
      <w:proofErr w:type="gramStart"/>
      <w:r>
        <w:rPr>
          <w:rFonts w:eastAsia="Arial"/>
          <w:bdr w:val="nil"/>
          <w:rtl/>
          <w:lang w:val="ar-SA" w:eastAsia="zh-CN"/>
        </w:rPr>
        <w:t>ووصفه</w:t>
      </w:r>
      <w:proofErr w:type="gramEnd"/>
    </w:p>
    <w:p w:rsidR="00AE1126" w:rsidRDefault="00AE1126" w:rsidP="007750F6">
      <w:pPr>
        <w:pStyle w:val="NumberedParaAR"/>
        <w:widowControl w:val="0"/>
        <w:suppressAutoHyphens/>
      </w:pPr>
      <w:r>
        <w:rPr>
          <w:rFonts w:eastAsia="Arial"/>
          <w:bdr w:val="nil"/>
          <w:rtl/>
          <w:lang w:val="ar-SA"/>
        </w:rPr>
        <w:t xml:space="preserve">اعتمدت المشروع اللجنة المعنية بالتنمية والملكية الفكرية (اللجنة) </w:t>
      </w:r>
      <w:proofErr w:type="gramStart"/>
      <w:r>
        <w:rPr>
          <w:rFonts w:eastAsia="Arial"/>
          <w:bdr w:val="nil"/>
          <w:rtl/>
          <w:lang w:val="ar-SA"/>
        </w:rPr>
        <w:t>في</w:t>
      </w:r>
      <w:proofErr w:type="gramEnd"/>
      <w:r>
        <w:rPr>
          <w:rFonts w:eastAsia="Arial"/>
          <w:bdr w:val="nil"/>
          <w:rtl/>
          <w:lang w:val="ar-SA"/>
        </w:rPr>
        <w:t xml:space="preserve"> دورتها السادسة التي عُقدت في جنيف (من 22 إلى 26 نوفمبر 2010)</w:t>
      </w:r>
      <w:r w:rsidR="00B27244">
        <w:rPr>
          <w:rFonts w:eastAsia="Arial"/>
          <w:bdr w:val="nil"/>
          <w:rtl/>
          <w:lang w:val="ar-SA"/>
        </w:rPr>
        <w:t xml:space="preserve">. </w:t>
      </w:r>
      <w:r>
        <w:rPr>
          <w:rFonts w:eastAsia="Arial"/>
          <w:bdr w:val="nil"/>
          <w:rtl/>
          <w:lang w:val="ar-SA"/>
        </w:rPr>
        <w:t>وتلا ذلك ترجمة اقتراح مواضيعي مبدأي (</w:t>
      </w:r>
      <w:r w:rsidR="004A03E9">
        <w:rPr>
          <w:rFonts w:eastAsia="Arial"/>
          <w:bdr w:val="nil"/>
        </w:rPr>
        <w:t xml:space="preserve"> Rev.</w:t>
      </w:r>
      <w:r>
        <w:rPr>
          <w:rFonts w:eastAsia="Arial"/>
          <w:bdr w:val="nil"/>
          <w:rtl/>
          <w:lang w:val="ar-SA"/>
        </w:rPr>
        <w:t>CDIP/6/4) إلى وثيقة مشروع محدد (CDIP/8/7) اعتمدتها اللجنة في دورتها الثامنة التي عقدت في نوفمبر 2011 وضمت أهدافاً تفصيلية واستراتيجية تنفيذ ووصف مفصل لجميع الأنشطة (CDIP/8/7)</w:t>
      </w:r>
      <w:r w:rsidR="00B27244">
        <w:rPr>
          <w:rFonts w:eastAsia="Arial"/>
          <w:bdr w:val="nil"/>
          <w:rtl/>
          <w:lang w:val="ar-SA"/>
        </w:rPr>
        <w:t xml:space="preserve">. </w:t>
      </w:r>
      <w:proofErr w:type="gramStart"/>
      <w:r>
        <w:rPr>
          <w:rFonts w:eastAsia="Arial"/>
          <w:bdr w:val="nil"/>
          <w:rtl/>
          <w:lang w:val="ar-SA"/>
        </w:rPr>
        <w:t>وعُرضت</w:t>
      </w:r>
      <w:proofErr w:type="gramEnd"/>
      <w:r>
        <w:rPr>
          <w:rFonts w:eastAsia="Arial"/>
          <w:bdr w:val="nil"/>
          <w:rtl/>
          <w:lang w:val="ar-SA"/>
        </w:rPr>
        <w:t xml:space="preserve"> نسخة منقحة من تلك الوثيقة (بها تحديث للجدول الزمني والموازنة) على اللجنة في دورتها التاسعة، التي عقدت في مارس 2012، للعلم (CDIP/9/INF/4، 13 مارس 2012).</w:t>
      </w:r>
    </w:p>
    <w:p w:rsidR="00AE1126" w:rsidRPr="006838B8" w:rsidRDefault="00AE1126" w:rsidP="007750F6">
      <w:pPr>
        <w:pStyle w:val="NumberedParaAR"/>
        <w:widowControl w:val="0"/>
        <w:suppressAutoHyphens/>
      </w:pPr>
      <w:r>
        <w:rPr>
          <w:rFonts w:eastAsia="Arial"/>
          <w:bdr w:val="nil"/>
          <w:rtl/>
          <w:lang w:val="ar-SA"/>
        </w:rPr>
        <w:t xml:space="preserve">وكانت الميزانية الإجمالية 1532000 </w:t>
      </w:r>
      <w:proofErr w:type="gramStart"/>
      <w:r>
        <w:rPr>
          <w:rFonts w:eastAsia="Arial"/>
          <w:bdr w:val="nil"/>
          <w:rtl/>
          <w:lang w:val="ar-SA"/>
        </w:rPr>
        <w:t>فرنك</w:t>
      </w:r>
      <w:proofErr w:type="gramEnd"/>
      <w:r>
        <w:rPr>
          <w:rFonts w:eastAsia="Arial"/>
          <w:bdr w:val="nil"/>
          <w:rtl/>
          <w:lang w:val="ar-SA"/>
        </w:rPr>
        <w:t xml:space="preserve"> سويسري (بما فيها 549000 فرنك سويسري لتكاليف الموظفين و983000 فرنك سويسري لغيرها من التكاليف).</w:t>
      </w:r>
      <w:r>
        <w:rPr>
          <w:rStyle w:val="FootnoteReference"/>
        </w:rPr>
        <w:footnoteReference w:id="2"/>
      </w:r>
      <w:r w:rsidR="004E22FC">
        <w:rPr>
          <w:rFonts w:eastAsia="Arial"/>
          <w:bdr w:val="nil"/>
          <w:rtl/>
          <w:lang w:val="ar-SA"/>
        </w:rPr>
        <w:t xml:space="preserve"> </w:t>
      </w:r>
      <w:r>
        <w:rPr>
          <w:rFonts w:eastAsia="Arial"/>
          <w:bdr w:val="nil"/>
          <w:rtl/>
          <w:lang w:val="ar-SA"/>
        </w:rPr>
        <w:t xml:space="preserve">وكانت المدة المقررة في الأصل لإنجاز المشروع 27 </w:t>
      </w:r>
      <w:proofErr w:type="gramStart"/>
      <w:r>
        <w:rPr>
          <w:rFonts w:eastAsia="Arial"/>
          <w:bdr w:val="nil"/>
          <w:rtl/>
          <w:lang w:val="ar-SA"/>
        </w:rPr>
        <w:t>شهراً</w:t>
      </w:r>
      <w:proofErr w:type="gramEnd"/>
      <w:r>
        <w:rPr>
          <w:rFonts w:eastAsia="Arial"/>
          <w:bdr w:val="nil"/>
          <w:rtl/>
          <w:lang w:val="ar-SA"/>
        </w:rPr>
        <w:t xml:space="preserve"> (يناير 2011-مارس 2013). وبدأ التنفيذ في يناير 2011 وانتهى رسمياً في يوليه 2014 (43 شهراً) بعد تمديدين دون تكاليف إضافية اعتمدتهما اللجنة</w:t>
      </w:r>
      <w:r w:rsidR="00B27244">
        <w:rPr>
          <w:rFonts w:eastAsia="Arial"/>
          <w:bdr w:val="nil"/>
          <w:rtl/>
          <w:lang w:val="ar-SA"/>
        </w:rPr>
        <w:t xml:space="preserve">. </w:t>
      </w:r>
      <w:proofErr w:type="gramStart"/>
      <w:r>
        <w:rPr>
          <w:rFonts w:eastAsia="Arial"/>
          <w:bdr w:val="nil"/>
          <w:rtl/>
          <w:lang w:val="ar-SA"/>
        </w:rPr>
        <w:t>غير</w:t>
      </w:r>
      <w:proofErr w:type="gramEnd"/>
      <w:r>
        <w:rPr>
          <w:rFonts w:eastAsia="Arial"/>
          <w:bdr w:val="nil"/>
          <w:rtl/>
          <w:lang w:val="ar-SA"/>
        </w:rPr>
        <w:t xml:space="preserve"> أن تنفيذ بعض الأنشطة استمر</w:t>
      </w:r>
      <w:r w:rsidR="00B27244">
        <w:rPr>
          <w:rFonts w:eastAsia="Arial"/>
          <w:bdr w:val="nil"/>
          <w:rtl/>
          <w:lang w:val="ar-SA"/>
        </w:rPr>
        <w:t xml:space="preserve">. </w:t>
      </w:r>
      <w:r>
        <w:rPr>
          <w:rFonts w:eastAsia="Arial"/>
          <w:bdr w:val="nil"/>
          <w:rtl/>
          <w:lang w:val="ar-SA"/>
        </w:rPr>
        <w:t>وأما مشروع المنتدى الإلكتروني المقرر (المخرج 6) فلم يُستكمل إلا في نهاية يونيه 2015 (بعد 54 شهراً)، ولم تُتخذ بعد أية خطوات نحو إدراج نتائج المشروع في أنشطة الويبو (المخرج 7).</w:t>
      </w:r>
      <w:r>
        <w:rPr>
          <w:rStyle w:val="FootnoteReference"/>
        </w:rPr>
        <w:footnoteReference w:id="3"/>
      </w:r>
    </w:p>
    <w:p w:rsidR="00AE1126" w:rsidRDefault="00AE1126" w:rsidP="007750F6">
      <w:pPr>
        <w:pStyle w:val="NumberedParaAR"/>
        <w:widowControl w:val="0"/>
        <w:suppressAutoHyphens/>
      </w:pPr>
      <w:r>
        <w:rPr>
          <w:rFonts w:eastAsia="Arial"/>
          <w:bdr w:val="nil"/>
          <w:rtl/>
          <w:lang w:val="ar-SA"/>
        </w:rPr>
        <w:t xml:space="preserve">وقد صُمم المشروع استجابة لتوصيات </w:t>
      </w:r>
      <w:proofErr w:type="gramStart"/>
      <w:r>
        <w:rPr>
          <w:rFonts w:eastAsia="Arial"/>
          <w:bdr w:val="nil"/>
          <w:rtl/>
          <w:lang w:val="ar-SA"/>
        </w:rPr>
        <w:t>جدول</w:t>
      </w:r>
      <w:proofErr w:type="gramEnd"/>
      <w:r>
        <w:rPr>
          <w:rFonts w:eastAsia="Arial"/>
          <w:bdr w:val="nil"/>
          <w:rtl/>
          <w:lang w:val="ar-SA"/>
        </w:rPr>
        <w:t xml:space="preserve"> أعمال التنمية التالية:</w:t>
      </w:r>
    </w:p>
    <w:p w:rsidR="00AE1126" w:rsidRDefault="00AE1126" w:rsidP="003A2FDD">
      <w:pPr>
        <w:pStyle w:val="NormalParaAR"/>
        <w:widowControl w:val="0"/>
        <w:numPr>
          <w:ilvl w:val="0"/>
          <w:numId w:val="10"/>
        </w:numPr>
        <w:suppressAutoHyphens/>
        <w:ind w:left="566" w:hanging="12"/>
      </w:pPr>
      <w:r>
        <w:rPr>
          <w:rFonts w:eastAsia="Arial"/>
          <w:bdr w:val="nil"/>
          <w:rtl/>
          <w:lang w:val="ar-SA"/>
        </w:rPr>
        <w:t>التوصية 19 (الفئة باء)</w:t>
      </w:r>
      <w:r w:rsidR="00241FA8">
        <w:rPr>
          <w:rFonts w:eastAsia="Arial"/>
          <w:bdr w:val="nil"/>
          <w:rtl/>
          <w:lang w:val="ar-SA"/>
        </w:rPr>
        <w:t xml:space="preserve">: </w:t>
      </w:r>
      <w:r>
        <w:rPr>
          <w:rFonts w:eastAsia="Arial"/>
          <w:bdr w:val="nil"/>
          <w:rtl/>
          <w:lang w:val="ar-SA"/>
        </w:rPr>
        <w:t>"الشروع في مناقشات حول كيفية العمل، ضمن اختصاص الويبو، على المضي في تسهيل نفاذ البلدان النامية وأقل البلدان نمواً إلى المعرفة والتكنولوجيا للنهوض بالنشاط الإبداعي والابتكاري وتعزيز تلك الأنشطة المنجزة في إطار الويبو".</w:t>
      </w:r>
    </w:p>
    <w:p w:rsidR="00AE1126" w:rsidRDefault="00AE1126" w:rsidP="003A2FDD">
      <w:pPr>
        <w:pStyle w:val="NormalParaAR"/>
        <w:widowControl w:val="0"/>
        <w:numPr>
          <w:ilvl w:val="0"/>
          <w:numId w:val="10"/>
        </w:numPr>
        <w:suppressAutoHyphens/>
        <w:ind w:left="566" w:hanging="12"/>
      </w:pPr>
      <w:r>
        <w:rPr>
          <w:rFonts w:eastAsia="Arial"/>
          <w:bdr w:val="nil"/>
          <w:rtl/>
          <w:lang w:val="ar-SA"/>
        </w:rPr>
        <w:t>التوصية 25 (الفئة جيم)</w:t>
      </w:r>
      <w:r w:rsidR="00241FA8">
        <w:rPr>
          <w:rFonts w:eastAsia="Arial"/>
          <w:bdr w:val="nil"/>
          <w:rtl/>
          <w:lang w:val="ar-SA"/>
        </w:rPr>
        <w:t xml:space="preserve">: </w:t>
      </w:r>
      <w:r>
        <w:rPr>
          <w:rFonts w:eastAsia="Arial"/>
          <w:bdr w:val="nil"/>
          <w:rtl/>
          <w:lang w:val="ar-SA"/>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Pr>
          <w:rFonts w:eastAsia="Arial"/>
          <w:bdr w:val="nil"/>
          <w:rtl/>
          <w:lang w:val="ar-SA"/>
        </w:rPr>
        <w:t>تتيحها</w:t>
      </w:r>
      <w:proofErr w:type="spellEnd"/>
      <w:r>
        <w:rPr>
          <w:rFonts w:eastAsia="Arial"/>
          <w:bdr w:val="nil"/>
          <w:rtl/>
          <w:lang w:val="ar-SA"/>
        </w:rPr>
        <w:t xml:space="preserve"> الاتفاقات الدولية المعنية بها ومن الاستفادة منها بأكبر قدر، حسب ما يكون مناسباً."</w:t>
      </w:r>
    </w:p>
    <w:p w:rsidR="00AE1126" w:rsidRDefault="00AE1126" w:rsidP="003A2FDD">
      <w:pPr>
        <w:pStyle w:val="NormalParaAR"/>
        <w:widowControl w:val="0"/>
        <w:numPr>
          <w:ilvl w:val="0"/>
          <w:numId w:val="10"/>
        </w:numPr>
        <w:suppressAutoHyphens/>
        <w:ind w:left="566" w:hanging="12"/>
      </w:pPr>
      <w:r>
        <w:rPr>
          <w:rFonts w:eastAsia="Arial"/>
          <w:bdr w:val="nil"/>
          <w:rtl/>
          <w:lang w:val="ar-SA"/>
        </w:rPr>
        <w:t>التوصية 26 (الفئة جيم)</w:t>
      </w:r>
      <w:r w:rsidR="00241FA8">
        <w:rPr>
          <w:rFonts w:eastAsia="Arial"/>
          <w:bdr w:val="nil"/>
          <w:rtl/>
          <w:lang w:val="ar-SA"/>
        </w:rPr>
        <w:t xml:space="preserve">: </w:t>
      </w:r>
      <w:r>
        <w:rPr>
          <w:rFonts w:eastAsia="Arial"/>
          <w:bdr w:val="nil"/>
          <w:rtl/>
          <w:lang w:val="ar-SA"/>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rsidR="00AE1126" w:rsidRDefault="00AE1126" w:rsidP="003A2FDD">
      <w:pPr>
        <w:pStyle w:val="NormalParaAR"/>
        <w:widowControl w:val="0"/>
        <w:numPr>
          <w:ilvl w:val="0"/>
          <w:numId w:val="10"/>
        </w:numPr>
        <w:suppressAutoHyphens/>
        <w:ind w:left="566" w:hanging="12"/>
      </w:pPr>
      <w:r>
        <w:rPr>
          <w:rFonts w:eastAsia="Arial"/>
          <w:bdr w:val="nil"/>
          <w:rtl/>
          <w:lang w:val="ar-SA"/>
        </w:rPr>
        <w:t>التوصية 28 (الفئة جيم)</w:t>
      </w:r>
      <w:r w:rsidR="00241FA8">
        <w:rPr>
          <w:rFonts w:eastAsia="Arial"/>
          <w:bdr w:val="nil"/>
          <w:rtl/>
          <w:lang w:val="ar-SA"/>
        </w:rPr>
        <w:t xml:space="preserve">: </w:t>
      </w:r>
      <w:r>
        <w:rPr>
          <w:rFonts w:eastAsia="Arial"/>
          <w:bdr w:val="nil"/>
          <w:rtl/>
          <w:lang w:val="ar-SA"/>
        </w:rPr>
        <w:t xml:space="preserve">"تدارس ما يمكن للدول الأعضاء، ولا سيما البلدان المتقدمة، اعتماده من السياسات </w:t>
      </w:r>
      <w:r>
        <w:rPr>
          <w:rFonts w:eastAsia="Arial"/>
          <w:bdr w:val="nil"/>
          <w:rtl/>
          <w:lang w:val="ar-SA"/>
        </w:rPr>
        <w:lastRenderedPageBreak/>
        <w:t>والتدابير المرتبطة بالملكية الفكرية في سبيل تعزيز نقل التكنولوجيا ونشرها في البلدان النامية."</w:t>
      </w:r>
    </w:p>
    <w:p w:rsidR="00AE1126" w:rsidRDefault="00AE1126" w:rsidP="007750F6">
      <w:pPr>
        <w:pStyle w:val="NumberedParaAR"/>
        <w:widowControl w:val="0"/>
        <w:suppressAutoHyphens/>
      </w:pPr>
      <w:proofErr w:type="gramStart"/>
      <w:r>
        <w:rPr>
          <w:rFonts w:eastAsia="Arial"/>
          <w:bdr w:val="nil"/>
          <w:rtl/>
          <w:lang w:val="ar-SA"/>
        </w:rPr>
        <w:t>ويُعرَّف</w:t>
      </w:r>
      <w:proofErr w:type="gramEnd"/>
      <w:r>
        <w:rPr>
          <w:rFonts w:eastAsia="Arial"/>
          <w:bdr w:val="nil"/>
          <w:rtl/>
          <w:lang w:val="ar-SA"/>
        </w:rPr>
        <w:t xml:space="preserve"> نقل التكنولوجيا بتعريف غير رسمي، على أنه عملية نشر التكنولوجيا التجارية وفهمها</w:t>
      </w:r>
      <w:r w:rsidR="00B27244">
        <w:rPr>
          <w:rFonts w:eastAsia="Arial"/>
          <w:bdr w:val="nil"/>
          <w:rtl/>
          <w:lang w:val="ar-SA"/>
        </w:rPr>
        <w:t xml:space="preserve">. </w:t>
      </w:r>
      <w:proofErr w:type="gramStart"/>
      <w:r>
        <w:rPr>
          <w:rFonts w:eastAsia="Arial"/>
          <w:bdr w:val="nil"/>
          <w:rtl/>
          <w:lang w:val="ar-SA"/>
        </w:rPr>
        <w:t>ولا</w:t>
      </w:r>
      <w:proofErr w:type="gramEnd"/>
      <w:r>
        <w:rPr>
          <w:rFonts w:eastAsia="Arial"/>
          <w:bdr w:val="nil"/>
          <w:rtl/>
          <w:lang w:val="ar-SA"/>
        </w:rPr>
        <w:t xml:space="preserve"> يقتصر نقل التكنولوجيا التجارية على بيع حقوق الملكية الصناعية وترخيصها (باستثناء العلامات التجارية)، بل يتضمن كذلك توفير الدراية العملية والمهارات والأفكار والخبرة التقنية بأشكال مختلفة</w:t>
      </w:r>
      <w:r w:rsidR="00B27244">
        <w:rPr>
          <w:rFonts w:eastAsia="Arial"/>
          <w:bdr w:val="nil"/>
          <w:rtl/>
          <w:lang w:val="ar-SA"/>
        </w:rPr>
        <w:t xml:space="preserve">. </w:t>
      </w:r>
      <w:r>
        <w:rPr>
          <w:rFonts w:eastAsia="Arial"/>
          <w:bdr w:val="nil"/>
          <w:rtl/>
          <w:lang w:val="ar-SA"/>
        </w:rPr>
        <w:t xml:space="preserve">وعند إدخال تكنولوجيا إلى البلد يلمّ بها </w:t>
      </w:r>
      <w:proofErr w:type="gramStart"/>
      <w:r>
        <w:rPr>
          <w:rFonts w:eastAsia="Arial"/>
          <w:bdr w:val="nil"/>
          <w:rtl/>
          <w:lang w:val="ar-SA"/>
        </w:rPr>
        <w:t>أهل</w:t>
      </w:r>
      <w:proofErr w:type="gramEnd"/>
      <w:r>
        <w:rPr>
          <w:rFonts w:eastAsia="Arial"/>
          <w:bdr w:val="nil"/>
          <w:rtl/>
          <w:lang w:val="ar-SA"/>
        </w:rPr>
        <w:t xml:space="preserve"> البلد. </w:t>
      </w:r>
    </w:p>
    <w:p w:rsidR="00AE1126" w:rsidRDefault="00AE1126" w:rsidP="007750F6">
      <w:pPr>
        <w:pStyle w:val="NumberedParaAR"/>
        <w:widowControl w:val="0"/>
        <w:suppressAutoHyphens/>
      </w:pPr>
      <w:r>
        <w:rPr>
          <w:rFonts w:eastAsia="Arial"/>
          <w:bdr w:val="nil"/>
          <w:rtl/>
          <w:lang w:val="ar-SA"/>
        </w:rPr>
        <w:t>ومن فوائد نقل التكنولوجيا أن انتشارها يولِّد تأثيراً اقتصادياً واسع النطاق.</w:t>
      </w:r>
      <w:r>
        <w:rPr>
          <w:rStyle w:val="FootnoteReference"/>
        </w:rPr>
        <w:footnoteReference w:id="4"/>
      </w:r>
    </w:p>
    <w:p w:rsidR="00AE1126" w:rsidRDefault="00AE1126" w:rsidP="007750F6">
      <w:pPr>
        <w:pStyle w:val="NumberedParaAR"/>
        <w:widowControl w:val="0"/>
        <w:suppressAutoHyphens/>
      </w:pPr>
      <w:r>
        <w:rPr>
          <w:rFonts w:eastAsia="Arial"/>
          <w:bdr w:val="nil"/>
          <w:rtl/>
          <w:lang w:val="ar-SA"/>
        </w:rPr>
        <w:t xml:space="preserve">وتنتقل التكنولوجيا من البلدان المتقدمة والنامية </w:t>
      </w:r>
      <w:proofErr w:type="gramStart"/>
      <w:r>
        <w:rPr>
          <w:rFonts w:eastAsia="Arial"/>
          <w:bdr w:val="nil"/>
          <w:rtl/>
          <w:lang w:val="ar-SA"/>
        </w:rPr>
        <w:t>على</w:t>
      </w:r>
      <w:proofErr w:type="gramEnd"/>
      <w:r>
        <w:rPr>
          <w:rFonts w:eastAsia="Arial"/>
          <w:bdr w:val="nil"/>
          <w:rtl/>
          <w:lang w:val="ar-SA"/>
        </w:rPr>
        <w:t xml:space="preserve"> حدٍ سواء</w:t>
      </w:r>
      <w:r w:rsidR="00B27244">
        <w:rPr>
          <w:rFonts w:eastAsia="Arial"/>
          <w:bdr w:val="nil"/>
          <w:rtl/>
          <w:lang w:val="ar-SA"/>
        </w:rPr>
        <w:t xml:space="preserve">. </w:t>
      </w:r>
      <w:proofErr w:type="gramStart"/>
      <w:r>
        <w:rPr>
          <w:rFonts w:eastAsia="Arial"/>
          <w:bdr w:val="nil"/>
          <w:rtl/>
          <w:lang w:val="ar-SA"/>
        </w:rPr>
        <w:t>وتشهد</w:t>
      </w:r>
      <w:proofErr w:type="gramEnd"/>
      <w:r>
        <w:rPr>
          <w:rFonts w:eastAsia="Arial"/>
          <w:bdr w:val="nil"/>
          <w:rtl/>
          <w:lang w:val="ar-SA"/>
        </w:rPr>
        <w:t xml:space="preserve"> حركة تدفق التكنولوجيا من بعض البلدان النامية إلى بلدان متقدمة تزايداً.</w:t>
      </w:r>
    </w:p>
    <w:p w:rsidR="00AE1126" w:rsidRDefault="00AE1126" w:rsidP="007750F6">
      <w:pPr>
        <w:pStyle w:val="NumberedParaAR"/>
        <w:widowControl w:val="0"/>
        <w:suppressAutoHyphens/>
      </w:pPr>
      <w:proofErr w:type="gramStart"/>
      <w:r>
        <w:rPr>
          <w:rFonts w:eastAsia="Arial"/>
          <w:bdr w:val="nil"/>
          <w:rtl/>
          <w:lang w:val="ar-SA"/>
        </w:rPr>
        <w:t>وبفضل</w:t>
      </w:r>
      <w:proofErr w:type="gramEnd"/>
      <w:r>
        <w:rPr>
          <w:rFonts w:eastAsia="Arial"/>
          <w:bdr w:val="nil"/>
          <w:rtl/>
          <w:lang w:val="ar-SA"/>
        </w:rPr>
        <w:t xml:space="preserve"> إسهامات خمسة اجتماعات إقليمية وست دراسات تحليلية خضعت لاستعراض الأقران، استفاد منها جميعاً منتدى للخبراء، طوَّر المشروع أفكار الخبراء من أجل النهوض بنقل التكنولوجيا على الصعيد الدولي</w:t>
      </w:r>
      <w:r w:rsidR="00B27244">
        <w:rPr>
          <w:rFonts w:eastAsia="Arial"/>
          <w:bdr w:val="nil"/>
          <w:rtl/>
          <w:lang w:val="ar-SA"/>
        </w:rPr>
        <w:t xml:space="preserve">. </w:t>
      </w:r>
      <w:r>
        <w:rPr>
          <w:rFonts w:eastAsia="Arial"/>
          <w:bdr w:val="nil"/>
          <w:rtl/>
          <w:lang w:val="ar-SA"/>
        </w:rPr>
        <w:t xml:space="preserve">وكان الهدف استكشاف </w:t>
      </w:r>
      <w:proofErr w:type="gramStart"/>
      <w:r>
        <w:rPr>
          <w:rFonts w:eastAsia="Arial"/>
          <w:bdr w:val="nil"/>
          <w:rtl/>
          <w:lang w:val="ar-SA"/>
        </w:rPr>
        <w:t>سبل</w:t>
      </w:r>
      <w:proofErr w:type="gramEnd"/>
      <w:r>
        <w:rPr>
          <w:rFonts w:eastAsia="Arial"/>
          <w:bdr w:val="nil"/>
          <w:rtl/>
          <w:lang w:val="ar-SA"/>
        </w:rPr>
        <w:t xml:space="preserve"> جديدة لإقامة تعاون دولي في مجال الملكية الفكرية</w:t>
      </w:r>
      <w:r w:rsidR="00B27244">
        <w:rPr>
          <w:rFonts w:eastAsia="Arial"/>
          <w:bdr w:val="nil"/>
          <w:rtl/>
          <w:lang w:val="ar-SA"/>
        </w:rPr>
        <w:t xml:space="preserve">. </w:t>
      </w:r>
      <w:r>
        <w:rPr>
          <w:rFonts w:eastAsia="Arial"/>
          <w:bdr w:val="nil"/>
          <w:rtl/>
          <w:lang w:val="ar-SA"/>
        </w:rPr>
        <w:t>وكان الناتج المتوقع</w:t>
      </w:r>
      <w:r>
        <w:rPr>
          <w:iCs/>
          <w:vertAlign w:val="superscript"/>
        </w:rPr>
        <w:footnoteReference w:id="5"/>
      </w:r>
      <w:r>
        <w:rPr>
          <w:rFonts w:eastAsia="Arial"/>
          <w:bdr w:val="nil"/>
          <w:rtl/>
          <w:lang w:val="ar-SA"/>
        </w:rPr>
        <w:t xml:space="preserve"> فهماً محسَّناً وتوافقاً في الآراء بشأن المبادرات أو السياسات المحتملة الرامية إلى تعزيز نقل التكنولوجيا ونشرها بما يصب في مصلحة التقدم الاجتماعي الاقتصادي، لا سيما في البلدان النامية وأقل البلدان نمواً</w:t>
      </w:r>
      <w:r w:rsidR="00B27244">
        <w:rPr>
          <w:rFonts w:eastAsia="Arial"/>
          <w:bdr w:val="nil"/>
          <w:rtl/>
          <w:lang w:val="ar-SA"/>
        </w:rPr>
        <w:t xml:space="preserve">. </w:t>
      </w:r>
      <w:r>
        <w:rPr>
          <w:rFonts w:eastAsia="Arial"/>
          <w:bdr w:val="nil"/>
          <w:rtl/>
          <w:lang w:val="ar-SA"/>
        </w:rPr>
        <w:t>لكن لم يكن هناك استهداف لوقع خاص بالمشروع</w:t>
      </w:r>
      <w:r>
        <w:rPr>
          <w:iCs/>
          <w:vertAlign w:val="superscript"/>
        </w:rPr>
        <w:footnoteReference w:id="6"/>
      </w:r>
      <w:r>
        <w:rPr>
          <w:rFonts w:eastAsia="Arial"/>
          <w:bdr w:val="nil"/>
          <w:rtl/>
          <w:lang w:val="ar-SA"/>
        </w:rPr>
        <w:t>.</w:t>
      </w:r>
    </w:p>
    <w:p w:rsidR="00AE1126" w:rsidRDefault="00AE1126" w:rsidP="007750F6">
      <w:pPr>
        <w:pStyle w:val="NumberedParaAR"/>
        <w:widowControl w:val="0"/>
        <w:suppressAutoHyphens/>
      </w:pPr>
      <w:proofErr w:type="gramStart"/>
      <w:r>
        <w:rPr>
          <w:rFonts w:eastAsia="Arial"/>
          <w:bdr w:val="nil"/>
          <w:rtl/>
          <w:lang w:val="ar-SA"/>
        </w:rPr>
        <w:t>ومن</w:t>
      </w:r>
      <w:proofErr w:type="gramEnd"/>
      <w:r>
        <w:rPr>
          <w:rFonts w:eastAsia="Arial"/>
          <w:bdr w:val="nil"/>
          <w:rtl/>
          <w:lang w:val="ar-SA"/>
        </w:rPr>
        <w:t xml:space="preserve"> أصحاب المصلحة الرئيسيين في مجال نقل التكنولوجيا المحددين في المشروع الكيانات التجارية والمؤسسات البحثية والباحثون والحكومات ومنظمات الأمم المتحدة والمنظمات غير الحكومية الوطنية والدولية.</w:t>
      </w:r>
    </w:p>
    <w:p w:rsidR="00AE1126" w:rsidRDefault="00AE1126" w:rsidP="007750F6">
      <w:pPr>
        <w:pStyle w:val="NumberedParaAR"/>
        <w:widowControl w:val="0"/>
        <w:suppressAutoHyphens/>
      </w:pPr>
      <w:r>
        <w:rPr>
          <w:rFonts w:eastAsia="Arial"/>
          <w:bdr w:val="nil"/>
          <w:rtl/>
          <w:lang w:val="ar-SA"/>
        </w:rPr>
        <w:t xml:space="preserve">وقد استُهدفت </w:t>
      </w:r>
      <w:proofErr w:type="gramStart"/>
      <w:r>
        <w:rPr>
          <w:rFonts w:eastAsia="Arial"/>
          <w:bdr w:val="nil"/>
          <w:rtl/>
          <w:lang w:val="ar-SA"/>
        </w:rPr>
        <w:t>المخرجات</w:t>
      </w:r>
      <w:proofErr w:type="gramEnd"/>
      <w:r>
        <w:rPr>
          <w:rFonts w:eastAsia="Arial"/>
          <w:bdr w:val="nil"/>
          <w:rtl/>
          <w:lang w:val="ar-SA"/>
        </w:rPr>
        <w:t xml:space="preserve"> (عناصر التسليم) التالية:</w:t>
      </w:r>
    </w:p>
    <w:p w:rsidR="00AE1126" w:rsidRDefault="00AE1126" w:rsidP="003864D9">
      <w:pPr>
        <w:pStyle w:val="NormalParaAR"/>
        <w:widowControl w:val="0"/>
        <w:numPr>
          <w:ilvl w:val="0"/>
          <w:numId w:val="11"/>
        </w:numPr>
        <w:suppressAutoHyphens/>
        <w:ind w:left="566" w:hanging="12"/>
      </w:pPr>
      <w:r>
        <w:rPr>
          <w:rFonts w:eastAsia="Arial"/>
          <w:bdr w:val="nil"/>
          <w:rtl/>
          <w:lang w:val="ar-SA"/>
        </w:rPr>
        <w:t xml:space="preserve">إعداد ورقة مشروع (CDIP/8/7 </w:t>
      </w:r>
      <w:proofErr w:type="spellStart"/>
      <w:r>
        <w:rPr>
          <w:rFonts w:eastAsia="Arial"/>
          <w:bdr w:val="nil"/>
          <w:rtl/>
          <w:lang w:val="ar-SA"/>
        </w:rPr>
        <w:t>وCDIP</w:t>
      </w:r>
      <w:proofErr w:type="spellEnd"/>
      <w:r>
        <w:rPr>
          <w:rFonts w:eastAsia="Arial"/>
          <w:bdr w:val="nil"/>
          <w:rtl/>
          <w:lang w:val="ar-SA"/>
        </w:rPr>
        <w:t>/9/INF/4) في مستهل الأمر لتفعيل وثيقة المشروع المبدئية؛</w:t>
      </w:r>
    </w:p>
    <w:p w:rsidR="00AE1126" w:rsidRDefault="00AE1126" w:rsidP="003864D9">
      <w:pPr>
        <w:pStyle w:val="NormalParaAR"/>
        <w:widowControl w:val="0"/>
        <w:numPr>
          <w:ilvl w:val="0"/>
          <w:numId w:val="11"/>
        </w:numPr>
        <w:suppressAutoHyphens/>
        <w:ind w:left="566" w:hanging="12"/>
      </w:pPr>
      <w:r>
        <w:rPr>
          <w:rFonts w:eastAsia="Arial"/>
          <w:bdr w:val="nil"/>
          <w:rtl/>
          <w:lang w:val="ar-SA"/>
        </w:rPr>
        <w:t>المخرج 1</w:t>
      </w:r>
      <w:r w:rsidR="00241FA8">
        <w:rPr>
          <w:rFonts w:eastAsia="Arial"/>
          <w:bdr w:val="nil"/>
          <w:rtl/>
          <w:lang w:val="ar-SA"/>
        </w:rPr>
        <w:t xml:space="preserve">: </w:t>
      </w:r>
      <w:r>
        <w:rPr>
          <w:rFonts w:eastAsia="Arial"/>
          <w:bdr w:val="nil"/>
          <w:rtl/>
          <w:lang w:val="ar-SA"/>
        </w:rPr>
        <w:t>تنظيم خمسة اجتماعات تشاورية بشأن نقل التكنولوجيا في مناطق مختلفة من العالم، مما يتضمن بلداناً متقدمة، بالتشاور المسبق مع الدول الأعضاء في جنيف، ومع إشراك مختلف أصحاب المصلحة في مجال نقل التكنولوجيا، بما في ذلك منظمات أخرى ذات صلة تابعة للأمم المتحدة؛</w:t>
      </w:r>
    </w:p>
    <w:p w:rsidR="00AE1126" w:rsidRDefault="00AE1126" w:rsidP="003864D9">
      <w:pPr>
        <w:pStyle w:val="NormalParaAR"/>
        <w:widowControl w:val="0"/>
        <w:numPr>
          <w:ilvl w:val="0"/>
          <w:numId w:val="11"/>
        </w:numPr>
        <w:suppressAutoHyphens/>
        <w:ind w:left="566" w:hanging="12"/>
      </w:pPr>
      <w:r>
        <w:rPr>
          <w:rFonts w:eastAsia="Arial"/>
          <w:bdr w:val="nil"/>
          <w:rtl/>
          <w:lang w:val="ar-SA"/>
        </w:rPr>
        <w:t>المخرج 2</w:t>
      </w:r>
      <w:r w:rsidR="00241FA8">
        <w:rPr>
          <w:rFonts w:eastAsia="Arial"/>
          <w:bdr w:val="nil"/>
          <w:rtl/>
          <w:lang w:val="ar-SA"/>
        </w:rPr>
        <w:t xml:space="preserve">: </w:t>
      </w:r>
      <w:r>
        <w:rPr>
          <w:rFonts w:eastAsia="Arial"/>
          <w:bdr w:val="nil"/>
          <w:rtl/>
          <w:lang w:val="ar-SA"/>
        </w:rPr>
        <w:t>إعداد عددٍ من الدراسات التحليلية وإخضاعها لاستعراض الاقران، وذلك بالتعاون مع منظمات دولية ذات صلة سواء كانت تابعة للأمم المتحدة أو غير ذلك، مما يتضمن دراسات اقتصادية ودراسات إفرادية بشأن نقل التكنولوجيا على الصعيد العالمي بغية إفادة منتدىً للخبراء؛</w:t>
      </w:r>
    </w:p>
    <w:p w:rsidR="00AE1126" w:rsidRDefault="00AE1126" w:rsidP="003864D9">
      <w:pPr>
        <w:pStyle w:val="NormalParaAR"/>
        <w:widowControl w:val="0"/>
        <w:numPr>
          <w:ilvl w:val="0"/>
          <w:numId w:val="11"/>
        </w:numPr>
        <w:suppressAutoHyphens/>
        <w:ind w:left="566" w:hanging="12"/>
      </w:pPr>
      <w:r>
        <w:rPr>
          <w:rFonts w:eastAsia="Arial"/>
          <w:bdr w:val="nil"/>
          <w:rtl/>
          <w:lang w:val="ar-SA"/>
        </w:rPr>
        <w:t>المخرج 3</w:t>
      </w:r>
      <w:r w:rsidR="00241FA8">
        <w:rPr>
          <w:rFonts w:eastAsia="Arial"/>
          <w:bdr w:val="nil"/>
          <w:rtl/>
          <w:lang w:val="ar-SA"/>
        </w:rPr>
        <w:t xml:space="preserve">: </w:t>
      </w:r>
      <w:r>
        <w:rPr>
          <w:rFonts w:eastAsia="Arial"/>
          <w:bdr w:val="nil"/>
          <w:rtl/>
          <w:lang w:val="ar-SA"/>
        </w:rPr>
        <w:t xml:space="preserve">صياغة ورقة </w:t>
      </w:r>
      <w:proofErr w:type="spellStart"/>
      <w:r>
        <w:rPr>
          <w:rFonts w:eastAsia="Arial"/>
          <w:bdr w:val="nil"/>
          <w:rtl/>
          <w:lang w:val="ar-SA"/>
        </w:rPr>
        <w:t>مفاهيمية</w:t>
      </w:r>
      <w:proofErr w:type="spellEnd"/>
      <w:r>
        <w:rPr>
          <w:rFonts w:eastAsia="Arial"/>
          <w:bdr w:val="nil"/>
          <w:rtl/>
          <w:lang w:val="ar-SA"/>
        </w:rPr>
        <w:t xml:space="preserve"> بشأن بناء الحلول لاتخاذها أساساً للنقاش في منتدى الخبراء، على أن تقدم للجنة للموافقة عليها؛</w:t>
      </w:r>
    </w:p>
    <w:p w:rsidR="00AE1126" w:rsidRDefault="00AE1126" w:rsidP="003864D9">
      <w:pPr>
        <w:pStyle w:val="NormalParaAR"/>
        <w:widowControl w:val="0"/>
        <w:numPr>
          <w:ilvl w:val="0"/>
          <w:numId w:val="11"/>
        </w:numPr>
        <w:suppressAutoHyphens/>
        <w:ind w:left="566" w:hanging="12"/>
      </w:pPr>
      <w:r>
        <w:rPr>
          <w:rFonts w:eastAsia="Arial"/>
          <w:bdr w:val="nil"/>
          <w:rtl/>
          <w:lang w:val="ar-SA"/>
        </w:rPr>
        <w:t>المخرج 4</w:t>
      </w:r>
      <w:r w:rsidR="00241FA8">
        <w:rPr>
          <w:rFonts w:eastAsia="Arial"/>
          <w:bdr w:val="nil"/>
          <w:rtl/>
          <w:lang w:val="ar-SA"/>
        </w:rPr>
        <w:t xml:space="preserve">: </w:t>
      </w:r>
      <w:r>
        <w:rPr>
          <w:rFonts w:eastAsia="Arial"/>
          <w:bdr w:val="nil"/>
          <w:rtl/>
          <w:lang w:val="ar-SA"/>
        </w:rPr>
        <w:t>إعداد وتوفير مواد ووحدات وأدوات تدريسية وغير ذلك من الأدوات الناتجة عن التوصيات التي يعتمدها منتدى الخبراء، وإدراج هذه الحلول ضمن إطار الويبو العالمي لتكوين الكفاءات</w:t>
      </w:r>
      <w:r w:rsidR="00B27244">
        <w:rPr>
          <w:rFonts w:eastAsia="Arial"/>
          <w:bdr w:val="nil"/>
          <w:rtl/>
          <w:lang w:val="ar-SA"/>
        </w:rPr>
        <w:t xml:space="preserve">. </w:t>
      </w:r>
      <w:r>
        <w:rPr>
          <w:rFonts w:eastAsia="Arial"/>
          <w:bdr w:val="nil"/>
          <w:rtl/>
          <w:lang w:val="ar-SA"/>
        </w:rPr>
        <w:t>ويمكن أن يتضمن هذا محتويات ومشروعات قطرية محددة تتعلق بتصميم وتنفيذ البنية التحتية اللازمة لإدارة أصول الملكية الفكرية؛</w:t>
      </w:r>
    </w:p>
    <w:p w:rsidR="00AE1126" w:rsidRDefault="00AE1126" w:rsidP="003864D9">
      <w:pPr>
        <w:pStyle w:val="NormalParaAR"/>
        <w:widowControl w:val="0"/>
        <w:numPr>
          <w:ilvl w:val="0"/>
          <w:numId w:val="11"/>
        </w:numPr>
        <w:suppressAutoHyphens/>
        <w:ind w:left="566" w:hanging="12"/>
      </w:pPr>
      <w:r>
        <w:rPr>
          <w:rFonts w:eastAsia="Arial"/>
          <w:bdr w:val="nil"/>
          <w:rtl/>
          <w:lang w:val="ar-SA"/>
        </w:rPr>
        <w:t>المخرج 5</w:t>
      </w:r>
      <w:r w:rsidR="00241FA8">
        <w:rPr>
          <w:rFonts w:eastAsia="Arial"/>
          <w:bdr w:val="nil"/>
          <w:rtl/>
          <w:lang w:val="ar-SA"/>
        </w:rPr>
        <w:t xml:space="preserve">: </w:t>
      </w:r>
      <w:r>
        <w:rPr>
          <w:rFonts w:eastAsia="Arial"/>
          <w:bdr w:val="nil"/>
          <w:rtl/>
          <w:lang w:val="ar-SA"/>
        </w:rPr>
        <w:t xml:space="preserve">تنظيم منتدىً للخبراء على شكل مؤتمر دولي لاستهلال مناقشات حول كيفية العمل، ضمن ولاية </w:t>
      </w:r>
      <w:r>
        <w:rPr>
          <w:rFonts w:eastAsia="Arial"/>
          <w:bdr w:val="nil"/>
          <w:rtl/>
          <w:lang w:val="ar-SA"/>
        </w:rPr>
        <w:lastRenderedPageBreak/>
        <w:t>الويبو، على المضي في تسهيل نفاذ البلدان النامية وأقل البلدان نمواً إلى المعرفة والتكنولوجيا بما في ذلك ما كان في مجالات ناشئة، فضلاً عن مجالات أخرى تهتم بها البلدان النامية اهتماماً خاصاً، مع أخذ التوصيات 19 و25 و26 و28 في الحسبان</w:t>
      </w:r>
      <w:r w:rsidR="00B27244">
        <w:rPr>
          <w:rFonts w:eastAsia="Arial"/>
          <w:bdr w:val="nil"/>
          <w:rtl/>
          <w:lang w:val="ar-SA"/>
        </w:rPr>
        <w:t xml:space="preserve">. </w:t>
      </w:r>
      <w:proofErr w:type="gramStart"/>
      <w:r>
        <w:rPr>
          <w:rFonts w:eastAsia="Arial"/>
          <w:bdr w:val="nil"/>
          <w:rtl/>
          <w:lang w:val="ar-SA"/>
        </w:rPr>
        <w:t>وينبغي</w:t>
      </w:r>
      <w:proofErr w:type="gramEnd"/>
      <w:r>
        <w:rPr>
          <w:rFonts w:eastAsia="Arial"/>
          <w:bdr w:val="nil"/>
          <w:rtl/>
          <w:lang w:val="ar-SA"/>
        </w:rPr>
        <w:t xml:space="preserve"> للخبراء بشكل خاص التداول حول سياسات ذات صلة بالملكية الفكرية تدعم نقل التكنولوجيا من قِبل البلدان المتقدمة؛</w:t>
      </w:r>
    </w:p>
    <w:p w:rsidR="00AE1126" w:rsidRDefault="00AE1126" w:rsidP="003864D9">
      <w:pPr>
        <w:pStyle w:val="NormalParaAR"/>
        <w:widowControl w:val="0"/>
        <w:numPr>
          <w:ilvl w:val="0"/>
          <w:numId w:val="11"/>
        </w:numPr>
        <w:suppressAutoHyphens/>
        <w:ind w:left="566" w:hanging="12"/>
      </w:pPr>
      <w:r>
        <w:rPr>
          <w:rFonts w:eastAsia="Arial"/>
          <w:bdr w:val="nil"/>
          <w:rtl/>
          <w:lang w:val="ar-SA"/>
        </w:rPr>
        <w:t>المخرج 6</w:t>
      </w:r>
      <w:r w:rsidR="00241FA8">
        <w:rPr>
          <w:rFonts w:eastAsia="Arial"/>
          <w:bdr w:val="nil"/>
          <w:rtl/>
          <w:lang w:val="ar-SA"/>
        </w:rPr>
        <w:t xml:space="preserve">: </w:t>
      </w:r>
      <w:r>
        <w:rPr>
          <w:rFonts w:eastAsia="Arial"/>
          <w:bdr w:val="nil"/>
          <w:rtl/>
          <w:lang w:val="ar-SA"/>
        </w:rPr>
        <w:t>إنشاء منتدىً إلكتروني</w:t>
      </w:r>
      <w:r w:rsidR="004E22FC">
        <w:rPr>
          <w:rFonts w:eastAsia="Arial"/>
          <w:bdr w:val="nil"/>
          <w:rtl/>
          <w:lang w:val="ar-SA"/>
        </w:rPr>
        <w:t xml:space="preserve"> </w:t>
      </w:r>
      <w:r>
        <w:rPr>
          <w:rFonts w:eastAsia="Arial"/>
          <w:bdr w:val="nil"/>
          <w:rtl/>
          <w:lang w:val="ar-SA"/>
        </w:rPr>
        <w:t xml:space="preserve">عن </w:t>
      </w:r>
      <w:r>
        <w:rPr>
          <w:rFonts w:eastAsia="Arial"/>
          <w:i/>
          <w:iCs/>
          <w:bdr w:val="nil"/>
          <w:rtl/>
          <w:lang w:val="ar-SA"/>
        </w:rPr>
        <w:t>نقل التكنولوجيا والملكية الفكرية</w:t>
      </w:r>
      <w:r w:rsidR="00241FA8">
        <w:rPr>
          <w:rFonts w:eastAsia="Arial"/>
          <w:i/>
          <w:iCs/>
          <w:bdr w:val="nil"/>
          <w:rtl/>
          <w:lang w:val="ar-SA"/>
        </w:rPr>
        <w:t xml:space="preserve">: </w:t>
      </w:r>
      <w:r>
        <w:rPr>
          <w:rFonts w:eastAsia="Arial"/>
          <w:i/>
          <w:iCs/>
          <w:bdr w:val="nil"/>
          <w:rtl/>
          <w:lang w:val="ar-SA"/>
        </w:rPr>
        <w:t>التحديات المشتركة وبناء الحلول</w:t>
      </w:r>
      <w:r>
        <w:rPr>
          <w:rFonts w:eastAsia="Arial"/>
          <w:bdr w:val="nil"/>
          <w:rtl/>
          <w:lang w:val="ar-SA"/>
        </w:rPr>
        <w:t xml:space="preserve"> ضمن إطار بوابة هيكلية دعم الابتكار ونقل التكنولوجيا للمؤسسات الوطنية المتوخى إنشاؤها في سياق المشروع المتعلق بالتوصية 10 وذلك بالتشاور مع الدول الأعضاء وغيرها من أصحاب المصلحة، مع تيسير مشاركة البلدان النامية وأقل البلدان نمواً في هذا المنتدى الإلكتروني؛</w:t>
      </w:r>
    </w:p>
    <w:p w:rsidR="00AE1126" w:rsidRDefault="00AE1126" w:rsidP="003864D9">
      <w:pPr>
        <w:pStyle w:val="NormalParaAR"/>
        <w:widowControl w:val="0"/>
        <w:numPr>
          <w:ilvl w:val="0"/>
          <w:numId w:val="11"/>
        </w:numPr>
        <w:suppressAutoHyphens/>
        <w:ind w:left="566" w:hanging="12"/>
      </w:pPr>
      <w:r>
        <w:rPr>
          <w:rFonts w:eastAsia="Arial"/>
          <w:bdr w:val="nil"/>
          <w:rtl/>
          <w:lang w:val="ar-SA"/>
        </w:rPr>
        <w:t>المخرج 7</w:t>
      </w:r>
      <w:r w:rsidR="00241FA8">
        <w:rPr>
          <w:rFonts w:eastAsia="Arial"/>
          <w:bdr w:val="nil"/>
          <w:rtl/>
          <w:lang w:val="ar-SA"/>
        </w:rPr>
        <w:t xml:space="preserve">: </w:t>
      </w:r>
      <w:r>
        <w:rPr>
          <w:rFonts w:eastAsia="Arial"/>
          <w:bdr w:val="nil"/>
          <w:rtl/>
          <w:lang w:val="ar-SA"/>
        </w:rPr>
        <w:t>تضمين أي نواتج للأنشطة سابقة الذكر في برامج الويبو، بعد نظر اللجنة فيها وأي توصيات ذات صلة ترفعها اللجنة إلى الجمعية العامة.</w:t>
      </w:r>
    </w:p>
    <w:p w:rsidR="00AE1126" w:rsidRPr="009F742C" w:rsidRDefault="00AE1126" w:rsidP="007750F6">
      <w:pPr>
        <w:pStyle w:val="NumberedParaAR"/>
        <w:widowControl w:val="0"/>
        <w:suppressAutoHyphens/>
        <w:rPr>
          <w:iCs/>
        </w:rPr>
      </w:pPr>
      <w:proofErr w:type="gramStart"/>
      <w:r>
        <w:rPr>
          <w:rFonts w:eastAsia="Arial"/>
          <w:bdr w:val="nil"/>
          <w:rtl/>
          <w:lang w:val="ar-SA"/>
        </w:rPr>
        <w:t>ويرد</w:t>
      </w:r>
      <w:proofErr w:type="gramEnd"/>
      <w:r>
        <w:rPr>
          <w:rFonts w:eastAsia="Arial"/>
          <w:bdr w:val="nil"/>
          <w:rtl/>
          <w:lang w:val="ar-SA"/>
        </w:rPr>
        <w:t xml:space="preserve"> تناول للمخرجات بمزيدٍ من التفاصيل في إطار تقويم الفعالية في القسم 2.</w:t>
      </w:r>
      <w:proofErr w:type="gramStart"/>
      <w:r>
        <w:rPr>
          <w:rFonts w:eastAsia="Arial"/>
          <w:bdr w:val="nil"/>
          <w:rtl/>
          <w:lang w:val="ar-SA"/>
        </w:rPr>
        <w:t>جيم</w:t>
      </w:r>
      <w:proofErr w:type="gramEnd"/>
      <w:r>
        <w:rPr>
          <w:rFonts w:eastAsia="Arial"/>
          <w:bdr w:val="nil"/>
          <w:rtl/>
          <w:lang w:val="ar-SA"/>
        </w:rPr>
        <w:t xml:space="preserve"> أدناه</w:t>
      </w:r>
      <w:r w:rsidR="00B27244">
        <w:rPr>
          <w:rFonts w:eastAsia="Arial"/>
          <w:bdr w:val="nil"/>
          <w:rtl/>
          <w:lang w:val="ar-SA"/>
        </w:rPr>
        <w:t xml:space="preserve">. </w:t>
      </w:r>
      <w:r>
        <w:rPr>
          <w:rFonts w:eastAsia="Arial"/>
          <w:bdr w:val="nil"/>
          <w:rtl/>
          <w:lang w:val="ar-SA"/>
        </w:rPr>
        <w:t xml:space="preserve">وقد خلص المقيِّمان في تحديث للتقرير المرحلي النهائي إلى </w:t>
      </w:r>
      <w:proofErr w:type="gramStart"/>
      <w:r>
        <w:rPr>
          <w:rFonts w:eastAsia="Arial"/>
          <w:bdr w:val="nil"/>
          <w:rtl/>
          <w:lang w:val="ar-SA"/>
        </w:rPr>
        <w:t>اللجنة</w:t>
      </w:r>
      <w:r>
        <w:rPr>
          <w:vertAlign w:val="superscript"/>
        </w:rPr>
        <w:footnoteReference w:id="7"/>
      </w:r>
      <w:r>
        <w:rPr>
          <w:rFonts w:eastAsia="Arial"/>
          <w:bdr w:val="nil"/>
          <w:rtl/>
          <w:lang w:val="ar-SA"/>
        </w:rPr>
        <w:t xml:space="preserve"> وتحقق</w:t>
      </w:r>
      <w:proofErr w:type="gramEnd"/>
      <w:r>
        <w:rPr>
          <w:rFonts w:eastAsia="Arial"/>
          <w:bdr w:val="nil"/>
          <w:rtl/>
          <w:lang w:val="ar-SA"/>
        </w:rPr>
        <w:t xml:space="preserve"> منه من خلال إجراء مقابلات إلى أن المخرجات المقررة قد استُكملت جميعاً عدا:</w:t>
      </w:r>
    </w:p>
    <w:p w:rsidR="00AE1126" w:rsidRDefault="00AE1126" w:rsidP="003017AD">
      <w:pPr>
        <w:pStyle w:val="NormalParaAR"/>
        <w:widowControl w:val="0"/>
        <w:numPr>
          <w:ilvl w:val="0"/>
          <w:numId w:val="12"/>
        </w:numPr>
        <w:suppressAutoHyphens/>
        <w:ind w:left="566" w:firstLine="0"/>
      </w:pPr>
      <w:r>
        <w:rPr>
          <w:rFonts w:eastAsia="Arial"/>
          <w:bdr w:val="nil"/>
          <w:rtl/>
          <w:lang w:val="ar-SA"/>
        </w:rPr>
        <w:t xml:space="preserve">لم تسجَّل أي عناصر تسليم منفذة في إطار المخرج 4 (إعداد مواد تدريبية، </w:t>
      </w:r>
      <w:proofErr w:type="gramStart"/>
      <w:r>
        <w:rPr>
          <w:rFonts w:eastAsia="Arial"/>
          <w:bdr w:val="nil"/>
          <w:rtl/>
          <w:lang w:val="ar-SA"/>
        </w:rPr>
        <w:t>تطوير</w:t>
      </w:r>
      <w:proofErr w:type="gramEnd"/>
      <w:r>
        <w:rPr>
          <w:rFonts w:eastAsia="Arial"/>
          <w:bdr w:val="nil"/>
          <w:rtl/>
          <w:lang w:val="ar-SA"/>
        </w:rPr>
        <w:t xml:space="preserve"> مشروعات قطرية محددة)؛</w:t>
      </w:r>
    </w:p>
    <w:p w:rsidR="00AE1126" w:rsidRDefault="00AE1126" w:rsidP="003017AD">
      <w:pPr>
        <w:pStyle w:val="NormalParaAR"/>
        <w:widowControl w:val="0"/>
        <w:numPr>
          <w:ilvl w:val="0"/>
          <w:numId w:val="12"/>
        </w:numPr>
        <w:suppressAutoHyphens/>
        <w:ind w:left="566" w:firstLine="0"/>
      </w:pPr>
      <w:proofErr w:type="gramStart"/>
      <w:r>
        <w:rPr>
          <w:rFonts w:eastAsia="Arial"/>
          <w:bdr w:val="nil"/>
          <w:rtl/>
          <w:lang w:val="ar-SA"/>
        </w:rPr>
        <w:t>كان</w:t>
      </w:r>
      <w:proofErr w:type="gramEnd"/>
      <w:r>
        <w:rPr>
          <w:rFonts w:eastAsia="Arial"/>
          <w:bdr w:val="nil"/>
          <w:rtl/>
          <w:lang w:val="ar-SA"/>
        </w:rPr>
        <w:t xml:space="preserve"> مدير المشروع قد انتهى وقت إجراء التقييم من إعداد نسخة تمهيدية من المنتدى الإلكتروني (المخرج 6) المتوخى أن يدمج المنتديين الإلكترونيين للمشروع DA_36 (مشروعات تعاونية مفتوحة ونماذج قائمة على الملكية الفكرية) والمشروع DA 10_03 (هيكلية دعم الابتكار ونقل التكنولوجيا للمؤسسات الوطنية)</w:t>
      </w:r>
      <w:r w:rsidR="00B27244">
        <w:rPr>
          <w:rFonts w:eastAsia="Arial"/>
          <w:bdr w:val="nil"/>
          <w:rtl/>
          <w:lang w:val="ar-SA"/>
        </w:rPr>
        <w:t xml:space="preserve">. </w:t>
      </w:r>
      <w:r>
        <w:rPr>
          <w:rFonts w:eastAsia="Arial"/>
          <w:bdr w:val="nil"/>
          <w:rtl/>
          <w:lang w:val="ar-SA"/>
        </w:rPr>
        <w:t>ولم يتخذ قرار بهذا الشأن بعد؛</w:t>
      </w:r>
    </w:p>
    <w:p w:rsidR="00AE1126" w:rsidRDefault="00AE1126" w:rsidP="003017AD">
      <w:pPr>
        <w:pStyle w:val="NormalParaAR"/>
        <w:widowControl w:val="0"/>
        <w:numPr>
          <w:ilvl w:val="0"/>
          <w:numId w:val="12"/>
        </w:numPr>
        <w:suppressAutoHyphens/>
        <w:ind w:left="566" w:firstLine="0"/>
      </w:pPr>
      <w:r>
        <w:rPr>
          <w:rFonts w:eastAsia="Arial"/>
          <w:bdr w:val="nil"/>
          <w:rtl/>
          <w:lang w:val="ar-SA"/>
        </w:rPr>
        <w:t>لم تتخذ بعد خطوات نحو دمج نواتج المشروع في مشروعات الويبو (المخرج 7).</w:t>
      </w:r>
    </w:p>
    <w:p w:rsidR="00AE1126" w:rsidRPr="009F742C" w:rsidRDefault="00AE1126" w:rsidP="007750F6">
      <w:pPr>
        <w:pStyle w:val="NumberedParaAR"/>
        <w:widowControl w:val="0"/>
        <w:suppressAutoHyphens/>
        <w:rPr>
          <w:iCs/>
        </w:rPr>
      </w:pPr>
      <w:r>
        <w:rPr>
          <w:rFonts w:eastAsia="Arial"/>
          <w:bdr w:val="nil"/>
          <w:rtl/>
          <w:lang w:val="ar-SA"/>
        </w:rPr>
        <w:t xml:space="preserve">وبلغ معدل استخدام </w:t>
      </w:r>
      <w:proofErr w:type="gramStart"/>
      <w:r>
        <w:rPr>
          <w:rFonts w:eastAsia="Arial"/>
          <w:bdr w:val="nil"/>
          <w:rtl/>
          <w:lang w:val="ar-SA"/>
        </w:rPr>
        <w:t>الموازنة</w:t>
      </w:r>
      <w:proofErr w:type="gramEnd"/>
      <w:r>
        <w:rPr>
          <w:rFonts w:eastAsia="Arial"/>
          <w:bdr w:val="nil"/>
          <w:rtl/>
          <w:lang w:val="ar-SA"/>
        </w:rPr>
        <w:t xml:space="preserve"> المعلن 68% حتى 31 أغسطس 2014 (CDIP/14/2 المرفق الثاني) و76.8% في مايو 2015 (آخر </w:t>
      </w:r>
      <w:proofErr w:type="gramStart"/>
      <w:r>
        <w:rPr>
          <w:rFonts w:eastAsia="Arial"/>
          <w:bdr w:val="nil"/>
          <w:rtl/>
          <w:lang w:val="ar-SA"/>
        </w:rPr>
        <w:t>تقرير</w:t>
      </w:r>
      <w:proofErr w:type="gramEnd"/>
      <w:r>
        <w:rPr>
          <w:rFonts w:eastAsia="Arial"/>
          <w:bdr w:val="nil"/>
          <w:rtl/>
          <w:lang w:val="ar-SA"/>
        </w:rPr>
        <w:t xml:space="preserve"> مالي متاح للمقيِّمين).</w:t>
      </w:r>
    </w:p>
    <w:p w:rsidR="00AE1126" w:rsidRPr="00624AA2" w:rsidRDefault="00AE1126" w:rsidP="007750F6">
      <w:pPr>
        <w:pStyle w:val="Heading2AR"/>
        <w:keepNext w:val="0"/>
        <w:widowControl w:val="0"/>
        <w:suppressAutoHyphens/>
      </w:pPr>
      <w:r>
        <w:rPr>
          <w:rFonts w:eastAsia="Arial"/>
          <w:bdr w:val="nil"/>
          <w:rtl/>
          <w:lang w:val="ar-SA" w:eastAsia="zh-CN"/>
        </w:rPr>
        <w:t>(باء)</w:t>
      </w:r>
      <w:r>
        <w:rPr>
          <w:rFonts w:eastAsia="Arial"/>
          <w:bdr w:val="nil"/>
          <w:rtl/>
          <w:lang w:val="ar-SA" w:eastAsia="zh-CN"/>
        </w:rPr>
        <w:tab/>
        <w:t xml:space="preserve">نطاق هذا التقييم وغرضه </w:t>
      </w:r>
      <w:r w:rsidR="00020B4A">
        <w:rPr>
          <w:rFonts w:eastAsia="Arial" w:hint="cs"/>
          <w:bdr w:val="nil"/>
          <w:rtl/>
          <w:lang w:val="ar-SA" w:eastAsia="zh-CN"/>
        </w:rPr>
        <w:t>ومنهاجيت</w:t>
      </w:r>
      <w:r w:rsidR="00020B4A">
        <w:rPr>
          <w:rFonts w:eastAsia="Arial" w:hint="eastAsia"/>
          <w:bdr w:val="nil"/>
          <w:rtl/>
          <w:lang w:val="ar-SA" w:eastAsia="zh-CN"/>
        </w:rPr>
        <w:t>ه</w:t>
      </w:r>
      <w:r>
        <w:rPr>
          <w:rFonts w:eastAsia="Arial"/>
          <w:bdr w:val="nil"/>
          <w:rtl/>
          <w:lang w:val="ar-SA" w:eastAsia="zh-CN"/>
        </w:rPr>
        <w:t xml:space="preserve"> وقيوده</w:t>
      </w:r>
    </w:p>
    <w:p w:rsidR="00AE1126" w:rsidRDefault="00AE1126" w:rsidP="007750F6">
      <w:pPr>
        <w:pStyle w:val="Heading3AR"/>
        <w:keepNext w:val="0"/>
        <w:widowControl w:val="0"/>
        <w:suppressAutoHyphens/>
      </w:pPr>
      <w:r>
        <w:rPr>
          <w:rFonts w:eastAsia="Arial"/>
          <w:u w:val="none"/>
          <w:bdr w:val="nil"/>
          <w:rtl/>
          <w:lang w:val="ar-SA" w:eastAsia="zh-CN"/>
        </w:rPr>
        <w:t>('1')</w:t>
      </w:r>
      <w:r>
        <w:rPr>
          <w:rFonts w:eastAsia="Arial"/>
          <w:u w:val="none"/>
          <w:bdr w:val="nil"/>
          <w:rtl/>
          <w:lang w:val="ar-SA" w:eastAsia="zh-CN"/>
        </w:rPr>
        <w:tab/>
      </w:r>
      <w:r>
        <w:rPr>
          <w:rFonts w:eastAsia="Arial"/>
          <w:bdr w:val="nil"/>
          <w:rtl/>
          <w:lang w:val="ar-SA" w:eastAsia="zh-CN"/>
        </w:rPr>
        <w:t>النطاق</w:t>
      </w:r>
    </w:p>
    <w:p w:rsidR="00AE1126" w:rsidRDefault="00AE1126" w:rsidP="007750F6">
      <w:pPr>
        <w:pStyle w:val="NumberedParaAR"/>
        <w:widowControl w:val="0"/>
        <w:suppressAutoHyphens/>
      </w:pPr>
      <w:r>
        <w:rPr>
          <w:rFonts w:eastAsia="Arial"/>
          <w:bdr w:val="nil"/>
          <w:rtl/>
          <w:lang w:val="ar-SA"/>
        </w:rPr>
        <w:t>كان المقيِّمان مطالبَين وفقاً للاختصاصات بتغطية الفترة من 1 يناير 2011 إلى 31 أغسطس 2014</w:t>
      </w:r>
      <w:r w:rsidR="00B27244">
        <w:rPr>
          <w:rFonts w:eastAsia="Arial"/>
          <w:bdr w:val="nil"/>
          <w:rtl/>
          <w:lang w:val="ar-SA"/>
        </w:rPr>
        <w:t xml:space="preserve">. </w:t>
      </w:r>
      <w:r>
        <w:rPr>
          <w:rFonts w:eastAsia="Arial"/>
          <w:bdr w:val="nil"/>
          <w:rtl/>
          <w:lang w:val="ar-SA"/>
        </w:rPr>
        <w:t>وبما أن تنفيذ المشروع امتد بعد تلك الفترة، فقد أخذ المقيمان في الحسبان التطورات التالية ذات الصلة حتى وقت تقديم هذا التقرير في يوليه 2015.</w:t>
      </w:r>
    </w:p>
    <w:p w:rsidR="00AE1126" w:rsidRPr="00624AA2" w:rsidRDefault="00AE1126" w:rsidP="007750F6">
      <w:pPr>
        <w:pStyle w:val="Heading3AR"/>
        <w:keepNext w:val="0"/>
        <w:widowControl w:val="0"/>
        <w:suppressAutoHyphens/>
      </w:pPr>
      <w:r>
        <w:rPr>
          <w:rFonts w:eastAsia="Arial"/>
          <w:u w:val="none"/>
          <w:bdr w:val="nil"/>
          <w:rtl/>
          <w:lang w:val="ar-SA" w:eastAsia="zh-CN"/>
        </w:rPr>
        <w:t>('2')</w:t>
      </w:r>
      <w:r>
        <w:rPr>
          <w:rFonts w:eastAsia="Arial"/>
          <w:u w:val="none"/>
          <w:bdr w:val="nil"/>
          <w:rtl/>
          <w:lang w:val="ar-SA" w:eastAsia="zh-CN"/>
        </w:rPr>
        <w:tab/>
      </w:r>
      <w:proofErr w:type="gramStart"/>
      <w:r>
        <w:rPr>
          <w:rFonts w:eastAsia="Arial"/>
          <w:bdr w:val="nil"/>
          <w:rtl/>
          <w:lang w:val="ar-SA" w:eastAsia="zh-CN"/>
        </w:rPr>
        <w:t>الغرض</w:t>
      </w:r>
      <w:proofErr w:type="gramEnd"/>
      <w:r>
        <w:rPr>
          <w:rFonts w:eastAsia="Arial"/>
          <w:bdr w:val="nil"/>
          <w:rtl/>
          <w:lang w:val="ar-SA" w:eastAsia="zh-CN"/>
        </w:rPr>
        <w:t xml:space="preserve"> الأساسي</w:t>
      </w:r>
    </w:p>
    <w:p w:rsidR="00AE1126" w:rsidRDefault="00AE1126" w:rsidP="007750F6">
      <w:pPr>
        <w:pStyle w:val="NumberedParaAR"/>
        <w:widowControl w:val="0"/>
        <w:suppressAutoHyphens/>
      </w:pPr>
      <w:proofErr w:type="gramStart"/>
      <w:r>
        <w:rPr>
          <w:rFonts w:eastAsia="Arial"/>
          <w:bdr w:val="nil"/>
          <w:rtl/>
          <w:lang w:val="ar-SA"/>
        </w:rPr>
        <w:t>يتمثل</w:t>
      </w:r>
      <w:proofErr w:type="gramEnd"/>
      <w:r>
        <w:rPr>
          <w:rFonts w:eastAsia="Arial"/>
          <w:bdr w:val="nil"/>
          <w:rtl/>
          <w:lang w:val="ar-SA"/>
        </w:rPr>
        <w:t xml:space="preserve"> غرض التقييم الرئيسي الوارد في الاختصاصات في الوقوف على مدى توفير المشروع في مجمله النوع الملائم من الدعم في سبيل تحقيق أهدافه الأساسية بالشكل الصحيح</w:t>
      </w:r>
      <w:r w:rsidR="00B27244">
        <w:rPr>
          <w:rFonts w:eastAsia="Arial"/>
          <w:bdr w:val="nil"/>
          <w:rtl/>
          <w:lang w:val="ar-SA"/>
        </w:rPr>
        <w:t xml:space="preserve">. </w:t>
      </w:r>
      <w:proofErr w:type="gramStart"/>
      <w:r>
        <w:rPr>
          <w:rFonts w:eastAsia="Arial"/>
          <w:bdr w:val="nil"/>
          <w:rtl/>
          <w:lang w:val="ar-SA"/>
        </w:rPr>
        <w:t>وفي</w:t>
      </w:r>
      <w:proofErr w:type="gramEnd"/>
      <w:r>
        <w:rPr>
          <w:rFonts w:eastAsia="Arial"/>
          <w:bdr w:val="nil"/>
          <w:rtl/>
          <w:lang w:val="ar-SA"/>
        </w:rPr>
        <w:t xml:space="preserve"> إطار الغرض الجامع المتمثل في ضمان خضوع الأمانة للمساءلة أمام الدول الأعضاء والإسهام في التعلم على مستوى المنظمة، كان المنتظر من المقيّمين ما يلي:</w:t>
      </w:r>
    </w:p>
    <w:p w:rsidR="00AE1126" w:rsidRDefault="00AE1126" w:rsidP="008E621F">
      <w:pPr>
        <w:pStyle w:val="NormalParaAR"/>
        <w:widowControl w:val="0"/>
        <w:numPr>
          <w:ilvl w:val="0"/>
          <w:numId w:val="13"/>
        </w:numPr>
        <w:suppressAutoHyphens/>
        <w:ind w:left="566" w:hanging="12"/>
      </w:pPr>
      <w:r>
        <w:rPr>
          <w:rFonts w:eastAsia="Arial"/>
          <w:bdr w:val="nil"/>
          <w:rtl/>
          <w:lang w:val="ar-SA"/>
        </w:rPr>
        <w:lastRenderedPageBreak/>
        <w:t xml:space="preserve">تقديم تقويم قائم على الأدلة للمشروع دعماً لعملية </w:t>
      </w:r>
      <w:proofErr w:type="gramStart"/>
      <w:r>
        <w:rPr>
          <w:rFonts w:eastAsia="Arial"/>
          <w:bdr w:val="nil"/>
          <w:rtl/>
          <w:lang w:val="ar-SA"/>
        </w:rPr>
        <w:t>اتخاذ</w:t>
      </w:r>
      <w:proofErr w:type="gramEnd"/>
      <w:r>
        <w:rPr>
          <w:rFonts w:eastAsia="Arial"/>
          <w:bdr w:val="nil"/>
          <w:rtl/>
          <w:lang w:val="ar-SA"/>
        </w:rPr>
        <w:t xml:space="preserve"> القرار في اللجنة.</w:t>
      </w:r>
    </w:p>
    <w:p w:rsidR="00AE1126" w:rsidRDefault="00AE1126" w:rsidP="008E621F">
      <w:pPr>
        <w:pStyle w:val="NormalParaAR"/>
        <w:widowControl w:val="0"/>
        <w:numPr>
          <w:ilvl w:val="0"/>
          <w:numId w:val="13"/>
        </w:numPr>
        <w:suppressAutoHyphens/>
        <w:ind w:left="566" w:hanging="12"/>
      </w:pPr>
      <w:r>
        <w:rPr>
          <w:rFonts w:eastAsia="Arial"/>
          <w:bdr w:val="nil"/>
          <w:rtl/>
          <w:lang w:val="ar-SA"/>
        </w:rPr>
        <w:t>وتبيُّن الدروس المستفادة من خلال تنفيذ المشروع، وما نجح في معرض ذلك وما لم ينجح للاسترشاد بها في الأنشطة المستمرة في مجال نقل التكنولوجيا</w:t>
      </w:r>
      <w:r w:rsidR="00B27244">
        <w:rPr>
          <w:rFonts w:eastAsia="Arial"/>
          <w:bdr w:val="nil"/>
          <w:rtl/>
          <w:lang w:val="ar-SA"/>
        </w:rPr>
        <w:t xml:space="preserve">. </w:t>
      </w:r>
      <w:r>
        <w:rPr>
          <w:rFonts w:eastAsia="Arial"/>
          <w:bdr w:val="nil"/>
          <w:rtl/>
          <w:lang w:val="ar-SA"/>
        </w:rPr>
        <w:t>ويمكن في استخلاص الدروس المستفادة الإشارة بشكل خاص إلى ما كان متوخيً في الأصل من تضمين الأنشطة في برامج الويبو ذات الصلة (المخرج 7 المتعلق بالتوصية 19 من جدول أعمال التنمية)ـ مما سيتطلب موافقة رسمية من الدول الأعضاء.</w:t>
      </w:r>
    </w:p>
    <w:p w:rsidR="00AE1126" w:rsidRPr="00624AA2" w:rsidRDefault="00AE1126" w:rsidP="007750F6">
      <w:pPr>
        <w:pStyle w:val="Heading3AR"/>
        <w:keepNext w:val="0"/>
        <w:widowControl w:val="0"/>
        <w:suppressAutoHyphens/>
      </w:pPr>
      <w:r>
        <w:rPr>
          <w:rFonts w:eastAsia="Arial"/>
          <w:u w:val="none"/>
          <w:bdr w:val="nil"/>
          <w:rtl/>
          <w:lang w:val="ar-SA" w:eastAsia="zh-CN"/>
        </w:rPr>
        <w:t>('3')</w:t>
      </w:r>
      <w:r>
        <w:rPr>
          <w:rFonts w:eastAsia="Arial"/>
          <w:u w:val="none"/>
          <w:bdr w:val="nil"/>
          <w:rtl/>
          <w:lang w:val="ar-SA" w:eastAsia="zh-CN"/>
        </w:rPr>
        <w:tab/>
      </w:r>
      <w:r>
        <w:rPr>
          <w:rFonts w:eastAsia="Arial"/>
          <w:bdr w:val="nil"/>
          <w:rtl/>
          <w:lang w:val="ar-SA" w:eastAsia="zh-CN"/>
        </w:rPr>
        <w:t>المنهجية</w:t>
      </w:r>
    </w:p>
    <w:p w:rsidR="00AE1126" w:rsidRPr="00624AA2" w:rsidRDefault="00AE1126" w:rsidP="007750F6">
      <w:pPr>
        <w:pStyle w:val="NumberedParaAR"/>
        <w:widowControl w:val="0"/>
        <w:suppressAutoHyphens/>
      </w:pPr>
      <w:r>
        <w:rPr>
          <w:rFonts w:eastAsia="Arial"/>
          <w:bdr w:val="nil"/>
          <w:rtl/>
          <w:lang w:val="ar-SA"/>
        </w:rPr>
        <w:t>أجرِي التقييم بما يتماشى مع سياسة الويبو للتقييم</w:t>
      </w:r>
      <w:r>
        <w:rPr>
          <w:vertAlign w:val="superscript"/>
        </w:rPr>
        <w:footnoteReference w:id="8"/>
      </w:r>
      <w:r>
        <w:rPr>
          <w:rFonts w:eastAsia="Arial"/>
          <w:bdr w:val="nil"/>
          <w:rtl/>
          <w:lang w:val="ar-SA"/>
        </w:rPr>
        <w:t>، التي تشير إلى المبادئ الأساسية لمعايير التقييم ومعايير الجودة الصادرة عن لجنة المساعدة الإنمائية التابعة لمنظمة التعاون والتنمية في الميدان الاقتصادي</w:t>
      </w:r>
      <w:r>
        <w:rPr>
          <w:vertAlign w:val="superscript"/>
        </w:rPr>
        <w:footnoteReference w:id="9"/>
      </w:r>
      <w:r w:rsidR="00B27244">
        <w:rPr>
          <w:rFonts w:eastAsia="Arial"/>
          <w:bdr w:val="nil"/>
          <w:rtl/>
          <w:lang w:val="ar-SA"/>
        </w:rPr>
        <w:t xml:space="preserve">. </w:t>
      </w:r>
      <w:proofErr w:type="gramStart"/>
      <w:r>
        <w:rPr>
          <w:rFonts w:eastAsia="Arial"/>
          <w:bdr w:val="nil"/>
          <w:rtl/>
          <w:lang w:val="ar-SA"/>
        </w:rPr>
        <w:t>ووفقاً</w:t>
      </w:r>
      <w:proofErr w:type="gramEnd"/>
      <w:r>
        <w:rPr>
          <w:rFonts w:eastAsia="Arial"/>
          <w:bdr w:val="nil"/>
          <w:rtl/>
          <w:lang w:val="ar-SA"/>
        </w:rPr>
        <w:t xml:space="preserve"> لممارسات التقييم الموحدة هذه، يُجرى تقويم جودة المشروعات استناداً إلى المعايير الأربعة التالية:</w:t>
      </w:r>
      <w:r>
        <w:rPr>
          <w:rStyle w:val="FootnoteReference"/>
        </w:rPr>
        <w:footnoteReference w:id="10"/>
      </w:r>
    </w:p>
    <w:p w:rsidR="00AE1126" w:rsidRPr="00624AA2" w:rsidRDefault="005959DE" w:rsidP="00062B23">
      <w:pPr>
        <w:pStyle w:val="NormalParaAR"/>
        <w:widowControl w:val="0"/>
        <w:numPr>
          <w:ilvl w:val="0"/>
          <w:numId w:val="14"/>
        </w:numPr>
        <w:suppressAutoHyphens/>
        <w:ind w:left="566" w:hanging="12"/>
      </w:pPr>
      <w:r>
        <w:rPr>
          <w:rFonts w:eastAsia="Arial"/>
          <w:bdr w:val="nil"/>
          <w:rtl/>
          <w:lang w:val="ar-SA"/>
        </w:rPr>
        <w:t>الوجاهة:</w:t>
      </w:r>
      <w:r>
        <w:rPr>
          <w:rFonts w:eastAsia="Arial"/>
          <w:bdr w:val="nil"/>
        </w:rPr>
        <w:t xml:space="preserve"> </w:t>
      </w:r>
      <w:r w:rsidR="00AE1126">
        <w:rPr>
          <w:rFonts w:eastAsia="Arial"/>
          <w:bdr w:val="nil"/>
          <w:rtl/>
          <w:lang w:val="ar-SA"/>
        </w:rPr>
        <w:t>مدى اتساق أهداف المشروع مع متطلبات المستفيدين واحتياجات الدول الأعضاء والأولويات العالمية والسياسات.</w:t>
      </w:r>
    </w:p>
    <w:p w:rsidR="00AE1126" w:rsidRPr="00624AA2" w:rsidRDefault="005959DE" w:rsidP="00062B23">
      <w:pPr>
        <w:pStyle w:val="NormalParaAR"/>
        <w:widowControl w:val="0"/>
        <w:numPr>
          <w:ilvl w:val="0"/>
          <w:numId w:val="14"/>
        </w:numPr>
        <w:suppressAutoHyphens/>
        <w:ind w:left="566" w:hanging="12"/>
      </w:pPr>
      <w:r>
        <w:rPr>
          <w:rFonts w:eastAsia="Arial"/>
          <w:bdr w:val="nil"/>
          <w:rtl/>
          <w:lang w:val="ar-SA"/>
        </w:rPr>
        <w:t>الكفاءة:</w:t>
      </w:r>
      <w:r>
        <w:rPr>
          <w:rFonts w:eastAsia="Arial"/>
          <w:bdr w:val="nil"/>
        </w:rPr>
        <w:tab/>
      </w:r>
      <w:r w:rsidR="00AE1126">
        <w:rPr>
          <w:rFonts w:eastAsia="Arial"/>
          <w:bdr w:val="nil"/>
          <w:rtl/>
          <w:lang w:val="ar-SA"/>
        </w:rPr>
        <w:t xml:space="preserve"> مدى الاقتصادية في تحويل المدخلات (مثل الأموال والخبرات والوقت) إلى نتائج</w:t>
      </w:r>
      <w:r w:rsidR="00B27244">
        <w:rPr>
          <w:rFonts w:eastAsia="Arial"/>
          <w:bdr w:val="nil"/>
          <w:rtl/>
          <w:lang w:val="ar-SA"/>
        </w:rPr>
        <w:t xml:space="preserve">. </w:t>
      </w:r>
      <w:r w:rsidR="00AE1126">
        <w:rPr>
          <w:rFonts w:eastAsia="Arial"/>
          <w:bdr w:val="nil"/>
          <w:rtl/>
          <w:lang w:val="ar-SA"/>
        </w:rPr>
        <w:t xml:space="preserve">وقد اعتبر </w:t>
      </w:r>
      <w:proofErr w:type="gramStart"/>
      <w:r w:rsidR="00AE1126">
        <w:rPr>
          <w:rFonts w:eastAsia="Arial"/>
          <w:bdr w:val="nil"/>
          <w:rtl/>
          <w:lang w:val="ar-SA"/>
        </w:rPr>
        <w:t>التقييم</w:t>
      </w:r>
      <w:proofErr w:type="gramEnd"/>
      <w:r w:rsidR="00AE1126">
        <w:rPr>
          <w:rFonts w:eastAsia="Arial"/>
          <w:bdr w:val="nil"/>
          <w:rtl/>
          <w:lang w:val="ar-SA"/>
        </w:rPr>
        <w:t xml:space="preserve"> أساساً النهج المتبع في المشروع.</w:t>
      </w:r>
    </w:p>
    <w:p w:rsidR="00AE1126" w:rsidRPr="00624AA2" w:rsidRDefault="005959DE" w:rsidP="00062B23">
      <w:pPr>
        <w:pStyle w:val="NormalParaAR"/>
        <w:widowControl w:val="0"/>
        <w:numPr>
          <w:ilvl w:val="0"/>
          <w:numId w:val="14"/>
        </w:numPr>
        <w:suppressAutoHyphens/>
        <w:ind w:left="566" w:hanging="12"/>
      </w:pPr>
      <w:r>
        <w:rPr>
          <w:rFonts w:eastAsia="Arial"/>
          <w:bdr w:val="nil"/>
          <w:rtl/>
          <w:lang w:val="ar-SA"/>
        </w:rPr>
        <w:t xml:space="preserve">الفعالية: </w:t>
      </w:r>
      <w:proofErr w:type="gramStart"/>
      <w:r w:rsidR="00AE1126">
        <w:rPr>
          <w:rFonts w:eastAsia="Arial"/>
          <w:bdr w:val="nil"/>
          <w:rtl/>
          <w:lang w:val="ar-SA"/>
        </w:rPr>
        <w:t>مدى</w:t>
      </w:r>
      <w:proofErr w:type="gramEnd"/>
      <w:r w:rsidR="00AE1126">
        <w:rPr>
          <w:rFonts w:eastAsia="Arial"/>
          <w:bdr w:val="nil"/>
          <w:rtl/>
          <w:lang w:val="ar-SA"/>
        </w:rPr>
        <w:t xml:space="preserve"> تحقق الأهداف أو توقع تحققها، مع مراعاة أهمية كل منها.</w:t>
      </w:r>
    </w:p>
    <w:p w:rsidR="00AE1126" w:rsidRDefault="005959DE" w:rsidP="00062B23">
      <w:pPr>
        <w:pStyle w:val="NormalParaAR"/>
        <w:widowControl w:val="0"/>
        <w:numPr>
          <w:ilvl w:val="0"/>
          <w:numId w:val="14"/>
        </w:numPr>
        <w:suppressAutoHyphens/>
        <w:ind w:left="566" w:hanging="12"/>
      </w:pPr>
      <w:r>
        <w:rPr>
          <w:rFonts w:eastAsia="Arial"/>
          <w:bdr w:val="nil"/>
          <w:rtl/>
          <w:lang w:val="ar-SA"/>
        </w:rPr>
        <w:t>الاستدامة:</w:t>
      </w:r>
      <w:r w:rsidR="00AE1126">
        <w:rPr>
          <w:rFonts w:eastAsia="Arial"/>
          <w:bdr w:val="nil"/>
          <w:rtl/>
          <w:lang w:val="ar-SA"/>
        </w:rPr>
        <w:t xml:space="preserve"> </w:t>
      </w:r>
      <w:proofErr w:type="gramStart"/>
      <w:r w:rsidR="00AE1126">
        <w:rPr>
          <w:rFonts w:eastAsia="Arial"/>
          <w:bdr w:val="nil"/>
          <w:rtl/>
          <w:lang w:val="ar-SA"/>
        </w:rPr>
        <w:t>احتمالات</w:t>
      </w:r>
      <w:proofErr w:type="gramEnd"/>
      <w:r w:rsidR="00AE1126">
        <w:rPr>
          <w:rFonts w:eastAsia="Arial"/>
          <w:bdr w:val="nil"/>
          <w:rtl/>
          <w:lang w:val="ar-SA"/>
        </w:rPr>
        <w:t xml:space="preserve"> استمرار فوائد المشروع بعد استكمال المساعدة.</w:t>
      </w:r>
    </w:p>
    <w:p w:rsidR="00AE1126" w:rsidRDefault="00AE1126" w:rsidP="007750F6">
      <w:pPr>
        <w:pStyle w:val="NumberedParaAR"/>
        <w:widowControl w:val="0"/>
        <w:suppressAutoHyphens/>
      </w:pPr>
      <w:r>
        <w:rPr>
          <w:rFonts w:eastAsia="Arial"/>
          <w:bdr w:val="nil"/>
          <w:rtl/>
          <w:lang w:val="ar-SA"/>
        </w:rPr>
        <w:t>وبالإضافة إلى ذلك، طُلب من المقيِّمَين تحديداً تقويم التحضير للمشروع وإدارته، وبالتالي درجة اتباع الممارسات الجيدة في التحضير للمشروع وإدارته، بما في ذلك ما يتعلق بتطبيق أدوات الإدارة القائمة على النتائج.</w:t>
      </w:r>
      <w:r>
        <w:rPr>
          <w:rStyle w:val="FootnoteReference"/>
        </w:rPr>
        <w:footnoteReference w:id="11"/>
      </w:r>
    </w:p>
    <w:p w:rsidR="00AE1126" w:rsidRPr="00624AA2" w:rsidRDefault="00AE1126" w:rsidP="007750F6">
      <w:pPr>
        <w:pStyle w:val="NumberedParaAR"/>
        <w:widowControl w:val="0"/>
        <w:suppressAutoHyphens/>
      </w:pPr>
      <w:r>
        <w:rPr>
          <w:rFonts w:eastAsia="Arial"/>
          <w:bdr w:val="nil"/>
          <w:rtl/>
          <w:lang w:val="ar-SA"/>
        </w:rPr>
        <w:t xml:space="preserve">ومن أجل </w:t>
      </w:r>
      <w:proofErr w:type="gramStart"/>
      <w:r>
        <w:rPr>
          <w:rFonts w:eastAsia="Arial"/>
          <w:bdr w:val="nil"/>
          <w:rtl/>
          <w:lang w:val="ar-SA"/>
        </w:rPr>
        <w:t>ضمان</w:t>
      </w:r>
      <w:proofErr w:type="gramEnd"/>
      <w:r>
        <w:rPr>
          <w:rFonts w:eastAsia="Arial"/>
          <w:bdr w:val="nil"/>
          <w:rtl/>
          <w:lang w:val="ar-SA"/>
        </w:rPr>
        <w:t xml:space="preserve"> إجراء التقويم النوعي والكمي بالاستناد إلى الأدلة، استخدم م</w:t>
      </w:r>
      <w:r w:rsidR="00150EA8">
        <w:rPr>
          <w:rFonts w:eastAsia="Arial"/>
          <w:bdr w:val="nil"/>
          <w:rtl/>
          <w:lang w:val="ar-SA"/>
        </w:rPr>
        <w:t xml:space="preserve">زيج من أدوات التقييم المختلفة. </w:t>
      </w:r>
      <w:proofErr w:type="gramStart"/>
      <w:r>
        <w:rPr>
          <w:rFonts w:eastAsia="Arial"/>
          <w:bdr w:val="nil"/>
          <w:rtl/>
          <w:lang w:val="ar-SA"/>
        </w:rPr>
        <w:t>وقد</w:t>
      </w:r>
      <w:proofErr w:type="gramEnd"/>
      <w:r>
        <w:rPr>
          <w:rFonts w:eastAsia="Arial"/>
          <w:bdr w:val="nil"/>
          <w:rtl/>
          <w:lang w:val="ar-SA"/>
        </w:rPr>
        <w:t xml:space="preserve"> تضمن المزيج المنهجي الذي طبقه المقيمان دراسات مكتبية وإجراء مقابلات مع ممثلين فئات أصحاب المصلحة الأساسيين كافة (فرادى وفي مجموعات تركيز) والملاحظة المباشرة (انظر الملحقَين الثاني والثالث). </w:t>
      </w:r>
    </w:p>
    <w:p w:rsidR="00AE1126" w:rsidRPr="00624AA2" w:rsidRDefault="00AE1126" w:rsidP="007750F6">
      <w:pPr>
        <w:pStyle w:val="NumberedParaAR"/>
        <w:widowControl w:val="0"/>
        <w:suppressAutoHyphens/>
      </w:pPr>
      <w:r>
        <w:rPr>
          <w:rFonts w:eastAsia="Arial"/>
          <w:bdr w:val="nil"/>
          <w:rtl/>
          <w:lang w:val="ar-SA"/>
        </w:rPr>
        <w:t xml:space="preserve">وقد طبق المقيمان نهجاً تشاركياً شجعا من خلاله مختلف أصحاب المصلحة على المساهمة بشكل فاعل في التقييم، مع </w:t>
      </w:r>
      <w:proofErr w:type="spellStart"/>
      <w:r>
        <w:rPr>
          <w:rFonts w:eastAsia="Arial"/>
          <w:bdr w:val="nil"/>
          <w:rtl/>
          <w:lang w:val="ar-SA"/>
        </w:rPr>
        <w:t>محافظتهما</w:t>
      </w:r>
      <w:proofErr w:type="spellEnd"/>
      <w:r>
        <w:rPr>
          <w:rFonts w:eastAsia="Arial"/>
          <w:bdr w:val="nil"/>
          <w:rtl/>
          <w:lang w:val="ar-SA"/>
        </w:rPr>
        <w:t xml:space="preserve"> في نفس الوقت على استقلالهما وامتثالهما للمبادئ الأساسية</w:t>
      </w:r>
      <w:r w:rsidR="00150EA8">
        <w:rPr>
          <w:rFonts w:eastAsia="Arial"/>
          <w:bdr w:val="nil"/>
          <w:rtl/>
          <w:lang w:val="ar-SA"/>
        </w:rPr>
        <w:t xml:space="preserve"> الأخرى لسياسة الويبو للتقييم. </w:t>
      </w:r>
      <w:proofErr w:type="gramStart"/>
      <w:r>
        <w:rPr>
          <w:rFonts w:eastAsia="Arial"/>
          <w:bdr w:val="nil"/>
          <w:rtl/>
          <w:lang w:val="ar-SA"/>
        </w:rPr>
        <w:t>واستهدف</w:t>
      </w:r>
      <w:proofErr w:type="gramEnd"/>
      <w:r>
        <w:rPr>
          <w:rFonts w:eastAsia="Arial"/>
          <w:bdr w:val="nil"/>
          <w:rtl/>
          <w:lang w:val="ar-SA"/>
        </w:rPr>
        <w:t xml:space="preserve"> المقيمان، متى ما أمكن، تحقيق الاتساق فيما توصلا إليه من نتائج واستنتاجات وتوصيات أساسية</w:t>
      </w:r>
      <w:r w:rsidR="00B27244">
        <w:rPr>
          <w:rFonts w:eastAsia="Arial"/>
          <w:bdr w:val="nil"/>
          <w:rtl/>
          <w:lang w:val="ar-SA"/>
        </w:rPr>
        <w:t xml:space="preserve">. </w:t>
      </w:r>
      <w:r>
        <w:rPr>
          <w:rFonts w:eastAsia="Arial"/>
          <w:bdr w:val="nil"/>
          <w:rtl/>
          <w:lang w:val="ar-SA"/>
        </w:rPr>
        <w:t xml:space="preserve">وقد صُممت عملية التقييم </w:t>
      </w:r>
      <w:proofErr w:type="gramStart"/>
      <w:r>
        <w:rPr>
          <w:rFonts w:eastAsia="Arial"/>
          <w:bdr w:val="nil"/>
          <w:rtl/>
          <w:lang w:val="ar-SA"/>
        </w:rPr>
        <w:t>ذاتها</w:t>
      </w:r>
      <w:proofErr w:type="gramEnd"/>
      <w:r>
        <w:rPr>
          <w:rFonts w:eastAsia="Arial"/>
          <w:bdr w:val="nil"/>
          <w:rtl/>
          <w:lang w:val="ar-SA"/>
        </w:rPr>
        <w:t xml:space="preserve"> بحيث تشجع على الاستفادة من الدروس التنظيمية.</w:t>
      </w:r>
    </w:p>
    <w:p w:rsidR="00AE1126" w:rsidRDefault="00AE1126" w:rsidP="007750F6">
      <w:pPr>
        <w:pStyle w:val="NumberedParaAR"/>
        <w:widowControl w:val="0"/>
        <w:suppressAutoHyphens/>
      </w:pPr>
      <w:r>
        <w:rPr>
          <w:rFonts w:eastAsia="Arial"/>
          <w:bdr w:val="nil"/>
          <w:rtl/>
          <w:lang w:val="ar-SA"/>
        </w:rPr>
        <w:t xml:space="preserve">وكانت المعلومات </w:t>
      </w:r>
      <w:proofErr w:type="spellStart"/>
      <w:r>
        <w:rPr>
          <w:rFonts w:eastAsia="Arial"/>
          <w:bdr w:val="nil"/>
          <w:rtl/>
          <w:lang w:val="ar-SA"/>
        </w:rPr>
        <w:t>الوقائعية</w:t>
      </w:r>
      <w:proofErr w:type="spellEnd"/>
      <w:r>
        <w:rPr>
          <w:rFonts w:eastAsia="Arial"/>
          <w:bdr w:val="nil"/>
          <w:rtl/>
          <w:lang w:val="ar-SA"/>
        </w:rPr>
        <w:t xml:space="preserve"> المتحصل عليها خل</w:t>
      </w:r>
      <w:r w:rsidR="00150EA8">
        <w:rPr>
          <w:rFonts w:eastAsia="Arial"/>
          <w:bdr w:val="nil"/>
          <w:rtl/>
          <w:lang w:val="ar-SA"/>
        </w:rPr>
        <w:t xml:space="preserve">ال جمع البيانات شاملة وواضحة. </w:t>
      </w:r>
      <w:proofErr w:type="gramStart"/>
      <w:r>
        <w:rPr>
          <w:rFonts w:eastAsia="Arial"/>
          <w:bdr w:val="nil"/>
          <w:rtl/>
          <w:lang w:val="ar-SA"/>
        </w:rPr>
        <w:t>ومع</w:t>
      </w:r>
      <w:proofErr w:type="gramEnd"/>
      <w:r>
        <w:rPr>
          <w:rFonts w:eastAsia="Arial"/>
          <w:bdr w:val="nil"/>
          <w:rtl/>
          <w:lang w:val="ar-SA"/>
        </w:rPr>
        <w:t xml:space="preserve"> ذلك، فقد تباينت النتائج المستمدة من مصادر مختلفة تباين</w:t>
      </w:r>
      <w:r w:rsidR="00150EA8">
        <w:rPr>
          <w:rFonts w:eastAsia="Arial"/>
          <w:bdr w:val="nil"/>
          <w:rtl/>
          <w:lang w:val="ar-SA"/>
        </w:rPr>
        <w:t xml:space="preserve">اً معتبراً. </w:t>
      </w:r>
      <w:r>
        <w:rPr>
          <w:rFonts w:eastAsia="Arial"/>
          <w:bdr w:val="nil"/>
          <w:rtl/>
          <w:lang w:val="ar-SA"/>
        </w:rPr>
        <w:t xml:space="preserve">وعالج المقيمان التحدي المتمثل في عدم اتساق بعض البيانات من خلال إجراء التحقق </w:t>
      </w:r>
      <w:proofErr w:type="spellStart"/>
      <w:r>
        <w:rPr>
          <w:rFonts w:eastAsia="Arial"/>
          <w:bdr w:val="nil"/>
          <w:rtl/>
          <w:lang w:val="ar-SA"/>
        </w:rPr>
        <w:t>التثليثي</w:t>
      </w:r>
      <w:proofErr w:type="spellEnd"/>
      <w:r>
        <w:rPr>
          <w:rFonts w:eastAsia="Arial"/>
          <w:bdr w:val="nil"/>
          <w:rtl/>
          <w:lang w:val="ar-SA"/>
        </w:rPr>
        <w:t xml:space="preserve"> على النتائج وتقويم معقولية النتائج المتحصل عليها.</w:t>
      </w:r>
    </w:p>
    <w:p w:rsidR="00AE1126" w:rsidRPr="00624AA2" w:rsidRDefault="00AE1126" w:rsidP="007750F6">
      <w:pPr>
        <w:pStyle w:val="NumberedParaAR"/>
        <w:widowControl w:val="0"/>
        <w:suppressAutoHyphens/>
      </w:pPr>
      <w:r>
        <w:rPr>
          <w:rFonts w:eastAsia="Arial"/>
          <w:bdr w:val="nil"/>
          <w:rtl/>
          <w:lang w:val="ar-SA"/>
        </w:rPr>
        <w:lastRenderedPageBreak/>
        <w:t>ودعمت الأمانة عملية التقييم بنشاط وقدمت مساندة مستفيضة في الترتيب للاجتماعات</w:t>
      </w:r>
      <w:r w:rsidR="00B27244">
        <w:rPr>
          <w:rFonts w:eastAsia="Arial"/>
          <w:bdr w:val="nil"/>
          <w:rtl/>
          <w:lang w:val="ar-SA"/>
        </w:rPr>
        <w:t xml:space="preserve">. </w:t>
      </w:r>
      <w:proofErr w:type="gramStart"/>
      <w:r>
        <w:rPr>
          <w:rFonts w:eastAsia="Arial"/>
          <w:bdr w:val="nil"/>
          <w:rtl/>
          <w:lang w:val="ar-SA"/>
        </w:rPr>
        <w:t>وقد</w:t>
      </w:r>
      <w:proofErr w:type="gramEnd"/>
      <w:r>
        <w:rPr>
          <w:rFonts w:eastAsia="Arial"/>
          <w:bdr w:val="nil"/>
          <w:rtl/>
          <w:lang w:val="ar-SA"/>
        </w:rPr>
        <w:t xml:space="preserve"> تمكن المقيمان من العمل بفعالية ودون تدخل.</w:t>
      </w:r>
    </w:p>
    <w:p w:rsidR="00AE1126" w:rsidRPr="00B6030F" w:rsidRDefault="00AE1126" w:rsidP="007750F6">
      <w:pPr>
        <w:pStyle w:val="NumberedParaAR"/>
        <w:widowControl w:val="0"/>
        <w:suppressAutoHyphens/>
      </w:pPr>
      <w:r>
        <w:rPr>
          <w:rFonts w:eastAsia="Arial"/>
          <w:bdr w:val="nil"/>
          <w:rtl/>
          <w:lang w:val="ar-SA"/>
        </w:rPr>
        <w:t>وسيعرض المقيمان هذا التقرير خلال الدورة السادسة عشرة للجنة في نوفمبر 2015 من أجل (أ) تعميم المعلومات، (ب) وإفادة عملية اتخاذ القرار في اللجنة، (ج) والإسهام في مساءلة الويبو أمام الدول الأعضاء فيها.</w:t>
      </w:r>
    </w:p>
    <w:p w:rsidR="00AE1126" w:rsidRPr="00624AA2" w:rsidRDefault="00AE1126" w:rsidP="007750F6">
      <w:pPr>
        <w:pStyle w:val="Heading3AR"/>
        <w:keepNext w:val="0"/>
        <w:widowControl w:val="0"/>
        <w:suppressAutoHyphens/>
      </w:pPr>
      <w:r>
        <w:rPr>
          <w:rFonts w:eastAsia="Arial"/>
          <w:u w:val="none"/>
          <w:bdr w:val="nil"/>
          <w:rtl/>
          <w:lang w:val="ar-SA" w:eastAsia="zh-CN"/>
        </w:rPr>
        <w:t>('4')</w:t>
      </w:r>
      <w:r>
        <w:rPr>
          <w:rFonts w:eastAsia="Arial"/>
          <w:u w:val="none"/>
          <w:bdr w:val="nil"/>
          <w:rtl/>
          <w:lang w:val="ar-SA" w:eastAsia="zh-CN"/>
        </w:rPr>
        <w:tab/>
      </w:r>
      <w:r>
        <w:rPr>
          <w:rFonts w:eastAsia="Arial"/>
          <w:bdr w:val="nil"/>
          <w:rtl/>
          <w:lang w:val="ar-SA" w:eastAsia="zh-CN"/>
        </w:rPr>
        <w:t>القيود الرئيسية على هذا التقييم</w:t>
      </w:r>
    </w:p>
    <w:p w:rsidR="00AE1126" w:rsidRDefault="00AE1126" w:rsidP="007750F6">
      <w:pPr>
        <w:pStyle w:val="NumberedParaAR"/>
        <w:widowControl w:val="0"/>
        <w:suppressAutoHyphens/>
      </w:pPr>
      <w:proofErr w:type="gramStart"/>
      <w:r>
        <w:rPr>
          <w:rFonts w:eastAsia="Arial"/>
          <w:bdr w:val="nil"/>
          <w:rtl/>
          <w:lang w:val="ar-SA"/>
        </w:rPr>
        <w:t>تبين</w:t>
      </w:r>
      <w:proofErr w:type="gramEnd"/>
      <w:r>
        <w:rPr>
          <w:rFonts w:eastAsia="Arial"/>
          <w:bdr w:val="nil"/>
          <w:rtl/>
          <w:lang w:val="ar-SA"/>
        </w:rPr>
        <w:t xml:space="preserve"> التجربة أن تحويل مضمون الدراسات واستنتاجات المؤتمرات من، خلال استخدامها، إلى آثار قابلة</w:t>
      </w:r>
      <w:r w:rsidR="00150EA8">
        <w:rPr>
          <w:rFonts w:eastAsia="Arial"/>
          <w:bdr w:val="nil"/>
          <w:rtl/>
          <w:lang w:val="ar-SA"/>
        </w:rPr>
        <w:t xml:space="preserve"> للقياس يستغرق فترة من الزمان.</w:t>
      </w:r>
      <w:r>
        <w:rPr>
          <w:rFonts w:eastAsia="Arial"/>
          <w:bdr w:val="nil"/>
          <w:rtl/>
          <w:lang w:val="ar-SA"/>
        </w:rPr>
        <w:t xml:space="preserve"> </w:t>
      </w:r>
      <w:proofErr w:type="gramStart"/>
      <w:r>
        <w:rPr>
          <w:rFonts w:eastAsia="Arial"/>
          <w:bdr w:val="nil"/>
          <w:rtl/>
          <w:lang w:val="ar-SA"/>
        </w:rPr>
        <w:t>وظهر</w:t>
      </w:r>
      <w:proofErr w:type="gramEnd"/>
      <w:r>
        <w:rPr>
          <w:rFonts w:eastAsia="Arial"/>
          <w:bdr w:val="nil"/>
          <w:rtl/>
          <w:lang w:val="ar-SA"/>
        </w:rPr>
        <w:t xml:space="preserve"> ذلك بشكل خاص في "المنتدى الإلكتروني" المقرر (المخرج 6)، والذي صُمم بحيث يصل إلى قطاع أوسع من المتلقين، حيث إنه لم يُفعَّل على الشبكة إل</w:t>
      </w:r>
      <w:r w:rsidR="00150EA8">
        <w:rPr>
          <w:rFonts w:eastAsia="Arial"/>
          <w:bdr w:val="nil"/>
          <w:rtl/>
          <w:lang w:val="ar-SA"/>
        </w:rPr>
        <w:t>ا قبل بدء التقييم بأيام قلائل.</w:t>
      </w:r>
      <w:r>
        <w:rPr>
          <w:rFonts w:eastAsia="Arial"/>
          <w:bdr w:val="nil"/>
          <w:rtl/>
          <w:lang w:val="ar-SA"/>
        </w:rPr>
        <w:t xml:space="preserve"> </w:t>
      </w:r>
      <w:proofErr w:type="gramStart"/>
      <w:r>
        <w:rPr>
          <w:rFonts w:eastAsia="Arial"/>
          <w:bdr w:val="nil"/>
          <w:rtl/>
          <w:lang w:val="ar-SA"/>
        </w:rPr>
        <w:t>وليس</w:t>
      </w:r>
      <w:proofErr w:type="gramEnd"/>
      <w:r>
        <w:rPr>
          <w:rFonts w:eastAsia="Arial"/>
          <w:bdr w:val="nil"/>
          <w:rtl/>
          <w:lang w:val="ar-SA"/>
        </w:rPr>
        <w:t xml:space="preserve"> من المعقول افتراض قدر كاف من السببية بين مخرجات المشروع والتغيرات المشاهدة</w:t>
      </w:r>
      <w:r w:rsidR="00B27244">
        <w:rPr>
          <w:rFonts w:eastAsia="Arial"/>
          <w:bdr w:val="nil"/>
          <w:rtl/>
          <w:lang w:val="ar-SA"/>
        </w:rPr>
        <w:t xml:space="preserve">. </w:t>
      </w:r>
      <w:proofErr w:type="gramStart"/>
      <w:r>
        <w:rPr>
          <w:rFonts w:eastAsia="Arial"/>
          <w:bdr w:val="nil"/>
          <w:rtl/>
          <w:lang w:val="ar-SA"/>
        </w:rPr>
        <w:t>وستكون</w:t>
      </w:r>
      <w:proofErr w:type="gramEnd"/>
      <w:r>
        <w:rPr>
          <w:rFonts w:eastAsia="Arial"/>
          <w:bdr w:val="nil"/>
          <w:rtl/>
          <w:lang w:val="ar-SA"/>
        </w:rPr>
        <w:t xml:space="preserve"> أي محاولة لتقويم نواتجها، أو حتى وقعها على نطاق أوسع، إذاً سابقة لأوانها.</w:t>
      </w:r>
    </w:p>
    <w:p w:rsidR="00AE1126" w:rsidRDefault="00AE1126" w:rsidP="007750F6">
      <w:pPr>
        <w:pStyle w:val="NumberedParaAR"/>
        <w:widowControl w:val="0"/>
        <w:suppressAutoHyphens/>
      </w:pPr>
      <w:r>
        <w:rPr>
          <w:rFonts w:eastAsia="Arial"/>
          <w:bdr w:val="nil"/>
          <w:rtl/>
          <w:lang w:val="ar-SA"/>
        </w:rPr>
        <w:t>لم تُجر أي زيارات ميدانية</w:t>
      </w:r>
      <w:r w:rsidR="00B27244">
        <w:rPr>
          <w:rFonts w:eastAsia="Arial"/>
          <w:bdr w:val="nil"/>
          <w:rtl/>
          <w:lang w:val="ar-SA"/>
        </w:rPr>
        <w:t xml:space="preserve">. </w:t>
      </w:r>
      <w:r>
        <w:rPr>
          <w:rFonts w:eastAsia="Arial"/>
          <w:bdr w:val="nil"/>
          <w:rtl/>
          <w:lang w:val="ar-SA"/>
        </w:rPr>
        <w:t>وتَركَّز تقصي الحقائق على الجهات الفاعلة المشاركة بشكل مباشر في المشروع (الأمانة، المشاركون في</w:t>
      </w:r>
      <w:r w:rsidR="00150EA8">
        <w:rPr>
          <w:rFonts w:eastAsia="Arial"/>
          <w:bdr w:val="nil"/>
          <w:rtl/>
          <w:lang w:val="ar-SA"/>
        </w:rPr>
        <w:t xml:space="preserve"> الاجتماعات، خبراء الويبو) فقط.</w:t>
      </w:r>
      <w:r>
        <w:rPr>
          <w:rFonts w:eastAsia="Arial"/>
          <w:bdr w:val="nil"/>
          <w:rtl/>
          <w:lang w:val="ar-SA"/>
        </w:rPr>
        <w:t xml:space="preserve"> </w:t>
      </w:r>
      <w:proofErr w:type="gramStart"/>
      <w:r>
        <w:rPr>
          <w:rFonts w:eastAsia="Arial"/>
          <w:bdr w:val="nil"/>
          <w:rtl/>
          <w:lang w:val="ar-SA"/>
        </w:rPr>
        <w:t>كما</w:t>
      </w:r>
      <w:proofErr w:type="gramEnd"/>
      <w:r>
        <w:rPr>
          <w:rFonts w:eastAsia="Arial"/>
          <w:bdr w:val="nil"/>
          <w:rtl/>
          <w:lang w:val="ar-SA"/>
        </w:rPr>
        <w:t xml:space="preserve"> أن جمع البيانات لم يتضمن نطاقا أوسع من أصحاب المصلحة، نظراً لعدم استهدافهم بشكل مباشر.</w:t>
      </w:r>
    </w:p>
    <w:p w:rsidR="00AE1126" w:rsidRDefault="00AE1126" w:rsidP="007750F6">
      <w:pPr>
        <w:pStyle w:val="NumberedParaAR"/>
        <w:widowControl w:val="0"/>
        <w:suppressAutoHyphens/>
      </w:pPr>
      <w:r>
        <w:rPr>
          <w:rFonts w:eastAsia="Arial"/>
          <w:bdr w:val="nil"/>
          <w:rtl/>
          <w:lang w:val="ar-SA"/>
        </w:rPr>
        <w:t>وقد أتيح تقرير مالي مفصل يعرض النفقات حسب الفترات المحاسبية وأبواب الموازنة، إلا أن نظام إعداد تقارير مشروعات جدول أعمال التنمية الحالي في الويبو لا يو</w:t>
      </w:r>
      <w:r w:rsidR="00150EA8">
        <w:rPr>
          <w:rFonts w:eastAsia="Arial"/>
          <w:bdr w:val="nil"/>
          <w:rtl/>
          <w:lang w:val="ar-SA"/>
        </w:rPr>
        <w:t xml:space="preserve">زع النفقات على مخرجات متفرقة، </w:t>
      </w:r>
      <w:r>
        <w:rPr>
          <w:rFonts w:eastAsia="Arial"/>
          <w:bdr w:val="nil"/>
          <w:rtl/>
          <w:lang w:val="ar-SA"/>
        </w:rPr>
        <w:t>ولذلك لم يكن من الممكن إجراء تحليل تفصيلي للكفاءة المالية، الذي يتطلب معلومات عن أنواع النفقات لكل مخرج والنفقات العامة.</w:t>
      </w:r>
    </w:p>
    <w:p w:rsidR="00AE1126" w:rsidRPr="00624AA2" w:rsidRDefault="00AE1126" w:rsidP="007750F6">
      <w:pPr>
        <w:pStyle w:val="NumberedParaAR"/>
        <w:widowControl w:val="0"/>
        <w:suppressAutoHyphens/>
      </w:pPr>
      <w:proofErr w:type="gramStart"/>
      <w:r>
        <w:rPr>
          <w:rFonts w:eastAsia="Arial"/>
          <w:bdr w:val="nil"/>
          <w:rtl/>
          <w:lang w:val="ar-SA"/>
        </w:rPr>
        <w:t>وينبغي</w:t>
      </w:r>
      <w:proofErr w:type="gramEnd"/>
      <w:r>
        <w:rPr>
          <w:rFonts w:eastAsia="Arial"/>
          <w:bdr w:val="nil"/>
          <w:rtl/>
          <w:lang w:val="ar-SA"/>
        </w:rPr>
        <w:t xml:space="preserve"> في فهم ما يرد في القسم (2) أدناه من نتائج وتقويم التنبه إلى أن هذه القيود قد حدت بالضرورة من نطاق التقييم وعمقه.</w:t>
      </w:r>
    </w:p>
    <w:p w:rsidR="00AE1126" w:rsidRPr="00624AA2" w:rsidRDefault="00AE1126" w:rsidP="007750F6">
      <w:pPr>
        <w:pStyle w:val="Heading1AR"/>
        <w:keepNext w:val="0"/>
        <w:widowControl w:val="0"/>
        <w:suppressAutoHyphens/>
      </w:pPr>
      <w:r>
        <w:rPr>
          <w:rFonts w:eastAsia="Arial"/>
          <w:bdr w:val="nil"/>
          <w:rtl/>
          <w:lang w:val="ar-SA" w:eastAsia="zh-CN"/>
        </w:rPr>
        <w:t>2.</w:t>
      </w:r>
      <w:r>
        <w:rPr>
          <w:rFonts w:eastAsia="Arial"/>
          <w:bdr w:val="nil"/>
          <w:rtl/>
          <w:lang w:val="ar-SA" w:eastAsia="zh-CN"/>
        </w:rPr>
        <w:tab/>
        <w:t xml:space="preserve">النتائج </w:t>
      </w:r>
      <w:proofErr w:type="gramStart"/>
      <w:r>
        <w:rPr>
          <w:rFonts w:eastAsia="Arial"/>
          <w:bdr w:val="nil"/>
          <w:rtl/>
          <w:lang w:val="ar-SA" w:eastAsia="zh-CN"/>
        </w:rPr>
        <w:t>والتقويم</w:t>
      </w:r>
      <w:proofErr w:type="gramEnd"/>
    </w:p>
    <w:p w:rsidR="00AE1126" w:rsidRPr="00150EA8" w:rsidRDefault="00AE1126" w:rsidP="007750F6">
      <w:pPr>
        <w:pStyle w:val="NormalParaAR"/>
        <w:widowControl w:val="0"/>
        <w:suppressAutoHyphens/>
      </w:pPr>
      <w:proofErr w:type="gramStart"/>
      <w:r>
        <w:rPr>
          <w:rFonts w:eastAsia="Arial"/>
          <w:bdr w:val="nil"/>
          <w:rtl/>
          <w:lang w:val="ar-SA" w:eastAsia="zh-CN"/>
        </w:rPr>
        <w:t>يعرض</w:t>
      </w:r>
      <w:proofErr w:type="gramEnd"/>
      <w:r>
        <w:rPr>
          <w:rFonts w:eastAsia="Arial"/>
          <w:bdr w:val="nil"/>
          <w:rtl/>
          <w:lang w:val="ar-SA" w:eastAsia="zh-CN"/>
        </w:rPr>
        <w:t xml:space="preserve"> هذا القسم نتائج التقييم ويقدم تقويماً لجودة المشروع وفقا لمعايير التقييم، في حدود ما سمحت به القيود، على النحو الموصوف تحت النقطة 1.باء أعلاه.</w:t>
      </w:r>
    </w:p>
    <w:p w:rsidR="00AE1126" w:rsidRPr="00624AA2" w:rsidRDefault="00AE1126" w:rsidP="007750F6">
      <w:pPr>
        <w:pStyle w:val="Heading2AR"/>
        <w:keepNext w:val="0"/>
        <w:widowControl w:val="0"/>
        <w:suppressAutoHyphens/>
        <w:ind w:left="283" w:hanging="284"/>
      </w:pPr>
      <w:r>
        <w:rPr>
          <w:rFonts w:eastAsia="Arial"/>
          <w:bdr w:val="nil"/>
          <w:rtl/>
          <w:lang w:val="ar-SA" w:eastAsia="zh-CN"/>
        </w:rPr>
        <w:t>(ألف)</w:t>
      </w:r>
      <w:r w:rsidR="00725960">
        <w:rPr>
          <w:rFonts w:eastAsia="Arial"/>
          <w:bdr w:val="nil"/>
          <w:lang w:eastAsia="zh-CN"/>
        </w:rPr>
        <w:t xml:space="preserve"> </w:t>
      </w:r>
      <w:r>
        <w:rPr>
          <w:rFonts w:eastAsia="Arial"/>
          <w:bdr w:val="nil"/>
          <w:rtl/>
          <w:lang w:val="ar-SA" w:eastAsia="zh-CN"/>
        </w:rPr>
        <w:t xml:space="preserve">التحضير للمشروع </w:t>
      </w:r>
      <w:proofErr w:type="gramStart"/>
      <w:r>
        <w:rPr>
          <w:rFonts w:eastAsia="Arial"/>
          <w:bdr w:val="nil"/>
          <w:rtl/>
          <w:lang w:val="ar-SA" w:eastAsia="zh-CN"/>
        </w:rPr>
        <w:t>وإدارته</w:t>
      </w:r>
      <w:proofErr w:type="gramEnd"/>
    </w:p>
    <w:p w:rsidR="00AE1126" w:rsidRPr="00624AA2" w:rsidRDefault="00AE1126" w:rsidP="007750F6">
      <w:pPr>
        <w:pStyle w:val="Heading3AR"/>
        <w:keepNext w:val="0"/>
        <w:widowControl w:val="0"/>
        <w:suppressAutoHyphens/>
      </w:pPr>
      <w:r>
        <w:rPr>
          <w:rFonts w:eastAsia="Arial"/>
          <w:u w:val="none"/>
          <w:bdr w:val="nil"/>
          <w:rtl/>
          <w:lang w:val="ar-SA" w:eastAsia="zh-CN"/>
        </w:rPr>
        <w:t>('1')</w:t>
      </w:r>
      <w:r>
        <w:rPr>
          <w:rFonts w:eastAsia="Arial"/>
          <w:u w:val="none"/>
          <w:bdr w:val="nil"/>
          <w:rtl/>
          <w:lang w:val="ar-SA" w:eastAsia="zh-CN"/>
        </w:rPr>
        <w:tab/>
      </w:r>
      <w:proofErr w:type="gramStart"/>
      <w:r>
        <w:rPr>
          <w:rFonts w:eastAsia="Arial"/>
          <w:bdr w:val="nil"/>
          <w:rtl/>
          <w:lang w:val="ar-SA" w:eastAsia="zh-CN"/>
        </w:rPr>
        <w:t>التحضير</w:t>
      </w:r>
      <w:proofErr w:type="gramEnd"/>
      <w:r>
        <w:rPr>
          <w:rFonts w:eastAsia="Arial"/>
          <w:bdr w:val="nil"/>
          <w:rtl/>
          <w:lang w:val="ar-SA" w:eastAsia="zh-CN"/>
        </w:rPr>
        <w:t xml:space="preserve"> للمشروع</w:t>
      </w:r>
    </w:p>
    <w:p w:rsidR="00AE1126" w:rsidRDefault="00AE1126" w:rsidP="007750F6">
      <w:pPr>
        <w:pStyle w:val="NumberedParaAR"/>
        <w:widowControl w:val="0"/>
        <w:suppressAutoHyphens/>
      </w:pPr>
      <w:r>
        <w:rPr>
          <w:rFonts w:eastAsia="Arial"/>
          <w:bdr w:val="nil"/>
          <w:rtl/>
          <w:lang w:val="ar-SA"/>
        </w:rPr>
        <w:t xml:space="preserve">بدأت الأعمال التحضيرية للمشروع في الأمانة </w:t>
      </w:r>
      <w:proofErr w:type="gramStart"/>
      <w:r>
        <w:rPr>
          <w:rFonts w:eastAsia="Arial"/>
          <w:bdr w:val="nil"/>
          <w:rtl/>
          <w:lang w:val="ar-SA"/>
        </w:rPr>
        <w:t>في</w:t>
      </w:r>
      <w:proofErr w:type="gramEnd"/>
      <w:r>
        <w:rPr>
          <w:rFonts w:eastAsia="Arial"/>
          <w:bdr w:val="nil"/>
          <w:rtl/>
          <w:lang w:val="ar-SA"/>
        </w:rPr>
        <w:t xml:space="preserve"> عام 2009</w:t>
      </w:r>
      <w:r w:rsidR="00B27244">
        <w:rPr>
          <w:rFonts w:eastAsia="Arial"/>
          <w:bdr w:val="nil"/>
          <w:rtl/>
          <w:lang w:val="ar-SA"/>
        </w:rPr>
        <w:t xml:space="preserve">. </w:t>
      </w:r>
      <w:r>
        <w:rPr>
          <w:rFonts w:eastAsia="Arial"/>
          <w:bdr w:val="nil"/>
          <w:rtl/>
          <w:lang w:val="ar-SA"/>
        </w:rPr>
        <w:t>وقد ترجم مقترح الأمانة المبدئي (</w:t>
      </w:r>
      <w:r w:rsidR="006203DB">
        <w:rPr>
          <w:rFonts w:eastAsia="Arial"/>
          <w:bdr w:val="nil"/>
        </w:rPr>
        <w:t xml:space="preserve"> 6/2</w:t>
      </w:r>
      <w:r>
        <w:rPr>
          <w:rFonts w:eastAsia="Arial"/>
          <w:bdr w:val="nil"/>
          <w:rtl/>
          <w:lang w:val="ar-SA"/>
        </w:rPr>
        <w:t>CDIP) الذي وُضع في الفترة 2010/ 2011 توصيات جدول تنمية الأعمال المفتوحة نسبياً إلى منهجية واستراتيجية تنفيذ ملائمين معبر عنهما بشكل واضح. والتُمست المشورة من الدول الأعضاء بشكل موسع (بما في ذلك ما كان بشأن الاختصاصات للأنشطة) وأخِذت تعليقاتها في الحسبا</w:t>
      </w:r>
      <w:r w:rsidR="006203DB">
        <w:rPr>
          <w:rFonts w:eastAsia="Arial"/>
          <w:bdr w:val="nil"/>
          <w:rtl/>
          <w:lang w:val="ar-SA"/>
        </w:rPr>
        <w:t>ن في مختلف مراحل عملية التحضير.</w:t>
      </w:r>
      <w:r>
        <w:rPr>
          <w:rFonts w:eastAsia="Arial"/>
          <w:bdr w:val="nil"/>
          <w:rtl/>
          <w:lang w:val="ar-SA"/>
        </w:rPr>
        <w:t xml:space="preserve"> </w:t>
      </w:r>
      <w:proofErr w:type="gramStart"/>
      <w:r>
        <w:rPr>
          <w:rFonts w:eastAsia="Arial"/>
          <w:bdr w:val="nil"/>
          <w:rtl/>
          <w:lang w:val="ar-SA"/>
        </w:rPr>
        <w:t>وأجريت</w:t>
      </w:r>
      <w:proofErr w:type="gramEnd"/>
      <w:r>
        <w:rPr>
          <w:rFonts w:eastAsia="Arial"/>
          <w:bdr w:val="nil"/>
          <w:rtl/>
          <w:lang w:val="ar-SA"/>
        </w:rPr>
        <w:t xml:space="preserve"> مفاوضات حول مضمون ورقتي المشروع (CDIP/8/4، CDIP/9/INF/4)، بما في ذلك تسلسل أنشطة محددة وما يتعلق بها من اختصاصات، في سياق سياسي.</w:t>
      </w:r>
    </w:p>
    <w:p w:rsidR="00AE1126" w:rsidRPr="00396BB9" w:rsidRDefault="00AE1126" w:rsidP="007750F6">
      <w:pPr>
        <w:pStyle w:val="NumberedParaAR"/>
        <w:widowControl w:val="0"/>
        <w:suppressAutoHyphens/>
        <w:rPr>
          <w:u w:val="single"/>
        </w:rPr>
      </w:pPr>
      <w:r>
        <w:rPr>
          <w:rFonts w:eastAsia="Arial"/>
          <w:bdr w:val="nil"/>
          <w:rtl/>
          <w:lang w:val="ar-SA"/>
        </w:rPr>
        <w:t>كما نشطت الأمانة، في معرض عملية التحضير، في تبيُّن أوجه محتملة</w:t>
      </w:r>
      <w:r w:rsidR="00EA7F51">
        <w:rPr>
          <w:rFonts w:eastAsia="Arial"/>
          <w:bdr w:val="nil"/>
          <w:rtl/>
          <w:lang w:val="ar-SA"/>
        </w:rPr>
        <w:t xml:space="preserve"> للتآزر مع أنشطة أخرى للويبو. </w:t>
      </w:r>
      <w:proofErr w:type="gramStart"/>
      <w:r>
        <w:rPr>
          <w:rFonts w:eastAsia="Arial"/>
          <w:bdr w:val="nil"/>
          <w:rtl/>
          <w:lang w:val="ar-SA"/>
        </w:rPr>
        <w:t>وصُمم</w:t>
      </w:r>
      <w:proofErr w:type="gramEnd"/>
      <w:r>
        <w:rPr>
          <w:rFonts w:eastAsia="Arial"/>
          <w:bdr w:val="nil"/>
          <w:rtl/>
          <w:lang w:val="ar-SA"/>
        </w:rPr>
        <w:t xml:space="preserve"> المشروع بحيث يكون مكملاً لعدد من مشروعات جدول تنمية الأعمال المقررة الأخرى، لاسيما، على سبيل المثال لا الحصر، المشروع (DA_10)</w:t>
      </w:r>
      <w:r w:rsidR="004E22FC">
        <w:rPr>
          <w:rFonts w:eastAsia="Arial"/>
          <w:i/>
          <w:iCs/>
          <w:bdr w:val="nil"/>
          <w:rtl/>
          <w:lang w:val="ar-SA"/>
        </w:rPr>
        <w:t xml:space="preserve"> </w:t>
      </w:r>
      <w:r>
        <w:rPr>
          <w:rFonts w:eastAsia="Arial"/>
          <w:i/>
          <w:iCs/>
          <w:bdr w:val="nil"/>
          <w:rtl/>
          <w:lang w:val="ar-SA"/>
        </w:rPr>
        <w:t>(هيكلية دعم الابتكار ونقل التكنولوجيا للمؤسسات الوطنية)</w:t>
      </w:r>
      <w:r>
        <w:rPr>
          <w:rFonts w:eastAsia="Arial"/>
          <w:bdr w:val="nil"/>
          <w:rtl/>
          <w:lang w:val="ar-SA"/>
        </w:rPr>
        <w:t>.</w:t>
      </w:r>
    </w:p>
    <w:p w:rsidR="00AE1126" w:rsidRPr="001663B9" w:rsidRDefault="00AE1126" w:rsidP="007750F6">
      <w:pPr>
        <w:pStyle w:val="NumberedParaAR"/>
        <w:widowControl w:val="0"/>
        <w:suppressAutoHyphens/>
        <w:rPr>
          <w:u w:val="single"/>
        </w:rPr>
      </w:pPr>
      <w:r>
        <w:rPr>
          <w:rFonts w:eastAsia="Arial"/>
          <w:bdr w:val="nil"/>
          <w:rtl/>
          <w:lang w:val="ar-SA"/>
        </w:rPr>
        <w:lastRenderedPageBreak/>
        <w:t>واستنادا إلى تحليل لمخرجات المشروع المتوقعة مقابل أنشطة الويبو ذات الصلة الموجهة إلى مختلف توصيات جدول تنمية الأعمال الواردة في إطار الفئة ج، استهدف المشروع استخدام بعض مخرجات مشروعات أخرى في إطار جدول تنمية الأعمال (لا سيما الدراسات) باعتبارها مدخلات.</w:t>
      </w:r>
      <w:r>
        <w:rPr>
          <w:vertAlign w:val="superscript"/>
        </w:rPr>
        <w:footnoteReference w:id="12"/>
      </w:r>
    </w:p>
    <w:p w:rsidR="00AE1126" w:rsidRDefault="00AE1126" w:rsidP="007750F6">
      <w:pPr>
        <w:pStyle w:val="NumberedParaAR"/>
        <w:widowControl w:val="0"/>
        <w:suppressAutoHyphens/>
      </w:pPr>
      <w:r>
        <w:rPr>
          <w:rFonts w:eastAsia="Arial"/>
          <w:bdr w:val="nil"/>
          <w:rtl/>
          <w:lang w:val="ar-SA"/>
        </w:rPr>
        <w:t>وعلاوة على ذلك، أجرت الأمانة أبحاثا بشأن مبادرات ذات صلة لمنظمات دولية أخرى</w:t>
      </w:r>
      <w:r>
        <w:rPr>
          <w:rStyle w:val="FootnoteReference"/>
        </w:rPr>
        <w:footnoteReference w:id="13"/>
      </w:r>
      <w:r>
        <w:rPr>
          <w:rFonts w:eastAsia="Arial"/>
          <w:bdr w:val="nil"/>
          <w:rtl/>
          <w:lang w:val="ar-SA"/>
        </w:rPr>
        <w:t>، مثل مؤتمر الأمم المتحدة للتجارة والتنمية (</w:t>
      </w:r>
      <w:proofErr w:type="spellStart"/>
      <w:r>
        <w:rPr>
          <w:rFonts w:eastAsia="Arial"/>
          <w:bdr w:val="nil"/>
          <w:rtl/>
          <w:lang w:val="ar-SA"/>
        </w:rPr>
        <w:t>الأونكتاد</w:t>
      </w:r>
      <w:proofErr w:type="spellEnd"/>
      <w:r>
        <w:rPr>
          <w:rFonts w:eastAsia="Arial"/>
          <w:bdr w:val="nil"/>
          <w:rtl/>
          <w:lang w:val="ar-SA"/>
        </w:rPr>
        <w:t>)</w:t>
      </w:r>
      <w:r>
        <w:rPr>
          <w:vertAlign w:val="superscript"/>
        </w:rPr>
        <w:footnoteReference w:id="14"/>
      </w:r>
      <w:r>
        <w:rPr>
          <w:rFonts w:eastAsia="Arial"/>
          <w:bdr w:val="nil"/>
          <w:rtl/>
          <w:lang w:val="ar-SA"/>
        </w:rPr>
        <w:t>، واتفاقية الأمم المتحدة الإطارية بشأن تغير المناخ، ومنظمة الأمم المتحدة للتنمية الصناعية (اليونيدو)، وبرنامج الأمم المتحدة للبيئة، ومنظمة الصحة العالمية، ومنظمة التجارة العالمية، والمجلس العالمي للأعمال التجارية من أجل التنمية المستدامة وغيرها.</w:t>
      </w:r>
      <w:bookmarkStart w:id="3" w:name="_Toc335712733"/>
    </w:p>
    <w:p w:rsidR="00AE1126" w:rsidRDefault="00AE1126" w:rsidP="007750F6">
      <w:pPr>
        <w:pStyle w:val="NumberedParaAR"/>
        <w:widowControl w:val="0"/>
        <w:suppressAutoHyphens/>
      </w:pPr>
      <w:proofErr w:type="gramStart"/>
      <w:r>
        <w:rPr>
          <w:rFonts w:eastAsia="Arial"/>
          <w:bdr w:val="nil"/>
          <w:rtl/>
          <w:lang w:val="ar-SA"/>
        </w:rPr>
        <w:t>ويبدو</w:t>
      </w:r>
      <w:proofErr w:type="gramEnd"/>
      <w:r>
        <w:rPr>
          <w:rFonts w:eastAsia="Arial"/>
          <w:bdr w:val="nil"/>
          <w:rtl/>
          <w:lang w:val="ar-SA"/>
        </w:rPr>
        <w:t xml:space="preserve"> أن مدة السبعة وعشرين شهراً التي حُددت أصلاً لتسليم مخرجات المشروع (باستثناء التفاوض حول ورقة المشروع) ملائمة. </w:t>
      </w:r>
    </w:p>
    <w:p w:rsidR="00AE1126" w:rsidRDefault="00AE1126" w:rsidP="007750F6">
      <w:pPr>
        <w:pStyle w:val="NumberedParaAR"/>
        <w:widowControl w:val="0"/>
        <w:suppressAutoHyphens/>
      </w:pPr>
      <w:r>
        <w:rPr>
          <w:rFonts w:eastAsia="Arial"/>
          <w:bdr w:val="nil"/>
          <w:rtl/>
          <w:lang w:val="ar-SA"/>
        </w:rPr>
        <w:t>وكان توزيع الموازنة ملائما، ودل على ذلك أنه لم ينتج عن تنفيذ أي من الأنشطة اي انخفاض أو تجاوز كبير في الإنفاق عما كان مقرراً (انظر الجدول 1 في القسم 2.</w:t>
      </w:r>
      <w:proofErr w:type="gramStart"/>
      <w:r>
        <w:rPr>
          <w:rFonts w:eastAsia="Arial"/>
          <w:bdr w:val="nil"/>
          <w:rtl/>
          <w:lang w:val="ar-SA"/>
        </w:rPr>
        <w:t>جيم</w:t>
      </w:r>
      <w:proofErr w:type="gramEnd"/>
      <w:r>
        <w:rPr>
          <w:rFonts w:eastAsia="Arial"/>
          <w:bdr w:val="nil"/>
          <w:rtl/>
          <w:lang w:val="ar-SA"/>
        </w:rPr>
        <w:t xml:space="preserve"> أدناه).</w:t>
      </w:r>
    </w:p>
    <w:p w:rsidR="00AE1126" w:rsidRPr="00624AA2" w:rsidRDefault="00AE1126" w:rsidP="007750F6">
      <w:pPr>
        <w:pStyle w:val="Heading3AR"/>
        <w:keepNext w:val="0"/>
        <w:widowControl w:val="0"/>
        <w:suppressAutoHyphens/>
      </w:pPr>
      <w:r>
        <w:rPr>
          <w:rFonts w:eastAsia="Arial"/>
          <w:u w:val="none"/>
          <w:bdr w:val="nil"/>
          <w:rtl/>
          <w:lang w:val="ar-SA" w:eastAsia="zh-CN"/>
        </w:rPr>
        <w:t>('2')</w:t>
      </w:r>
      <w:r>
        <w:rPr>
          <w:rFonts w:eastAsia="Arial"/>
          <w:u w:val="none"/>
          <w:bdr w:val="nil"/>
          <w:rtl/>
          <w:lang w:val="ar-SA" w:eastAsia="zh-CN"/>
        </w:rPr>
        <w:tab/>
      </w:r>
      <w:r>
        <w:rPr>
          <w:rFonts w:eastAsia="Arial"/>
          <w:bdr w:val="nil"/>
          <w:rtl/>
          <w:lang w:val="ar-SA" w:eastAsia="zh-CN"/>
        </w:rPr>
        <w:t>استخدام أدوات تخطيط المشروعات ورصدها</w:t>
      </w:r>
      <w:bookmarkEnd w:id="3"/>
    </w:p>
    <w:p w:rsidR="00AE1126" w:rsidRPr="002F0423" w:rsidRDefault="00AE1126" w:rsidP="007750F6">
      <w:pPr>
        <w:pStyle w:val="NumberedParaAR"/>
        <w:widowControl w:val="0"/>
        <w:suppressAutoHyphens/>
        <w:rPr>
          <w:bCs/>
        </w:rPr>
      </w:pPr>
      <w:proofErr w:type="gramStart"/>
      <w:r>
        <w:rPr>
          <w:rFonts w:eastAsia="Arial"/>
          <w:bdr w:val="nil"/>
          <w:rtl/>
          <w:lang w:val="ar-SA"/>
        </w:rPr>
        <w:t>كما</w:t>
      </w:r>
      <w:proofErr w:type="gramEnd"/>
      <w:r>
        <w:rPr>
          <w:rFonts w:eastAsia="Arial"/>
          <w:bdr w:val="nil"/>
          <w:rtl/>
          <w:lang w:val="ar-SA"/>
        </w:rPr>
        <w:t xml:space="preserve"> هو الشأن في معظم مشروعات جدول أعمال التنمية السابقة، يترك تطبيق الأدوات القياسية لتخطيط المشروعات ورصدها حيزا معتبرا للتحسين</w:t>
      </w:r>
      <w:r w:rsidR="00B27244">
        <w:rPr>
          <w:rFonts w:eastAsia="Arial"/>
          <w:bdr w:val="nil"/>
          <w:rtl/>
          <w:lang w:val="ar-SA"/>
        </w:rPr>
        <w:t xml:space="preserve">. </w:t>
      </w:r>
      <w:r>
        <w:rPr>
          <w:rFonts w:eastAsia="Arial"/>
          <w:bdr w:val="nil"/>
          <w:rtl/>
          <w:lang w:val="ar-SA"/>
        </w:rPr>
        <w:t xml:space="preserve">وينطبق </w:t>
      </w:r>
      <w:proofErr w:type="gramStart"/>
      <w:r>
        <w:rPr>
          <w:rFonts w:eastAsia="Arial"/>
          <w:bdr w:val="nil"/>
          <w:rtl/>
          <w:lang w:val="ar-SA"/>
        </w:rPr>
        <w:t>نفس</w:t>
      </w:r>
      <w:proofErr w:type="gramEnd"/>
      <w:r>
        <w:rPr>
          <w:rFonts w:eastAsia="Arial"/>
          <w:bdr w:val="nil"/>
          <w:rtl/>
          <w:lang w:val="ar-SA"/>
        </w:rPr>
        <w:t xml:space="preserve"> الأمر على إعداد التقارير، الذي يستند بشكل أساسي إلى الأنشطة</w:t>
      </w:r>
      <w:r w:rsidR="00B27244">
        <w:rPr>
          <w:rFonts w:eastAsia="Arial"/>
          <w:bdr w:val="nil"/>
          <w:rtl/>
          <w:lang w:val="ar-SA"/>
        </w:rPr>
        <w:t xml:space="preserve">. </w:t>
      </w:r>
      <w:proofErr w:type="gramStart"/>
      <w:r>
        <w:rPr>
          <w:rFonts w:eastAsia="Arial"/>
          <w:bdr w:val="nil"/>
          <w:rtl/>
          <w:lang w:val="ar-SA"/>
        </w:rPr>
        <w:t>ويجدر</w:t>
      </w:r>
      <w:proofErr w:type="gramEnd"/>
      <w:r>
        <w:rPr>
          <w:rFonts w:eastAsia="Arial"/>
          <w:bdr w:val="nil"/>
          <w:rtl/>
          <w:lang w:val="ar-SA"/>
        </w:rPr>
        <w:t xml:space="preserve"> التشديد على أن الأمانة لم تكف منذ وقت تصميم المشروع قبل خمس سنوات مضت عن بذل جهود معتبرة لتحسين تخطيط المشروعات ورصدها.</w:t>
      </w:r>
    </w:p>
    <w:p w:rsidR="00AE1126" w:rsidRPr="00486574" w:rsidRDefault="00AE1126" w:rsidP="007750F6">
      <w:pPr>
        <w:pStyle w:val="NumberedParaAR"/>
        <w:widowControl w:val="0"/>
        <w:suppressAutoHyphens/>
        <w:rPr>
          <w:bCs/>
        </w:rPr>
      </w:pPr>
      <w:r>
        <w:rPr>
          <w:rFonts w:eastAsia="Arial"/>
          <w:bdr w:val="nil"/>
          <w:rtl/>
          <w:lang w:val="ar-SA"/>
        </w:rPr>
        <w:t xml:space="preserve">وتقتضي الممارسات الجيدة لتخطيط المشروعات ورصدها </w:t>
      </w:r>
      <w:proofErr w:type="gramStart"/>
      <w:r>
        <w:rPr>
          <w:rFonts w:eastAsia="Arial"/>
          <w:bdr w:val="nil"/>
          <w:rtl/>
          <w:lang w:val="ar-SA"/>
        </w:rPr>
        <w:t>وتقييمها</w:t>
      </w:r>
      <w:r>
        <w:rPr>
          <w:rStyle w:val="FootnoteReference"/>
        </w:rPr>
        <w:footnoteReference w:id="15"/>
      </w:r>
      <w:r>
        <w:rPr>
          <w:rFonts w:eastAsia="Arial"/>
          <w:bdr w:val="nil"/>
          <w:rtl/>
          <w:lang w:val="ar-SA"/>
        </w:rPr>
        <w:t xml:space="preserve"> حسن</w:t>
      </w:r>
      <w:proofErr w:type="gramEnd"/>
      <w:r>
        <w:rPr>
          <w:rFonts w:eastAsia="Arial"/>
          <w:bdr w:val="nil"/>
          <w:rtl/>
          <w:lang w:val="ar-SA"/>
        </w:rPr>
        <w:t xml:space="preserve"> تطبيق أداة الإطار المنطقي، التي تتضمن السمات الأساسية الآتية:</w:t>
      </w:r>
    </w:p>
    <w:p w:rsidR="00AE1126" w:rsidRPr="0061422A" w:rsidRDefault="00AE1126" w:rsidP="00C323EE">
      <w:pPr>
        <w:pStyle w:val="NormalParaAR"/>
        <w:widowControl w:val="0"/>
        <w:numPr>
          <w:ilvl w:val="0"/>
          <w:numId w:val="15"/>
        </w:numPr>
        <w:suppressAutoHyphens/>
        <w:ind w:left="566" w:firstLine="0"/>
      </w:pPr>
      <w:proofErr w:type="gramStart"/>
      <w:r w:rsidRPr="0061422A">
        <w:rPr>
          <w:rFonts w:eastAsia="Arial"/>
          <w:bdr w:val="nil"/>
          <w:rtl/>
          <w:lang w:val="ar-SA"/>
        </w:rPr>
        <w:t>تُعرض</w:t>
      </w:r>
      <w:proofErr w:type="gramEnd"/>
      <w:r w:rsidRPr="0061422A">
        <w:rPr>
          <w:rFonts w:eastAsia="Arial"/>
          <w:bdr w:val="nil"/>
          <w:rtl/>
          <w:lang w:val="ar-SA"/>
        </w:rPr>
        <w:t xml:space="preserve"> النتائج المتوقعة ضمن منطق تدخل واضح وفقاً لمستويات مختلفة من النتائج</w:t>
      </w:r>
      <w:r w:rsidR="00B27244">
        <w:rPr>
          <w:rFonts w:eastAsia="Arial"/>
          <w:bdr w:val="nil"/>
          <w:rtl/>
          <w:lang w:val="ar-SA"/>
        </w:rPr>
        <w:t xml:space="preserve">. </w:t>
      </w:r>
      <w:proofErr w:type="gramStart"/>
      <w:r w:rsidRPr="0061422A">
        <w:rPr>
          <w:rFonts w:eastAsia="Arial"/>
          <w:bdr w:val="nil"/>
          <w:rtl/>
          <w:lang w:val="ar-SA"/>
        </w:rPr>
        <w:t>فالمخرجات</w:t>
      </w:r>
      <w:proofErr w:type="gramEnd"/>
      <w:r w:rsidRPr="0061422A">
        <w:rPr>
          <w:rFonts w:eastAsia="Arial"/>
          <w:bdr w:val="nil"/>
          <w:rtl/>
          <w:lang w:val="ar-SA"/>
        </w:rPr>
        <w:t xml:space="preserve"> والأنشطة عبارة عن عناصر تسليم مباشرة تتوفر من خلال مشروع (باستخدام موارد المشروع)</w:t>
      </w:r>
      <w:r w:rsidR="00B27244">
        <w:rPr>
          <w:rFonts w:eastAsia="Arial"/>
          <w:bdr w:val="nil"/>
          <w:rtl/>
          <w:lang w:val="ar-SA"/>
        </w:rPr>
        <w:t xml:space="preserve">. </w:t>
      </w:r>
      <w:r w:rsidRPr="0061422A">
        <w:rPr>
          <w:rFonts w:eastAsia="Arial"/>
          <w:bdr w:val="nil"/>
          <w:rtl/>
          <w:lang w:val="ar-SA"/>
        </w:rPr>
        <w:t xml:space="preserve">وأما النواتج فهي ما يُتوقع التوصل </w:t>
      </w:r>
      <w:proofErr w:type="gramStart"/>
      <w:r w:rsidRPr="0061422A">
        <w:rPr>
          <w:rFonts w:eastAsia="Arial"/>
          <w:bdr w:val="nil"/>
          <w:rtl/>
          <w:lang w:val="ar-SA"/>
        </w:rPr>
        <w:t>إليه</w:t>
      </w:r>
      <w:proofErr w:type="gramEnd"/>
      <w:r w:rsidRPr="0061422A">
        <w:rPr>
          <w:rFonts w:eastAsia="Arial"/>
          <w:bdr w:val="nil"/>
          <w:rtl/>
          <w:lang w:val="ar-SA"/>
        </w:rPr>
        <w:t xml:space="preserve"> عن طريق استخدام المخرجات</w:t>
      </w:r>
      <w:r w:rsidR="00B27244">
        <w:rPr>
          <w:rFonts w:eastAsia="Arial"/>
          <w:bdr w:val="nil"/>
          <w:rtl/>
          <w:lang w:val="ar-SA"/>
        </w:rPr>
        <w:t xml:space="preserve">. </w:t>
      </w:r>
      <w:r w:rsidRPr="0061422A">
        <w:rPr>
          <w:rFonts w:eastAsia="Arial"/>
          <w:bdr w:val="nil"/>
          <w:rtl/>
          <w:lang w:val="ar-SA"/>
        </w:rPr>
        <w:t xml:space="preserve">وأهداف الوقع </w:t>
      </w:r>
      <w:proofErr w:type="gramStart"/>
      <w:r w:rsidRPr="0061422A">
        <w:rPr>
          <w:rFonts w:eastAsia="Arial"/>
          <w:bdr w:val="nil"/>
          <w:rtl/>
          <w:lang w:val="ar-SA"/>
        </w:rPr>
        <w:t>هي</w:t>
      </w:r>
      <w:proofErr w:type="gramEnd"/>
      <w:r w:rsidRPr="0061422A">
        <w:rPr>
          <w:rFonts w:eastAsia="Arial"/>
          <w:bdr w:val="nil"/>
          <w:rtl/>
          <w:lang w:val="ar-SA"/>
        </w:rPr>
        <w:t xml:space="preserve"> التغيرات الأوسع المحققة جراء النواتج المتوقعة</w:t>
      </w:r>
      <w:r w:rsidR="00B27244">
        <w:rPr>
          <w:rFonts w:eastAsia="Arial"/>
          <w:bdr w:val="nil"/>
          <w:rtl/>
          <w:lang w:val="ar-SA"/>
        </w:rPr>
        <w:t xml:space="preserve">. </w:t>
      </w:r>
      <w:r w:rsidRPr="0061422A">
        <w:rPr>
          <w:rFonts w:eastAsia="Arial"/>
          <w:bdr w:val="nil"/>
          <w:rtl/>
          <w:lang w:val="ar-SA"/>
        </w:rPr>
        <w:t>وبالتالي يجب أن يوجد رابط سببي بين مختلف مستويات النتائج، إما على شكل أسناد أو إسهام (حسب درجة السببية).</w:t>
      </w:r>
    </w:p>
    <w:p w:rsidR="00AE1126" w:rsidRPr="0061422A" w:rsidRDefault="00AE1126" w:rsidP="00C323EE">
      <w:pPr>
        <w:pStyle w:val="NormalParaAR"/>
        <w:widowControl w:val="0"/>
        <w:numPr>
          <w:ilvl w:val="0"/>
          <w:numId w:val="15"/>
        </w:numPr>
        <w:suppressAutoHyphens/>
        <w:ind w:left="566" w:firstLine="0"/>
      </w:pPr>
      <w:r w:rsidRPr="0061422A">
        <w:rPr>
          <w:rFonts w:eastAsia="Arial"/>
          <w:bdr w:val="nil"/>
          <w:rtl/>
          <w:lang w:val="ar-SA"/>
        </w:rPr>
        <w:t xml:space="preserve">ويُقوَّم التقدم المحرز نحو تحقيق النتائج المتوقعة من خلال استخدام مؤشرات </w:t>
      </w:r>
      <w:proofErr w:type="gramStart"/>
      <w:r w:rsidRPr="0061422A">
        <w:rPr>
          <w:rFonts w:eastAsia="Arial"/>
          <w:bdr w:val="nil"/>
          <w:rtl/>
          <w:lang w:val="ar-SA"/>
        </w:rPr>
        <w:t>"SMART"</w:t>
      </w:r>
      <w:r w:rsidRPr="0061422A">
        <w:rPr>
          <w:vertAlign w:val="superscript"/>
        </w:rPr>
        <w:footnoteReference w:id="16"/>
      </w:r>
      <w:r w:rsidRPr="0061422A">
        <w:rPr>
          <w:rFonts w:eastAsia="Arial"/>
          <w:bdr w:val="nil"/>
          <w:rtl/>
          <w:lang w:val="ar-SA"/>
        </w:rPr>
        <w:t xml:space="preserve"> يمكن</w:t>
      </w:r>
      <w:proofErr w:type="gramEnd"/>
      <w:r w:rsidRPr="0061422A">
        <w:rPr>
          <w:rFonts w:eastAsia="Arial"/>
          <w:bdr w:val="nil"/>
          <w:rtl/>
          <w:lang w:val="ar-SA"/>
        </w:rPr>
        <w:t xml:space="preserve"> التحقق منها بشكل موضوعي</w:t>
      </w:r>
      <w:r w:rsidRPr="0061422A">
        <w:rPr>
          <w:rStyle w:val="FootnoteReference"/>
        </w:rPr>
        <w:footnoteReference w:id="17"/>
      </w:r>
      <w:r w:rsidR="00B27244">
        <w:rPr>
          <w:rFonts w:eastAsia="Arial"/>
          <w:bdr w:val="nil"/>
          <w:rtl/>
          <w:lang w:val="ar-SA"/>
        </w:rPr>
        <w:t xml:space="preserve">. </w:t>
      </w:r>
      <w:r w:rsidRPr="0061422A">
        <w:rPr>
          <w:rFonts w:eastAsia="Arial"/>
          <w:bdr w:val="nil"/>
          <w:rtl/>
          <w:lang w:val="ar-SA"/>
        </w:rPr>
        <w:t xml:space="preserve">وينبغي تعريف سبل هذا التحقق لكل منها (على سبيل المثال جمع البيانات من خلال </w:t>
      </w:r>
      <w:proofErr w:type="spellStart"/>
      <w:r w:rsidR="001B4E64">
        <w:rPr>
          <w:rFonts w:eastAsia="Arial" w:hint="cs"/>
          <w:bdr w:val="nil"/>
          <w:rtl/>
          <w:lang w:val="ar-SA"/>
        </w:rPr>
        <w:t>الاستقصاءات</w:t>
      </w:r>
      <w:proofErr w:type="spellEnd"/>
      <w:r w:rsidRPr="0061422A">
        <w:rPr>
          <w:rFonts w:eastAsia="Arial"/>
          <w:bdr w:val="nil"/>
          <w:rtl/>
          <w:lang w:val="ar-SA"/>
        </w:rPr>
        <w:t xml:space="preserve"> أو بالإحالة على بيانات إحصائية). كما ينبغي أن تكون سبل التحقق واقعية، وذلك بأخذ الموارد المتاحة لجمع البيانات في الحسبان (تتطلب </w:t>
      </w:r>
      <w:proofErr w:type="spellStart"/>
      <w:r w:rsidRPr="0061422A">
        <w:rPr>
          <w:rFonts w:eastAsia="Arial"/>
          <w:bdr w:val="nil"/>
          <w:rtl/>
          <w:lang w:val="ar-SA"/>
        </w:rPr>
        <w:t>الاستقصاءات</w:t>
      </w:r>
      <w:proofErr w:type="spellEnd"/>
      <w:r w:rsidRPr="0061422A">
        <w:rPr>
          <w:rFonts w:eastAsia="Arial"/>
          <w:bdr w:val="nil"/>
          <w:rtl/>
          <w:lang w:val="ar-SA"/>
        </w:rPr>
        <w:t xml:space="preserve"> الموسعة، على سبيل المثال، موازنة محددة)</w:t>
      </w:r>
      <w:r w:rsidR="00B27244">
        <w:rPr>
          <w:rFonts w:eastAsia="Arial"/>
          <w:bdr w:val="nil"/>
          <w:rtl/>
          <w:lang w:val="ar-SA"/>
        </w:rPr>
        <w:t xml:space="preserve">. </w:t>
      </w:r>
      <w:r w:rsidRPr="0061422A">
        <w:rPr>
          <w:rFonts w:eastAsia="Arial"/>
          <w:bdr w:val="nil"/>
          <w:rtl/>
          <w:lang w:val="ar-SA"/>
        </w:rPr>
        <w:t xml:space="preserve">وتُجمع بيانات </w:t>
      </w:r>
      <w:proofErr w:type="gramStart"/>
      <w:r w:rsidRPr="0061422A">
        <w:rPr>
          <w:rFonts w:eastAsia="Arial"/>
          <w:bdr w:val="nil"/>
          <w:rtl/>
          <w:lang w:val="ar-SA"/>
        </w:rPr>
        <w:t>خط</w:t>
      </w:r>
      <w:proofErr w:type="gramEnd"/>
      <w:r w:rsidRPr="0061422A">
        <w:rPr>
          <w:rFonts w:eastAsia="Arial"/>
          <w:bdr w:val="nil"/>
          <w:rtl/>
          <w:lang w:val="ar-SA"/>
        </w:rPr>
        <w:t xml:space="preserve"> الأساس لكل مؤشر في بداية المشروع.</w:t>
      </w:r>
    </w:p>
    <w:p w:rsidR="00AE1126" w:rsidRPr="0061422A" w:rsidRDefault="00AE1126" w:rsidP="00C323EE">
      <w:pPr>
        <w:pStyle w:val="NormalParaAR"/>
        <w:widowControl w:val="0"/>
        <w:numPr>
          <w:ilvl w:val="0"/>
          <w:numId w:val="15"/>
        </w:numPr>
        <w:suppressAutoHyphens/>
        <w:ind w:left="566" w:firstLine="0"/>
      </w:pPr>
      <w:r w:rsidRPr="0061422A">
        <w:rPr>
          <w:rFonts w:eastAsia="Arial"/>
          <w:bdr w:val="nil"/>
          <w:rtl/>
          <w:lang w:val="ar-SA"/>
        </w:rPr>
        <w:lastRenderedPageBreak/>
        <w:t xml:space="preserve">ينبغي تعريف مخاطر وافتراضات محددة لكل من النواتج </w:t>
      </w:r>
      <w:proofErr w:type="gramStart"/>
      <w:r w:rsidRPr="0061422A">
        <w:rPr>
          <w:rFonts w:eastAsia="Arial"/>
          <w:bdr w:val="nil"/>
          <w:rtl/>
          <w:lang w:val="ar-SA"/>
        </w:rPr>
        <w:t>والوقع</w:t>
      </w:r>
      <w:proofErr w:type="gramEnd"/>
      <w:r w:rsidRPr="0061422A">
        <w:rPr>
          <w:rFonts w:eastAsia="Arial"/>
          <w:bdr w:val="nil"/>
          <w:rtl/>
          <w:lang w:val="ar-SA"/>
        </w:rPr>
        <w:t xml:space="preserve"> المرتقب</w:t>
      </w:r>
      <w:r w:rsidR="00B27244">
        <w:rPr>
          <w:rFonts w:eastAsia="Arial"/>
          <w:bdr w:val="nil"/>
          <w:rtl/>
          <w:lang w:val="ar-SA"/>
        </w:rPr>
        <w:t xml:space="preserve">. </w:t>
      </w:r>
      <w:r w:rsidRPr="0061422A">
        <w:rPr>
          <w:rFonts w:eastAsia="Arial"/>
          <w:bdr w:val="nil"/>
          <w:rtl/>
          <w:lang w:val="ar-SA"/>
        </w:rPr>
        <w:t>وتشير الافتراضات إلى ظروف خارجية يجب أن تتهيأ حتى تتَرجم المخرجات إلى نواتج والنواتج إلى وقع بشكل ناجح</w:t>
      </w:r>
      <w:r w:rsidR="00B27244">
        <w:rPr>
          <w:rFonts w:eastAsia="Arial"/>
          <w:bdr w:val="nil"/>
          <w:rtl/>
          <w:lang w:val="ar-SA"/>
        </w:rPr>
        <w:t xml:space="preserve">. </w:t>
      </w:r>
      <w:r w:rsidRPr="0061422A">
        <w:rPr>
          <w:rFonts w:eastAsia="Arial"/>
          <w:bdr w:val="nil"/>
          <w:rtl/>
          <w:lang w:val="ar-SA"/>
        </w:rPr>
        <w:t xml:space="preserve">وأما المخاطر فتشير إلى العوامل الخارجية (التهديدات) التي تحول دون ترجمة مخرجات المشروع إلى نواتج (أو النواتج </w:t>
      </w:r>
      <w:proofErr w:type="gramStart"/>
      <w:r w:rsidRPr="0061422A">
        <w:rPr>
          <w:rFonts w:eastAsia="Arial"/>
          <w:bdr w:val="nil"/>
          <w:rtl/>
          <w:lang w:val="ar-SA"/>
        </w:rPr>
        <w:t>إلى</w:t>
      </w:r>
      <w:proofErr w:type="gramEnd"/>
      <w:r w:rsidRPr="0061422A">
        <w:rPr>
          <w:rFonts w:eastAsia="Arial"/>
          <w:bdr w:val="nil"/>
          <w:rtl/>
          <w:lang w:val="ar-SA"/>
        </w:rPr>
        <w:t xml:space="preserve"> وقع)</w:t>
      </w:r>
      <w:r w:rsidR="00B27244">
        <w:rPr>
          <w:rFonts w:eastAsia="Arial"/>
          <w:bdr w:val="nil"/>
          <w:rtl/>
          <w:lang w:val="ar-SA"/>
        </w:rPr>
        <w:t xml:space="preserve">. </w:t>
      </w:r>
      <w:r w:rsidRPr="0061422A">
        <w:rPr>
          <w:rFonts w:eastAsia="Arial"/>
          <w:bdr w:val="nil"/>
          <w:rtl/>
          <w:lang w:val="ar-SA"/>
        </w:rPr>
        <w:t>وينبغي تقويم درجة كل من المخاطر، مع وزن التهديدات حسب الشدة التي قد تؤثر بها في إنجاز النتائج واحتمال تحقق التهديد.</w:t>
      </w:r>
    </w:p>
    <w:p w:rsidR="00AE1126" w:rsidRPr="0061422A" w:rsidRDefault="00AE1126" w:rsidP="00C323EE">
      <w:pPr>
        <w:pStyle w:val="NormalParaAR"/>
        <w:widowControl w:val="0"/>
        <w:numPr>
          <w:ilvl w:val="0"/>
          <w:numId w:val="15"/>
        </w:numPr>
        <w:suppressAutoHyphens/>
        <w:ind w:left="566" w:firstLine="0"/>
      </w:pPr>
      <w:proofErr w:type="gramStart"/>
      <w:r w:rsidRPr="0061422A">
        <w:rPr>
          <w:rFonts w:eastAsia="Arial"/>
          <w:bdr w:val="nil"/>
          <w:rtl/>
          <w:lang w:val="ar-SA"/>
        </w:rPr>
        <w:t>وينبغي</w:t>
      </w:r>
      <w:proofErr w:type="gramEnd"/>
      <w:r w:rsidRPr="0061422A">
        <w:rPr>
          <w:rFonts w:eastAsia="Arial"/>
          <w:bdr w:val="nil"/>
          <w:rtl/>
          <w:lang w:val="ar-SA"/>
        </w:rPr>
        <w:t xml:space="preserve"> أن يُقوَّم في تقارير الرصد التقدم المحرز نحو تحقيق النتائج باستخدام المؤشرات المعرَّفة في الإطار المنطقي بدلا من الاكتفاء بمجرد سرد الأنشطة</w:t>
      </w:r>
      <w:r w:rsidR="00B27244">
        <w:rPr>
          <w:rFonts w:eastAsia="Arial"/>
          <w:bdr w:val="nil"/>
          <w:rtl/>
          <w:lang w:val="ar-SA"/>
        </w:rPr>
        <w:t xml:space="preserve">. </w:t>
      </w:r>
      <w:r w:rsidRPr="0061422A">
        <w:rPr>
          <w:rFonts w:eastAsia="Arial"/>
          <w:bdr w:val="nil"/>
          <w:rtl/>
          <w:lang w:val="ar-SA"/>
        </w:rPr>
        <w:t xml:space="preserve">كما ينبغي بيان النواتج غير المتوقعة/غير </w:t>
      </w:r>
      <w:proofErr w:type="gramStart"/>
      <w:r w:rsidRPr="0061422A">
        <w:rPr>
          <w:rFonts w:eastAsia="Arial"/>
          <w:bdr w:val="nil"/>
          <w:rtl/>
          <w:lang w:val="ar-SA"/>
        </w:rPr>
        <w:t>المخطط</w:t>
      </w:r>
      <w:proofErr w:type="gramEnd"/>
      <w:r w:rsidRPr="0061422A">
        <w:rPr>
          <w:rFonts w:eastAsia="Arial"/>
          <w:bdr w:val="nil"/>
          <w:rtl/>
          <w:lang w:val="ar-SA"/>
        </w:rPr>
        <w:t xml:space="preserve"> لها الإيجابية/السلبية.</w:t>
      </w:r>
    </w:p>
    <w:p w:rsidR="00AE1126" w:rsidRDefault="00AE1126" w:rsidP="007750F6">
      <w:pPr>
        <w:pStyle w:val="NumberedParaAR"/>
        <w:widowControl w:val="0"/>
        <w:suppressAutoHyphens/>
      </w:pPr>
      <w:proofErr w:type="gramStart"/>
      <w:r>
        <w:rPr>
          <w:rFonts w:eastAsia="Arial"/>
          <w:bdr w:val="nil"/>
          <w:rtl/>
          <w:lang w:val="ar-SA"/>
        </w:rPr>
        <w:t>ومن</w:t>
      </w:r>
      <w:proofErr w:type="gramEnd"/>
      <w:r>
        <w:rPr>
          <w:rFonts w:eastAsia="Arial"/>
          <w:bdr w:val="nil"/>
          <w:rtl/>
          <w:lang w:val="ar-SA"/>
        </w:rPr>
        <w:t xml:space="preserve"> الخطوات الإضافية التي يمكن اتخاذها إجراء تقويم داخلي منتظم لوجاهة الأهداف وكفاءة التنفيذ (النهج، والقيمة مقابل المال) واحتمالات تحقق استدامة النتائج</w:t>
      </w:r>
      <w:r w:rsidR="00B27244">
        <w:rPr>
          <w:rFonts w:eastAsia="Arial"/>
          <w:bdr w:val="nil"/>
          <w:rtl/>
          <w:lang w:val="ar-SA"/>
        </w:rPr>
        <w:t xml:space="preserve">. </w:t>
      </w:r>
      <w:proofErr w:type="gramStart"/>
      <w:r>
        <w:rPr>
          <w:rFonts w:eastAsia="Arial"/>
          <w:bdr w:val="nil"/>
          <w:rtl/>
          <w:lang w:val="ar-SA"/>
        </w:rPr>
        <w:t>ويسمح</w:t>
      </w:r>
      <w:proofErr w:type="gramEnd"/>
      <w:r>
        <w:rPr>
          <w:rFonts w:eastAsia="Arial"/>
          <w:bdr w:val="nil"/>
          <w:rtl/>
          <w:lang w:val="ar-SA"/>
        </w:rPr>
        <w:t xml:space="preserve"> هذا التقويم المنتظم لجودة المشروع بإجراء استعراض دوري لمدى تقديم النوع الملائم من المساعدة بالشكل الصحيح واحتمالية استمرار الفوائد بعد نهاية المشروع من عدمه</w:t>
      </w:r>
      <w:r w:rsidR="00B27244">
        <w:rPr>
          <w:rFonts w:eastAsia="Arial"/>
          <w:bdr w:val="nil"/>
          <w:rtl/>
          <w:lang w:val="ar-SA"/>
        </w:rPr>
        <w:t xml:space="preserve">. </w:t>
      </w:r>
      <w:r>
        <w:rPr>
          <w:rFonts w:eastAsia="Arial"/>
          <w:bdr w:val="nil"/>
          <w:rtl/>
          <w:lang w:val="ar-SA"/>
        </w:rPr>
        <w:t>وإذا لم يُنظر في جودة المشروع إلا من خلال تقييم خارجي في منتصف المدة أو آخرها، فلن يتسع المجال في الغالب لاتخاذ أي إجراءات تصحيحية.</w:t>
      </w:r>
    </w:p>
    <w:p w:rsidR="00AE1126" w:rsidRPr="00624AA2" w:rsidRDefault="00AE1126" w:rsidP="007750F6">
      <w:pPr>
        <w:pStyle w:val="Heading3AR"/>
        <w:keepNext w:val="0"/>
        <w:widowControl w:val="0"/>
        <w:suppressAutoHyphens/>
      </w:pPr>
      <w:r>
        <w:rPr>
          <w:rFonts w:eastAsia="Arial"/>
          <w:u w:val="none"/>
          <w:bdr w:val="nil"/>
          <w:rtl/>
          <w:lang w:val="ar-SA" w:eastAsia="zh-CN"/>
        </w:rPr>
        <w:t>('</w:t>
      </w:r>
      <w:r>
        <w:rPr>
          <w:rFonts w:eastAsia="Arial"/>
          <w:bCs/>
          <w:u w:val="none"/>
          <w:bdr w:val="nil"/>
          <w:rtl/>
          <w:lang w:val="ar-SA" w:eastAsia="zh-CN"/>
        </w:rPr>
        <w:t>3</w:t>
      </w:r>
      <w:r>
        <w:rPr>
          <w:rFonts w:eastAsia="Arial"/>
          <w:u w:val="none"/>
          <w:bdr w:val="nil"/>
          <w:rtl/>
          <w:lang w:val="ar-SA" w:eastAsia="zh-CN"/>
        </w:rPr>
        <w:t>')</w:t>
      </w:r>
      <w:r>
        <w:rPr>
          <w:rFonts w:eastAsia="Arial"/>
          <w:u w:val="none"/>
          <w:bdr w:val="nil"/>
          <w:rtl/>
          <w:lang w:val="ar-SA" w:eastAsia="zh-CN"/>
        </w:rPr>
        <w:tab/>
      </w:r>
      <w:proofErr w:type="gramStart"/>
      <w:r>
        <w:rPr>
          <w:rFonts w:eastAsia="Arial"/>
          <w:bdr w:val="nil"/>
          <w:rtl/>
          <w:lang w:val="ar-SA" w:eastAsia="zh-CN"/>
        </w:rPr>
        <w:t>إدارة</w:t>
      </w:r>
      <w:proofErr w:type="gramEnd"/>
      <w:r>
        <w:rPr>
          <w:rFonts w:eastAsia="Arial"/>
          <w:bdr w:val="nil"/>
          <w:rtl/>
          <w:lang w:val="ar-SA" w:eastAsia="zh-CN"/>
        </w:rPr>
        <w:t xml:space="preserve"> المشروع</w:t>
      </w:r>
    </w:p>
    <w:p w:rsidR="00AE1126" w:rsidRDefault="00AE1126" w:rsidP="007750F6">
      <w:pPr>
        <w:pStyle w:val="NumberedParaAR"/>
        <w:widowControl w:val="0"/>
        <w:suppressAutoHyphens/>
      </w:pPr>
      <w:r>
        <w:rPr>
          <w:rFonts w:eastAsia="Arial"/>
          <w:bdr w:val="nil"/>
          <w:rtl/>
          <w:lang w:val="ar-SA"/>
        </w:rPr>
        <w:t xml:space="preserve">كما سيأتي البيان بمزيد من التفصيل تحت </w:t>
      </w:r>
      <w:proofErr w:type="gramStart"/>
      <w:r>
        <w:rPr>
          <w:rFonts w:eastAsia="Arial"/>
          <w:bdr w:val="nil"/>
          <w:rtl/>
          <w:lang w:val="ar-SA"/>
        </w:rPr>
        <w:t>تقويم</w:t>
      </w:r>
      <w:proofErr w:type="gramEnd"/>
      <w:r>
        <w:rPr>
          <w:rFonts w:eastAsia="Arial"/>
          <w:bdr w:val="nil"/>
          <w:rtl/>
          <w:lang w:val="ar-SA"/>
        </w:rPr>
        <w:t xml:space="preserve"> الفعالية والكفاءة لاحقاً، فقد استُكملت معظم الأنشطة وكانت جيدة التنظيم. </w:t>
      </w:r>
      <w:proofErr w:type="gramStart"/>
      <w:r>
        <w:rPr>
          <w:rFonts w:eastAsia="Arial"/>
          <w:bdr w:val="nil"/>
          <w:rtl/>
          <w:lang w:val="ar-SA"/>
        </w:rPr>
        <w:t>وقد</w:t>
      </w:r>
      <w:proofErr w:type="gramEnd"/>
      <w:r>
        <w:rPr>
          <w:rFonts w:eastAsia="Arial"/>
          <w:bdr w:val="nil"/>
          <w:rtl/>
          <w:lang w:val="ar-SA"/>
        </w:rPr>
        <w:t xml:space="preserve"> حدثت أوجه قصور معتبرة في عملية استعراض الأقران للدراسات (المخرج 2)، التي لم تتبع فيها الممارسات القياسية. </w:t>
      </w:r>
      <w:proofErr w:type="gramStart"/>
      <w:r>
        <w:rPr>
          <w:rFonts w:eastAsia="Arial"/>
          <w:bdr w:val="nil"/>
          <w:rtl/>
          <w:lang w:val="ar-SA"/>
        </w:rPr>
        <w:t>وقد</w:t>
      </w:r>
      <w:proofErr w:type="gramEnd"/>
      <w:r>
        <w:rPr>
          <w:rFonts w:eastAsia="Arial"/>
          <w:bdr w:val="nil"/>
          <w:rtl/>
          <w:lang w:val="ar-SA"/>
        </w:rPr>
        <w:t xml:space="preserve"> نُشرت مسودات الدراسات على الإنترنت قبل أن تخضع لاستعراض الأقران، ثم نُشرت النسخ النهائية من الدراسات واستعراضات الأقران معاً بعد اس</w:t>
      </w:r>
      <w:r w:rsidR="001B4E64">
        <w:rPr>
          <w:rFonts w:eastAsia="Arial"/>
          <w:bdr w:val="nil"/>
          <w:rtl/>
          <w:lang w:val="ar-SA"/>
        </w:rPr>
        <w:t xml:space="preserve">تكمال هذه الأخيرة في وقت لاحق. </w:t>
      </w:r>
      <w:proofErr w:type="gramStart"/>
      <w:r>
        <w:rPr>
          <w:rFonts w:eastAsia="Arial"/>
          <w:bdr w:val="nil"/>
          <w:rtl/>
          <w:lang w:val="ar-SA"/>
        </w:rPr>
        <w:t>وربما</w:t>
      </w:r>
      <w:proofErr w:type="gramEnd"/>
      <w:r>
        <w:rPr>
          <w:rFonts w:eastAsia="Arial"/>
          <w:bdr w:val="nil"/>
          <w:rtl/>
          <w:lang w:val="ar-SA"/>
        </w:rPr>
        <w:t xml:space="preserve"> يكون عدم التعاقد مع أقران مستعرضين ومكافأتهم قد أسهم في رداءة التعليقات التي أدلى بها بعضهم.</w:t>
      </w:r>
    </w:p>
    <w:p w:rsidR="00AE1126" w:rsidRDefault="00AE1126" w:rsidP="007750F6">
      <w:pPr>
        <w:pStyle w:val="NumberedParaAR"/>
        <w:widowControl w:val="0"/>
        <w:suppressAutoHyphens/>
      </w:pPr>
      <w:proofErr w:type="gramStart"/>
      <w:r>
        <w:rPr>
          <w:rFonts w:eastAsia="Arial"/>
          <w:bdr w:val="nil"/>
          <w:rtl/>
          <w:lang w:val="ar-SA"/>
        </w:rPr>
        <w:t>وقد</w:t>
      </w:r>
      <w:proofErr w:type="gramEnd"/>
      <w:r>
        <w:rPr>
          <w:rFonts w:eastAsia="Arial"/>
          <w:bdr w:val="nil"/>
          <w:rtl/>
          <w:lang w:val="ar-SA"/>
        </w:rPr>
        <w:t xml:space="preserve"> تقدم تنفيذ المشروع بشكل عام بخطى بطيئة، بل إن تنفيذ بعض الأنشطة استمر بعد نهاية المشروع، التي أجِّلت مرتين. ولم يستكمل المخرج الأخير (المنتدى الإلكتروني) إلا في نهاية يونيه 2015</w:t>
      </w:r>
      <w:r w:rsidR="00B27244">
        <w:rPr>
          <w:rFonts w:eastAsia="Arial"/>
          <w:bdr w:val="nil"/>
          <w:rtl/>
          <w:lang w:val="ar-SA"/>
        </w:rPr>
        <w:t xml:space="preserve">. </w:t>
      </w:r>
      <w:r>
        <w:rPr>
          <w:rFonts w:eastAsia="Arial"/>
          <w:bdr w:val="nil"/>
          <w:rtl/>
          <w:lang w:val="ar-SA"/>
        </w:rPr>
        <w:t>وكان السبب الأساسي في التأخيرات مشاكل في الإدارة، والتي زادت سوءاً بسبب</w:t>
      </w:r>
      <w:r w:rsidR="004E22FC">
        <w:rPr>
          <w:rFonts w:eastAsia="Arial"/>
          <w:bdr w:val="nil"/>
          <w:rtl/>
          <w:lang w:val="ar-SA"/>
        </w:rPr>
        <w:t xml:space="preserve"> </w:t>
      </w:r>
      <w:r>
        <w:rPr>
          <w:rFonts w:eastAsia="Arial"/>
          <w:bdr w:val="nil"/>
          <w:rtl/>
          <w:lang w:val="ar-SA"/>
        </w:rPr>
        <w:t xml:space="preserve">عمليات إعادة الهيكلة التنظيمية المختلفة التي أجريت في الأمانة. </w:t>
      </w:r>
      <w:proofErr w:type="gramStart"/>
      <w:r>
        <w:rPr>
          <w:rFonts w:eastAsia="Arial"/>
          <w:bdr w:val="nil"/>
          <w:rtl/>
          <w:lang w:val="ar-SA"/>
        </w:rPr>
        <w:t>وفي</w:t>
      </w:r>
      <w:proofErr w:type="gramEnd"/>
      <w:r>
        <w:rPr>
          <w:rFonts w:eastAsia="Arial"/>
          <w:bdr w:val="nil"/>
          <w:rtl/>
          <w:lang w:val="ar-SA"/>
        </w:rPr>
        <w:t xml:space="preserve"> نهاية المطاف، استغرق تنفيذ المخرجات المتوقعة ضعف الوقت الذي كان مخططاً له في الأصل (أربعة وخمسون شهراً بدلاً من سبعة وعشرين).</w:t>
      </w:r>
    </w:p>
    <w:p w:rsidR="00AE1126" w:rsidRDefault="00AE1126" w:rsidP="007750F6">
      <w:pPr>
        <w:pStyle w:val="NumberedParaAR"/>
        <w:widowControl w:val="0"/>
        <w:suppressAutoHyphens/>
      </w:pPr>
      <w:r>
        <w:rPr>
          <w:rFonts w:eastAsia="Arial"/>
          <w:bdr w:val="nil"/>
          <w:rtl/>
          <w:lang w:val="ar-SA"/>
        </w:rPr>
        <w:t>وتؤثر تأخيرات التنفيذ في كفاءة المشروع تأثيرا سلبياً من عدة أوجه</w:t>
      </w:r>
      <w:r w:rsidR="00B27244">
        <w:rPr>
          <w:rFonts w:eastAsia="Arial"/>
          <w:bdr w:val="nil"/>
          <w:rtl/>
          <w:lang w:val="ar-SA"/>
        </w:rPr>
        <w:t xml:space="preserve">. </w:t>
      </w:r>
      <w:r>
        <w:rPr>
          <w:rFonts w:eastAsia="Arial"/>
          <w:bdr w:val="nil"/>
          <w:rtl/>
          <w:lang w:val="ar-SA"/>
        </w:rPr>
        <w:t xml:space="preserve">وقد تسبب أيضا فقداً في الوجاهة </w:t>
      </w:r>
      <w:proofErr w:type="gramStart"/>
      <w:r>
        <w:rPr>
          <w:rFonts w:eastAsia="Arial"/>
          <w:bdr w:val="nil"/>
          <w:rtl/>
          <w:lang w:val="ar-SA"/>
        </w:rPr>
        <w:t>والزخم</w:t>
      </w:r>
      <w:proofErr w:type="gramEnd"/>
      <w:r w:rsidR="00B27244">
        <w:rPr>
          <w:rFonts w:eastAsia="Arial"/>
          <w:bdr w:val="nil"/>
          <w:rtl/>
          <w:lang w:val="ar-SA"/>
        </w:rPr>
        <w:t xml:space="preserve">. </w:t>
      </w:r>
      <w:r>
        <w:rPr>
          <w:rFonts w:eastAsia="Arial"/>
          <w:bdr w:val="nil"/>
          <w:rtl/>
          <w:lang w:val="ar-SA"/>
        </w:rPr>
        <w:t>ومن أمثلة ذلك أن المنتدى الإلكتروني كان من شأنه أن يكون مفيداً بشكل خاص لو كان أتيح في وقت انعقاد المؤتمرات الإقليمية والمنتدى الدولي للخبراء، كما كان مخططاً لذلك في الأصل. وكان من الممكن أن يتيح منبراً قيماً لمزيد من الجمع والنقاش بين قطاع أوسع من المشاركين</w:t>
      </w:r>
      <w:r w:rsidR="00B27244">
        <w:rPr>
          <w:rFonts w:eastAsia="Arial"/>
          <w:bdr w:val="nil"/>
          <w:rtl/>
          <w:lang w:val="ar-SA"/>
        </w:rPr>
        <w:t xml:space="preserve">. </w:t>
      </w:r>
      <w:r>
        <w:rPr>
          <w:rFonts w:eastAsia="Arial"/>
          <w:bdr w:val="nil"/>
          <w:rtl/>
          <w:lang w:val="ar-SA"/>
        </w:rPr>
        <w:t>كما كان من الممكن أن تهيئ المؤتمرات والاجتماعات فرصة ممتازة للترويج للمنتدى الإلكتروني بين نطاق أوسع من الجماهير</w:t>
      </w:r>
      <w:r w:rsidR="00B27244">
        <w:rPr>
          <w:rFonts w:eastAsia="Arial"/>
          <w:bdr w:val="nil"/>
          <w:rtl/>
          <w:lang w:val="ar-SA"/>
        </w:rPr>
        <w:t xml:space="preserve">. </w:t>
      </w:r>
      <w:r>
        <w:rPr>
          <w:rFonts w:eastAsia="Arial"/>
          <w:bdr w:val="nil"/>
          <w:rtl/>
          <w:lang w:val="ar-SA"/>
        </w:rPr>
        <w:t xml:space="preserve">وعلاوة على ذلك فإن بعض تكاليف تشغيل المشروع ثابتة بشكل عام ويجب تحملها بغض النظر عن تحقق أية فوائد من عدمه. </w:t>
      </w:r>
    </w:p>
    <w:p w:rsidR="00AE1126" w:rsidRDefault="00AE1126" w:rsidP="007750F6">
      <w:pPr>
        <w:pStyle w:val="NumberedParaAR"/>
        <w:widowControl w:val="0"/>
        <w:suppressAutoHyphens/>
      </w:pPr>
      <w:r>
        <w:rPr>
          <w:rFonts w:eastAsia="Arial"/>
          <w:bdr w:val="nil"/>
          <w:rtl/>
          <w:lang w:val="ar-SA"/>
        </w:rPr>
        <w:t>وقد يؤدي تنفيذ بضعة مخرجات في نهاية المطاف في ضعف الوقت المخطط لها أصلا إلى تساؤل الدول الأعضاء عن قدرات الأمانة في مجال تنفيذ المش</w:t>
      </w:r>
      <w:r w:rsidR="0061422A">
        <w:rPr>
          <w:rFonts w:eastAsia="Arial" w:hint="cs"/>
          <w:bdr w:val="nil"/>
          <w:rtl/>
          <w:lang w:val="ar-SA"/>
        </w:rPr>
        <w:t>ر</w:t>
      </w:r>
      <w:r>
        <w:rPr>
          <w:rFonts w:eastAsia="Arial"/>
          <w:bdr w:val="nil"/>
          <w:rtl/>
          <w:lang w:val="ar-SA"/>
        </w:rPr>
        <w:t>وعات، ما لم تكن هناك مبررات مستندة إلى عوامل غير متوقعة وخارجة عن نطاق سيطرة الويبو.</w:t>
      </w:r>
    </w:p>
    <w:p w:rsidR="00AE1126" w:rsidRDefault="00AE1126" w:rsidP="007750F6">
      <w:pPr>
        <w:pStyle w:val="NumberedParaAR"/>
        <w:widowControl w:val="0"/>
        <w:suppressAutoHyphens/>
      </w:pPr>
      <w:r>
        <w:rPr>
          <w:rFonts w:eastAsia="Arial"/>
          <w:bdr w:val="nil"/>
          <w:rtl/>
          <w:lang w:val="ar-SA"/>
        </w:rPr>
        <w:t>وتكشف مشاكل الإدارة في هذا المشروع عن حاجة ملحة إلى تعزيز الإشراف على المشروعات ومراقبة الجودة فيها داخل الأمانة، لا سيما من قبل شعبة تنسيق جدول أعمال التنمية. ومن شأن اشتراط "تأشير" الشعبة على جميع المراحل الرئيسية في تنفيذ المشروع (مثل تلزيم الخدمات ونشر المواد وغيرها)</w:t>
      </w:r>
      <w:r w:rsidR="004E22FC">
        <w:rPr>
          <w:rFonts w:eastAsia="Arial"/>
          <w:bdr w:val="nil"/>
          <w:rtl/>
          <w:lang w:val="ar-SA"/>
        </w:rPr>
        <w:t xml:space="preserve"> </w:t>
      </w:r>
      <w:r>
        <w:rPr>
          <w:rFonts w:eastAsia="Arial"/>
          <w:bdr w:val="nil"/>
          <w:rtl/>
          <w:lang w:val="ar-SA"/>
        </w:rPr>
        <w:t xml:space="preserve">وتنظيم اجتماعات منتظمة للمشرفين على المشروعات، </w:t>
      </w:r>
      <w:r>
        <w:rPr>
          <w:rFonts w:eastAsia="Arial"/>
          <w:bdr w:val="nil"/>
          <w:rtl/>
          <w:lang w:val="ar-SA"/>
        </w:rPr>
        <w:lastRenderedPageBreak/>
        <w:t>أن يتيح للشعبة استباق المشكلات.</w:t>
      </w:r>
    </w:p>
    <w:p w:rsidR="00AE1126" w:rsidRPr="00A91CE9" w:rsidRDefault="00AE1126" w:rsidP="007750F6">
      <w:pPr>
        <w:pStyle w:val="Heading2AR"/>
        <w:keepNext w:val="0"/>
        <w:widowControl w:val="0"/>
        <w:suppressAutoHyphens/>
      </w:pPr>
      <w:r>
        <w:rPr>
          <w:rFonts w:eastAsia="Arial"/>
          <w:bdr w:val="nil"/>
          <w:rtl/>
          <w:lang w:val="ar-SA" w:eastAsia="zh-CN"/>
        </w:rPr>
        <w:t>(ب</w:t>
      </w:r>
      <w:r w:rsidR="0061422A">
        <w:rPr>
          <w:rFonts w:eastAsia="Arial" w:hint="cs"/>
          <w:bdr w:val="nil"/>
          <w:rtl/>
          <w:lang w:val="ar-SA" w:eastAsia="zh-CN"/>
        </w:rPr>
        <w:t>اء</w:t>
      </w:r>
      <w:r>
        <w:rPr>
          <w:rFonts w:eastAsia="Arial"/>
          <w:bdr w:val="nil"/>
          <w:rtl/>
          <w:lang w:val="ar-SA" w:eastAsia="zh-CN"/>
        </w:rPr>
        <w:t>)</w:t>
      </w:r>
      <w:r>
        <w:rPr>
          <w:rFonts w:eastAsia="Arial"/>
          <w:bdr w:val="nil"/>
          <w:rtl/>
          <w:lang w:val="ar-SA" w:eastAsia="zh-CN"/>
        </w:rPr>
        <w:tab/>
        <w:t>الوجاهة</w:t>
      </w:r>
    </w:p>
    <w:p w:rsidR="00AE1126" w:rsidRPr="00A91CE9" w:rsidRDefault="00AE1126" w:rsidP="007750F6">
      <w:pPr>
        <w:pStyle w:val="NumberedParaAR"/>
        <w:widowControl w:val="0"/>
        <w:suppressAutoHyphens/>
      </w:pPr>
      <w:r>
        <w:rPr>
          <w:rFonts w:eastAsia="Arial"/>
          <w:bdr w:val="nil"/>
          <w:rtl/>
          <w:lang w:val="ar-SA"/>
        </w:rPr>
        <w:t>تُقدِّر الوجاهة مدى اتساق أهداف المشروع مع متطلبات المستفيدين، مع مواءمة ذلك على سياسات الويبو وعلى الأولويات العالمية.</w:t>
      </w:r>
    </w:p>
    <w:p w:rsidR="00AE1126" w:rsidRPr="00A91CE9" w:rsidRDefault="00AE1126" w:rsidP="007750F6">
      <w:pPr>
        <w:pStyle w:val="Heading3AR"/>
        <w:keepNext w:val="0"/>
        <w:widowControl w:val="0"/>
        <w:suppressAutoHyphens/>
      </w:pPr>
      <w:r>
        <w:rPr>
          <w:rFonts w:eastAsia="Arial"/>
          <w:u w:val="none"/>
          <w:bdr w:val="nil"/>
          <w:rtl/>
          <w:lang w:val="ar-SA" w:eastAsia="zh-CN"/>
        </w:rPr>
        <w:t>('</w:t>
      </w:r>
      <w:r w:rsidR="0061422A">
        <w:rPr>
          <w:rFonts w:eastAsia="Arial" w:hint="cs"/>
          <w:u w:val="none"/>
          <w:bdr w:val="nil"/>
          <w:rtl/>
          <w:lang w:val="ar-SA" w:eastAsia="zh-CN"/>
        </w:rPr>
        <w:t>1</w:t>
      </w:r>
      <w:r>
        <w:rPr>
          <w:rFonts w:eastAsia="Arial"/>
          <w:u w:val="none"/>
          <w:bdr w:val="nil"/>
          <w:rtl/>
          <w:lang w:val="ar-SA" w:eastAsia="zh-CN"/>
        </w:rPr>
        <w:t>')</w:t>
      </w:r>
      <w:r>
        <w:rPr>
          <w:rFonts w:eastAsia="Arial"/>
          <w:u w:val="none"/>
          <w:bdr w:val="nil"/>
          <w:rtl/>
          <w:lang w:val="ar-SA" w:eastAsia="zh-CN"/>
        </w:rPr>
        <w:tab/>
      </w:r>
      <w:r>
        <w:rPr>
          <w:rFonts w:eastAsia="Arial"/>
          <w:bdr w:val="nil"/>
          <w:rtl/>
          <w:lang w:val="ar-SA" w:eastAsia="zh-CN"/>
        </w:rPr>
        <w:t>وجاهة السياسات</w:t>
      </w:r>
    </w:p>
    <w:p w:rsidR="00AE1126" w:rsidRDefault="00AE1126" w:rsidP="007750F6">
      <w:pPr>
        <w:pStyle w:val="NumberedParaAR"/>
        <w:widowControl w:val="0"/>
        <w:suppressAutoHyphens/>
      </w:pPr>
      <w:proofErr w:type="gramStart"/>
      <w:r>
        <w:rPr>
          <w:rFonts w:eastAsia="Arial"/>
          <w:bdr w:val="nil"/>
          <w:rtl/>
          <w:lang w:val="ar-SA"/>
        </w:rPr>
        <w:t>على</w:t>
      </w:r>
      <w:proofErr w:type="gramEnd"/>
      <w:r>
        <w:rPr>
          <w:rFonts w:eastAsia="Arial"/>
          <w:bdr w:val="nil"/>
          <w:rtl/>
          <w:lang w:val="ar-SA"/>
        </w:rPr>
        <w:t xml:space="preserve"> المستوى الكلي، يدل على وجاهة السياسات بالنسبة إلى الدول الأعضاء موافقة اللجنة على كل من مقترح المشروع الأولي وورقة مشروع محددة بتوافق الآراء. </w:t>
      </w:r>
      <w:proofErr w:type="gramStart"/>
      <w:r>
        <w:rPr>
          <w:rFonts w:eastAsia="Arial"/>
          <w:bdr w:val="nil"/>
          <w:rtl/>
          <w:lang w:val="ar-SA"/>
        </w:rPr>
        <w:t>وبالتالي</w:t>
      </w:r>
      <w:proofErr w:type="gramEnd"/>
      <w:r>
        <w:rPr>
          <w:rFonts w:eastAsia="Arial"/>
          <w:bdr w:val="nil"/>
          <w:rtl/>
          <w:lang w:val="ar-SA"/>
        </w:rPr>
        <w:t xml:space="preserve"> فإن الدول الأعضاء قد اعتبرت المشروع على الشكل الذي نفذ به في نهاية المطاف استجابة مبدئية ملائمة لتوصيات جدول أعمال التنمية التي أرادت معالجتها.</w:t>
      </w:r>
      <w:r>
        <w:rPr>
          <w:vertAlign w:val="superscript"/>
        </w:rPr>
        <w:footnoteReference w:id="18"/>
      </w:r>
      <w:r>
        <w:rPr>
          <w:rFonts w:eastAsia="Arial"/>
          <w:bdr w:val="nil"/>
          <w:rtl/>
          <w:lang w:val="ar-SA"/>
        </w:rPr>
        <w:t xml:space="preserve"> </w:t>
      </w:r>
    </w:p>
    <w:p w:rsidR="00AE1126" w:rsidRPr="00A91CE9" w:rsidRDefault="00AE1126" w:rsidP="007750F6">
      <w:pPr>
        <w:pStyle w:val="NumberedParaAR"/>
        <w:widowControl w:val="0"/>
        <w:suppressAutoHyphens/>
      </w:pPr>
      <w:proofErr w:type="gramStart"/>
      <w:r>
        <w:rPr>
          <w:rFonts w:eastAsia="Arial"/>
          <w:bdr w:val="nil"/>
          <w:rtl/>
          <w:lang w:val="ar-SA"/>
        </w:rPr>
        <w:t>وجرى</w:t>
      </w:r>
      <w:proofErr w:type="gramEnd"/>
      <w:r>
        <w:rPr>
          <w:rFonts w:eastAsia="Arial"/>
          <w:bdr w:val="nil"/>
          <w:rtl/>
          <w:lang w:val="ar-SA"/>
        </w:rPr>
        <w:t xml:space="preserve"> التحقق من المستوى العالي من وجاهة السياسات وتأكيده من خلال مقابلات موسعة أجريت مع ممثلي الدول الأعضاء وغيرهم من أصحاب المصلحة الرئيسيين.</w:t>
      </w:r>
    </w:p>
    <w:p w:rsidR="00AE1126" w:rsidRPr="00A91CE9" w:rsidRDefault="00AE1126" w:rsidP="007750F6">
      <w:pPr>
        <w:pStyle w:val="NumberedParaAR"/>
        <w:widowControl w:val="0"/>
        <w:suppressAutoHyphens/>
      </w:pPr>
      <w:r>
        <w:rPr>
          <w:rFonts w:eastAsia="Arial"/>
          <w:bdr w:val="nil"/>
          <w:rtl/>
          <w:lang w:val="ar-SA"/>
        </w:rPr>
        <w:t>وبخلاف المعالجة الملائمة لتوصيات جدول أعمال التنمية ذات الصلة، ترتبط نتائج المشروع المتوقعة أساساً بهدف الويبو البرامجي من البرنامج 18 (الهدف الاستراتيجي السادس</w:t>
      </w:r>
      <w:r w:rsidR="00241FA8">
        <w:rPr>
          <w:rFonts w:eastAsia="Arial"/>
          <w:bdr w:val="nil"/>
          <w:rtl/>
          <w:lang w:val="ar-SA"/>
        </w:rPr>
        <w:t xml:space="preserve">: </w:t>
      </w:r>
      <w:r>
        <w:rPr>
          <w:rFonts w:eastAsia="Arial"/>
          <w:bdr w:val="nil"/>
          <w:rtl/>
          <w:lang w:val="ar-SA"/>
        </w:rPr>
        <w:t>الملكية الفكرية والتحديات العالمية)</w:t>
      </w:r>
      <w:r>
        <w:rPr>
          <w:vertAlign w:val="superscript"/>
        </w:rPr>
        <w:footnoteReference w:id="19"/>
      </w:r>
      <w:r>
        <w:rPr>
          <w:rFonts w:eastAsia="Arial"/>
          <w:bdr w:val="nil"/>
          <w:rtl/>
          <w:lang w:val="ar-SA"/>
        </w:rPr>
        <w:t xml:space="preserve">، الذي يدعو </w:t>
      </w:r>
      <w:r>
        <w:rPr>
          <w:rFonts w:eastAsia="Arial"/>
          <w:i/>
          <w:iCs/>
          <w:bdr w:val="nil"/>
          <w:rtl/>
          <w:lang w:val="ar-SA"/>
        </w:rPr>
        <w:t>ضمن جملة أمور</w:t>
      </w:r>
      <w:r>
        <w:rPr>
          <w:rFonts w:eastAsia="Arial"/>
          <w:bdr w:val="nil"/>
          <w:rtl/>
          <w:lang w:val="ar-SA"/>
        </w:rPr>
        <w:t xml:space="preserve"> إلى تعزيز الابتكار ونقل التكنولوجيا مع التركيز على احتياجات البلدان النامية وأقل البلدان نمواً والبلدان التي تمر اقتصاداتها بمرحلة انتقالية</w:t>
      </w:r>
      <w:r w:rsidR="00B27244">
        <w:rPr>
          <w:rFonts w:eastAsia="Arial"/>
          <w:bdr w:val="nil"/>
          <w:rtl/>
          <w:lang w:val="ar-SA"/>
        </w:rPr>
        <w:t xml:space="preserve">. </w:t>
      </w:r>
      <w:r>
        <w:rPr>
          <w:rFonts w:eastAsia="Arial"/>
          <w:bdr w:val="nil"/>
          <w:rtl/>
          <w:lang w:val="ar-SA"/>
        </w:rPr>
        <w:t>وضمن نطاق هذه الأهداف الأوسع، يسهم المشروع بشكل خاص في هدف الويبو البرامجي المتمثل في تعزيز قدرة الدول الأعضاء وفهمها للابتكار وإدارة التكنولوجيا ونقلها</w:t>
      </w:r>
      <w:r w:rsidR="00B27244">
        <w:rPr>
          <w:rFonts w:eastAsia="Arial"/>
          <w:bdr w:val="nil"/>
          <w:rtl/>
          <w:lang w:val="ar-SA"/>
        </w:rPr>
        <w:t xml:space="preserve">. </w:t>
      </w:r>
      <w:r>
        <w:rPr>
          <w:rFonts w:eastAsia="Arial"/>
          <w:bdr w:val="nil"/>
          <w:rtl/>
          <w:lang w:val="ar-SA"/>
        </w:rPr>
        <w:t xml:space="preserve">وتذكر </w:t>
      </w:r>
      <w:proofErr w:type="gramStart"/>
      <w:r>
        <w:rPr>
          <w:rFonts w:eastAsia="Arial"/>
          <w:bdr w:val="nil"/>
          <w:rtl/>
          <w:lang w:val="ar-SA"/>
        </w:rPr>
        <w:t xml:space="preserve">الوثيقة </w:t>
      </w:r>
      <w:r w:rsidR="001B4E64">
        <w:rPr>
          <w:rFonts w:eastAsia="Arial" w:hint="cs"/>
          <w:bdr w:val="nil"/>
          <w:rtl/>
          <w:lang w:val="ar-SA"/>
        </w:rPr>
        <w:t>.</w:t>
      </w:r>
      <w:proofErr w:type="gramEnd"/>
      <w:r>
        <w:rPr>
          <w:rFonts w:eastAsia="Arial"/>
          <w:bdr w:val="nil"/>
          <w:rtl/>
          <w:lang w:val="ar-SA"/>
        </w:rPr>
        <w:t xml:space="preserve">CDIP/6/REV روابط أخرى للبرامج </w:t>
      </w:r>
      <w:proofErr w:type="gramStart"/>
      <w:r>
        <w:rPr>
          <w:rFonts w:eastAsia="Arial"/>
          <w:bdr w:val="nil"/>
          <w:rtl/>
          <w:lang w:val="ar-SA"/>
        </w:rPr>
        <w:t>1</w:t>
      </w:r>
      <w:r>
        <w:rPr>
          <w:vertAlign w:val="superscript"/>
        </w:rPr>
        <w:footnoteReference w:id="20"/>
      </w:r>
      <w:r>
        <w:rPr>
          <w:rFonts w:eastAsia="Arial"/>
          <w:bdr w:val="nil"/>
          <w:rtl/>
          <w:lang w:val="ar-SA"/>
        </w:rPr>
        <w:t xml:space="preserve"> و8</w:t>
      </w:r>
      <w:proofErr w:type="gramEnd"/>
      <w:r>
        <w:rPr>
          <w:vertAlign w:val="superscript"/>
        </w:rPr>
        <w:footnoteReference w:id="21"/>
      </w:r>
      <w:r>
        <w:rPr>
          <w:rFonts w:eastAsia="Arial"/>
          <w:bdr w:val="nil"/>
          <w:rtl/>
          <w:lang w:val="ar-SA"/>
        </w:rPr>
        <w:t xml:space="preserve"> و9</w:t>
      </w:r>
      <w:r>
        <w:rPr>
          <w:vertAlign w:val="superscript"/>
        </w:rPr>
        <w:footnoteReference w:id="22"/>
      </w:r>
      <w:r>
        <w:rPr>
          <w:rFonts w:eastAsia="Arial"/>
          <w:bdr w:val="nil"/>
          <w:rtl/>
          <w:lang w:val="ar-SA"/>
        </w:rPr>
        <w:t>، لكن هذه أكثر عمومية.</w:t>
      </w:r>
    </w:p>
    <w:p w:rsidR="00AE1126" w:rsidRPr="00A91CE9" w:rsidRDefault="00AE1126" w:rsidP="007750F6">
      <w:pPr>
        <w:pStyle w:val="NumberedParaAR"/>
        <w:widowControl w:val="0"/>
        <w:suppressAutoHyphens/>
      </w:pPr>
      <w:r>
        <w:rPr>
          <w:rFonts w:eastAsia="Arial"/>
          <w:bdr w:val="nil"/>
          <w:rtl/>
          <w:lang w:val="ar-SA"/>
        </w:rPr>
        <w:t>كما تؤكد النتائج والاستنتاجات والتوصيات لمختلف المخرجات المعروضة في القسم 2.</w:t>
      </w:r>
      <w:proofErr w:type="gramStart"/>
      <w:r>
        <w:rPr>
          <w:rFonts w:eastAsia="Arial"/>
          <w:bdr w:val="nil"/>
          <w:rtl/>
          <w:lang w:val="ar-SA"/>
        </w:rPr>
        <w:t>جيم</w:t>
      </w:r>
      <w:proofErr w:type="gramEnd"/>
      <w:r>
        <w:rPr>
          <w:rFonts w:eastAsia="Arial"/>
          <w:bdr w:val="nil"/>
          <w:rtl/>
          <w:lang w:val="ar-SA"/>
        </w:rPr>
        <w:t xml:space="preserve"> كذلك المستوى العالي من الوجاهة لنقل التكنولوجيا بالنسبة لأصحاب المصلحة الرئيسيين.</w:t>
      </w:r>
    </w:p>
    <w:p w:rsidR="00AE1126" w:rsidRPr="00A91CE9" w:rsidRDefault="00AE1126" w:rsidP="007750F6">
      <w:pPr>
        <w:pStyle w:val="Heading2AR"/>
        <w:keepNext w:val="0"/>
        <w:widowControl w:val="0"/>
        <w:suppressAutoHyphens/>
      </w:pPr>
      <w:r>
        <w:rPr>
          <w:rFonts w:eastAsia="Arial"/>
          <w:bdr w:val="nil"/>
          <w:rtl/>
          <w:lang w:val="ar-SA" w:eastAsia="zh-CN"/>
        </w:rPr>
        <w:t>(ج</w:t>
      </w:r>
      <w:r w:rsidR="0061422A">
        <w:rPr>
          <w:rFonts w:eastAsia="Arial" w:hint="cs"/>
          <w:bdr w:val="nil"/>
          <w:rtl/>
          <w:lang w:val="ar-SA" w:eastAsia="zh-CN"/>
        </w:rPr>
        <w:t>يم</w:t>
      </w:r>
      <w:r>
        <w:rPr>
          <w:rFonts w:eastAsia="Arial"/>
          <w:bdr w:val="nil"/>
          <w:rtl/>
          <w:lang w:val="ar-SA" w:eastAsia="zh-CN"/>
        </w:rPr>
        <w:t>)</w:t>
      </w:r>
      <w:r>
        <w:rPr>
          <w:rFonts w:eastAsia="Arial"/>
          <w:bdr w:val="nil"/>
          <w:rtl/>
          <w:lang w:val="ar-SA" w:eastAsia="zh-CN"/>
        </w:rPr>
        <w:tab/>
        <w:t>الفعالية</w:t>
      </w:r>
    </w:p>
    <w:p w:rsidR="00AE1126" w:rsidRPr="00624AA2" w:rsidRDefault="00AE1126" w:rsidP="007750F6">
      <w:pPr>
        <w:pStyle w:val="NumberedParaAR"/>
        <w:widowControl w:val="0"/>
        <w:suppressAutoHyphens/>
      </w:pPr>
      <w:r>
        <w:rPr>
          <w:rFonts w:eastAsia="Arial"/>
          <w:bdr w:val="nil"/>
          <w:rtl/>
          <w:lang w:val="ar-SA"/>
        </w:rPr>
        <w:t xml:space="preserve">تعرِّف ورقة </w:t>
      </w:r>
      <w:proofErr w:type="gramStart"/>
      <w:r>
        <w:rPr>
          <w:rFonts w:eastAsia="Arial"/>
          <w:bdr w:val="nil"/>
          <w:rtl/>
          <w:lang w:val="ar-SA"/>
        </w:rPr>
        <w:t>المشروع</w:t>
      </w:r>
      <w:r>
        <w:rPr>
          <w:rStyle w:val="FootnoteReference"/>
        </w:rPr>
        <w:footnoteReference w:id="23"/>
      </w:r>
      <w:r>
        <w:rPr>
          <w:rFonts w:eastAsia="Arial"/>
          <w:bdr w:val="nil"/>
          <w:rtl/>
          <w:lang w:val="ar-SA"/>
        </w:rPr>
        <w:t xml:space="preserve"> </w:t>
      </w:r>
      <w:r w:rsidR="001B4E64">
        <w:rPr>
          <w:rFonts w:eastAsia="Arial" w:hint="cs"/>
          <w:bdr w:val="nil"/>
          <w:rtl/>
          <w:lang w:val="ar-SA"/>
        </w:rPr>
        <w:t>عن</w:t>
      </w:r>
      <w:proofErr w:type="gramEnd"/>
      <w:r w:rsidR="001B4E64">
        <w:rPr>
          <w:rFonts w:eastAsia="Arial" w:hint="cs"/>
          <w:bdr w:val="nil"/>
          <w:rtl/>
          <w:lang w:val="ar-SA"/>
        </w:rPr>
        <w:t xml:space="preserve"> </w:t>
      </w:r>
      <w:r>
        <w:rPr>
          <w:rFonts w:eastAsia="Arial"/>
          <w:bdr w:val="nil"/>
          <w:rtl/>
          <w:lang w:val="ar-SA"/>
        </w:rPr>
        <w:t>مؤشرات النجاح التالية لمستوى النواتج:</w:t>
      </w:r>
    </w:p>
    <w:p w:rsidR="00AE1126" w:rsidRDefault="00AE1126" w:rsidP="00C323EE">
      <w:pPr>
        <w:pStyle w:val="NormalParaAR"/>
        <w:widowControl w:val="0"/>
        <w:numPr>
          <w:ilvl w:val="0"/>
          <w:numId w:val="20"/>
        </w:numPr>
        <w:suppressAutoHyphens/>
        <w:ind w:left="566" w:firstLine="0"/>
      </w:pPr>
      <w:proofErr w:type="gramStart"/>
      <w:r>
        <w:rPr>
          <w:rFonts w:eastAsia="Arial"/>
          <w:bdr w:val="nil"/>
          <w:rtl/>
          <w:lang w:val="ar-SA"/>
        </w:rPr>
        <w:t>تعليقات</w:t>
      </w:r>
      <w:proofErr w:type="gramEnd"/>
      <w:r>
        <w:rPr>
          <w:rFonts w:eastAsia="Arial"/>
          <w:bdr w:val="nil"/>
          <w:rtl/>
          <w:lang w:val="ar-SA"/>
        </w:rPr>
        <w:t xml:space="preserve"> من اللجنة بشأن مدى تحقق تحسن في فهم المسائل وتحقيق أهداف المشروع؛ </w:t>
      </w:r>
    </w:p>
    <w:p w:rsidR="00AE1126" w:rsidRDefault="00AE1126" w:rsidP="00C323EE">
      <w:pPr>
        <w:pStyle w:val="NormalParaAR"/>
        <w:widowControl w:val="0"/>
        <w:numPr>
          <w:ilvl w:val="0"/>
          <w:numId w:val="20"/>
        </w:numPr>
        <w:suppressAutoHyphens/>
        <w:ind w:left="566" w:firstLine="0"/>
      </w:pPr>
      <w:proofErr w:type="gramStart"/>
      <w:r>
        <w:rPr>
          <w:rFonts w:eastAsia="Arial"/>
          <w:bdr w:val="nil"/>
          <w:rtl/>
          <w:lang w:val="ar-SA"/>
        </w:rPr>
        <w:t>واعتماد</w:t>
      </w:r>
      <w:proofErr w:type="gramEnd"/>
      <w:r>
        <w:rPr>
          <w:rFonts w:eastAsia="Arial"/>
          <w:bdr w:val="nil"/>
          <w:rtl/>
          <w:lang w:val="ar-SA"/>
        </w:rPr>
        <w:t xml:space="preserve"> هذه الاقتراحات والتوصيات والتدابير المحتملة لعزيز نقل التكنولوجيا من قبل الدول الأعضاء واستخدام </w:t>
      </w:r>
      <w:r>
        <w:rPr>
          <w:rFonts w:eastAsia="Arial"/>
          <w:bdr w:val="nil"/>
          <w:rtl/>
          <w:lang w:val="ar-SA"/>
        </w:rPr>
        <w:lastRenderedPageBreak/>
        <w:t>ذلك استخداما ملموساً؛</w:t>
      </w:r>
    </w:p>
    <w:p w:rsidR="00AE1126" w:rsidRDefault="00AE1126" w:rsidP="00C323EE">
      <w:pPr>
        <w:pStyle w:val="NormalParaAR"/>
        <w:widowControl w:val="0"/>
        <w:numPr>
          <w:ilvl w:val="0"/>
          <w:numId w:val="16"/>
        </w:numPr>
        <w:suppressAutoHyphens/>
        <w:ind w:left="566" w:firstLine="0"/>
      </w:pPr>
      <w:r>
        <w:rPr>
          <w:rFonts w:eastAsia="Arial"/>
          <w:bdr w:val="nil"/>
          <w:rtl/>
          <w:lang w:val="ar-SA"/>
        </w:rPr>
        <w:t xml:space="preserve">وتعليقات بشأن المحتويات من المستخدمين عبر المنتدى الإلكتروني </w:t>
      </w:r>
      <w:proofErr w:type="spellStart"/>
      <w:r>
        <w:rPr>
          <w:rFonts w:eastAsia="Arial"/>
          <w:bdr w:val="nil"/>
          <w:rtl/>
          <w:lang w:val="ar-SA"/>
        </w:rPr>
        <w:t>واستقصاءات</w:t>
      </w:r>
      <w:proofErr w:type="spellEnd"/>
      <w:r>
        <w:rPr>
          <w:rFonts w:eastAsia="Arial"/>
          <w:bdr w:val="nil"/>
          <w:rtl/>
          <w:lang w:val="ar-SA"/>
        </w:rPr>
        <w:t xml:space="preserve"> التقويم؛  </w:t>
      </w:r>
    </w:p>
    <w:p w:rsidR="00AE1126" w:rsidRDefault="00AE1126" w:rsidP="00C323EE">
      <w:pPr>
        <w:pStyle w:val="NormalParaAR"/>
        <w:widowControl w:val="0"/>
        <w:numPr>
          <w:ilvl w:val="0"/>
          <w:numId w:val="16"/>
        </w:numPr>
        <w:suppressAutoHyphens/>
        <w:ind w:left="566" w:firstLine="0"/>
      </w:pPr>
      <w:r>
        <w:rPr>
          <w:rFonts w:eastAsia="Arial"/>
          <w:bdr w:val="nil"/>
          <w:rtl/>
          <w:lang w:val="ar-SA"/>
        </w:rPr>
        <w:t xml:space="preserve">واستخدام البلدان النامية وأقل البلدان </w:t>
      </w:r>
      <w:proofErr w:type="gramStart"/>
      <w:r>
        <w:rPr>
          <w:rFonts w:eastAsia="Arial"/>
          <w:bdr w:val="nil"/>
          <w:rtl/>
          <w:lang w:val="ar-SA"/>
        </w:rPr>
        <w:t>نموا</w:t>
      </w:r>
      <w:proofErr w:type="gramEnd"/>
      <w:r>
        <w:rPr>
          <w:rFonts w:eastAsia="Arial"/>
          <w:bdr w:val="nil"/>
          <w:rtl/>
          <w:lang w:val="ar-SA"/>
        </w:rPr>
        <w:t xml:space="preserve"> للمنتدى الإلكتروني بشكل موسع. </w:t>
      </w:r>
    </w:p>
    <w:p w:rsidR="00AE1126" w:rsidRDefault="00AE1126" w:rsidP="007750F6">
      <w:pPr>
        <w:pStyle w:val="NumberedParaAR"/>
        <w:widowControl w:val="0"/>
        <w:suppressAutoHyphens/>
      </w:pPr>
      <w:r>
        <w:rPr>
          <w:rFonts w:eastAsia="Arial"/>
          <w:bdr w:val="nil"/>
          <w:rtl/>
          <w:lang w:val="ar-SA"/>
        </w:rPr>
        <w:t>وبالنظر إلى أن المخرجات الرئيسية، لا سيما المنتدى الإلكتروني، لم تستخدم إلا قريباً، فليس من المعقول إقامة علاقة سببية بين المشروع وأي نواتج مشاهَدة، باستثناء "الفهم المحسَّن"، الذي يشير فيما يبدو إلى معلومات متاحة للجماهير مستفادة من دراسات ومن مؤتمرات.</w:t>
      </w:r>
    </w:p>
    <w:p w:rsidR="00AE1126" w:rsidRPr="00A91CE9" w:rsidRDefault="00AE1126" w:rsidP="007750F6">
      <w:pPr>
        <w:pStyle w:val="NumberedParaAR"/>
        <w:widowControl w:val="0"/>
        <w:suppressAutoHyphens/>
      </w:pPr>
      <w:proofErr w:type="gramStart"/>
      <w:r>
        <w:rPr>
          <w:rFonts w:eastAsia="Arial"/>
          <w:bdr w:val="nil"/>
          <w:rtl/>
          <w:lang w:val="ar-SA"/>
        </w:rPr>
        <w:t>وقد</w:t>
      </w:r>
      <w:proofErr w:type="gramEnd"/>
      <w:r>
        <w:rPr>
          <w:rFonts w:eastAsia="Arial"/>
          <w:bdr w:val="nil"/>
          <w:rtl/>
          <w:lang w:val="ar-SA"/>
        </w:rPr>
        <w:t xml:space="preserve"> جرى التحقق من تنفيذ المخرجات الرئيسية التالية في المشروع من خلال دراسة مكتبية</w:t>
      </w:r>
      <w:r w:rsidR="004E22FC">
        <w:rPr>
          <w:rFonts w:eastAsia="Arial"/>
          <w:bdr w:val="nil"/>
          <w:rtl/>
          <w:lang w:val="ar-SA"/>
        </w:rPr>
        <w:t xml:space="preserve"> </w:t>
      </w:r>
      <w:r>
        <w:rPr>
          <w:rFonts w:eastAsia="Arial"/>
          <w:bdr w:val="nil"/>
          <w:rtl/>
          <w:lang w:val="ar-SA"/>
        </w:rPr>
        <w:t>لآخر تقرير بشأن التنفيذ ومن خلال إجراء مقابلات:</w:t>
      </w:r>
    </w:p>
    <w:p w:rsidR="0037263F" w:rsidRPr="0037263F" w:rsidRDefault="00AE1126" w:rsidP="007750F6">
      <w:pPr>
        <w:pStyle w:val="Heading3AR"/>
        <w:keepNext w:val="0"/>
        <w:widowControl w:val="0"/>
        <w:suppressAutoHyphens/>
        <w:rPr>
          <w:rFonts w:eastAsia="Arial"/>
          <w:bdr w:val="nil"/>
          <w:rtl/>
          <w:lang w:val="ar-SA" w:eastAsia="zh-CN"/>
        </w:rPr>
      </w:pPr>
      <w:r>
        <w:rPr>
          <w:rFonts w:eastAsia="Arial"/>
          <w:u w:val="none"/>
          <w:bdr w:val="nil"/>
          <w:rtl/>
          <w:lang w:val="ar-SA" w:eastAsia="zh-CN"/>
        </w:rPr>
        <w:t>('1')</w:t>
      </w:r>
      <w:r>
        <w:rPr>
          <w:rFonts w:eastAsia="Arial"/>
          <w:u w:val="none"/>
          <w:bdr w:val="nil"/>
          <w:rtl/>
          <w:lang w:val="ar-SA" w:eastAsia="zh-CN"/>
        </w:rPr>
        <w:tab/>
      </w:r>
      <w:r>
        <w:rPr>
          <w:rFonts w:eastAsia="Arial"/>
          <w:bdr w:val="nil"/>
          <w:rtl/>
          <w:lang w:val="ar-SA" w:eastAsia="zh-CN"/>
        </w:rPr>
        <w:t>المخرج 1</w:t>
      </w:r>
      <w:r w:rsidR="00241FA8">
        <w:rPr>
          <w:rFonts w:eastAsia="Arial"/>
          <w:bdr w:val="nil"/>
          <w:rtl/>
          <w:lang w:val="ar-SA" w:eastAsia="zh-CN"/>
        </w:rPr>
        <w:t xml:space="preserve">: </w:t>
      </w:r>
      <w:r>
        <w:rPr>
          <w:rFonts w:eastAsia="Arial"/>
          <w:bdr w:val="nil"/>
          <w:rtl/>
          <w:lang w:val="ar-SA" w:eastAsia="zh-CN"/>
        </w:rPr>
        <w:t>اجتماعات تشاورية إقليمية بشأن نقل التكنولوجيا</w:t>
      </w:r>
    </w:p>
    <w:p w:rsidR="00AE1126" w:rsidRPr="00A91CE9" w:rsidRDefault="00AE1126" w:rsidP="007750F6">
      <w:pPr>
        <w:pStyle w:val="NumberedParaAR"/>
        <w:widowControl w:val="0"/>
        <w:suppressAutoHyphens/>
      </w:pPr>
      <w:r>
        <w:rPr>
          <w:rFonts w:eastAsia="Arial"/>
          <w:bdr w:val="nil"/>
          <w:rtl/>
          <w:lang w:val="ar-SA"/>
        </w:rPr>
        <w:t xml:space="preserve">نظمت الأمانة الاجتماعات التشاورية الإقليمية بشأن نقل التكنولوجيا الخمسة المقررة، حيث عُقد أولها في سنغافورة (لمنطقة آسيا) يومي 16 و17 يوليه 2012، والثاني في الجزائر (للمنطقة الأفريقية والعربية) يومي 29 و20 يناير 2013، والثالث في إسطنبول (للمنطقة الانتقالية) يومي 24 و25 أكتوبر 2013، والرابع في جنيف (منطقة البلدان المتقدمة) يومي 25 و26 نوفمبر 2013، والخامس في </w:t>
      </w:r>
      <w:proofErr w:type="spellStart"/>
      <w:r>
        <w:rPr>
          <w:rFonts w:eastAsia="Arial"/>
          <w:bdr w:val="nil"/>
          <w:rtl/>
          <w:lang w:val="ar-SA"/>
        </w:rPr>
        <w:t>مونتيري</w:t>
      </w:r>
      <w:proofErr w:type="spellEnd"/>
      <w:r>
        <w:rPr>
          <w:rFonts w:eastAsia="Arial"/>
          <w:bdr w:val="nil"/>
          <w:rtl/>
          <w:lang w:val="ar-SA"/>
        </w:rPr>
        <w:t xml:space="preserve"> (لمنطقة أمريكا اللاتينية والكاريبي) يومي 5 و6 ديسمبر 2013.</w:t>
      </w:r>
    </w:p>
    <w:p w:rsidR="00AE1126" w:rsidRDefault="00AE1126" w:rsidP="007750F6">
      <w:pPr>
        <w:pStyle w:val="NumberedParaAR"/>
        <w:widowControl w:val="0"/>
        <w:suppressAutoHyphens/>
      </w:pPr>
      <w:proofErr w:type="gramStart"/>
      <w:r>
        <w:rPr>
          <w:rFonts w:eastAsia="Arial"/>
          <w:bdr w:val="nil"/>
          <w:rtl/>
          <w:lang w:val="ar-SA"/>
        </w:rPr>
        <w:t>وأجرِيت</w:t>
      </w:r>
      <w:proofErr w:type="gramEnd"/>
      <w:r>
        <w:rPr>
          <w:rFonts w:eastAsia="Arial"/>
          <w:bdr w:val="nil"/>
          <w:rtl/>
          <w:lang w:val="ar-SA"/>
        </w:rPr>
        <w:t xml:space="preserve"> على التعليقات الإيجابية بشأن المؤتمرات التي وردت في تقرير التقييم الداخلي للأمانة عملية تحقق من خلال مقابلات مع عينة من المشاركين في المؤتمرات</w:t>
      </w:r>
      <w:r w:rsidR="00B27244">
        <w:rPr>
          <w:rFonts w:eastAsia="Arial"/>
          <w:bdr w:val="nil"/>
          <w:rtl/>
          <w:lang w:val="ar-SA"/>
        </w:rPr>
        <w:t xml:space="preserve">. </w:t>
      </w:r>
      <w:proofErr w:type="gramStart"/>
      <w:r>
        <w:rPr>
          <w:rFonts w:eastAsia="Arial"/>
          <w:bdr w:val="nil"/>
          <w:rtl/>
          <w:lang w:val="ar-SA"/>
        </w:rPr>
        <w:t>وقد</w:t>
      </w:r>
      <w:proofErr w:type="gramEnd"/>
      <w:r>
        <w:rPr>
          <w:rFonts w:eastAsia="Arial"/>
          <w:bdr w:val="nil"/>
          <w:rtl/>
          <w:lang w:val="ar-SA"/>
        </w:rPr>
        <w:t xml:space="preserve"> أكد أفراد عينة عشوائية من المشاركين أن الاجتماعات كانت جيدة الإعداد وملبية لاحتياجاتهم.</w:t>
      </w:r>
    </w:p>
    <w:p w:rsidR="00AE1126" w:rsidRPr="00A91CE9" w:rsidRDefault="00AE1126" w:rsidP="007750F6">
      <w:pPr>
        <w:pStyle w:val="Heading3AR"/>
        <w:keepNext w:val="0"/>
        <w:widowControl w:val="0"/>
        <w:suppressAutoHyphens/>
      </w:pPr>
      <w:r>
        <w:rPr>
          <w:rFonts w:eastAsia="Arial"/>
          <w:u w:val="none"/>
          <w:bdr w:val="nil"/>
          <w:rtl/>
          <w:lang w:val="ar-SA" w:eastAsia="zh-CN"/>
        </w:rPr>
        <w:t>('2')</w:t>
      </w:r>
      <w:r>
        <w:rPr>
          <w:rFonts w:eastAsia="Arial"/>
          <w:u w:val="none"/>
          <w:bdr w:val="nil"/>
          <w:rtl/>
          <w:lang w:val="ar-SA" w:eastAsia="zh-CN"/>
        </w:rPr>
        <w:tab/>
      </w:r>
      <w:r>
        <w:rPr>
          <w:rFonts w:eastAsia="Arial"/>
          <w:bdr w:val="nil"/>
          <w:rtl/>
          <w:lang w:val="ar-SA" w:eastAsia="zh-CN"/>
        </w:rPr>
        <w:t>المخرج 2</w:t>
      </w:r>
      <w:r w:rsidR="00241FA8">
        <w:rPr>
          <w:rFonts w:eastAsia="Arial"/>
          <w:bdr w:val="nil"/>
          <w:rtl/>
          <w:lang w:val="ar-SA" w:eastAsia="zh-CN"/>
        </w:rPr>
        <w:t xml:space="preserve">: </w:t>
      </w:r>
      <w:proofErr w:type="gramStart"/>
      <w:r>
        <w:rPr>
          <w:rFonts w:eastAsia="Arial"/>
          <w:bdr w:val="nil"/>
          <w:rtl/>
          <w:lang w:val="ar-SA" w:eastAsia="zh-CN"/>
        </w:rPr>
        <w:t>دراسات</w:t>
      </w:r>
      <w:proofErr w:type="gramEnd"/>
      <w:r>
        <w:rPr>
          <w:rFonts w:eastAsia="Arial"/>
          <w:bdr w:val="nil"/>
          <w:rtl/>
          <w:lang w:val="ar-SA" w:eastAsia="zh-CN"/>
        </w:rPr>
        <w:t xml:space="preserve"> تحليلية</w:t>
      </w:r>
    </w:p>
    <w:p w:rsidR="00AE1126" w:rsidRPr="00A91CE9" w:rsidRDefault="00AE1126" w:rsidP="007750F6">
      <w:pPr>
        <w:pStyle w:val="NumberedParaAR"/>
        <w:widowControl w:val="0"/>
        <w:suppressAutoHyphens/>
      </w:pPr>
      <w:r>
        <w:rPr>
          <w:rFonts w:eastAsia="Arial"/>
          <w:bdr w:val="nil"/>
          <w:rtl/>
          <w:lang w:val="ar-SA"/>
        </w:rPr>
        <w:t>أصدرت الأمانة تكليفات بإجراء الدراسات الست التحليلية الآتية، وكانت مشروعات نهائية للدراسات الست جميعاً قد وردت بنهاية الأسبوع الأول من سبتمبر 2014:</w:t>
      </w:r>
    </w:p>
    <w:p w:rsidR="00AE1126" w:rsidRPr="00A91CE9" w:rsidRDefault="00AE1126" w:rsidP="00C323EE">
      <w:pPr>
        <w:pStyle w:val="NormalParaAR"/>
        <w:widowControl w:val="0"/>
        <w:numPr>
          <w:ilvl w:val="0"/>
          <w:numId w:val="17"/>
        </w:numPr>
        <w:suppressAutoHyphens/>
        <w:ind w:left="566" w:hanging="12"/>
      </w:pPr>
      <w:r>
        <w:rPr>
          <w:rFonts w:eastAsia="Arial"/>
          <w:bdr w:val="nil"/>
          <w:rtl/>
          <w:lang w:val="ar-SA"/>
        </w:rPr>
        <w:t xml:space="preserve">اقتصاديات الملكية الفكرية ونقل التكنولوجيا على الصعيد </w:t>
      </w:r>
      <w:proofErr w:type="gramStart"/>
      <w:r>
        <w:rPr>
          <w:rFonts w:eastAsia="Arial"/>
          <w:bdr w:val="nil"/>
          <w:rtl/>
          <w:lang w:val="ar-SA"/>
        </w:rPr>
        <w:t>الدولي</w:t>
      </w:r>
      <w:r>
        <w:rPr>
          <w:vertAlign w:val="superscript"/>
        </w:rPr>
        <w:footnoteReference w:id="24"/>
      </w:r>
      <w:r>
        <w:rPr>
          <w:rFonts w:eastAsia="Arial"/>
          <w:bdr w:val="nil"/>
          <w:rtl/>
          <w:lang w:val="ar-SA"/>
        </w:rPr>
        <w:t>؛</w:t>
      </w:r>
      <w:proofErr w:type="gramEnd"/>
    </w:p>
    <w:p w:rsidR="00AE1126" w:rsidRPr="00A91CE9" w:rsidRDefault="00AE1126" w:rsidP="00C323EE">
      <w:pPr>
        <w:pStyle w:val="NormalParaAR"/>
        <w:widowControl w:val="0"/>
        <w:numPr>
          <w:ilvl w:val="0"/>
          <w:numId w:val="17"/>
        </w:numPr>
        <w:suppressAutoHyphens/>
        <w:ind w:left="566" w:hanging="12"/>
      </w:pPr>
      <w:r>
        <w:rPr>
          <w:rFonts w:eastAsia="Arial"/>
          <w:bdr w:val="nil"/>
          <w:rtl/>
          <w:lang w:val="ar-SA"/>
        </w:rPr>
        <w:t xml:space="preserve">والسياسات والمبادرات ذات الصلة بالملكية الفكرية في البلدان المتقدمة لتعزيز نقل </w:t>
      </w:r>
      <w:proofErr w:type="gramStart"/>
      <w:r>
        <w:rPr>
          <w:rFonts w:eastAsia="Arial"/>
          <w:bdr w:val="nil"/>
          <w:rtl/>
          <w:lang w:val="ar-SA"/>
        </w:rPr>
        <w:t>التكنولوجيا</w:t>
      </w:r>
      <w:r>
        <w:rPr>
          <w:vertAlign w:val="superscript"/>
        </w:rPr>
        <w:footnoteReference w:id="25"/>
      </w:r>
      <w:r>
        <w:rPr>
          <w:rFonts w:eastAsia="Arial"/>
          <w:bdr w:val="nil"/>
          <w:rtl/>
          <w:lang w:val="ar-SA"/>
        </w:rPr>
        <w:t>؛</w:t>
      </w:r>
      <w:proofErr w:type="gramEnd"/>
    </w:p>
    <w:p w:rsidR="00AE1126" w:rsidRPr="00A91CE9" w:rsidRDefault="00AE1126" w:rsidP="00C323EE">
      <w:pPr>
        <w:pStyle w:val="NormalParaAR"/>
        <w:widowControl w:val="0"/>
        <w:numPr>
          <w:ilvl w:val="0"/>
          <w:numId w:val="17"/>
        </w:numPr>
        <w:suppressAutoHyphens/>
        <w:ind w:left="566" w:hanging="12"/>
      </w:pPr>
      <w:r>
        <w:rPr>
          <w:rFonts w:eastAsia="Arial"/>
          <w:bdr w:val="nil"/>
          <w:rtl/>
          <w:lang w:val="ar-SA"/>
        </w:rPr>
        <w:t>ودراسات إفرادية بشأن التعاون والتبادل بين مؤسسات البحث والتطوير في البلدان المتقدمة والنامية</w:t>
      </w:r>
      <w:r>
        <w:rPr>
          <w:vertAlign w:val="superscript"/>
        </w:rPr>
        <w:footnoteReference w:id="26"/>
      </w:r>
      <w:r>
        <w:rPr>
          <w:rFonts w:eastAsia="Arial"/>
          <w:bdr w:val="nil"/>
          <w:rtl/>
          <w:lang w:val="ar-SA"/>
        </w:rPr>
        <w:t>؛</w:t>
      </w:r>
    </w:p>
    <w:p w:rsidR="00AE1126" w:rsidRPr="00A91CE9" w:rsidRDefault="00AE1126" w:rsidP="00C323EE">
      <w:pPr>
        <w:pStyle w:val="NormalParaAR"/>
        <w:widowControl w:val="0"/>
        <w:numPr>
          <w:ilvl w:val="0"/>
          <w:numId w:val="17"/>
        </w:numPr>
        <w:suppressAutoHyphens/>
        <w:ind w:left="566" w:hanging="12"/>
      </w:pPr>
      <w:r>
        <w:rPr>
          <w:rFonts w:eastAsia="Arial"/>
          <w:bdr w:val="nil"/>
          <w:rtl/>
          <w:lang w:val="ar-SA"/>
        </w:rPr>
        <w:t xml:space="preserve">والسياسات التي تنمي مشاركة الشركات في نقل </w:t>
      </w:r>
      <w:proofErr w:type="gramStart"/>
      <w:r>
        <w:rPr>
          <w:rFonts w:eastAsia="Arial"/>
          <w:bdr w:val="nil"/>
          <w:rtl/>
          <w:lang w:val="ar-SA"/>
        </w:rPr>
        <w:t>التكنولوجيا</w:t>
      </w:r>
      <w:r>
        <w:rPr>
          <w:vertAlign w:val="superscript"/>
        </w:rPr>
        <w:footnoteReference w:id="27"/>
      </w:r>
      <w:r>
        <w:rPr>
          <w:rFonts w:eastAsia="Arial"/>
          <w:bdr w:val="nil"/>
          <w:rtl/>
          <w:lang w:val="ar-SA"/>
        </w:rPr>
        <w:t>؛</w:t>
      </w:r>
      <w:proofErr w:type="gramEnd"/>
    </w:p>
    <w:p w:rsidR="00AE1126" w:rsidRPr="00A91CE9" w:rsidRDefault="00AE1126" w:rsidP="00C323EE">
      <w:pPr>
        <w:pStyle w:val="NormalParaAR"/>
        <w:widowControl w:val="0"/>
        <w:numPr>
          <w:ilvl w:val="0"/>
          <w:numId w:val="17"/>
        </w:numPr>
        <w:suppressAutoHyphens/>
        <w:ind w:left="566" w:hanging="12"/>
      </w:pPr>
      <w:r>
        <w:rPr>
          <w:rFonts w:eastAsia="Arial"/>
          <w:bdr w:val="nil"/>
          <w:rtl/>
          <w:lang w:val="ar-SA"/>
        </w:rPr>
        <w:t>ونقل التكنولوجيا على الصعيد العالمي</w:t>
      </w:r>
      <w:r w:rsidR="00241FA8">
        <w:rPr>
          <w:rFonts w:eastAsia="Arial"/>
          <w:bdr w:val="nil"/>
          <w:rtl/>
          <w:lang w:val="ar-SA"/>
        </w:rPr>
        <w:t xml:space="preserve">: </w:t>
      </w:r>
      <w:r>
        <w:rPr>
          <w:rFonts w:eastAsia="Arial"/>
          <w:bdr w:val="nil"/>
          <w:rtl/>
          <w:lang w:val="ar-SA"/>
        </w:rPr>
        <w:t xml:space="preserve">تحليل من منظور البلدان </w:t>
      </w:r>
      <w:proofErr w:type="gramStart"/>
      <w:r>
        <w:rPr>
          <w:rFonts w:eastAsia="Arial"/>
          <w:bdr w:val="nil"/>
          <w:rtl/>
          <w:lang w:val="ar-SA"/>
        </w:rPr>
        <w:t>النامية</w:t>
      </w:r>
      <w:r>
        <w:rPr>
          <w:vertAlign w:val="superscript"/>
        </w:rPr>
        <w:footnoteReference w:id="28"/>
      </w:r>
      <w:r>
        <w:rPr>
          <w:rFonts w:eastAsia="Arial"/>
          <w:bdr w:val="nil"/>
          <w:rtl/>
          <w:lang w:val="ar-SA"/>
        </w:rPr>
        <w:t>؛</w:t>
      </w:r>
      <w:proofErr w:type="gramEnd"/>
    </w:p>
    <w:p w:rsidR="00AE1126" w:rsidRPr="00A91CE9" w:rsidRDefault="00AE1126" w:rsidP="00C323EE">
      <w:pPr>
        <w:pStyle w:val="NormalParaAR"/>
        <w:widowControl w:val="0"/>
        <w:numPr>
          <w:ilvl w:val="0"/>
          <w:numId w:val="17"/>
        </w:numPr>
        <w:suppressAutoHyphens/>
        <w:ind w:left="566" w:hanging="12"/>
      </w:pPr>
      <w:r>
        <w:rPr>
          <w:rFonts w:eastAsia="Arial"/>
          <w:bdr w:val="nil"/>
          <w:rtl/>
          <w:lang w:val="ar-SA"/>
        </w:rPr>
        <w:t xml:space="preserve">وبدائل لنظام البراءات مستخدمة لدعم جهود البحث والتطوير، مما يتضمن آليات كلٍ من الدفع والسحب، مع </w:t>
      </w:r>
      <w:r>
        <w:rPr>
          <w:rFonts w:eastAsia="Arial"/>
          <w:bdr w:val="nil"/>
          <w:rtl/>
          <w:lang w:val="ar-SA"/>
        </w:rPr>
        <w:lastRenderedPageBreak/>
        <w:t>تركيز خاص على جوائز تشجيع الابتكار ونماذج تطوير المصدر المفتوح.</w:t>
      </w:r>
      <w:r>
        <w:rPr>
          <w:vertAlign w:val="superscript"/>
        </w:rPr>
        <w:footnoteReference w:id="29"/>
      </w:r>
    </w:p>
    <w:p w:rsidR="00AE1126" w:rsidRDefault="00AE1126" w:rsidP="007750F6">
      <w:pPr>
        <w:pStyle w:val="NumberedParaAR"/>
        <w:widowControl w:val="0"/>
        <w:suppressAutoHyphens/>
        <w:rPr>
          <w:lang w:bidi="en-US"/>
        </w:rPr>
      </w:pPr>
      <w:r>
        <w:rPr>
          <w:rFonts w:eastAsia="Arial"/>
          <w:bdr w:val="nil"/>
          <w:rtl/>
          <w:lang w:val="ar-SA"/>
        </w:rPr>
        <w:t xml:space="preserve">وخضعت الدراسات الست جميعاً لاستعراض الأقران، </w:t>
      </w:r>
      <w:proofErr w:type="gramStart"/>
      <w:r>
        <w:rPr>
          <w:rFonts w:eastAsia="Arial"/>
          <w:bdr w:val="nil"/>
          <w:rtl/>
          <w:lang w:val="ar-SA"/>
        </w:rPr>
        <w:t>وإن</w:t>
      </w:r>
      <w:proofErr w:type="gramEnd"/>
      <w:r>
        <w:rPr>
          <w:rFonts w:eastAsia="Arial"/>
          <w:bdr w:val="nil"/>
          <w:rtl/>
          <w:lang w:val="ar-SA"/>
        </w:rPr>
        <w:t xml:space="preserve"> كانت جودة بعض نتائج الاستعراض المقدمة بمقتضى اتفاق غير رسمي مشوبة</w:t>
      </w:r>
      <w:r w:rsidR="00B27244">
        <w:rPr>
          <w:rFonts w:eastAsia="Arial"/>
          <w:bdr w:val="nil"/>
          <w:rtl/>
          <w:lang w:val="ar-SA"/>
        </w:rPr>
        <w:t xml:space="preserve">. </w:t>
      </w:r>
      <w:proofErr w:type="spellStart"/>
      <w:r>
        <w:rPr>
          <w:rFonts w:eastAsia="Arial"/>
          <w:bdr w:val="nil"/>
          <w:rtl/>
          <w:lang w:val="ar-SA"/>
        </w:rPr>
        <w:t>وأتيحت</w:t>
      </w:r>
      <w:proofErr w:type="spellEnd"/>
      <w:r>
        <w:rPr>
          <w:rFonts w:eastAsia="Arial"/>
          <w:bdr w:val="nil"/>
          <w:rtl/>
          <w:lang w:val="ar-SA"/>
        </w:rPr>
        <w:t xml:space="preserve"> لمعدي الدراسات فرصة لتطبيق الاقتراحات الناتجة عن عملية استعراض الأقران</w:t>
      </w:r>
      <w:r w:rsidR="00B27244">
        <w:rPr>
          <w:rFonts w:eastAsia="Arial"/>
          <w:bdr w:val="nil"/>
          <w:rtl/>
          <w:lang w:val="ar-SA"/>
        </w:rPr>
        <w:t xml:space="preserve">. </w:t>
      </w:r>
      <w:r>
        <w:rPr>
          <w:rFonts w:eastAsia="Arial"/>
          <w:bdr w:val="nil"/>
          <w:rtl/>
          <w:lang w:val="ar-SA"/>
        </w:rPr>
        <w:t>وعرِضت الدراسات واستعراضات الأقران على اللجنة.</w:t>
      </w:r>
      <w:r>
        <w:rPr>
          <w:rStyle w:val="FootnoteReference"/>
        </w:rPr>
        <w:footnoteReference w:id="30"/>
      </w:r>
    </w:p>
    <w:p w:rsidR="00AE1126" w:rsidRPr="00A91CE9" w:rsidRDefault="00AE1126" w:rsidP="007750F6">
      <w:pPr>
        <w:pStyle w:val="NumberedParaAR"/>
        <w:widowControl w:val="0"/>
        <w:suppressAutoHyphens/>
        <w:rPr>
          <w:lang w:bidi="en-US"/>
        </w:rPr>
      </w:pPr>
      <w:r>
        <w:rPr>
          <w:rFonts w:eastAsia="Arial"/>
          <w:bdr w:val="nil"/>
          <w:rtl/>
          <w:lang w:val="ar-SA"/>
        </w:rPr>
        <w:t xml:space="preserve">وجاءت الدراسات بجودة حسنة بشكل </w:t>
      </w:r>
      <w:proofErr w:type="gramStart"/>
      <w:r>
        <w:rPr>
          <w:rFonts w:eastAsia="Arial"/>
          <w:bdr w:val="nil"/>
          <w:rtl/>
          <w:lang w:val="ar-SA"/>
        </w:rPr>
        <w:t>عام</w:t>
      </w:r>
      <w:proofErr w:type="gramEnd"/>
      <w:r w:rsidR="00B27244">
        <w:rPr>
          <w:rFonts w:eastAsia="Arial"/>
          <w:bdr w:val="nil"/>
          <w:rtl/>
          <w:lang w:val="ar-SA"/>
        </w:rPr>
        <w:t xml:space="preserve">. </w:t>
      </w:r>
      <w:r>
        <w:rPr>
          <w:rFonts w:eastAsia="Arial"/>
          <w:bdr w:val="nil"/>
          <w:rtl/>
          <w:lang w:val="ar-SA"/>
        </w:rPr>
        <w:t>وتعرض الملخصات التنفيذية لمحات تفصيلية عن الأوراق المناظرة</w:t>
      </w:r>
      <w:r w:rsidR="00B27244">
        <w:rPr>
          <w:rFonts w:eastAsia="Arial"/>
          <w:bdr w:val="nil"/>
          <w:rtl/>
          <w:lang w:val="ar-SA"/>
        </w:rPr>
        <w:t xml:space="preserve">. </w:t>
      </w:r>
      <w:proofErr w:type="gramStart"/>
      <w:r>
        <w:rPr>
          <w:rFonts w:eastAsia="Arial"/>
          <w:bdr w:val="nil"/>
          <w:rtl/>
          <w:lang w:val="ar-SA"/>
        </w:rPr>
        <w:t>ويوجد</w:t>
      </w:r>
      <w:proofErr w:type="gramEnd"/>
      <w:r>
        <w:rPr>
          <w:rFonts w:eastAsia="Arial"/>
          <w:bdr w:val="nil"/>
          <w:rtl/>
          <w:lang w:val="ar-SA"/>
        </w:rPr>
        <w:t xml:space="preserve"> مجال للتحسين في الحرص على وضع ملخصات تنفيذية واضحة في ذاتها تعرض فحوى الدراسات بلغة بسيطة يستطيع عموم الجماهير أيضاً فهمها</w:t>
      </w:r>
      <w:r w:rsidR="00B27244">
        <w:rPr>
          <w:rFonts w:eastAsia="Arial"/>
          <w:bdr w:val="nil"/>
          <w:rtl/>
          <w:lang w:val="ar-SA"/>
        </w:rPr>
        <w:t xml:space="preserve">. </w:t>
      </w:r>
      <w:r>
        <w:rPr>
          <w:rFonts w:eastAsia="Arial"/>
          <w:bdr w:val="nil"/>
          <w:rtl/>
          <w:lang w:val="ar-SA"/>
        </w:rPr>
        <w:t xml:space="preserve">ولهذا </w:t>
      </w:r>
      <w:proofErr w:type="gramStart"/>
      <w:r>
        <w:rPr>
          <w:rFonts w:eastAsia="Arial"/>
          <w:bdr w:val="nil"/>
          <w:rtl/>
          <w:lang w:val="ar-SA"/>
        </w:rPr>
        <w:t>أهمية</w:t>
      </w:r>
      <w:proofErr w:type="gramEnd"/>
      <w:r>
        <w:rPr>
          <w:rFonts w:eastAsia="Arial"/>
          <w:bdr w:val="nil"/>
          <w:rtl/>
          <w:lang w:val="ar-SA"/>
        </w:rPr>
        <w:t xml:space="preserve"> خاصة متى ما كان المقصد من نتائج الدراسة الإسهام في نقاش سياسي.</w:t>
      </w:r>
    </w:p>
    <w:p w:rsidR="00AE1126" w:rsidRPr="00A91CE9" w:rsidRDefault="00AE1126" w:rsidP="007750F6">
      <w:pPr>
        <w:pStyle w:val="NumberedParaAR"/>
        <w:widowControl w:val="0"/>
        <w:suppressAutoHyphens/>
        <w:rPr>
          <w:lang w:bidi="en-US"/>
        </w:rPr>
      </w:pPr>
      <w:r>
        <w:rPr>
          <w:rFonts w:eastAsia="Arial"/>
          <w:bdr w:val="nil"/>
          <w:rtl/>
          <w:lang w:val="ar-SA"/>
        </w:rPr>
        <w:t>وقد ظل التمييز بين حماية الملكية الفكرية ونقل التكنولوجيا من أجل السلع العامة العالمية مثل الأدوية المنقذة للحياة ومن أجل السلع البيئية العالمية مثل المناخ والتنوع البيولوجي، المستخدم في الأدبيات في كثيرٍ من الأحيان، غير واضح للمقيمَين</w:t>
      </w:r>
      <w:r w:rsidR="00B27244">
        <w:rPr>
          <w:rFonts w:eastAsia="Arial"/>
          <w:bdr w:val="nil"/>
          <w:rtl/>
          <w:lang w:val="ar-SA"/>
        </w:rPr>
        <w:t xml:space="preserve">. </w:t>
      </w:r>
      <w:r>
        <w:rPr>
          <w:rFonts w:eastAsia="Arial"/>
          <w:bdr w:val="nil"/>
          <w:rtl/>
          <w:lang w:val="ar-SA"/>
        </w:rPr>
        <w:t xml:space="preserve">ويعالج الموضوعان حاجات </w:t>
      </w:r>
      <w:proofErr w:type="gramStart"/>
      <w:r>
        <w:rPr>
          <w:rFonts w:eastAsia="Arial"/>
          <w:bdr w:val="nil"/>
          <w:rtl/>
          <w:lang w:val="ar-SA"/>
        </w:rPr>
        <w:t>ملحة</w:t>
      </w:r>
      <w:proofErr w:type="gramEnd"/>
      <w:r>
        <w:rPr>
          <w:rFonts w:eastAsia="Arial"/>
          <w:bdr w:val="nil"/>
          <w:rtl/>
          <w:lang w:val="ar-SA"/>
        </w:rPr>
        <w:t xml:space="preserve"> للإنسانية بدرجات متفاوتة،</w:t>
      </w:r>
      <w:r w:rsidR="004E22FC">
        <w:rPr>
          <w:rFonts w:eastAsia="Arial"/>
          <w:bdr w:val="nil"/>
          <w:rtl/>
          <w:lang w:val="ar-SA"/>
        </w:rPr>
        <w:t xml:space="preserve"> </w:t>
      </w:r>
      <w:r>
        <w:rPr>
          <w:rFonts w:eastAsia="Arial"/>
          <w:bdr w:val="nil"/>
          <w:rtl/>
          <w:lang w:val="ar-SA"/>
        </w:rPr>
        <w:t>حيث تتناول السلع العامة العالمية القضايا الحيوية المتعلقة بصحة الإنسان،</w:t>
      </w:r>
      <w:r w:rsidR="004E22FC">
        <w:rPr>
          <w:rFonts w:eastAsia="Arial"/>
          <w:bdr w:val="nil"/>
          <w:rtl/>
          <w:lang w:val="ar-SA"/>
        </w:rPr>
        <w:t xml:space="preserve"> </w:t>
      </w:r>
      <w:r>
        <w:rPr>
          <w:rFonts w:eastAsia="Arial"/>
          <w:bdr w:val="nil"/>
          <w:rtl/>
          <w:lang w:val="ar-SA"/>
        </w:rPr>
        <w:t>بينما تتعامل السلع البيئية العالمية مع "صحة الكوكب" في إطار منظور أوسع.</w:t>
      </w:r>
    </w:p>
    <w:p w:rsidR="00AE1126" w:rsidRPr="00A91CE9" w:rsidRDefault="00AE1126" w:rsidP="007750F6">
      <w:pPr>
        <w:pStyle w:val="NumberedParaAR"/>
        <w:widowControl w:val="0"/>
        <w:suppressAutoHyphens/>
        <w:rPr>
          <w:lang w:bidi="en-US"/>
        </w:rPr>
      </w:pPr>
      <w:proofErr w:type="gramStart"/>
      <w:r>
        <w:rPr>
          <w:rFonts w:eastAsia="Arial"/>
          <w:bdr w:val="nil"/>
          <w:rtl/>
          <w:lang w:val="ar-SA"/>
        </w:rPr>
        <w:t>لم</w:t>
      </w:r>
      <w:proofErr w:type="gramEnd"/>
      <w:r>
        <w:rPr>
          <w:rFonts w:eastAsia="Arial"/>
          <w:bdr w:val="nil"/>
          <w:rtl/>
          <w:lang w:val="ar-SA"/>
        </w:rPr>
        <w:t xml:space="preserve"> تراع بعض الدراسات الفروق المعتبرة بين البلدان النامية وأقل البلدان نمواً بشكلٍ كافٍ</w:t>
      </w:r>
      <w:r w:rsidR="00B27244">
        <w:rPr>
          <w:rFonts w:eastAsia="Arial"/>
          <w:bdr w:val="nil"/>
          <w:rtl/>
          <w:lang w:val="ar-SA"/>
        </w:rPr>
        <w:t xml:space="preserve">. </w:t>
      </w:r>
      <w:proofErr w:type="gramStart"/>
      <w:r>
        <w:rPr>
          <w:rFonts w:eastAsia="Arial"/>
          <w:bdr w:val="nil"/>
          <w:rtl/>
          <w:lang w:val="ar-SA"/>
        </w:rPr>
        <w:t>فعلى</w:t>
      </w:r>
      <w:proofErr w:type="gramEnd"/>
      <w:r>
        <w:rPr>
          <w:rFonts w:eastAsia="Arial"/>
          <w:bdr w:val="nil"/>
          <w:rtl/>
          <w:lang w:val="ar-SA"/>
        </w:rPr>
        <w:t xml:space="preserve"> خلاف الكثير من البلدان المتقدمة والنامية، تتسم الظروف الإنسانية والهيكلية في أقل البلدان نمواً بالصعوبة الشديدة</w:t>
      </w:r>
      <w:r w:rsidR="00B27244">
        <w:rPr>
          <w:rFonts w:eastAsia="Arial"/>
          <w:bdr w:val="nil"/>
          <w:rtl/>
          <w:lang w:val="ar-SA"/>
        </w:rPr>
        <w:t xml:space="preserve">. </w:t>
      </w:r>
      <w:r>
        <w:rPr>
          <w:rFonts w:eastAsia="Arial"/>
          <w:bdr w:val="nil"/>
          <w:rtl/>
          <w:lang w:val="ar-SA"/>
        </w:rPr>
        <w:t>ولا يسمح اجتماع الفقر المدقع مع الافتقار إلى البنية التحتية وإمكانية تلبية الاحتياجات الإنسانية الأساسية مثل الماء والطاقة والصرف الصحي الأساسي والرعاية الصحية لتلك البلدان باستيعاب التكنولوجيات الحديثة</w:t>
      </w:r>
      <w:r w:rsidR="00B27244">
        <w:rPr>
          <w:rFonts w:eastAsia="Arial"/>
          <w:bdr w:val="nil"/>
          <w:rtl/>
          <w:lang w:val="ar-SA"/>
        </w:rPr>
        <w:t xml:space="preserve">. </w:t>
      </w:r>
      <w:proofErr w:type="gramStart"/>
      <w:r>
        <w:rPr>
          <w:rFonts w:eastAsia="Arial"/>
          <w:bdr w:val="nil"/>
          <w:rtl/>
          <w:lang w:val="ar-SA"/>
        </w:rPr>
        <w:t>ونظراً</w:t>
      </w:r>
      <w:proofErr w:type="gramEnd"/>
      <w:r>
        <w:rPr>
          <w:rFonts w:eastAsia="Arial"/>
          <w:bdr w:val="nil"/>
          <w:rtl/>
          <w:lang w:val="ar-SA"/>
        </w:rPr>
        <w:t xml:space="preserve"> لضعف سعة الاستيعاب، قد يكون من الصعب تطبيق مفهوم نقل التكنولوجيا في أقل البلدان نمواً.</w:t>
      </w:r>
      <w:r>
        <w:rPr>
          <w:vertAlign w:val="superscript"/>
          <w:lang w:bidi="en-US"/>
        </w:rPr>
        <w:footnoteReference w:id="31"/>
      </w:r>
    </w:p>
    <w:p w:rsidR="00AE1126" w:rsidRPr="00A91CE9" w:rsidRDefault="00AE1126" w:rsidP="007750F6">
      <w:pPr>
        <w:pStyle w:val="NumberedParaAR"/>
        <w:widowControl w:val="0"/>
        <w:suppressAutoHyphens/>
        <w:rPr>
          <w:lang w:bidi="en-US"/>
        </w:rPr>
      </w:pPr>
      <w:r>
        <w:rPr>
          <w:rFonts w:eastAsia="Arial"/>
          <w:bdr w:val="nil"/>
          <w:rtl/>
          <w:lang w:val="ar-SA"/>
        </w:rPr>
        <w:t>وكان مما أوصي به استناداً إلى البح</w:t>
      </w:r>
      <w:r>
        <w:rPr>
          <w:vertAlign w:val="superscript"/>
          <w:lang w:bidi="en-US"/>
        </w:rPr>
        <w:footnoteReference w:id="32"/>
      </w:r>
      <w:r>
        <w:rPr>
          <w:rFonts w:eastAsia="Arial"/>
          <w:bdr w:val="nil"/>
          <w:rtl/>
          <w:lang w:val="ar-SA"/>
        </w:rPr>
        <w:t xml:space="preserve"> توسيع دور محاميي البراءات بحيث يتضمن إسداء المشورة بشأن وجاهة "البراءات القائمة بالنسبة إلى الأنشطة التجارية". ويتلقى محامو البراءات تدريباً على تقديم نطاق كامل من خيارات الحماية أو الإنفاذ المحتمل </w:t>
      </w:r>
      <w:r w:rsidR="0037263F">
        <w:rPr>
          <w:rFonts w:eastAsia="Arial"/>
          <w:bdr w:val="nil"/>
          <w:rtl/>
          <w:lang w:val="ar-SA"/>
        </w:rPr>
        <w:t>توافرها للعميل ومعاونة العميل،</w:t>
      </w:r>
      <w:r>
        <w:rPr>
          <w:rFonts w:eastAsia="Arial"/>
          <w:bdr w:val="nil"/>
          <w:rtl/>
          <w:lang w:val="ar-SA"/>
        </w:rPr>
        <w:t xml:space="preserve"> إلا أن معظم محاميي البراءات </w:t>
      </w:r>
      <w:r w:rsidR="00E64B74">
        <w:rPr>
          <w:rFonts w:eastAsia="Arial" w:hint="cs"/>
          <w:bdr w:val="nil"/>
          <w:rtl/>
          <w:lang w:val="ar-SA"/>
        </w:rPr>
        <w:t>ليسو</w:t>
      </w:r>
      <w:r w:rsidR="00E64B74">
        <w:rPr>
          <w:rFonts w:eastAsia="Arial" w:hint="eastAsia"/>
          <w:bdr w:val="nil"/>
          <w:rtl/>
          <w:lang w:val="ar-SA"/>
        </w:rPr>
        <w:t>ا</w:t>
      </w:r>
      <w:r>
        <w:rPr>
          <w:rFonts w:eastAsia="Arial"/>
          <w:bdr w:val="nil"/>
          <w:rtl/>
          <w:lang w:val="ar-SA"/>
        </w:rPr>
        <w:t xml:space="preserve"> </w:t>
      </w:r>
      <w:proofErr w:type="spellStart"/>
      <w:r>
        <w:rPr>
          <w:rFonts w:eastAsia="Arial"/>
          <w:bdr w:val="nil"/>
          <w:rtl/>
          <w:lang w:val="ar-SA"/>
        </w:rPr>
        <w:t>استشاريي</w:t>
      </w:r>
      <w:proofErr w:type="spellEnd"/>
      <w:r>
        <w:rPr>
          <w:rFonts w:eastAsia="Arial"/>
          <w:bdr w:val="nil"/>
          <w:rtl/>
          <w:lang w:val="ar-SA"/>
        </w:rPr>
        <w:t xml:space="preserve"> إدارة استراتيجية،</w:t>
      </w:r>
      <w:r w:rsidR="004E22FC">
        <w:rPr>
          <w:rFonts w:eastAsia="Arial"/>
          <w:bdr w:val="nil"/>
          <w:rtl/>
          <w:lang w:val="ar-SA"/>
        </w:rPr>
        <w:t xml:space="preserve"> </w:t>
      </w:r>
      <w:r>
        <w:rPr>
          <w:rFonts w:eastAsia="Arial"/>
          <w:bdr w:val="nil"/>
          <w:rtl/>
          <w:lang w:val="ar-SA"/>
        </w:rPr>
        <w:t xml:space="preserve">فلا ينبغي إذاً للكيانات التجارية أن تعتمد على محاميي البراءات وحدهم في </w:t>
      </w:r>
      <w:r w:rsidR="0037263F">
        <w:rPr>
          <w:rFonts w:eastAsia="Arial"/>
          <w:bdr w:val="nil"/>
          <w:rtl/>
          <w:lang w:val="ar-SA"/>
        </w:rPr>
        <w:t xml:space="preserve">ما تتخذ من قرارات تجارية مهمة. </w:t>
      </w:r>
      <w:proofErr w:type="gramStart"/>
      <w:r>
        <w:rPr>
          <w:rFonts w:eastAsia="Arial"/>
          <w:bdr w:val="nil"/>
          <w:rtl/>
          <w:lang w:val="ar-SA"/>
        </w:rPr>
        <w:t>ويجب</w:t>
      </w:r>
      <w:proofErr w:type="gramEnd"/>
      <w:r>
        <w:rPr>
          <w:rFonts w:eastAsia="Arial"/>
          <w:bdr w:val="nil"/>
          <w:rtl/>
          <w:lang w:val="ar-SA"/>
        </w:rPr>
        <w:t xml:space="preserve"> أن يكون لدى أصحاب الشركات فهم للعوامل التجارية الكامنة وراء أهمية البراءة قبل الحصول عليها وبعده.</w:t>
      </w:r>
    </w:p>
    <w:p w:rsidR="00AE1126" w:rsidRDefault="00AE1126" w:rsidP="007750F6">
      <w:pPr>
        <w:pStyle w:val="NumberedParaAR"/>
        <w:widowControl w:val="0"/>
        <w:suppressAutoHyphens/>
        <w:rPr>
          <w:lang w:bidi="en-US"/>
        </w:rPr>
      </w:pPr>
      <w:r>
        <w:rPr>
          <w:rFonts w:eastAsia="Arial"/>
          <w:bdr w:val="nil"/>
          <w:rtl/>
          <w:lang w:val="ar-SA"/>
        </w:rPr>
        <w:t>وقد يسمح تكوين أفرقة خبراء متعددة الاختصاصات، تضم فيمن تضم باحثين أكاديميين وممارسين، إن أمكن، بخبرات ميدانية مختلطة في بلدان متقدمة ونامية على حدٍ سواء، بإجراء اختبار واقعية على المنفعة العملي التي تنطوي عليها التوصيات المستفادة من الدراسات.</w:t>
      </w:r>
    </w:p>
    <w:p w:rsidR="00AE1126" w:rsidRPr="00186364" w:rsidRDefault="00AE1126" w:rsidP="007750F6">
      <w:pPr>
        <w:pStyle w:val="NumberedParaAR"/>
        <w:widowControl w:val="0"/>
        <w:suppressAutoHyphens/>
        <w:rPr>
          <w:lang w:bidi="en-US"/>
        </w:rPr>
      </w:pPr>
      <w:r>
        <w:rPr>
          <w:rFonts w:eastAsia="Arial"/>
          <w:bdr w:val="nil"/>
          <w:rtl/>
          <w:lang w:val="ar-SA"/>
        </w:rPr>
        <w:t xml:space="preserve">وقد ركزت إحدى </w:t>
      </w:r>
      <w:proofErr w:type="gramStart"/>
      <w:r>
        <w:rPr>
          <w:rFonts w:eastAsia="Arial"/>
          <w:bdr w:val="nil"/>
          <w:rtl/>
          <w:lang w:val="ar-SA"/>
        </w:rPr>
        <w:t>الدراسات</w:t>
      </w:r>
      <w:r>
        <w:rPr>
          <w:vertAlign w:val="superscript"/>
          <w:lang w:bidi="en-US"/>
        </w:rPr>
        <w:footnoteReference w:id="33"/>
      </w:r>
      <w:r>
        <w:rPr>
          <w:rFonts w:eastAsia="Arial"/>
          <w:bdr w:val="nil"/>
          <w:rtl/>
          <w:lang w:val="ar-SA"/>
        </w:rPr>
        <w:t xml:space="preserve"> على</w:t>
      </w:r>
      <w:proofErr w:type="gramEnd"/>
      <w:r>
        <w:rPr>
          <w:rFonts w:eastAsia="Arial"/>
          <w:bdr w:val="nil"/>
          <w:rtl/>
          <w:lang w:val="ar-SA"/>
        </w:rPr>
        <w:t xml:space="preserve"> تشجيع الابتكار بالمكافآت والجوائز</w:t>
      </w:r>
      <w:r w:rsidR="00B27244">
        <w:rPr>
          <w:rFonts w:eastAsia="Arial"/>
          <w:bdr w:val="nil"/>
          <w:rtl/>
          <w:lang w:val="ar-SA"/>
        </w:rPr>
        <w:t xml:space="preserve">. </w:t>
      </w:r>
      <w:r>
        <w:rPr>
          <w:rFonts w:eastAsia="Arial"/>
          <w:bdr w:val="nil"/>
          <w:rtl/>
          <w:lang w:val="ar-SA"/>
        </w:rPr>
        <w:t>لكن معد الدراسة فاتته الفكرة الأساسية أن الابتكار القائم على المكافأة ليس "بديلاً"</w:t>
      </w:r>
      <w:r w:rsidR="004E22FC">
        <w:rPr>
          <w:rFonts w:eastAsia="Arial"/>
          <w:bdr w:val="nil"/>
          <w:rtl/>
          <w:lang w:val="ar-SA"/>
        </w:rPr>
        <w:t xml:space="preserve"> </w:t>
      </w:r>
      <w:r>
        <w:rPr>
          <w:rFonts w:eastAsia="Arial"/>
          <w:bdr w:val="nil"/>
          <w:rtl/>
          <w:lang w:val="ar-SA"/>
        </w:rPr>
        <w:t>بالضرورة</w:t>
      </w:r>
      <w:r w:rsidR="0037263F">
        <w:rPr>
          <w:rFonts w:eastAsia="Arial"/>
          <w:bdr w:val="nil"/>
          <w:rtl/>
          <w:lang w:val="ar-SA"/>
        </w:rPr>
        <w:t xml:space="preserve"> عن نظام حقوق الملكية الفكرية. </w:t>
      </w:r>
      <w:proofErr w:type="gramStart"/>
      <w:r>
        <w:rPr>
          <w:rFonts w:eastAsia="Arial"/>
          <w:bdr w:val="nil"/>
          <w:rtl/>
          <w:lang w:val="ar-SA"/>
        </w:rPr>
        <w:t>فالمكافآت</w:t>
      </w:r>
      <w:proofErr w:type="gramEnd"/>
      <w:r>
        <w:rPr>
          <w:rFonts w:eastAsia="Arial"/>
          <w:bdr w:val="nil"/>
          <w:rtl/>
          <w:lang w:val="ar-SA"/>
        </w:rPr>
        <w:t xml:space="preserve"> لا تقدم إلا للتشجيع على الابتكار ونقل التكنولوجيا، مما يبعث في كثيرٍ من الأحيان على مزيد من التطوير وا</w:t>
      </w:r>
      <w:r w:rsidR="0037263F">
        <w:rPr>
          <w:rFonts w:eastAsia="Arial"/>
          <w:bdr w:val="nil"/>
          <w:rtl/>
          <w:lang w:val="ar-SA"/>
        </w:rPr>
        <w:t xml:space="preserve">لنقل في ميدان الملكية الفكرية. </w:t>
      </w:r>
      <w:r>
        <w:rPr>
          <w:rFonts w:eastAsia="Arial"/>
          <w:bdr w:val="nil"/>
          <w:rtl/>
          <w:lang w:val="ar-SA"/>
        </w:rPr>
        <w:t xml:space="preserve">وصحيح </w:t>
      </w:r>
      <w:r>
        <w:rPr>
          <w:rFonts w:eastAsia="Arial"/>
          <w:bdr w:val="nil"/>
          <w:rtl/>
          <w:lang w:val="ar-SA"/>
        </w:rPr>
        <w:lastRenderedPageBreak/>
        <w:t>أن المقترحات المتنافسة لبعث الابتكار الرامي إلى معالجة التحديات الجديدة المتطورة، لا سيما تلك الموضوعات التي تواجه فشلاً في السوق، تمثل قناةً ممتازةً لاستحداث نقل للتكنولوجيا وحلول قائمة على الجوائز، إلا أن الابتكار القائم على الجوائز يدور في كثيرٍ من الأحيان في فلك نظام قائم على الملكية الفكرية.</w:t>
      </w:r>
    </w:p>
    <w:p w:rsidR="00AE1126" w:rsidRPr="00A91CE9" w:rsidRDefault="00AE1126" w:rsidP="007750F6">
      <w:pPr>
        <w:pStyle w:val="Heading3AR"/>
        <w:keepNext w:val="0"/>
        <w:widowControl w:val="0"/>
        <w:suppressAutoHyphens/>
      </w:pPr>
      <w:r>
        <w:rPr>
          <w:rFonts w:eastAsia="Arial"/>
          <w:u w:val="none"/>
          <w:bdr w:val="nil"/>
          <w:rtl/>
          <w:lang w:val="ar-SA" w:eastAsia="zh-CN"/>
        </w:rPr>
        <w:t>('3')</w:t>
      </w:r>
      <w:r>
        <w:rPr>
          <w:rFonts w:eastAsia="Arial"/>
          <w:u w:val="none"/>
          <w:bdr w:val="nil"/>
          <w:rtl/>
          <w:lang w:val="ar-SA" w:eastAsia="zh-CN"/>
        </w:rPr>
        <w:tab/>
      </w:r>
      <w:r>
        <w:rPr>
          <w:rFonts w:eastAsia="Arial"/>
          <w:bdr w:val="nil"/>
          <w:rtl/>
          <w:lang w:val="ar-SA" w:eastAsia="zh-CN"/>
        </w:rPr>
        <w:t>المخرج 3</w:t>
      </w:r>
      <w:r w:rsidR="00241FA8">
        <w:rPr>
          <w:rFonts w:eastAsia="Arial"/>
          <w:bdr w:val="nil"/>
          <w:rtl/>
          <w:lang w:val="ar-SA" w:eastAsia="zh-CN"/>
        </w:rPr>
        <w:t xml:space="preserve">: </w:t>
      </w:r>
      <w:r>
        <w:rPr>
          <w:rFonts w:eastAsia="Arial"/>
          <w:bdr w:val="nil"/>
          <w:rtl/>
          <w:lang w:val="ar-SA" w:eastAsia="zh-CN"/>
        </w:rPr>
        <w:t xml:space="preserve">ورقة </w:t>
      </w:r>
      <w:proofErr w:type="spellStart"/>
      <w:r>
        <w:rPr>
          <w:rFonts w:eastAsia="Arial"/>
          <w:bdr w:val="nil"/>
          <w:rtl/>
          <w:lang w:val="ar-SA" w:eastAsia="zh-CN"/>
        </w:rPr>
        <w:t>مفاهيمية</w:t>
      </w:r>
      <w:proofErr w:type="spellEnd"/>
    </w:p>
    <w:p w:rsidR="00AE1126" w:rsidRPr="00A91CE9" w:rsidRDefault="00AE1126" w:rsidP="007750F6">
      <w:pPr>
        <w:pStyle w:val="NumberedParaAR"/>
        <w:widowControl w:val="0"/>
        <w:suppressAutoHyphens/>
      </w:pPr>
      <w:r>
        <w:rPr>
          <w:rFonts w:eastAsia="Arial"/>
          <w:bdr w:val="nil"/>
          <w:rtl/>
          <w:lang w:val="ar-SA"/>
        </w:rPr>
        <w:t xml:space="preserve">عُرض مشروع "ورقة </w:t>
      </w:r>
      <w:proofErr w:type="spellStart"/>
      <w:r>
        <w:rPr>
          <w:rFonts w:eastAsia="Arial"/>
          <w:bdr w:val="nil"/>
          <w:rtl/>
          <w:lang w:val="ar-SA"/>
        </w:rPr>
        <w:t>مفاهيمية</w:t>
      </w:r>
      <w:proofErr w:type="spellEnd"/>
      <w:r>
        <w:rPr>
          <w:rFonts w:eastAsia="Arial"/>
          <w:bdr w:val="nil"/>
          <w:rtl/>
          <w:lang w:val="ar-SA"/>
        </w:rPr>
        <w:t>" (CDIP/15/2)، تعرض أساساً خلفية المشروع وملخص لمخرجاته غي جلسة إحاطة غير رسمية على البعثات الدائمة للدول الأعضاء في جنيف في 1 سبتمبر 2014 (أي بعد تاريخ انتهاء المشروع رسمياً)</w:t>
      </w:r>
      <w:r w:rsidR="00B27244">
        <w:rPr>
          <w:rFonts w:eastAsia="Arial"/>
          <w:bdr w:val="nil"/>
          <w:rtl/>
          <w:lang w:val="ar-SA"/>
        </w:rPr>
        <w:t xml:space="preserve">. </w:t>
      </w:r>
      <w:r>
        <w:rPr>
          <w:rFonts w:eastAsia="Arial"/>
          <w:bdr w:val="nil"/>
          <w:rtl/>
          <w:lang w:val="ar-SA"/>
        </w:rPr>
        <w:t xml:space="preserve">ولم تتضمن الورقة </w:t>
      </w:r>
      <w:proofErr w:type="spellStart"/>
      <w:r>
        <w:rPr>
          <w:rFonts w:eastAsia="Arial"/>
          <w:bdr w:val="nil"/>
          <w:rtl/>
          <w:lang w:val="ar-SA"/>
        </w:rPr>
        <w:t>المفاهيمية</w:t>
      </w:r>
      <w:proofErr w:type="spellEnd"/>
      <w:r>
        <w:rPr>
          <w:rFonts w:eastAsia="Arial"/>
          <w:bdr w:val="nil"/>
          <w:rtl/>
          <w:lang w:val="ar-SA"/>
        </w:rPr>
        <w:t xml:space="preserve"> توصيات محددة بشأن كيفية دمج نواتج المشروع في أعمال الويبو (انظر صياغة المخرج 7).</w:t>
      </w:r>
    </w:p>
    <w:p w:rsidR="00AE1126" w:rsidRPr="00A91CE9" w:rsidRDefault="00AE1126" w:rsidP="007750F6">
      <w:pPr>
        <w:pStyle w:val="NumberedParaAR"/>
        <w:widowControl w:val="0"/>
        <w:suppressAutoHyphens/>
      </w:pPr>
      <w:r>
        <w:rPr>
          <w:rFonts w:eastAsia="Arial"/>
          <w:bdr w:val="nil"/>
          <w:rtl/>
          <w:lang w:val="ar-SA"/>
        </w:rPr>
        <w:t xml:space="preserve">ونُظِّم اجتماع لمدة يوم واحد مع منظمات غير حكومية وحكومية ورابطات مهنية في </w:t>
      </w:r>
      <w:r w:rsidR="00E64B74">
        <w:rPr>
          <w:rFonts w:eastAsia="Arial" w:hint="cs"/>
          <w:bdr w:val="nil"/>
          <w:rtl/>
          <w:lang w:val="ar-SA"/>
        </w:rPr>
        <w:t>أوائ</w:t>
      </w:r>
      <w:r w:rsidR="00E64B74">
        <w:rPr>
          <w:rFonts w:eastAsia="Arial" w:hint="eastAsia"/>
          <w:bdr w:val="nil"/>
          <w:rtl/>
          <w:lang w:val="ar-SA"/>
        </w:rPr>
        <w:t>ل</w:t>
      </w:r>
      <w:r>
        <w:rPr>
          <w:rFonts w:eastAsia="Arial"/>
          <w:bdr w:val="nil"/>
          <w:rtl/>
          <w:lang w:val="ar-SA"/>
        </w:rPr>
        <w:t xml:space="preserve"> شهر أكتوبر 2014 لعرض الورقة </w:t>
      </w:r>
      <w:proofErr w:type="spellStart"/>
      <w:r>
        <w:rPr>
          <w:rFonts w:eastAsia="Arial"/>
          <w:bdr w:val="nil"/>
          <w:rtl/>
          <w:lang w:val="ar-SA"/>
        </w:rPr>
        <w:t>المفاهيمية</w:t>
      </w:r>
      <w:proofErr w:type="spellEnd"/>
      <w:r>
        <w:rPr>
          <w:rFonts w:eastAsia="Arial"/>
          <w:bdr w:val="nil"/>
          <w:rtl/>
          <w:lang w:val="ar-SA"/>
        </w:rPr>
        <w:t>. وقدمت الأمانة تقريراً شفهياً للجنة بشأن التعليقات الواردة.</w:t>
      </w:r>
      <w:r>
        <w:rPr>
          <w:vertAlign w:val="superscript"/>
        </w:rPr>
        <w:footnoteReference w:id="34"/>
      </w:r>
    </w:p>
    <w:p w:rsidR="00AE1126" w:rsidRPr="00A91CE9" w:rsidRDefault="00AE1126" w:rsidP="007750F6">
      <w:pPr>
        <w:pStyle w:val="Heading3AR"/>
        <w:keepNext w:val="0"/>
        <w:widowControl w:val="0"/>
        <w:suppressAutoHyphens/>
      </w:pPr>
      <w:r>
        <w:rPr>
          <w:rFonts w:eastAsia="Arial"/>
          <w:u w:val="none"/>
          <w:bdr w:val="nil"/>
          <w:rtl/>
          <w:lang w:val="ar-SA" w:eastAsia="zh-CN"/>
        </w:rPr>
        <w:t>('4')</w:t>
      </w:r>
      <w:r>
        <w:rPr>
          <w:rFonts w:eastAsia="Arial"/>
          <w:u w:val="none"/>
          <w:bdr w:val="nil"/>
          <w:rtl/>
          <w:lang w:val="ar-SA" w:eastAsia="zh-CN"/>
        </w:rPr>
        <w:tab/>
      </w:r>
      <w:r>
        <w:rPr>
          <w:rFonts w:eastAsia="Arial"/>
          <w:bdr w:val="nil"/>
          <w:rtl/>
          <w:lang w:val="ar-SA" w:eastAsia="zh-CN"/>
        </w:rPr>
        <w:t>المخرج 4</w:t>
      </w:r>
      <w:r w:rsidR="00241FA8">
        <w:rPr>
          <w:rFonts w:eastAsia="Arial"/>
          <w:bdr w:val="nil"/>
          <w:rtl/>
          <w:lang w:val="ar-SA" w:eastAsia="zh-CN"/>
        </w:rPr>
        <w:t xml:space="preserve">: </w:t>
      </w:r>
      <w:proofErr w:type="gramStart"/>
      <w:r>
        <w:rPr>
          <w:rFonts w:eastAsia="Arial"/>
          <w:bdr w:val="nil"/>
          <w:rtl/>
          <w:lang w:val="ar-SA" w:eastAsia="zh-CN"/>
        </w:rPr>
        <w:t>مواد</w:t>
      </w:r>
      <w:proofErr w:type="gramEnd"/>
      <w:r>
        <w:rPr>
          <w:rFonts w:eastAsia="Arial"/>
          <w:bdr w:val="nil"/>
          <w:rtl/>
          <w:lang w:val="ar-SA" w:eastAsia="zh-CN"/>
        </w:rPr>
        <w:t xml:space="preserve"> تدريبية</w:t>
      </w:r>
    </w:p>
    <w:p w:rsidR="00AE1126" w:rsidRDefault="00AE1126" w:rsidP="007750F6">
      <w:pPr>
        <w:pStyle w:val="NumberedParaAR"/>
        <w:widowControl w:val="0"/>
        <w:suppressAutoHyphens/>
      </w:pPr>
      <w:r>
        <w:rPr>
          <w:rFonts w:eastAsia="Arial"/>
          <w:bdr w:val="nil"/>
          <w:rtl/>
          <w:lang w:val="ar-SA"/>
        </w:rPr>
        <w:t xml:space="preserve">كان من المرتقب أن يصب في اتجاه إعداد وتوفير مواد ووحدات وأدوات تدريسية وغير ذلك من الأدوات الناتجة عن التوصيات التي اعتمدها منتدى الخبراء الدولي. </w:t>
      </w:r>
    </w:p>
    <w:p w:rsidR="00AE1126" w:rsidRPr="00A91CE9" w:rsidRDefault="00AE1126" w:rsidP="007750F6">
      <w:pPr>
        <w:pStyle w:val="NumberedParaAR"/>
        <w:widowControl w:val="0"/>
        <w:suppressAutoHyphens/>
      </w:pPr>
      <w:proofErr w:type="gramStart"/>
      <w:r>
        <w:rPr>
          <w:rFonts w:eastAsia="Arial"/>
          <w:bdr w:val="nil"/>
          <w:rtl/>
          <w:lang w:val="ar-SA"/>
        </w:rPr>
        <w:t>لكن</w:t>
      </w:r>
      <w:proofErr w:type="gramEnd"/>
      <w:r>
        <w:rPr>
          <w:rFonts w:eastAsia="Arial"/>
          <w:bdr w:val="nil"/>
          <w:rtl/>
          <w:lang w:val="ar-SA"/>
        </w:rPr>
        <w:t xml:space="preserve"> لم ترد تقارير عن أي أنشطة، وربما </w:t>
      </w:r>
      <w:r w:rsidR="0061422A">
        <w:rPr>
          <w:rFonts w:eastAsia="Arial"/>
          <w:bdr w:val="nil"/>
          <w:rtl/>
          <w:lang w:val="ar-SA"/>
        </w:rPr>
        <w:t>كان ذلك لأن منتدى الخبراء الدول</w:t>
      </w:r>
      <w:r w:rsidR="0061422A">
        <w:rPr>
          <w:rFonts w:eastAsia="Arial" w:hint="cs"/>
          <w:bdr w:val="nil"/>
          <w:rtl/>
          <w:lang w:val="ar-SA"/>
        </w:rPr>
        <w:t>ي</w:t>
      </w:r>
      <w:r>
        <w:rPr>
          <w:rFonts w:eastAsia="Arial"/>
          <w:bdr w:val="nil"/>
          <w:rtl/>
          <w:lang w:val="ar-SA"/>
        </w:rPr>
        <w:t xml:space="preserve"> لم ينعقد إلا بعد انتهاء المشروع رسمياً.</w:t>
      </w:r>
    </w:p>
    <w:p w:rsidR="00AE1126" w:rsidRPr="00A91CE9" w:rsidRDefault="00AE1126" w:rsidP="007750F6">
      <w:pPr>
        <w:pStyle w:val="Heading3AR"/>
        <w:keepNext w:val="0"/>
        <w:widowControl w:val="0"/>
        <w:suppressAutoHyphens/>
      </w:pPr>
      <w:r>
        <w:rPr>
          <w:rFonts w:eastAsia="Arial"/>
          <w:u w:val="none"/>
          <w:bdr w:val="nil"/>
          <w:rtl/>
          <w:lang w:val="ar-SA" w:eastAsia="zh-CN"/>
        </w:rPr>
        <w:t>('5')</w:t>
      </w:r>
      <w:r>
        <w:rPr>
          <w:rFonts w:eastAsia="Arial"/>
          <w:u w:val="none"/>
          <w:bdr w:val="nil"/>
          <w:rtl/>
          <w:lang w:val="ar-SA" w:eastAsia="zh-CN"/>
        </w:rPr>
        <w:tab/>
      </w:r>
      <w:r w:rsidR="008D4CD8">
        <w:rPr>
          <w:rFonts w:eastAsia="Arial"/>
          <w:bdr w:val="nil"/>
          <w:rtl/>
          <w:lang w:val="ar-SA" w:eastAsia="zh-CN"/>
        </w:rPr>
        <w:t>المخرج 5:</w:t>
      </w:r>
      <w:r w:rsidR="0061422A">
        <w:rPr>
          <w:rFonts w:eastAsia="Arial"/>
          <w:bdr w:val="nil"/>
          <w:rtl/>
          <w:lang w:val="ar-SA" w:eastAsia="zh-CN"/>
        </w:rPr>
        <w:t xml:space="preserve"> منتدى دولي للخب</w:t>
      </w:r>
      <w:r w:rsidR="0061422A">
        <w:rPr>
          <w:rFonts w:eastAsia="Arial" w:hint="cs"/>
          <w:bdr w:val="nil"/>
          <w:rtl/>
          <w:lang w:val="ar-SA" w:eastAsia="zh-CN"/>
        </w:rPr>
        <w:t>را</w:t>
      </w:r>
      <w:r>
        <w:rPr>
          <w:rFonts w:eastAsia="Arial"/>
          <w:bdr w:val="nil"/>
          <w:rtl/>
          <w:lang w:val="ar-SA" w:eastAsia="zh-CN"/>
        </w:rPr>
        <w:t>ء</w:t>
      </w:r>
    </w:p>
    <w:p w:rsidR="00AE1126" w:rsidRDefault="00AE1126" w:rsidP="007750F6">
      <w:pPr>
        <w:pStyle w:val="NumberedParaAR"/>
        <w:widowControl w:val="0"/>
        <w:suppressAutoHyphens/>
      </w:pPr>
      <w:r>
        <w:rPr>
          <w:rFonts w:eastAsia="Arial"/>
          <w:bdr w:val="nil"/>
          <w:rtl/>
          <w:lang w:val="ar-SA"/>
        </w:rPr>
        <w:t xml:space="preserve">عُقد </w:t>
      </w:r>
      <w:r>
        <w:rPr>
          <w:rFonts w:eastAsia="Arial"/>
          <w:i/>
          <w:iCs/>
          <w:bdr w:val="nil"/>
          <w:rtl/>
          <w:lang w:val="ar-SA"/>
        </w:rPr>
        <w:t>منتدى الخبراء الدولي بشأن نق</w:t>
      </w:r>
      <w:r w:rsidR="00126574">
        <w:rPr>
          <w:rFonts w:eastAsia="Arial"/>
          <w:i/>
          <w:iCs/>
          <w:bdr w:val="nil"/>
          <w:rtl/>
          <w:lang w:val="ar-SA"/>
        </w:rPr>
        <w:t>ل التكنولوجيا والملكية الفكرية:</w:t>
      </w:r>
      <w:r>
        <w:rPr>
          <w:rFonts w:eastAsia="Arial"/>
          <w:i/>
          <w:iCs/>
          <w:bdr w:val="nil"/>
          <w:rtl/>
          <w:lang w:val="ar-SA"/>
        </w:rPr>
        <w:t xml:space="preserve"> التحديات المشتركة وبناء الحلول</w:t>
      </w:r>
      <w:r>
        <w:rPr>
          <w:rFonts w:eastAsia="Arial"/>
          <w:bdr w:val="nil"/>
          <w:rtl/>
          <w:lang w:val="ar-SA"/>
        </w:rPr>
        <w:t xml:space="preserve"> في الفترة من 16 إلى 18 فبراير 2015</w:t>
      </w:r>
      <w:r w:rsidR="00B27244">
        <w:rPr>
          <w:rFonts w:eastAsia="Arial"/>
          <w:bdr w:val="nil"/>
          <w:rtl/>
          <w:lang w:val="ar-SA"/>
        </w:rPr>
        <w:t xml:space="preserve">. </w:t>
      </w:r>
      <w:proofErr w:type="gramStart"/>
      <w:r>
        <w:rPr>
          <w:rFonts w:eastAsia="Arial"/>
          <w:bdr w:val="nil"/>
          <w:rtl/>
          <w:lang w:val="ar-SA"/>
        </w:rPr>
        <w:t>وأخذت</w:t>
      </w:r>
      <w:proofErr w:type="gramEnd"/>
      <w:r>
        <w:rPr>
          <w:rFonts w:eastAsia="Arial"/>
          <w:bdr w:val="nil"/>
          <w:rtl/>
          <w:lang w:val="ar-SA"/>
        </w:rPr>
        <w:t xml:space="preserve"> اللجنة علماً بالتقرير (CDIP/15/5، 2 مارس 2015) في اجتماعها الخامس عشر (22-24 أبريل 2015) ومن المقرر مناقشته في اجتماعها السادس عشر المقبل (نوفمبر 2015)</w:t>
      </w:r>
      <w:r w:rsidR="00B27244">
        <w:rPr>
          <w:rFonts w:eastAsia="Arial"/>
          <w:bdr w:val="nil"/>
          <w:rtl/>
          <w:lang w:val="ar-SA"/>
        </w:rPr>
        <w:t xml:space="preserve">. </w:t>
      </w:r>
      <w:r>
        <w:rPr>
          <w:rFonts w:eastAsia="Arial"/>
          <w:bdr w:val="nil"/>
          <w:rtl/>
          <w:lang w:val="ar-SA"/>
        </w:rPr>
        <w:t>وأعرِب عن بعض الشواغل لعدم ضم هيئة الخبراء خبراء يمثلون أقل البلدان نمواً</w:t>
      </w:r>
      <w:r w:rsidR="00B27244">
        <w:rPr>
          <w:rFonts w:eastAsia="Arial"/>
          <w:bdr w:val="nil"/>
          <w:rtl/>
          <w:lang w:val="ar-SA"/>
        </w:rPr>
        <w:t xml:space="preserve">. </w:t>
      </w:r>
      <w:proofErr w:type="gramStart"/>
      <w:r>
        <w:rPr>
          <w:rFonts w:eastAsia="Arial"/>
          <w:bdr w:val="nil"/>
          <w:rtl/>
          <w:lang w:val="ar-SA"/>
        </w:rPr>
        <w:t>كما</w:t>
      </w:r>
      <w:proofErr w:type="gramEnd"/>
      <w:r>
        <w:rPr>
          <w:rFonts w:eastAsia="Arial"/>
          <w:bdr w:val="nil"/>
          <w:rtl/>
          <w:lang w:val="ar-SA"/>
        </w:rPr>
        <w:t xml:space="preserve"> أن المنتدى قدم "أفكار خبراء" دون أن يقدم أي توصيات محددة للمتابعة.</w:t>
      </w:r>
    </w:p>
    <w:p w:rsidR="00AE1126" w:rsidRPr="00A91CE9" w:rsidRDefault="00AE1126" w:rsidP="007750F6">
      <w:pPr>
        <w:pStyle w:val="NumberedParaAR"/>
        <w:widowControl w:val="0"/>
        <w:suppressAutoHyphens/>
      </w:pPr>
      <w:r>
        <w:rPr>
          <w:rFonts w:eastAsia="Arial"/>
          <w:bdr w:val="nil"/>
          <w:rtl/>
          <w:lang w:val="ar-SA"/>
        </w:rPr>
        <w:t>وأعرب المشاركون الأربعة والعشرون الذين استوفوا الاستقصاء الذي أجرته الأمانة عن رضاهم عن التنظيم وجودة المعلومات المقدمة وجودة المتحدثين والمنفعة المتحققة من المنتدى</w:t>
      </w:r>
      <w:r w:rsidR="00B27244">
        <w:rPr>
          <w:rFonts w:eastAsia="Arial"/>
          <w:bdr w:val="nil"/>
          <w:rtl/>
          <w:lang w:val="ar-SA"/>
        </w:rPr>
        <w:t xml:space="preserve">. </w:t>
      </w:r>
      <w:r>
        <w:rPr>
          <w:rFonts w:eastAsia="Arial"/>
          <w:bdr w:val="nil"/>
          <w:rtl/>
          <w:lang w:val="ar-SA"/>
        </w:rPr>
        <w:t xml:space="preserve">وتأكد التقويم الإيجابي </w:t>
      </w:r>
      <w:r w:rsidR="00126574">
        <w:rPr>
          <w:rFonts w:eastAsia="Arial"/>
          <w:bdr w:val="nil"/>
          <w:rtl/>
          <w:lang w:val="ar-SA"/>
        </w:rPr>
        <w:t xml:space="preserve">العام، عدا بعض الاستثناءات، من </w:t>
      </w:r>
      <w:r>
        <w:rPr>
          <w:rFonts w:eastAsia="Arial"/>
          <w:bdr w:val="nil"/>
          <w:rtl/>
          <w:lang w:val="ar-SA"/>
        </w:rPr>
        <w:t>خلال مقابلات أجراها المقيِّمان مع عينة من المشاركين من داخل الأمانة وخارجها.</w:t>
      </w:r>
    </w:p>
    <w:p w:rsidR="00AE1126" w:rsidRPr="00A91CE9" w:rsidRDefault="00AE1126" w:rsidP="007750F6">
      <w:pPr>
        <w:pStyle w:val="Heading3AR"/>
        <w:keepNext w:val="0"/>
        <w:widowControl w:val="0"/>
        <w:suppressAutoHyphens/>
      </w:pPr>
      <w:r>
        <w:rPr>
          <w:rFonts w:eastAsia="Arial"/>
          <w:u w:val="none"/>
          <w:bdr w:val="nil"/>
          <w:rtl/>
          <w:lang w:val="ar-SA" w:eastAsia="zh-CN"/>
        </w:rPr>
        <w:t>('6')</w:t>
      </w:r>
      <w:r>
        <w:rPr>
          <w:rFonts w:eastAsia="Arial"/>
          <w:u w:val="none"/>
          <w:bdr w:val="nil"/>
          <w:rtl/>
          <w:lang w:val="ar-SA" w:eastAsia="zh-CN"/>
        </w:rPr>
        <w:tab/>
      </w:r>
      <w:r w:rsidR="008D4CD8">
        <w:rPr>
          <w:rFonts w:eastAsia="Arial"/>
          <w:bdr w:val="nil"/>
          <w:rtl/>
          <w:lang w:val="ar-SA" w:eastAsia="zh-CN"/>
        </w:rPr>
        <w:t>المخرج 6:</w:t>
      </w:r>
      <w:r>
        <w:rPr>
          <w:rFonts w:eastAsia="Arial"/>
          <w:bdr w:val="nil"/>
          <w:rtl/>
          <w:lang w:val="ar-SA" w:eastAsia="zh-CN"/>
        </w:rPr>
        <w:t xml:space="preserve"> منتدى إلكتروني بشأن نقل </w:t>
      </w:r>
      <w:proofErr w:type="gramStart"/>
      <w:r>
        <w:rPr>
          <w:rFonts w:eastAsia="Arial"/>
          <w:bdr w:val="nil"/>
          <w:rtl/>
          <w:lang w:val="ar-SA" w:eastAsia="zh-CN"/>
        </w:rPr>
        <w:t>التكنولوجيا</w:t>
      </w:r>
      <w:proofErr w:type="gramEnd"/>
    </w:p>
    <w:p w:rsidR="00AE1126" w:rsidRPr="00A91CE9" w:rsidRDefault="00AE1126" w:rsidP="007750F6">
      <w:pPr>
        <w:pStyle w:val="NumberedParaAR"/>
        <w:widowControl w:val="0"/>
        <w:suppressAutoHyphens/>
      </w:pPr>
      <w:proofErr w:type="gramStart"/>
      <w:r>
        <w:rPr>
          <w:rFonts w:eastAsia="Arial"/>
          <w:bdr w:val="nil"/>
          <w:rtl/>
          <w:lang w:val="ar-SA"/>
        </w:rPr>
        <w:t>أعد</w:t>
      </w:r>
      <w:proofErr w:type="gramEnd"/>
      <w:r>
        <w:rPr>
          <w:rFonts w:eastAsia="Arial"/>
          <w:bdr w:val="nil"/>
          <w:rtl/>
          <w:lang w:val="ar-SA"/>
        </w:rPr>
        <w:t xml:space="preserve"> مدير المشروع نسخة تمهيدية من المنتدى الإلكتروني (المخرج 6) يطرح دمج المنتديين الإلكترونيين للمشروع DA_36 (مشروعات تعاونية مفتوحة ونماذج قائمة على الملكية الفكرية) والمشروع DA 10_03 (هيكلية دعم الابتكار ونقل التكنولوجيا للمؤسسات الوطنية)</w:t>
      </w:r>
      <w:r w:rsidR="00B27244">
        <w:rPr>
          <w:rFonts w:eastAsia="Arial"/>
          <w:bdr w:val="nil"/>
          <w:rtl/>
          <w:lang w:val="ar-SA"/>
        </w:rPr>
        <w:t xml:space="preserve">. </w:t>
      </w:r>
      <w:r>
        <w:rPr>
          <w:rFonts w:eastAsia="Arial"/>
          <w:bdr w:val="nil"/>
          <w:rtl/>
          <w:lang w:val="ar-SA"/>
        </w:rPr>
        <w:t>ولم يُتخذ بعد قرار بتفعيل المنتدى الإلكتروني بالشكل المقترح</w:t>
      </w:r>
      <w:r w:rsidR="00B27244">
        <w:rPr>
          <w:rFonts w:eastAsia="Arial"/>
          <w:bdr w:val="nil"/>
          <w:rtl/>
          <w:lang w:val="ar-SA"/>
        </w:rPr>
        <w:t xml:space="preserve">. </w:t>
      </w:r>
      <w:r>
        <w:rPr>
          <w:rFonts w:eastAsia="Arial"/>
          <w:bdr w:val="nil"/>
          <w:rtl/>
          <w:lang w:val="ar-SA"/>
        </w:rPr>
        <w:t>وستتطلب المداومة على تحديث المنتدى الإلكتروني وتشغيله الترويج له وتوزيع ما يتعلق به من مسؤوليات وموارد محددة داخل الأمانة.</w:t>
      </w:r>
    </w:p>
    <w:p w:rsidR="00AE1126" w:rsidRPr="00A91CE9" w:rsidRDefault="00AE1126" w:rsidP="007750F6">
      <w:pPr>
        <w:pStyle w:val="Heading3AR"/>
        <w:keepNext w:val="0"/>
        <w:widowControl w:val="0"/>
        <w:suppressAutoHyphens/>
      </w:pPr>
      <w:r>
        <w:rPr>
          <w:rFonts w:eastAsia="Arial"/>
          <w:u w:val="none"/>
          <w:bdr w:val="nil"/>
          <w:rtl/>
          <w:lang w:val="ar-SA" w:eastAsia="zh-CN"/>
        </w:rPr>
        <w:t>('7')</w:t>
      </w:r>
      <w:r>
        <w:rPr>
          <w:rFonts w:eastAsia="Arial"/>
          <w:u w:val="none"/>
          <w:bdr w:val="nil"/>
          <w:rtl/>
          <w:lang w:val="ar-SA" w:eastAsia="zh-CN"/>
        </w:rPr>
        <w:tab/>
      </w:r>
      <w:r w:rsidR="005D40F8">
        <w:rPr>
          <w:rFonts w:eastAsia="Arial"/>
          <w:bdr w:val="nil"/>
          <w:rtl/>
          <w:lang w:val="ar-SA" w:eastAsia="zh-CN"/>
        </w:rPr>
        <w:t>المخرج 7:</w:t>
      </w:r>
      <w:r>
        <w:rPr>
          <w:rFonts w:eastAsia="Arial"/>
          <w:bdr w:val="nil"/>
          <w:rtl/>
          <w:lang w:val="ar-SA" w:eastAsia="zh-CN"/>
        </w:rPr>
        <w:t xml:space="preserve"> دمج نتائج المشروع في أعمال الويبو</w:t>
      </w:r>
    </w:p>
    <w:p w:rsidR="00AE1126" w:rsidRDefault="00AE1126" w:rsidP="007750F6">
      <w:pPr>
        <w:pStyle w:val="NumberedParaAR"/>
        <w:widowControl w:val="0"/>
        <w:suppressAutoHyphens/>
      </w:pPr>
      <w:r>
        <w:rPr>
          <w:rFonts w:eastAsia="Arial"/>
          <w:bdr w:val="nil"/>
          <w:rtl/>
          <w:lang w:val="ar-SA"/>
        </w:rPr>
        <w:t xml:space="preserve">يشير آخر تقرير مرحلي إلى أن العمل على دمج أيٍ من النواتج التي تتمخض عنها الأنشطة سالفة الذكر في برامج الويبو سيبدأ بعد منتدى الخبراء الدولي، وأن ذلك لن يكون إلا بعد نظر اللجنة فيه وأي توصية محتمل رفعها إلى الجمعية العامة. </w:t>
      </w:r>
    </w:p>
    <w:p w:rsidR="00AE1126" w:rsidRDefault="00AE1126" w:rsidP="007750F6">
      <w:pPr>
        <w:pStyle w:val="NumberedParaAR"/>
        <w:widowControl w:val="0"/>
        <w:suppressAutoHyphens/>
      </w:pPr>
      <w:proofErr w:type="gramStart"/>
      <w:r>
        <w:rPr>
          <w:rFonts w:eastAsia="Arial"/>
          <w:bdr w:val="nil"/>
          <w:rtl/>
          <w:lang w:val="ar-SA"/>
        </w:rPr>
        <w:t>واختلفت</w:t>
      </w:r>
      <w:proofErr w:type="gramEnd"/>
      <w:r>
        <w:rPr>
          <w:rFonts w:eastAsia="Arial"/>
          <w:bdr w:val="nil"/>
          <w:rtl/>
          <w:lang w:val="ar-SA"/>
        </w:rPr>
        <w:t xml:space="preserve"> الآراء فيما بين الأشخاص الذين أجريت معهم المقابلات خلال التقييم فيما إذا كان ينبغي فهم "نتائج المشروع" </w:t>
      </w:r>
      <w:r>
        <w:rPr>
          <w:rFonts w:eastAsia="Arial"/>
          <w:bdr w:val="nil"/>
          <w:rtl/>
          <w:lang w:val="ar-SA"/>
        </w:rPr>
        <w:lastRenderedPageBreak/>
        <w:t>على أنها الاستنتاجات التي خلص إليها منتدى الخبراء أم أنها تتضمن تلك الناتجة عن المؤتمرات والدراسات.</w:t>
      </w:r>
    </w:p>
    <w:p w:rsidR="00AE1126" w:rsidRDefault="00AE1126" w:rsidP="007750F6">
      <w:pPr>
        <w:pStyle w:val="NumberedParaAR"/>
        <w:widowControl w:val="0"/>
        <w:suppressAutoHyphens/>
      </w:pPr>
      <w:r>
        <w:rPr>
          <w:rFonts w:eastAsia="Arial"/>
          <w:bdr w:val="nil"/>
          <w:rtl/>
          <w:lang w:val="ar-SA"/>
        </w:rPr>
        <w:t>ويبين الكثير من نتائج الدراسات (</w:t>
      </w:r>
      <w:proofErr w:type="gramStart"/>
      <w:r>
        <w:rPr>
          <w:rFonts w:eastAsia="Arial"/>
          <w:bdr w:val="nil"/>
          <w:rtl/>
          <w:lang w:val="ar-SA"/>
        </w:rPr>
        <w:t>انظر</w:t>
      </w:r>
      <w:proofErr w:type="gramEnd"/>
      <w:r>
        <w:rPr>
          <w:rFonts w:eastAsia="Arial"/>
          <w:bdr w:val="nil"/>
          <w:rtl/>
          <w:lang w:val="ar-SA"/>
        </w:rPr>
        <w:t xml:space="preserve"> 2.جيم.'8' أدناه) ومن وجهات النظر التي أبديت خلال منتدى الخبراء (CDIP/15/5) أن أهمية تكوين الكفاءات، على الأخص، تقتضي متابعةً من خلال أنشطة الويبو القائمة</w:t>
      </w:r>
      <w:r w:rsidR="00B27244">
        <w:rPr>
          <w:rFonts w:eastAsia="Arial"/>
          <w:bdr w:val="nil"/>
          <w:rtl/>
          <w:lang w:val="ar-SA"/>
        </w:rPr>
        <w:t xml:space="preserve">. </w:t>
      </w:r>
      <w:r>
        <w:rPr>
          <w:rFonts w:eastAsia="Arial"/>
          <w:bdr w:val="nil"/>
          <w:rtl/>
          <w:lang w:val="ar-SA"/>
        </w:rPr>
        <w:t xml:space="preserve">وينطبق نفس الأمر على نفاذ مستخدمي الملكية الفكرية في البلدان المتقدمة والنامية على حدٍ سواء إلى معلومات براءات جيدة التنظيم وإلى مشورة </w:t>
      </w:r>
      <w:proofErr w:type="spellStart"/>
      <w:r>
        <w:rPr>
          <w:rFonts w:eastAsia="Arial"/>
          <w:bdr w:val="nil"/>
          <w:rtl/>
          <w:lang w:val="ar-SA"/>
        </w:rPr>
        <w:t>سياساتية</w:t>
      </w:r>
      <w:proofErr w:type="spellEnd"/>
      <w:r>
        <w:rPr>
          <w:rFonts w:eastAsia="Arial"/>
          <w:bdr w:val="nil"/>
          <w:rtl/>
          <w:lang w:val="ar-SA"/>
        </w:rPr>
        <w:t xml:space="preserve"> بشأن تكوين بيئة </w:t>
      </w:r>
      <w:proofErr w:type="spellStart"/>
      <w:r>
        <w:rPr>
          <w:rFonts w:eastAsia="Arial"/>
          <w:bdr w:val="nil"/>
          <w:rtl/>
          <w:lang w:val="ar-SA"/>
        </w:rPr>
        <w:t>تمكينية</w:t>
      </w:r>
      <w:proofErr w:type="spellEnd"/>
      <w:r>
        <w:rPr>
          <w:rFonts w:eastAsia="Arial"/>
          <w:bdr w:val="nil"/>
          <w:rtl/>
          <w:lang w:val="ar-SA"/>
        </w:rPr>
        <w:t xml:space="preserve"> لنقل التكنولوجيا، مما يتضمن على سبيل المثال لا الحصر دمج مواطن مرونة اتفاق </w:t>
      </w:r>
      <w:proofErr w:type="spellStart"/>
      <w:r>
        <w:rPr>
          <w:rFonts w:eastAsia="Arial"/>
          <w:bdr w:val="nil"/>
          <w:rtl/>
          <w:lang w:val="ar-SA"/>
        </w:rPr>
        <w:t>تريبس</w:t>
      </w:r>
      <w:proofErr w:type="spellEnd"/>
      <w:r>
        <w:rPr>
          <w:rFonts w:eastAsia="Arial"/>
          <w:bdr w:val="nil"/>
          <w:rtl/>
          <w:lang w:val="ar-SA"/>
        </w:rPr>
        <w:t xml:space="preserve"> في قوانين الملكية الفكرية</w:t>
      </w:r>
      <w:r w:rsidR="00B27244">
        <w:rPr>
          <w:rFonts w:eastAsia="Arial"/>
          <w:bdr w:val="nil"/>
          <w:rtl/>
          <w:lang w:val="ar-SA"/>
        </w:rPr>
        <w:t xml:space="preserve">. </w:t>
      </w:r>
      <w:r>
        <w:rPr>
          <w:rFonts w:eastAsia="Arial"/>
          <w:bdr w:val="nil"/>
          <w:rtl/>
          <w:lang w:val="ar-SA"/>
        </w:rPr>
        <w:t xml:space="preserve">ولا تضم الوثيقة CDIP/15/5 حصراً لأنشطة </w:t>
      </w:r>
      <w:proofErr w:type="spellStart"/>
      <w:r>
        <w:rPr>
          <w:rFonts w:eastAsia="Arial"/>
          <w:bdr w:val="nil"/>
          <w:rtl/>
          <w:lang w:val="ar-SA"/>
        </w:rPr>
        <w:t>الويبو</w:t>
      </w:r>
      <w:proofErr w:type="spellEnd"/>
      <w:r>
        <w:rPr>
          <w:rFonts w:eastAsia="Arial"/>
          <w:bdr w:val="nil"/>
          <w:rtl/>
          <w:lang w:val="ar-SA"/>
        </w:rPr>
        <w:t xml:space="preserve"> الحالية في ميدان نقل التكنولوجيا، كما أنها لا تترجم الفجوات المحددة ترجمة واضحة إلى توصيات تنفيذية بشأن كيفية تكميل خدمات الويبو ذات الصلة أو تحسينها،</w:t>
      </w:r>
      <w:r w:rsidR="004E22FC">
        <w:rPr>
          <w:rFonts w:eastAsia="Arial"/>
          <w:bdr w:val="nil"/>
          <w:rtl/>
          <w:lang w:val="ar-SA"/>
        </w:rPr>
        <w:t xml:space="preserve"> </w:t>
      </w:r>
      <w:r>
        <w:rPr>
          <w:rFonts w:eastAsia="Arial"/>
          <w:bdr w:val="nil"/>
          <w:rtl/>
          <w:lang w:val="ar-SA"/>
        </w:rPr>
        <w:t>رغم أنهما يمثلان أساساً ضرورياً لعملية صنع القرار.</w:t>
      </w:r>
    </w:p>
    <w:p w:rsidR="00AE1126" w:rsidRPr="00A91CE9" w:rsidRDefault="00AE1126" w:rsidP="007750F6">
      <w:pPr>
        <w:pStyle w:val="NumberedParaAR"/>
        <w:widowControl w:val="0"/>
        <w:suppressAutoHyphens/>
      </w:pPr>
      <w:r>
        <w:rPr>
          <w:rFonts w:eastAsia="Arial"/>
          <w:bdr w:val="nil"/>
          <w:rtl/>
          <w:lang w:val="ar-SA"/>
        </w:rPr>
        <w:t>ولم ترد أنباء عن أي خطوات نحو وضع مقترح محدد للدول الأعضاء بشأن كيفية دمج نتائج المشروع في أعمال الويبو.</w:t>
      </w:r>
    </w:p>
    <w:p w:rsidR="00AE1126" w:rsidRPr="00A91CE9" w:rsidRDefault="00AE1126" w:rsidP="007750F6">
      <w:pPr>
        <w:pStyle w:val="Heading3AR"/>
        <w:keepNext w:val="0"/>
        <w:widowControl w:val="0"/>
        <w:suppressAutoHyphens/>
      </w:pPr>
      <w:r>
        <w:rPr>
          <w:rFonts w:eastAsia="Arial"/>
          <w:u w:val="none"/>
          <w:bdr w:val="nil"/>
          <w:rtl/>
          <w:lang w:val="ar-SA" w:eastAsia="zh-CN"/>
        </w:rPr>
        <w:t>('8')</w:t>
      </w:r>
      <w:r>
        <w:rPr>
          <w:rFonts w:eastAsia="Arial"/>
          <w:u w:val="none"/>
          <w:bdr w:val="nil"/>
          <w:rtl/>
          <w:lang w:val="ar-SA" w:eastAsia="zh-CN"/>
        </w:rPr>
        <w:tab/>
      </w:r>
      <w:proofErr w:type="gramStart"/>
      <w:r>
        <w:rPr>
          <w:rFonts w:eastAsia="Arial"/>
          <w:bdr w:val="nil"/>
          <w:rtl/>
          <w:lang w:val="ar-SA" w:eastAsia="zh-CN"/>
        </w:rPr>
        <w:t>النتائج</w:t>
      </w:r>
      <w:proofErr w:type="gramEnd"/>
      <w:r>
        <w:rPr>
          <w:rFonts w:eastAsia="Arial"/>
          <w:bdr w:val="nil"/>
          <w:rtl/>
          <w:lang w:val="ar-SA" w:eastAsia="zh-CN"/>
        </w:rPr>
        <w:t xml:space="preserve"> المبدئية المشاهَدة من حيث "الفهم المحسَّن"</w:t>
      </w:r>
    </w:p>
    <w:p w:rsidR="00AE1126" w:rsidRPr="00A91CE9" w:rsidRDefault="00AE1126" w:rsidP="007750F6">
      <w:pPr>
        <w:pStyle w:val="NumberedParaAR"/>
        <w:widowControl w:val="0"/>
        <w:suppressAutoHyphens/>
        <w:rPr>
          <w:lang w:bidi="en-US"/>
        </w:rPr>
      </w:pPr>
      <w:r>
        <w:rPr>
          <w:rFonts w:eastAsia="Arial"/>
          <w:bdr w:val="nil"/>
          <w:rtl/>
          <w:lang w:val="ar-SA"/>
        </w:rPr>
        <w:t>يعرض هذا القسم ملخضاً للنتائج الرئيسية المستفادة من الدراسات الست، التي استهدفت الإسهام في تحسين فهم مبادرات أو سياسات الملكية الفكرية المحتملة لتعزيز نقل التكنولوجيا ونشرها بما يفيد التقدم الاجتماعي الاقتصادي، لا سيما ما كان من ذلك في مصلحة البلدان النامية وأقل البلدان نمواً.</w:t>
      </w:r>
    </w:p>
    <w:p w:rsidR="00AE1126" w:rsidRPr="00A91CE9" w:rsidRDefault="00AE1126" w:rsidP="007750F6">
      <w:pPr>
        <w:pStyle w:val="NumberedParaAR"/>
        <w:widowControl w:val="0"/>
        <w:suppressAutoHyphens/>
      </w:pPr>
      <w:r>
        <w:rPr>
          <w:rFonts w:eastAsia="Arial"/>
          <w:bdr w:val="nil"/>
          <w:rtl/>
          <w:lang w:val="ar-SA"/>
        </w:rPr>
        <w:t xml:space="preserve">وقد حفزت سياسات حقوق الملكية الفكرية التي وضعتها الاقتصادات النامية استجابةً لاتفاق </w:t>
      </w:r>
      <w:proofErr w:type="spellStart"/>
      <w:r>
        <w:rPr>
          <w:rFonts w:eastAsia="Arial"/>
          <w:bdr w:val="nil"/>
          <w:rtl/>
          <w:lang w:val="ar-SA"/>
        </w:rPr>
        <w:t>تريبس</w:t>
      </w:r>
      <w:proofErr w:type="spellEnd"/>
      <w:r>
        <w:rPr>
          <w:rFonts w:eastAsia="Arial"/>
          <w:bdr w:val="nil"/>
          <w:rtl/>
          <w:lang w:val="ar-SA"/>
        </w:rPr>
        <w:t xml:space="preserve"> وغيره من الاتفاقات الدولية قدراً أكبر من تدفقات تجارة التكنولوجيا المتقدمة والاستثمار الأجنبي المباشر ونقل التكنولوجيا من خلال الترخيص عبر البلدان</w:t>
      </w:r>
      <w:r w:rsidR="00B27244">
        <w:rPr>
          <w:rFonts w:eastAsia="Arial"/>
          <w:bdr w:val="nil"/>
          <w:rtl/>
          <w:lang w:val="ar-SA"/>
        </w:rPr>
        <w:t xml:space="preserve">. </w:t>
      </w:r>
      <w:r>
        <w:rPr>
          <w:rFonts w:eastAsia="Arial"/>
          <w:bdr w:val="nil"/>
          <w:rtl/>
          <w:lang w:val="ar-SA"/>
        </w:rPr>
        <w:t>كما يسرت الأنشطة الموجهة تكنولوجياً داخل المنشآت متعددة الجنسيات في البلدان الصاعدة الرئيسية</w:t>
      </w:r>
      <w:r w:rsidR="00B27244">
        <w:rPr>
          <w:rFonts w:eastAsia="Arial"/>
          <w:bdr w:val="nil"/>
          <w:rtl/>
          <w:lang w:val="ar-SA"/>
        </w:rPr>
        <w:t xml:space="preserve">. </w:t>
      </w:r>
      <w:r>
        <w:rPr>
          <w:rFonts w:eastAsia="Arial"/>
          <w:bdr w:val="nil"/>
          <w:rtl/>
          <w:lang w:val="ar-SA"/>
        </w:rPr>
        <w:t>إلا أن الأدلة الإيجابية قائمة بشكل شبه تام على بيانات تتعلق ببلدان نامية كبيرة ومتوسطة الدخل،</w:t>
      </w:r>
      <w:r w:rsidR="004E22FC">
        <w:rPr>
          <w:rFonts w:eastAsia="Arial"/>
          <w:bdr w:val="nil"/>
          <w:rtl/>
          <w:lang w:val="ar-SA"/>
        </w:rPr>
        <w:t xml:space="preserve"> </w:t>
      </w:r>
      <w:r>
        <w:rPr>
          <w:rFonts w:eastAsia="Arial"/>
          <w:bdr w:val="nil"/>
          <w:rtl/>
          <w:lang w:val="ar-SA"/>
        </w:rPr>
        <w:t>وقد يكون سبب ذلك الدور المتواضع الذي تؤديه حقوق الملكية الفكرية في أحسن الأحوال في أقل البلدان نمواً</w:t>
      </w:r>
      <w:r w:rsidR="00B27244">
        <w:rPr>
          <w:rFonts w:eastAsia="Arial"/>
          <w:bdr w:val="nil"/>
          <w:rtl/>
          <w:lang w:val="ar-SA"/>
        </w:rPr>
        <w:t xml:space="preserve">. </w:t>
      </w:r>
      <w:proofErr w:type="gramStart"/>
      <w:r>
        <w:rPr>
          <w:rFonts w:eastAsia="Arial"/>
          <w:bdr w:val="nil"/>
          <w:rtl/>
          <w:lang w:val="ar-SA"/>
        </w:rPr>
        <w:t>كما</w:t>
      </w:r>
      <w:proofErr w:type="gramEnd"/>
      <w:r>
        <w:rPr>
          <w:rFonts w:eastAsia="Arial"/>
          <w:bdr w:val="nil"/>
          <w:rtl/>
          <w:lang w:val="ar-SA"/>
        </w:rPr>
        <w:t xml:space="preserve"> تفرض مجموعة متنوعة من العوامل الأخرى غير ذات الصلة بحقوق الملكية الفكرية قيوداً على قدرة أقل البلدان نمواً على استيعاب التكنولوجيات الأجنبية ومسايرتها.</w:t>
      </w:r>
      <w:r>
        <w:rPr>
          <w:vertAlign w:val="superscript"/>
        </w:rPr>
        <w:footnoteReference w:id="35"/>
      </w:r>
    </w:p>
    <w:p w:rsidR="00AE1126" w:rsidRPr="00A91CE9" w:rsidRDefault="00AE1126" w:rsidP="007750F6">
      <w:pPr>
        <w:pStyle w:val="NumberedParaAR"/>
        <w:widowControl w:val="0"/>
        <w:suppressAutoHyphens/>
        <w:rPr>
          <w:lang w:bidi="en-US"/>
        </w:rPr>
      </w:pPr>
      <w:proofErr w:type="gramStart"/>
      <w:r>
        <w:rPr>
          <w:rFonts w:eastAsia="Arial"/>
          <w:bdr w:val="nil"/>
          <w:rtl/>
          <w:lang w:val="ar-SA"/>
        </w:rPr>
        <w:t>لا</w:t>
      </w:r>
      <w:proofErr w:type="gramEnd"/>
      <w:r>
        <w:rPr>
          <w:rFonts w:eastAsia="Arial"/>
          <w:bdr w:val="nil"/>
          <w:rtl/>
          <w:lang w:val="ar-SA"/>
        </w:rPr>
        <w:t xml:space="preserve"> يتضمن نقل تكنولوجيات الأصول الفكرية الملكية الصناعية فحسب، بل كذلك الدراية العملية بعمليات التصنيع والموافقات التنظيمية</w:t>
      </w:r>
      <w:r w:rsidR="00B27244">
        <w:rPr>
          <w:rFonts w:eastAsia="Arial"/>
          <w:bdr w:val="nil"/>
          <w:rtl/>
          <w:lang w:val="ar-SA"/>
        </w:rPr>
        <w:t xml:space="preserve">. </w:t>
      </w:r>
      <w:r>
        <w:rPr>
          <w:rFonts w:eastAsia="Arial"/>
          <w:bdr w:val="nil"/>
          <w:rtl/>
          <w:lang w:val="ar-SA"/>
        </w:rPr>
        <w:t xml:space="preserve">ولهذه أهمية خاصة بالنسبة إلى نقل التكنولوجيا على الصعيد الدولي إلى البلدان </w:t>
      </w:r>
      <w:proofErr w:type="gramStart"/>
      <w:r>
        <w:rPr>
          <w:rFonts w:eastAsia="Arial"/>
          <w:bdr w:val="nil"/>
          <w:rtl/>
          <w:lang w:val="ar-SA"/>
        </w:rPr>
        <w:t>النامية</w:t>
      </w:r>
      <w:r>
        <w:rPr>
          <w:vertAlign w:val="superscript"/>
          <w:lang w:bidi="en-US"/>
        </w:rPr>
        <w:footnoteReference w:id="36"/>
      </w:r>
      <w:r>
        <w:rPr>
          <w:rFonts w:eastAsia="Arial"/>
          <w:bdr w:val="nil"/>
          <w:rtl/>
          <w:lang w:val="ar-SA"/>
        </w:rPr>
        <w:t>.</w:t>
      </w:r>
      <w:proofErr w:type="gramEnd"/>
    </w:p>
    <w:p w:rsidR="00AE1126" w:rsidRPr="00A91CE9" w:rsidRDefault="00AE1126" w:rsidP="007750F6">
      <w:pPr>
        <w:pStyle w:val="NumberedParaAR"/>
        <w:widowControl w:val="0"/>
        <w:suppressAutoHyphens/>
      </w:pPr>
      <w:proofErr w:type="gramStart"/>
      <w:r>
        <w:rPr>
          <w:rFonts w:eastAsia="Arial"/>
          <w:bdr w:val="nil"/>
          <w:rtl/>
          <w:lang w:val="ar-SA"/>
        </w:rPr>
        <w:t>ومازالت</w:t>
      </w:r>
      <w:proofErr w:type="gramEnd"/>
      <w:r>
        <w:rPr>
          <w:rFonts w:eastAsia="Arial"/>
          <w:bdr w:val="nil"/>
          <w:rtl/>
          <w:lang w:val="ar-SA"/>
        </w:rPr>
        <w:t xml:space="preserve"> هناك فجوات واسعة من حيث النشاط التكنولوجي وتنمية رأس المال البشري، ليس بين البلدان المتقدمة والنامية فحسب، بل كذلك فيما بين البلدان النامية. </w:t>
      </w:r>
      <w:proofErr w:type="gramStart"/>
      <w:r>
        <w:rPr>
          <w:rFonts w:eastAsia="Arial"/>
          <w:bdr w:val="nil"/>
          <w:rtl/>
          <w:lang w:val="ar-SA"/>
        </w:rPr>
        <w:t>أما</w:t>
      </w:r>
      <w:proofErr w:type="gramEnd"/>
      <w:r>
        <w:rPr>
          <w:rFonts w:eastAsia="Arial"/>
          <w:bdr w:val="nil"/>
          <w:rtl/>
          <w:lang w:val="ar-SA"/>
        </w:rPr>
        <w:t xml:space="preserve"> جمع البلدان النامية كافة تحت فئة واحدة، فيمثل إفراطاً في التبسيط لا مسوغ له.</w:t>
      </w:r>
      <w:r>
        <w:rPr>
          <w:vertAlign w:val="superscript"/>
        </w:rPr>
        <w:footnoteReference w:id="37"/>
      </w:r>
    </w:p>
    <w:p w:rsidR="00AE1126" w:rsidRPr="00A91CE9" w:rsidRDefault="00AE1126" w:rsidP="007750F6">
      <w:pPr>
        <w:pStyle w:val="NumberedParaAR"/>
        <w:widowControl w:val="0"/>
        <w:suppressAutoHyphens/>
        <w:rPr>
          <w:lang w:bidi="en-US"/>
        </w:rPr>
      </w:pPr>
      <w:proofErr w:type="gramStart"/>
      <w:r>
        <w:rPr>
          <w:rFonts w:eastAsia="Arial"/>
          <w:bdr w:val="nil"/>
          <w:rtl/>
          <w:lang w:val="ar-SA"/>
        </w:rPr>
        <w:t>ويمثل</w:t>
      </w:r>
      <w:proofErr w:type="gramEnd"/>
      <w:r>
        <w:rPr>
          <w:rFonts w:eastAsia="Arial"/>
          <w:bdr w:val="nil"/>
          <w:rtl/>
          <w:lang w:val="ar-SA"/>
        </w:rPr>
        <w:t xml:space="preserve"> التعاون عبر الحدود ونقل المعرفة والخبرة بدلاً من الاكتفاء بإعطاء حق قانوني في التسويق سبيلين فعالين لتعزيز نقل التكنولوجيا بين البلدان المتقدمة والنامية. </w:t>
      </w:r>
    </w:p>
    <w:p w:rsidR="00AE1126" w:rsidRPr="00A91CE9" w:rsidRDefault="00AE1126" w:rsidP="007750F6">
      <w:pPr>
        <w:pStyle w:val="NumberedParaAR"/>
        <w:widowControl w:val="0"/>
        <w:suppressAutoHyphens/>
      </w:pPr>
      <w:r>
        <w:rPr>
          <w:rFonts w:eastAsia="Arial"/>
          <w:bdr w:val="nil"/>
          <w:rtl/>
          <w:lang w:val="ar-SA"/>
        </w:rPr>
        <w:t>وثمة علاقة ترابطية بين سعات الاستيعاب ومدى قدرة البلدان النامية على الاستفادة من الفوائد غير المباشرة من التجارة أو الاستثمار الأجنبي المباشر</w:t>
      </w:r>
      <w:r w:rsidR="00B27244">
        <w:rPr>
          <w:rFonts w:eastAsia="Arial"/>
          <w:bdr w:val="nil"/>
          <w:rtl/>
          <w:lang w:val="ar-SA"/>
        </w:rPr>
        <w:t xml:space="preserve">. </w:t>
      </w:r>
      <w:proofErr w:type="gramStart"/>
      <w:r>
        <w:rPr>
          <w:rFonts w:eastAsia="Arial"/>
          <w:bdr w:val="nil"/>
          <w:rtl/>
          <w:lang w:val="ar-SA"/>
        </w:rPr>
        <w:t>لكن</w:t>
      </w:r>
      <w:proofErr w:type="gramEnd"/>
      <w:r>
        <w:rPr>
          <w:rFonts w:eastAsia="Arial"/>
          <w:bdr w:val="nil"/>
          <w:rtl/>
          <w:lang w:val="ar-SA"/>
        </w:rPr>
        <w:t xml:space="preserve"> من شأن الافتقار إلى قدرٍ كافٍ من رأس المال البشري أو الاستثمارات في البحث والتطوير أن يحول دون تحقق الفوائد غير المباشرة</w:t>
      </w:r>
      <w:r w:rsidR="00B27244">
        <w:rPr>
          <w:rFonts w:eastAsia="Arial"/>
          <w:bdr w:val="nil"/>
          <w:rtl/>
          <w:lang w:val="ar-SA"/>
        </w:rPr>
        <w:t xml:space="preserve">. </w:t>
      </w:r>
      <w:proofErr w:type="gramStart"/>
      <w:r>
        <w:rPr>
          <w:rFonts w:eastAsia="Arial"/>
          <w:bdr w:val="nil"/>
          <w:rtl/>
          <w:lang w:val="ar-SA"/>
        </w:rPr>
        <w:t>ويجب</w:t>
      </w:r>
      <w:proofErr w:type="gramEnd"/>
      <w:r>
        <w:rPr>
          <w:rFonts w:eastAsia="Arial"/>
          <w:bdr w:val="nil"/>
          <w:rtl/>
          <w:lang w:val="ar-SA"/>
        </w:rPr>
        <w:t xml:space="preserve"> أن تقترن بتحرير التجارة والاستثمار الأجنبي المباشر </w:t>
      </w:r>
      <w:r>
        <w:rPr>
          <w:rFonts w:eastAsia="Arial"/>
          <w:bdr w:val="nil"/>
          <w:rtl/>
          <w:lang w:val="ar-SA"/>
        </w:rPr>
        <w:lastRenderedPageBreak/>
        <w:t>سياسات ملائمة لتعزيز التعليم، والبحث والتطوير، وتنمية رأس المال البشري إن أريد للبلدان النامية أن تحقق كامل الاستفادة من التجارة أو الاستثمار الأجنبي غير المباشر.</w:t>
      </w:r>
      <w:r>
        <w:rPr>
          <w:vertAlign w:val="superscript"/>
        </w:rPr>
        <w:footnoteReference w:id="38"/>
      </w:r>
    </w:p>
    <w:p w:rsidR="00AE1126" w:rsidRPr="00A91CE9" w:rsidRDefault="00AE1126" w:rsidP="007750F6">
      <w:pPr>
        <w:pStyle w:val="NumberedParaAR"/>
        <w:widowControl w:val="0"/>
        <w:suppressAutoHyphens/>
      </w:pPr>
      <w:proofErr w:type="gramStart"/>
      <w:r>
        <w:rPr>
          <w:rFonts w:eastAsia="Arial"/>
          <w:bdr w:val="nil"/>
          <w:rtl/>
          <w:lang w:val="ar-SA"/>
        </w:rPr>
        <w:t>وللتركيز</w:t>
      </w:r>
      <w:proofErr w:type="gramEnd"/>
      <w:r>
        <w:rPr>
          <w:rFonts w:eastAsia="Arial"/>
          <w:bdr w:val="nil"/>
          <w:rtl/>
          <w:lang w:val="ar-SA"/>
        </w:rPr>
        <w:t xml:space="preserve"> بقوة على تنمية رأس المال البشري أهمية محورية في سبيل تمكين البلدان النامية من الاستفادة من التعاون الدولي أو التجارة أو الاستثمار الأجنبي المباشر</w:t>
      </w:r>
      <w:r w:rsidR="00B27244">
        <w:rPr>
          <w:rFonts w:eastAsia="Arial"/>
          <w:bdr w:val="nil"/>
          <w:rtl/>
          <w:lang w:val="ar-SA"/>
        </w:rPr>
        <w:t xml:space="preserve">. </w:t>
      </w:r>
      <w:proofErr w:type="gramStart"/>
      <w:r>
        <w:rPr>
          <w:rFonts w:eastAsia="Arial"/>
          <w:bdr w:val="nil"/>
          <w:rtl/>
          <w:lang w:val="ar-SA"/>
        </w:rPr>
        <w:t>ويجب</w:t>
      </w:r>
      <w:proofErr w:type="gramEnd"/>
      <w:r>
        <w:rPr>
          <w:rFonts w:eastAsia="Arial"/>
          <w:bdr w:val="nil"/>
          <w:rtl/>
          <w:lang w:val="ar-SA"/>
        </w:rPr>
        <w:t xml:space="preserve"> على حكومات البلدان النامية أداء دورها في تعزيز أنظمة التعليم المحلية على جميع المستويات (من الابتدائي إلى مرحلة ما بعد الثانوي)</w:t>
      </w:r>
      <w:r w:rsidR="00B27244">
        <w:rPr>
          <w:rFonts w:eastAsia="Arial"/>
          <w:bdr w:val="nil"/>
          <w:rtl/>
          <w:lang w:val="ar-SA"/>
        </w:rPr>
        <w:t xml:space="preserve">. </w:t>
      </w:r>
      <w:r>
        <w:rPr>
          <w:rFonts w:eastAsia="Arial"/>
          <w:bdr w:val="nil"/>
          <w:rtl/>
          <w:lang w:val="ar-SA"/>
        </w:rPr>
        <w:t>ويمثل تعزيز أنظمة التعليم المحلية من منظور الاقتصاد شرطاً مسبقاً ضرورياً لحدوث نقل التكنولوجيا على الصعيد الدولي بفعالية.</w:t>
      </w:r>
    </w:p>
    <w:p w:rsidR="00AE1126" w:rsidRPr="00A91CE9" w:rsidRDefault="00AE1126" w:rsidP="007750F6">
      <w:pPr>
        <w:pStyle w:val="NumberedParaAR"/>
        <w:widowControl w:val="0"/>
        <w:suppressAutoHyphens/>
      </w:pPr>
      <w:r>
        <w:rPr>
          <w:rFonts w:eastAsia="Arial"/>
          <w:bdr w:val="nil"/>
          <w:rtl/>
          <w:lang w:val="ar-SA"/>
        </w:rPr>
        <w:t>وربما يقتضي الأمر إعادة النظر في الافتراض التقليدي بأن "نقل التكنولوجيا من البلدان المتقدمة إلى البلدان النامية يؤدي، في حد ذاته، إلى تنمية اقتصاداتها ورؤوس أموالها البشرية"،</w:t>
      </w:r>
      <w:r w:rsidR="004E22FC">
        <w:rPr>
          <w:rFonts w:eastAsia="Arial"/>
          <w:bdr w:val="nil"/>
          <w:rtl/>
          <w:lang w:val="ar-SA"/>
        </w:rPr>
        <w:t xml:space="preserve"> </w:t>
      </w:r>
      <w:r>
        <w:rPr>
          <w:rFonts w:eastAsia="Arial"/>
          <w:bdr w:val="nil"/>
          <w:rtl/>
          <w:lang w:val="ar-SA"/>
        </w:rPr>
        <w:t>حيث إنه ليس من الحتمي أن تؤدي التكنولوجيات الجديدة، مثل الأدوية وأنظمة التعليم وتكنولوجيا المعلومات والاتصالات المتقدمة، تلقائياً إلى تحسين جودة حياة السواد الأعظم من شعوب البلدان النامية.</w:t>
      </w:r>
      <w:r>
        <w:rPr>
          <w:vertAlign w:val="superscript"/>
        </w:rPr>
        <w:footnoteReference w:id="39"/>
      </w:r>
      <w:r w:rsidR="004E22FC">
        <w:rPr>
          <w:rFonts w:eastAsia="Arial"/>
          <w:bdr w:val="nil"/>
          <w:rtl/>
          <w:lang w:val="ar-SA"/>
        </w:rPr>
        <w:t xml:space="preserve"> </w:t>
      </w:r>
      <w:proofErr w:type="gramStart"/>
      <w:r>
        <w:rPr>
          <w:rFonts w:eastAsia="Arial"/>
          <w:bdr w:val="nil"/>
          <w:rtl/>
          <w:lang w:val="ar-SA"/>
        </w:rPr>
        <w:t>كما</w:t>
      </w:r>
      <w:proofErr w:type="gramEnd"/>
      <w:r>
        <w:rPr>
          <w:rFonts w:eastAsia="Arial"/>
          <w:bdr w:val="nil"/>
          <w:rtl/>
          <w:lang w:val="ar-SA"/>
        </w:rPr>
        <w:t xml:space="preserve"> أن تركيز الكثير من الشركات متعددة الجنسيات على نقل صنوف الرفاهية غير الضرورية إلى القطاعات الثرية من السكان في البلدان النامية لا يضفي على جودة حياة جل الناس أي تحسين. فيجب إذاً المزج بين المساعدة الإنمائية للتصدي للتحديات الاجتماعية الاقتصادية التي تواجهها المجتمعات الأفقر في البلدان النامية من خلال نقل التكنولوجيا من جهة والتدابير الأخرى الموجهة إلى تعزيز المعايش المستدامة من جهة أخرى.</w:t>
      </w:r>
      <w:r>
        <w:rPr>
          <w:vertAlign w:val="superscript"/>
        </w:rPr>
        <w:footnoteReference w:id="40"/>
      </w:r>
    </w:p>
    <w:p w:rsidR="00AE1126" w:rsidRPr="00A91CE9" w:rsidRDefault="00AE1126" w:rsidP="007750F6">
      <w:pPr>
        <w:pStyle w:val="NumberedParaAR"/>
        <w:widowControl w:val="0"/>
        <w:suppressAutoHyphens/>
      </w:pPr>
      <w:proofErr w:type="gramStart"/>
      <w:r>
        <w:rPr>
          <w:rFonts w:eastAsia="Arial"/>
          <w:bdr w:val="nil"/>
          <w:rtl/>
          <w:lang w:val="ar-SA"/>
        </w:rPr>
        <w:t>وربما</w:t>
      </w:r>
      <w:proofErr w:type="gramEnd"/>
      <w:r>
        <w:rPr>
          <w:rFonts w:eastAsia="Arial"/>
          <w:bdr w:val="nil"/>
          <w:rtl/>
          <w:lang w:val="ar-SA"/>
        </w:rPr>
        <w:t xml:space="preserve"> تشجع الحوافز الضريبية للبحث والتطوير ونقل التكنولوجيا إجراء الأبحاث والتطوير في المجالات ذات الأولوية، مثل إنماء قطاع تصنيع معين وصناعة تصديرية معينة أو الإسهام في تحقيق الأهداف الإنمائية</w:t>
      </w:r>
      <w:r w:rsidR="00B27244">
        <w:rPr>
          <w:rFonts w:eastAsia="Arial"/>
          <w:bdr w:val="nil"/>
          <w:rtl/>
          <w:lang w:val="ar-SA"/>
        </w:rPr>
        <w:t xml:space="preserve">. </w:t>
      </w:r>
      <w:proofErr w:type="gramStart"/>
      <w:r>
        <w:rPr>
          <w:rFonts w:eastAsia="Arial"/>
          <w:bdr w:val="nil"/>
          <w:rtl/>
          <w:lang w:val="ar-SA"/>
        </w:rPr>
        <w:t>وتوجد</w:t>
      </w:r>
      <w:proofErr w:type="gramEnd"/>
      <w:r>
        <w:rPr>
          <w:rFonts w:eastAsia="Arial"/>
          <w:bdr w:val="nil"/>
          <w:rtl/>
          <w:lang w:val="ar-SA"/>
        </w:rPr>
        <w:t xml:space="preserve"> لدى معظم البلدان المتقدمة والكثير من البلدان النامية حوافز محددة للتشجيع على البحث والتطوير وعلى نقل التكنولوجيا.</w:t>
      </w:r>
      <w:r>
        <w:rPr>
          <w:vertAlign w:val="superscript"/>
        </w:rPr>
        <w:footnoteReference w:id="41"/>
      </w:r>
      <w:r w:rsidR="004E22FC">
        <w:rPr>
          <w:rFonts w:eastAsia="Arial"/>
          <w:bdr w:val="nil"/>
          <w:rtl/>
          <w:lang w:val="ar-SA"/>
        </w:rPr>
        <w:t xml:space="preserve"> </w:t>
      </w:r>
      <w:proofErr w:type="gramStart"/>
      <w:r>
        <w:rPr>
          <w:rFonts w:eastAsia="Arial"/>
          <w:bdr w:val="nil"/>
          <w:rtl/>
          <w:lang w:val="ar-SA"/>
        </w:rPr>
        <w:t>كما</w:t>
      </w:r>
      <w:proofErr w:type="gramEnd"/>
      <w:r>
        <w:rPr>
          <w:rFonts w:eastAsia="Arial"/>
          <w:bdr w:val="nil"/>
          <w:rtl/>
          <w:lang w:val="ar-SA"/>
        </w:rPr>
        <w:t xml:space="preserve"> أن للآليات المساندة التي تنمي العلاقات بين الكيانات التجارية المحلية ومبدعي التكنولوجيا على الصعيد المحلي أو العالمي أهمية هي الأخرى.</w:t>
      </w:r>
      <w:r>
        <w:rPr>
          <w:vertAlign w:val="superscript"/>
        </w:rPr>
        <w:footnoteReference w:id="42"/>
      </w:r>
    </w:p>
    <w:p w:rsidR="00AE1126" w:rsidRPr="00A91CE9" w:rsidRDefault="00AE1126" w:rsidP="007750F6">
      <w:pPr>
        <w:pStyle w:val="NumberedParaAR"/>
        <w:widowControl w:val="0"/>
        <w:suppressAutoHyphens/>
      </w:pPr>
      <w:proofErr w:type="gramStart"/>
      <w:r>
        <w:rPr>
          <w:rFonts w:eastAsia="Arial"/>
          <w:bdr w:val="nil"/>
          <w:rtl/>
          <w:lang w:val="ar-SA"/>
        </w:rPr>
        <w:t>ويمثل</w:t>
      </w:r>
      <w:proofErr w:type="gramEnd"/>
      <w:r>
        <w:rPr>
          <w:rFonts w:eastAsia="Arial"/>
          <w:bdr w:val="nil"/>
          <w:rtl/>
          <w:lang w:val="ar-SA"/>
        </w:rPr>
        <w:t xml:space="preserve"> التعاون في مجالات البحث والتطوير على الصعيد الدولي قناة مهمة لنقل التكنولوجيا من البلدان المتقدمة إلى البلدان النامية</w:t>
      </w:r>
      <w:r w:rsidR="00B27244">
        <w:rPr>
          <w:rFonts w:eastAsia="Arial"/>
          <w:bdr w:val="nil"/>
          <w:rtl/>
          <w:lang w:val="ar-SA"/>
        </w:rPr>
        <w:t xml:space="preserve">. </w:t>
      </w:r>
      <w:r>
        <w:rPr>
          <w:rFonts w:eastAsia="Arial"/>
          <w:bdr w:val="nil"/>
          <w:rtl/>
          <w:lang w:val="ar-SA"/>
        </w:rPr>
        <w:t>وترسم ثمان دراسات إفرادية صوراً توضيحية لعدة مجالات تقنية ومناطق جغرافية، مما يعطي لمحة أولى مثيرة للاهتمام على التحديات المؤسسية المتنوعة التي تواجه الجهات الفاعلة في التعاون في مجالات البحث والتطوير ونقل التكنولوجيا بين البلدان المتقدمة والنامية</w:t>
      </w:r>
      <w:r w:rsidR="00B27244">
        <w:rPr>
          <w:rFonts w:eastAsia="Arial"/>
          <w:bdr w:val="nil"/>
          <w:rtl/>
          <w:lang w:val="ar-SA"/>
        </w:rPr>
        <w:t xml:space="preserve">. </w:t>
      </w:r>
      <w:r>
        <w:rPr>
          <w:rFonts w:eastAsia="Arial"/>
          <w:bdr w:val="nil"/>
          <w:rtl/>
          <w:lang w:val="ar-SA"/>
        </w:rPr>
        <w:t>وهذا هو أحد أقوى أجزاء المشروع كله تعبيراً، حيث يسلط الضوء على إمكانية التوصل إلى نتائج مثيرة للاهتمام، بل وربما تكون ثورية، من خلال الجهد المشترك بين أعضاء البلدان المتقدمة والنامية بمجرد التمكن من التغلب على التحديات.</w:t>
      </w:r>
      <w:r>
        <w:rPr>
          <w:vertAlign w:val="superscript"/>
        </w:rPr>
        <w:footnoteReference w:id="43"/>
      </w:r>
    </w:p>
    <w:p w:rsidR="00AE1126" w:rsidRPr="00A91CE9" w:rsidRDefault="00AE1126" w:rsidP="007750F6">
      <w:pPr>
        <w:pStyle w:val="NumberedParaAR"/>
        <w:widowControl w:val="0"/>
        <w:suppressAutoHyphens/>
      </w:pPr>
      <w:r>
        <w:rPr>
          <w:rFonts w:eastAsia="Arial"/>
          <w:bdr w:val="nil"/>
          <w:rtl/>
          <w:lang w:val="ar-SA"/>
        </w:rPr>
        <w:t>ومن الممكن استخدام المعرفة في مشروعات البحث والتطوير من خلال النشر والسيطرة التملكية للمعرفة على حدٍ سواء لتيسير مختلف استراتيجيات الاستخدام في البلدان المتقدمة والنامية بالتوازي</w:t>
      </w:r>
      <w:r w:rsidR="00B27244">
        <w:rPr>
          <w:rFonts w:eastAsia="Arial"/>
          <w:bdr w:val="nil"/>
          <w:rtl/>
          <w:lang w:val="ar-SA"/>
        </w:rPr>
        <w:t xml:space="preserve">. </w:t>
      </w:r>
      <w:r>
        <w:rPr>
          <w:rFonts w:eastAsia="Arial"/>
          <w:bdr w:val="nil"/>
          <w:rtl/>
          <w:lang w:val="ar-SA"/>
        </w:rPr>
        <w:t>ولمفهوم إمكانية أداء حقول الملكية الفكرية حسب سياق الاستخدام أهمية</w:t>
      </w:r>
      <w:r w:rsidR="00B27244">
        <w:rPr>
          <w:rFonts w:eastAsia="Arial"/>
          <w:bdr w:val="nil"/>
          <w:rtl/>
          <w:lang w:val="ar-SA"/>
        </w:rPr>
        <w:t xml:space="preserve">. </w:t>
      </w:r>
      <w:r>
        <w:rPr>
          <w:rFonts w:eastAsia="Arial"/>
          <w:bdr w:val="nil"/>
          <w:rtl/>
          <w:lang w:val="ar-SA"/>
        </w:rPr>
        <w:t xml:space="preserve">وينبغي عند تصميم استراتيجيات حقوق الملكية الفكرية وضع النماذج القيمية المختلفة </w:t>
      </w:r>
      <w:r>
        <w:rPr>
          <w:rFonts w:eastAsia="Arial"/>
          <w:bdr w:val="nil"/>
          <w:rtl/>
          <w:lang w:val="ar-SA"/>
        </w:rPr>
        <w:lastRenderedPageBreak/>
        <w:t>هذه نصب الأعين.</w:t>
      </w:r>
      <w:r>
        <w:rPr>
          <w:vertAlign w:val="superscript"/>
        </w:rPr>
        <w:footnoteReference w:id="44"/>
      </w:r>
    </w:p>
    <w:p w:rsidR="00AE1126" w:rsidRPr="00A91CE9" w:rsidRDefault="00AE1126" w:rsidP="007750F6">
      <w:pPr>
        <w:pStyle w:val="NumberedParaAR"/>
        <w:widowControl w:val="0"/>
        <w:suppressAutoHyphens/>
      </w:pPr>
      <w:r>
        <w:rPr>
          <w:rFonts w:eastAsia="Arial"/>
          <w:bdr w:val="nil"/>
          <w:rtl/>
          <w:lang w:val="ar-SA"/>
        </w:rPr>
        <w:t>ومن الوارد أن تبلغ التكاليف المقترنة بإعداد البراءات وتقييمها وإنفاذها مبلغاً معتبراً</w:t>
      </w:r>
      <w:r w:rsidR="00B27244">
        <w:rPr>
          <w:rFonts w:eastAsia="Arial"/>
          <w:bdr w:val="nil"/>
          <w:rtl/>
          <w:lang w:val="ar-SA"/>
        </w:rPr>
        <w:t xml:space="preserve">. </w:t>
      </w:r>
      <w:r>
        <w:rPr>
          <w:rFonts w:eastAsia="Arial"/>
          <w:bdr w:val="nil"/>
          <w:rtl/>
          <w:lang w:val="ar-SA"/>
        </w:rPr>
        <w:t>ومن الممكن أن تتضاءل قيمة نظام البراءات إذا استُخدم لتطوير منتجات ضعيفة من منظور التسويق التجاري أو نواتج بحثية لا يمكن تحويلها إلى نقود بنجاح أو مشروعات إنمائية عالية المخاطر</w:t>
      </w:r>
      <w:r w:rsidR="00B27244">
        <w:rPr>
          <w:rFonts w:eastAsia="Arial"/>
          <w:bdr w:val="nil"/>
          <w:rtl/>
          <w:lang w:val="ar-SA"/>
        </w:rPr>
        <w:t xml:space="preserve">. </w:t>
      </w:r>
      <w:proofErr w:type="gramStart"/>
      <w:r>
        <w:rPr>
          <w:rFonts w:eastAsia="Arial"/>
          <w:bdr w:val="nil"/>
          <w:rtl/>
          <w:lang w:val="ar-SA"/>
        </w:rPr>
        <w:t>ولصناع</w:t>
      </w:r>
      <w:proofErr w:type="gramEnd"/>
      <w:r>
        <w:rPr>
          <w:rFonts w:eastAsia="Arial"/>
          <w:bdr w:val="nil"/>
          <w:rtl/>
          <w:lang w:val="ar-SA"/>
        </w:rPr>
        <w:t xml:space="preserve"> السياسات أن يستخدموا، ضمن حدود الالتزامات الدولية، مجموعة متنوعة من آليات تشجيع الابتكار في سبيل تحقيق الأهداف</w:t>
      </w:r>
      <w:r w:rsidR="00B27244">
        <w:rPr>
          <w:rFonts w:eastAsia="Arial"/>
          <w:bdr w:val="nil"/>
          <w:rtl/>
          <w:lang w:val="ar-SA"/>
        </w:rPr>
        <w:t xml:space="preserve">. </w:t>
      </w:r>
      <w:proofErr w:type="gramStart"/>
      <w:r>
        <w:rPr>
          <w:rFonts w:eastAsia="Arial"/>
          <w:bdr w:val="nil"/>
          <w:rtl/>
          <w:lang w:val="ar-SA"/>
        </w:rPr>
        <w:t>وقد</w:t>
      </w:r>
      <w:proofErr w:type="gramEnd"/>
      <w:r>
        <w:rPr>
          <w:rFonts w:eastAsia="Arial"/>
          <w:bdr w:val="nil"/>
          <w:rtl/>
          <w:lang w:val="ar-SA"/>
        </w:rPr>
        <w:t xml:space="preserve"> يكون من المفيد الجمع بين عدة آليات للتغلب على أوجه القصور البارزة</w:t>
      </w:r>
      <w:r w:rsidR="004E22FC">
        <w:rPr>
          <w:rFonts w:eastAsia="Arial"/>
          <w:bdr w:val="nil"/>
          <w:rtl/>
          <w:lang w:val="ar-SA"/>
        </w:rPr>
        <w:t xml:space="preserve"> </w:t>
      </w:r>
      <w:r>
        <w:rPr>
          <w:rFonts w:eastAsia="Arial"/>
          <w:bdr w:val="nil"/>
          <w:rtl/>
          <w:lang w:val="ar-SA"/>
        </w:rPr>
        <w:t>في آليةٍ ما بعينها</w:t>
      </w:r>
      <w:r w:rsidR="00B27244">
        <w:rPr>
          <w:rFonts w:eastAsia="Arial"/>
          <w:bdr w:val="nil"/>
          <w:rtl/>
          <w:lang w:val="ar-SA"/>
        </w:rPr>
        <w:t xml:space="preserve">. </w:t>
      </w:r>
      <w:r>
        <w:rPr>
          <w:rFonts w:eastAsia="Arial"/>
          <w:bdr w:val="nil"/>
          <w:rtl/>
          <w:lang w:val="ar-SA"/>
        </w:rPr>
        <w:t xml:space="preserve">ولمختلف آليات دعم الابتكار جوانب متعلقة بالتجارة </w:t>
      </w:r>
      <w:proofErr w:type="gramStart"/>
      <w:r>
        <w:rPr>
          <w:rFonts w:eastAsia="Arial"/>
          <w:bdr w:val="nil"/>
          <w:rtl/>
          <w:lang w:val="ar-SA"/>
        </w:rPr>
        <w:t>وأنظمة</w:t>
      </w:r>
      <w:proofErr w:type="gramEnd"/>
      <w:r>
        <w:rPr>
          <w:rFonts w:eastAsia="Arial"/>
          <w:bdr w:val="nil"/>
          <w:rtl/>
          <w:lang w:val="ar-SA"/>
        </w:rPr>
        <w:t xml:space="preserve"> تنظيمية عالمية ناشئة أو محتملة</w:t>
      </w:r>
      <w:r w:rsidR="00B27244">
        <w:rPr>
          <w:rFonts w:eastAsia="Arial"/>
          <w:bdr w:val="nil"/>
          <w:rtl/>
          <w:lang w:val="ar-SA"/>
        </w:rPr>
        <w:t xml:space="preserve">. </w:t>
      </w:r>
      <w:r>
        <w:rPr>
          <w:rFonts w:eastAsia="Arial"/>
          <w:bdr w:val="nil"/>
          <w:rtl/>
          <w:lang w:val="ar-SA"/>
        </w:rPr>
        <w:t xml:space="preserve">ولم يحظ هذا الموضوع بتقدير واسع النطاق </w:t>
      </w:r>
      <w:proofErr w:type="gramStart"/>
      <w:r>
        <w:rPr>
          <w:rFonts w:eastAsia="Arial"/>
          <w:bdr w:val="nil"/>
          <w:rtl/>
          <w:lang w:val="ar-SA"/>
        </w:rPr>
        <w:t>من</w:t>
      </w:r>
      <w:proofErr w:type="gramEnd"/>
      <w:r>
        <w:rPr>
          <w:rFonts w:eastAsia="Arial"/>
          <w:bdr w:val="nil"/>
          <w:rtl/>
          <w:lang w:val="ar-SA"/>
        </w:rPr>
        <w:t xml:space="preserve"> جانب </w:t>
      </w:r>
      <w:proofErr w:type="spellStart"/>
      <w:r>
        <w:rPr>
          <w:rFonts w:eastAsia="Arial"/>
          <w:bdr w:val="nil"/>
          <w:rtl/>
          <w:lang w:val="ar-SA"/>
        </w:rPr>
        <w:t>مهنيي</w:t>
      </w:r>
      <w:proofErr w:type="spellEnd"/>
      <w:r>
        <w:rPr>
          <w:rFonts w:eastAsia="Arial"/>
          <w:bdr w:val="nil"/>
          <w:rtl/>
          <w:lang w:val="ar-SA"/>
        </w:rPr>
        <w:t xml:space="preserve"> الملكية الفكرية.</w:t>
      </w:r>
      <w:r>
        <w:rPr>
          <w:vertAlign w:val="superscript"/>
        </w:rPr>
        <w:footnoteReference w:id="45"/>
      </w:r>
    </w:p>
    <w:p w:rsidR="00AE1126" w:rsidRPr="00A91CE9" w:rsidRDefault="00AE1126" w:rsidP="007750F6">
      <w:pPr>
        <w:pStyle w:val="NumberedParaAR"/>
        <w:widowControl w:val="0"/>
        <w:suppressAutoHyphens/>
      </w:pPr>
      <w:r>
        <w:rPr>
          <w:rFonts w:eastAsia="Arial"/>
          <w:bdr w:val="nil"/>
          <w:rtl/>
          <w:lang w:val="ar-SA"/>
        </w:rPr>
        <w:t>ويجب بذل مزيدٍ من لجهد للارتقاء بالكشف عن الاختراعات وإمكانية النفاذ إلى بيانات البراءات للبلدان النامية، بما في ذلك الكشف عن أفضل الأوضاع أو الطرائق</w:t>
      </w:r>
      <w:r w:rsidR="00B27244">
        <w:rPr>
          <w:rFonts w:eastAsia="Arial"/>
          <w:bdr w:val="nil"/>
          <w:rtl/>
          <w:lang w:val="ar-SA"/>
        </w:rPr>
        <w:t xml:space="preserve">. </w:t>
      </w:r>
      <w:r>
        <w:rPr>
          <w:rFonts w:eastAsia="Arial"/>
          <w:bdr w:val="nil"/>
          <w:rtl/>
          <w:lang w:val="ar-SA"/>
        </w:rPr>
        <w:t>ويتطلب هذا إتاحة بيانات البراءات على الإنترنت ومن خلال قواعد بيانات دولية</w:t>
      </w:r>
      <w:r w:rsidR="00B27244">
        <w:rPr>
          <w:rFonts w:eastAsia="Arial"/>
          <w:bdr w:val="nil"/>
          <w:rtl/>
          <w:lang w:val="ar-SA"/>
        </w:rPr>
        <w:t xml:space="preserve">. </w:t>
      </w:r>
      <w:r>
        <w:rPr>
          <w:rFonts w:eastAsia="Arial"/>
          <w:bdr w:val="nil"/>
          <w:rtl/>
          <w:lang w:val="ar-SA"/>
        </w:rPr>
        <w:t>ويمثل نفاذ البلدان النامية إلى البرمجيات ذات الإمكانيات التحليلية ضرورة.</w:t>
      </w:r>
      <w:r>
        <w:rPr>
          <w:vertAlign w:val="superscript"/>
        </w:rPr>
        <w:footnoteReference w:id="46"/>
      </w:r>
    </w:p>
    <w:p w:rsidR="00AE1126" w:rsidRPr="00A91CE9" w:rsidRDefault="00AE1126" w:rsidP="007750F6">
      <w:pPr>
        <w:pStyle w:val="NumberedParaAR"/>
        <w:widowControl w:val="0"/>
        <w:suppressAutoHyphens/>
      </w:pPr>
      <w:r>
        <w:rPr>
          <w:rFonts w:eastAsia="Arial"/>
          <w:bdr w:val="nil"/>
          <w:rtl/>
          <w:lang w:val="ar-SA"/>
        </w:rPr>
        <w:t xml:space="preserve">وجوائز التشجيع على الابتكار عبارة عن آلية صادفت مؤخراً ساحةً جديدة باعتبارها مكملة للمنتجات القائمة على البحث </w:t>
      </w:r>
      <w:proofErr w:type="gramStart"/>
      <w:r>
        <w:rPr>
          <w:rFonts w:eastAsia="Arial"/>
          <w:bdr w:val="nil"/>
          <w:rtl/>
          <w:lang w:val="ar-SA"/>
        </w:rPr>
        <w:t>والتطوير</w:t>
      </w:r>
      <w:proofErr w:type="gramEnd"/>
      <w:r w:rsidR="00B27244">
        <w:rPr>
          <w:rFonts w:eastAsia="Arial"/>
          <w:bdr w:val="nil"/>
          <w:rtl/>
          <w:lang w:val="ar-SA"/>
        </w:rPr>
        <w:t xml:space="preserve">. </w:t>
      </w:r>
      <w:r>
        <w:rPr>
          <w:rFonts w:eastAsia="Arial"/>
          <w:bdr w:val="nil"/>
          <w:rtl/>
          <w:lang w:val="ar-SA"/>
        </w:rPr>
        <w:t xml:space="preserve">وتتضمن هذه المسابقات ذات الجوائز، المقترحات الطموح لأنظمة جوائز ابتكار من شأنها التشجيع على الاستثمار </w:t>
      </w:r>
      <w:proofErr w:type="gramStart"/>
      <w:r>
        <w:rPr>
          <w:rFonts w:eastAsia="Arial"/>
          <w:bdr w:val="nil"/>
          <w:rtl/>
          <w:lang w:val="ar-SA"/>
        </w:rPr>
        <w:t>في</w:t>
      </w:r>
      <w:proofErr w:type="gramEnd"/>
      <w:r>
        <w:rPr>
          <w:rFonts w:eastAsia="Arial"/>
          <w:bdr w:val="nil"/>
          <w:rtl/>
          <w:lang w:val="ar-SA"/>
        </w:rPr>
        <w:t xml:space="preserve"> ابحث والتطوير. وتمثل المقترحات المتنافسة لبعث الابتكار الرامي إلى معالجة التحديات الجديدة المتطورة، لا سيما تلك الموضوعات التي تواجه فشلاً في السوق، قناةً ممتازةً لاستحداث حلول ونقل للتكنولوجيا، وهذا مجال لم توفه جماعة الملكية الفكرية حقه من الدراسة والاستكشاف،</w:t>
      </w:r>
      <w:r>
        <w:rPr>
          <w:vertAlign w:val="superscript"/>
        </w:rPr>
        <w:footnoteReference w:id="47"/>
      </w:r>
    </w:p>
    <w:p w:rsidR="00AE1126" w:rsidRPr="00A91CE9" w:rsidRDefault="00AE1126" w:rsidP="007750F6">
      <w:pPr>
        <w:pStyle w:val="NumberedParaAR"/>
        <w:widowControl w:val="0"/>
        <w:suppressAutoHyphens/>
      </w:pPr>
      <w:r>
        <w:rPr>
          <w:rFonts w:eastAsia="Arial"/>
          <w:bdr w:val="nil"/>
          <w:rtl/>
          <w:lang w:val="ar-SA"/>
        </w:rPr>
        <w:t>كما توصلت الدراسات إلى تحديد عددٍ من المجالات التي تستدعي مزيداً من البحث.</w:t>
      </w:r>
    </w:p>
    <w:p w:rsidR="00AE1126" w:rsidRPr="00A91CE9" w:rsidRDefault="00AE1126" w:rsidP="007750F6">
      <w:pPr>
        <w:pStyle w:val="NumberedParaAR"/>
        <w:widowControl w:val="0"/>
        <w:suppressAutoHyphens/>
      </w:pPr>
      <w:proofErr w:type="gramStart"/>
      <w:r>
        <w:rPr>
          <w:rFonts w:eastAsia="Arial"/>
          <w:bdr w:val="nil"/>
          <w:rtl/>
          <w:lang w:val="ar-SA"/>
        </w:rPr>
        <w:t>ومازال</w:t>
      </w:r>
      <w:proofErr w:type="gramEnd"/>
      <w:r>
        <w:rPr>
          <w:rFonts w:eastAsia="Arial"/>
          <w:bdr w:val="nil"/>
          <w:rtl/>
          <w:lang w:val="ar-SA"/>
        </w:rPr>
        <w:t xml:space="preserve"> فهم كيفية تأثير سياسات حقوق الملكية الفكرية في البلدان المتقدمة في نقل التكنولوجيا وإمكانية إفضاء التغيرات ذات الصلة بحقوق الملكية الفكرية في هذه البلدان المتقدمة إلى تعزيز نقل التكنولوجيا إلى البلدان النامية وأقل البلدان نمواً فهماً محدوداً رغم أهميته</w:t>
      </w:r>
      <w:r w:rsidR="00B27244">
        <w:rPr>
          <w:rFonts w:eastAsia="Arial"/>
          <w:bdr w:val="nil"/>
          <w:rtl/>
          <w:lang w:val="ar-SA"/>
        </w:rPr>
        <w:t xml:space="preserve">. </w:t>
      </w:r>
      <w:r>
        <w:rPr>
          <w:rFonts w:eastAsia="Arial"/>
          <w:bdr w:val="nil"/>
          <w:rtl/>
          <w:lang w:val="ar-SA"/>
        </w:rPr>
        <w:t xml:space="preserve">وينطبق </w:t>
      </w:r>
      <w:proofErr w:type="gramStart"/>
      <w:r>
        <w:rPr>
          <w:rFonts w:eastAsia="Arial"/>
          <w:bdr w:val="nil"/>
          <w:rtl/>
          <w:lang w:val="ar-SA"/>
        </w:rPr>
        <w:t>نفس</w:t>
      </w:r>
      <w:proofErr w:type="gramEnd"/>
      <w:r>
        <w:rPr>
          <w:rFonts w:eastAsia="Arial"/>
          <w:bdr w:val="nil"/>
          <w:rtl/>
          <w:lang w:val="ar-SA"/>
        </w:rPr>
        <w:t xml:space="preserve"> الأمر على مقتضيات سياسات الأسرار التجارية وممارساتها وقوانينها.</w:t>
      </w:r>
    </w:p>
    <w:p w:rsidR="00AE1126" w:rsidRPr="00A91CE9" w:rsidRDefault="00AE1126" w:rsidP="007750F6">
      <w:pPr>
        <w:pStyle w:val="NumberedParaAR"/>
        <w:widowControl w:val="0"/>
        <w:suppressAutoHyphens/>
      </w:pPr>
      <w:r>
        <w:rPr>
          <w:rFonts w:eastAsia="Arial"/>
          <w:bdr w:val="nil"/>
          <w:rtl/>
          <w:lang w:val="ar-SA"/>
        </w:rPr>
        <w:t>وسيكون من المثير للاهتمام، في معرض ترسيخ الممارسات الجيدة من النماذج الناجحة، جمع دراسات إفرادية عن نقل التكنولوجيا</w:t>
      </w:r>
      <w:r w:rsidR="00B27244">
        <w:rPr>
          <w:rFonts w:eastAsia="Arial"/>
          <w:bdr w:val="nil"/>
          <w:rtl/>
          <w:lang w:val="ar-SA"/>
        </w:rPr>
        <w:t xml:space="preserve">. </w:t>
      </w:r>
      <w:proofErr w:type="gramStart"/>
      <w:r>
        <w:rPr>
          <w:rFonts w:eastAsia="Arial"/>
          <w:bdr w:val="nil"/>
          <w:rtl/>
          <w:lang w:val="ar-SA"/>
        </w:rPr>
        <w:t>فما</w:t>
      </w:r>
      <w:proofErr w:type="gramEnd"/>
      <w:r>
        <w:rPr>
          <w:rFonts w:eastAsia="Arial"/>
          <w:bdr w:val="nil"/>
          <w:rtl/>
          <w:lang w:val="ar-SA"/>
        </w:rPr>
        <w:t xml:space="preserve"> هي الفوائد بالنسبة لكلٍ من الطرفين؟</w:t>
      </w:r>
      <w:r w:rsidR="004E22FC">
        <w:rPr>
          <w:rFonts w:eastAsia="Arial"/>
          <w:bdr w:val="nil"/>
          <w:rtl/>
          <w:lang w:val="ar-SA"/>
        </w:rPr>
        <w:t xml:space="preserve"> </w:t>
      </w:r>
      <w:proofErr w:type="gramStart"/>
      <w:r>
        <w:rPr>
          <w:rFonts w:eastAsia="Arial"/>
          <w:bdr w:val="nil"/>
          <w:rtl/>
          <w:lang w:val="ar-SA"/>
        </w:rPr>
        <w:t>وهل</w:t>
      </w:r>
      <w:proofErr w:type="gramEnd"/>
      <w:r>
        <w:rPr>
          <w:rFonts w:eastAsia="Arial"/>
          <w:bdr w:val="nil"/>
          <w:rtl/>
          <w:lang w:val="ar-SA"/>
        </w:rPr>
        <w:t xml:space="preserve"> توجد أمثلة لتجارب ناجحة استفادت فيها البلدان المتقدمة والنامية على حدٍ سواء من أعمال بحث وتطوير تعاونية مشتركة على مواضيع ذات اهتمام متبادل؟</w:t>
      </w:r>
    </w:p>
    <w:p w:rsidR="00AE1126" w:rsidRPr="00A91CE9" w:rsidRDefault="00AE1126" w:rsidP="007750F6">
      <w:pPr>
        <w:pStyle w:val="Heading3AR"/>
        <w:keepNext w:val="0"/>
        <w:widowControl w:val="0"/>
        <w:suppressAutoHyphens/>
      </w:pPr>
      <w:r>
        <w:rPr>
          <w:rFonts w:eastAsia="Arial"/>
          <w:u w:val="none"/>
          <w:bdr w:val="nil"/>
          <w:rtl/>
          <w:lang w:val="ar-SA" w:eastAsia="zh-CN"/>
        </w:rPr>
        <w:t>('9')</w:t>
      </w:r>
      <w:r>
        <w:rPr>
          <w:rFonts w:eastAsia="Arial"/>
          <w:u w:val="none"/>
          <w:bdr w:val="nil"/>
          <w:rtl/>
          <w:lang w:val="ar-SA" w:eastAsia="zh-CN"/>
        </w:rPr>
        <w:tab/>
      </w:r>
      <w:proofErr w:type="gramStart"/>
      <w:r>
        <w:rPr>
          <w:rFonts w:eastAsia="Arial"/>
          <w:bdr w:val="nil"/>
          <w:rtl/>
          <w:lang w:val="ar-SA" w:eastAsia="zh-CN"/>
        </w:rPr>
        <w:t>نواتج</w:t>
      </w:r>
      <w:proofErr w:type="gramEnd"/>
      <w:r>
        <w:rPr>
          <w:rFonts w:eastAsia="Arial"/>
          <w:bdr w:val="nil"/>
          <w:rtl/>
          <w:lang w:val="ar-SA" w:eastAsia="zh-CN"/>
        </w:rPr>
        <w:t xml:space="preserve"> أخرى</w:t>
      </w:r>
    </w:p>
    <w:p w:rsidR="00AE1126" w:rsidRPr="00A91CE9" w:rsidRDefault="00AE1126" w:rsidP="007750F6">
      <w:pPr>
        <w:pStyle w:val="NumberedParaAR"/>
        <w:widowControl w:val="0"/>
        <w:suppressAutoHyphens/>
      </w:pPr>
      <w:proofErr w:type="gramStart"/>
      <w:r>
        <w:rPr>
          <w:rFonts w:eastAsia="Arial"/>
          <w:bdr w:val="nil"/>
          <w:rtl/>
          <w:lang w:val="ar-SA"/>
        </w:rPr>
        <w:t>لم</w:t>
      </w:r>
      <w:proofErr w:type="gramEnd"/>
      <w:r>
        <w:rPr>
          <w:rFonts w:eastAsia="Arial"/>
          <w:bdr w:val="nil"/>
          <w:rtl/>
          <w:lang w:val="ar-SA"/>
        </w:rPr>
        <w:t xml:space="preserve"> يتمكن المقيِّمان من تحديد أي نواتج تتعلق بتحقيق توافق الآراء المنشود فيما بين الدول الأعضاء بشأن كيفية تعزيز نقل التكنولوجيا</w:t>
      </w:r>
      <w:r w:rsidR="00B27244">
        <w:rPr>
          <w:rFonts w:eastAsia="Arial"/>
          <w:bdr w:val="nil"/>
          <w:rtl/>
          <w:lang w:val="ar-SA"/>
        </w:rPr>
        <w:t xml:space="preserve">. </w:t>
      </w:r>
      <w:proofErr w:type="gramStart"/>
      <w:r>
        <w:rPr>
          <w:rFonts w:eastAsia="Arial"/>
          <w:bdr w:val="nil"/>
          <w:rtl/>
          <w:lang w:val="ar-SA"/>
        </w:rPr>
        <w:t>كما</w:t>
      </w:r>
      <w:proofErr w:type="gramEnd"/>
      <w:r>
        <w:rPr>
          <w:rFonts w:eastAsia="Arial"/>
          <w:bdr w:val="nil"/>
          <w:rtl/>
          <w:lang w:val="ar-SA"/>
        </w:rPr>
        <w:t xml:space="preserve"> أنهما لم يلاحظا أي نواتج سلبية أو إيجابية أخرى تتجاوز إثارة الاهتمام بين جمهور محدود نسبياً.</w:t>
      </w:r>
    </w:p>
    <w:p w:rsidR="00AE1126" w:rsidRPr="00A91CE9" w:rsidRDefault="00AE1126" w:rsidP="00E10D95">
      <w:pPr>
        <w:pStyle w:val="Heading3AR"/>
        <w:widowControl w:val="0"/>
        <w:suppressAutoHyphens/>
      </w:pPr>
      <w:r>
        <w:rPr>
          <w:rFonts w:eastAsia="Arial"/>
          <w:bdr w:val="nil"/>
          <w:rtl/>
          <w:lang w:val="ar-SA" w:eastAsia="zh-CN"/>
        </w:rPr>
        <w:lastRenderedPageBreak/>
        <w:t>('10')</w:t>
      </w:r>
      <w:r>
        <w:rPr>
          <w:rFonts w:eastAsia="Arial"/>
          <w:bdr w:val="nil"/>
          <w:rtl/>
          <w:lang w:val="ar-SA" w:eastAsia="zh-CN"/>
        </w:rPr>
        <w:tab/>
        <w:t>الوقع</w:t>
      </w:r>
    </w:p>
    <w:p w:rsidR="00AE1126" w:rsidRPr="00A91CE9" w:rsidRDefault="00AE1126" w:rsidP="007750F6">
      <w:pPr>
        <w:pStyle w:val="NumberedParaAR"/>
        <w:widowControl w:val="0"/>
        <w:suppressAutoHyphens/>
      </w:pPr>
      <w:r>
        <w:rPr>
          <w:rFonts w:eastAsia="Arial"/>
          <w:bdr w:val="nil"/>
          <w:rtl/>
          <w:lang w:val="ar-SA"/>
        </w:rPr>
        <w:t xml:space="preserve">كان من السابق لأوانه في هذا الوقت </w:t>
      </w:r>
      <w:proofErr w:type="gramStart"/>
      <w:r>
        <w:rPr>
          <w:rFonts w:eastAsia="Arial"/>
          <w:bdr w:val="nil"/>
          <w:rtl/>
          <w:lang w:val="ar-SA"/>
        </w:rPr>
        <w:t>محاولة</w:t>
      </w:r>
      <w:proofErr w:type="gramEnd"/>
      <w:r>
        <w:rPr>
          <w:rFonts w:eastAsia="Arial"/>
          <w:bdr w:val="nil"/>
          <w:rtl/>
          <w:lang w:val="ar-SA"/>
        </w:rPr>
        <w:t xml:space="preserve"> تقويم النتائج على مستوى الوقع.</w:t>
      </w:r>
    </w:p>
    <w:p w:rsidR="00AE1126" w:rsidRPr="00624AA2" w:rsidRDefault="00AE1126" w:rsidP="007750F6">
      <w:pPr>
        <w:pStyle w:val="Heading2AR"/>
        <w:keepNext w:val="0"/>
        <w:widowControl w:val="0"/>
        <w:suppressAutoHyphens/>
      </w:pPr>
      <w:bookmarkStart w:id="4" w:name="_Toc335712743"/>
      <w:r>
        <w:rPr>
          <w:rFonts w:eastAsia="Arial"/>
          <w:bdr w:val="nil"/>
          <w:rtl/>
          <w:lang w:val="ar-SA" w:eastAsia="zh-CN"/>
        </w:rPr>
        <w:t>(</w:t>
      </w:r>
      <w:proofErr w:type="gramStart"/>
      <w:r>
        <w:rPr>
          <w:rFonts w:eastAsia="Arial"/>
          <w:bdr w:val="nil"/>
          <w:rtl/>
          <w:lang w:val="ar-SA" w:eastAsia="zh-CN"/>
        </w:rPr>
        <w:t>دال</w:t>
      </w:r>
      <w:proofErr w:type="gramEnd"/>
      <w:r>
        <w:rPr>
          <w:rFonts w:eastAsia="Arial"/>
          <w:bdr w:val="nil"/>
          <w:rtl/>
          <w:lang w:val="ar-SA" w:eastAsia="zh-CN"/>
        </w:rPr>
        <w:t>)</w:t>
      </w:r>
      <w:r>
        <w:rPr>
          <w:rFonts w:eastAsia="Arial"/>
          <w:bdr w:val="nil"/>
          <w:rtl/>
          <w:lang w:val="ar-SA" w:eastAsia="zh-CN"/>
        </w:rPr>
        <w:tab/>
        <w:t>الكفاءة</w:t>
      </w:r>
      <w:bookmarkEnd w:id="4"/>
    </w:p>
    <w:p w:rsidR="00AE1126" w:rsidRPr="00624AA2" w:rsidRDefault="00AE1126" w:rsidP="007750F6">
      <w:pPr>
        <w:pStyle w:val="Heading3AR"/>
        <w:keepNext w:val="0"/>
        <w:widowControl w:val="0"/>
        <w:suppressAutoHyphens/>
      </w:pPr>
      <w:r>
        <w:rPr>
          <w:rFonts w:eastAsia="Arial"/>
          <w:u w:val="none"/>
          <w:bdr w:val="nil"/>
          <w:rtl/>
          <w:lang w:val="ar-SA" w:eastAsia="zh-CN"/>
        </w:rPr>
        <w:t>('</w:t>
      </w:r>
      <w:r>
        <w:rPr>
          <w:rFonts w:eastAsia="Arial"/>
          <w:bCs/>
          <w:u w:val="none"/>
          <w:bdr w:val="nil"/>
          <w:rtl/>
          <w:lang w:val="ar-SA" w:eastAsia="zh-CN"/>
        </w:rPr>
        <w:t>1</w:t>
      </w:r>
      <w:r>
        <w:rPr>
          <w:rFonts w:eastAsia="Arial"/>
          <w:u w:val="none"/>
          <w:bdr w:val="nil"/>
          <w:rtl/>
          <w:lang w:val="ar-SA" w:eastAsia="zh-CN"/>
        </w:rPr>
        <w:t>')</w:t>
      </w:r>
      <w:r>
        <w:rPr>
          <w:rFonts w:eastAsia="Arial"/>
          <w:u w:val="none"/>
          <w:bdr w:val="nil"/>
          <w:rtl/>
          <w:lang w:val="ar-SA" w:eastAsia="zh-CN"/>
        </w:rPr>
        <w:tab/>
      </w:r>
      <w:proofErr w:type="gramStart"/>
      <w:r>
        <w:rPr>
          <w:rFonts w:eastAsia="Arial"/>
          <w:bdr w:val="nil"/>
          <w:rtl/>
          <w:lang w:val="ar-SA" w:eastAsia="zh-CN"/>
        </w:rPr>
        <w:t>التنفيذ</w:t>
      </w:r>
      <w:proofErr w:type="gramEnd"/>
      <w:r>
        <w:rPr>
          <w:rFonts w:eastAsia="Arial"/>
          <w:bdr w:val="nil"/>
          <w:rtl/>
          <w:lang w:val="ar-SA" w:eastAsia="zh-CN"/>
        </w:rPr>
        <w:t xml:space="preserve"> المالي</w:t>
      </w:r>
    </w:p>
    <w:p w:rsidR="00E00556" w:rsidRPr="0037263F" w:rsidRDefault="00AE1126" w:rsidP="007750F6">
      <w:pPr>
        <w:pStyle w:val="NumberedParaAR"/>
        <w:widowControl w:val="0"/>
        <w:suppressAutoHyphens/>
        <w:rPr>
          <w:rtl/>
        </w:rPr>
      </w:pPr>
      <w:r>
        <w:rPr>
          <w:rFonts w:eastAsia="Arial"/>
          <w:bdr w:val="nil"/>
          <w:rtl/>
          <w:lang w:val="ar-SA"/>
        </w:rPr>
        <w:t xml:space="preserve">استناداً إلى آخر تقرير مالي رسمي صدر في نهاية مايو 2015، أنفق 76.8٪ </w:t>
      </w:r>
      <w:proofErr w:type="gramStart"/>
      <w:r>
        <w:rPr>
          <w:rFonts w:eastAsia="Arial"/>
          <w:bdr w:val="nil"/>
          <w:rtl/>
          <w:lang w:val="ar-SA"/>
        </w:rPr>
        <w:t>من</w:t>
      </w:r>
      <w:proofErr w:type="gramEnd"/>
      <w:r>
        <w:rPr>
          <w:rFonts w:eastAsia="Arial"/>
          <w:bdr w:val="nil"/>
          <w:rtl/>
          <w:lang w:val="ar-SA"/>
        </w:rPr>
        <w:t xml:space="preserve"> الميزانية الإجمالية وقدرها 1532000 فرنك سويسري (بما فيها 549000 فرنك سويسري لتكاليف الموظفين و983000 فرنك سويسري لغيرها من التكاليف). </w:t>
      </w:r>
    </w:p>
    <w:p w:rsidR="00AE1126" w:rsidRPr="000742FD" w:rsidRDefault="00AE1126" w:rsidP="007750F6">
      <w:pPr>
        <w:pStyle w:val="NormalParaAR"/>
        <w:widowControl w:val="0"/>
        <w:suppressAutoHyphens/>
        <w:rPr>
          <w:b/>
          <w:bCs/>
          <w:lang w:val="en-GB"/>
        </w:rPr>
      </w:pPr>
      <w:r w:rsidRPr="000742FD">
        <w:rPr>
          <w:rFonts w:eastAsia="Arial"/>
          <w:b/>
          <w:bCs/>
          <w:bdr w:val="nil"/>
          <w:rtl/>
          <w:lang w:val="ar-SA" w:eastAsia="zh-CN"/>
        </w:rPr>
        <w:t>الجدول 1</w:t>
      </w:r>
      <w:r w:rsidR="00241FA8">
        <w:rPr>
          <w:rFonts w:eastAsia="Arial"/>
          <w:b/>
          <w:bCs/>
          <w:bdr w:val="nil"/>
          <w:rtl/>
          <w:lang w:val="ar-SA" w:eastAsia="zh-CN"/>
        </w:rPr>
        <w:t xml:space="preserve">: </w:t>
      </w:r>
      <w:proofErr w:type="gramStart"/>
      <w:r w:rsidRPr="000742FD">
        <w:rPr>
          <w:rFonts w:eastAsia="Arial"/>
          <w:b/>
          <w:bCs/>
          <w:bdr w:val="nil"/>
          <w:rtl/>
          <w:lang w:val="ar-SA" w:eastAsia="zh-CN"/>
        </w:rPr>
        <w:t>استعراض</w:t>
      </w:r>
      <w:proofErr w:type="gramEnd"/>
      <w:r w:rsidRPr="000742FD">
        <w:rPr>
          <w:rFonts w:eastAsia="Arial"/>
          <w:b/>
          <w:bCs/>
          <w:bdr w:val="nil"/>
          <w:rtl/>
          <w:lang w:val="ar-SA" w:eastAsia="zh-CN"/>
        </w:rPr>
        <w:t xml:space="preserve"> عام للنفقات (بالفرنك السويسري)</w:t>
      </w:r>
    </w:p>
    <w:tbl>
      <w:tblPr>
        <w:bidiVisual/>
        <w:tblW w:w="0" w:type="auto"/>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1066"/>
        <w:gridCol w:w="1269"/>
        <w:gridCol w:w="1269"/>
        <w:gridCol w:w="1173"/>
        <w:gridCol w:w="1292"/>
      </w:tblGrid>
      <w:tr w:rsidR="00AE1126" w:rsidTr="00AE1126">
        <w:tc>
          <w:tcPr>
            <w:tcW w:w="0" w:type="auto"/>
            <w:tcBorders>
              <w:top w:val="double" w:sz="4" w:space="0" w:color="auto"/>
            </w:tcBorders>
            <w:vAlign w:val="bottom"/>
          </w:tcPr>
          <w:p w:rsidR="00AE1126" w:rsidRPr="000742FD" w:rsidRDefault="00AE1126" w:rsidP="007750F6">
            <w:pPr>
              <w:pStyle w:val="NormalParaAR"/>
              <w:widowControl w:val="0"/>
              <w:suppressAutoHyphens/>
              <w:jc w:val="center"/>
              <w:rPr>
                <w:b/>
                <w:bCs/>
                <w:lang w:val="en-GB"/>
              </w:rPr>
            </w:pPr>
            <w:proofErr w:type="gramStart"/>
            <w:r w:rsidRPr="000742FD">
              <w:rPr>
                <w:rFonts w:eastAsia="Arial"/>
                <w:b/>
                <w:bCs/>
                <w:bdr w:val="nil"/>
                <w:rtl/>
                <w:lang w:val="ar-SA" w:eastAsia="zh-CN"/>
              </w:rPr>
              <w:t>أبواب</w:t>
            </w:r>
            <w:proofErr w:type="gramEnd"/>
            <w:r w:rsidRPr="000742FD">
              <w:rPr>
                <w:rFonts w:eastAsia="Arial"/>
                <w:b/>
                <w:bCs/>
                <w:bdr w:val="nil"/>
                <w:rtl/>
                <w:lang w:val="ar-SA" w:eastAsia="zh-CN"/>
              </w:rPr>
              <w:t xml:space="preserve"> الموازنة</w:t>
            </w:r>
          </w:p>
        </w:tc>
        <w:tc>
          <w:tcPr>
            <w:tcW w:w="0" w:type="auto"/>
            <w:gridSpan w:val="3"/>
            <w:tcBorders>
              <w:top w:val="double" w:sz="4" w:space="0" w:color="auto"/>
            </w:tcBorders>
          </w:tcPr>
          <w:p w:rsidR="00AE1126" w:rsidRPr="000742FD" w:rsidRDefault="00AE1126" w:rsidP="007750F6">
            <w:pPr>
              <w:pStyle w:val="NormalParaAR"/>
              <w:widowControl w:val="0"/>
              <w:suppressAutoHyphens/>
              <w:jc w:val="center"/>
              <w:rPr>
                <w:b/>
                <w:bCs/>
                <w:lang w:val="en-GB"/>
              </w:rPr>
            </w:pPr>
            <w:r w:rsidRPr="000742FD">
              <w:rPr>
                <w:rFonts w:eastAsia="Arial"/>
                <w:b/>
                <w:bCs/>
                <w:bdr w:val="nil"/>
                <w:rtl/>
                <w:lang w:val="ar-SA" w:eastAsia="zh-CN"/>
              </w:rPr>
              <w:t>السنوات</w:t>
            </w:r>
          </w:p>
        </w:tc>
        <w:tc>
          <w:tcPr>
            <w:tcW w:w="0" w:type="auto"/>
            <w:tcBorders>
              <w:top w:val="double" w:sz="4" w:space="0" w:color="auto"/>
            </w:tcBorders>
          </w:tcPr>
          <w:p w:rsidR="00AE1126" w:rsidRPr="000742FD" w:rsidRDefault="00AE1126" w:rsidP="007750F6">
            <w:pPr>
              <w:pStyle w:val="NormalParaAR"/>
              <w:widowControl w:val="0"/>
              <w:suppressAutoHyphens/>
              <w:bidi w:val="0"/>
              <w:jc w:val="center"/>
              <w:rPr>
                <w:b/>
                <w:bCs/>
                <w:lang w:val="en-GB"/>
              </w:rPr>
            </w:pPr>
          </w:p>
        </w:tc>
        <w:tc>
          <w:tcPr>
            <w:tcW w:w="0" w:type="auto"/>
            <w:tcBorders>
              <w:top w:val="double" w:sz="4" w:space="0" w:color="auto"/>
            </w:tcBorders>
          </w:tcPr>
          <w:p w:rsidR="00AE1126" w:rsidRPr="000742FD" w:rsidRDefault="00AE1126" w:rsidP="007750F6">
            <w:pPr>
              <w:pStyle w:val="NormalParaAR"/>
              <w:widowControl w:val="0"/>
              <w:suppressAutoHyphens/>
              <w:bidi w:val="0"/>
              <w:jc w:val="center"/>
              <w:rPr>
                <w:b/>
                <w:bCs/>
                <w:lang w:val="en-GB"/>
              </w:rPr>
            </w:pPr>
          </w:p>
        </w:tc>
      </w:tr>
      <w:tr w:rsidR="00AE1126" w:rsidTr="00AE1126">
        <w:tc>
          <w:tcPr>
            <w:tcW w:w="0" w:type="auto"/>
            <w:vAlign w:val="bottom"/>
          </w:tcPr>
          <w:p w:rsidR="00AE1126" w:rsidRPr="000742FD" w:rsidRDefault="00AE1126" w:rsidP="007750F6">
            <w:pPr>
              <w:pStyle w:val="NormalParaAR"/>
              <w:widowControl w:val="0"/>
              <w:suppressAutoHyphens/>
              <w:bidi w:val="0"/>
              <w:jc w:val="center"/>
              <w:rPr>
                <w:b/>
                <w:bCs/>
                <w:lang w:val="en-GB"/>
              </w:rPr>
            </w:pPr>
          </w:p>
        </w:tc>
        <w:tc>
          <w:tcPr>
            <w:tcW w:w="0" w:type="auto"/>
            <w:vAlign w:val="center"/>
          </w:tcPr>
          <w:p w:rsidR="00AE1126" w:rsidRPr="000742FD" w:rsidRDefault="00AE1126" w:rsidP="007750F6">
            <w:pPr>
              <w:pStyle w:val="NormalParaAR"/>
              <w:widowControl w:val="0"/>
              <w:suppressAutoHyphens/>
              <w:bidi w:val="0"/>
              <w:jc w:val="center"/>
              <w:rPr>
                <w:b/>
                <w:bCs/>
                <w:lang w:val="en-GB"/>
              </w:rPr>
            </w:pPr>
            <w:r w:rsidRPr="000742FD">
              <w:rPr>
                <w:b/>
                <w:bCs/>
                <w:lang w:val="en-GB"/>
              </w:rPr>
              <w:t>2011</w:t>
            </w:r>
          </w:p>
        </w:tc>
        <w:tc>
          <w:tcPr>
            <w:tcW w:w="0" w:type="auto"/>
            <w:vAlign w:val="center"/>
          </w:tcPr>
          <w:p w:rsidR="00AE1126" w:rsidRPr="000742FD" w:rsidRDefault="00AE1126" w:rsidP="007750F6">
            <w:pPr>
              <w:pStyle w:val="NormalParaAR"/>
              <w:widowControl w:val="0"/>
              <w:suppressAutoHyphens/>
              <w:bidi w:val="0"/>
              <w:jc w:val="center"/>
              <w:rPr>
                <w:b/>
                <w:bCs/>
                <w:lang w:val="en-GB"/>
              </w:rPr>
            </w:pPr>
            <w:r w:rsidRPr="000742FD">
              <w:rPr>
                <w:b/>
                <w:bCs/>
                <w:lang w:val="en-GB"/>
              </w:rPr>
              <w:t>2012/2013</w:t>
            </w:r>
          </w:p>
        </w:tc>
        <w:tc>
          <w:tcPr>
            <w:tcW w:w="0" w:type="auto"/>
            <w:vAlign w:val="center"/>
          </w:tcPr>
          <w:p w:rsidR="00AE1126" w:rsidRPr="000742FD" w:rsidRDefault="00AE1126" w:rsidP="007750F6">
            <w:pPr>
              <w:pStyle w:val="NormalParaAR"/>
              <w:widowControl w:val="0"/>
              <w:suppressAutoHyphens/>
              <w:bidi w:val="0"/>
              <w:jc w:val="center"/>
              <w:rPr>
                <w:b/>
                <w:bCs/>
                <w:lang w:val="en-GB"/>
              </w:rPr>
            </w:pPr>
            <w:r w:rsidRPr="000742FD">
              <w:rPr>
                <w:b/>
                <w:bCs/>
                <w:lang w:val="en-GB"/>
              </w:rPr>
              <w:t>2014/2015</w:t>
            </w:r>
          </w:p>
        </w:tc>
        <w:tc>
          <w:tcPr>
            <w:tcW w:w="0" w:type="auto"/>
          </w:tcPr>
          <w:p w:rsidR="00AE1126" w:rsidRPr="000742FD" w:rsidRDefault="00AE1126" w:rsidP="007750F6">
            <w:pPr>
              <w:pStyle w:val="NormalParaAR"/>
              <w:widowControl w:val="0"/>
              <w:suppressAutoHyphens/>
              <w:jc w:val="center"/>
              <w:rPr>
                <w:b/>
                <w:bCs/>
                <w:lang w:val="en-GB"/>
              </w:rPr>
            </w:pPr>
            <w:r w:rsidRPr="000742FD">
              <w:rPr>
                <w:rFonts w:eastAsia="Arial"/>
                <w:b/>
                <w:bCs/>
                <w:bdr w:val="nil"/>
                <w:rtl/>
                <w:lang w:val="ar-SA" w:eastAsia="zh-CN"/>
              </w:rPr>
              <w:t>المجموع</w:t>
            </w:r>
          </w:p>
        </w:tc>
        <w:tc>
          <w:tcPr>
            <w:tcW w:w="0" w:type="auto"/>
          </w:tcPr>
          <w:p w:rsidR="00AE1126" w:rsidRPr="000742FD" w:rsidRDefault="00AE1126" w:rsidP="007750F6">
            <w:pPr>
              <w:pStyle w:val="NormalParaAR"/>
              <w:widowControl w:val="0"/>
              <w:suppressAutoHyphens/>
              <w:jc w:val="center"/>
              <w:rPr>
                <w:b/>
                <w:bCs/>
                <w:lang w:val="en-GB"/>
              </w:rPr>
            </w:pPr>
            <w:r w:rsidRPr="000742FD">
              <w:rPr>
                <w:rFonts w:eastAsia="Arial"/>
                <w:b/>
                <w:bCs/>
                <w:bdr w:val="nil"/>
                <w:rtl/>
                <w:lang w:val="ar-SA" w:eastAsia="zh-CN"/>
              </w:rPr>
              <w:t>% من المجموع</w:t>
            </w:r>
          </w:p>
        </w:tc>
      </w:tr>
      <w:tr w:rsidR="00AE1126" w:rsidTr="00AE1126">
        <w:tc>
          <w:tcPr>
            <w:tcW w:w="0" w:type="auto"/>
            <w:vAlign w:val="bottom"/>
          </w:tcPr>
          <w:p w:rsidR="00AE1126" w:rsidRPr="001F0D80" w:rsidRDefault="00AE1126" w:rsidP="007750F6">
            <w:pPr>
              <w:pStyle w:val="NormalParaAR"/>
              <w:widowControl w:val="0"/>
              <w:suppressAutoHyphens/>
              <w:rPr>
                <w:lang w:val="en-GB"/>
              </w:rPr>
            </w:pPr>
            <w:proofErr w:type="gramStart"/>
            <w:r>
              <w:rPr>
                <w:rFonts w:eastAsia="Arial"/>
                <w:bdr w:val="nil"/>
                <w:rtl/>
                <w:lang w:val="ar-SA" w:eastAsia="zh-CN"/>
              </w:rPr>
              <w:t>الموارد</w:t>
            </w:r>
            <w:proofErr w:type="gramEnd"/>
            <w:r>
              <w:rPr>
                <w:rFonts w:eastAsia="Arial"/>
                <w:bdr w:val="nil"/>
                <w:rtl/>
                <w:lang w:val="ar-SA" w:eastAsia="zh-CN"/>
              </w:rPr>
              <w:t xml:space="preserve"> البشرية</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tcPr>
          <w:p w:rsidR="00AE1126" w:rsidRPr="001F0D80" w:rsidRDefault="00AE1126" w:rsidP="007750F6">
            <w:pPr>
              <w:pStyle w:val="NormalParaAR"/>
              <w:widowControl w:val="0"/>
              <w:suppressAutoHyphens/>
              <w:bidi w:val="0"/>
              <w:rPr>
                <w:lang w:val="en-GB"/>
              </w:rPr>
            </w:pPr>
          </w:p>
        </w:tc>
        <w:tc>
          <w:tcPr>
            <w:tcW w:w="0" w:type="auto"/>
          </w:tcPr>
          <w:p w:rsidR="00AE1126" w:rsidRPr="001F0D80" w:rsidRDefault="00AE1126" w:rsidP="007750F6">
            <w:pPr>
              <w:pStyle w:val="NormalParaAR"/>
              <w:widowControl w:val="0"/>
              <w:suppressAutoHyphens/>
              <w:bidi w:val="0"/>
              <w:rPr>
                <w:lang w:val="en-GB"/>
              </w:rPr>
            </w:pPr>
          </w:p>
        </w:tc>
      </w:tr>
      <w:tr w:rsidR="00AE1126" w:rsidTr="00AE1126">
        <w:tc>
          <w:tcPr>
            <w:tcW w:w="0" w:type="auto"/>
            <w:vAlign w:val="bottom"/>
          </w:tcPr>
          <w:p w:rsidR="00AE1126" w:rsidRPr="001F0D80" w:rsidRDefault="00AE1126" w:rsidP="007750F6">
            <w:pPr>
              <w:pStyle w:val="NormalParaAR"/>
              <w:widowControl w:val="0"/>
              <w:suppressAutoHyphens/>
              <w:rPr>
                <w:i/>
                <w:lang w:val="en-GB"/>
              </w:rPr>
            </w:pPr>
            <w:r>
              <w:rPr>
                <w:rFonts w:eastAsia="Arial"/>
                <w:i/>
                <w:iCs/>
                <w:bdr w:val="nil"/>
                <w:rtl/>
                <w:lang w:val="ar-SA" w:eastAsia="zh-CN"/>
              </w:rPr>
              <w:t>موظفون مؤقتون</w:t>
            </w: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 xml:space="preserve"> 120,000 </w:t>
            </w: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 xml:space="preserve"> 339,000</w:t>
            </w: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 xml:space="preserve"> 96,000 </w:t>
            </w:r>
          </w:p>
        </w:tc>
        <w:tc>
          <w:tcPr>
            <w:tcW w:w="0" w:type="auto"/>
          </w:tcPr>
          <w:p w:rsidR="00AE1126" w:rsidRPr="001F0D80" w:rsidRDefault="00AE1126" w:rsidP="007750F6">
            <w:pPr>
              <w:pStyle w:val="NormalParaAR"/>
              <w:widowControl w:val="0"/>
              <w:suppressAutoHyphens/>
              <w:bidi w:val="0"/>
              <w:rPr>
                <w:u w:val="single"/>
                <w:lang w:val="en-GB"/>
              </w:rPr>
            </w:pPr>
            <w:r w:rsidRPr="001F0D80">
              <w:rPr>
                <w:u w:val="single"/>
                <w:lang w:val="en-GB"/>
              </w:rPr>
              <w:t xml:space="preserve">555,000 </w:t>
            </w:r>
          </w:p>
        </w:tc>
        <w:tc>
          <w:tcPr>
            <w:tcW w:w="0" w:type="auto"/>
          </w:tcPr>
          <w:p w:rsidR="00AE1126" w:rsidRPr="00C94200" w:rsidRDefault="00AE1126" w:rsidP="007750F6">
            <w:pPr>
              <w:pStyle w:val="NormalParaAR"/>
              <w:widowControl w:val="0"/>
              <w:suppressAutoHyphens/>
              <w:bidi w:val="0"/>
              <w:rPr>
                <w:b/>
                <w:bCs/>
                <w:lang w:val="en-GB"/>
              </w:rPr>
            </w:pPr>
            <w:r w:rsidRPr="00C94200">
              <w:rPr>
                <w:b/>
                <w:bCs/>
                <w:lang w:val="en-GB"/>
              </w:rPr>
              <w:t>42.7%</w:t>
            </w:r>
          </w:p>
        </w:tc>
      </w:tr>
      <w:tr w:rsidR="00AE1126" w:rsidTr="00AE1126">
        <w:tc>
          <w:tcPr>
            <w:tcW w:w="0" w:type="auto"/>
            <w:vAlign w:val="bottom"/>
          </w:tcPr>
          <w:p w:rsidR="00AE1126" w:rsidRPr="001F0D80" w:rsidRDefault="00AE1126" w:rsidP="007750F6">
            <w:pPr>
              <w:pStyle w:val="NormalParaAR"/>
              <w:widowControl w:val="0"/>
              <w:suppressAutoHyphens/>
              <w:rPr>
                <w:lang w:val="en-GB"/>
              </w:rPr>
            </w:pPr>
            <w:r>
              <w:rPr>
                <w:rFonts w:eastAsia="Arial"/>
                <w:bdr w:val="nil"/>
                <w:rtl/>
                <w:lang w:val="ar-SA" w:eastAsia="zh-CN"/>
              </w:rPr>
              <w:t>مجموع فرعي للموارد البشرية</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 xml:space="preserve"> 120,000 </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 xml:space="preserve"> 339,000</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 xml:space="preserve"> 96,000 </w:t>
            </w:r>
          </w:p>
        </w:tc>
        <w:tc>
          <w:tcPr>
            <w:tcW w:w="0" w:type="auto"/>
          </w:tcPr>
          <w:p w:rsidR="00AE1126" w:rsidRPr="001F0D80" w:rsidRDefault="00AE1126" w:rsidP="007750F6">
            <w:pPr>
              <w:pStyle w:val="NormalParaAR"/>
              <w:widowControl w:val="0"/>
              <w:suppressAutoHyphens/>
              <w:bidi w:val="0"/>
              <w:rPr>
                <w:u w:val="single"/>
                <w:lang w:val="en-GB"/>
              </w:rPr>
            </w:pPr>
            <w:r w:rsidRPr="001F0D80">
              <w:rPr>
                <w:u w:val="single"/>
                <w:lang w:val="en-GB"/>
              </w:rPr>
              <w:t xml:space="preserve">555,000 </w:t>
            </w:r>
          </w:p>
        </w:tc>
        <w:tc>
          <w:tcPr>
            <w:tcW w:w="0" w:type="auto"/>
          </w:tcPr>
          <w:p w:rsidR="00AE1126" w:rsidRPr="00C94200" w:rsidRDefault="00AE1126" w:rsidP="007750F6">
            <w:pPr>
              <w:pStyle w:val="NormalParaAR"/>
              <w:widowControl w:val="0"/>
              <w:suppressAutoHyphens/>
              <w:bidi w:val="0"/>
              <w:rPr>
                <w:b/>
                <w:bCs/>
                <w:u w:val="single"/>
                <w:lang w:val="en-GB"/>
              </w:rPr>
            </w:pPr>
            <w:r w:rsidRPr="00C94200">
              <w:rPr>
                <w:b/>
                <w:bCs/>
                <w:u w:val="single"/>
                <w:lang w:val="en-GB"/>
              </w:rPr>
              <w:t>42.7%</w:t>
            </w:r>
          </w:p>
        </w:tc>
      </w:tr>
      <w:tr w:rsidR="00AE1126" w:rsidTr="00AE1126">
        <w:tc>
          <w:tcPr>
            <w:tcW w:w="0" w:type="auto"/>
            <w:vAlign w:val="bottom"/>
          </w:tcPr>
          <w:p w:rsidR="00AE1126" w:rsidRPr="001F0D80" w:rsidRDefault="00AE1126" w:rsidP="007750F6">
            <w:pPr>
              <w:pStyle w:val="NormalParaAR"/>
              <w:widowControl w:val="0"/>
              <w:suppressAutoHyphens/>
              <w:rPr>
                <w:lang w:val="en-GB"/>
              </w:rPr>
            </w:pPr>
            <w:proofErr w:type="gramStart"/>
            <w:r>
              <w:rPr>
                <w:rFonts w:eastAsia="Arial"/>
                <w:bdr w:val="nil"/>
                <w:rtl/>
                <w:lang w:val="ar-SA" w:eastAsia="zh-CN"/>
              </w:rPr>
              <w:t>خلاف</w:t>
            </w:r>
            <w:proofErr w:type="gramEnd"/>
            <w:r>
              <w:rPr>
                <w:rFonts w:eastAsia="Arial"/>
                <w:bdr w:val="nil"/>
                <w:rtl/>
                <w:lang w:val="ar-SA" w:eastAsia="zh-CN"/>
              </w:rPr>
              <w:t xml:space="preserve"> الموارد البشرية</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tcPr>
          <w:p w:rsidR="00AE1126" w:rsidRPr="001F0D80" w:rsidRDefault="00AE1126" w:rsidP="007750F6">
            <w:pPr>
              <w:pStyle w:val="NormalParaAR"/>
              <w:widowControl w:val="0"/>
              <w:suppressAutoHyphens/>
              <w:bidi w:val="0"/>
              <w:rPr>
                <w:u w:val="single"/>
                <w:lang w:val="en-GB"/>
              </w:rPr>
            </w:pPr>
          </w:p>
        </w:tc>
        <w:tc>
          <w:tcPr>
            <w:tcW w:w="0" w:type="auto"/>
          </w:tcPr>
          <w:p w:rsidR="00AE1126" w:rsidRPr="00C94200" w:rsidRDefault="00AE1126" w:rsidP="007750F6">
            <w:pPr>
              <w:pStyle w:val="NormalParaAR"/>
              <w:widowControl w:val="0"/>
              <w:suppressAutoHyphens/>
              <w:bidi w:val="0"/>
              <w:rPr>
                <w:b/>
                <w:bCs/>
                <w:lang w:val="en-GB"/>
              </w:rPr>
            </w:pPr>
          </w:p>
        </w:tc>
      </w:tr>
      <w:tr w:rsidR="00AE1126" w:rsidTr="00AE1126">
        <w:tc>
          <w:tcPr>
            <w:tcW w:w="0" w:type="auto"/>
            <w:vAlign w:val="bottom"/>
          </w:tcPr>
          <w:p w:rsidR="00AE1126" w:rsidRPr="001F0D80" w:rsidRDefault="00AE1126" w:rsidP="007750F6">
            <w:pPr>
              <w:pStyle w:val="NormalParaAR"/>
              <w:widowControl w:val="0"/>
              <w:suppressAutoHyphens/>
              <w:rPr>
                <w:i/>
                <w:lang w:val="en-GB"/>
              </w:rPr>
            </w:pPr>
            <w:proofErr w:type="gramStart"/>
            <w:r>
              <w:rPr>
                <w:rFonts w:eastAsia="Arial"/>
                <w:i/>
                <w:iCs/>
                <w:bdr w:val="nil"/>
                <w:rtl/>
                <w:lang w:val="ar-SA" w:eastAsia="zh-CN"/>
              </w:rPr>
              <w:t>مهمات</w:t>
            </w:r>
            <w:proofErr w:type="gramEnd"/>
            <w:r>
              <w:rPr>
                <w:rFonts w:eastAsia="Arial"/>
                <w:i/>
                <w:iCs/>
                <w:bdr w:val="nil"/>
                <w:rtl/>
                <w:lang w:val="ar-SA" w:eastAsia="zh-CN"/>
              </w:rPr>
              <w:t xml:space="preserve"> الموظفين</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22,000</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tcPr>
          <w:p w:rsidR="00AE1126" w:rsidRPr="001F0D80" w:rsidRDefault="00AE1126" w:rsidP="007750F6">
            <w:pPr>
              <w:pStyle w:val="NormalParaAR"/>
              <w:widowControl w:val="0"/>
              <w:suppressAutoHyphens/>
              <w:bidi w:val="0"/>
              <w:rPr>
                <w:u w:val="single"/>
                <w:lang w:val="en-GB"/>
              </w:rPr>
            </w:pPr>
          </w:p>
        </w:tc>
        <w:tc>
          <w:tcPr>
            <w:tcW w:w="0" w:type="auto"/>
          </w:tcPr>
          <w:p w:rsidR="00AE1126" w:rsidRPr="00C94200" w:rsidRDefault="00AE1126" w:rsidP="007750F6">
            <w:pPr>
              <w:pStyle w:val="NormalParaAR"/>
              <w:widowControl w:val="0"/>
              <w:suppressAutoHyphens/>
              <w:bidi w:val="0"/>
              <w:rPr>
                <w:b/>
                <w:bCs/>
                <w:lang w:val="en-GB"/>
              </w:rPr>
            </w:pPr>
            <w:r w:rsidRPr="00C94200">
              <w:rPr>
                <w:b/>
                <w:bCs/>
                <w:lang w:val="en-GB"/>
              </w:rPr>
              <w:t>1.9%</w:t>
            </w:r>
          </w:p>
        </w:tc>
      </w:tr>
      <w:tr w:rsidR="00AE1126" w:rsidTr="00AE1126">
        <w:trPr>
          <w:trHeight w:val="132"/>
        </w:trPr>
        <w:tc>
          <w:tcPr>
            <w:tcW w:w="0" w:type="auto"/>
            <w:vAlign w:val="bottom"/>
          </w:tcPr>
          <w:p w:rsidR="00AE1126" w:rsidRPr="001F0D80" w:rsidRDefault="00AE1126" w:rsidP="007750F6">
            <w:pPr>
              <w:pStyle w:val="NormalParaAR"/>
              <w:widowControl w:val="0"/>
              <w:suppressAutoHyphens/>
              <w:rPr>
                <w:i/>
                <w:lang w:val="en-GB"/>
              </w:rPr>
            </w:pPr>
            <w:proofErr w:type="gramStart"/>
            <w:r>
              <w:rPr>
                <w:rFonts w:eastAsia="Arial"/>
                <w:i/>
                <w:iCs/>
                <w:bdr w:val="nil"/>
                <w:rtl/>
                <w:lang w:val="ar-SA" w:eastAsia="zh-CN"/>
              </w:rPr>
              <w:t>أسفار</w:t>
            </w:r>
            <w:proofErr w:type="gramEnd"/>
            <w:r>
              <w:rPr>
                <w:rFonts w:eastAsia="Arial"/>
                <w:i/>
                <w:iCs/>
                <w:bdr w:val="nil"/>
                <w:rtl/>
                <w:lang w:val="ar-SA" w:eastAsia="zh-CN"/>
              </w:rPr>
              <w:t xml:space="preserve"> الغير</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280,000</w:t>
            </w: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86,000</w:t>
            </w:r>
          </w:p>
        </w:tc>
        <w:tc>
          <w:tcPr>
            <w:tcW w:w="0" w:type="auto"/>
          </w:tcPr>
          <w:p w:rsidR="00AE1126" w:rsidRPr="001F0D80" w:rsidRDefault="00AE1126" w:rsidP="007750F6">
            <w:pPr>
              <w:pStyle w:val="NormalParaAR"/>
              <w:widowControl w:val="0"/>
              <w:suppressAutoHyphens/>
              <w:bidi w:val="0"/>
              <w:rPr>
                <w:u w:val="single"/>
                <w:lang w:val="en-GB"/>
              </w:rPr>
            </w:pPr>
            <w:r w:rsidRPr="001F0D80">
              <w:rPr>
                <w:u w:val="single"/>
                <w:lang w:val="en-GB"/>
              </w:rPr>
              <w:t>367,000</w:t>
            </w:r>
          </w:p>
        </w:tc>
        <w:tc>
          <w:tcPr>
            <w:tcW w:w="0" w:type="auto"/>
          </w:tcPr>
          <w:p w:rsidR="00AE1126" w:rsidRPr="00C94200" w:rsidRDefault="00AE1126" w:rsidP="007750F6">
            <w:pPr>
              <w:pStyle w:val="NormalParaAR"/>
              <w:widowControl w:val="0"/>
              <w:suppressAutoHyphens/>
              <w:bidi w:val="0"/>
              <w:rPr>
                <w:b/>
                <w:bCs/>
                <w:lang w:val="en-GB"/>
              </w:rPr>
            </w:pPr>
            <w:r w:rsidRPr="00C94200">
              <w:rPr>
                <w:b/>
                <w:bCs/>
                <w:lang w:val="en-GB"/>
              </w:rPr>
              <w:t>31.2%</w:t>
            </w:r>
          </w:p>
        </w:tc>
      </w:tr>
      <w:tr w:rsidR="00AE1126" w:rsidTr="00AE1126">
        <w:tc>
          <w:tcPr>
            <w:tcW w:w="0" w:type="auto"/>
            <w:vAlign w:val="bottom"/>
          </w:tcPr>
          <w:p w:rsidR="00AE1126" w:rsidRPr="001F0D80" w:rsidRDefault="00AE1126" w:rsidP="007750F6">
            <w:pPr>
              <w:pStyle w:val="NormalParaAR"/>
              <w:widowControl w:val="0"/>
              <w:suppressAutoHyphens/>
              <w:rPr>
                <w:i/>
                <w:lang w:val="en-GB"/>
              </w:rPr>
            </w:pPr>
            <w:r>
              <w:rPr>
                <w:rFonts w:eastAsia="Arial"/>
                <w:i/>
                <w:iCs/>
                <w:bdr w:val="nil"/>
                <w:rtl/>
                <w:lang w:val="ar-SA" w:eastAsia="zh-CN"/>
              </w:rPr>
              <w:t>المؤتمرات</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39,000</w:t>
            </w: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25,000</w:t>
            </w:r>
          </w:p>
        </w:tc>
        <w:tc>
          <w:tcPr>
            <w:tcW w:w="0" w:type="auto"/>
          </w:tcPr>
          <w:p w:rsidR="00AE1126" w:rsidRPr="001F0D80" w:rsidRDefault="00AE1126" w:rsidP="007750F6">
            <w:pPr>
              <w:pStyle w:val="NormalParaAR"/>
              <w:widowControl w:val="0"/>
              <w:suppressAutoHyphens/>
              <w:bidi w:val="0"/>
              <w:rPr>
                <w:u w:val="single"/>
                <w:lang w:val="en-GB"/>
              </w:rPr>
            </w:pPr>
            <w:r w:rsidRPr="001F0D80">
              <w:rPr>
                <w:u w:val="single"/>
                <w:lang w:val="en-GB"/>
              </w:rPr>
              <w:t>64,000</w:t>
            </w:r>
          </w:p>
        </w:tc>
        <w:tc>
          <w:tcPr>
            <w:tcW w:w="0" w:type="auto"/>
          </w:tcPr>
          <w:p w:rsidR="00AE1126" w:rsidRPr="00C94200" w:rsidRDefault="00AE1126" w:rsidP="007750F6">
            <w:pPr>
              <w:pStyle w:val="NormalParaAR"/>
              <w:widowControl w:val="0"/>
              <w:suppressAutoHyphens/>
              <w:bidi w:val="0"/>
              <w:rPr>
                <w:b/>
                <w:bCs/>
                <w:lang w:val="en-GB"/>
              </w:rPr>
            </w:pPr>
            <w:r w:rsidRPr="00C94200">
              <w:rPr>
                <w:b/>
                <w:bCs/>
                <w:lang w:val="en-GB"/>
              </w:rPr>
              <w:t>5.4%</w:t>
            </w:r>
          </w:p>
        </w:tc>
      </w:tr>
      <w:tr w:rsidR="00AE1126" w:rsidTr="00AE1126">
        <w:tc>
          <w:tcPr>
            <w:tcW w:w="0" w:type="auto"/>
            <w:vAlign w:val="bottom"/>
          </w:tcPr>
          <w:p w:rsidR="00AE1126" w:rsidRPr="001F0D80" w:rsidRDefault="00AE1126" w:rsidP="007750F6">
            <w:pPr>
              <w:pStyle w:val="NormalParaAR"/>
              <w:widowControl w:val="0"/>
              <w:suppressAutoHyphens/>
              <w:rPr>
                <w:i/>
                <w:lang w:val="en-GB"/>
              </w:rPr>
            </w:pPr>
            <w:r>
              <w:rPr>
                <w:rFonts w:eastAsia="Arial"/>
                <w:i/>
                <w:iCs/>
                <w:bdr w:val="nil"/>
                <w:rtl/>
                <w:lang w:val="ar-SA" w:eastAsia="zh-CN"/>
              </w:rPr>
              <w:t>النشر</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tcPr>
          <w:p w:rsidR="00AE1126" w:rsidRPr="001F0D80" w:rsidRDefault="00AE1126" w:rsidP="007750F6">
            <w:pPr>
              <w:pStyle w:val="NormalParaAR"/>
              <w:widowControl w:val="0"/>
              <w:suppressAutoHyphens/>
              <w:bidi w:val="0"/>
              <w:rPr>
                <w:u w:val="single"/>
                <w:lang w:val="en-GB"/>
              </w:rPr>
            </w:pPr>
          </w:p>
        </w:tc>
        <w:tc>
          <w:tcPr>
            <w:tcW w:w="0" w:type="auto"/>
          </w:tcPr>
          <w:p w:rsidR="00AE1126" w:rsidRPr="00C94200" w:rsidRDefault="00AE1126" w:rsidP="007750F6">
            <w:pPr>
              <w:pStyle w:val="NormalParaAR"/>
              <w:widowControl w:val="0"/>
              <w:suppressAutoHyphens/>
              <w:bidi w:val="0"/>
              <w:rPr>
                <w:b/>
                <w:bCs/>
                <w:lang w:val="en-GB"/>
              </w:rPr>
            </w:pPr>
          </w:p>
        </w:tc>
      </w:tr>
      <w:tr w:rsidR="00AE1126" w:rsidTr="00AE1126">
        <w:tc>
          <w:tcPr>
            <w:tcW w:w="0" w:type="auto"/>
            <w:vAlign w:val="bottom"/>
          </w:tcPr>
          <w:p w:rsidR="00AE1126" w:rsidRPr="001F0D80" w:rsidRDefault="00AE1126" w:rsidP="007750F6">
            <w:pPr>
              <w:pStyle w:val="NormalParaAR"/>
              <w:widowControl w:val="0"/>
              <w:suppressAutoHyphens/>
              <w:rPr>
                <w:i/>
                <w:lang w:val="en-GB"/>
              </w:rPr>
            </w:pPr>
            <w:r>
              <w:rPr>
                <w:rFonts w:eastAsia="Arial"/>
                <w:i/>
                <w:iCs/>
                <w:bdr w:val="nil"/>
                <w:rtl/>
                <w:lang w:val="ar-SA" w:eastAsia="zh-CN"/>
              </w:rPr>
              <w:t>خدمات تعاقدية فردية</w:t>
            </w:r>
          </w:p>
        </w:tc>
        <w:tc>
          <w:tcPr>
            <w:tcW w:w="0" w:type="auto"/>
            <w:vAlign w:val="center"/>
          </w:tcPr>
          <w:p w:rsidR="00AE1126" w:rsidRPr="001F0D80" w:rsidRDefault="00AE1126" w:rsidP="007750F6">
            <w:pPr>
              <w:pStyle w:val="NormalParaAR"/>
              <w:widowControl w:val="0"/>
              <w:suppressAutoHyphens/>
              <w:bidi w:val="0"/>
              <w:rPr>
                <w:i/>
                <w:lang w:val="en-GB"/>
              </w:rPr>
            </w:pP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131,000</w:t>
            </w: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17,000</w:t>
            </w:r>
          </w:p>
        </w:tc>
        <w:tc>
          <w:tcPr>
            <w:tcW w:w="0" w:type="auto"/>
          </w:tcPr>
          <w:p w:rsidR="00AE1126" w:rsidRPr="001F0D80" w:rsidRDefault="00AE1126" w:rsidP="007750F6">
            <w:pPr>
              <w:pStyle w:val="NormalParaAR"/>
              <w:widowControl w:val="0"/>
              <w:suppressAutoHyphens/>
              <w:bidi w:val="0"/>
              <w:rPr>
                <w:u w:val="single"/>
                <w:lang w:val="en-GB"/>
              </w:rPr>
            </w:pPr>
            <w:r w:rsidRPr="001F0D80">
              <w:rPr>
                <w:u w:val="single"/>
                <w:lang w:val="en-GB"/>
              </w:rPr>
              <w:t>148,000</w:t>
            </w:r>
          </w:p>
        </w:tc>
        <w:tc>
          <w:tcPr>
            <w:tcW w:w="0" w:type="auto"/>
          </w:tcPr>
          <w:p w:rsidR="00AE1126" w:rsidRPr="00C94200" w:rsidRDefault="00AE1126" w:rsidP="007750F6">
            <w:pPr>
              <w:pStyle w:val="NormalParaAR"/>
              <w:widowControl w:val="0"/>
              <w:suppressAutoHyphens/>
              <w:bidi w:val="0"/>
              <w:rPr>
                <w:b/>
                <w:bCs/>
                <w:lang w:val="en-GB"/>
              </w:rPr>
            </w:pPr>
            <w:r w:rsidRPr="00C94200">
              <w:rPr>
                <w:b/>
                <w:bCs/>
                <w:lang w:val="en-GB"/>
              </w:rPr>
              <w:t>12.6%</w:t>
            </w:r>
          </w:p>
        </w:tc>
      </w:tr>
      <w:tr w:rsidR="00AE1126" w:rsidTr="00AE1126">
        <w:tc>
          <w:tcPr>
            <w:tcW w:w="0" w:type="auto"/>
            <w:vAlign w:val="bottom"/>
          </w:tcPr>
          <w:p w:rsidR="00AE1126" w:rsidRPr="001F0D80" w:rsidRDefault="00AE1126" w:rsidP="007750F6">
            <w:pPr>
              <w:pStyle w:val="NormalParaAR"/>
              <w:widowControl w:val="0"/>
              <w:suppressAutoHyphens/>
              <w:rPr>
                <w:i/>
                <w:lang w:val="en-GB"/>
              </w:rPr>
            </w:pPr>
            <w:proofErr w:type="gramStart"/>
            <w:r>
              <w:rPr>
                <w:rFonts w:eastAsia="Arial"/>
                <w:i/>
                <w:iCs/>
                <w:bdr w:val="nil"/>
                <w:rtl/>
                <w:lang w:val="ar-SA" w:eastAsia="zh-CN"/>
              </w:rPr>
              <w:t>خدمات</w:t>
            </w:r>
            <w:proofErr w:type="gramEnd"/>
            <w:r>
              <w:rPr>
                <w:rFonts w:eastAsia="Arial"/>
                <w:i/>
                <w:iCs/>
                <w:bdr w:val="nil"/>
                <w:rtl/>
                <w:lang w:val="ar-SA" w:eastAsia="zh-CN"/>
              </w:rPr>
              <w:t xml:space="preserve"> تعاقدية أخرى</w:t>
            </w: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p>
        </w:tc>
        <w:tc>
          <w:tcPr>
            <w:tcW w:w="0" w:type="auto"/>
            <w:vAlign w:val="center"/>
          </w:tcPr>
          <w:p w:rsidR="00AE1126" w:rsidRPr="001F0D80" w:rsidRDefault="00AE1126" w:rsidP="007750F6">
            <w:pPr>
              <w:pStyle w:val="NormalParaAR"/>
              <w:widowControl w:val="0"/>
              <w:suppressAutoHyphens/>
              <w:bidi w:val="0"/>
              <w:rPr>
                <w:lang w:val="en-GB"/>
              </w:rPr>
            </w:pPr>
            <w:r w:rsidRPr="001F0D80">
              <w:rPr>
                <w:lang w:val="en-GB"/>
              </w:rPr>
              <w:t>20,000</w:t>
            </w:r>
          </w:p>
        </w:tc>
        <w:tc>
          <w:tcPr>
            <w:tcW w:w="0" w:type="auto"/>
          </w:tcPr>
          <w:p w:rsidR="00AE1126" w:rsidRPr="001F0D80" w:rsidRDefault="00AE1126" w:rsidP="007750F6">
            <w:pPr>
              <w:pStyle w:val="NormalParaAR"/>
              <w:widowControl w:val="0"/>
              <w:suppressAutoHyphens/>
              <w:bidi w:val="0"/>
              <w:rPr>
                <w:u w:val="single"/>
                <w:lang w:val="en-GB"/>
              </w:rPr>
            </w:pPr>
          </w:p>
        </w:tc>
        <w:tc>
          <w:tcPr>
            <w:tcW w:w="0" w:type="auto"/>
          </w:tcPr>
          <w:p w:rsidR="00AE1126" w:rsidRPr="00C94200" w:rsidRDefault="00AE1126" w:rsidP="007750F6">
            <w:pPr>
              <w:pStyle w:val="NormalParaAR"/>
              <w:widowControl w:val="0"/>
              <w:suppressAutoHyphens/>
              <w:bidi w:val="0"/>
              <w:rPr>
                <w:b/>
                <w:bCs/>
                <w:lang w:val="en-GB"/>
              </w:rPr>
            </w:pPr>
            <w:r w:rsidRPr="00C94200">
              <w:rPr>
                <w:b/>
                <w:bCs/>
                <w:lang w:val="en-GB"/>
              </w:rPr>
              <w:t>1.7%</w:t>
            </w:r>
          </w:p>
        </w:tc>
      </w:tr>
      <w:tr w:rsidR="00AE1126" w:rsidTr="00AE1126">
        <w:tc>
          <w:tcPr>
            <w:tcW w:w="0" w:type="auto"/>
            <w:vAlign w:val="bottom"/>
          </w:tcPr>
          <w:p w:rsidR="00AE1126" w:rsidRPr="001F0D80" w:rsidRDefault="00AE1126" w:rsidP="007750F6">
            <w:pPr>
              <w:pStyle w:val="NormalParaAR"/>
              <w:widowControl w:val="0"/>
              <w:suppressAutoHyphens/>
              <w:rPr>
                <w:lang w:val="en-GB"/>
              </w:rPr>
            </w:pPr>
            <w:r>
              <w:rPr>
                <w:rFonts w:eastAsia="Arial"/>
                <w:bdr w:val="nil"/>
                <w:rtl/>
                <w:lang w:val="ar-SA" w:eastAsia="zh-CN"/>
              </w:rPr>
              <w:t>مجموع فرعي خلاف الموارد البشرية</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0</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 xml:space="preserve"> 473,000</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149,000</w:t>
            </w:r>
          </w:p>
        </w:tc>
        <w:tc>
          <w:tcPr>
            <w:tcW w:w="0" w:type="auto"/>
          </w:tcPr>
          <w:p w:rsidR="00AE1126" w:rsidRPr="001F0D80" w:rsidRDefault="00AE1126" w:rsidP="007750F6">
            <w:pPr>
              <w:pStyle w:val="NormalParaAR"/>
              <w:widowControl w:val="0"/>
              <w:suppressAutoHyphens/>
              <w:bidi w:val="0"/>
              <w:rPr>
                <w:u w:val="single"/>
                <w:lang w:val="en-GB"/>
              </w:rPr>
            </w:pPr>
            <w:r w:rsidRPr="001F0D80">
              <w:rPr>
                <w:u w:val="single"/>
                <w:lang w:val="en-GB"/>
              </w:rPr>
              <w:t>621,000</w:t>
            </w:r>
          </w:p>
        </w:tc>
        <w:tc>
          <w:tcPr>
            <w:tcW w:w="0" w:type="auto"/>
          </w:tcPr>
          <w:p w:rsidR="00AE1126" w:rsidRPr="00C94200" w:rsidRDefault="00AE1126" w:rsidP="007750F6">
            <w:pPr>
              <w:pStyle w:val="NormalParaAR"/>
              <w:widowControl w:val="0"/>
              <w:suppressAutoHyphens/>
              <w:bidi w:val="0"/>
              <w:rPr>
                <w:b/>
                <w:bCs/>
                <w:u w:val="single"/>
                <w:lang w:val="en-GB"/>
              </w:rPr>
            </w:pPr>
            <w:r w:rsidRPr="00C94200">
              <w:rPr>
                <w:b/>
                <w:bCs/>
                <w:u w:val="single"/>
                <w:lang w:val="en-GB"/>
              </w:rPr>
              <w:t>52.8%</w:t>
            </w:r>
          </w:p>
        </w:tc>
      </w:tr>
      <w:tr w:rsidR="00AE1126" w:rsidTr="00AE1126">
        <w:tc>
          <w:tcPr>
            <w:tcW w:w="0" w:type="auto"/>
            <w:vAlign w:val="bottom"/>
          </w:tcPr>
          <w:p w:rsidR="00AE1126" w:rsidRPr="00C94200" w:rsidRDefault="00AE1126" w:rsidP="007750F6">
            <w:pPr>
              <w:pStyle w:val="NormalParaAR"/>
              <w:widowControl w:val="0"/>
              <w:suppressAutoHyphens/>
              <w:rPr>
                <w:b/>
                <w:bCs/>
                <w:lang w:val="en-GB"/>
              </w:rPr>
            </w:pPr>
            <w:r w:rsidRPr="00C94200">
              <w:rPr>
                <w:rFonts w:eastAsia="Arial"/>
                <w:b/>
                <w:bCs/>
                <w:bdr w:val="nil"/>
                <w:rtl/>
                <w:lang w:val="ar-SA" w:eastAsia="zh-CN"/>
              </w:rPr>
              <w:t>المجموع</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120,000</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812,000</w:t>
            </w:r>
          </w:p>
        </w:tc>
        <w:tc>
          <w:tcPr>
            <w:tcW w:w="0" w:type="auto"/>
            <w:vAlign w:val="center"/>
          </w:tcPr>
          <w:p w:rsidR="00AE1126" w:rsidRPr="001F0D80" w:rsidRDefault="00AE1126" w:rsidP="007750F6">
            <w:pPr>
              <w:pStyle w:val="NormalParaAR"/>
              <w:widowControl w:val="0"/>
              <w:suppressAutoHyphens/>
              <w:bidi w:val="0"/>
              <w:rPr>
                <w:u w:val="single"/>
                <w:lang w:val="en-GB"/>
              </w:rPr>
            </w:pPr>
            <w:r w:rsidRPr="001F0D80">
              <w:rPr>
                <w:u w:val="single"/>
                <w:lang w:val="en-GB"/>
              </w:rPr>
              <w:t>244,000</w:t>
            </w:r>
          </w:p>
        </w:tc>
        <w:tc>
          <w:tcPr>
            <w:tcW w:w="0" w:type="auto"/>
          </w:tcPr>
          <w:p w:rsidR="00AE1126" w:rsidRPr="001F0D80" w:rsidRDefault="00AE1126" w:rsidP="007750F6">
            <w:pPr>
              <w:pStyle w:val="NormalParaAR"/>
              <w:widowControl w:val="0"/>
              <w:suppressAutoHyphens/>
              <w:bidi w:val="0"/>
              <w:rPr>
                <w:u w:val="single"/>
                <w:lang w:val="en-GB"/>
              </w:rPr>
            </w:pPr>
            <w:r w:rsidRPr="001F0D80">
              <w:rPr>
                <w:u w:val="single"/>
                <w:lang w:val="en-GB"/>
              </w:rPr>
              <w:t>1,176,000</w:t>
            </w:r>
          </w:p>
        </w:tc>
        <w:tc>
          <w:tcPr>
            <w:tcW w:w="0" w:type="auto"/>
          </w:tcPr>
          <w:p w:rsidR="00AE1126" w:rsidRPr="00C94200" w:rsidRDefault="00AE1126" w:rsidP="007750F6">
            <w:pPr>
              <w:pStyle w:val="NormalParaAR"/>
              <w:widowControl w:val="0"/>
              <w:suppressAutoHyphens/>
              <w:bidi w:val="0"/>
              <w:rPr>
                <w:b/>
                <w:bCs/>
                <w:u w:val="single"/>
                <w:lang w:val="en-GB"/>
              </w:rPr>
            </w:pPr>
            <w:r w:rsidRPr="00C94200">
              <w:rPr>
                <w:b/>
                <w:bCs/>
                <w:u w:val="single"/>
                <w:lang w:val="en-GB"/>
              </w:rPr>
              <w:t>100%</w:t>
            </w:r>
          </w:p>
        </w:tc>
      </w:tr>
      <w:tr w:rsidR="00AE1126" w:rsidTr="00AE1126">
        <w:tc>
          <w:tcPr>
            <w:tcW w:w="0" w:type="auto"/>
            <w:tcBorders>
              <w:bottom w:val="double" w:sz="4" w:space="0" w:color="auto"/>
            </w:tcBorders>
            <w:vAlign w:val="bottom"/>
          </w:tcPr>
          <w:p w:rsidR="00AE1126" w:rsidRPr="00C94200" w:rsidRDefault="00AE1126" w:rsidP="007750F6">
            <w:pPr>
              <w:pStyle w:val="NormalParaAR"/>
              <w:widowControl w:val="0"/>
              <w:suppressAutoHyphens/>
              <w:rPr>
                <w:b/>
                <w:bCs/>
                <w:lang w:val="en-GB"/>
              </w:rPr>
            </w:pPr>
            <w:r w:rsidRPr="00C94200">
              <w:rPr>
                <w:rFonts w:eastAsia="Arial"/>
                <w:b/>
                <w:bCs/>
                <w:bdr w:val="nil"/>
                <w:rtl/>
                <w:lang w:val="ar-SA" w:eastAsia="zh-CN"/>
              </w:rPr>
              <w:t>المدفوعات بالنسبة المئوية</w:t>
            </w:r>
          </w:p>
        </w:tc>
        <w:tc>
          <w:tcPr>
            <w:tcW w:w="0" w:type="auto"/>
            <w:tcBorders>
              <w:bottom w:val="double" w:sz="4" w:space="0" w:color="auto"/>
            </w:tcBorders>
            <w:vAlign w:val="center"/>
          </w:tcPr>
          <w:p w:rsidR="00AE1126" w:rsidRPr="00C94200" w:rsidRDefault="00AE1126" w:rsidP="007750F6">
            <w:pPr>
              <w:pStyle w:val="NormalParaAR"/>
              <w:widowControl w:val="0"/>
              <w:suppressAutoHyphens/>
              <w:bidi w:val="0"/>
              <w:rPr>
                <w:b/>
                <w:bCs/>
                <w:lang w:val="en-GB"/>
              </w:rPr>
            </w:pPr>
            <w:r w:rsidRPr="00C94200">
              <w:rPr>
                <w:b/>
                <w:bCs/>
                <w:lang w:val="en-GB"/>
              </w:rPr>
              <w:t>10.20%</w:t>
            </w:r>
          </w:p>
        </w:tc>
        <w:tc>
          <w:tcPr>
            <w:tcW w:w="0" w:type="auto"/>
            <w:tcBorders>
              <w:bottom w:val="double" w:sz="4" w:space="0" w:color="auto"/>
            </w:tcBorders>
            <w:vAlign w:val="center"/>
          </w:tcPr>
          <w:p w:rsidR="00AE1126" w:rsidRPr="00C94200" w:rsidRDefault="00AE1126" w:rsidP="007750F6">
            <w:pPr>
              <w:pStyle w:val="NormalParaAR"/>
              <w:widowControl w:val="0"/>
              <w:suppressAutoHyphens/>
              <w:bidi w:val="0"/>
              <w:rPr>
                <w:b/>
                <w:bCs/>
                <w:lang w:val="en-GB"/>
              </w:rPr>
            </w:pPr>
            <w:r w:rsidRPr="00C94200">
              <w:rPr>
                <w:b/>
                <w:bCs/>
                <w:lang w:val="en-GB"/>
              </w:rPr>
              <w:t>69.05%</w:t>
            </w:r>
          </w:p>
        </w:tc>
        <w:tc>
          <w:tcPr>
            <w:tcW w:w="0" w:type="auto"/>
            <w:tcBorders>
              <w:bottom w:val="double" w:sz="4" w:space="0" w:color="auto"/>
            </w:tcBorders>
            <w:vAlign w:val="center"/>
          </w:tcPr>
          <w:p w:rsidR="00AE1126" w:rsidRPr="00C94200" w:rsidRDefault="00AE1126" w:rsidP="007750F6">
            <w:pPr>
              <w:pStyle w:val="NormalParaAR"/>
              <w:widowControl w:val="0"/>
              <w:suppressAutoHyphens/>
              <w:bidi w:val="0"/>
              <w:rPr>
                <w:b/>
                <w:bCs/>
                <w:lang w:val="en-GB"/>
              </w:rPr>
            </w:pPr>
            <w:r w:rsidRPr="00C94200">
              <w:rPr>
                <w:b/>
                <w:bCs/>
                <w:lang w:val="en-GB"/>
              </w:rPr>
              <w:t>20.75%</w:t>
            </w:r>
          </w:p>
        </w:tc>
        <w:tc>
          <w:tcPr>
            <w:tcW w:w="0" w:type="auto"/>
            <w:tcBorders>
              <w:bottom w:val="double" w:sz="4" w:space="0" w:color="auto"/>
            </w:tcBorders>
          </w:tcPr>
          <w:p w:rsidR="00AE1126" w:rsidRPr="00C94200" w:rsidRDefault="00AE1126" w:rsidP="007750F6">
            <w:pPr>
              <w:pStyle w:val="NormalParaAR"/>
              <w:widowControl w:val="0"/>
              <w:suppressAutoHyphens/>
              <w:bidi w:val="0"/>
              <w:rPr>
                <w:b/>
                <w:bCs/>
                <w:lang w:val="en-GB"/>
              </w:rPr>
            </w:pPr>
            <w:r w:rsidRPr="00C94200">
              <w:rPr>
                <w:b/>
                <w:bCs/>
                <w:lang w:val="en-GB"/>
              </w:rPr>
              <w:t>100%</w:t>
            </w:r>
          </w:p>
        </w:tc>
        <w:tc>
          <w:tcPr>
            <w:tcW w:w="0" w:type="auto"/>
            <w:tcBorders>
              <w:bottom w:val="double" w:sz="4" w:space="0" w:color="auto"/>
            </w:tcBorders>
          </w:tcPr>
          <w:p w:rsidR="00AE1126" w:rsidRPr="001F0D80" w:rsidRDefault="00AE1126" w:rsidP="007750F6">
            <w:pPr>
              <w:pStyle w:val="NormalParaAR"/>
              <w:widowControl w:val="0"/>
              <w:suppressAutoHyphens/>
              <w:bidi w:val="0"/>
              <w:rPr>
                <w:lang w:val="en-GB"/>
              </w:rPr>
            </w:pPr>
          </w:p>
        </w:tc>
      </w:tr>
    </w:tbl>
    <w:p w:rsidR="00AE1126" w:rsidRPr="000742FD" w:rsidRDefault="00AE1126" w:rsidP="007750F6">
      <w:pPr>
        <w:pStyle w:val="NormalParaAR"/>
        <w:widowControl w:val="0"/>
        <w:suppressAutoHyphens/>
        <w:rPr>
          <w:b/>
          <w:bCs/>
        </w:rPr>
      </w:pPr>
      <w:r w:rsidRPr="000742FD">
        <w:rPr>
          <w:rFonts w:eastAsia="Arial"/>
          <w:b/>
          <w:bCs/>
          <w:bdr w:val="nil"/>
          <w:rtl/>
          <w:lang w:val="ar-SA"/>
        </w:rPr>
        <w:t>المصدر</w:t>
      </w:r>
      <w:r w:rsidR="00241FA8">
        <w:rPr>
          <w:rFonts w:eastAsia="Arial"/>
          <w:b/>
          <w:bCs/>
          <w:bdr w:val="nil"/>
          <w:rtl/>
          <w:lang w:val="ar-SA"/>
        </w:rPr>
        <w:t xml:space="preserve">: </w:t>
      </w:r>
      <w:r w:rsidRPr="000742FD">
        <w:rPr>
          <w:rFonts w:eastAsia="Arial"/>
          <w:b/>
          <w:bCs/>
          <w:bdr w:val="nil"/>
          <w:rtl/>
          <w:lang w:val="ar-SA"/>
        </w:rPr>
        <w:t xml:space="preserve">الأرقام مقدمة من الأمانة بناءً </w:t>
      </w:r>
      <w:proofErr w:type="gramStart"/>
      <w:r w:rsidRPr="000742FD">
        <w:rPr>
          <w:rFonts w:eastAsia="Arial"/>
          <w:b/>
          <w:bCs/>
          <w:bdr w:val="nil"/>
          <w:rtl/>
          <w:lang w:val="ar-SA"/>
        </w:rPr>
        <w:t>على</w:t>
      </w:r>
      <w:proofErr w:type="gramEnd"/>
      <w:r w:rsidRPr="000742FD">
        <w:rPr>
          <w:rFonts w:eastAsia="Arial"/>
          <w:b/>
          <w:bCs/>
          <w:bdr w:val="nil"/>
          <w:rtl/>
          <w:lang w:val="ar-SA"/>
        </w:rPr>
        <w:t xml:space="preserve"> طلب المقيِّميَن</w:t>
      </w:r>
    </w:p>
    <w:p w:rsidR="00AE1126" w:rsidRDefault="00AE1126" w:rsidP="007750F6">
      <w:pPr>
        <w:pStyle w:val="NumberedParaAR"/>
        <w:widowControl w:val="0"/>
        <w:suppressAutoHyphens/>
      </w:pPr>
      <w:proofErr w:type="gramStart"/>
      <w:r>
        <w:rPr>
          <w:rFonts w:eastAsia="Arial"/>
          <w:bdr w:val="nil"/>
          <w:rtl/>
          <w:lang w:val="ar-SA"/>
        </w:rPr>
        <w:t>ولا</w:t>
      </w:r>
      <w:proofErr w:type="gramEnd"/>
      <w:r>
        <w:rPr>
          <w:rFonts w:eastAsia="Arial"/>
          <w:bdr w:val="nil"/>
          <w:rtl/>
          <w:lang w:val="ar-SA"/>
        </w:rPr>
        <w:t xml:space="preserve"> يُظهر تحليل النفقات حسب أبواب الموازنة أي أنماط غير طبيعية لمشروع خصص معظم موارده لتنظيم اجتماعات وللبحث في دراسات</w:t>
      </w:r>
      <w:r w:rsidR="00B27244">
        <w:rPr>
          <w:rFonts w:eastAsia="Arial"/>
          <w:bdr w:val="nil"/>
          <w:rtl/>
          <w:lang w:val="ar-SA"/>
        </w:rPr>
        <w:t xml:space="preserve">. </w:t>
      </w:r>
      <w:r>
        <w:rPr>
          <w:rFonts w:eastAsia="Arial"/>
          <w:bdr w:val="nil"/>
          <w:rtl/>
          <w:lang w:val="ar-SA"/>
        </w:rPr>
        <w:t xml:space="preserve">ويشير تنسيب مجموع التكاليف إلي المخرجات المنفذة وإجراء مقارنة بالأرقام المالية المتاحة للعموم من </w:t>
      </w:r>
      <w:r>
        <w:rPr>
          <w:rFonts w:eastAsia="Arial"/>
          <w:bdr w:val="nil"/>
          <w:rtl/>
          <w:lang w:val="ar-SA"/>
        </w:rPr>
        <w:lastRenderedPageBreak/>
        <w:t>عددٍ من مشروعات جدول تنمية الأعمال الأخرى إلى أن الأمانة استخدمت الموارد بشكل ملائم عموماً</w:t>
      </w:r>
      <w:r w:rsidR="00B27244">
        <w:rPr>
          <w:rFonts w:eastAsia="Arial"/>
          <w:bdr w:val="nil"/>
          <w:rtl/>
          <w:lang w:val="ar-SA"/>
        </w:rPr>
        <w:t xml:space="preserve">. </w:t>
      </w:r>
      <w:proofErr w:type="gramStart"/>
      <w:r>
        <w:rPr>
          <w:rFonts w:eastAsia="Arial"/>
          <w:bdr w:val="nil"/>
          <w:rtl/>
          <w:lang w:val="ar-SA"/>
        </w:rPr>
        <w:t>إلا</w:t>
      </w:r>
      <w:proofErr w:type="gramEnd"/>
      <w:r>
        <w:rPr>
          <w:rFonts w:eastAsia="Arial"/>
          <w:bdr w:val="nil"/>
          <w:rtl/>
          <w:lang w:val="ar-SA"/>
        </w:rPr>
        <w:t xml:space="preserve"> أن الكفاءة تردَّت بسبب حالات التأخر في التنفيذ الموصوفة في القسم 2.</w:t>
      </w:r>
      <w:proofErr w:type="gramStart"/>
      <w:r>
        <w:rPr>
          <w:rFonts w:eastAsia="Arial"/>
          <w:bdr w:val="nil"/>
          <w:rtl/>
          <w:lang w:val="ar-SA"/>
        </w:rPr>
        <w:t>ألف</w:t>
      </w:r>
      <w:proofErr w:type="gramEnd"/>
      <w:r>
        <w:rPr>
          <w:rFonts w:eastAsia="Arial"/>
          <w:bdr w:val="nil"/>
          <w:rtl/>
          <w:lang w:val="ar-SA"/>
        </w:rPr>
        <w:t xml:space="preserve"> ('2') بشأن الإدارة أعلاه.</w:t>
      </w:r>
    </w:p>
    <w:p w:rsidR="00AE1126" w:rsidRDefault="00AE1126" w:rsidP="007750F6">
      <w:pPr>
        <w:pStyle w:val="NumberedParaAR"/>
        <w:widowControl w:val="0"/>
        <w:suppressAutoHyphens/>
      </w:pPr>
      <w:proofErr w:type="gramStart"/>
      <w:r>
        <w:rPr>
          <w:rFonts w:eastAsia="Arial"/>
          <w:bdr w:val="nil"/>
          <w:rtl/>
          <w:lang w:val="ar-SA"/>
        </w:rPr>
        <w:t>ولم</w:t>
      </w:r>
      <w:proofErr w:type="gramEnd"/>
      <w:r>
        <w:rPr>
          <w:rFonts w:eastAsia="Arial"/>
          <w:bdr w:val="nil"/>
          <w:rtl/>
          <w:lang w:val="ar-SA"/>
        </w:rPr>
        <w:t xml:space="preserve"> تقتض الاختصاصات تقويماً تفصيلياً للكفاءة على مستوى المخرجات، لكن من شأنها أن تكون وجيهة بالنسبة إلى عملية صنع القرار في الدول الأعضاء</w:t>
      </w:r>
      <w:r w:rsidR="00B27244">
        <w:rPr>
          <w:rFonts w:eastAsia="Arial"/>
          <w:bdr w:val="nil"/>
          <w:rtl/>
          <w:lang w:val="ar-SA"/>
        </w:rPr>
        <w:t xml:space="preserve">. </w:t>
      </w:r>
      <w:proofErr w:type="gramStart"/>
      <w:r>
        <w:rPr>
          <w:rFonts w:eastAsia="Arial"/>
          <w:bdr w:val="nil"/>
          <w:rtl/>
          <w:lang w:val="ar-SA"/>
        </w:rPr>
        <w:t>أما</w:t>
      </w:r>
      <w:proofErr w:type="gramEnd"/>
      <w:r>
        <w:rPr>
          <w:rFonts w:eastAsia="Arial"/>
          <w:bdr w:val="nil"/>
          <w:rtl/>
          <w:lang w:val="ar-SA"/>
        </w:rPr>
        <w:t xml:space="preserve"> تقويم القيمة مقابل المال فيتطلب أيضاً بيانات مالية توزع النفقات على كلٍ من النتائج وأبواب الموازنة</w:t>
      </w:r>
      <w:r w:rsidR="00B27244">
        <w:rPr>
          <w:rFonts w:eastAsia="Arial"/>
          <w:bdr w:val="nil"/>
          <w:rtl/>
          <w:lang w:val="ar-SA"/>
        </w:rPr>
        <w:t xml:space="preserve">. </w:t>
      </w:r>
      <w:r>
        <w:rPr>
          <w:rFonts w:eastAsia="Arial"/>
          <w:bdr w:val="nil"/>
          <w:rtl/>
          <w:lang w:val="ar-SA"/>
        </w:rPr>
        <w:t xml:space="preserve">ولذلك تعذر </w:t>
      </w:r>
      <w:proofErr w:type="gramStart"/>
      <w:r>
        <w:rPr>
          <w:rFonts w:eastAsia="Arial"/>
          <w:bdr w:val="nil"/>
          <w:rtl/>
          <w:lang w:val="ar-SA"/>
        </w:rPr>
        <w:t>عرض</w:t>
      </w:r>
      <w:proofErr w:type="gramEnd"/>
      <w:r>
        <w:rPr>
          <w:rFonts w:eastAsia="Arial"/>
          <w:bdr w:val="nil"/>
          <w:rtl/>
          <w:lang w:val="ar-SA"/>
        </w:rPr>
        <w:t xml:space="preserve"> وتقويم توزيع الموارد على مختلف المخرجات</w:t>
      </w:r>
      <w:r w:rsidR="00B27244">
        <w:rPr>
          <w:rFonts w:eastAsia="Arial"/>
          <w:bdr w:val="nil"/>
          <w:rtl/>
          <w:lang w:val="ar-SA"/>
        </w:rPr>
        <w:t xml:space="preserve">. </w:t>
      </w:r>
      <w:r>
        <w:rPr>
          <w:rFonts w:eastAsia="Arial"/>
          <w:bdr w:val="nil"/>
          <w:rtl/>
          <w:lang w:val="ar-SA"/>
        </w:rPr>
        <w:t xml:space="preserve">وستقدم الأمانة هذه المعلومات لجميع مشروعات </w:t>
      </w:r>
      <w:proofErr w:type="gramStart"/>
      <w:r>
        <w:rPr>
          <w:rFonts w:eastAsia="Arial"/>
          <w:bdr w:val="nil"/>
          <w:rtl/>
          <w:lang w:val="ar-SA"/>
        </w:rPr>
        <w:t>جدول</w:t>
      </w:r>
      <w:proofErr w:type="gramEnd"/>
      <w:r>
        <w:rPr>
          <w:rFonts w:eastAsia="Arial"/>
          <w:bdr w:val="nil"/>
          <w:rtl/>
          <w:lang w:val="ar-SA"/>
        </w:rPr>
        <w:t xml:space="preserve"> تنمية الأعمال الحالية من خلال نسق تقاريرها المالية الجديد.</w:t>
      </w:r>
    </w:p>
    <w:p w:rsidR="00AE1126" w:rsidRPr="00624AA2" w:rsidRDefault="00AE1126" w:rsidP="007750F6">
      <w:pPr>
        <w:pStyle w:val="NumberedParaAR"/>
        <w:widowControl w:val="0"/>
        <w:suppressAutoHyphens/>
      </w:pPr>
      <w:r>
        <w:rPr>
          <w:rFonts w:eastAsia="Arial"/>
          <w:bdr w:val="nil"/>
          <w:rtl/>
          <w:lang w:val="ar-SA"/>
        </w:rPr>
        <w:t xml:space="preserve">وتبين </w:t>
      </w:r>
      <w:proofErr w:type="gramStart"/>
      <w:r>
        <w:rPr>
          <w:rFonts w:eastAsia="Arial"/>
          <w:bdr w:val="nil"/>
          <w:rtl/>
          <w:lang w:val="ar-SA"/>
        </w:rPr>
        <w:t>مقابلة</w:t>
      </w:r>
      <w:proofErr w:type="gramEnd"/>
      <w:r>
        <w:rPr>
          <w:rFonts w:eastAsia="Arial"/>
          <w:bdr w:val="nil"/>
          <w:rtl/>
          <w:lang w:val="ar-SA"/>
        </w:rPr>
        <w:t xml:space="preserve"> التمويل المعتبر بفوائد المشروع الأوسع (النواتج)، التي كانت محدودة للغاية، أن الكفاءة كانت متدنية</w:t>
      </w:r>
      <w:r w:rsidR="00B27244">
        <w:rPr>
          <w:rFonts w:eastAsia="Arial"/>
          <w:bdr w:val="nil"/>
          <w:rtl/>
          <w:lang w:val="ar-SA"/>
        </w:rPr>
        <w:t xml:space="preserve">. </w:t>
      </w:r>
      <w:r>
        <w:rPr>
          <w:rFonts w:eastAsia="Arial"/>
          <w:bdr w:val="nil"/>
          <w:rtl/>
          <w:lang w:val="ar-SA"/>
        </w:rPr>
        <w:t>وستكون معظم الأموال قد أهدرت دون تكوين نواتج ملموسة ما لم تُستخدم نتائج المشروع لإحداث تغيرات إيجابية، مما يتطلب اتخاذ إجراءات محددة تعتمدها الدول الأعضاء.</w:t>
      </w:r>
    </w:p>
    <w:p w:rsidR="00AE1126" w:rsidRPr="00624AA2" w:rsidRDefault="00AE1126" w:rsidP="007750F6">
      <w:pPr>
        <w:pStyle w:val="Heading3AR"/>
        <w:keepNext w:val="0"/>
        <w:widowControl w:val="0"/>
        <w:suppressAutoHyphens/>
      </w:pPr>
      <w:r>
        <w:rPr>
          <w:rFonts w:eastAsia="Arial"/>
          <w:u w:val="none"/>
          <w:bdr w:val="nil"/>
          <w:rtl/>
          <w:lang w:val="ar-SA" w:eastAsia="zh-CN"/>
        </w:rPr>
        <w:t>('</w:t>
      </w:r>
      <w:r>
        <w:rPr>
          <w:rFonts w:eastAsia="Arial"/>
          <w:bCs/>
          <w:u w:val="none"/>
          <w:bdr w:val="nil"/>
          <w:rtl/>
          <w:lang w:val="ar-SA" w:eastAsia="zh-CN"/>
        </w:rPr>
        <w:t>2</w:t>
      </w:r>
      <w:r>
        <w:rPr>
          <w:rFonts w:eastAsia="Arial"/>
          <w:u w:val="none"/>
          <w:bdr w:val="nil"/>
          <w:rtl/>
          <w:lang w:val="ar-SA" w:eastAsia="zh-CN"/>
        </w:rPr>
        <w:t>')</w:t>
      </w:r>
      <w:r>
        <w:rPr>
          <w:rFonts w:eastAsia="Arial"/>
          <w:u w:val="none"/>
          <w:bdr w:val="nil"/>
          <w:rtl/>
          <w:lang w:val="ar-SA" w:eastAsia="zh-CN"/>
        </w:rPr>
        <w:tab/>
      </w:r>
      <w:r>
        <w:rPr>
          <w:rFonts w:eastAsia="Arial"/>
          <w:bdr w:val="nil"/>
          <w:rtl/>
          <w:lang w:val="ar-SA" w:eastAsia="zh-CN"/>
        </w:rPr>
        <w:t xml:space="preserve">أوجه التآزر مع أنشطة أخرى تضطلع </w:t>
      </w:r>
      <w:proofErr w:type="gramStart"/>
      <w:r>
        <w:rPr>
          <w:rFonts w:eastAsia="Arial"/>
          <w:bdr w:val="nil"/>
          <w:rtl/>
          <w:lang w:val="ar-SA" w:eastAsia="zh-CN"/>
        </w:rPr>
        <w:t>بها</w:t>
      </w:r>
      <w:proofErr w:type="gramEnd"/>
      <w:r>
        <w:rPr>
          <w:rFonts w:eastAsia="Arial"/>
          <w:bdr w:val="nil"/>
          <w:rtl/>
          <w:lang w:val="ar-SA" w:eastAsia="zh-CN"/>
        </w:rPr>
        <w:t xml:space="preserve"> الأمانة</w:t>
      </w:r>
    </w:p>
    <w:p w:rsidR="00AE1126" w:rsidRDefault="00AE1126" w:rsidP="007750F6">
      <w:pPr>
        <w:pStyle w:val="NumberedParaAR"/>
        <w:widowControl w:val="0"/>
        <w:suppressAutoHyphens/>
      </w:pPr>
      <w:r>
        <w:rPr>
          <w:rFonts w:eastAsia="Arial"/>
          <w:bdr w:val="nil"/>
          <w:rtl/>
          <w:lang w:val="ar-SA"/>
        </w:rPr>
        <w:t>جاء المشروع مكملاً لمجموعة متنوعة من أنشطة الويبو الأخرى الموجهة إلى عددٍ من توصيات جدول أعمال التنمية المدرجة في الفئة جيم على الأخص (نقل التكنولوجيا، وتكنولوجيا المعلومات والاتصالات، والنفاذ إلى المعرفة).</w:t>
      </w:r>
    </w:p>
    <w:p w:rsidR="00AE1126" w:rsidRPr="0015557F" w:rsidRDefault="00AE1126" w:rsidP="007750F6">
      <w:pPr>
        <w:pStyle w:val="NumberedParaAR"/>
        <w:widowControl w:val="0"/>
        <w:suppressAutoHyphens/>
        <w:rPr>
          <w:iCs/>
        </w:rPr>
      </w:pPr>
      <w:r>
        <w:rPr>
          <w:rFonts w:eastAsia="Arial"/>
          <w:bdr w:val="nil"/>
          <w:rtl/>
          <w:lang w:val="ar-SA"/>
        </w:rPr>
        <w:t>وقد نتج عن استخدام بعض الدراسات التي أجريت في إطار DA_16_20_01 (CDIP/4/3)</w:t>
      </w:r>
      <w:r>
        <w:rPr>
          <w:rStyle w:val="FootnoteReference"/>
        </w:rPr>
        <w:footnoteReference w:id="48"/>
      </w:r>
      <w:r>
        <w:rPr>
          <w:rFonts w:eastAsia="Arial"/>
          <w:bdr w:val="nil"/>
          <w:rtl/>
          <w:lang w:val="ar-SA"/>
        </w:rPr>
        <w:t xml:space="preserve"> وDA_16_20_02 (CDIP/6/5)</w:t>
      </w:r>
      <w:r>
        <w:rPr>
          <w:rStyle w:val="FootnoteReference"/>
        </w:rPr>
        <w:footnoteReference w:id="49"/>
      </w:r>
      <w:r>
        <w:rPr>
          <w:rFonts w:eastAsia="Arial"/>
          <w:bdr w:val="nil"/>
          <w:rtl/>
          <w:lang w:val="ar-SA"/>
        </w:rPr>
        <w:t xml:space="preserve"> كمدخلات للدراسات التي أجريت في إطار هذا المشروع بعض أوجه التآزر، وإن كانت محدودة للغاية.</w:t>
      </w:r>
    </w:p>
    <w:p w:rsidR="00AE1126" w:rsidRPr="001C0654" w:rsidRDefault="00AE1126" w:rsidP="007750F6">
      <w:pPr>
        <w:pStyle w:val="NumberedParaAR"/>
        <w:widowControl w:val="0"/>
        <w:suppressAutoHyphens/>
        <w:rPr>
          <w:iCs/>
        </w:rPr>
      </w:pPr>
      <w:proofErr w:type="gramStart"/>
      <w:r>
        <w:rPr>
          <w:rFonts w:eastAsia="Arial"/>
          <w:iCs/>
          <w:bdr w:val="nil"/>
          <w:rtl/>
          <w:lang w:val="ar-SA"/>
        </w:rPr>
        <w:t>ولم</w:t>
      </w:r>
      <w:proofErr w:type="gramEnd"/>
      <w:r>
        <w:rPr>
          <w:rFonts w:eastAsia="Arial"/>
          <w:iCs/>
          <w:bdr w:val="nil"/>
          <w:rtl/>
          <w:lang w:val="ar-SA"/>
        </w:rPr>
        <w:t xml:space="preserve"> ينته التقييم إلى وجود أي تداخلات مع أنشطة أخرى للأمانة.</w:t>
      </w:r>
    </w:p>
    <w:p w:rsidR="00AE1126" w:rsidRPr="00624AA2" w:rsidRDefault="00AE1126" w:rsidP="007750F6">
      <w:pPr>
        <w:pStyle w:val="Heading2AR"/>
        <w:keepNext w:val="0"/>
        <w:widowControl w:val="0"/>
        <w:suppressAutoHyphens/>
      </w:pPr>
      <w:r>
        <w:rPr>
          <w:rFonts w:eastAsia="Arial"/>
          <w:bdr w:val="nil"/>
          <w:rtl/>
          <w:lang w:val="ar-SA" w:eastAsia="zh-CN"/>
        </w:rPr>
        <w:t>(هاء)</w:t>
      </w:r>
      <w:r>
        <w:rPr>
          <w:rFonts w:eastAsia="Arial"/>
          <w:bdr w:val="nil"/>
          <w:rtl/>
          <w:lang w:val="ar-SA" w:eastAsia="zh-CN"/>
        </w:rPr>
        <w:tab/>
        <w:t>احتمالات استدامة النتائج</w:t>
      </w:r>
    </w:p>
    <w:p w:rsidR="00AE1126" w:rsidRDefault="00AE1126" w:rsidP="007750F6">
      <w:pPr>
        <w:pStyle w:val="NumberedParaAR"/>
        <w:widowControl w:val="0"/>
        <w:suppressAutoHyphens/>
      </w:pPr>
      <w:proofErr w:type="gramStart"/>
      <w:r>
        <w:rPr>
          <w:rFonts w:eastAsia="Arial"/>
          <w:bdr w:val="nil"/>
          <w:rtl/>
          <w:lang w:val="ar-SA"/>
        </w:rPr>
        <w:t>لم</w:t>
      </w:r>
      <w:proofErr w:type="gramEnd"/>
      <w:r>
        <w:rPr>
          <w:rFonts w:eastAsia="Arial"/>
          <w:bdr w:val="nil"/>
          <w:rtl/>
          <w:lang w:val="ar-SA"/>
        </w:rPr>
        <w:t xml:space="preserve"> يُسلَّم اثنان على الأقل من المخرجات الأساسية (منتدى الخبراء والمنتدى الإلكتروني) إلا مؤخراً</w:t>
      </w:r>
      <w:r w:rsidR="00B27244">
        <w:rPr>
          <w:rFonts w:eastAsia="Arial"/>
          <w:bdr w:val="nil"/>
          <w:rtl/>
          <w:lang w:val="ar-SA"/>
        </w:rPr>
        <w:t xml:space="preserve">. </w:t>
      </w:r>
      <w:r>
        <w:rPr>
          <w:rFonts w:eastAsia="Arial"/>
          <w:bdr w:val="nil"/>
          <w:rtl/>
          <w:lang w:val="ar-SA"/>
        </w:rPr>
        <w:t xml:space="preserve">وأخذت اللجنة </w:t>
      </w:r>
      <w:proofErr w:type="gramStart"/>
      <w:r>
        <w:rPr>
          <w:rFonts w:eastAsia="Arial"/>
          <w:bdr w:val="nil"/>
          <w:rtl/>
          <w:lang w:val="ar-SA"/>
        </w:rPr>
        <w:t>علماً</w:t>
      </w:r>
      <w:proofErr w:type="gramEnd"/>
      <w:r>
        <w:rPr>
          <w:rFonts w:eastAsia="Arial"/>
          <w:bdr w:val="nil"/>
          <w:rtl/>
          <w:lang w:val="ar-SA"/>
        </w:rPr>
        <w:t xml:space="preserve"> بنتائج منتدى الخبراء في دورتها الأخيرة، إلا أنها لم تناقشها</w:t>
      </w:r>
      <w:r w:rsidR="00B27244">
        <w:rPr>
          <w:rFonts w:eastAsia="Arial"/>
          <w:bdr w:val="nil"/>
          <w:rtl/>
          <w:lang w:val="ar-SA"/>
        </w:rPr>
        <w:t xml:space="preserve">. </w:t>
      </w:r>
      <w:r>
        <w:rPr>
          <w:rFonts w:eastAsia="Arial"/>
          <w:bdr w:val="nil"/>
          <w:rtl/>
          <w:lang w:val="ar-SA"/>
        </w:rPr>
        <w:t xml:space="preserve">وتمثل المتابعة على المشروع أهمية حاسمة في سبيل تجميع النتائج المحققة والبناء عليها </w:t>
      </w:r>
      <w:proofErr w:type="gramStart"/>
      <w:r>
        <w:rPr>
          <w:rFonts w:eastAsia="Arial"/>
          <w:bdr w:val="nil"/>
          <w:rtl/>
          <w:lang w:val="ar-SA"/>
        </w:rPr>
        <w:t>واستدامتها</w:t>
      </w:r>
      <w:proofErr w:type="gramEnd"/>
      <w:r>
        <w:rPr>
          <w:rFonts w:eastAsia="Arial"/>
          <w:bdr w:val="nil"/>
          <w:rtl/>
          <w:lang w:val="ar-SA"/>
        </w:rPr>
        <w:t>.</w:t>
      </w:r>
    </w:p>
    <w:p w:rsidR="00AE1126" w:rsidRPr="00B12D3C" w:rsidRDefault="00AE1126" w:rsidP="007750F6">
      <w:pPr>
        <w:pStyle w:val="NumberedParaAR"/>
        <w:widowControl w:val="0"/>
        <w:suppressAutoHyphens/>
      </w:pPr>
      <w:r>
        <w:rPr>
          <w:rFonts w:eastAsia="Arial"/>
          <w:bdr w:val="nil"/>
          <w:rtl/>
          <w:lang w:val="ar-SA"/>
        </w:rPr>
        <w:t>أدرِج دمج "التوصيات الناتجة" في برامج الويبو ذات الصلة بعد إقرارها من الدول الأعضاء ضمن أهداف المشروع (المخرج 7)، وهذا إدراج صائب. وربما تكون الدول الأعضاء قد اختارت عن عمد عبارة "الدمج في يرامج الويبو ذات الصلة"، لأن "نقل التكنولوجيا" ليس خدمة يمكن "تعميمها"</w:t>
      </w:r>
      <w:r w:rsidR="00B27244">
        <w:rPr>
          <w:rFonts w:eastAsia="Arial"/>
          <w:bdr w:val="nil"/>
          <w:rtl/>
          <w:lang w:val="ar-SA"/>
        </w:rPr>
        <w:t xml:space="preserve">. </w:t>
      </w:r>
      <w:r>
        <w:rPr>
          <w:rFonts w:eastAsia="Arial"/>
          <w:bdr w:val="nil"/>
          <w:rtl/>
          <w:lang w:val="ar-SA"/>
        </w:rPr>
        <w:t xml:space="preserve">ويبدو من صياغة </w:t>
      </w:r>
      <w:proofErr w:type="gramStart"/>
      <w:r>
        <w:rPr>
          <w:rFonts w:eastAsia="Arial"/>
          <w:bdr w:val="nil"/>
          <w:rtl/>
          <w:lang w:val="ar-SA"/>
        </w:rPr>
        <w:t>المخرج</w:t>
      </w:r>
      <w:proofErr w:type="gramEnd"/>
      <w:r>
        <w:rPr>
          <w:rFonts w:eastAsia="Arial"/>
          <w:bdr w:val="nil"/>
          <w:rtl/>
          <w:lang w:val="ar-SA"/>
        </w:rPr>
        <w:t xml:space="preserve"> 7 أن الدول الأعضاء ترتقب مقترحاً من الأمانة.</w:t>
      </w:r>
    </w:p>
    <w:p w:rsidR="00AE1126" w:rsidRDefault="00AE1126" w:rsidP="007750F6">
      <w:pPr>
        <w:pStyle w:val="NumberedParaAR"/>
        <w:widowControl w:val="0"/>
        <w:suppressAutoHyphens/>
      </w:pPr>
      <w:proofErr w:type="gramStart"/>
      <w:r>
        <w:rPr>
          <w:rFonts w:eastAsia="Arial"/>
          <w:bdr w:val="nil"/>
          <w:rtl/>
          <w:lang w:val="ar-SA"/>
        </w:rPr>
        <w:t>وإلى</w:t>
      </w:r>
      <w:proofErr w:type="gramEnd"/>
      <w:r>
        <w:rPr>
          <w:rFonts w:eastAsia="Arial"/>
          <w:bdr w:val="nil"/>
          <w:rtl/>
          <w:lang w:val="ar-SA"/>
        </w:rPr>
        <w:t xml:space="preserve"> جانب أهمية مواصلة المناقشات فيما بين الدول الأعضاء، أبرزت المقابلات التي أجريت مع أصحاب المصلحة الحاجة إلى إسداء مشورة مخصصة للحكومات بشأن كيفية تأسيس إطار سياسات تمكيني لنقل التكنولوجيا</w:t>
      </w:r>
      <w:r w:rsidR="00B27244">
        <w:rPr>
          <w:rFonts w:eastAsia="Arial"/>
          <w:bdr w:val="nil"/>
          <w:rtl/>
          <w:lang w:val="ar-SA"/>
        </w:rPr>
        <w:t xml:space="preserve">. </w:t>
      </w:r>
      <w:r>
        <w:rPr>
          <w:rFonts w:eastAsia="Arial"/>
          <w:bdr w:val="nil"/>
          <w:rtl/>
          <w:lang w:val="ar-SA"/>
        </w:rPr>
        <w:t>ويتطلب هذا أيضاً إجراء مزيدٍ من الأبحاث عن نقل التكنولوجيا، وعلى الأخص عن الممارسات الجيدة المستفادة من دراسات إفرادية.</w:t>
      </w:r>
    </w:p>
    <w:p w:rsidR="00AE1126" w:rsidRDefault="00AE1126" w:rsidP="007750F6">
      <w:pPr>
        <w:pStyle w:val="NumberedParaAR"/>
        <w:widowControl w:val="0"/>
        <w:suppressAutoHyphens/>
      </w:pPr>
      <w:proofErr w:type="gramStart"/>
      <w:r>
        <w:rPr>
          <w:rFonts w:eastAsia="Arial"/>
          <w:bdr w:val="nil"/>
          <w:rtl/>
          <w:lang w:val="ar-SA"/>
        </w:rPr>
        <w:t>وما</w:t>
      </w:r>
      <w:proofErr w:type="gramEnd"/>
      <w:r>
        <w:rPr>
          <w:rFonts w:eastAsia="Arial"/>
          <w:bdr w:val="nil"/>
          <w:rtl/>
          <w:lang w:val="ar-SA"/>
        </w:rPr>
        <w:t xml:space="preserve"> حقوق الملكية إلا عامل واحد، وإن كان عاملاً مهماً، من العوامل المؤثرة في قدرة البلدان النامية على الاستفادة من نقل التكنولوجيا</w:t>
      </w:r>
      <w:r w:rsidR="00B27244">
        <w:rPr>
          <w:rFonts w:eastAsia="Arial"/>
          <w:bdr w:val="nil"/>
          <w:rtl/>
          <w:lang w:val="ar-SA"/>
        </w:rPr>
        <w:t xml:space="preserve">. </w:t>
      </w:r>
      <w:r>
        <w:rPr>
          <w:rFonts w:eastAsia="Arial"/>
          <w:bdr w:val="nil"/>
          <w:rtl/>
          <w:lang w:val="ar-SA"/>
        </w:rPr>
        <w:t>ويتطلب تحسين نقل التكنولوجيا بذل جهود منسقة في مجالات كثيرة لا تشملها ولاية الويبو</w:t>
      </w:r>
      <w:r w:rsidR="00B27244">
        <w:rPr>
          <w:rFonts w:eastAsia="Arial"/>
          <w:bdr w:val="nil"/>
          <w:rtl/>
          <w:lang w:val="ar-SA"/>
        </w:rPr>
        <w:t xml:space="preserve">. </w:t>
      </w:r>
      <w:r>
        <w:rPr>
          <w:rFonts w:eastAsia="Arial"/>
          <w:bdr w:val="nil"/>
          <w:rtl/>
          <w:lang w:val="ar-SA"/>
        </w:rPr>
        <w:t>لذلك لا يزال من الأهمية بمكان التعاون الوثيق مع المنظمات الدولية الأخرى في منظومة الأمم المتحدة وخارجها</w:t>
      </w:r>
      <w:r w:rsidR="00B27244">
        <w:rPr>
          <w:rFonts w:eastAsia="Arial"/>
          <w:bdr w:val="nil"/>
          <w:rtl/>
          <w:lang w:val="ar-SA"/>
        </w:rPr>
        <w:t xml:space="preserve">. </w:t>
      </w:r>
      <w:r>
        <w:rPr>
          <w:rFonts w:eastAsia="Arial"/>
          <w:bdr w:val="nil"/>
          <w:rtl/>
          <w:lang w:val="ar-SA"/>
        </w:rPr>
        <w:t xml:space="preserve">ونظراً إلى إحاطة الويبو </w:t>
      </w:r>
      <w:r>
        <w:rPr>
          <w:rFonts w:eastAsia="Arial"/>
          <w:bdr w:val="nil"/>
          <w:rtl/>
          <w:lang w:val="ar-SA"/>
        </w:rPr>
        <w:lastRenderedPageBreak/>
        <w:t>بموضوع نقل التكنولوجيا من منظور الملكية الفكرية، فقد تكون في الموقع المناسب للمساهمة في وضع إطار يمكِّن من نقل التكنولوجيا</w:t>
      </w:r>
      <w:r w:rsidR="00B27244">
        <w:rPr>
          <w:rFonts w:eastAsia="Arial"/>
          <w:bdr w:val="nil"/>
          <w:rtl/>
          <w:lang w:val="ar-SA"/>
        </w:rPr>
        <w:t xml:space="preserve">. </w:t>
      </w:r>
      <w:r>
        <w:rPr>
          <w:rFonts w:eastAsia="Arial"/>
          <w:bdr w:val="nil"/>
          <w:rtl/>
          <w:lang w:val="ar-SA"/>
        </w:rPr>
        <w:t>ومن شأن المشاركة بنشاط في المؤتمرات الدولية المتعلقة بنقل التكنولوجيا أن يهيئ محفلاً جيداً لذلك، وأن يتيح للويبو كذلك تعزيز ظهورها ومكانتها في المجتمع الدولي.</w:t>
      </w:r>
    </w:p>
    <w:p w:rsidR="00AE1126" w:rsidRDefault="00AE1126" w:rsidP="007750F6">
      <w:pPr>
        <w:pStyle w:val="NumberedParaAR"/>
        <w:widowControl w:val="0"/>
        <w:suppressAutoHyphens/>
      </w:pPr>
      <w:r>
        <w:rPr>
          <w:rFonts w:eastAsia="Arial"/>
          <w:bdr w:val="nil"/>
          <w:rtl/>
          <w:lang w:val="ar-SA"/>
        </w:rPr>
        <w:t>وينبغي أيضاً بنفس القدر من الأهمية التكفل بمساندة الباحثين والكيانات التجارية في الاستفادة من الفرص السانحة على الصعيد الدولي لنقل التكنولوجيا، لا سيما ما كان ضمن ما تقدمه الويبو بالفعل من مساندة مباشرة وغير مباشرة (المستوى المتوسط) الموجهة إلى مستخدمي حقوق الملكية الفكرية.</w:t>
      </w:r>
    </w:p>
    <w:p w:rsidR="00AE1126" w:rsidRDefault="00AE1126" w:rsidP="007750F6">
      <w:pPr>
        <w:pStyle w:val="NumberedParaAR"/>
        <w:widowControl w:val="0"/>
        <w:suppressAutoHyphens/>
      </w:pPr>
      <w:proofErr w:type="gramStart"/>
      <w:r>
        <w:rPr>
          <w:rFonts w:eastAsia="Arial"/>
          <w:bdr w:val="nil"/>
          <w:rtl/>
          <w:lang w:val="ar-SA"/>
        </w:rPr>
        <w:t>وليس</w:t>
      </w:r>
      <w:proofErr w:type="gramEnd"/>
      <w:r>
        <w:rPr>
          <w:rFonts w:eastAsia="Arial"/>
          <w:bdr w:val="nil"/>
          <w:rtl/>
          <w:lang w:val="ar-SA"/>
        </w:rPr>
        <w:t xml:space="preserve"> ضمن نطاق هذا التقييم طرح خطوط عريضة لما يحسن فعله فيما هو آت</w:t>
      </w:r>
      <w:r w:rsidR="00B27244">
        <w:rPr>
          <w:rFonts w:eastAsia="Arial"/>
          <w:bdr w:val="nil"/>
          <w:rtl/>
          <w:lang w:val="ar-SA"/>
        </w:rPr>
        <w:t xml:space="preserve">. </w:t>
      </w:r>
      <w:r>
        <w:rPr>
          <w:rFonts w:eastAsia="Arial"/>
          <w:bdr w:val="nil"/>
          <w:rtl/>
          <w:lang w:val="ar-SA"/>
        </w:rPr>
        <w:t xml:space="preserve">ومن السبل الملائمة للمضي قدماً إجراء تخطيط للأنشطة القائمة وتبيُّن الفجوات، مع وضع نتائج المشروع في الحسبان. </w:t>
      </w:r>
    </w:p>
    <w:p w:rsidR="00AE1126" w:rsidRPr="00B12D3C" w:rsidRDefault="00AE1126" w:rsidP="007750F6">
      <w:pPr>
        <w:pStyle w:val="NumberedParaAR"/>
        <w:widowControl w:val="0"/>
        <w:suppressAutoHyphens/>
      </w:pPr>
      <w:r>
        <w:rPr>
          <w:rFonts w:eastAsia="Arial"/>
          <w:bdr w:val="nil"/>
          <w:rtl/>
          <w:lang w:val="ar-SA"/>
        </w:rPr>
        <w:t>ومن البرامج التي يمكن تحقيق المزيد من التعزيز لنقل التكنولوجيا من خلالها أكاديمية الملكية الفكرية (البرنامج 11)، والشركات الصغيرة والمتوسطة (البرنامج 30، بما في ذلك تقديم دعم للدول الأعضاء في صياغة استراتيجيات الملكية الفكرية)، وكذلك البرنامج 14 في إطار الهدف الاستراتيجي الرابع (خدمات النفاذ إلى المعلومات والمعارف)، لا سيما ما كان من خلال مراكز دعم التكنولوجيا والمعلومات.</w:t>
      </w:r>
    </w:p>
    <w:p w:rsidR="00AE1126" w:rsidRPr="00624AA2" w:rsidRDefault="00AE1126" w:rsidP="007750F6">
      <w:pPr>
        <w:pStyle w:val="Heading1AR"/>
        <w:keepNext w:val="0"/>
        <w:widowControl w:val="0"/>
        <w:suppressAutoHyphens/>
      </w:pPr>
      <w:bookmarkStart w:id="5" w:name="_Toc425834824"/>
      <w:r>
        <w:rPr>
          <w:rFonts w:eastAsia="Arial"/>
          <w:bdr w:val="nil"/>
          <w:rtl/>
          <w:lang w:val="ar-SA" w:eastAsia="zh-CN"/>
        </w:rPr>
        <w:t>3</w:t>
      </w:r>
      <w:r>
        <w:rPr>
          <w:rFonts w:eastAsia="Arial"/>
          <w:bdr w:val="nil"/>
          <w:rtl/>
          <w:cs/>
          <w:lang w:val="ar-SA" w:eastAsia="zh-CN"/>
        </w:rPr>
        <w:t>‎.</w:t>
      </w:r>
      <w:r>
        <w:rPr>
          <w:rFonts w:eastAsia="Arial"/>
          <w:bdr w:val="nil"/>
          <w:rtl/>
          <w:cs/>
          <w:lang w:val="ar-SA" w:eastAsia="zh-CN"/>
        </w:rPr>
        <w:tab/>
        <w:t>الاستنتاجات</w:t>
      </w:r>
      <w:bookmarkEnd w:id="5"/>
    </w:p>
    <w:p w:rsidR="00AE1126" w:rsidRPr="00624AA2" w:rsidRDefault="00AE1126" w:rsidP="007750F6">
      <w:pPr>
        <w:pStyle w:val="NumberedParaAR"/>
        <w:widowControl w:val="0"/>
        <w:suppressAutoHyphens/>
      </w:pPr>
      <w:r>
        <w:rPr>
          <w:rFonts w:eastAsia="Arial"/>
          <w:bdr w:val="nil"/>
          <w:rtl/>
          <w:lang w:val="ar-SA"/>
        </w:rPr>
        <w:t xml:space="preserve">يقود ما سبق بيانه </w:t>
      </w:r>
      <w:proofErr w:type="gramStart"/>
      <w:r>
        <w:rPr>
          <w:rFonts w:eastAsia="Arial"/>
          <w:bdr w:val="nil"/>
          <w:rtl/>
          <w:lang w:val="ar-SA"/>
        </w:rPr>
        <w:t>من</w:t>
      </w:r>
      <w:proofErr w:type="gramEnd"/>
      <w:r>
        <w:rPr>
          <w:rFonts w:eastAsia="Arial"/>
          <w:bdr w:val="nil"/>
          <w:rtl/>
          <w:lang w:val="ar-SA"/>
        </w:rPr>
        <w:t xml:space="preserve"> نتائج وتقويم أعلاه إلى الاستنتاجات التالية:</w:t>
      </w:r>
    </w:p>
    <w:p w:rsidR="00AE1126" w:rsidRPr="000742FD" w:rsidRDefault="00AE1126" w:rsidP="007750F6">
      <w:pPr>
        <w:pStyle w:val="NormalParaAR"/>
        <w:widowControl w:val="0"/>
        <w:suppressAutoHyphens/>
        <w:rPr>
          <w:i/>
          <w:iCs/>
        </w:rPr>
      </w:pPr>
      <w:r w:rsidRPr="000742FD">
        <w:rPr>
          <w:rFonts w:eastAsia="Arial"/>
          <w:i/>
          <w:iCs/>
          <w:bdr w:val="nil"/>
          <w:rtl/>
          <w:lang w:val="ar-SA" w:eastAsia="zh-CN"/>
        </w:rPr>
        <w:t>الاستنتاج 1</w:t>
      </w:r>
      <w:r w:rsidR="00241FA8">
        <w:rPr>
          <w:rFonts w:eastAsia="Arial"/>
          <w:i/>
          <w:iCs/>
          <w:bdr w:val="nil"/>
          <w:rtl/>
          <w:lang w:val="ar-SA" w:eastAsia="zh-CN"/>
        </w:rPr>
        <w:t xml:space="preserve">: </w:t>
      </w:r>
      <w:r w:rsidRPr="000742FD">
        <w:rPr>
          <w:rFonts w:eastAsia="Arial"/>
          <w:i/>
          <w:iCs/>
          <w:bdr w:val="nil"/>
          <w:rtl/>
          <w:lang w:val="ar-SA" w:eastAsia="zh-CN"/>
        </w:rPr>
        <w:t>كانت مخرجات المشروع ذات وجاهة بالغة، لكن بعض المخرجات لم تسلَّم،</w:t>
      </w:r>
      <w:r w:rsidR="004E22FC">
        <w:rPr>
          <w:rFonts w:eastAsia="Arial"/>
          <w:i/>
          <w:iCs/>
          <w:bdr w:val="nil"/>
          <w:rtl/>
          <w:lang w:val="ar-SA" w:eastAsia="zh-CN"/>
        </w:rPr>
        <w:t xml:space="preserve"> </w:t>
      </w:r>
      <w:r w:rsidRPr="000742FD">
        <w:rPr>
          <w:rFonts w:eastAsia="Arial"/>
          <w:i/>
          <w:iCs/>
          <w:bdr w:val="nil"/>
          <w:rtl/>
          <w:lang w:val="ar-SA" w:eastAsia="zh-CN"/>
        </w:rPr>
        <w:t>وكانت عناصر التسليم، عدا بعض الاستثناءات، ذات نوعية جيدة</w:t>
      </w:r>
      <w:r w:rsidR="00B27244">
        <w:rPr>
          <w:rFonts w:eastAsia="Arial"/>
          <w:i/>
          <w:iCs/>
          <w:bdr w:val="nil"/>
          <w:rtl/>
          <w:lang w:val="ar-SA" w:eastAsia="zh-CN"/>
        </w:rPr>
        <w:t xml:space="preserve">. </w:t>
      </w:r>
      <w:proofErr w:type="gramStart"/>
      <w:r w:rsidRPr="000742FD">
        <w:rPr>
          <w:rFonts w:eastAsia="Arial"/>
          <w:i/>
          <w:iCs/>
          <w:bdr w:val="nil"/>
          <w:rtl/>
          <w:lang w:val="ar-SA" w:eastAsia="zh-CN"/>
        </w:rPr>
        <w:t>وقد</w:t>
      </w:r>
      <w:proofErr w:type="gramEnd"/>
      <w:r w:rsidRPr="000742FD">
        <w:rPr>
          <w:rFonts w:eastAsia="Arial"/>
          <w:i/>
          <w:iCs/>
          <w:bdr w:val="nil"/>
          <w:rtl/>
          <w:lang w:val="ar-SA" w:eastAsia="zh-CN"/>
        </w:rPr>
        <w:t xml:space="preserve"> أثر التأخير الكبير في تنفيذ المشروع سلباً في فعاليته، غير أن الأمانة استخدمت الموارد على نحو ملائم.</w:t>
      </w:r>
    </w:p>
    <w:p w:rsidR="00AE1126" w:rsidRPr="000742FD" w:rsidRDefault="00AE1126" w:rsidP="007750F6">
      <w:pPr>
        <w:pStyle w:val="NumberedParaAR"/>
        <w:widowControl w:val="0"/>
        <w:suppressAutoHyphens/>
        <w:rPr>
          <w:b/>
        </w:rPr>
      </w:pPr>
      <w:r w:rsidRPr="000742FD">
        <w:rPr>
          <w:rFonts w:eastAsia="Arial"/>
          <w:b/>
          <w:bdr w:val="nil"/>
          <w:rtl/>
          <w:lang w:val="ar-SA"/>
        </w:rPr>
        <w:t>وأسهمت نتائج المؤتمرات والدراسات التي مولها المشروع في تحديد معوقات نقل التكنولوجيا ومناقشتها، واستخلاص الممارسات الجيدة من الدراسات الإفرادية للممارسات الناجحة، ومناقشة النتائج مع جمهور محدد</w:t>
      </w:r>
      <w:r w:rsidR="00B27244">
        <w:rPr>
          <w:rFonts w:eastAsia="Arial"/>
          <w:b/>
          <w:bdr w:val="nil"/>
          <w:rtl/>
          <w:lang w:val="ar-SA"/>
        </w:rPr>
        <w:t xml:space="preserve">. </w:t>
      </w:r>
      <w:r w:rsidRPr="000742FD">
        <w:rPr>
          <w:rFonts w:eastAsia="Arial"/>
          <w:b/>
          <w:bdr w:val="nil"/>
          <w:rtl/>
          <w:lang w:val="ar-SA"/>
        </w:rPr>
        <w:t xml:space="preserve">لكن لم يعط المشروع إلى الآن </w:t>
      </w:r>
      <w:proofErr w:type="gramStart"/>
      <w:r w:rsidRPr="000742FD">
        <w:rPr>
          <w:rFonts w:eastAsia="Arial"/>
          <w:b/>
          <w:bdr w:val="nil"/>
          <w:rtl/>
          <w:lang w:val="ar-SA"/>
        </w:rPr>
        <w:t>نتائج</w:t>
      </w:r>
      <w:proofErr w:type="gramEnd"/>
      <w:r w:rsidRPr="000742FD">
        <w:rPr>
          <w:rFonts w:eastAsia="Arial"/>
          <w:b/>
          <w:bdr w:val="nil"/>
          <w:rtl/>
          <w:lang w:val="ar-SA"/>
        </w:rPr>
        <w:t xml:space="preserve"> ملموسة واسعة النطاق.</w:t>
      </w:r>
    </w:p>
    <w:p w:rsidR="00AE1126" w:rsidRPr="000742FD" w:rsidRDefault="00AE1126" w:rsidP="007750F6">
      <w:pPr>
        <w:pStyle w:val="NumberedParaAR"/>
        <w:widowControl w:val="0"/>
        <w:suppressAutoHyphens/>
        <w:rPr>
          <w:b/>
        </w:rPr>
      </w:pPr>
      <w:proofErr w:type="gramStart"/>
      <w:r w:rsidRPr="000742FD">
        <w:rPr>
          <w:rFonts w:eastAsia="Arial"/>
          <w:b/>
          <w:bdr w:val="nil"/>
          <w:rtl/>
          <w:lang w:val="ar-SA"/>
        </w:rPr>
        <w:t>ولم</w:t>
      </w:r>
      <w:proofErr w:type="gramEnd"/>
      <w:r w:rsidRPr="000742FD">
        <w:rPr>
          <w:rFonts w:eastAsia="Arial"/>
          <w:b/>
          <w:bdr w:val="nil"/>
          <w:rtl/>
          <w:lang w:val="ar-SA"/>
        </w:rPr>
        <w:t xml:space="preserve"> تعد أدوات تكوين الكفاءات المقررة، وانتهى إعداد مشروع المنتدى الإلكتروني بعد مضي عام على النهاية الرسمية للمشروع قيد التقييم</w:t>
      </w:r>
      <w:r w:rsidR="00B27244">
        <w:rPr>
          <w:rFonts w:eastAsia="Arial"/>
          <w:b/>
          <w:bdr w:val="nil"/>
          <w:rtl/>
          <w:lang w:val="ar-SA"/>
        </w:rPr>
        <w:t xml:space="preserve">. </w:t>
      </w:r>
      <w:r w:rsidRPr="000742FD">
        <w:rPr>
          <w:rFonts w:eastAsia="Arial"/>
          <w:b/>
          <w:bdr w:val="nil"/>
          <w:rtl/>
          <w:lang w:val="ar-SA"/>
        </w:rPr>
        <w:t>ولم تُتخذ أية خطوات باتجاه دمج نتائج المشروع في برنامج أنشطة الويبو القائمة</w:t>
      </w:r>
      <w:r w:rsidR="00B27244">
        <w:rPr>
          <w:rFonts w:eastAsia="Arial"/>
          <w:b/>
          <w:bdr w:val="nil"/>
          <w:rtl/>
          <w:lang w:val="ar-SA"/>
        </w:rPr>
        <w:t xml:space="preserve">. </w:t>
      </w:r>
      <w:proofErr w:type="gramStart"/>
      <w:r w:rsidRPr="000742FD">
        <w:rPr>
          <w:rFonts w:eastAsia="Arial"/>
          <w:b/>
          <w:bdr w:val="nil"/>
          <w:rtl/>
          <w:lang w:val="ar-SA"/>
        </w:rPr>
        <w:t>وتدل</w:t>
      </w:r>
      <w:proofErr w:type="gramEnd"/>
      <w:r w:rsidRPr="000742FD">
        <w:rPr>
          <w:rFonts w:eastAsia="Arial"/>
          <w:b/>
          <w:bdr w:val="nil"/>
          <w:rtl/>
          <w:lang w:val="ar-SA"/>
        </w:rPr>
        <w:t xml:space="preserve"> صياغة النتيجة المرتقبة 7 على أن الدول الأعضاء تتوقع مقترحاً محددا من الأمانة، بعد مناقشة نتائج منتدى الخبراء الدولي.</w:t>
      </w:r>
    </w:p>
    <w:p w:rsidR="00AE1126" w:rsidRPr="009114EA" w:rsidRDefault="00AE1126" w:rsidP="007750F6">
      <w:pPr>
        <w:pStyle w:val="NumberedParaAR"/>
        <w:widowControl w:val="0"/>
        <w:suppressAutoHyphens/>
      </w:pPr>
      <w:r>
        <w:rPr>
          <w:rFonts w:eastAsia="Arial"/>
          <w:bdr w:val="nil"/>
          <w:rtl/>
          <w:lang w:val="ar-SA"/>
        </w:rPr>
        <w:t>وتقدم تنفيذ المشروع عموماً بإيقاع بطئ، إذ استغرق ضعف الوقت المقرر في الأصل</w:t>
      </w:r>
      <w:r w:rsidR="00B27244">
        <w:rPr>
          <w:rFonts w:eastAsia="Arial"/>
          <w:bdr w:val="nil"/>
          <w:rtl/>
          <w:lang w:val="ar-SA"/>
        </w:rPr>
        <w:t xml:space="preserve">. </w:t>
      </w:r>
      <w:r>
        <w:rPr>
          <w:rFonts w:eastAsia="Arial"/>
          <w:bdr w:val="nil"/>
          <w:rtl/>
          <w:lang w:val="ar-SA"/>
        </w:rPr>
        <w:t>وعلى الرغم من التمديد له مرتين دون تكاليف، فإن تنفيذ بعض الأنشطة استمر إلى ما بعد انتهاء المشروع رسمياً، ولم يُنجز إلا في يونيه 2015</w:t>
      </w:r>
      <w:r w:rsidR="00B27244">
        <w:rPr>
          <w:rFonts w:eastAsia="Arial"/>
          <w:bdr w:val="nil"/>
          <w:rtl/>
          <w:lang w:val="ar-SA"/>
        </w:rPr>
        <w:t xml:space="preserve">. </w:t>
      </w:r>
      <w:r>
        <w:rPr>
          <w:rFonts w:eastAsia="Arial"/>
          <w:bdr w:val="nil"/>
          <w:rtl/>
          <w:lang w:val="ar-SA"/>
        </w:rPr>
        <w:t>وساهم في هذا التأخير تفاقم المشكلات الإدارية الناتجة عن تعديل الهيكل التنظيمي في الويبو.</w:t>
      </w:r>
    </w:p>
    <w:p w:rsidR="00AE1126" w:rsidRPr="00441BF3" w:rsidRDefault="00AE1126" w:rsidP="007750F6">
      <w:pPr>
        <w:pStyle w:val="NumberedParaAR"/>
        <w:widowControl w:val="0"/>
        <w:numPr>
          <w:ilvl w:val="0"/>
          <w:numId w:val="0"/>
        </w:numPr>
        <w:suppressAutoHyphens/>
        <w:rPr>
          <w:i/>
          <w:iCs/>
        </w:rPr>
      </w:pPr>
      <w:r>
        <w:rPr>
          <w:rFonts w:eastAsia="Arial"/>
          <w:i/>
          <w:iCs/>
          <w:bdr w:val="nil"/>
          <w:rtl/>
          <w:lang w:val="ar-SA"/>
        </w:rPr>
        <w:t>الاستنتاج 2</w:t>
      </w:r>
      <w:r w:rsidR="00241FA8">
        <w:rPr>
          <w:rFonts w:eastAsia="Arial"/>
          <w:i/>
          <w:iCs/>
          <w:bdr w:val="nil"/>
          <w:rtl/>
          <w:lang w:val="ar-SA"/>
        </w:rPr>
        <w:t xml:space="preserve">: </w:t>
      </w:r>
      <w:r>
        <w:rPr>
          <w:rFonts w:eastAsia="Arial"/>
          <w:i/>
          <w:iCs/>
          <w:bdr w:val="nil"/>
          <w:rtl/>
          <w:lang w:val="ar-SA"/>
        </w:rPr>
        <w:t>من</w:t>
      </w:r>
      <w:r w:rsidR="004E22FC">
        <w:rPr>
          <w:rFonts w:eastAsia="Arial"/>
          <w:i/>
          <w:iCs/>
          <w:bdr w:val="nil"/>
          <w:rtl/>
          <w:lang w:val="ar-SA"/>
        </w:rPr>
        <w:t xml:space="preserve"> </w:t>
      </w:r>
      <w:r>
        <w:rPr>
          <w:rFonts w:eastAsia="Arial"/>
          <w:i/>
          <w:iCs/>
          <w:bdr w:val="nil"/>
          <w:rtl/>
          <w:lang w:val="ar-SA"/>
        </w:rPr>
        <w:t>المرجح ألا تتحول المخرجات إلى نواتج ملموسة مستدامة ينجم عنها فوائد واسعة النطاق، ما لم يتابع المشروع،</w:t>
      </w:r>
      <w:r w:rsidR="004E22FC">
        <w:rPr>
          <w:rFonts w:eastAsia="Arial"/>
          <w:i/>
          <w:iCs/>
          <w:bdr w:val="nil"/>
          <w:rtl/>
          <w:lang w:val="ar-SA"/>
        </w:rPr>
        <w:t xml:space="preserve"> </w:t>
      </w:r>
      <w:r>
        <w:rPr>
          <w:rFonts w:eastAsia="Arial"/>
          <w:i/>
          <w:iCs/>
          <w:bdr w:val="nil"/>
          <w:rtl/>
          <w:lang w:val="ar-SA"/>
        </w:rPr>
        <w:t>مما يعني ضياع معظم الموارد المخصصة له.</w:t>
      </w:r>
    </w:p>
    <w:p w:rsidR="00AE1126" w:rsidRPr="000742FD" w:rsidRDefault="00AE1126" w:rsidP="007750F6">
      <w:pPr>
        <w:pStyle w:val="NumberedParaAR"/>
        <w:widowControl w:val="0"/>
        <w:suppressAutoHyphens/>
        <w:rPr>
          <w:b/>
        </w:rPr>
      </w:pPr>
      <w:r w:rsidRPr="000742FD">
        <w:rPr>
          <w:rFonts w:eastAsia="Arial"/>
          <w:b/>
          <w:bdr w:val="nil"/>
          <w:rtl/>
          <w:lang w:val="ar-SA"/>
        </w:rPr>
        <w:t>فدون متابعة لاستخدام مخرجات المشروع في تعزيز دعم الويبو لأنشطة نقل التكنولوجيا، سيبقى نطاق المشروع ووقعه في التنمية الاجتماعية الاقتصادية محدوداً نوعاً ما</w:t>
      </w:r>
      <w:r w:rsidR="00B27244">
        <w:rPr>
          <w:rFonts w:eastAsia="Arial"/>
          <w:b/>
          <w:bdr w:val="nil"/>
          <w:rtl/>
          <w:lang w:val="ar-SA"/>
        </w:rPr>
        <w:t xml:space="preserve">. </w:t>
      </w:r>
      <w:r w:rsidRPr="000742FD">
        <w:rPr>
          <w:rFonts w:eastAsia="Arial"/>
          <w:b/>
          <w:bdr w:val="nil"/>
          <w:rtl/>
          <w:lang w:val="ar-SA"/>
        </w:rPr>
        <w:t xml:space="preserve">وستتبدد النتائج الهامة الأولية والأموال التي </w:t>
      </w:r>
      <w:proofErr w:type="gramStart"/>
      <w:r w:rsidRPr="000742FD">
        <w:rPr>
          <w:rFonts w:eastAsia="Arial"/>
          <w:b/>
          <w:bdr w:val="nil"/>
          <w:rtl/>
          <w:lang w:val="ar-SA"/>
        </w:rPr>
        <w:t>أُنفقت</w:t>
      </w:r>
      <w:proofErr w:type="gramEnd"/>
      <w:r w:rsidRPr="000742FD">
        <w:rPr>
          <w:rFonts w:eastAsia="Arial"/>
          <w:b/>
          <w:bdr w:val="nil"/>
          <w:rtl/>
          <w:lang w:val="ar-SA"/>
        </w:rPr>
        <w:t xml:space="preserve"> من أجل الوصول إلى تلك النتائج</w:t>
      </w:r>
      <w:r w:rsidR="00B27244">
        <w:rPr>
          <w:rFonts w:eastAsia="Arial"/>
          <w:b/>
          <w:bdr w:val="nil"/>
          <w:rtl/>
          <w:lang w:val="ar-SA"/>
        </w:rPr>
        <w:t xml:space="preserve">. </w:t>
      </w:r>
      <w:r w:rsidRPr="000742FD">
        <w:rPr>
          <w:rFonts w:eastAsia="Arial"/>
          <w:b/>
          <w:bdr w:val="nil"/>
          <w:rtl/>
          <w:lang w:val="ar-SA"/>
        </w:rPr>
        <w:t>وستبقى إمكانية تحقيق استدامة النتائج وفعالية المشروع منخفضة.</w:t>
      </w:r>
    </w:p>
    <w:p w:rsidR="00AE1126" w:rsidRDefault="00AE1126" w:rsidP="007750F6">
      <w:pPr>
        <w:widowControl w:val="0"/>
        <w:suppressAutoHyphens/>
        <w:rPr>
          <w:b/>
        </w:rPr>
      </w:pPr>
      <w:r>
        <w:rPr>
          <w:b/>
        </w:rPr>
        <w:br w:type="page"/>
      </w:r>
    </w:p>
    <w:p w:rsidR="00AE1126" w:rsidRPr="009E2E28" w:rsidRDefault="00AE1126" w:rsidP="007750F6">
      <w:pPr>
        <w:pStyle w:val="ONUME"/>
        <w:widowControl w:val="0"/>
        <w:numPr>
          <w:ilvl w:val="0"/>
          <w:numId w:val="0"/>
        </w:numPr>
        <w:suppressAutoHyphens/>
        <w:bidi/>
        <w:rPr>
          <w:rFonts w:ascii="Arabic Typesetting" w:hAnsi="Arabic Typesetting" w:cs="Arabic Typesetting"/>
          <w:b/>
          <w:i/>
          <w:iCs/>
          <w:sz w:val="36"/>
          <w:szCs w:val="36"/>
        </w:rPr>
      </w:pPr>
      <w:r w:rsidRPr="009E2E28">
        <w:rPr>
          <w:rFonts w:ascii="Arabic Typesetting" w:eastAsia="Arial" w:hAnsi="Arabic Typesetting" w:cs="Arabic Typesetting"/>
          <w:b/>
          <w:i/>
          <w:iCs/>
          <w:sz w:val="36"/>
          <w:szCs w:val="36"/>
          <w:bdr w:val="nil"/>
          <w:rtl/>
          <w:lang w:val="ar-SA"/>
        </w:rPr>
        <w:lastRenderedPageBreak/>
        <w:t>الاستنتاج 3</w:t>
      </w:r>
      <w:r w:rsidR="00241FA8">
        <w:rPr>
          <w:rFonts w:ascii="Arabic Typesetting" w:eastAsia="Arial" w:hAnsi="Arabic Typesetting" w:cs="Arabic Typesetting"/>
          <w:b/>
          <w:i/>
          <w:iCs/>
          <w:sz w:val="36"/>
          <w:szCs w:val="36"/>
          <w:bdr w:val="nil"/>
          <w:rtl/>
          <w:lang w:val="ar-SA"/>
        </w:rPr>
        <w:t xml:space="preserve">: </w:t>
      </w:r>
      <w:r w:rsidRPr="009E2E28">
        <w:rPr>
          <w:rFonts w:ascii="Arabic Typesetting" w:eastAsia="Arial" w:hAnsi="Arabic Typesetting" w:cs="Arabic Typesetting"/>
          <w:b/>
          <w:i/>
          <w:iCs/>
          <w:sz w:val="36"/>
          <w:szCs w:val="36"/>
          <w:bdr w:val="nil"/>
          <w:rtl/>
          <w:lang w:val="ar-SA"/>
        </w:rPr>
        <w:t>حددت آراء الخبراء عدداً من المجالات التي من شأن تعزيز خدمات الويبو فيها إضفاء قيمة مض</w:t>
      </w:r>
      <w:r w:rsidR="009E2E28">
        <w:rPr>
          <w:rFonts w:ascii="Arabic Typesetting" w:eastAsia="Arial" w:hAnsi="Arabic Typesetting" w:cs="Arabic Typesetting"/>
          <w:b/>
          <w:i/>
          <w:iCs/>
          <w:sz w:val="36"/>
          <w:szCs w:val="36"/>
          <w:bdr w:val="nil"/>
          <w:rtl/>
          <w:lang w:val="ar-SA"/>
        </w:rPr>
        <w:t xml:space="preserve">افة على تيسير نقل التكنولوجيا. </w:t>
      </w:r>
      <w:r w:rsidRPr="009E2E28">
        <w:rPr>
          <w:rFonts w:ascii="Arabic Typesetting" w:eastAsia="Arial" w:hAnsi="Arabic Typesetting" w:cs="Arabic Typesetting"/>
          <w:b/>
          <w:i/>
          <w:iCs/>
          <w:sz w:val="36"/>
          <w:szCs w:val="36"/>
          <w:bdr w:val="nil"/>
          <w:rtl/>
          <w:lang w:val="ar-SA"/>
        </w:rPr>
        <w:t>وأصبح من الواضح كذلك أن تعزيز نقل التكنولوجيا يتطلب مجموعة كبيرة من التدابير التي لا ت</w:t>
      </w:r>
      <w:r w:rsidR="009E2E28">
        <w:rPr>
          <w:rFonts w:ascii="Arabic Typesetting" w:eastAsia="Arial" w:hAnsi="Arabic Typesetting" w:cs="Arabic Typesetting"/>
          <w:b/>
          <w:i/>
          <w:iCs/>
          <w:sz w:val="36"/>
          <w:szCs w:val="36"/>
          <w:bdr w:val="nil"/>
          <w:rtl/>
          <w:lang w:val="ar-SA"/>
        </w:rPr>
        <w:t xml:space="preserve">غطي ولاية الويبو العديد منها. </w:t>
      </w:r>
      <w:r w:rsidRPr="009E2E28">
        <w:rPr>
          <w:rFonts w:ascii="Arabic Typesetting" w:eastAsia="Arial" w:hAnsi="Arabic Typesetting" w:cs="Arabic Typesetting"/>
          <w:b/>
          <w:i/>
          <w:iCs/>
          <w:sz w:val="36"/>
          <w:szCs w:val="36"/>
          <w:bdr w:val="nil"/>
          <w:rtl/>
          <w:lang w:val="ar-SA"/>
        </w:rPr>
        <w:t>ويقتضي إيجاد ظروف ملائمة لإنشاء إطار يمكن من نقل التكنولوجيا، بذل جهود منسقة ضمن منظومة الأمم المتحدة وخارجها.</w:t>
      </w:r>
    </w:p>
    <w:p w:rsidR="00AE1126" w:rsidRPr="000742FD" w:rsidRDefault="00AE1126" w:rsidP="007750F6">
      <w:pPr>
        <w:pStyle w:val="NumberedParaAR"/>
        <w:widowControl w:val="0"/>
        <w:suppressAutoHyphens/>
      </w:pPr>
      <w:r w:rsidRPr="000742FD">
        <w:rPr>
          <w:rFonts w:eastAsia="Arial"/>
          <w:rtl/>
        </w:rPr>
        <w:t>ونقل التكنول</w:t>
      </w:r>
      <w:r w:rsidR="00B81F41">
        <w:rPr>
          <w:rFonts w:eastAsia="Arial"/>
          <w:rtl/>
        </w:rPr>
        <w:t xml:space="preserve">وجيا ليس خدمة يمكن "تعميمها"، </w:t>
      </w:r>
      <w:r w:rsidRPr="000742FD">
        <w:rPr>
          <w:rFonts w:eastAsia="Arial"/>
          <w:rtl/>
        </w:rPr>
        <w:t>إذ تبيِّن صياغة المخرج 7 التي توافقت عليها الدول الأعضاء أن إدراج توصيات المشروع في برامج الويبو ذات الصلة، كان ه</w:t>
      </w:r>
      <w:r w:rsidR="00B81F41">
        <w:rPr>
          <w:rFonts w:eastAsia="Arial"/>
          <w:rtl/>
        </w:rPr>
        <w:t xml:space="preserve">دفاً أساسياً من أهداف المشروع. </w:t>
      </w:r>
      <w:proofErr w:type="gramStart"/>
      <w:r w:rsidRPr="000742FD">
        <w:rPr>
          <w:rFonts w:eastAsia="Arial"/>
          <w:rtl/>
        </w:rPr>
        <w:t>وقد</w:t>
      </w:r>
      <w:proofErr w:type="gramEnd"/>
      <w:r w:rsidRPr="000742FD">
        <w:rPr>
          <w:rFonts w:eastAsia="Arial"/>
          <w:rtl/>
        </w:rPr>
        <w:t xml:space="preserve"> يدل ذلك على أن الدول الأعضاء تتوقع مقترحاً ملموساً من الأمانة، بعد مناقشة النتائج الأساسية التي تأتت عن المشروع إبَّان الدورة السادسة عشرة للجنة.</w:t>
      </w:r>
    </w:p>
    <w:p w:rsidR="00AE1126" w:rsidRPr="000742FD" w:rsidRDefault="00AE1126" w:rsidP="007750F6">
      <w:pPr>
        <w:pStyle w:val="NumberedParaAR"/>
        <w:widowControl w:val="0"/>
        <w:suppressAutoHyphens/>
      </w:pPr>
      <w:r w:rsidRPr="000742FD">
        <w:rPr>
          <w:rFonts w:eastAsia="Arial"/>
          <w:rtl/>
        </w:rPr>
        <w:t>ويتطلب وضع خطة للتقدم في المشروع، تخطيط أنشطة الويبو القائمة والمتعلقة بنقل التكنولوجيا، بقصد تحديد الاحتياجات استناداً إلى نتائج المشروع، ثم إعداد مقترح يعرض كيفية تعزيز أو استكمال الخدمات القائمة عند الاقتضاء.</w:t>
      </w:r>
    </w:p>
    <w:p w:rsidR="00AE1126" w:rsidRPr="000742FD" w:rsidRDefault="00AE1126" w:rsidP="007750F6">
      <w:pPr>
        <w:pStyle w:val="NumberedParaAR"/>
        <w:widowControl w:val="0"/>
        <w:suppressAutoHyphens/>
      </w:pPr>
      <w:r w:rsidRPr="000742FD">
        <w:rPr>
          <w:rFonts w:eastAsia="Arial"/>
          <w:rtl/>
        </w:rPr>
        <w:t>ويؤثر في قدرة البلدان النامية على الاستفادة من نقل التكنولوجيا عوامل عدة، ولا صلة مباشرة للعديد من هذه العوامل بالملكية الفكرية</w:t>
      </w:r>
      <w:r w:rsidR="00B27244">
        <w:rPr>
          <w:rFonts w:eastAsia="Arial"/>
          <w:rtl/>
        </w:rPr>
        <w:t xml:space="preserve">. </w:t>
      </w:r>
      <w:r w:rsidRPr="000742FD">
        <w:rPr>
          <w:rFonts w:eastAsia="Arial"/>
          <w:rtl/>
        </w:rPr>
        <w:t>لذلك لا يزال من الأهمية بمكان التعاون الوثيق مع المنظمات الدولية الأخرى في منظومة الأمم المتحدة وخارجها</w:t>
      </w:r>
      <w:r w:rsidR="00B27244">
        <w:rPr>
          <w:rFonts w:eastAsia="Arial"/>
          <w:rtl/>
        </w:rPr>
        <w:t xml:space="preserve">. </w:t>
      </w:r>
      <w:r w:rsidRPr="000742FD">
        <w:rPr>
          <w:rFonts w:eastAsia="Arial"/>
          <w:rtl/>
        </w:rPr>
        <w:t>ونظراً إلى إحاطة الويبو بموضوع نقل التكنولوجيا من منظور الملكية الفكرية، فقد تكون في الموقع المناسب للمساهمة بنشاط في وضع إطار يمكِّن من نقل التكنولوجيا، ولا سيما من خلال مشاركتها بانتظام في المنتديات الدولية ذات الصلة.</w:t>
      </w:r>
    </w:p>
    <w:p w:rsidR="00AE1126" w:rsidRPr="00B81F41" w:rsidRDefault="00AE1126" w:rsidP="007750F6">
      <w:pPr>
        <w:pStyle w:val="ONUME"/>
        <w:widowControl w:val="0"/>
        <w:numPr>
          <w:ilvl w:val="0"/>
          <w:numId w:val="0"/>
        </w:numPr>
        <w:suppressAutoHyphens/>
        <w:bidi/>
        <w:rPr>
          <w:rFonts w:ascii="Arabic Typesetting" w:hAnsi="Arabic Typesetting" w:cs="Arabic Typesetting"/>
          <w:b/>
          <w:i/>
          <w:iCs/>
          <w:sz w:val="36"/>
          <w:szCs w:val="36"/>
        </w:rPr>
      </w:pPr>
      <w:proofErr w:type="gramStart"/>
      <w:r w:rsidRPr="00B81F41">
        <w:rPr>
          <w:rFonts w:ascii="Arabic Typesetting" w:eastAsia="Arial" w:hAnsi="Arabic Typesetting" w:cs="Arabic Typesetting"/>
          <w:b/>
          <w:i/>
          <w:iCs/>
          <w:sz w:val="36"/>
          <w:szCs w:val="36"/>
          <w:bdr w:val="nil"/>
          <w:rtl/>
          <w:lang w:val="ar-SA"/>
        </w:rPr>
        <w:t>الاستنتاج</w:t>
      </w:r>
      <w:proofErr w:type="gramEnd"/>
      <w:r w:rsidRPr="00B81F41">
        <w:rPr>
          <w:rFonts w:ascii="Arabic Typesetting" w:eastAsia="Arial" w:hAnsi="Arabic Typesetting" w:cs="Arabic Typesetting"/>
          <w:b/>
          <w:i/>
          <w:iCs/>
          <w:sz w:val="36"/>
          <w:szCs w:val="36"/>
          <w:bdr w:val="nil"/>
          <w:rtl/>
          <w:lang w:val="ar-SA"/>
        </w:rPr>
        <w:t xml:space="preserve"> 4</w:t>
      </w:r>
      <w:r w:rsidR="00241FA8">
        <w:rPr>
          <w:rFonts w:ascii="Arabic Typesetting" w:eastAsia="Arial" w:hAnsi="Arabic Typesetting" w:cs="Arabic Typesetting"/>
          <w:b/>
          <w:i/>
          <w:iCs/>
          <w:sz w:val="36"/>
          <w:szCs w:val="36"/>
          <w:bdr w:val="nil"/>
          <w:rtl/>
          <w:lang w:val="ar-SA"/>
        </w:rPr>
        <w:t xml:space="preserve">: </w:t>
      </w:r>
      <w:r w:rsidRPr="00B81F41">
        <w:rPr>
          <w:rFonts w:ascii="Arabic Typesetting" w:eastAsia="Arial" w:hAnsi="Arabic Typesetting" w:cs="Arabic Typesetting"/>
          <w:b/>
          <w:i/>
          <w:iCs/>
          <w:sz w:val="36"/>
          <w:szCs w:val="36"/>
          <w:bdr w:val="nil"/>
          <w:rtl/>
          <w:lang w:val="ar-SA"/>
        </w:rPr>
        <w:t>لم يكن تطبيق الأدوات المعيارية الخاصة بالتخطيط للمشروعات</w:t>
      </w:r>
      <w:r w:rsidR="00B81F41">
        <w:rPr>
          <w:rFonts w:ascii="Arabic Typesetting" w:eastAsia="Arial" w:hAnsi="Arabic Typesetting" w:cs="Arabic Typesetting"/>
          <w:b/>
          <w:i/>
          <w:iCs/>
          <w:sz w:val="36"/>
          <w:szCs w:val="36"/>
          <w:bdr w:val="nil"/>
          <w:rtl/>
          <w:lang w:val="ar-SA"/>
        </w:rPr>
        <w:t xml:space="preserve"> ورصدها على قدر كاف من الجودة.</w:t>
      </w:r>
      <w:r w:rsidRPr="00B81F41">
        <w:rPr>
          <w:rFonts w:ascii="Arabic Typesetting" w:eastAsia="Arial" w:hAnsi="Arabic Typesetting" w:cs="Arabic Typesetting"/>
          <w:b/>
          <w:i/>
          <w:iCs/>
          <w:sz w:val="36"/>
          <w:szCs w:val="36"/>
          <w:bdr w:val="nil"/>
          <w:rtl/>
          <w:lang w:val="ar-SA"/>
        </w:rPr>
        <w:t xml:space="preserve"> </w:t>
      </w:r>
      <w:proofErr w:type="gramStart"/>
      <w:r w:rsidRPr="00B81F41">
        <w:rPr>
          <w:rFonts w:ascii="Arabic Typesetting" w:eastAsia="Arial" w:hAnsi="Arabic Typesetting" w:cs="Arabic Typesetting"/>
          <w:b/>
          <w:i/>
          <w:iCs/>
          <w:sz w:val="36"/>
          <w:szCs w:val="36"/>
          <w:bdr w:val="nil"/>
          <w:rtl/>
          <w:lang w:val="ar-SA"/>
        </w:rPr>
        <w:t>وقد</w:t>
      </w:r>
      <w:proofErr w:type="gramEnd"/>
      <w:r w:rsidRPr="00B81F41">
        <w:rPr>
          <w:rFonts w:ascii="Arabic Typesetting" w:eastAsia="Arial" w:hAnsi="Arabic Typesetting" w:cs="Arabic Typesetting"/>
          <w:b/>
          <w:i/>
          <w:iCs/>
          <w:sz w:val="36"/>
          <w:szCs w:val="36"/>
          <w:bdr w:val="nil"/>
          <w:rtl/>
          <w:lang w:val="ar-SA"/>
        </w:rPr>
        <w:t xml:space="preserve"> تبيّن من هذا التقييم أن من الضروري تعزيز دور شعبة تنسيق جدول أعمال التنمية في رصد تقدم مشروعات جدول أعمال التنمية وجودتها بانتظام، وإجراء تدريب أساسي إلزامي للمشرفين على المشروعات.</w:t>
      </w:r>
    </w:p>
    <w:p w:rsidR="00AE1126" w:rsidRDefault="00AE1126" w:rsidP="007750F6">
      <w:pPr>
        <w:pStyle w:val="NumberedParaAR"/>
        <w:widowControl w:val="0"/>
        <w:suppressAutoHyphens/>
      </w:pPr>
      <w:r>
        <w:rPr>
          <w:rFonts w:eastAsia="Arial"/>
          <w:bdr w:val="nil"/>
          <w:rtl/>
          <w:lang w:val="ar-SA"/>
        </w:rPr>
        <w:t xml:space="preserve">ولم يُطبق الإطار المنطقي كأداة معيارية </w:t>
      </w:r>
      <w:r w:rsidR="00B81F41">
        <w:rPr>
          <w:rFonts w:eastAsia="Arial"/>
          <w:bdr w:val="nil"/>
          <w:rtl/>
          <w:lang w:val="ar-SA"/>
        </w:rPr>
        <w:t xml:space="preserve">لتخطيط المشروع ورصده </w:t>
      </w:r>
      <w:proofErr w:type="gramStart"/>
      <w:r w:rsidR="00B81F41">
        <w:rPr>
          <w:rFonts w:eastAsia="Arial"/>
          <w:bdr w:val="nil"/>
          <w:rtl/>
          <w:lang w:val="ar-SA"/>
        </w:rPr>
        <w:t>وتقييمه</w:t>
      </w:r>
      <w:proofErr w:type="gramEnd"/>
      <w:r w:rsidR="00B81F41">
        <w:rPr>
          <w:rFonts w:eastAsia="Arial"/>
          <w:bdr w:val="nil"/>
          <w:rtl/>
          <w:lang w:val="ar-SA"/>
        </w:rPr>
        <w:t xml:space="preserve">، </w:t>
      </w:r>
      <w:r>
        <w:rPr>
          <w:rFonts w:eastAsia="Arial"/>
          <w:bdr w:val="nil"/>
          <w:rtl/>
          <w:lang w:val="ar-SA"/>
        </w:rPr>
        <w:t>وركزت عمليات التخطيط وإعداد ال</w:t>
      </w:r>
      <w:r w:rsidR="00B81F41">
        <w:rPr>
          <w:rFonts w:eastAsia="Arial"/>
          <w:bdr w:val="nil"/>
          <w:rtl/>
          <w:lang w:val="ar-SA"/>
        </w:rPr>
        <w:t xml:space="preserve">تقارير على الأنشطة لا النتائج. </w:t>
      </w:r>
      <w:proofErr w:type="gramStart"/>
      <w:r>
        <w:rPr>
          <w:rFonts w:eastAsia="Arial"/>
          <w:bdr w:val="nil"/>
          <w:rtl/>
          <w:lang w:val="ar-SA"/>
        </w:rPr>
        <w:t>ويجدر</w:t>
      </w:r>
      <w:proofErr w:type="gramEnd"/>
      <w:r>
        <w:rPr>
          <w:rFonts w:eastAsia="Arial"/>
          <w:bdr w:val="nil"/>
          <w:rtl/>
          <w:lang w:val="ar-SA"/>
        </w:rPr>
        <w:t xml:space="preserve"> التشديد على أن الأمانة سبق وبذلت جهوداً كبيرة في جميع المشروعات الحديثة لجدول أعمال التنمية من أجل تعزيز الإدارة القائمة على النتائج باستمرار.</w:t>
      </w:r>
    </w:p>
    <w:p w:rsidR="00AE1126" w:rsidRDefault="00AE1126" w:rsidP="007750F6">
      <w:pPr>
        <w:pStyle w:val="NumberedParaAR"/>
        <w:widowControl w:val="0"/>
        <w:suppressAutoHyphens/>
      </w:pPr>
      <w:r>
        <w:rPr>
          <w:rFonts w:eastAsia="Arial"/>
          <w:bdr w:val="nil"/>
          <w:rtl/>
          <w:lang w:val="ar-SA"/>
        </w:rPr>
        <w:t>ويتضح من التقييم أن من الضروري تعزيز الرقابة على المشروعات ورصد جودتها من داخل الأمانة، ولا سيما شعبة تنسيق جدو</w:t>
      </w:r>
      <w:r w:rsidR="00B81F41">
        <w:rPr>
          <w:rFonts w:eastAsia="Arial"/>
          <w:bdr w:val="nil"/>
          <w:rtl/>
          <w:lang w:val="ar-SA"/>
        </w:rPr>
        <w:t xml:space="preserve">ل أعمال التنمية. </w:t>
      </w:r>
      <w:r>
        <w:rPr>
          <w:rFonts w:eastAsia="Arial"/>
          <w:bdr w:val="nil"/>
          <w:rtl/>
          <w:lang w:val="ar-SA"/>
        </w:rPr>
        <w:t>ومن شأن اشتراط "تأشير" الشعبة على جميع المراحل الرئيسية في تنفيذ المشروع (مثل تلزيم الخدمات ونشر المواد وغيرها)</w:t>
      </w:r>
      <w:r w:rsidR="004E22FC">
        <w:rPr>
          <w:rFonts w:eastAsia="Arial"/>
          <w:bdr w:val="nil"/>
          <w:rtl/>
          <w:lang w:val="ar-SA"/>
        </w:rPr>
        <w:t xml:space="preserve"> </w:t>
      </w:r>
      <w:r>
        <w:rPr>
          <w:rFonts w:eastAsia="Arial"/>
          <w:bdr w:val="nil"/>
          <w:rtl/>
          <w:lang w:val="ar-SA"/>
        </w:rPr>
        <w:t>وتنظيم اجتماعات منتظمة للمشرفين على المشروعات، أن يتيح للشعبة استباق المشكلات.</w:t>
      </w:r>
    </w:p>
    <w:p w:rsidR="00AE1126" w:rsidRPr="00624AA2" w:rsidRDefault="00AE1126" w:rsidP="007750F6">
      <w:pPr>
        <w:pStyle w:val="Heading1AR"/>
        <w:keepNext w:val="0"/>
        <w:widowControl w:val="0"/>
        <w:suppressAutoHyphens/>
      </w:pPr>
      <w:bookmarkStart w:id="6" w:name="_Toc335712746"/>
      <w:bookmarkStart w:id="7" w:name="_Toc425834825"/>
      <w:r>
        <w:rPr>
          <w:rFonts w:eastAsia="Arial"/>
          <w:bdr w:val="nil"/>
          <w:rtl/>
          <w:lang w:val="ar-SA" w:eastAsia="zh-CN"/>
        </w:rPr>
        <w:t>4</w:t>
      </w:r>
      <w:r>
        <w:rPr>
          <w:rFonts w:eastAsia="Arial"/>
          <w:bdr w:val="nil"/>
          <w:rtl/>
          <w:cs/>
          <w:lang w:val="ar-SA" w:eastAsia="zh-CN"/>
        </w:rPr>
        <w:t>‎.</w:t>
      </w:r>
      <w:r>
        <w:rPr>
          <w:rFonts w:eastAsia="Arial"/>
          <w:bdr w:val="nil"/>
          <w:rtl/>
          <w:cs/>
          <w:lang w:val="ar-SA" w:eastAsia="zh-CN"/>
        </w:rPr>
        <w:tab/>
        <w:t>التوصيات</w:t>
      </w:r>
      <w:bookmarkEnd w:id="6"/>
      <w:bookmarkEnd w:id="7"/>
    </w:p>
    <w:p w:rsidR="00AE1126" w:rsidRPr="000742FD" w:rsidRDefault="00AE1126" w:rsidP="007750F6">
      <w:pPr>
        <w:pStyle w:val="NormalParaAR"/>
        <w:widowControl w:val="0"/>
        <w:suppressAutoHyphens/>
        <w:rPr>
          <w:i/>
          <w:iCs/>
        </w:rPr>
      </w:pPr>
      <w:r w:rsidRPr="000742FD">
        <w:rPr>
          <w:rFonts w:eastAsia="Arial"/>
          <w:i/>
          <w:iCs/>
          <w:bdr w:val="nil"/>
          <w:rtl/>
          <w:lang w:val="ar-SA" w:eastAsia="zh-CN"/>
        </w:rPr>
        <w:t>التوصية 1 (من الاستنتاجين 2 و3) موجهة إلى الدول الأعضاء وأمانة الويبو بشأن إعداد مقترح عن كيفية زيادة مساهمة الويبو في تيسير نقل التكنولوجيا:</w:t>
      </w:r>
    </w:p>
    <w:p w:rsidR="00AE1126" w:rsidRPr="000F0FFC" w:rsidRDefault="00AE1126" w:rsidP="007750F6">
      <w:pPr>
        <w:pStyle w:val="NumberedParaAR"/>
        <w:widowControl w:val="0"/>
        <w:suppressAutoHyphens/>
        <w:rPr>
          <w:bCs/>
        </w:rPr>
      </w:pPr>
      <w:r>
        <w:rPr>
          <w:rFonts w:eastAsia="Arial"/>
          <w:bdr w:val="nil"/>
          <w:rtl/>
          <w:lang w:val="ar-SA"/>
        </w:rPr>
        <w:t>ينبغي للدول الأعضاء بعد مناقشة نتائج المشروع في الدورة السادسة عشرة القادمة للجنة، أن تطلب من الأمانة تخطيط خدمات الويبو القائمة في مجال نقل التكنولوجيا، وتنظر في طريقة استكماله وتحسينها مع مراعاة نتائج المشروع.</w:t>
      </w:r>
    </w:p>
    <w:p w:rsidR="00AE1126" w:rsidRPr="000742FD" w:rsidRDefault="00AE1126" w:rsidP="007750F6">
      <w:pPr>
        <w:pStyle w:val="NormalParaAR"/>
        <w:widowControl w:val="0"/>
        <w:suppressAutoHyphens/>
        <w:rPr>
          <w:i/>
          <w:iCs/>
        </w:rPr>
      </w:pPr>
      <w:r w:rsidRPr="000742FD">
        <w:rPr>
          <w:rFonts w:eastAsia="Arial"/>
          <w:i/>
          <w:iCs/>
          <w:bdr w:val="nil"/>
          <w:rtl/>
          <w:lang w:val="ar-SA" w:eastAsia="zh-CN"/>
        </w:rPr>
        <w:t>التوصية 2 (من الاستنتاجين 2 و3) موجهة إلى الدول الأعضاء وأمانة الويبو عن مضمون مقترح محدد (إذا ما اعتمدت الدول الأعضاء التوصية 1 أعلاه):</w:t>
      </w:r>
    </w:p>
    <w:p w:rsidR="00AE1126" w:rsidRPr="000F0FFC" w:rsidRDefault="00AE1126" w:rsidP="007750F6">
      <w:pPr>
        <w:pStyle w:val="NumberedParaAR"/>
        <w:widowControl w:val="0"/>
        <w:suppressAutoHyphens/>
        <w:rPr>
          <w:bCs/>
        </w:rPr>
      </w:pPr>
      <w:proofErr w:type="gramStart"/>
      <w:r>
        <w:rPr>
          <w:rFonts w:eastAsia="Arial"/>
          <w:bdr w:val="nil"/>
          <w:rtl/>
          <w:lang w:val="ar-SA" w:eastAsia="zh-CN"/>
        </w:rPr>
        <w:t>استناداً</w:t>
      </w:r>
      <w:proofErr w:type="gramEnd"/>
      <w:r>
        <w:rPr>
          <w:rFonts w:eastAsia="Arial"/>
          <w:bdr w:val="nil"/>
          <w:rtl/>
          <w:lang w:val="ar-SA" w:eastAsia="zh-CN"/>
        </w:rPr>
        <w:t xml:space="preserve"> إلى نتائج هذا التقييم، توصى الأمانة بأن تبحث في إمكانية تقديم الدعم في مجالات التدخل التالية:</w:t>
      </w:r>
    </w:p>
    <w:p w:rsidR="00AE1126" w:rsidRPr="000F0FFC" w:rsidRDefault="00AE1126" w:rsidP="00391423">
      <w:pPr>
        <w:pStyle w:val="NormalParaAR"/>
        <w:widowControl w:val="0"/>
        <w:numPr>
          <w:ilvl w:val="0"/>
          <w:numId w:val="18"/>
        </w:numPr>
        <w:suppressAutoHyphens/>
        <w:ind w:left="566" w:firstLine="0"/>
      </w:pPr>
      <w:r>
        <w:rPr>
          <w:rFonts w:eastAsia="Arial"/>
          <w:bdr w:val="nil"/>
          <w:rtl/>
          <w:lang w:val="ar-SA" w:eastAsia="zh-CN"/>
        </w:rPr>
        <w:lastRenderedPageBreak/>
        <w:t>الاستمرار في تحديد أفضل الممارسات في مجال نقل التكنولوجيا وجمعها وتشاطرها من خلال إجراء دراسات إفرادية إضافية وتوثيق قصص النجاح الناتجة عن التعاون بين البلدان النامية والبلدان المتقدمة</w:t>
      </w:r>
      <w:r w:rsidR="00B27244">
        <w:rPr>
          <w:rFonts w:eastAsia="Arial"/>
          <w:bdr w:val="nil"/>
          <w:rtl/>
          <w:lang w:val="ar-SA" w:eastAsia="zh-CN"/>
        </w:rPr>
        <w:t xml:space="preserve">. </w:t>
      </w:r>
      <w:r>
        <w:rPr>
          <w:rFonts w:eastAsia="Arial"/>
          <w:bdr w:val="nil"/>
          <w:rtl/>
          <w:lang w:val="ar-SA" w:eastAsia="zh-CN"/>
        </w:rPr>
        <w:t>ولعل من المفيد</w:t>
      </w:r>
      <w:r w:rsidR="004E22FC">
        <w:rPr>
          <w:rFonts w:eastAsia="Arial"/>
          <w:bdr w:val="nil"/>
          <w:rtl/>
          <w:lang w:val="ar-SA" w:eastAsia="zh-CN"/>
        </w:rPr>
        <w:t xml:space="preserve"> </w:t>
      </w:r>
      <w:r>
        <w:rPr>
          <w:rFonts w:eastAsia="Arial"/>
          <w:bdr w:val="nil"/>
          <w:rtl/>
          <w:lang w:val="ar-SA" w:eastAsia="zh-CN"/>
        </w:rPr>
        <w:t xml:space="preserve">خاصة تحديد نماذج </w:t>
      </w:r>
      <w:proofErr w:type="gramStart"/>
      <w:r>
        <w:rPr>
          <w:rFonts w:eastAsia="Arial"/>
          <w:bdr w:val="nil"/>
          <w:rtl/>
          <w:lang w:val="ar-SA" w:eastAsia="zh-CN"/>
        </w:rPr>
        <w:t>تطور</w:t>
      </w:r>
      <w:proofErr w:type="gramEnd"/>
      <w:r>
        <w:rPr>
          <w:rFonts w:eastAsia="Arial"/>
          <w:bdr w:val="nil"/>
          <w:rtl/>
          <w:lang w:val="ar-SA" w:eastAsia="zh-CN"/>
        </w:rPr>
        <w:t xml:space="preserve"> البلدان التي أصبحت حديثاً بلداناً متقدمة.</w:t>
      </w:r>
    </w:p>
    <w:p w:rsidR="00AE1126" w:rsidRPr="000F0FFC" w:rsidRDefault="00AE1126" w:rsidP="00391423">
      <w:pPr>
        <w:pStyle w:val="NormalParaAR"/>
        <w:widowControl w:val="0"/>
        <w:numPr>
          <w:ilvl w:val="0"/>
          <w:numId w:val="18"/>
        </w:numPr>
        <w:suppressAutoHyphens/>
        <w:ind w:left="566" w:firstLine="0"/>
      </w:pPr>
      <w:proofErr w:type="gramStart"/>
      <w:r>
        <w:rPr>
          <w:rFonts w:eastAsia="Arial"/>
          <w:bdr w:val="nil"/>
          <w:rtl/>
          <w:lang w:val="ar-SA" w:eastAsia="zh-CN"/>
        </w:rPr>
        <w:t>الاستمرار</w:t>
      </w:r>
      <w:proofErr w:type="gramEnd"/>
      <w:r>
        <w:rPr>
          <w:rFonts w:eastAsia="Arial"/>
          <w:bdr w:val="nil"/>
          <w:rtl/>
          <w:lang w:val="ar-SA" w:eastAsia="zh-CN"/>
        </w:rPr>
        <w:t xml:space="preserve"> في تكوين الكفاءات العملية (بما فيها مجموعات الأدوات) المصممة خصيصاً لمستخدمين محددين مع التركيز على البلدان الأقل نمواً.</w:t>
      </w:r>
    </w:p>
    <w:p w:rsidR="00B27244" w:rsidRPr="00B27244" w:rsidRDefault="00AE1126" w:rsidP="00391423">
      <w:pPr>
        <w:pStyle w:val="NormalParaAR"/>
        <w:widowControl w:val="0"/>
        <w:numPr>
          <w:ilvl w:val="0"/>
          <w:numId w:val="18"/>
        </w:numPr>
        <w:suppressAutoHyphens/>
        <w:ind w:left="566" w:firstLine="0"/>
      </w:pPr>
      <w:r>
        <w:rPr>
          <w:rFonts w:eastAsia="Arial"/>
          <w:bdr w:val="nil"/>
          <w:rtl/>
          <w:lang w:val="ar-SA" w:eastAsia="zh-CN"/>
        </w:rPr>
        <w:t xml:space="preserve">الاستمرار في تكوين كفاءات مزودي خدمات </w:t>
      </w:r>
      <w:proofErr w:type="spellStart"/>
      <w:r>
        <w:rPr>
          <w:rFonts w:eastAsia="Arial"/>
          <w:bdr w:val="nil"/>
          <w:rtl/>
          <w:lang w:val="ar-SA" w:eastAsia="zh-CN"/>
        </w:rPr>
        <w:t>المل</w:t>
      </w:r>
      <w:proofErr w:type="spellEnd"/>
    </w:p>
    <w:p w:rsidR="00AE1126" w:rsidRPr="000F0FFC" w:rsidRDefault="00AE1126" w:rsidP="00391423">
      <w:pPr>
        <w:pStyle w:val="NormalParaAR"/>
        <w:widowControl w:val="0"/>
        <w:numPr>
          <w:ilvl w:val="0"/>
          <w:numId w:val="18"/>
        </w:numPr>
        <w:suppressAutoHyphens/>
        <w:ind w:left="566" w:firstLine="0"/>
      </w:pPr>
      <w:proofErr w:type="gramStart"/>
      <w:r>
        <w:rPr>
          <w:rFonts w:eastAsia="Arial"/>
          <w:bdr w:val="nil"/>
          <w:rtl/>
          <w:lang w:val="ar-SA" w:eastAsia="zh-CN"/>
        </w:rPr>
        <w:t>كية</w:t>
      </w:r>
      <w:proofErr w:type="gramEnd"/>
      <w:r>
        <w:rPr>
          <w:rFonts w:eastAsia="Arial"/>
          <w:bdr w:val="nil"/>
          <w:rtl/>
          <w:lang w:val="ar-SA" w:eastAsia="zh-CN"/>
        </w:rPr>
        <w:t xml:space="preserve"> الفكرية أو الابتكار في البلدان النامية، مثل مكاتب الملكية الفكرية ومراكز نقل التكنولوجيا وغيرها.</w:t>
      </w:r>
    </w:p>
    <w:p w:rsidR="00AE1126" w:rsidRDefault="00AE1126" w:rsidP="00391423">
      <w:pPr>
        <w:pStyle w:val="NormalParaAR"/>
        <w:widowControl w:val="0"/>
        <w:numPr>
          <w:ilvl w:val="0"/>
          <w:numId w:val="18"/>
        </w:numPr>
        <w:suppressAutoHyphens/>
        <w:ind w:left="566" w:firstLine="0"/>
      </w:pPr>
      <w:r>
        <w:rPr>
          <w:rFonts w:eastAsia="Arial"/>
          <w:bdr w:val="nil"/>
          <w:rtl/>
          <w:lang w:val="ar-SA" w:eastAsia="zh-CN"/>
        </w:rPr>
        <w:t>دعم وتوثيق أنشطة رائدة في مجال نقل التكنولوجيا في البلدان النامية لأغراض توضيحية.</w:t>
      </w:r>
    </w:p>
    <w:p w:rsidR="00AE1126" w:rsidRPr="000F0FFC" w:rsidRDefault="00AE1126" w:rsidP="00391423">
      <w:pPr>
        <w:pStyle w:val="NormalParaAR"/>
        <w:widowControl w:val="0"/>
        <w:numPr>
          <w:ilvl w:val="0"/>
          <w:numId w:val="18"/>
        </w:numPr>
        <w:suppressAutoHyphens/>
        <w:ind w:left="566" w:firstLine="0"/>
      </w:pPr>
      <w:proofErr w:type="gramStart"/>
      <w:r>
        <w:rPr>
          <w:rFonts w:eastAsia="Arial"/>
          <w:bdr w:val="nil"/>
          <w:rtl/>
          <w:lang w:val="ar-SA" w:eastAsia="zh-CN"/>
        </w:rPr>
        <w:t>إسداء</w:t>
      </w:r>
      <w:proofErr w:type="gramEnd"/>
      <w:r>
        <w:rPr>
          <w:rFonts w:eastAsia="Arial"/>
          <w:bdr w:val="nil"/>
          <w:rtl/>
          <w:lang w:val="ar-SA" w:eastAsia="zh-CN"/>
        </w:rPr>
        <w:t xml:space="preserve"> مشورة في مجال السياسات للدول الأعضاء، تكون مصممة خصيصاً للبلدان الأقل نمواً بغية إنشاء إطار يمكِّنها من نقل التكنولوجيا</w:t>
      </w:r>
      <w:r w:rsidR="00B27244">
        <w:rPr>
          <w:rFonts w:eastAsia="Arial"/>
          <w:bdr w:val="nil"/>
          <w:rtl/>
          <w:lang w:val="ar-SA" w:eastAsia="zh-CN"/>
        </w:rPr>
        <w:t xml:space="preserve">. </w:t>
      </w:r>
      <w:r>
        <w:rPr>
          <w:rFonts w:eastAsia="Arial"/>
          <w:bdr w:val="nil"/>
          <w:rtl/>
          <w:lang w:val="ar-SA" w:eastAsia="zh-CN"/>
        </w:rPr>
        <w:t xml:space="preserve">وقد يتضمن </w:t>
      </w:r>
      <w:proofErr w:type="gramStart"/>
      <w:r>
        <w:rPr>
          <w:rFonts w:eastAsia="Arial"/>
          <w:bdr w:val="nil"/>
          <w:rtl/>
          <w:lang w:val="ar-SA" w:eastAsia="zh-CN"/>
        </w:rPr>
        <w:t>ذلك</w:t>
      </w:r>
      <w:proofErr w:type="gramEnd"/>
      <w:r>
        <w:rPr>
          <w:rFonts w:eastAsia="Arial"/>
          <w:bdr w:val="nil"/>
          <w:rtl/>
          <w:lang w:val="ar-SA" w:eastAsia="zh-CN"/>
        </w:rPr>
        <w:t xml:space="preserve"> إسداء المشورة في مجال استخدام مواطن المرونة في إطار الاتفاقات الدولية.</w:t>
      </w:r>
    </w:p>
    <w:p w:rsidR="00AE1126" w:rsidRPr="000F0FFC" w:rsidRDefault="00AE1126" w:rsidP="00391423">
      <w:pPr>
        <w:pStyle w:val="NormalParaAR"/>
        <w:widowControl w:val="0"/>
        <w:numPr>
          <w:ilvl w:val="0"/>
          <w:numId w:val="18"/>
        </w:numPr>
        <w:suppressAutoHyphens/>
        <w:ind w:left="566" w:firstLine="0"/>
      </w:pPr>
      <w:r>
        <w:rPr>
          <w:rFonts w:eastAsia="Arial"/>
          <w:bdr w:val="nil"/>
          <w:rtl/>
          <w:lang w:val="ar-SA" w:eastAsia="zh-CN"/>
        </w:rPr>
        <w:t xml:space="preserve">تزويد قاعدة بيانات ركن البراءات بالقدرة على تحليل البيانات بغية زيادة فائدة بيانات البراءات لعموم مستخدميها في جميع البلدان، بما فيها البلدان الأقل نمواً. والبحث في توفير آلية لاستخراج </w:t>
      </w:r>
      <w:proofErr w:type="gramStart"/>
      <w:r>
        <w:rPr>
          <w:rFonts w:eastAsia="Arial"/>
          <w:bdr w:val="nil"/>
          <w:rtl/>
          <w:lang w:val="ar-SA" w:eastAsia="zh-CN"/>
        </w:rPr>
        <w:t>البيانات</w:t>
      </w:r>
      <w:proofErr w:type="gramEnd"/>
      <w:r>
        <w:rPr>
          <w:rFonts w:eastAsia="Arial"/>
          <w:bdr w:val="nil"/>
          <w:rtl/>
          <w:lang w:val="ar-SA" w:eastAsia="zh-CN"/>
        </w:rPr>
        <w:t xml:space="preserve"> والتصوير البياني للبيانات والأدلة الإحصائية بشأن الملكية الفكرية.</w:t>
      </w:r>
    </w:p>
    <w:p w:rsidR="00AE1126" w:rsidRDefault="00AE1126" w:rsidP="00391423">
      <w:pPr>
        <w:pStyle w:val="NormalParaAR"/>
        <w:widowControl w:val="0"/>
        <w:numPr>
          <w:ilvl w:val="0"/>
          <w:numId w:val="18"/>
        </w:numPr>
        <w:suppressAutoHyphens/>
        <w:ind w:left="566" w:firstLine="0"/>
      </w:pPr>
      <w:r>
        <w:rPr>
          <w:rFonts w:eastAsia="Arial"/>
          <w:bdr w:val="nil"/>
          <w:rtl/>
          <w:lang w:val="ar-SA" w:eastAsia="zh-CN"/>
        </w:rPr>
        <w:t>تعزيز الفائدة المرجوة من الموقع الإلكتروني في مجال نقل التكنولوجيا بحيث يعرض جميع أنشطة الويبو ومواردها والمؤسسات الوطنية.</w:t>
      </w:r>
    </w:p>
    <w:p w:rsidR="00AE1126" w:rsidRDefault="00AE1126" w:rsidP="00391423">
      <w:pPr>
        <w:pStyle w:val="NormalParaAR"/>
        <w:widowControl w:val="0"/>
        <w:numPr>
          <w:ilvl w:val="0"/>
          <w:numId w:val="18"/>
        </w:numPr>
        <w:suppressAutoHyphens/>
        <w:ind w:left="566" w:firstLine="0"/>
      </w:pPr>
      <w:r>
        <w:rPr>
          <w:rFonts w:eastAsia="Arial"/>
          <w:bdr w:val="nil"/>
          <w:rtl/>
          <w:lang w:val="ar-SA" w:eastAsia="zh-CN"/>
        </w:rPr>
        <w:t xml:space="preserve">إسداء المشورة إلى الدول الأعضاء بشأن أفضل الممارسات لتطوير بنى تحتية وشبكات فعالة للابتكار. </w:t>
      </w:r>
    </w:p>
    <w:p w:rsidR="00AE1126" w:rsidRPr="000742FD" w:rsidRDefault="00AE1126" w:rsidP="007750F6">
      <w:pPr>
        <w:pStyle w:val="NormalParaAR"/>
        <w:widowControl w:val="0"/>
        <w:suppressAutoHyphens/>
        <w:rPr>
          <w:i/>
          <w:iCs/>
        </w:rPr>
      </w:pPr>
      <w:r w:rsidRPr="000742FD">
        <w:rPr>
          <w:rFonts w:eastAsia="Arial"/>
          <w:i/>
          <w:iCs/>
          <w:bdr w:val="nil"/>
          <w:rtl/>
          <w:lang w:val="ar-SA" w:eastAsia="zh-CN"/>
        </w:rPr>
        <w:t>التوصية 3 (من الاستنتاج 3) موجهة إلى أمانة الويبو من أجل زيادة فعالية مشاركة الويبو في المؤتمرات والمنتديات المتعلقة بنقل التكنولوجيا:</w:t>
      </w:r>
    </w:p>
    <w:p w:rsidR="00AE1126" w:rsidRPr="00773EA7" w:rsidRDefault="00AE1126" w:rsidP="007750F6">
      <w:pPr>
        <w:pStyle w:val="NumberedParaAR"/>
        <w:widowControl w:val="0"/>
        <w:suppressAutoHyphens/>
      </w:pPr>
      <w:r>
        <w:rPr>
          <w:rFonts w:eastAsia="Arial"/>
          <w:bdr w:val="nil"/>
          <w:rtl/>
          <w:lang w:val="ar-SA" w:eastAsia="zh-CN"/>
        </w:rPr>
        <w:t>حيث ينبغي للأمانة</w:t>
      </w:r>
      <w:r w:rsidR="004E22FC">
        <w:rPr>
          <w:rFonts w:eastAsia="Arial"/>
          <w:bdr w:val="nil"/>
          <w:rtl/>
          <w:lang w:val="ar-SA" w:eastAsia="zh-CN"/>
        </w:rPr>
        <w:t xml:space="preserve"> </w:t>
      </w:r>
      <w:r>
        <w:rPr>
          <w:rFonts w:eastAsia="Arial"/>
          <w:bdr w:val="nil"/>
          <w:rtl/>
          <w:lang w:val="ar-SA" w:eastAsia="zh-CN"/>
        </w:rPr>
        <w:t>تعزيز مشاركتها الفعالة في المنتديات والمؤتمرات الدولية لنقل التكنولوجيا، بهدف تكوين رؤية واضحة والإسهام بدرايتها العملية والاستفادة من خبرات المشاركين الكثر في المؤتمرات.</w:t>
      </w:r>
    </w:p>
    <w:p w:rsidR="00AE1126" w:rsidRPr="000742FD" w:rsidRDefault="00AE1126" w:rsidP="007750F6">
      <w:pPr>
        <w:pStyle w:val="NormalParaAR"/>
        <w:widowControl w:val="0"/>
        <w:suppressAutoHyphens/>
        <w:rPr>
          <w:i/>
          <w:iCs/>
        </w:rPr>
      </w:pPr>
      <w:r w:rsidRPr="000742FD">
        <w:rPr>
          <w:rFonts w:eastAsia="Arial"/>
          <w:i/>
          <w:iCs/>
          <w:bdr w:val="nil"/>
          <w:rtl/>
          <w:lang w:val="ar-SA" w:eastAsia="zh-CN"/>
        </w:rPr>
        <w:t>التوصية 4 (من الاستنتاج 4) موجهة إلى أمانة الويبو بشأن تعزيز قدراتها في إدارة المشروعات وفي مجال مراقبة جودة مشروعات جدول أعمال التنمية:</w:t>
      </w:r>
    </w:p>
    <w:p w:rsidR="00AE1126" w:rsidRDefault="00AE1126" w:rsidP="007750F6">
      <w:pPr>
        <w:pStyle w:val="NumberedParaAR"/>
        <w:widowControl w:val="0"/>
        <w:suppressAutoHyphens/>
        <w:rPr>
          <w:bCs/>
        </w:rPr>
      </w:pPr>
      <w:r>
        <w:rPr>
          <w:rFonts w:eastAsia="Arial"/>
          <w:bdr w:val="nil"/>
          <w:rtl/>
          <w:lang w:val="ar-SA" w:eastAsia="zh-CN"/>
        </w:rPr>
        <w:t xml:space="preserve">استخدام أداة الإطار المنطقي في عمليات تخطيط مشروعات جدول أعمال التنمية ورصدها </w:t>
      </w:r>
      <w:proofErr w:type="gramStart"/>
      <w:r>
        <w:rPr>
          <w:rFonts w:eastAsia="Arial"/>
          <w:bdr w:val="nil"/>
          <w:rtl/>
          <w:lang w:val="ar-SA" w:eastAsia="zh-CN"/>
        </w:rPr>
        <w:t>وتقييمها</w:t>
      </w:r>
      <w:proofErr w:type="gramEnd"/>
      <w:r>
        <w:rPr>
          <w:rFonts w:eastAsia="Arial"/>
          <w:bdr w:val="nil"/>
          <w:rtl/>
          <w:lang w:val="ar-SA" w:eastAsia="zh-CN"/>
        </w:rPr>
        <w:t>.</w:t>
      </w:r>
    </w:p>
    <w:p w:rsidR="00AE1126" w:rsidRDefault="00AE1126" w:rsidP="007750F6">
      <w:pPr>
        <w:pStyle w:val="NumberedParaAR"/>
        <w:widowControl w:val="0"/>
        <w:suppressAutoHyphens/>
      </w:pPr>
      <w:r>
        <w:rPr>
          <w:rFonts w:eastAsia="Arial"/>
          <w:bdr w:val="nil"/>
          <w:rtl/>
          <w:lang w:val="ar-SA"/>
        </w:rPr>
        <w:t xml:space="preserve">النظر في تنظيم دورات إلزامية عن إدارة المشروعات </w:t>
      </w:r>
      <w:proofErr w:type="gramStart"/>
      <w:r>
        <w:rPr>
          <w:rFonts w:eastAsia="Arial"/>
          <w:bdr w:val="nil"/>
          <w:rtl/>
          <w:lang w:val="ar-SA"/>
        </w:rPr>
        <w:t>موجهة</w:t>
      </w:r>
      <w:proofErr w:type="gramEnd"/>
      <w:r>
        <w:rPr>
          <w:rFonts w:eastAsia="Arial"/>
          <w:bdr w:val="nil"/>
          <w:rtl/>
          <w:lang w:val="ar-SA"/>
        </w:rPr>
        <w:t xml:space="preserve"> للمشرفين على المشروعات.</w:t>
      </w:r>
    </w:p>
    <w:p w:rsidR="00AE1126" w:rsidRPr="008F76D6" w:rsidRDefault="00AE1126" w:rsidP="007750F6">
      <w:pPr>
        <w:pStyle w:val="NumberedParaAR"/>
        <w:widowControl w:val="0"/>
        <w:suppressAutoHyphens/>
        <w:rPr>
          <w:bCs/>
        </w:rPr>
      </w:pPr>
      <w:proofErr w:type="gramStart"/>
      <w:r>
        <w:rPr>
          <w:rFonts w:eastAsia="Arial"/>
          <w:bdr w:val="nil"/>
          <w:rtl/>
          <w:lang w:val="ar-SA"/>
        </w:rPr>
        <w:t>النظر</w:t>
      </w:r>
      <w:proofErr w:type="gramEnd"/>
      <w:r>
        <w:rPr>
          <w:rFonts w:eastAsia="Arial"/>
          <w:bdr w:val="nil"/>
          <w:rtl/>
          <w:lang w:val="ar-SA"/>
        </w:rPr>
        <w:t xml:space="preserve"> في تطبيق آلية تضع بموجبها شعبة تنسيق جدول أعمال التنمية "تأشيرتها" على جميع القرارات الإدارية الرئيسية المتعلقة بمشروعات جدول أعمال التنمية. </w:t>
      </w:r>
    </w:p>
    <w:p w:rsidR="00AE1126" w:rsidRPr="003D606B" w:rsidRDefault="00AE1126" w:rsidP="007750F6">
      <w:pPr>
        <w:pStyle w:val="NumberedParaAR"/>
        <w:widowControl w:val="0"/>
        <w:suppressAutoHyphens/>
        <w:rPr>
          <w:bCs/>
        </w:rPr>
      </w:pPr>
      <w:r>
        <w:rPr>
          <w:rFonts w:eastAsia="Arial"/>
          <w:bdr w:val="nil"/>
          <w:rtl/>
          <w:lang w:val="ar-SA"/>
        </w:rPr>
        <w:t>تنظيم اجتماعات دورية للمشرفين على مشروعات جدول أعمال التنمية للاطلاع على التقدم المحرز فيها.</w:t>
      </w:r>
    </w:p>
    <w:p w:rsidR="00AE1126" w:rsidRPr="003A2179" w:rsidRDefault="00AE1126" w:rsidP="007750F6">
      <w:pPr>
        <w:pStyle w:val="ONUME"/>
        <w:widowControl w:val="0"/>
        <w:numPr>
          <w:ilvl w:val="0"/>
          <w:numId w:val="0"/>
        </w:numPr>
        <w:suppressAutoHyphens/>
        <w:ind w:left="567"/>
        <w:rPr>
          <w:bCs/>
        </w:rPr>
      </w:pPr>
    </w:p>
    <w:p w:rsidR="00AE1126" w:rsidRPr="00791425" w:rsidRDefault="00AE1126" w:rsidP="007750F6">
      <w:pPr>
        <w:pStyle w:val="Heading1AR"/>
        <w:keepNext w:val="0"/>
        <w:widowControl w:val="0"/>
        <w:suppressAutoHyphens/>
      </w:pPr>
      <w:proofErr w:type="gramStart"/>
      <w:r>
        <w:rPr>
          <w:rFonts w:eastAsia="Arial"/>
          <w:bdr w:val="nil"/>
          <w:rtl/>
          <w:lang w:val="ar-SA"/>
        </w:rPr>
        <w:t>قائمة</w:t>
      </w:r>
      <w:proofErr w:type="gramEnd"/>
      <w:r>
        <w:rPr>
          <w:rFonts w:eastAsia="Arial"/>
          <w:bdr w:val="nil"/>
          <w:rtl/>
          <w:lang w:val="ar-SA"/>
        </w:rPr>
        <w:t xml:space="preserve"> الملحقات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45"/>
      </w:tblGrid>
      <w:tr w:rsidR="00AE1126" w:rsidTr="00AE1126">
        <w:tc>
          <w:tcPr>
            <w:tcW w:w="1526" w:type="dxa"/>
          </w:tcPr>
          <w:p w:rsidR="00AE1126" w:rsidRPr="000053B4" w:rsidRDefault="00AE1126" w:rsidP="007750F6">
            <w:pPr>
              <w:pStyle w:val="NormalParaAR"/>
              <w:widowControl w:val="0"/>
              <w:suppressAutoHyphens/>
              <w:rPr>
                <w:b/>
                <w:bCs/>
              </w:rPr>
            </w:pPr>
            <w:proofErr w:type="gramStart"/>
            <w:r w:rsidRPr="000053B4">
              <w:rPr>
                <w:rFonts w:eastAsia="Arial"/>
                <w:b/>
                <w:bCs/>
                <w:bdr w:val="nil"/>
                <w:rtl/>
                <w:lang w:val="ar-SA" w:eastAsia="zh-CN"/>
              </w:rPr>
              <w:t>الملحق</w:t>
            </w:r>
            <w:proofErr w:type="gramEnd"/>
            <w:r w:rsidRPr="000053B4">
              <w:rPr>
                <w:rFonts w:eastAsia="Arial"/>
                <w:b/>
                <w:bCs/>
                <w:bdr w:val="nil"/>
                <w:rtl/>
                <w:lang w:val="ar-SA" w:eastAsia="zh-CN"/>
              </w:rPr>
              <w:t xml:space="preserve"> الأول</w:t>
            </w:r>
          </w:p>
        </w:tc>
        <w:tc>
          <w:tcPr>
            <w:tcW w:w="8045" w:type="dxa"/>
          </w:tcPr>
          <w:p w:rsidR="00AE1126" w:rsidRPr="00624AA2" w:rsidRDefault="00AE1126" w:rsidP="007750F6">
            <w:pPr>
              <w:pStyle w:val="NormalParaAR"/>
              <w:widowControl w:val="0"/>
              <w:suppressAutoHyphens/>
            </w:pPr>
            <w:r>
              <w:rPr>
                <w:rFonts w:eastAsia="Arial"/>
                <w:bdr w:val="nil"/>
                <w:rtl/>
                <w:lang w:val="ar-SA" w:eastAsia="zh-CN"/>
              </w:rPr>
              <w:t>الاختصاصات</w:t>
            </w:r>
          </w:p>
        </w:tc>
      </w:tr>
      <w:tr w:rsidR="00AE1126" w:rsidTr="00AE1126">
        <w:tc>
          <w:tcPr>
            <w:tcW w:w="1526" w:type="dxa"/>
          </w:tcPr>
          <w:p w:rsidR="00AE1126" w:rsidRPr="000053B4" w:rsidRDefault="00AE1126" w:rsidP="007750F6">
            <w:pPr>
              <w:pStyle w:val="NormalParaAR"/>
              <w:widowControl w:val="0"/>
              <w:suppressAutoHyphens/>
              <w:rPr>
                <w:b/>
                <w:bCs/>
              </w:rPr>
            </w:pPr>
            <w:proofErr w:type="gramStart"/>
            <w:r w:rsidRPr="000053B4">
              <w:rPr>
                <w:rFonts w:eastAsia="Arial"/>
                <w:b/>
                <w:bCs/>
                <w:bdr w:val="nil"/>
                <w:rtl/>
                <w:lang w:val="ar-SA" w:eastAsia="zh-CN"/>
              </w:rPr>
              <w:t>الملحق</w:t>
            </w:r>
            <w:proofErr w:type="gramEnd"/>
            <w:r w:rsidRPr="000053B4">
              <w:rPr>
                <w:rFonts w:eastAsia="Arial"/>
                <w:b/>
                <w:bCs/>
                <w:bdr w:val="nil"/>
                <w:rtl/>
                <w:lang w:val="ar-SA" w:eastAsia="zh-CN"/>
              </w:rPr>
              <w:t xml:space="preserve"> الثاني</w:t>
            </w:r>
          </w:p>
        </w:tc>
        <w:tc>
          <w:tcPr>
            <w:tcW w:w="8045" w:type="dxa"/>
          </w:tcPr>
          <w:p w:rsidR="00AE1126" w:rsidRPr="00624AA2" w:rsidRDefault="00AE1126" w:rsidP="007750F6">
            <w:pPr>
              <w:pStyle w:val="NormalParaAR"/>
              <w:widowControl w:val="0"/>
              <w:suppressAutoHyphens/>
            </w:pPr>
            <w:r>
              <w:rPr>
                <w:rFonts w:eastAsia="Arial"/>
                <w:bdr w:val="nil"/>
                <w:rtl/>
                <w:lang w:val="ar-SA" w:eastAsia="zh-CN"/>
              </w:rPr>
              <w:t xml:space="preserve">قائمة الأشخاص الذين </w:t>
            </w:r>
            <w:proofErr w:type="gramStart"/>
            <w:r>
              <w:rPr>
                <w:rFonts w:eastAsia="Arial"/>
                <w:bdr w:val="nil"/>
                <w:rtl/>
                <w:lang w:val="ar-SA" w:eastAsia="zh-CN"/>
              </w:rPr>
              <w:t>أجريت</w:t>
            </w:r>
            <w:proofErr w:type="gramEnd"/>
            <w:r>
              <w:rPr>
                <w:rFonts w:eastAsia="Arial"/>
                <w:bdr w:val="nil"/>
                <w:rtl/>
                <w:lang w:val="ar-SA" w:eastAsia="zh-CN"/>
              </w:rPr>
              <w:t xml:space="preserve"> معهم مقابلات</w:t>
            </w:r>
          </w:p>
        </w:tc>
      </w:tr>
      <w:tr w:rsidR="00AE1126" w:rsidTr="00AE1126">
        <w:tc>
          <w:tcPr>
            <w:tcW w:w="1526" w:type="dxa"/>
          </w:tcPr>
          <w:p w:rsidR="00AE1126" w:rsidRPr="000053B4" w:rsidRDefault="00AE1126" w:rsidP="007750F6">
            <w:pPr>
              <w:pStyle w:val="NormalParaAR"/>
              <w:widowControl w:val="0"/>
              <w:suppressAutoHyphens/>
              <w:rPr>
                <w:b/>
                <w:bCs/>
              </w:rPr>
            </w:pPr>
            <w:proofErr w:type="gramStart"/>
            <w:r w:rsidRPr="000053B4">
              <w:rPr>
                <w:rFonts w:eastAsia="Arial"/>
                <w:b/>
                <w:bCs/>
                <w:bdr w:val="nil"/>
                <w:rtl/>
                <w:lang w:val="ar-SA" w:eastAsia="zh-CN"/>
              </w:rPr>
              <w:t>الملحق</w:t>
            </w:r>
            <w:proofErr w:type="gramEnd"/>
            <w:r w:rsidRPr="000053B4">
              <w:rPr>
                <w:rFonts w:eastAsia="Arial"/>
                <w:b/>
                <w:bCs/>
                <w:bdr w:val="nil"/>
                <w:rtl/>
                <w:lang w:val="ar-SA" w:eastAsia="zh-CN"/>
              </w:rPr>
              <w:t xml:space="preserve"> الثالث</w:t>
            </w:r>
          </w:p>
        </w:tc>
        <w:tc>
          <w:tcPr>
            <w:tcW w:w="8045" w:type="dxa"/>
          </w:tcPr>
          <w:p w:rsidR="00AE1126" w:rsidRPr="00624AA2" w:rsidRDefault="00AE1126" w:rsidP="007750F6">
            <w:pPr>
              <w:pStyle w:val="NormalParaAR"/>
              <w:widowControl w:val="0"/>
              <w:suppressAutoHyphens/>
            </w:pPr>
            <w:proofErr w:type="gramStart"/>
            <w:r>
              <w:rPr>
                <w:rFonts w:eastAsia="Arial"/>
                <w:bdr w:val="nil"/>
                <w:rtl/>
                <w:lang w:val="ar-SA" w:eastAsia="zh-CN"/>
              </w:rPr>
              <w:t>قائمة</w:t>
            </w:r>
            <w:proofErr w:type="gramEnd"/>
            <w:r>
              <w:rPr>
                <w:rFonts w:eastAsia="Arial"/>
                <w:bdr w:val="nil"/>
                <w:rtl/>
                <w:lang w:val="ar-SA" w:eastAsia="zh-CN"/>
              </w:rPr>
              <w:t xml:space="preserve"> الوثائق</w:t>
            </w:r>
            <w:r>
              <w:rPr>
                <w:rStyle w:val="FootnoteReference"/>
              </w:rPr>
              <w:footnoteReference w:id="50"/>
            </w:r>
          </w:p>
        </w:tc>
      </w:tr>
    </w:tbl>
    <w:p w:rsidR="00AE1126" w:rsidRDefault="00AE1126" w:rsidP="007750F6">
      <w:pPr>
        <w:pStyle w:val="ONUME"/>
        <w:widowControl w:val="0"/>
        <w:numPr>
          <w:ilvl w:val="0"/>
          <w:numId w:val="0"/>
        </w:numPr>
        <w:suppressAutoHyphens/>
        <w:spacing w:after="0"/>
        <w:jc w:val="both"/>
      </w:pPr>
    </w:p>
    <w:p w:rsidR="00AE1126" w:rsidRDefault="00AE1126" w:rsidP="007750F6">
      <w:pPr>
        <w:pStyle w:val="ONUME"/>
        <w:widowControl w:val="0"/>
        <w:numPr>
          <w:ilvl w:val="0"/>
          <w:numId w:val="0"/>
        </w:numPr>
        <w:suppressAutoHyphens/>
        <w:spacing w:after="0"/>
        <w:jc w:val="both"/>
      </w:pPr>
    </w:p>
    <w:p w:rsidR="00AE1126" w:rsidRDefault="00AE1126" w:rsidP="007750F6">
      <w:pPr>
        <w:pStyle w:val="ONUME"/>
        <w:widowControl w:val="0"/>
        <w:numPr>
          <w:ilvl w:val="0"/>
          <w:numId w:val="0"/>
        </w:numPr>
        <w:suppressAutoHyphens/>
        <w:spacing w:after="0"/>
        <w:jc w:val="both"/>
      </w:pPr>
    </w:p>
    <w:p w:rsidR="00AE1126" w:rsidRDefault="00AE1126" w:rsidP="007750F6">
      <w:pPr>
        <w:pStyle w:val="EndofDocumentAR"/>
        <w:widowControl w:val="0"/>
        <w:suppressAutoHyphens/>
      </w:pPr>
      <w:r>
        <w:rPr>
          <w:rFonts w:eastAsia="Arial"/>
          <w:bdr w:val="nil"/>
          <w:rtl/>
          <w:lang w:val="ar-SA"/>
        </w:rPr>
        <w:t>[</w:t>
      </w:r>
      <w:r w:rsidR="00F56CAB">
        <w:rPr>
          <w:rFonts w:eastAsia="Arial" w:hint="cs"/>
          <w:bdr w:val="nil"/>
          <w:rtl/>
          <w:lang w:val="fr-CH"/>
        </w:rPr>
        <w:t xml:space="preserve">تلي ذلك </w:t>
      </w:r>
      <w:proofErr w:type="gramStart"/>
      <w:r>
        <w:rPr>
          <w:rFonts w:eastAsia="Arial"/>
          <w:bdr w:val="nil"/>
          <w:rtl/>
          <w:lang w:val="ar-SA"/>
        </w:rPr>
        <w:t>الملحقات</w:t>
      </w:r>
      <w:proofErr w:type="gramEnd"/>
      <w:r>
        <w:rPr>
          <w:rFonts w:eastAsia="Arial"/>
          <w:bdr w:val="nil"/>
          <w:rtl/>
          <w:lang w:val="ar-SA"/>
        </w:rPr>
        <w:t>]</w:t>
      </w:r>
    </w:p>
    <w:p w:rsidR="00AE1126" w:rsidRPr="00624AA2" w:rsidRDefault="00AE1126" w:rsidP="007750F6">
      <w:pPr>
        <w:pStyle w:val="ONUME"/>
        <w:widowControl w:val="0"/>
        <w:numPr>
          <w:ilvl w:val="0"/>
          <w:numId w:val="0"/>
        </w:numPr>
        <w:suppressAutoHyphens/>
        <w:jc w:val="both"/>
      </w:pPr>
    </w:p>
    <w:p w:rsidR="00AE1126" w:rsidRDefault="00AE1126" w:rsidP="007750F6">
      <w:pPr>
        <w:widowControl w:val="0"/>
        <w:suppressAutoHyphens/>
        <w:jc w:val="both"/>
        <w:sectPr w:rsidR="00AE1126" w:rsidSect="00AE1126">
          <w:headerReference w:type="even" r:id="rId16"/>
          <w:headerReference w:type="default" r:id="rId17"/>
          <w:headerReference w:type="first" r:id="rId18"/>
          <w:pgSz w:w="11907" w:h="16840" w:code="9"/>
          <w:pgMar w:top="567" w:right="1134" w:bottom="1418" w:left="1418" w:header="510" w:footer="1021" w:gutter="0"/>
          <w:pgNumType w:start="1"/>
          <w:cols w:space="720"/>
          <w:titlePg/>
        </w:sectPr>
      </w:pPr>
    </w:p>
    <w:p w:rsidR="00AE1126" w:rsidRPr="00175FC5" w:rsidRDefault="00AE1126" w:rsidP="007750F6">
      <w:pPr>
        <w:pStyle w:val="Heading1AR"/>
        <w:keepNext w:val="0"/>
        <w:widowControl w:val="0"/>
        <w:suppressAutoHyphens/>
        <w:contextualSpacing/>
        <w:rPr>
          <w:b/>
          <w:bCs w:val="0"/>
        </w:rPr>
      </w:pPr>
      <w:proofErr w:type="gramStart"/>
      <w:r w:rsidRPr="00175FC5">
        <w:rPr>
          <w:rFonts w:eastAsia="Arial"/>
          <w:b/>
          <w:bCs w:val="0"/>
          <w:bdr w:val="nil"/>
          <w:rtl/>
          <w:lang w:val="ar-SA"/>
        </w:rPr>
        <w:lastRenderedPageBreak/>
        <w:t>الملحق</w:t>
      </w:r>
      <w:proofErr w:type="gramEnd"/>
      <w:r w:rsidRPr="00175FC5">
        <w:rPr>
          <w:rFonts w:eastAsia="Arial"/>
          <w:b/>
          <w:bCs w:val="0"/>
          <w:bdr w:val="nil"/>
          <w:rtl/>
          <w:lang w:val="ar-SA"/>
        </w:rPr>
        <w:t xml:space="preserve"> الأول: الاختصاصات</w:t>
      </w:r>
    </w:p>
    <w:p w:rsidR="008369B6" w:rsidRPr="008369B6" w:rsidRDefault="00AE1126" w:rsidP="007750F6">
      <w:pPr>
        <w:pStyle w:val="Heading1AR"/>
        <w:keepNext w:val="0"/>
        <w:widowControl w:val="0"/>
        <w:suppressAutoHyphens/>
        <w:contextualSpacing/>
        <w:jc w:val="center"/>
        <w:rPr>
          <w:rFonts w:eastAsia="Arial"/>
          <w:bdr w:val="nil"/>
        </w:rPr>
      </w:pPr>
      <w:bookmarkStart w:id="8" w:name="_Toc172357882"/>
      <w:r>
        <w:rPr>
          <w:rFonts w:eastAsia="Arial"/>
          <w:bdr w:val="nil"/>
          <w:rtl/>
          <w:lang w:val="ar-SA"/>
        </w:rPr>
        <w:t>المرفق</w:t>
      </w:r>
    </w:p>
    <w:bookmarkEnd w:id="8"/>
    <w:p w:rsidR="00AE1126" w:rsidRDefault="00AE1126" w:rsidP="007750F6">
      <w:pPr>
        <w:pStyle w:val="Heading1AR"/>
        <w:keepNext w:val="0"/>
        <w:widowControl w:val="0"/>
        <w:suppressAutoHyphens/>
        <w:contextualSpacing/>
        <w:jc w:val="center"/>
        <w:rPr>
          <w:rFonts w:eastAsia="Arial"/>
          <w:bdr w:val="nil"/>
        </w:rPr>
      </w:pPr>
      <w:r>
        <w:rPr>
          <w:rFonts w:eastAsia="Arial"/>
          <w:bdr w:val="nil"/>
          <w:rtl/>
          <w:lang w:val="ar-SA"/>
        </w:rPr>
        <w:t>الاختصاصات</w:t>
      </w:r>
    </w:p>
    <w:p w:rsidR="008369B6" w:rsidRDefault="008369B6" w:rsidP="007750F6">
      <w:pPr>
        <w:pStyle w:val="NormalParaAR"/>
        <w:widowControl w:val="0"/>
        <w:suppressAutoHyphens/>
        <w:contextualSpacing/>
        <w:rPr>
          <w:rFonts w:eastAsiaTheme="minorEastAsia"/>
        </w:rPr>
      </w:pPr>
    </w:p>
    <w:p w:rsidR="00AE1126" w:rsidRPr="00000D17" w:rsidRDefault="00AE1126" w:rsidP="007750F6">
      <w:pPr>
        <w:pStyle w:val="NormalParaAR"/>
        <w:widowControl w:val="0"/>
        <w:suppressAutoHyphens/>
        <w:contextualSpacing/>
        <w:rPr>
          <w:b/>
          <w:bCs/>
        </w:rPr>
      </w:pPr>
      <w:r w:rsidRPr="000053B4">
        <w:rPr>
          <w:rFonts w:eastAsia="Arial"/>
          <w:b/>
          <w:bCs/>
          <w:rtl/>
        </w:rPr>
        <w:t>عنوان التكليف:</w:t>
      </w:r>
      <w:r w:rsidRPr="000053B4">
        <w:rPr>
          <w:rFonts w:eastAsia="Arial"/>
          <w:rtl/>
        </w:rPr>
        <w:tab/>
      </w:r>
      <w:r w:rsidR="000053B4" w:rsidRPr="00000D17">
        <w:rPr>
          <w:rFonts w:eastAsia="Arial"/>
          <w:b/>
          <w:bCs/>
        </w:rPr>
        <w:tab/>
      </w:r>
      <w:r w:rsidRPr="00000D17">
        <w:rPr>
          <w:rFonts w:eastAsia="Arial"/>
          <w:b/>
          <w:bCs/>
          <w:rtl/>
        </w:rPr>
        <w:t>تقييم مشروع</w:t>
      </w:r>
      <w:r w:rsidR="00241FA8" w:rsidRPr="00000D17">
        <w:rPr>
          <w:rFonts w:eastAsia="Arial"/>
          <w:b/>
          <w:bCs/>
          <w:rtl/>
        </w:rPr>
        <w:t xml:space="preserve">: </w:t>
      </w:r>
      <w:r w:rsidRPr="00000D17">
        <w:rPr>
          <w:rFonts w:eastAsia="Arial"/>
          <w:b/>
          <w:bCs/>
          <w:rtl/>
        </w:rPr>
        <w:t>مشروع الملكية الفكرية ونقل التكنولوجيا</w:t>
      </w:r>
      <w:r w:rsidR="00241FA8" w:rsidRPr="00000D17">
        <w:rPr>
          <w:rFonts w:eastAsia="Arial"/>
          <w:b/>
          <w:bCs/>
          <w:rtl/>
        </w:rPr>
        <w:t xml:space="preserve">: </w:t>
      </w:r>
      <w:r w:rsidRPr="00000D17">
        <w:rPr>
          <w:rFonts w:eastAsia="Arial"/>
          <w:b/>
          <w:bCs/>
          <w:rtl/>
        </w:rPr>
        <w:t>التحديات المشتركة وبناء الحلول</w:t>
      </w:r>
    </w:p>
    <w:p w:rsidR="008369B6" w:rsidRDefault="008369B6" w:rsidP="007750F6">
      <w:pPr>
        <w:pStyle w:val="NormalParaAR"/>
        <w:widowControl w:val="0"/>
        <w:suppressAutoHyphens/>
        <w:contextualSpacing/>
        <w:rPr>
          <w:rFonts w:eastAsiaTheme="minorEastAsia"/>
          <w:b/>
          <w:bCs/>
          <w:szCs w:val="24"/>
        </w:rPr>
      </w:pPr>
    </w:p>
    <w:p w:rsidR="00AE1126" w:rsidRDefault="00AE1126" w:rsidP="007750F6">
      <w:pPr>
        <w:pStyle w:val="NormalParaAR"/>
        <w:widowControl w:val="0"/>
        <w:suppressAutoHyphens/>
        <w:contextualSpacing/>
        <w:rPr>
          <w:rFonts w:eastAsiaTheme="minorEastAsia"/>
          <w:b/>
          <w:bCs/>
          <w:szCs w:val="24"/>
        </w:rPr>
      </w:pPr>
      <w:r w:rsidRPr="00000D17">
        <w:rPr>
          <w:rFonts w:eastAsia="Arial"/>
          <w:b/>
          <w:bCs/>
          <w:bdr w:val="nil"/>
          <w:rtl/>
          <w:lang w:val="ar-SA"/>
        </w:rPr>
        <w:t xml:space="preserve">اسم </w:t>
      </w:r>
      <w:proofErr w:type="gramStart"/>
      <w:r w:rsidRPr="00000D17">
        <w:rPr>
          <w:rFonts w:eastAsia="Arial"/>
          <w:b/>
          <w:bCs/>
          <w:bdr w:val="nil"/>
          <w:rtl/>
          <w:lang w:val="ar-SA"/>
        </w:rPr>
        <w:t>الوحدة</w:t>
      </w:r>
      <w:proofErr w:type="gramEnd"/>
      <w:r w:rsidRPr="00000D17">
        <w:rPr>
          <w:rFonts w:eastAsia="Arial"/>
          <w:b/>
          <w:bCs/>
          <w:bdr w:val="nil"/>
          <w:rtl/>
          <w:lang w:val="ar-SA"/>
        </w:rPr>
        <w:t xml:space="preserve">/القطاع: </w:t>
      </w:r>
      <w:r w:rsidRPr="00000D17">
        <w:rPr>
          <w:rFonts w:eastAsia="Arial"/>
          <w:b/>
          <w:bCs/>
          <w:bdr w:val="nil"/>
          <w:rtl/>
          <w:lang w:val="ar-SA"/>
        </w:rPr>
        <w:tab/>
      </w:r>
      <w:r w:rsidR="000053B4" w:rsidRPr="00000D17">
        <w:rPr>
          <w:rFonts w:eastAsia="Arial"/>
          <w:b/>
          <w:bCs/>
          <w:bdr w:val="nil"/>
        </w:rPr>
        <w:tab/>
      </w:r>
      <w:r w:rsidR="000053B4" w:rsidRPr="00000D17">
        <w:rPr>
          <w:rFonts w:eastAsia="Arial"/>
          <w:b/>
          <w:bCs/>
          <w:bdr w:val="nil"/>
        </w:rPr>
        <w:tab/>
      </w:r>
      <w:r w:rsidR="000053B4" w:rsidRPr="00000D17">
        <w:rPr>
          <w:rFonts w:eastAsia="Arial"/>
          <w:b/>
          <w:bCs/>
          <w:bdr w:val="nil"/>
        </w:rPr>
        <w:tab/>
      </w:r>
      <w:r w:rsidRPr="00000D17">
        <w:rPr>
          <w:rFonts w:eastAsia="Arial"/>
          <w:b/>
          <w:bCs/>
          <w:bdr w:val="nil"/>
          <w:rtl/>
          <w:lang w:val="ar-SA"/>
        </w:rPr>
        <w:t>شعبة تنسيق جدول أعمال التنمية، قطاع التنمية</w:t>
      </w:r>
    </w:p>
    <w:p w:rsidR="008369B6" w:rsidRPr="00000D17" w:rsidRDefault="008369B6" w:rsidP="007750F6">
      <w:pPr>
        <w:pStyle w:val="NormalParaAR"/>
        <w:widowControl w:val="0"/>
        <w:suppressAutoHyphens/>
        <w:contextualSpacing/>
        <w:rPr>
          <w:rFonts w:eastAsiaTheme="minorEastAsia"/>
          <w:b/>
          <w:bCs/>
          <w:szCs w:val="24"/>
        </w:rPr>
      </w:pPr>
    </w:p>
    <w:p w:rsidR="00AE1126" w:rsidRPr="00000D17" w:rsidRDefault="00AE1126" w:rsidP="007750F6">
      <w:pPr>
        <w:pStyle w:val="NormalParaAR"/>
        <w:widowControl w:val="0"/>
        <w:suppressAutoHyphens/>
        <w:contextualSpacing/>
        <w:rPr>
          <w:rFonts w:eastAsiaTheme="minorEastAsia"/>
          <w:b/>
          <w:bCs/>
          <w:szCs w:val="24"/>
        </w:rPr>
      </w:pPr>
      <w:r w:rsidRPr="00000D17">
        <w:rPr>
          <w:rFonts w:eastAsia="Arial"/>
          <w:b/>
          <w:bCs/>
          <w:bdr w:val="nil"/>
          <w:rtl/>
          <w:lang w:val="ar-SA"/>
        </w:rPr>
        <w:t>مكان التكليف:</w:t>
      </w:r>
      <w:r w:rsidRPr="00000D17">
        <w:rPr>
          <w:rFonts w:eastAsia="Arial"/>
          <w:b/>
          <w:bCs/>
          <w:bdr w:val="nil"/>
          <w:rtl/>
          <w:lang w:val="ar-SA"/>
        </w:rPr>
        <w:tab/>
      </w:r>
      <w:r w:rsidR="00175FC5" w:rsidRPr="00000D17">
        <w:rPr>
          <w:rFonts w:eastAsia="Arial"/>
          <w:b/>
          <w:bCs/>
          <w:bdr w:val="nil"/>
        </w:rPr>
        <w:tab/>
      </w:r>
      <w:r w:rsidR="00175FC5" w:rsidRPr="00000D17">
        <w:rPr>
          <w:rFonts w:eastAsia="Arial"/>
          <w:b/>
          <w:bCs/>
          <w:bdr w:val="nil"/>
        </w:rPr>
        <w:tab/>
      </w:r>
      <w:r w:rsidR="00175FC5" w:rsidRPr="00000D17">
        <w:rPr>
          <w:rFonts w:eastAsia="Arial"/>
          <w:b/>
          <w:bCs/>
          <w:bdr w:val="nil"/>
        </w:rPr>
        <w:tab/>
      </w:r>
      <w:r w:rsidRPr="00000D17">
        <w:rPr>
          <w:rFonts w:eastAsia="Arial"/>
          <w:b/>
          <w:bCs/>
          <w:bdr w:val="nil"/>
          <w:rtl/>
          <w:lang w:val="ar-SA"/>
        </w:rPr>
        <w:t>محل إقامة/</w:t>
      </w:r>
      <w:proofErr w:type="gramStart"/>
      <w:r w:rsidRPr="00000D17">
        <w:rPr>
          <w:rFonts w:eastAsia="Arial"/>
          <w:b/>
          <w:bCs/>
          <w:bdr w:val="nil"/>
          <w:rtl/>
          <w:lang w:val="ar-SA"/>
        </w:rPr>
        <w:t>عمل</w:t>
      </w:r>
      <w:proofErr w:type="gramEnd"/>
      <w:r w:rsidRPr="00000D17">
        <w:rPr>
          <w:rFonts w:eastAsia="Arial"/>
          <w:b/>
          <w:bCs/>
          <w:bdr w:val="nil"/>
          <w:rtl/>
          <w:lang w:val="ar-SA"/>
        </w:rPr>
        <w:t xml:space="preserve"> المقيِّمَين</w:t>
      </w:r>
    </w:p>
    <w:p w:rsidR="008369B6" w:rsidRDefault="008369B6" w:rsidP="007750F6">
      <w:pPr>
        <w:pStyle w:val="NormalParaAR"/>
        <w:widowControl w:val="0"/>
        <w:suppressAutoHyphens/>
        <w:ind w:left="3402" w:hanging="3402"/>
        <w:contextualSpacing/>
        <w:rPr>
          <w:rFonts w:eastAsiaTheme="minorEastAsia"/>
          <w:b/>
          <w:bCs/>
          <w:szCs w:val="24"/>
        </w:rPr>
      </w:pPr>
    </w:p>
    <w:p w:rsidR="008369B6" w:rsidRDefault="00AE1126" w:rsidP="007750F6">
      <w:pPr>
        <w:pStyle w:val="NormalParaAR"/>
        <w:widowControl w:val="0"/>
        <w:suppressAutoHyphens/>
        <w:ind w:left="3402" w:hanging="3402"/>
        <w:contextualSpacing/>
        <w:rPr>
          <w:rFonts w:eastAsiaTheme="minorEastAsia"/>
          <w:b/>
          <w:bCs/>
          <w:szCs w:val="24"/>
        </w:rPr>
      </w:pPr>
      <w:r w:rsidRPr="00000D17">
        <w:rPr>
          <w:rFonts w:eastAsia="Arial"/>
          <w:b/>
          <w:bCs/>
          <w:bdr w:val="nil"/>
          <w:rtl/>
          <w:lang w:val="ar-SA"/>
        </w:rPr>
        <w:t>وجهات السفر المتوقعة (إن وجدت):</w:t>
      </w:r>
      <w:r w:rsidR="000053B4" w:rsidRPr="00000D17">
        <w:rPr>
          <w:rFonts w:eastAsia="Arial"/>
          <w:b/>
          <w:bCs/>
          <w:bdr w:val="nil"/>
        </w:rPr>
        <w:tab/>
      </w:r>
      <w:r w:rsidR="000053B4" w:rsidRPr="00000D17">
        <w:rPr>
          <w:rFonts w:eastAsia="Arial"/>
          <w:b/>
          <w:bCs/>
          <w:bdr w:val="nil"/>
        </w:rPr>
        <w:tab/>
      </w:r>
      <w:r w:rsidR="00E64B74" w:rsidRPr="00000D17">
        <w:rPr>
          <w:rFonts w:eastAsia="Arial" w:hint="cs"/>
          <w:b/>
          <w:bCs/>
          <w:bdr w:val="nil"/>
          <w:rtl/>
          <w:lang w:val="ar-SA"/>
        </w:rPr>
        <w:t>ستقوما</w:t>
      </w:r>
      <w:r w:rsidR="00E64B74" w:rsidRPr="00000D17">
        <w:rPr>
          <w:rFonts w:eastAsia="Arial" w:hint="eastAsia"/>
          <w:b/>
          <w:bCs/>
          <w:bdr w:val="nil"/>
          <w:rtl/>
          <w:lang w:val="ar-SA"/>
        </w:rPr>
        <w:t>ن</w:t>
      </w:r>
      <w:r w:rsidRPr="00000D17">
        <w:rPr>
          <w:rFonts w:eastAsia="Arial"/>
          <w:b/>
          <w:bCs/>
          <w:bdr w:val="nil"/>
          <w:rtl/>
          <w:lang w:val="ar-SA"/>
        </w:rPr>
        <w:t xml:space="preserve"> خلال تنفيذ تكليفكما ببعثتين إلى المقر الرئيسي للويبو في مدينة جنيف بسويسرا (تحدد التواريخ لاحقاً)</w:t>
      </w:r>
    </w:p>
    <w:p w:rsidR="008369B6" w:rsidRDefault="008369B6" w:rsidP="007750F6">
      <w:pPr>
        <w:pStyle w:val="NormalParaAR"/>
        <w:widowControl w:val="0"/>
        <w:suppressAutoHyphens/>
        <w:ind w:left="3402" w:hanging="3402"/>
        <w:contextualSpacing/>
        <w:rPr>
          <w:rFonts w:eastAsiaTheme="minorEastAsia"/>
          <w:b/>
          <w:bCs/>
          <w:szCs w:val="24"/>
        </w:rPr>
      </w:pPr>
    </w:p>
    <w:p w:rsidR="00AE1126" w:rsidRPr="00000D17" w:rsidRDefault="00AE1126" w:rsidP="007750F6">
      <w:pPr>
        <w:pStyle w:val="NormalParaAR"/>
        <w:widowControl w:val="0"/>
        <w:suppressAutoHyphens/>
        <w:contextualSpacing/>
        <w:rPr>
          <w:rFonts w:eastAsiaTheme="minorEastAsia"/>
          <w:b/>
          <w:bCs/>
          <w:szCs w:val="24"/>
        </w:rPr>
      </w:pPr>
      <w:r w:rsidRPr="00000D17">
        <w:rPr>
          <w:rFonts w:eastAsia="Arial"/>
          <w:b/>
          <w:bCs/>
          <w:bdr w:val="nil"/>
          <w:rtl/>
          <w:lang w:val="ar-SA"/>
        </w:rPr>
        <w:t>المدة المتوقعة للتكليف:</w:t>
      </w:r>
      <w:r w:rsidRPr="00000D17">
        <w:rPr>
          <w:rFonts w:eastAsia="Arial"/>
          <w:b/>
          <w:bCs/>
          <w:bdr w:val="nil"/>
          <w:rtl/>
          <w:lang w:val="ar-SA"/>
        </w:rPr>
        <w:tab/>
      </w:r>
      <w:r w:rsidR="000053B4" w:rsidRPr="00000D17">
        <w:rPr>
          <w:rFonts w:eastAsia="Arial"/>
          <w:b/>
          <w:bCs/>
          <w:bdr w:val="nil"/>
        </w:rPr>
        <w:tab/>
      </w:r>
      <w:r w:rsidR="000053B4" w:rsidRPr="00000D17">
        <w:rPr>
          <w:rFonts w:eastAsia="Arial"/>
          <w:b/>
          <w:bCs/>
          <w:bdr w:val="nil"/>
        </w:rPr>
        <w:tab/>
      </w:r>
      <w:r w:rsidR="000053B4" w:rsidRPr="00000D17">
        <w:rPr>
          <w:rFonts w:eastAsia="Arial"/>
          <w:b/>
          <w:bCs/>
          <w:bdr w:val="nil"/>
        </w:rPr>
        <w:tab/>
      </w:r>
      <w:r w:rsidRPr="00000D17">
        <w:rPr>
          <w:rFonts w:eastAsia="Arial"/>
          <w:b/>
          <w:bCs/>
          <w:bdr w:val="nil"/>
          <w:rtl/>
          <w:lang w:val="ar-SA"/>
        </w:rPr>
        <w:t>من 1 يونيه 2015 إلى 13 نوفمبر 2015</w:t>
      </w:r>
    </w:p>
    <w:p w:rsidR="00AE1126" w:rsidRPr="00013308" w:rsidRDefault="00AE1126" w:rsidP="007750F6">
      <w:pPr>
        <w:pStyle w:val="Heading2AR"/>
        <w:keepNext w:val="0"/>
        <w:widowControl w:val="0"/>
        <w:suppressAutoHyphens/>
        <w:contextualSpacing/>
        <w:rPr>
          <w:rFonts w:eastAsiaTheme="minorEastAsia"/>
          <w:b/>
          <w:bCs/>
        </w:rPr>
      </w:pPr>
      <w:r w:rsidRPr="00013308">
        <w:rPr>
          <w:rFonts w:eastAsia="Arial"/>
          <w:b/>
          <w:bCs/>
          <w:bdr w:val="nil"/>
          <w:rtl/>
          <w:lang w:val="ar-SA"/>
        </w:rPr>
        <w:t>الهدف من التكليف:</w:t>
      </w:r>
    </w:p>
    <w:p w:rsidR="00AE1126" w:rsidRPr="001755E3" w:rsidRDefault="00AE1126" w:rsidP="007750F6">
      <w:pPr>
        <w:pStyle w:val="NormalParaAR"/>
        <w:widowControl w:val="0"/>
        <w:suppressAutoHyphens/>
        <w:rPr>
          <w:rFonts w:eastAsiaTheme="minorEastAsia"/>
        </w:rPr>
      </w:pPr>
      <w:r>
        <w:rPr>
          <w:rFonts w:eastAsia="Arial"/>
          <w:bdr w:val="nil"/>
          <w:rtl/>
          <w:lang w:val="ar-SA"/>
        </w:rPr>
        <w:t>تمثل هذه الوثيقة اختصاصات تقييم مشروع جدول أعمال التنمية</w:t>
      </w:r>
      <w:r>
        <w:rPr>
          <w:rFonts w:eastAsia="Arial"/>
          <w:i/>
          <w:iCs/>
          <w:bdr w:val="nil"/>
          <w:rtl/>
          <w:lang w:val="ar-SA"/>
        </w:rPr>
        <w:t xml:space="preserve"> مشروع الملكية الفكرية ونقل التكنولوجيا</w:t>
      </w:r>
      <w:r w:rsidR="00241FA8">
        <w:rPr>
          <w:rFonts w:eastAsia="Arial"/>
          <w:i/>
          <w:iCs/>
          <w:bdr w:val="nil"/>
          <w:rtl/>
          <w:lang w:val="ar-SA"/>
        </w:rPr>
        <w:t xml:space="preserve">: </w:t>
      </w:r>
      <w:r>
        <w:rPr>
          <w:rFonts w:eastAsia="Arial"/>
          <w:i/>
          <w:iCs/>
          <w:bdr w:val="nil"/>
          <w:rtl/>
          <w:lang w:val="ar-SA"/>
        </w:rPr>
        <w:t>التحديات المشتركة وبناء الحلول (التوصيات 19 و25 و26 و28)</w:t>
      </w:r>
      <w:r>
        <w:rPr>
          <w:rFonts w:eastAsia="Arial"/>
          <w:bdr w:val="nil"/>
          <w:rtl/>
          <w:lang w:val="ar-SA"/>
        </w:rPr>
        <w:t xml:space="preserve"> الذي اعتُمد في الدورة السادسة للجنة المعنية بالتنمية والملكية الفكرية (اللجنة)، والتي عقدت في جنيف في نوفمبر 2010</w:t>
      </w:r>
      <w:r w:rsidR="00B27244">
        <w:rPr>
          <w:rFonts w:eastAsia="Arial"/>
          <w:bdr w:val="nil"/>
          <w:rtl/>
          <w:lang w:val="ar-SA"/>
        </w:rPr>
        <w:t xml:space="preserve">. </w:t>
      </w:r>
      <w:r>
        <w:rPr>
          <w:rFonts w:eastAsia="Arial"/>
          <w:bdr w:val="nil"/>
          <w:rtl/>
          <w:lang w:val="ar-SA"/>
        </w:rPr>
        <w:t xml:space="preserve">وتضم الوثيقة CDIP/6/4 </w:t>
      </w:r>
      <w:proofErr w:type="spellStart"/>
      <w:r>
        <w:rPr>
          <w:rFonts w:eastAsia="Arial"/>
          <w:bdr w:val="nil"/>
          <w:rtl/>
          <w:lang w:val="ar-SA"/>
        </w:rPr>
        <w:t>Rev</w:t>
      </w:r>
      <w:proofErr w:type="spellEnd"/>
      <w:r>
        <w:rPr>
          <w:rFonts w:eastAsia="Arial"/>
          <w:bdr w:val="nil"/>
          <w:rtl/>
          <w:lang w:val="ar-SA"/>
        </w:rPr>
        <w:t xml:space="preserve">. </w:t>
      </w:r>
      <w:proofErr w:type="gramStart"/>
      <w:r>
        <w:rPr>
          <w:rFonts w:eastAsia="Arial"/>
          <w:bdr w:val="nil"/>
          <w:rtl/>
          <w:lang w:val="ar-SA"/>
        </w:rPr>
        <w:t>وثيقة</w:t>
      </w:r>
      <w:proofErr w:type="gramEnd"/>
      <w:r>
        <w:rPr>
          <w:rFonts w:eastAsia="Arial"/>
          <w:bdr w:val="nil"/>
          <w:rtl/>
          <w:lang w:val="ar-SA"/>
        </w:rPr>
        <w:t xml:space="preserve"> المشروع لهذا المشروع. وقد ناقشت اللجنة وثيقة مشروع معدلة أُعيد فيها تخصيص الميزانية وتحديث الجدول الزمني لورقة مشروع </w:t>
      </w:r>
      <w:r>
        <w:rPr>
          <w:rFonts w:eastAsia="Arial"/>
          <w:i/>
          <w:iCs/>
          <w:bdr w:val="nil"/>
          <w:rtl/>
          <w:lang w:val="ar-SA"/>
        </w:rPr>
        <w:t>الملكية الفكرية ونقل التكنولوجيا</w:t>
      </w:r>
      <w:r w:rsidR="00241FA8">
        <w:rPr>
          <w:rFonts w:eastAsia="Arial"/>
          <w:i/>
          <w:iCs/>
          <w:bdr w:val="nil"/>
          <w:rtl/>
          <w:lang w:val="ar-SA"/>
        </w:rPr>
        <w:t xml:space="preserve">: </w:t>
      </w:r>
      <w:r>
        <w:rPr>
          <w:rFonts w:eastAsia="Arial"/>
          <w:i/>
          <w:iCs/>
          <w:bdr w:val="nil"/>
          <w:rtl/>
          <w:lang w:val="ar-SA"/>
        </w:rPr>
        <w:t>التحديات المشتركة وبناء الحلول</w:t>
      </w:r>
      <w:r>
        <w:rPr>
          <w:rFonts w:eastAsia="Arial"/>
          <w:bdr w:val="nil"/>
          <w:rtl/>
          <w:lang w:val="ar-SA"/>
        </w:rPr>
        <w:t xml:space="preserve"> (الوثيقة CDIP/9/INF/4)، واتفقت على تنفيذ نواتج المشروع وفقا للصيغة الجديدة المقترحة للميزانية والجدول الزمني</w:t>
      </w:r>
      <w:r w:rsidR="00B27244">
        <w:rPr>
          <w:rFonts w:eastAsia="Arial"/>
          <w:bdr w:val="nil"/>
          <w:rtl/>
          <w:lang w:val="ar-SA"/>
        </w:rPr>
        <w:t xml:space="preserve">. </w:t>
      </w:r>
      <w:r>
        <w:rPr>
          <w:rFonts w:eastAsia="Arial"/>
          <w:bdr w:val="nil"/>
          <w:rtl/>
          <w:lang w:val="ar-SA"/>
        </w:rPr>
        <w:t>ووافقت اللجنة في دورتها الثانية عشرة على الجدول الزمني المعدل لمشروع الملكية الفكرية ونقل التكنولوجيا</w:t>
      </w:r>
      <w:r w:rsidR="00241FA8">
        <w:rPr>
          <w:rFonts w:eastAsia="Arial"/>
          <w:bdr w:val="nil"/>
          <w:rtl/>
          <w:lang w:val="ar-SA"/>
        </w:rPr>
        <w:t xml:space="preserve">: </w:t>
      </w:r>
      <w:r>
        <w:rPr>
          <w:rFonts w:eastAsia="Arial"/>
          <w:bdr w:val="nil"/>
          <w:rtl/>
          <w:lang w:val="ar-SA"/>
        </w:rPr>
        <w:t>التحديات المشتركة وبناء الحلول (CDIP/12/2، انظ</w:t>
      </w:r>
      <w:r w:rsidR="000053B4">
        <w:rPr>
          <w:rFonts w:eastAsia="Arial" w:hint="cs"/>
          <w:bdr w:val="nil"/>
          <w:rtl/>
        </w:rPr>
        <w:t>ر</w:t>
      </w:r>
      <w:r>
        <w:rPr>
          <w:rFonts w:eastAsia="Arial"/>
          <w:bdr w:val="nil"/>
          <w:rtl/>
          <w:lang w:val="ar-SA"/>
        </w:rPr>
        <w:t xml:space="preserve"> الصفحات 50-60)</w:t>
      </w:r>
      <w:r w:rsidR="00B27244">
        <w:rPr>
          <w:rFonts w:eastAsia="Arial"/>
          <w:bdr w:val="nil"/>
          <w:rtl/>
          <w:lang w:val="ar-SA"/>
        </w:rPr>
        <w:t xml:space="preserve">. </w:t>
      </w:r>
      <w:proofErr w:type="gramStart"/>
      <w:r>
        <w:rPr>
          <w:rFonts w:eastAsia="Arial"/>
          <w:bdr w:val="nil"/>
          <w:rtl/>
          <w:lang w:val="ar-SA"/>
        </w:rPr>
        <w:t>وبدأ</w:t>
      </w:r>
      <w:proofErr w:type="gramEnd"/>
      <w:r>
        <w:rPr>
          <w:rFonts w:eastAsia="Arial"/>
          <w:bdr w:val="nil"/>
          <w:rtl/>
          <w:lang w:val="ar-SA"/>
        </w:rPr>
        <w:t xml:space="preserve"> تنفيذ المشروع في يناير 2011 واستُكمل في يوليه 2014 (مع عقد منتدى الخبراء في الفترة 16-18 فبراير 2015 نظراً لأسباب تتعلق بالتخطيط)</w:t>
      </w:r>
      <w:r w:rsidR="00B27244">
        <w:rPr>
          <w:rFonts w:eastAsia="Arial"/>
          <w:bdr w:val="nil"/>
          <w:rtl/>
          <w:lang w:val="ar-SA"/>
        </w:rPr>
        <w:t xml:space="preserve">. </w:t>
      </w:r>
      <w:r>
        <w:rPr>
          <w:rFonts w:eastAsia="Arial"/>
          <w:bdr w:val="nil"/>
          <w:rtl/>
          <w:lang w:val="ar-SA"/>
        </w:rPr>
        <w:t>واتُبع في المشروع النهج التدريجي المتعلق بالمنظمات المعتمدة والشركاء الجدد المشاركين في جميع جوانب نقل التكنولوجيا، واستُكشفت فيه السياسات المرتبطة بالملكية الفكرية والمبادرات الجديدة الضرورية لتشجيع نقل التكنولوجيا ونشرها، لفائدة البلدان النامية على وجه الخصوص، إلى جانب إرساء تعاون دولي بشأن الملكية الفكرية</w:t>
      </w:r>
      <w:r w:rsidR="00B27244">
        <w:rPr>
          <w:rFonts w:eastAsia="Arial"/>
          <w:bdr w:val="nil"/>
          <w:rtl/>
          <w:lang w:val="ar-SA"/>
        </w:rPr>
        <w:t xml:space="preserve">. </w:t>
      </w:r>
    </w:p>
    <w:p w:rsidR="00AE1126" w:rsidRPr="001755E3" w:rsidRDefault="00AE1126" w:rsidP="007750F6">
      <w:pPr>
        <w:widowControl w:val="0"/>
        <w:suppressAutoHyphens/>
        <w:overflowPunct w:val="0"/>
        <w:adjustRightInd w:val="0"/>
        <w:rPr>
          <w:rFonts w:eastAsiaTheme="minorEastAsia"/>
          <w:kern w:val="28"/>
          <w:szCs w:val="22"/>
        </w:rPr>
      </w:pPr>
    </w:p>
    <w:p w:rsidR="00AE1126" w:rsidRPr="001755E3" w:rsidRDefault="00AE1126" w:rsidP="007750F6">
      <w:pPr>
        <w:pStyle w:val="NormalParaAR"/>
        <w:widowControl w:val="0"/>
        <w:suppressAutoHyphens/>
        <w:rPr>
          <w:rFonts w:eastAsiaTheme="minorEastAsia"/>
        </w:rPr>
      </w:pPr>
      <w:r>
        <w:rPr>
          <w:rFonts w:eastAsia="Arial"/>
          <w:bdr w:val="nil"/>
          <w:rtl/>
          <w:lang w:val="ar-SA"/>
        </w:rPr>
        <w:t xml:space="preserve">وقد نُفِّذ المشروع تحت إشراف مدير المشروع، السيد علي الجزائري، كبير المستشارين في شعبة التعاون الدولي لنظام معاهدة التعاون بشأن البراءات (تعاقب على إدارة المشروع السيد فيليب </w:t>
      </w:r>
      <w:proofErr w:type="spellStart"/>
      <w:r>
        <w:rPr>
          <w:rFonts w:eastAsia="Arial"/>
          <w:bdr w:val="nil"/>
          <w:rtl/>
          <w:lang w:val="ar-SA"/>
        </w:rPr>
        <w:t>بيكتولد</w:t>
      </w:r>
      <w:proofErr w:type="spellEnd"/>
      <w:r>
        <w:rPr>
          <w:rFonts w:eastAsia="Arial"/>
          <w:bdr w:val="nil"/>
          <w:rtl/>
          <w:lang w:val="ar-SA"/>
        </w:rPr>
        <w:t xml:space="preserve"> (2011) والسيد ماثيو ريني (2012-2013) والسيد علي الجزائري (2013-2015). </w:t>
      </w:r>
    </w:p>
    <w:p w:rsidR="00AE1126" w:rsidRPr="001755E3" w:rsidRDefault="00AE1126" w:rsidP="007750F6">
      <w:pPr>
        <w:pStyle w:val="NormalParaAR"/>
        <w:widowControl w:val="0"/>
        <w:suppressAutoHyphens/>
        <w:rPr>
          <w:rFonts w:eastAsiaTheme="minorEastAsia"/>
        </w:rPr>
      </w:pPr>
      <w:r>
        <w:rPr>
          <w:rFonts w:eastAsia="Arial"/>
          <w:bdr w:val="nil"/>
          <w:rtl/>
          <w:lang w:val="ar-SA"/>
        </w:rPr>
        <w:t>والمقصود أن يكون هذا التقييم تشاركياً</w:t>
      </w:r>
      <w:r w:rsidR="00B27244">
        <w:rPr>
          <w:rFonts w:eastAsia="Arial"/>
          <w:bdr w:val="nil"/>
          <w:rtl/>
          <w:lang w:val="ar-SA"/>
        </w:rPr>
        <w:t xml:space="preserve">. </w:t>
      </w:r>
      <w:r>
        <w:rPr>
          <w:rFonts w:eastAsia="Arial"/>
          <w:bdr w:val="nil"/>
          <w:rtl/>
          <w:lang w:val="ar-SA"/>
        </w:rPr>
        <w:t>وينبغي أن يتيح مشاركة نشطة في عملية التقييم ممن لهم مصلحة في المشروعات: فريق المشروع والشركاء والمستفيدون وأي أطراف أخرى مهتمة.</w:t>
      </w:r>
    </w:p>
    <w:p w:rsidR="00AE1126" w:rsidRPr="001755E3" w:rsidRDefault="00AE1126" w:rsidP="007750F6">
      <w:pPr>
        <w:pStyle w:val="NormalParaAR"/>
        <w:widowControl w:val="0"/>
        <w:suppressAutoHyphens/>
        <w:rPr>
          <w:rFonts w:eastAsiaTheme="minorEastAsia"/>
        </w:rPr>
      </w:pPr>
      <w:r>
        <w:rPr>
          <w:rFonts w:eastAsia="Arial"/>
          <w:bdr w:val="nil"/>
          <w:rtl/>
          <w:lang w:val="ar-SA"/>
        </w:rPr>
        <w:t xml:space="preserve">ولهذا التقييم هدفان رئيسيان </w:t>
      </w:r>
      <w:proofErr w:type="gramStart"/>
      <w:r>
        <w:rPr>
          <w:rFonts w:eastAsia="Arial"/>
          <w:bdr w:val="nil"/>
          <w:rtl/>
          <w:lang w:val="ar-SA"/>
        </w:rPr>
        <w:t>هما</w:t>
      </w:r>
      <w:proofErr w:type="gramEnd"/>
      <w:r w:rsidR="00241FA8">
        <w:rPr>
          <w:rFonts w:eastAsia="Arial"/>
          <w:bdr w:val="nil"/>
          <w:rtl/>
          <w:lang w:val="ar-SA"/>
        </w:rPr>
        <w:t xml:space="preserve">: </w:t>
      </w:r>
    </w:p>
    <w:p w:rsidR="00AE1126" w:rsidRPr="001755E3" w:rsidRDefault="00AE1126" w:rsidP="007750F6">
      <w:pPr>
        <w:pStyle w:val="NormalParaAR"/>
        <w:widowControl w:val="0"/>
        <w:suppressAutoHyphens/>
        <w:ind w:left="567"/>
        <w:rPr>
          <w:rFonts w:eastAsiaTheme="minorEastAsia"/>
        </w:rPr>
      </w:pPr>
      <w:r>
        <w:rPr>
          <w:rFonts w:eastAsia="Arial"/>
          <w:bdr w:val="nil"/>
          <w:rtl/>
          <w:lang w:val="ar-SA"/>
        </w:rPr>
        <w:t>1.</w:t>
      </w:r>
      <w:r>
        <w:rPr>
          <w:rFonts w:eastAsia="Arial"/>
          <w:bdr w:val="nil"/>
          <w:rtl/>
          <w:lang w:val="ar-SA"/>
        </w:rPr>
        <w:tab/>
        <w:t xml:space="preserve">التعلم من الخبرات المكتسبة خلال تنفيذ المشروع: ما الذي نجح وما الذي لم ينجح لصالح الأنشطة المتواصلة </w:t>
      </w:r>
      <w:r>
        <w:rPr>
          <w:rFonts w:eastAsia="Arial"/>
          <w:bdr w:val="nil"/>
          <w:rtl/>
          <w:lang w:val="ar-SA"/>
        </w:rPr>
        <w:lastRenderedPageBreak/>
        <w:t>في هذا المجال،</w:t>
      </w:r>
      <w:r w:rsidR="004E22FC">
        <w:rPr>
          <w:rFonts w:eastAsia="Arial"/>
          <w:bdr w:val="nil"/>
          <w:rtl/>
          <w:lang w:val="ar-SA"/>
        </w:rPr>
        <w:t xml:space="preserve"> </w:t>
      </w:r>
      <w:r>
        <w:rPr>
          <w:rFonts w:eastAsia="Arial"/>
          <w:bdr w:val="nil"/>
          <w:rtl/>
          <w:lang w:val="ar-SA"/>
        </w:rPr>
        <w:t>مما يتضمن تقويم إطار تصميم المشروع وإدارة المشروع، بما في ذلك أدوات الرصد وإعداد التقارير، علاوةً على قياس النتائج المحققة حتى الآن وبيانها وتقويم احتمالية استدامة النتائج المحققة؛</w:t>
      </w:r>
    </w:p>
    <w:p w:rsidR="00AE1126" w:rsidRPr="001755E3" w:rsidRDefault="00AE1126" w:rsidP="007750F6">
      <w:pPr>
        <w:pStyle w:val="NormalParaAR"/>
        <w:widowControl w:val="0"/>
        <w:suppressAutoHyphens/>
        <w:ind w:left="567"/>
        <w:rPr>
          <w:rFonts w:eastAsiaTheme="minorEastAsia"/>
        </w:rPr>
      </w:pPr>
      <w:r>
        <w:rPr>
          <w:rFonts w:eastAsia="Arial"/>
          <w:bdr w:val="nil"/>
          <w:rtl/>
          <w:lang w:val="ar-SA"/>
        </w:rPr>
        <w:t>2.</w:t>
      </w:r>
      <w:r>
        <w:rPr>
          <w:rFonts w:eastAsia="Arial"/>
          <w:bdr w:val="nil"/>
          <w:rtl/>
          <w:lang w:val="ar-SA"/>
        </w:rPr>
        <w:tab/>
        <w:t>وتوفير معلومات تقييمية قائمة على الأدلة لدعم عملية اتخاذ القرار في اللجنة</w:t>
      </w:r>
      <w:r w:rsidR="00B27244">
        <w:rPr>
          <w:rFonts w:eastAsia="Arial"/>
          <w:bdr w:val="nil"/>
          <w:rtl/>
          <w:lang w:val="ar-SA"/>
        </w:rPr>
        <w:t xml:space="preserve">. </w:t>
      </w:r>
    </w:p>
    <w:p w:rsidR="00AE1126" w:rsidRPr="001755E3" w:rsidRDefault="00AE1126" w:rsidP="007750F6">
      <w:pPr>
        <w:pStyle w:val="NormalParaAR"/>
        <w:widowControl w:val="0"/>
        <w:suppressAutoHyphens/>
        <w:rPr>
          <w:rFonts w:eastAsiaTheme="minorEastAsia"/>
        </w:rPr>
      </w:pPr>
      <w:r>
        <w:rPr>
          <w:rFonts w:eastAsia="Arial"/>
          <w:bdr w:val="nil"/>
          <w:rtl/>
          <w:lang w:val="ar-SA"/>
        </w:rPr>
        <w:t xml:space="preserve">وسيركز التقويم بشكل خاص خلال التقييم على مدى أداء المشروع </w:t>
      </w:r>
      <w:proofErr w:type="gramStart"/>
      <w:r>
        <w:rPr>
          <w:rFonts w:eastAsia="Arial"/>
          <w:bdr w:val="nil"/>
          <w:rtl/>
          <w:lang w:val="ar-SA"/>
        </w:rPr>
        <w:t>دوراً</w:t>
      </w:r>
      <w:proofErr w:type="gramEnd"/>
      <w:r>
        <w:rPr>
          <w:rFonts w:eastAsia="Arial"/>
          <w:bdr w:val="nil"/>
          <w:rtl/>
          <w:lang w:val="ar-SA"/>
        </w:rPr>
        <w:t xml:space="preserve"> محورياً فيما يلي:</w:t>
      </w:r>
    </w:p>
    <w:p w:rsidR="00AE1126" w:rsidRPr="001755E3" w:rsidRDefault="00AE1126" w:rsidP="007750F6">
      <w:pPr>
        <w:pStyle w:val="NormalParaAR"/>
        <w:widowControl w:val="0"/>
        <w:suppressAutoHyphens/>
        <w:ind w:left="567"/>
        <w:rPr>
          <w:rFonts w:eastAsiaTheme="minorEastAsia"/>
        </w:rPr>
      </w:pPr>
      <w:r>
        <w:rPr>
          <w:rFonts w:eastAsia="Arial"/>
          <w:bdr w:val="nil"/>
          <w:rtl/>
          <w:lang w:val="ar-SA"/>
        </w:rPr>
        <w:t>(أ)</w:t>
      </w:r>
      <w:r>
        <w:rPr>
          <w:rFonts w:eastAsia="Arial"/>
          <w:bdr w:val="nil"/>
          <w:rtl/>
          <w:lang w:val="ar-SA"/>
        </w:rPr>
        <w:tab/>
        <w:t xml:space="preserve">تيسير عمليات تشاورية مع الدول الأعضاء من خلال خمسة اجتماعات إقليمية وإعداد ست دراسات تحليلية خضعت لاستعراض الأقران، وكلاهما قدم مدخلات لمنتدى خبراء، حيث طُرحت قائمة من أفكار الخبراء لتعزيز نقل التكنولوجيا على الصعيد الدولي؛ </w:t>
      </w:r>
    </w:p>
    <w:p w:rsidR="00AE1126" w:rsidRPr="001755E3" w:rsidRDefault="00AE1126" w:rsidP="007750F6">
      <w:pPr>
        <w:pStyle w:val="NormalParaAR"/>
        <w:widowControl w:val="0"/>
        <w:suppressAutoHyphens/>
        <w:ind w:left="567"/>
        <w:rPr>
          <w:rFonts w:eastAsiaTheme="minorEastAsia"/>
        </w:rPr>
      </w:pPr>
      <w:r>
        <w:rPr>
          <w:rFonts w:eastAsia="Arial"/>
          <w:bdr w:val="nil"/>
          <w:rtl/>
          <w:lang w:val="ar-SA"/>
        </w:rPr>
        <w:t>(ب)</w:t>
      </w:r>
      <w:r>
        <w:rPr>
          <w:rFonts w:eastAsia="Arial"/>
          <w:bdr w:val="nil"/>
          <w:rtl/>
          <w:lang w:val="ar-SA"/>
        </w:rPr>
        <w:tab/>
      </w:r>
      <w:proofErr w:type="gramStart"/>
      <w:r>
        <w:rPr>
          <w:rFonts w:eastAsia="Arial"/>
          <w:bdr w:val="nil"/>
          <w:rtl/>
          <w:lang w:val="ar-SA"/>
        </w:rPr>
        <w:t>واكتشاف</w:t>
      </w:r>
      <w:proofErr w:type="gramEnd"/>
      <w:r>
        <w:rPr>
          <w:rFonts w:eastAsia="Arial"/>
          <w:bdr w:val="nil"/>
          <w:rtl/>
          <w:lang w:val="ar-SA"/>
        </w:rPr>
        <w:t xml:space="preserve"> سبل جديدة لإنشاء تعاون دولي في مجال الملكية الفكرية وتعزيز التفاهم والتوافق على مبادرات الملكية الفكرية أو سياساتها من أجل النهوض بنقل التكنولوجيا</w:t>
      </w:r>
      <w:r w:rsidR="00B27244">
        <w:rPr>
          <w:rFonts w:eastAsia="Arial"/>
          <w:bdr w:val="nil"/>
          <w:rtl/>
          <w:lang w:val="ar-SA"/>
        </w:rPr>
        <w:t xml:space="preserve">. </w:t>
      </w:r>
    </w:p>
    <w:p w:rsidR="00AE1126" w:rsidRPr="001755E3" w:rsidRDefault="00AE1126" w:rsidP="007750F6">
      <w:pPr>
        <w:pStyle w:val="NormalParaAR"/>
        <w:widowControl w:val="0"/>
        <w:suppressAutoHyphens/>
        <w:rPr>
          <w:rFonts w:eastAsiaTheme="minorEastAsia"/>
        </w:rPr>
      </w:pPr>
      <w:proofErr w:type="gramStart"/>
      <w:r>
        <w:rPr>
          <w:rFonts w:eastAsia="Arial"/>
          <w:bdr w:val="nil"/>
          <w:rtl/>
          <w:lang w:val="ar-SA"/>
        </w:rPr>
        <w:t>وتحقيقاً</w:t>
      </w:r>
      <w:proofErr w:type="gramEnd"/>
      <w:r>
        <w:rPr>
          <w:rFonts w:eastAsia="Arial"/>
          <w:bdr w:val="nil"/>
          <w:rtl/>
          <w:lang w:val="ar-SA"/>
        </w:rPr>
        <w:t xml:space="preserve"> لهذه الغاية، سيركز التقييم بشكل خاص على تقويم مسائل التقييم الأساسية التالية:</w:t>
      </w:r>
    </w:p>
    <w:p w:rsidR="00AE1126" w:rsidRPr="002D3AB6" w:rsidRDefault="00AE1126" w:rsidP="007750F6">
      <w:pPr>
        <w:pStyle w:val="Heading2AR"/>
        <w:keepNext w:val="0"/>
        <w:widowControl w:val="0"/>
        <w:suppressAutoHyphens/>
        <w:rPr>
          <w:rFonts w:eastAsiaTheme="minorEastAsia"/>
          <w:u w:val="single"/>
        </w:rPr>
      </w:pPr>
      <w:r w:rsidRPr="002D3AB6">
        <w:rPr>
          <w:rFonts w:eastAsia="Arial"/>
          <w:u w:val="single"/>
          <w:bdr w:val="nil"/>
          <w:rtl/>
          <w:lang w:val="ar-SA"/>
        </w:rPr>
        <w:t xml:space="preserve">تصميم المشروع </w:t>
      </w:r>
      <w:proofErr w:type="gramStart"/>
      <w:r w:rsidRPr="002D3AB6">
        <w:rPr>
          <w:rFonts w:eastAsia="Arial"/>
          <w:u w:val="single"/>
          <w:bdr w:val="nil"/>
          <w:rtl/>
          <w:lang w:val="ar-SA"/>
        </w:rPr>
        <w:t>وإدارته</w:t>
      </w:r>
      <w:proofErr w:type="gramEnd"/>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(أ)</w:t>
      </w:r>
      <w:r>
        <w:rPr>
          <w:rFonts w:eastAsia="Arial"/>
          <w:bdr w:val="nil"/>
          <w:rtl/>
          <w:lang w:val="ar-SA"/>
        </w:rPr>
        <w:tab/>
        <w:t xml:space="preserve">ملاءمة وثيقة المشروع الأولية كدليل لتنفيذ المشروع </w:t>
      </w:r>
      <w:proofErr w:type="gramStart"/>
      <w:r>
        <w:rPr>
          <w:rFonts w:eastAsia="Arial"/>
          <w:bdr w:val="nil"/>
          <w:rtl/>
          <w:lang w:val="ar-SA"/>
        </w:rPr>
        <w:t>وتقويم</w:t>
      </w:r>
      <w:proofErr w:type="gramEnd"/>
      <w:r>
        <w:rPr>
          <w:rFonts w:eastAsia="Arial"/>
          <w:bdr w:val="nil"/>
          <w:rtl/>
          <w:lang w:val="ar-SA"/>
        </w:rPr>
        <w:t xml:space="preserve"> النتائج المحققة؛</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(ب)</w:t>
      </w:r>
      <w:r>
        <w:rPr>
          <w:rFonts w:eastAsia="Arial"/>
          <w:bdr w:val="nil"/>
          <w:rtl/>
          <w:lang w:val="ar-SA"/>
        </w:rPr>
        <w:tab/>
        <w:t xml:space="preserve">وفائدة أدوات رصد المشروع وتقييمه ذاتياً وإعداد التقارير </w:t>
      </w:r>
      <w:proofErr w:type="gramStart"/>
      <w:r>
        <w:rPr>
          <w:rFonts w:eastAsia="Arial"/>
          <w:bdr w:val="nil"/>
          <w:rtl/>
          <w:lang w:val="ar-SA"/>
        </w:rPr>
        <w:t>عنه</w:t>
      </w:r>
      <w:proofErr w:type="gramEnd"/>
      <w:r>
        <w:rPr>
          <w:rFonts w:eastAsia="Arial"/>
          <w:bdr w:val="nil"/>
          <w:rtl/>
          <w:lang w:val="ar-SA"/>
        </w:rPr>
        <w:t xml:space="preserve"> في إمداد هيئة إدارة المشروع وأصحاب المصلحة الرئيسيين بالمعلومات ذات الصلة لأغراض اتخاذ القرارات؛</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(ج)</w:t>
      </w:r>
      <w:r>
        <w:rPr>
          <w:rFonts w:eastAsia="Arial"/>
          <w:bdr w:val="nil"/>
          <w:rtl/>
          <w:lang w:val="ar-SA"/>
        </w:rPr>
        <w:tab/>
      </w:r>
      <w:proofErr w:type="gramStart"/>
      <w:r>
        <w:rPr>
          <w:rFonts w:eastAsia="Arial"/>
          <w:bdr w:val="nil"/>
          <w:rtl/>
          <w:lang w:val="ar-SA"/>
        </w:rPr>
        <w:t>ومدى</w:t>
      </w:r>
      <w:proofErr w:type="gramEnd"/>
      <w:r>
        <w:rPr>
          <w:rFonts w:eastAsia="Arial"/>
          <w:bdr w:val="nil"/>
          <w:rtl/>
          <w:lang w:val="ar-SA"/>
        </w:rPr>
        <w:t xml:space="preserve"> مساهمة هيئات أخرى في الأمانة في فعالية وكفاءة تنفيذ المشروع وفي التمكين من ذلك؛</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(د)</w:t>
      </w:r>
      <w:r>
        <w:rPr>
          <w:rFonts w:eastAsia="Arial"/>
          <w:bdr w:val="nil"/>
          <w:rtl/>
          <w:lang w:val="ar-SA"/>
        </w:rPr>
        <w:tab/>
        <w:t xml:space="preserve">وإلى أي </w:t>
      </w:r>
      <w:proofErr w:type="gramStart"/>
      <w:r>
        <w:rPr>
          <w:rFonts w:eastAsia="Arial"/>
          <w:bdr w:val="nil"/>
          <w:rtl/>
          <w:lang w:val="ar-SA"/>
        </w:rPr>
        <w:t>مدى</w:t>
      </w:r>
      <w:proofErr w:type="gramEnd"/>
      <w:r>
        <w:rPr>
          <w:rFonts w:eastAsia="Arial"/>
          <w:bdr w:val="nil"/>
          <w:rtl/>
          <w:lang w:val="ar-SA"/>
        </w:rPr>
        <w:t xml:space="preserve"> وقعت المخاطر المحددة في وثيقة المشروع الأولية أو إلى أي مدى تم تخفيف تلك المخاطر؛</w:t>
      </w:r>
    </w:p>
    <w:p w:rsidR="00AE1126" w:rsidRPr="001755E3" w:rsidRDefault="002D3AB6" w:rsidP="002033AA">
      <w:pPr>
        <w:pStyle w:val="NormalParaAR"/>
        <w:widowControl w:val="0"/>
        <w:suppressAutoHyphens/>
        <w:ind w:left="566"/>
        <w:rPr>
          <w:rFonts w:eastAsiaTheme="minorEastAsia"/>
        </w:rPr>
      </w:pPr>
      <w:r>
        <w:rPr>
          <w:rFonts w:eastAsia="Arial"/>
          <w:bdr w:val="nil"/>
          <w:rtl/>
          <w:lang w:val="ar-SA"/>
        </w:rPr>
        <w:t>(ه)</w:t>
      </w:r>
      <w:r>
        <w:rPr>
          <w:rFonts w:eastAsia="Arial"/>
          <w:bdr w:val="nil"/>
          <w:rtl/>
          <w:lang w:val="ar-SA"/>
        </w:rPr>
        <w:tab/>
      </w:r>
      <w:r w:rsidR="00AE1126">
        <w:rPr>
          <w:rFonts w:eastAsia="Arial"/>
          <w:bdr w:val="nil"/>
          <w:rtl/>
          <w:lang w:val="ar-SA"/>
        </w:rPr>
        <w:t xml:space="preserve">وقدرة المشروع على الاستجابة للتيارات </w:t>
      </w:r>
      <w:proofErr w:type="gramStart"/>
      <w:r w:rsidR="00AE1126">
        <w:rPr>
          <w:rFonts w:eastAsia="Arial"/>
          <w:bdr w:val="nil"/>
          <w:rtl/>
          <w:lang w:val="ar-SA"/>
        </w:rPr>
        <w:t>والتكنولوجيات</w:t>
      </w:r>
      <w:proofErr w:type="gramEnd"/>
      <w:r w:rsidR="00AE1126">
        <w:rPr>
          <w:rFonts w:eastAsia="Arial"/>
          <w:bdr w:val="nil"/>
          <w:rtl/>
          <w:lang w:val="ar-SA"/>
        </w:rPr>
        <w:t xml:space="preserve"> الجديدة وغيرها من القوى الخارجية. </w:t>
      </w:r>
    </w:p>
    <w:p w:rsidR="00AE1126" w:rsidRPr="002D3AB6" w:rsidRDefault="00AE1126" w:rsidP="007750F6">
      <w:pPr>
        <w:pStyle w:val="Heading2AR"/>
        <w:keepNext w:val="0"/>
        <w:widowControl w:val="0"/>
        <w:suppressAutoHyphens/>
        <w:rPr>
          <w:rFonts w:eastAsiaTheme="minorEastAsia"/>
          <w:u w:val="single"/>
        </w:rPr>
      </w:pPr>
      <w:r w:rsidRPr="002D3AB6">
        <w:rPr>
          <w:rFonts w:eastAsia="Arial"/>
          <w:u w:val="single"/>
          <w:bdr w:val="nil"/>
          <w:rtl/>
          <w:lang w:val="ar-SA"/>
        </w:rPr>
        <w:t>الفعالية</w:t>
      </w:r>
    </w:p>
    <w:p w:rsidR="00AE1126" w:rsidRPr="001755E3" w:rsidRDefault="00013308" w:rsidP="002033AA">
      <w:pPr>
        <w:pStyle w:val="NormalParaAR"/>
        <w:widowControl w:val="0"/>
        <w:suppressAutoHyphens/>
        <w:ind w:left="566"/>
        <w:rPr>
          <w:rFonts w:eastAsiaTheme="minorEastAsia"/>
        </w:rPr>
      </w:pPr>
      <w:r>
        <w:rPr>
          <w:rFonts w:eastAsia="Arial" w:hint="cs"/>
          <w:bdr w:val="nil"/>
          <w:rtl/>
          <w:lang w:val="ar-SA"/>
        </w:rPr>
        <w:t>(أ)</w:t>
      </w:r>
      <w:r>
        <w:rPr>
          <w:rFonts w:eastAsia="Arial" w:hint="cs"/>
          <w:bdr w:val="nil"/>
          <w:rtl/>
          <w:lang w:val="ar-SA"/>
        </w:rPr>
        <w:tab/>
      </w:r>
      <w:proofErr w:type="gramStart"/>
      <w:r w:rsidR="00AE1126">
        <w:rPr>
          <w:rFonts w:eastAsia="Arial"/>
          <w:bdr w:val="nil"/>
          <w:rtl/>
          <w:lang w:val="ar-SA"/>
        </w:rPr>
        <w:t>فعالية</w:t>
      </w:r>
      <w:proofErr w:type="gramEnd"/>
      <w:r w:rsidR="00AE1126">
        <w:rPr>
          <w:rFonts w:eastAsia="Arial"/>
          <w:bdr w:val="nil"/>
          <w:rtl/>
          <w:lang w:val="ar-SA"/>
        </w:rPr>
        <w:t xml:space="preserve"> المشروع وفائدته في إقامة تعاون دولي في ميدان نقل التكنولوجيا من منظور الملكية الفكرية؛ </w:t>
      </w:r>
    </w:p>
    <w:p w:rsidR="00AE1126" w:rsidRPr="001755E3" w:rsidRDefault="00013308" w:rsidP="002033AA">
      <w:pPr>
        <w:pStyle w:val="NormalParaAR"/>
        <w:widowControl w:val="0"/>
        <w:suppressAutoHyphens/>
        <w:ind w:left="566"/>
        <w:rPr>
          <w:rFonts w:eastAsiaTheme="minorEastAsia"/>
        </w:rPr>
      </w:pPr>
      <w:r>
        <w:rPr>
          <w:rFonts w:eastAsia="Arial" w:hint="cs"/>
          <w:bdr w:val="nil"/>
          <w:rtl/>
          <w:lang w:val="ar-SA"/>
        </w:rPr>
        <w:t>(ب)</w:t>
      </w:r>
      <w:r>
        <w:rPr>
          <w:rFonts w:eastAsia="Arial" w:hint="cs"/>
          <w:bdr w:val="nil"/>
          <w:rtl/>
          <w:lang w:val="ar-SA"/>
        </w:rPr>
        <w:tab/>
      </w:r>
      <w:r w:rsidR="00AE1126">
        <w:rPr>
          <w:rFonts w:eastAsia="Arial"/>
          <w:bdr w:val="nil"/>
          <w:rtl/>
          <w:lang w:val="ar-SA"/>
        </w:rPr>
        <w:t>ومدى الاستفادة من الاجتماعات الإقليمية التشاورية الخمسة بالتشاور مع الدول الأعضاء؛</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(ج)</w:t>
      </w:r>
      <w:r>
        <w:rPr>
          <w:rFonts w:eastAsia="Arial"/>
          <w:bdr w:val="nil"/>
          <w:rtl/>
          <w:lang w:val="ar-SA"/>
        </w:rPr>
        <w:tab/>
        <w:t>ومدى الاستفادة من الدراسات والدراسات الإفرادية والتحليلات للدول الأعضاء؛</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(د)</w:t>
      </w:r>
      <w:r>
        <w:rPr>
          <w:rFonts w:eastAsia="Arial"/>
          <w:bdr w:val="nil"/>
          <w:rtl/>
          <w:lang w:val="ar-SA"/>
        </w:rPr>
        <w:tab/>
      </w:r>
      <w:proofErr w:type="gramStart"/>
      <w:r>
        <w:rPr>
          <w:rFonts w:eastAsia="Arial"/>
          <w:bdr w:val="nil"/>
          <w:rtl/>
          <w:lang w:val="ar-SA"/>
        </w:rPr>
        <w:t>ومدى</w:t>
      </w:r>
      <w:proofErr w:type="gramEnd"/>
      <w:r>
        <w:rPr>
          <w:rFonts w:eastAsia="Arial"/>
          <w:bdr w:val="nil"/>
          <w:rtl/>
          <w:lang w:val="ar-SA"/>
        </w:rPr>
        <w:t xml:space="preserve"> الاستفادة من المشروع في إنشاء وتحسين الفهم وتوافق الآراء بشأن مبادرات وسياسات الملكية الفكرية المحتملة لتعزيز نقل التكنولوجيا.</w:t>
      </w:r>
    </w:p>
    <w:p w:rsidR="00AE1126" w:rsidRPr="002D3AB6" w:rsidRDefault="00AE1126" w:rsidP="007750F6">
      <w:pPr>
        <w:pStyle w:val="Heading2AR"/>
        <w:keepNext w:val="0"/>
        <w:widowControl w:val="0"/>
        <w:suppressAutoHyphens/>
        <w:rPr>
          <w:rFonts w:eastAsiaTheme="minorEastAsia"/>
          <w:u w:val="single"/>
        </w:rPr>
      </w:pPr>
      <w:r w:rsidRPr="002D3AB6">
        <w:rPr>
          <w:rFonts w:eastAsia="Arial"/>
          <w:u w:val="single"/>
          <w:bdr w:val="nil"/>
          <w:rtl/>
          <w:lang w:val="ar-SA"/>
        </w:rPr>
        <w:t xml:space="preserve">الاستدامة </w:t>
      </w:r>
    </w:p>
    <w:p w:rsidR="00AE1126" w:rsidRPr="00E55282" w:rsidRDefault="00AE1126" w:rsidP="007750F6">
      <w:pPr>
        <w:widowControl w:val="0"/>
        <w:suppressAutoHyphens/>
        <w:overflowPunct w:val="0"/>
        <w:bidi/>
        <w:adjustRightInd w:val="0"/>
        <w:rPr>
          <w:rFonts w:ascii="Arabic Typesetting" w:eastAsiaTheme="minorEastAsia" w:hAnsi="Arabic Typesetting" w:cs="Arabic Typesetting"/>
          <w:kern w:val="28"/>
          <w:sz w:val="36"/>
          <w:szCs w:val="36"/>
        </w:rPr>
      </w:pPr>
      <w:r w:rsidRPr="00E55282">
        <w:rPr>
          <w:rFonts w:ascii="Arabic Typesetting" w:eastAsia="Arial" w:hAnsi="Arabic Typesetting" w:cs="Arabic Typesetting"/>
          <w:kern w:val="28"/>
          <w:sz w:val="36"/>
          <w:szCs w:val="36"/>
          <w:bdr w:val="nil"/>
          <w:rtl/>
          <w:lang w:val="ar-SA"/>
        </w:rPr>
        <w:t xml:space="preserve">احتمالية استمرار العمل على الملكية الفكرية ونقل التكنولوجيا في الويبو والدول الأعضاء فيها. </w:t>
      </w:r>
    </w:p>
    <w:p w:rsidR="00AE1126" w:rsidRPr="00986B9C" w:rsidRDefault="00AE1126" w:rsidP="007750F6">
      <w:pPr>
        <w:pStyle w:val="Heading2AR"/>
        <w:keepNext w:val="0"/>
        <w:widowControl w:val="0"/>
        <w:suppressAutoHyphens/>
        <w:rPr>
          <w:rFonts w:eastAsiaTheme="minorEastAsia"/>
          <w:u w:val="single"/>
        </w:rPr>
      </w:pPr>
      <w:r w:rsidRPr="00986B9C">
        <w:rPr>
          <w:rFonts w:eastAsia="Arial"/>
          <w:u w:val="single"/>
          <w:bdr w:val="nil"/>
          <w:rtl/>
          <w:lang w:val="ar-SA"/>
        </w:rPr>
        <w:t xml:space="preserve">تنفيذ توصيات </w:t>
      </w:r>
      <w:proofErr w:type="gramStart"/>
      <w:r w:rsidRPr="00986B9C">
        <w:rPr>
          <w:rFonts w:eastAsia="Arial"/>
          <w:u w:val="single"/>
          <w:bdr w:val="nil"/>
          <w:rtl/>
          <w:lang w:val="ar-SA"/>
        </w:rPr>
        <w:t>جدول</w:t>
      </w:r>
      <w:proofErr w:type="gramEnd"/>
      <w:r w:rsidRPr="00986B9C">
        <w:rPr>
          <w:rFonts w:eastAsia="Arial"/>
          <w:u w:val="single"/>
          <w:bdr w:val="nil"/>
          <w:rtl/>
          <w:lang w:val="ar-SA"/>
        </w:rPr>
        <w:t xml:space="preserve"> أعمال التنمية </w:t>
      </w:r>
    </w:p>
    <w:p w:rsidR="00AE1126" w:rsidRPr="001755E3" w:rsidRDefault="00AE1126" w:rsidP="007750F6">
      <w:pPr>
        <w:pStyle w:val="NormalParaAR"/>
        <w:widowControl w:val="0"/>
        <w:suppressAutoHyphens/>
        <w:rPr>
          <w:rFonts w:eastAsiaTheme="minorEastAsia"/>
        </w:rPr>
      </w:pPr>
      <w:proofErr w:type="gramStart"/>
      <w:r>
        <w:rPr>
          <w:rFonts w:eastAsia="Arial"/>
          <w:bdr w:val="nil"/>
          <w:rtl/>
          <w:lang w:val="ar-SA"/>
        </w:rPr>
        <w:t>مدى</w:t>
      </w:r>
      <w:proofErr w:type="gramEnd"/>
      <w:r>
        <w:rPr>
          <w:rFonts w:eastAsia="Arial"/>
          <w:bdr w:val="nil"/>
          <w:rtl/>
          <w:lang w:val="ar-SA"/>
        </w:rPr>
        <w:t xml:space="preserve"> ما تحقق من تنفيذ لتوصيات جدول أعمال التنمية 19 و25 و26 و28 من خلال هذا المشروع. </w:t>
      </w:r>
    </w:p>
    <w:p w:rsidR="00AE1126" w:rsidRPr="001755E3" w:rsidRDefault="00AE1126" w:rsidP="007750F6">
      <w:pPr>
        <w:pStyle w:val="NormalParaAR"/>
        <w:widowControl w:val="0"/>
        <w:suppressAutoHyphens/>
        <w:rPr>
          <w:rFonts w:eastAsiaTheme="minorEastAsia"/>
        </w:rPr>
      </w:pPr>
      <w:r>
        <w:rPr>
          <w:rFonts w:eastAsia="Arial"/>
          <w:bdr w:val="nil"/>
          <w:rtl/>
          <w:lang w:val="ar-SA"/>
        </w:rPr>
        <w:lastRenderedPageBreak/>
        <w:t xml:space="preserve">وبالإضافة إلى ذلك، فإن الإطار الزمني للمشروع المعتبر في هذا التقييم هو 42 </w:t>
      </w:r>
      <w:proofErr w:type="gramStart"/>
      <w:r>
        <w:rPr>
          <w:rFonts w:eastAsia="Arial"/>
          <w:bdr w:val="nil"/>
          <w:rtl/>
          <w:lang w:val="ar-SA"/>
        </w:rPr>
        <w:t>شهراً</w:t>
      </w:r>
      <w:proofErr w:type="gramEnd"/>
      <w:r>
        <w:rPr>
          <w:rFonts w:eastAsia="Arial"/>
          <w:bdr w:val="nil"/>
          <w:rtl/>
          <w:lang w:val="ar-SA"/>
        </w:rPr>
        <w:t xml:space="preserve"> (يناير 2011-يوليه 2014)</w:t>
      </w:r>
      <w:r w:rsidR="00B27244">
        <w:rPr>
          <w:rFonts w:eastAsia="Arial"/>
          <w:bdr w:val="nil"/>
          <w:rtl/>
          <w:lang w:val="ar-SA"/>
        </w:rPr>
        <w:t xml:space="preserve">. </w:t>
      </w:r>
      <w:proofErr w:type="gramStart"/>
      <w:r>
        <w:rPr>
          <w:rFonts w:eastAsia="Arial"/>
          <w:bdr w:val="nil"/>
          <w:rtl/>
          <w:lang w:val="ar-SA"/>
        </w:rPr>
        <w:t>ولن</w:t>
      </w:r>
      <w:proofErr w:type="gramEnd"/>
      <w:r>
        <w:rPr>
          <w:rFonts w:eastAsia="Arial"/>
          <w:bdr w:val="nil"/>
          <w:rtl/>
          <w:lang w:val="ar-SA"/>
        </w:rPr>
        <w:t xml:space="preserve"> يكون التركيز على تقويم أنشطة متفرقة، بل على تقييم المشروع ككل وإسهامه في تقويم احتياجات الدول الأعضاء وتحديد الموارد أو السبل لتلبية تلك الاحتياجات، وتطوره مع الزمن، وأدائه بما في ذلك تصميم المشروع وإدارة المشروع والتنسيق والترابط والتنفيذ والنتائج المحققة. </w:t>
      </w:r>
    </w:p>
    <w:p w:rsidR="00AE1126" w:rsidRPr="001755E3" w:rsidRDefault="00AE1126" w:rsidP="007750F6">
      <w:pPr>
        <w:pStyle w:val="NormalParaAR"/>
        <w:widowControl w:val="0"/>
        <w:suppressAutoHyphens/>
        <w:rPr>
          <w:rFonts w:eastAsiaTheme="minorEastAsia"/>
        </w:rPr>
      </w:pPr>
      <w:proofErr w:type="gramStart"/>
      <w:r>
        <w:rPr>
          <w:rFonts w:eastAsia="Arial"/>
          <w:bdr w:val="nil"/>
          <w:rtl/>
          <w:lang w:val="ar-SA"/>
        </w:rPr>
        <w:t>ومن</w:t>
      </w:r>
      <w:proofErr w:type="gramEnd"/>
      <w:r>
        <w:rPr>
          <w:rFonts w:eastAsia="Arial"/>
          <w:bdr w:val="nil"/>
          <w:rtl/>
          <w:lang w:val="ar-SA"/>
        </w:rPr>
        <w:t xml:space="preserve"> باب السعي في تحقيق الهدف سالف الذكر، تستهدف منهجية التقييم الموازنة بين الاحتياجات للتعلم والمساءلة</w:t>
      </w:r>
      <w:r w:rsidR="00B27244">
        <w:rPr>
          <w:rFonts w:eastAsia="Arial"/>
          <w:bdr w:val="nil"/>
          <w:rtl/>
          <w:lang w:val="ar-SA"/>
        </w:rPr>
        <w:t xml:space="preserve">. </w:t>
      </w:r>
      <w:r>
        <w:rPr>
          <w:rFonts w:eastAsia="Arial"/>
          <w:bdr w:val="nil"/>
          <w:rtl/>
          <w:lang w:val="ar-SA"/>
        </w:rPr>
        <w:t>ولذلك ينبغي أن يهيئ التقييم المجال لمشاركة نشطة في عملية التقييم من جانب أصحاب المصلحة في المشروع: فريق المشروع وكبار المديرين والدول الأعضاء ومكاتب الملكية الفكرية الوطنية.</w:t>
      </w:r>
    </w:p>
    <w:p w:rsidR="00AE1126" w:rsidRPr="001755E3" w:rsidRDefault="00AE1126" w:rsidP="007750F6">
      <w:pPr>
        <w:pStyle w:val="NormalParaAR"/>
        <w:widowControl w:val="0"/>
        <w:suppressAutoHyphens/>
        <w:rPr>
          <w:rFonts w:eastAsiaTheme="minorEastAsia"/>
        </w:rPr>
      </w:pPr>
      <w:r>
        <w:rPr>
          <w:rFonts w:eastAsia="Arial"/>
          <w:bdr w:val="nil"/>
          <w:rtl/>
          <w:lang w:val="ar-SA"/>
        </w:rPr>
        <w:t>وسيكون خبير التقييم الخارجي مسؤولاً عن إجراء التقييم، وذلك بالتشاور والتعاون مع فريق المشروع وشعبة تنسيق جدول أعمال التنمية. وستتألف منهجية التقييم مما يلي:</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(أ)</w:t>
      </w:r>
      <w:r>
        <w:rPr>
          <w:rFonts w:eastAsia="Arial"/>
          <w:bdr w:val="nil"/>
          <w:rtl/>
          <w:lang w:val="ar-SA"/>
        </w:rPr>
        <w:tab/>
      </w:r>
      <w:proofErr w:type="gramStart"/>
      <w:r>
        <w:rPr>
          <w:rFonts w:eastAsia="Arial"/>
          <w:bdr w:val="nil"/>
          <w:rtl/>
          <w:lang w:val="ar-SA"/>
        </w:rPr>
        <w:t>استعراض</w:t>
      </w:r>
      <w:proofErr w:type="gramEnd"/>
      <w:r>
        <w:rPr>
          <w:rFonts w:eastAsia="Arial"/>
          <w:bdr w:val="nil"/>
          <w:rtl/>
          <w:lang w:val="ar-SA"/>
        </w:rPr>
        <w:t xml:space="preserve"> مكتبي للوثائق ذات الصلة المتعلقة بالمشروع، بما في ذلك إطار المشروع (وثيقة المشروع الأولية ودراسته) والتقارير المرحلية ومعلومات الرصد وتقارير البعثات وغير ذلك من الوثائق ذات الصلة؛ </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(ب)</w:t>
      </w:r>
      <w:r>
        <w:rPr>
          <w:rFonts w:eastAsia="Arial"/>
          <w:bdr w:val="nil"/>
          <w:rtl/>
          <w:lang w:val="ar-SA"/>
        </w:rPr>
        <w:tab/>
        <w:t>وإجراء مقابلات في مقر أمانة الويبو (فريق المشروع وغيره من الهيئات المساهمة في صلب المشروع وما إلى ذلك)؛</w:t>
      </w:r>
    </w:p>
    <w:p w:rsidR="00AE1126" w:rsidRDefault="00AE1126" w:rsidP="002033AA">
      <w:pPr>
        <w:pStyle w:val="NormalParaAR"/>
        <w:widowControl w:val="0"/>
        <w:suppressAutoHyphens/>
        <w:ind w:left="566"/>
        <w:rPr>
          <w:rFonts w:eastAsia="Arial"/>
          <w:bdr w:val="nil"/>
        </w:rPr>
      </w:pPr>
      <w:r>
        <w:rPr>
          <w:rFonts w:eastAsia="Arial"/>
          <w:bdr w:val="nil"/>
          <w:rtl/>
          <w:lang w:val="ar-SA"/>
        </w:rPr>
        <w:t>(ج)</w:t>
      </w:r>
      <w:r>
        <w:rPr>
          <w:rFonts w:eastAsia="Arial"/>
          <w:bdr w:val="nil"/>
          <w:rtl/>
          <w:lang w:val="ar-SA"/>
        </w:rPr>
        <w:tab/>
      </w:r>
      <w:proofErr w:type="gramStart"/>
      <w:r>
        <w:rPr>
          <w:rFonts w:eastAsia="Arial"/>
          <w:bdr w:val="nil"/>
          <w:rtl/>
          <w:lang w:val="ar-SA"/>
        </w:rPr>
        <w:t>وإجراء</w:t>
      </w:r>
      <w:proofErr w:type="gramEnd"/>
      <w:r>
        <w:rPr>
          <w:rFonts w:eastAsia="Arial"/>
          <w:bdr w:val="nil"/>
          <w:rtl/>
          <w:lang w:val="ar-SA"/>
        </w:rPr>
        <w:t xml:space="preserve"> مقابلات مع أصحاب المصلحة.</w:t>
      </w:r>
    </w:p>
    <w:p w:rsidR="00AE1126" w:rsidRPr="001755E3" w:rsidRDefault="00AE1126" w:rsidP="007750F6">
      <w:pPr>
        <w:pStyle w:val="Heading1AR"/>
        <w:keepNext w:val="0"/>
        <w:widowControl w:val="0"/>
        <w:suppressAutoHyphens/>
        <w:rPr>
          <w:rFonts w:eastAsiaTheme="minorEastAsia"/>
        </w:rPr>
      </w:pPr>
      <w:proofErr w:type="gramStart"/>
      <w:r>
        <w:rPr>
          <w:rFonts w:eastAsia="Arial"/>
          <w:bdr w:val="nil"/>
          <w:rtl/>
          <w:lang w:val="ar-SA"/>
        </w:rPr>
        <w:t>عناصر</w:t>
      </w:r>
      <w:proofErr w:type="gramEnd"/>
      <w:r>
        <w:rPr>
          <w:rFonts w:eastAsia="Arial"/>
          <w:bdr w:val="nil"/>
          <w:rtl/>
          <w:lang w:val="ar-SA"/>
        </w:rPr>
        <w:t xml:space="preserve"> التسليم/الخدمات </w:t>
      </w:r>
    </w:p>
    <w:p w:rsidR="00AE1126" w:rsidRPr="001755E3" w:rsidRDefault="00AE1126" w:rsidP="007750F6">
      <w:pPr>
        <w:pStyle w:val="NormalParaAR"/>
        <w:widowControl w:val="0"/>
        <w:suppressAutoHyphens/>
        <w:rPr>
          <w:rFonts w:eastAsiaTheme="minorEastAsia"/>
        </w:rPr>
      </w:pPr>
      <w:r>
        <w:rPr>
          <w:rFonts w:eastAsia="Arial"/>
          <w:bdr w:val="nil"/>
          <w:rtl/>
          <w:lang w:val="ar-SA"/>
        </w:rPr>
        <w:t xml:space="preserve">سيسلم المقيِّم ما </w:t>
      </w:r>
      <w:proofErr w:type="gramStart"/>
      <w:r>
        <w:rPr>
          <w:rFonts w:eastAsia="Arial"/>
          <w:bdr w:val="nil"/>
          <w:rtl/>
          <w:lang w:val="ar-SA"/>
        </w:rPr>
        <w:t>يلي</w:t>
      </w:r>
      <w:proofErr w:type="gramEnd"/>
      <w:r>
        <w:rPr>
          <w:rFonts w:eastAsia="Arial"/>
          <w:bdr w:val="nil"/>
          <w:rtl/>
          <w:lang w:val="ar-SA"/>
        </w:rPr>
        <w:t>:</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(أ)</w:t>
      </w:r>
      <w:r>
        <w:rPr>
          <w:rFonts w:eastAsia="Arial"/>
          <w:bdr w:val="nil"/>
          <w:rtl/>
          <w:lang w:val="ar-SA"/>
        </w:rPr>
        <w:tab/>
        <w:t xml:space="preserve">تقرير استهلال يحتوي على وصف لمنهجية التقييم والأسلوب المنهجي، وأدوات جمع البيانات (بما في ذلك ما يجرى من </w:t>
      </w:r>
      <w:proofErr w:type="spellStart"/>
      <w:r>
        <w:rPr>
          <w:rFonts w:eastAsia="Arial"/>
          <w:bdr w:val="nil"/>
          <w:rtl/>
          <w:lang w:val="ar-SA"/>
        </w:rPr>
        <w:t>استقصاءات</w:t>
      </w:r>
      <w:proofErr w:type="spellEnd"/>
      <w:r>
        <w:rPr>
          <w:rFonts w:eastAsia="Arial"/>
          <w:bdr w:val="nil"/>
          <w:rtl/>
          <w:lang w:val="ar-SA"/>
        </w:rPr>
        <w:t xml:space="preserve"> لآراء المستفيدين وأصحاب المصلحة)، وطرائق تحليل البيانات، وأصحاب المصلحة الرئيسيين المطلوب إجراء مقابلات معهم، وأسئلة التقييم الإضافية، ومعايير تقويم الأداء، وخطة عمل التقييم؛</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(ب)</w:t>
      </w:r>
      <w:r>
        <w:rPr>
          <w:rFonts w:eastAsia="Arial"/>
          <w:bdr w:val="nil"/>
          <w:rtl/>
          <w:lang w:val="ar-SA"/>
        </w:rPr>
        <w:tab/>
        <w:t xml:space="preserve">ومشروع تقرير التقييم مع توصيات قابلة للتنفيذ استناداً إلى النتائج </w:t>
      </w:r>
      <w:proofErr w:type="gramStart"/>
      <w:r>
        <w:rPr>
          <w:rFonts w:eastAsia="Arial"/>
          <w:bdr w:val="nil"/>
          <w:rtl/>
          <w:lang w:val="ar-SA"/>
        </w:rPr>
        <w:t>والاستنتاجات</w:t>
      </w:r>
      <w:proofErr w:type="gramEnd"/>
      <w:r>
        <w:rPr>
          <w:rFonts w:eastAsia="Arial"/>
          <w:bdr w:val="nil"/>
          <w:rtl/>
          <w:lang w:val="ar-SA"/>
        </w:rPr>
        <w:t>؛</w:t>
      </w:r>
    </w:p>
    <w:p w:rsidR="00AE1126" w:rsidRPr="001755E3" w:rsidRDefault="00AE1126" w:rsidP="002033AA">
      <w:pPr>
        <w:pStyle w:val="NormalParaAR"/>
        <w:widowControl w:val="0"/>
        <w:suppressAutoHyphens/>
        <w:ind w:left="566"/>
        <w:rPr>
          <w:rFonts w:eastAsiaTheme="minorEastAsia"/>
        </w:rPr>
      </w:pPr>
      <w:r>
        <w:rPr>
          <w:rFonts w:eastAsia="Arial"/>
          <w:bdr w:val="nil"/>
          <w:rtl/>
          <w:lang w:val="ar-SA"/>
        </w:rPr>
        <w:t>(ج)</w:t>
      </w:r>
      <w:r>
        <w:rPr>
          <w:rFonts w:eastAsia="Arial"/>
          <w:bdr w:val="nil"/>
          <w:rtl/>
          <w:lang w:val="ar-SA"/>
        </w:rPr>
        <w:tab/>
      </w:r>
      <w:proofErr w:type="gramStart"/>
      <w:r>
        <w:rPr>
          <w:rFonts w:eastAsia="Arial"/>
          <w:bdr w:val="nil"/>
          <w:rtl/>
          <w:lang w:val="ar-SA"/>
        </w:rPr>
        <w:t>وتقرير</w:t>
      </w:r>
      <w:proofErr w:type="gramEnd"/>
      <w:r>
        <w:rPr>
          <w:rFonts w:eastAsia="Arial"/>
          <w:bdr w:val="nil"/>
          <w:rtl/>
          <w:lang w:val="ar-SA"/>
        </w:rPr>
        <w:t xml:space="preserve"> التقييم النهائي الذي يتضمن ملخصاً تنفيذياً، على أن يكون مقسماً على النحو التالي:</w:t>
      </w:r>
    </w:p>
    <w:p w:rsidR="002033AA" w:rsidRDefault="00057195" w:rsidP="00057195">
      <w:pPr>
        <w:pStyle w:val="NormalParaAR"/>
        <w:widowControl w:val="0"/>
        <w:suppressAutoHyphens/>
        <w:ind w:left="1133"/>
        <w:rPr>
          <w:rFonts w:eastAsia="Arial"/>
          <w:bdr w:val="nil"/>
          <w:rtl/>
          <w:lang w:val="ar-SA"/>
        </w:rPr>
      </w:pPr>
      <w:r>
        <w:rPr>
          <w:rFonts w:eastAsia="Arial" w:hint="cs"/>
          <w:bdr w:val="nil"/>
          <w:rtl/>
          <w:lang w:val="ar-SA"/>
        </w:rPr>
        <w:t>"1"</w:t>
      </w:r>
      <w:r w:rsidR="005D3683" w:rsidRPr="005D3683">
        <w:rPr>
          <w:rFonts w:eastAsia="Arial"/>
          <w:bdr w:val="nil"/>
          <w:rtl/>
          <w:lang w:val="ar-SA"/>
        </w:rPr>
        <w:t xml:space="preserve"> </w:t>
      </w:r>
      <w:r w:rsidR="00AE1126">
        <w:rPr>
          <w:rFonts w:eastAsia="Arial"/>
          <w:bdr w:val="nil"/>
          <w:rtl/>
          <w:lang w:val="ar-SA"/>
        </w:rPr>
        <w:t xml:space="preserve">وصف منهجية التقييم المستخدمة؛ </w:t>
      </w:r>
    </w:p>
    <w:p w:rsidR="00AE1126" w:rsidRPr="001755E3" w:rsidRDefault="00057195" w:rsidP="00057195">
      <w:pPr>
        <w:pStyle w:val="NormalParaAR"/>
        <w:widowControl w:val="0"/>
        <w:suppressAutoHyphens/>
        <w:ind w:left="1133"/>
        <w:rPr>
          <w:rFonts w:eastAsiaTheme="minorEastAsia"/>
        </w:rPr>
      </w:pPr>
      <w:r>
        <w:rPr>
          <w:rFonts w:eastAsia="Arial" w:hint="cs"/>
          <w:bdr w:val="nil"/>
          <w:rtl/>
          <w:lang w:val="ar-SA"/>
        </w:rPr>
        <w:t>"</w:t>
      </w:r>
      <w:r w:rsidR="005D3683">
        <w:rPr>
          <w:rFonts w:eastAsia="Arial" w:hint="cs"/>
          <w:bdr w:val="nil"/>
          <w:rtl/>
          <w:lang w:val="ar-SA"/>
        </w:rPr>
        <w:t>2</w:t>
      </w:r>
      <w:r>
        <w:rPr>
          <w:rFonts w:eastAsia="Arial" w:hint="cs"/>
          <w:bdr w:val="nil"/>
          <w:rtl/>
          <w:lang w:val="ar-SA"/>
        </w:rPr>
        <w:t>"</w:t>
      </w:r>
      <w:r w:rsidR="005D3683" w:rsidRPr="005D3683">
        <w:rPr>
          <w:rFonts w:eastAsia="Arial"/>
          <w:bdr w:val="nil"/>
          <w:rtl/>
          <w:lang w:val="ar-SA"/>
        </w:rPr>
        <w:t xml:space="preserve"> </w:t>
      </w:r>
      <w:r w:rsidR="00AE1126">
        <w:rPr>
          <w:rFonts w:eastAsia="Arial"/>
          <w:bdr w:val="nil"/>
          <w:rtl/>
          <w:lang w:val="ar-SA"/>
        </w:rPr>
        <w:t>وملخص النتائج الرئيسية القائمة على أدلة متمحورةً حول أسئلة التقييم الرئيسية؛</w:t>
      </w:r>
    </w:p>
    <w:p w:rsidR="00AE1126" w:rsidRPr="001755E3" w:rsidRDefault="00057195" w:rsidP="00057195">
      <w:pPr>
        <w:pStyle w:val="NormalParaAR"/>
        <w:widowControl w:val="0"/>
        <w:suppressAutoHyphens/>
        <w:ind w:left="1133"/>
        <w:rPr>
          <w:rFonts w:eastAsiaTheme="minorEastAsia"/>
        </w:rPr>
      </w:pPr>
      <w:r>
        <w:rPr>
          <w:rFonts w:eastAsia="Arial" w:hint="cs"/>
          <w:bdr w:val="nil"/>
          <w:rtl/>
          <w:lang w:val="ar-SA"/>
        </w:rPr>
        <w:t>"3"</w:t>
      </w:r>
      <w:r w:rsidR="005D3683" w:rsidRPr="005D3683">
        <w:rPr>
          <w:rFonts w:eastAsia="Arial"/>
          <w:bdr w:val="nil"/>
          <w:rtl/>
          <w:lang w:val="ar-SA"/>
        </w:rPr>
        <w:t xml:space="preserve"> </w:t>
      </w:r>
      <w:r w:rsidR="00AE1126">
        <w:rPr>
          <w:rFonts w:eastAsia="Arial"/>
          <w:bdr w:val="nil"/>
          <w:rtl/>
          <w:lang w:val="ar-SA"/>
        </w:rPr>
        <w:t>والاستنتاجات المستخلصة استناداً إلى النتائج؛</w:t>
      </w:r>
    </w:p>
    <w:p w:rsidR="00AE1126" w:rsidRPr="001755E3" w:rsidRDefault="00057195" w:rsidP="00057195">
      <w:pPr>
        <w:pStyle w:val="NormalParaAR"/>
        <w:widowControl w:val="0"/>
        <w:suppressAutoHyphens/>
        <w:ind w:left="1133"/>
        <w:rPr>
          <w:rFonts w:eastAsiaTheme="minorEastAsia"/>
        </w:rPr>
      </w:pPr>
      <w:r>
        <w:rPr>
          <w:rFonts w:eastAsia="Arial" w:hint="cs"/>
          <w:bdr w:val="nil"/>
          <w:rtl/>
          <w:lang w:val="ar-SA"/>
        </w:rPr>
        <w:t>"4"</w:t>
      </w:r>
      <w:r w:rsidR="005D3683" w:rsidRPr="005D3683">
        <w:rPr>
          <w:rFonts w:eastAsia="Arial"/>
          <w:bdr w:val="nil"/>
          <w:rtl/>
          <w:lang w:val="ar-SA"/>
        </w:rPr>
        <w:t xml:space="preserve"> </w:t>
      </w:r>
      <w:r w:rsidR="00AE1126">
        <w:rPr>
          <w:rFonts w:eastAsia="Arial"/>
          <w:bdr w:val="nil"/>
          <w:rtl/>
          <w:lang w:val="ar-SA"/>
        </w:rPr>
        <w:t xml:space="preserve">وتوصيات مستمدة من الاستنتاجات والدروس المستفادة؛ </w:t>
      </w:r>
    </w:p>
    <w:p w:rsidR="00AE1126" w:rsidRPr="001755E3" w:rsidRDefault="00AE1126" w:rsidP="00057195">
      <w:pPr>
        <w:pStyle w:val="NormalParaAR"/>
        <w:widowControl w:val="0"/>
        <w:suppressAutoHyphens/>
        <w:ind w:left="566"/>
        <w:rPr>
          <w:rFonts w:eastAsiaTheme="minorEastAsia"/>
        </w:rPr>
      </w:pPr>
      <w:r>
        <w:rPr>
          <w:rFonts w:eastAsia="Arial"/>
          <w:bdr w:val="nil"/>
          <w:rtl/>
          <w:lang w:val="ar-SA"/>
        </w:rPr>
        <w:t>(د)</w:t>
      </w:r>
      <w:r>
        <w:rPr>
          <w:rFonts w:eastAsia="Arial"/>
          <w:bdr w:val="nil"/>
          <w:rtl/>
          <w:lang w:val="ar-SA"/>
        </w:rPr>
        <w:tab/>
      </w:r>
      <w:proofErr w:type="gramStart"/>
      <w:r>
        <w:rPr>
          <w:rFonts w:eastAsia="Arial"/>
          <w:bdr w:val="nil"/>
          <w:rtl/>
          <w:lang w:val="ar-SA"/>
        </w:rPr>
        <w:t>وملخص</w:t>
      </w:r>
      <w:proofErr w:type="gramEnd"/>
      <w:r>
        <w:rPr>
          <w:rFonts w:eastAsia="Arial"/>
          <w:bdr w:val="nil"/>
          <w:rtl/>
          <w:lang w:val="ar-SA"/>
        </w:rPr>
        <w:t xml:space="preserve"> تنفيذي شامل لتقرير التقييم النهائي.</w:t>
      </w:r>
    </w:p>
    <w:p w:rsidR="00AE1126" w:rsidRPr="001755E3" w:rsidRDefault="00AE1126" w:rsidP="007750F6">
      <w:pPr>
        <w:pStyle w:val="NormalParaAR"/>
        <w:widowControl w:val="0"/>
        <w:suppressAutoHyphens/>
        <w:rPr>
          <w:rFonts w:eastAsiaTheme="minorEastAsia"/>
        </w:rPr>
      </w:pPr>
      <w:r>
        <w:rPr>
          <w:rFonts w:eastAsia="Arial"/>
          <w:bdr w:val="nil"/>
          <w:rtl/>
          <w:lang w:val="ar-SA"/>
        </w:rPr>
        <w:t>ومن المتوقع بدء تقييم المشروع هذا في 1 يونيه 2015 واستكماله في 15 أغسطس 2015</w:t>
      </w:r>
      <w:r w:rsidR="00B27244">
        <w:rPr>
          <w:rFonts w:eastAsia="Arial"/>
          <w:bdr w:val="nil"/>
          <w:rtl/>
          <w:lang w:val="ar-SA"/>
        </w:rPr>
        <w:t xml:space="preserve">. </w:t>
      </w:r>
      <w:r>
        <w:rPr>
          <w:rFonts w:eastAsia="Arial"/>
          <w:bdr w:val="nil"/>
          <w:rtl/>
          <w:lang w:val="ar-SA"/>
        </w:rPr>
        <w:t>وسيكون التقرير باللغة الإنكليزية.</w:t>
      </w:r>
    </w:p>
    <w:p w:rsidR="00AE1126" w:rsidRPr="00986B9C" w:rsidRDefault="00AE1126" w:rsidP="001725A4">
      <w:pPr>
        <w:pStyle w:val="Heading2AR"/>
        <w:widowControl w:val="0"/>
        <w:suppressAutoHyphens/>
        <w:rPr>
          <w:rFonts w:eastAsiaTheme="minorEastAsia"/>
          <w:b/>
          <w:bCs/>
        </w:rPr>
      </w:pPr>
      <w:proofErr w:type="gramStart"/>
      <w:r w:rsidRPr="00986B9C">
        <w:rPr>
          <w:rFonts w:eastAsia="Arial"/>
          <w:b/>
          <w:bCs/>
          <w:bdr w:val="nil"/>
          <w:rtl/>
          <w:lang w:val="ar-SA"/>
        </w:rPr>
        <w:lastRenderedPageBreak/>
        <w:t>إعداد</w:t>
      </w:r>
      <w:proofErr w:type="gramEnd"/>
      <w:r w:rsidRPr="00986B9C">
        <w:rPr>
          <w:rFonts w:eastAsia="Arial"/>
          <w:b/>
          <w:bCs/>
          <w:bdr w:val="nil"/>
          <w:rtl/>
          <w:lang w:val="ar-SA"/>
        </w:rPr>
        <w:t xml:space="preserve"> التقارير </w:t>
      </w:r>
    </w:p>
    <w:p w:rsidR="00AE1126" w:rsidRPr="001755E3" w:rsidRDefault="00AE1126" w:rsidP="001725A4">
      <w:pPr>
        <w:pStyle w:val="NormalParaAR"/>
        <w:keepNext/>
        <w:widowControl w:val="0"/>
        <w:suppressAutoHyphens/>
        <w:rPr>
          <w:rFonts w:eastAsiaTheme="minorEastAsia"/>
        </w:rPr>
      </w:pPr>
      <w:r>
        <w:rPr>
          <w:rFonts w:eastAsia="Arial"/>
          <w:bdr w:val="nil"/>
          <w:rtl/>
          <w:lang w:val="ar-SA"/>
        </w:rPr>
        <w:t xml:space="preserve">سيكون الاستشاري تحت إشراف مدير شعبة تنسيق </w:t>
      </w:r>
      <w:proofErr w:type="gramStart"/>
      <w:r>
        <w:rPr>
          <w:rFonts w:eastAsia="Arial"/>
          <w:bdr w:val="nil"/>
          <w:rtl/>
          <w:lang w:val="ar-SA"/>
        </w:rPr>
        <w:t>جدول</w:t>
      </w:r>
      <w:proofErr w:type="gramEnd"/>
      <w:r>
        <w:rPr>
          <w:rFonts w:eastAsia="Arial"/>
          <w:bdr w:val="nil"/>
          <w:rtl/>
          <w:lang w:val="ar-SA"/>
        </w:rPr>
        <w:t xml:space="preserve"> أعمال التنمية</w:t>
      </w:r>
      <w:r w:rsidR="00B27244">
        <w:rPr>
          <w:rFonts w:eastAsia="Arial"/>
          <w:bdr w:val="nil"/>
          <w:rtl/>
          <w:lang w:val="ar-SA"/>
        </w:rPr>
        <w:t xml:space="preserve">. </w:t>
      </w:r>
      <w:proofErr w:type="gramStart"/>
      <w:r>
        <w:rPr>
          <w:rFonts w:eastAsia="Arial"/>
          <w:bdr w:val="nil"/>
          <w:rtl/>
          <w:lang w:val="ar-SA"/>
        </w:rPr>
        <w:t>وبالإضافة</w:t>
      </w:r>
      <w:proofErr w:type="gramEnd"/>
      <w:r>
        <w:rPr>
          <w:rFonts w:eastAsia="Arial"/>
          <w:bdr w:val="nil"/>
          <w:rtl/>
          <w:lang w:val="ar-SA"/>
        </w:rPr>
        <w:t xml:space="preserve"> إلى ذلك، على المقيِّم أن:</w:t>
      </w:r>
    </w:p>
    <w:p w:rsidR="00AE1126" w:rsidRPr="001755E3" w:rsidRDefault="00AE1126" w:rsidP="007750F6">
      <w:pPr>
        <w:pStyle w:val="NormalParaAR"/>
        <w:widowControl w:val="0"/>
        <w:suppressAutoHyphens/>
        <w:ind w:left="567"/>
        <w:rPr>
          <w:rFonts w:eastAsiaTheme="minorEastAsia"/>
        </w:rPr>
      </w:pPr>
      <w:r>
        <w:rPr>
          <w:rFonts w:eastAsia="Arial"/>
          <w:bdr w:val="nil"/>
          <w:rtl/>
          <w:lang w:val="ar-SA"/>
        </w:rPr>
        <w:t>(أ)</w:t>
      </w:r>
      <w:r>
        <w:rPr>
          <w:rFonts w:eastAsia="Arial"/>
          <w:bdr w:val="nil"/>
          <w:rtl/>
          <w:lang w:val="ar-SA"/>
        </w:rPr>
        <w:tab/>
        <w:t>يعمل عن كثب مع شعبة تنسيق جدول أعمال التنمية ومدير المشروع وشعبة التعاون الدولي لنظام معاهدة التعاون بشأن البراءات</w:t>
      </w:r>
      <w:r w:rsidR="00B27244">
        <w:rPr>
          <w:rFonts w:eastAsia="Arial"/>
          <w:bdr w:val="nil"/>
          <w:rtl/>
          <w:lang w:val="ar-SA"/>
        </w:rPr>
        <w:t xml:space="preserve">. </w:t>
      </w:r>
      <w:r>
        <w:rPr>
          <w:rFonts w:eastAsia="Arial"/>
          <w:bdr w:val="nil"/>
          <w:rtl/>
          <w:lang w:val="ar-SA"/>
        </w:rPr>
        <w:t>وستتوليان كذلك التنسيق مع مديري البرامج ذات الصلة في الويبو حسب الاقتضاء؛</w:t>
      </w:r>
    </w:p>
    <w:p w:rsidR="00AE1126" w:rsidRPr="001755E3" w:rsidRDefault="00AE1126" w:rsidP="007750F6">
      <w:pPr>
        <w:pStyle w:val="NormalParaAR"/>
        <w:widowControl w:val="0"/>
        <w:suppressAutoHyphens/>
        <w:ind w:left="450"/>
        <w:rPr>
          <w:rFonts w:eastAsiaTheme="minorEastAsia"/>
        </w:rPr>
      </w:pPr>
      <w:r>
        <w:rPr>
          <w:rFonts w:eastAsia="Arial"/>
          <w:bdr w:val="nil"/>
          <w:rtl/>
          <w:lang w:val="ar-SA"/>
        </w:rPr>
        <w:t>(ب)</w:t>
      </w:r>
      <w:r>
        <w:rPr>
          <w:rFonts w:eastAsia="Arial"/>
          <w:bdr w:val="nil"/>
          <w:rtl/>
          <w:lang w:val="ar-SA"/>
        </w:rPr>
        <w:tab/>
      </w:r>
      <w:proofErr w:type="gramStart"/>
      <w:r>
        <w:rPr>
          <w:rFonts w:eastAsia="Arial"/>
          <w:bdr w:val="nil"/>
          <w:rtl/>
          <w:lang w:val="ar-SA"/>
        </w:rPr>
        <w:t>ويتكفل</w:t>
      </w:r>
      <w:proofErr w:type="gramEnd"/>
      <w:r>
        <w:rPr>
          <w:rFonts w:eastAsia="Arial"/>
          <w:bdr w:val="nil"/>
          <w:rtl/>
          <w:lang w:val="ar-SA"/>
        </w:rPr>
        <w:t xml:space="preserve"> بجودة البيانات (الصلاحية والاتساق والدقة) في جميع مراحل إعداد التقارير التحليلية (تقرير الاستهلال وتقرير التقييم النهائي).</w:t>
      </w:r>
    </w:p>
    <w:p w:rsidR="00AE1126" w:rsidRPr="00986B9C" w:rsidRDefault="00AE1126" w:rsidP="007750F6">
      <w:pPr>
        <w:pStyle w:val="Heading2AR"/>
        <w:keepNext w:val="0"/>
        <w:widowControl w:val="0"/>
        <w:suppressAutoHyphens/>
        <w:rPr>
          <w:rFonts w:eastAsiaTheme="minorEastAsia"/>
          <w:b/>
          <w:bCs/>
        </w:rPr>
      </w:pPr>
      <w:r w:rsidRPr="00986B9C">
        <w:rPr>
          <w:rFonts w:eastAsia="Arial"/>
          <w:b/>
          <w:bCs/>
          <w:bdr w:val="nil"/>
          <w:rtl/>
          <w:lang w:val="ar-SA"/>
        </w:rPr>
        <w:t xml:space="preserve">سجل المقيِّمَين </w:t>
      </w:r>
    </w:p>
    <w:p w:rsidR="00AE1126" w:rsidRPr="001755E3" w:rsidRDefault="00AE1126" w:rsidP="007750F6">
      <w:pPr>
        <w:pStyle w:val="NormalParaAR"/>
        <w:widowControl w:val="0"/>
        <w:suppressAutoHyphens/>
        <w:rPr>
          <w:rFonts w:eastAsiaTheme="minorEastAsia"/>
          <w:highlight w:val="yellow"/>
        </w:rPr>
      </w:pPr>
      <w:r>
        <w:rPr>
          <w:rFonts w:eastAsia="Arial"/>
          <w:bdr w:val="nil"/>
          <w:rtl/>
          <w:lang w:val="ar-SA"/>
        </w:rPr>
        <w:t xml:space="preserve">السيد دانييل </w:t>
      </w:r>
      <w:proofErr w:type="spellStart"/>
      <w:r>
        <w:rPr>
          <w:rFonts w:eastAsia="Arial"/>
          <w:bdr w:val="nil"/>
          <w:rtl/>
          <w:lang w:val="ar-SA"/>
        </w:rPr>
        <w:t>كيلير</w:t>
      </w:r>
      <w:proofErr w:type="spellEnd"/>
      <w:r>
        <w:rPr>
          <w:rFonts w:eastAsia="Arial"/>
          <w:bdr w:val="nil"/>
          <w:rtl/>
          <w:lang w:val="ar-SA"/>
        </w:rPr>
        <w:t xml:space="preserve"> له باع طويل في إعداد مشروعات التقييم وإدارتها وفي إجراء التقويمات المؤسسية في القطاعين العام والخاص</w:t>
      </w:r>
      <w:r w:rsidR="00B27244">
        <w:rPr>
          <w:rFonts w:eastAsia="Arial"/>
          <w:bdr w:val="nil"/>
          <w:rtl/>
          <w:lang w:val="ar-SA"/>
        </w:rPr>
        <w:t xml:space="preserve">. </w:t>
      </w:r>
      <w:r>
        <w:rPr>
          <w:rFonts w:eastAsia="Arial"/>
          <w:bdr w:val="nil"/>
          <w:rtl/>
          <w:lang w:val="ar-SA"/>
        </w:rPr>
        <w:t xml:space="preserve">وللسيد </w:t>
      </w:r>
      <w:proofErr w:type="spellStart"/>
      <w:r>
        <w:rPr>
          <w:rFonts w:eastAsia="Arial"/>
          <w:bdr w:val="nil"/>
          <w:rtl/>
          <w:lang w:val="ar-SA"/>
        </w:rPr>
        <w:t>كيلير</w:t>
      </w:r>
      <w:proofErr w:type="spellEnd"/>
      <w:r>
        <w:rPr>
          <w:rFonts w:eastAsia="Arial"/>
          <w:bdr w:val="nil"/>
          <w:rtl/>
          <w:lang w:val="ar-SA"/>
        </w:rPr>
        <w:t xml:space="preserve"> خبرة سابقة في الويبو أيضاً، حيث أعد تقارير بشأن بعض مشروعات جدول أعمال التنمية المستكملة، وهي تحديداً مشروع تعزيز التعاون الجنوبي-الجنوبي بشأن الملكية الفكرية والتنمية فيما بين البلدان النامية وأقل البلدان نمواً (الوثيقة CDIP/7/6)، ومشروع الملكية الفكرية والتنمية الاجتماعية الاقتصادية (الوثيقة CDIP/5/7 </w:t>
      </w:r>
      <w:proofErr w:type="spellStart"/>
      <w:r>
        <w:rPr>
          <w:rFonts w:eastAsia="Arial"/>
          <w:bdr w:val="nil"/>
          <w:rtl/>
          <w:lang w:val="ar-SA"/>
        </w:rPr>
        <w:t>Rev</w:t>
      </w:r>
      <w:proofErr w:type="spellEnd"/>
      <w:r>
        <w:rPr>
          <w:rFonts w:eastAsia="Arial"/>
          <w:bdr w:val="nil"/>
          <w:rtl/>
          <w:lang w:val="ar-SA"/>
        </w:rPr>
        <w:t xml:space="preserve">.)، </w:t>
      </w:r>
      <w:proofErr w:type="gramStart"/>
      <w:r>
        <w:rPr>
          <w:rFonts w:eastAsia="Arial"/>
          <w:bdr w:val="nil"/>
          <w:rtl/>
          <w:lang w:val="ar-SA"/>
        </w:rPr>
        <w:t>ومشروع</w:t>
      </w:r>
      <w:proofErr w:type="gramEnd"/>
      <w:r>
        <w:rPr>
          <w:rFonts w:eastAsia="Arial"/>
          <w:bdr w:val="nil"/>
          <w:rtl/>
          <w:lang w:val="ar-SA"/>
        </w:rPr>
        <w:t xml:space="preserve"> بشأن المشروعات التعاونية المفتوحة والنماذج القائمة على الملكية الفكرية (CDIP6/6/</w:t>
      </w:r>
      <w:proofErr w:type="spellStart"/>
      <w:r>
        <w:rPr>
          <w:rFonts w:eastAsia="Arial"/>
          <w:bdr w:val="nil"/>
          <w:rtl/>
          <w:lang w:val="ar-SA"/>
        </w:rPr>
        <w:t>Rev</w:t>
      </w:r>
      <w:proofErr w:type="spellEnd"/>
      <w:r>
        <w:rPr>
          <w:rFonts w:eastAsia="Arial"/>
          <w:bdr w:val="nil"/>
          <w:rtl/>
          <w:lang w:val="ar-SA"/>
        </w:rPr>
        <w:t>.).</w:t>
      </w:r>
    </w:p>
    <w:p w:rsidR="00AE1126" w:rsidRPr="00ED0DB7" w:rsidRDefault="00AE1126" w:rsidP="007750F6">
      <w:pPr>
        <w:pStyle w:val="NormalParaAR"/>
        <w:widowControl w:val="0"/>
        <w:suppressAutoHyphens/>
      </w:pPr>
      <w:proofErr w:type="gramStart"/>
      <w:r>
        <w:rPr>
          <w:rFonts w:eastAsia="Arial"/>
          <w:bdr w:val="nil"/>
          <w:rtl/>
          <w:lang w:val="ar-SA" w:eastAsia="zh-CN"/>
        </w:rPr>
        <w:t>السيد</w:t>
      </w:r>
      <w:proofErr w:type="gramEnd"/>
      <w:r>
        <w:rPr>
          <w:rFonts w:eastAsia="Arial"/>
          <w:bdr w:val="nil"/>
          <w:rtl/>
          <w:lang w:val="ar-SA" w:eastAsia="zh-CN"/>
        </w:rPr>
        <w:t xml:space="preserve"> راشد خان متخصص في الملكية الفكرية وفي تكنولوجيات الطاقة، وله خبرة في المجالات التكنولوجية على جانبي الإنتاج والاستخدام على حدٍ سواء</w:t>
      </w:r>
      <w:r w:rsidR="00B27244">
        <w:rPr>
          <w:rFonts w:eastAsia="Arial"/>
          <w:bdr w:val="nil"/>
          <w:rtl/>
          <w:lang w:val="ar-SA" w:eastAsia="zh-CN"/>
        </w:rPr>
        <w:t xml:space="preserve">. </w:t>
      </w:r>
      <w:r>
        <w:rPr>
          <w:rFonts w:eastAsia="Arial"/>
          <w:bdr w:val="nil"/>
          <w:rtl/>
          <w:lang w:val="ar-SA" w:eastAsia="zh-CN"/>
        </w:rPr>
        <w:t>وهو يُعتبر من الخبراء العالميين في معالجة المركبات الهيدروكربونية</w:t>
      </w:r>
      <w:r w:rsidR="00B27244">
        <w:rPr>
          <w:rFonts w:eastAsia="Arial"/>
          <w:bdr w:val="nil"/>
          <w:rtl/>
          <w:lang w:val="ar-SA" w:eastAsia="zh-CN"/>
        </w:rPr>
        <w:t xml:space="preserve">. </w:t>
      </w:r>
      <w:r>
        <w:rPr>
          <w:rFonts w:eastAsia="Arial"/>
          <w:bdr w:val="nil"/>
          <w:rtl/>
          <w:lang w:val="ar-SA" w:eastAsia="zh-CN"/>
        </w:rPr>
        <w:t>ويؤدي السيد راشد خان من خلال منصبه الحالي أدواراً قيادية في مجالات إثبات الملكية الفكرية وتطويرها وتسويقها</w:t>
      </w:r>
      <w:r w:rsidR="00B27244">
        <w:rPr>
          <w:rFonts w:eastAsia="Arial"/>
          <w:bdr w:val="nil"/>
          <w:rtl/>
          <w:lang w:val="ar-SA" w:eastAsia="zh-CN"/>
        </w:rPr>
        <w:t xml:space="preserve">. </w:t>
      </w:r>
      <w:r>
        <w:rPr>
          <w:rFonts w:eastAsia="Arial"/>
          <w:bdr w:val="nil"/>
          <w:rtl/>
          <w:lang w:val="ar-SA" w:eastAsia="zh-CN"/>
        </w:rPr>
        <w:t>وقد فاز بسبع وعشرين جائزة في مجال البراءات ونشر ما يزيد على 150 ورقة بحثية/عرض تقديمي وله ثلاثة كتب بين تأليف وتحرير</w:t>
      </w:r>
      <w:r w:rsidR="00B27244">
        <w:rPr>
          <w:rFonts w:eastAsia="Arial"/>
          <w:bdr w:val="nil"/>
          <w:rtl/>
          <w:lang w:val="ar-SA" w:eastAsia="zh-CN"/>
        </w:rPr>
        <w:t xml:space="preserve">. </w:t>
      </w:r>
      <w:r>
        <w:rPr>
          <w:rFonts w:eastAsia="Arial"/>
          <w:bdr w:val="nil"/>
          <w:rtl/>
          <w:lang w:val="ar-SA" w:eastAsia="zh-CN"/>
        </w:rPr>
        <w:t xml:space="preserve">وهو أيضاً </w:t>
      </w:r>
      <w:proofErr w:type="gramStart"/>
      <w:r>
        <w:rPr>
          <w:rFonts w:eastAsia="Arial"/>
          <w:bdr w:val="nil"/>
          <w:rtl/>
          <w:lang w:val="ar-SA" w:eastAsia="zh-CN"/>
        </w:rPr>
        <w:t>عضو</w:t>
      </w:r>
      <w:proofErr w:type="gramEnd"/>
      <w:r>
        <w:rPr>
          <w:rFonts w:eastAsia="Arial"/>
          <w:bdr w:val="nil"/>
          <w:rtl/>
          <w:lang w:val="ar-SA" w:eastAsia="zh-CN"/>
        </w:rPr>
        <w:t xml:space="preserve"> هيئة تحرير "مصادر الطاقة"</w:t>
      </w:r>
      <w:r w:rsidR="00B27244">
        <w:rPr>
          <w:rFonts w:eastAsia="Arial"/>
          <w:bdr w:val="nil"/>
          <w:rtl/>
          <w:lang w:val="ar-SA" w:eastAsia="zh-CN"/>
        </w:rPr>
        <w:t xml:space="preserve">. </w:t>
      </w:r>
      <w:r>
        <w:rPr>
          <w:rFonts w:eastAsia="Arial"/>
          <w:bdr w:val="nil"/>
          <w:rtl/>
          <w:lang w:val="ar-SA" w:eastAsia="zh-CN"/>
        </w:rPr>
        <w:t>وقد قاد أثناء فترة توظفه في وزارة الطاقة بالولايات المتحدة مسيرة تطوير وتسويق عملية ترقية.</w:t>
      </w:r>
    </w:p>
    <w:p w:rsidR="00AE1126" w:rsidRPr="00986B9C" w:rsidRDefault="00AE1126" w:rsidP="007750F6">
      <w:pPr>
        <w:pStyle w:val="Heading2AR"/>
        <w:keepNext w:val="0"/>
        <w:widowControl w:val="0"/>
        <w:suppressAutoHyphens/>
        <w:rPr>
          <w:rFonts w:eastAsiaTheme="minorEastAsia"/>
          <w:b/>
          <w:bCs/>
        </w:rPr>
      </w:pPr>
      <w:r w:rsidRPr="00986B9C">
        <w:rPr>
          <w:rFonts w:eastAsia="Arial"/>
          <w:b/>
          <w:bCs/>
          <w:bdr w:val="nil"/>
          <w:rtl/>
          <w:lang w:val="ar-SA"/>
        </w:rPr>
        <w:t xml:space="preserve">مدة العقد </w:t>
      </w:r>
      <w:proofErr w:type="gramStart"/>
      <w:r w:rsidRPr="00986B9C">
        <w:rPr>
          <w:rFonts w:eastAsia="Arial"/>
          <w:b/>
          <w:bCs/>
          <w:bdr w:val="nil"/>
          <w:rtl/>
          <w:lang w:val="ar-SA"/>
        </w:rPr>
        <w:t>والأتعاب</w:t>
      </w:r>
      <w:proofErr w:type="gramEnd"/>
    </w:p>
    <w:p w:rsidR="00AE1126" w:rsidRPr="001755E3" w:rsidRDefault="00AE1126" w:rsidP="007750F6">
      <w:pPr>
        <w:pStyle w:val="NormalParaAR"/>
        <w:widowControl w:val="0"/>
        <w:suppressAutoHyphens/>
        <w:rPr>
          <w:rFonts w:eastAsiaTheme="minorEastAsia"/>
        </w:rPr>
      </w:pPr>
      <w:r>
        <w:rPr>
          <w:rFonts w:eastAsia="Arial"/>
          <w:bdr w:val="nil"/>
          <w:rtl/>
          <w:lang w:val="ar-SA"/>
        </w:rPr>
        <w:t>يبدأ العقد في 1 يونيه 2015 وينتهي في 13 نوفمبر 2015</w:t>
      </w:r>
      <w:r w:rsidR="00B27244">
        <w:rPr>
          <w:rFonts w:eastAsia="Arial"/>
          <w:bdr w:val="nil"/>
          <w:rtl/>
          <w:lang w:val="ar-SA"/>
        </w:rPr>
        <w:t xml:space="preserve">. </w:t>
      </w:r>
      <w:r>
        <w:rPr>
          <w:rFonts w:eastAsia="Arial"/>
          <w:bdr w:val="nil"/>
          <w:rtl/>
          <w:lang w:val="ar-SA"/>
        </w:rPr>
        <w:t>وينبغي خلال هذه الفترة اتباع الجدول الزمني التالي:</w:t>
      </w:r>
    </w:p>
    <w:p w:rsidR="00AE1126" w:rsidRPr="001755E3" w:rsidRDefault="00AE1126" w:rsidP="007750F6">
      <w:pPr>
        <w:pStyle w:val="NormalParaAR"/>
        <w:widowControl w:val="0"/>
        <w:suppressAutoHyphens/>
        <w:rPr>
          <w:rFonts w:eastAsiaTheme="minorEastAsia"/>
        </w:rPr>
      </w:pPr>
      <w:r>
        <w:rPr>
          <w:rFonts w:eastAsia="Arial"/>
          <w:bdr w:val="nil"/>
          <w:rtl/>
          <w:lang w:val="ar-SA"/>
        </w:rPr>
        <w:t>ينبغي تقديم تقرير الاستهلال للويبو في موعد غايته 15 يونيه 2015</w:t>
      </w:r>
      <w:r w:rsidR="00B27244">
        <w:rPr>
          <w:rFonts w:eastAsia="Arial"/>
          <w:bdr w:val="nil"/>
          <w:rtl/>
          <w:lang w:val="ar-SA"/>
        </w:rPr>
        <w:t xml:space="preserve">. </w:t>
      </w:r>
      <w:r>
        <w:rPr>
          <w:rFonts w:eastAsia="Arial"/>
          <w:bdr w:val="nil"/>
          <w:rtl/>
          <w:lang w:val="ar-SA"/>
        </w:rPr>
        <w:t>وستصلكما تعليقات الويبو في موعد غايته 20 يونيه 2015</w:t>
      </w:r>
      <w:r w:rsidR="00B27244">
        <w:rPr>
          <w:rFonts w:eastAsia="Arial"/>
          <w:bdr w:val="nil"/>
          <w:rtl/>
          <w:lang w:val="ar-SA"/>
        </w:rPr>
        <w:t xml:space="preserve">. </w:t>
      </w:r>
      <w:r>
        <w:rPr>
          <w:rFonts w:eastAsia="Arial"/>
          <w:bdr w:val="nil"/>
          <w:rtl/>
          <w:lang w:val="ar-SA"/>
        </w:rPr>
        <w:t>ويجب تقديم مشروع تقرير التقييم للويبو في موعد غايته 20 يوليه 2015</w:t>
      </w:r>
      <w:r w:rsidR="00B27244">
        <w:rPr>
          <w:rFonts w:eastAsia="Arial"/>
          <w:bdr w:val="nil"/>
          <w:rtl/>
          <w:lang w:val="ar-SA"/>
        </w:rPr>
        <w:t xml:space="preserve">. </w:t>
      </w:r>
      <w:r>
        <w:rPr>
          <w:rFonts w:eastAsia="Arial"/>
          <w:bdr w:val="nil"/>
          <w:rtl/>
          <w:lang w:val="ar-SA"/>
        </w:rPr>
        <w:t xml:space="preserve">وستأتيكما التصحيحات </w:t>
      </w:r>
      <w:proofErr w:type="spellStart"/>
      <w:r>
        <w:rPr>
          <w:rFonts w:eastAsia="Arial"/>
          <w:bdr w:val="nil"/>
          <w:rtl/>
          <w:lang w:val="ar-SA"/>
        </w:rPr>
        <w:t>الوقائعية</w:t>
      </w:r>
      <w:proofErr w:type="spellEnd"/>
      <w:r>
        <w:rPr>
          <w:rFonts w:eastAsia="Arial"/>
          <w:bdr w:val="nil"/>
          <w:rtl/>
          <w:lang w:val="ar-SA"/>
        </w:rPr>
        <w:t xml:space="preserve"> على المشروع في موعد غايته 30 يوليه 2015</w:t>
      </w:r>
      <w:r w:rsidR="00B27244">
        <w:rPr>
          <w:rFonts w:eastAsia="Arial"/>
          <w:bdr w:val="nil"/>
          <w:rtl/>
          <w:lang w:val="ar-SA"/>
        </w:rPr>
        <w:t xml:space="preserve">. </w:t>
      </w:r>
      <w:r>
        <w:rPr>
          <w:rFonts w:eastAsia="Arial"/>
          <w:bdr w:val="nil"/>
          <w:rtl/>
          <w:lang w:val="ar-SA"/>
        </w:rPr>
        <w:t>ويجب تقديم تقرير التقييم النهائي في موعد غايته 3 أغسطس 2015</w:t>
      </w:r>
      <w:r w:rsidR="00B27244">
        <w:rPr>
          <w:rFonts w:eastAsia="Arial"/>
          <w:bdr w:val="nil"/>
          <w:rtl/>
          <w:lang w:val="ar-SA"/>
        </w:rPr>
        <w:t xml:space="preserve">. </w:t>
      </w:r>
      <w:proofErr w:type="gramStart"/>
      <w:r>
        <w:rPr>
          <w:rFonts w:eastAsia="Arial"/>
          <w:bdr w:val="nil"/>
          <w:rtl/>
          <w:lang w:val="ar-SA"/>
        </w:rPr>
        <w:t>وستنظر</w:t>
      </w:r>
      <w:proofErr w:type="gramEnd"/>
      <w:r>
        <w:rPr>
          <w:rFonts w:eastAsia="Arial"/>
          <w:bdr w:val="nil"/>
          <w:rtl/>
          <w:lang w:val="ar-SA"/>
        </w:rPr>
        <w:t xml:space="preserve"> اللجنة في الصيغة النهائية من تقرير التقييم الذي يضم رد الإدارة في مرفق خلال دورتها السادسة عشرة المقرر عقدها في الفترة من 9 إلى 13 نوفمبر 2015</w:t>
      </w:r>
      <w:r w:rsidR="00B27244">
        <w:rPr>
          <w:rFonts w:eastAsia="Arial"/>
          <w:bdr w:val="nil"/>
          <w:rtl/>
          <w:lang w:val="ar-SA"/>
        </w:rPr>
        <w:t xml:space="preserve">. </w:t>
      </w:r>
      <w:proofErr w:type="gramStart"/>
      <w:r w:rsidR="00E64B74">
        <w:rPr>
          <w:rFonts w:eastAsia="Arial"/>
          <w:bdr w:val="nil"/>
          <w:rtl/>
          <w:lang w:val="ar-SA"/>
        </w:rPr>
        <w:t>وستكونا</w:t>
      </w:r>
      <w:r w:rsidR="00E64B74">
        <w:rPr>
          <w:rFonts w:eastAsia="Arial" w:hint="cs"/>
          <w:bdr w:val="nil"/>
          <w:rtl/>
          <w:lang w:val="ar-SA"/>
        </w:rPr>
        <w:t>ن</w:t>
      </w:r>
      <w:proofErr w:type="gramEnd"/>
      <w:r>
        <w:rPr>
          <w:rFonts w:eastAsia="Arial"/>
          <w:bdr w:val="nil"/>
          <w:rtl/>
          <w:lang w:val="ar-SA"/>
        </w:rPr>
        <w:t xml:space="preserve"> مطالبَين بعرض تقرير التقييم في دورة اللجنة تلك.</w:t>
      </w:r>
    </w:p>
    <w:p w:rsidR="00AE1126" w:rsidRPr="001755E3" w:rsidRDefault="00AE1126" w:rsidP="007750F6">
      <w:pPr>
        <w:pStyle w:val="EndofDocumentAR"/>
        <w:widowControl w:val="0"/>
        <w:suppressAutoHyphens/>
        <w:rPr>
          <w:rFonts w:eastAsiaTheme="minorEastAsia"/>
          <w:szCs w:val="22"/>
        </w:rPr>
      </w:pPr>
      <w:r>
        <w:rPr>
          <w:rFonts w:eastAsia="Arial"/>
          <w:bdr w:val="nil"/>
          <w:rtl/>
          <w:lang w:val="ar-SA"/>
        </w:rPr>
        <w:tab/>
      </w:r>
      <w:r>
        <w:rPr>
          <w:rFonts w:eastAsia="Arial"/>
          <w:bdr w:val="nil"/>
          <w:rtl/>
          <w:lang w:val="ar-SA"/>
        </w:rPr>
        <w:tab/>
        <w:t>[</w:t>
      </w:r>
      <w:r w:rsidR="006E10F2">
        <w:rPr>
          <w:rFonts w:eastAsia="Arial" w:hint="cs"/>
          <w:bdr w:val="nil"/>
          <w:rtl/>
          <w:lang w:val="ar-SA"/>
        </w:rPr>
        <w:t xml:space="preserve">يلي ذلك </w:t>
      </w:r>
      <w:proofErr w:type="gramStart"/>
      <w:r>
        <w:rPr>
          <w:rFonts w:eastAsia="Arial"/>
          <w:bdr w:val="nil"/>
          <w:rtl/>
          <w:lang w:val="ar-SA"/>
        </w:rPr>
        <w:t>الملحق</w:t>
      </w:r>
      <w:proofErr w:type="gramEnd"/>
      <w:r>
        <w:rPr>
          <w:rFonts w:eastAsia="Arial"/>
          <w:bdr w:val="nil"/>
          <w:rtl/>
          <w:lang w:val="ar-SA"/>
        </w:rPr>
        <w:t xml:space="preserve"> الثاني]</w:t>
      </w:r>
    </w:p>
    <w:p w:rsidR="00AE1126" w:rsidRDefault="00AE1126" w:rsidP="007750F6">
      <w:pPr>
        <w:pStyle w:val="ONUME"/>
        <w:widowControl w:val="0"/>
        <w:numPr>
          <w:ilvl w:val="0"/>
          <w:numId w:val="0"/>
        </w:numPr>
        <w:suppressAutoHyphens/>
        <w:jc w:val="both"/>
        <w:rPr>
          <w:caps/>
        </w:rPr>
        <w:sectPr w:rsidR="00AE1126" w:rsidSect="00AE1126">
          <w:headerReference w:type="default" r:id="rId19"/>
          <w:headerReference w:type="first" r:id="rId20"/>
          <w:footerReference w:type="first" r:id="rId21"/>
          <w:pgSz w:w="11907" w:h="16840" w:code="9"/>
          <w:pgMar w:top="567" w:right="1134" w:bottom="1418" w:left="1418" w:header="510" w:footer="1021" w:gutter="0"/>
          <w:pgNumType w:start="1"/>
          <w:cols w:space="720"/>
          <w:titlePg/>
        </w:sectPr>
      </w:pPr>
    </w:p>
    <w:p w:rsidR="00AE1126" w:rsidRPr="005C611F" w:rsidRDefault="00D021F0" w:rsidP="007750F6">
      <w:pPr>
        <w:pStyle w:val="Heading1AR"/>
        <w:keepNext w:val="0"/>
        <w:widowControl w:val="0"/>
        <w:suppressAutoHyphens/>
        <w:rPr>
          <w:b/>
          <w:bCs w:val="0"/>
        </w:rPr>
      </w:pPr>
      <w:proofErr w:type="gramStart"/>
      <w:r w:rsidRPr="005C611F">
        <w:rPr>
          <w:rFonts w:eastAsia="Arial"/>
          <w:b/>
          <w:bCs w:val="0"/>
          <w:bdr w:val="nil"/>
          <w:rtl/>
          <w:lang w:val="ar-SA"/>
        </w:rPr>
        <w:lastRenderedPageBreak/>
        <w:t>الملحق</w:t>
      </w:r>
      <w:proofErr w:type="gramEnd"/>
      <w:r w:rsidRPr="005C611F">
        <w:rPr>
          <w:rFonts w:eastAsia="Arial"/>
          <w:b/>
          <w:bCs w:val="0"/>
          <w:bdr w:val="nil"/>
          <w:rtl/>
          <w:lang w:val="ar-SA"/>
        </w:rPr>
        <w:t xml:space="preserve"> الثاني:</w:t>
      </w:r>
      <w:r w:rsidR="00AE1126" w:rsidRPr="005C611F">
        <w:rPr>
          <w:rFonts w:eastAsia="Arial"/>
          <w:b/>
          <w:bCs w:val="0"/>
          <w:bdr w:val="nil"/>
          <w:rtl/>
          <w:lang w:val="ar-SA"/>
        </w:rPr>
        <w:t xml:space="preserve"> قائمة الأشخاص الذين أجريت معهم مقابلات</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AE1126" w:rsidRPr="00FA1249" w:rsidTr="00AE1126">
        <w:trPr>
          <w:tblHeader/>
        </w:trPr>
        <w:tc>
          <w:tcPr>
            <w:tcW w:w="918" w:type="dxa"/>
            <w:shd w:val="clear" w:color="auto" w:fill="auto"/>
            <w:vAlign w:val="center"/>
          </w:tcPr>
          <w:p w:rsidR="00AE1126" w:rsidRPr="00FA1249" w:rsidRDefault="00AE1126" w:rsidP="007750F6">
            <w:pPr>
              <w:pStyle w:val="NormalParaAR"/>
              <w:widowControl w:val="0"/>
              <w:suppressAutoHyphens/>
              <w:jc w:val="center"/>
            </w:pPr>
            <w:r w:rsidRPr="00FA1249">
              <w:rPr>
                <w:rFonts w:eastAsia="Arial"/>
                <w:bdr w:val="nil"/>
                <w:rtl/>
                <w:lang w:val="ar-SA" w:eastAsia="zh-CN"/>
              </w:rPr>
              <w:t>م</w:t>
            </w:r>
          </w:p>
        </w:tc>
        <w:tc>
          <w:tcPr>
            <w:tcW w:w="8404" w:type="dxa"/>
            <w:shd w:val="clear" w:color="auto" w:fill="auto"/>
            <w:vAlign w:val="center"/>
          </w:tcPr>
          <w:p w:rsidR="00AE1126" w:rsidRPr="00FA1249" w:rsidRDefault="00AE1126" w:rsidP="007750F6">
            <w:pPr>
              <w:pStyle w:val="NormalParaAR"/>
              <w:widowControl w:val="0"/>
              <w:suppressAutoHyphens/>
              <w:jc w:val="center"/>
            </w:pPr>
            <w:r w:rsidRPr="00FA1249">
              <w:rPr>
                <w:rFonts w:eastAsia="Arial"/>
                <w:bdr w:val="nil"/>
                <w:rtl/>
                <w:lang w:val="ar-SA" w:eastAsia="zh-CN"/>
              </w:rPr>
              <w:t xml:space="preserve">الاسم </w:t>
            </w:r>
            <w:proofErr w:type="gramStart"/>
            <w:r w:rsidRPr="00FA1249">
              <w:rPr>
                <w:rFonts w:eastAsia="Arial"/>
                <w:bdr w:val="nil"/>
                <w:rtl/>
                <w:lang w:val="ar-SA" w:eastAsia="zh-CN"/>
              </w:rPr>
              <w:t>والوظيفة</w:t>
            </w:r>
            <w:proofErr w:type="gramEnd"/>
          </w:p>
        </w:tc>
      </w:tr>
      <w:tr w:rsidR="00AE1126" w:rsidRPr="00FA1249" w:rsidTr="00AE1126">
        <w:tc>
          <w:tcPr>
            <w:tcW w:w="918" w:type="dxa"/>
            <w:shd w:val="clear" w:color="auto" w:fill="auto"/>
            <w:vAlign w:val="center"/>
          </w:tcPr>
          <w:p w:rsidR="00AE1126" w:rsidRPr="00FA1249" w:rsidRDefault="00AE1126" w:rsidP="007750F6">
            <w:pPr>
              <w:pStyle w:val="NormalParaAR"/>
              <w:widowControl w:val="0"/>
              <w:suppressAutoHyphens/>
              <w:jc w:val="center"/>
            </w:pPr>
            <w:r w:rsidRPr="00FA1249">
              <w:rPr>
                <w:rFonts w:eastAsia="Arial"/>
                <w:bdr w:val="nil"/>
                <w:rtl/>
                <w:lang w:val="ar-SA" w:eastAsia="zh-CN"/>
              </w:rPr>
              <w:t>1.</w:t>
            </w:r>
          </w:p>
        </w:tc>
        <w:tc>
          <w:tcPr>
            <w:tcW w:w="8404" w:type="dxa"/>
            <w:shd w:val="clear" w:color="auto" w:fill="auto"/>
            <w:vAlign w:val="center"/>
          </w:tcPr>
          <w:p w:rsidR="00AE1126" w:rsidRPr="00FA1249" w:rsidRDefault="00AE1126" w:rsidP="007750F6">
            <w:pPr>
              <w:pStyle w:val="NormalParaAR"/>
              <w:widowControl w:val="0"/>
              <w:suppressAutoHyphens/>
            </w:pPr>
            <w:r w:rsidRPr="00FA1249">
              <w:rPr>
                <w:rFonts w:eastAsia="Arial"/>
                <w:bdr w:val="nil"/>
                <w:rtl/>
                <w:lang w:val="ar-SA" w:eastAsia="zh-CN"/>
              </w:rPr>
              <w:t xml:space="preserve">السيد </w:t>
            </w:r>
            <w:proofErr w:type="gramStart"/>
            <w:r w:rsidRPr="00FA1249">
              <w:rPr>
                <w:rFonts w:eastAsia="Arial"/>
                <w:bdr w:val="nil"/>
                <w:rtl/>
                <w:lang w:val="ar-SA" w:eastAsia="zh-CN"/>
              </w:rPr>
              <w:t>وليد</w:t>
            </w:r>
            <w:proofErr w:type="gramEnd"/>
            <w:r w:rsidRPr="00FA1249">
              <w:rPr>
                <w:rFonts w:eastAsia="Arial"/>
                <w:bdr w:val="nil"/>
                <w:rtl/>
                <w:lang w:val="ar-SA" w:eastAsia="zh-CN"/>
              </w:rPr>
              <w:t xml:space="preserve"> عبد الناصر، مدير المكتب الإقليمي للبلدان العربية</w:t>
            </w:r>
          </w:p>
        </w:tc>
      </w:tr>
      <w:tr w:rsidR="00AE1126" w:rsidTr="00AE1126">
        <w:tc>
          <w:tcPr>
            <w:tcW w:w="918" w:type="dxa"/>
            <w:shd w:val="clear" w:color="auto" w:fill="auto"/>
            <w:vAlign w:val="center"/>
          </w:tcPr>
          <w:p w:rsidR="00AE1126" w:rsidRPr="005A15E6" w:rsidRDefault="00E10D95" w:rsidP="007750F6">
            <w:pPr>
              <w:pStyle w:val="NormalParaAR"/>
              <w:widowControl w:val="0"/>
              <w:suppressAutoHyphens/>
              <w:bidi w:val="0"/>
              <w:jc w:val="center"/>
            </w:pPr>
            <w:r>
              <w:t>.2</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السيدة سارة أحلام </w:t>
            </w:r>
            <w:proofErr w:type="spellStart"/>
            <w:r>
              <w:rPr>
                <w:rFonts w:eastAsia="Arial"/>
                <w:bdr w:val="nil"/>
                <w:rtl/>
                <w:lang w:val="ar-SA" w:eastAsia="zh-CN"/>
              </w:rPr>
              <w:t>شريخي</w:t>
            </w:r>
            <w:proofErr w:type="spellEnd"/>
            <w:r>
              <w:rPr>
                <w:rFonts w:eastAsia="Arial"/>
                <w:bdr w:val="nil"/>
                <w:rtl/>
                <w:lang w:val="ar-SA" w:eastAsia="zh-CN"/>
              </w:rPr>
              <w:t>، ملحق، البعثة الدائمة للجزائر</w:t>
            </w:r>
          </w:p>
        </w:tc>
      </w:tr>
      <w:tr w:rsidR="00AE1126" w:rsidTr="00AE1126">
        <w:tc>
          <w:tcPr>
            <w:tcW w:w="918" w:type="dxa"/>
            <w:shd w:val="clear" w:color="auto" w:fill="auto"/>
            <w:vAlign w:val="center"/>
          </w:tcPr>
          <w:p w:rsidR="00AE1126" w:rsidRPr="005A15E6" w:rsidRDefault="00E10D95" w:rsidP="007750F6">
            <w:pPr>
              <w:pStyle w:val="NormalParaAR"/>
              <w:widowControl w:val="0"/>
              <w:suppressAutoHyphens/>
              <w:bidi w:val="0"/>
              <w:jc w:val="center"/>
            </w:pPr>
            <w:r>
              <w:t>.3</w:t>
            </w:r>
          </w:p>
        </w:tc>
        <w:tc>
          <w:tcPr>
            <w:tcW w:w="8404" w:type="dxa"/>
            <w:shd w:val="clear" w:color="auto" w:fill="auto"/>
            <w:vAlign w:val="center"/>
          </w:tcPr>
          <w:p w:rsidR="00AE1126" w:rsidRPr="000B4844" w:rsidRDefault="00AE1126" w:rsidP="007750F6">
            <w:pPr>
              <w:pStyle w:val="NormalParaAR"/>
              <w:widowControl w:val="0"/>
              <w:suppressAutoHyphens/>
              <w:rPr>
                <w:bCs/>
              </w:rPr>
            </w:pPr>
            <w:r>
              <w:rPr>
                <w:rFonts w:eastAsia="Arial"/>
                <w:bdr w:val="nil"/>
                <w:rtl/>
                <w:lang w:val="ar-SA" w:eastAsia="zh-CN"/>
              </w:rPr>
              <w:t>السيد ماركو أليمان، مدير مؤقت، شعبة قانون البراءات</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4</w:t>
            </w:r>
            <w:r w:rsidRPr="005A15E6">
              <w:rPr>
                <w:rFonts w:eastAsia="Arial"/>
                <w:bdr w:val="nil"/>
                <w:rtl/>
                <w:cs/>
                <w:lang w:val="ar-SA" w:eastAsia="zh-CN"/>
              </w:rPr>
              <w:t>‎.</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السيدة </w:t>
            </w:r>
            <w:proofErr w:type="gramStart"/>
            <w:r>
              <w:rPr>
                <w:rFonts w:eastAsia="Arial"/>
                <w:bdr w:val="nil"/>
                <w:rtl/>
                <w:lang w:val="ar-SA" w:eastAsia="zh-CN"/>
              </w:rPr>
              <w:t>أولغا</w:t>
            </w:r>
            <w:proofErr w:type="gramEnd"/>
            <w:r>
              <w:rPr>
                <w:rFonts w:eastAsia="Arial"/>
                <w:bdr w:val="nil"/>
                <w:rtl/>
                <w:lang w:val="ar-SA" w:eastAsia="zh-CN"/>
              </w:rPr>
              <w:t xml:space="preserve"> أليمان، منسقة مشروعات التعاون الدولي، الشؤون القانونية والدولية، المعهد السويسري الاتحادي للملكية الفكرية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5</w:t>
            </w:r>
            <w:r w:rsidRPr="005A15E6">
              <w:rPr>
                <w:rFonts w:eastAsia="Arial"/>
                <w:bdr w:val="nil"/>
                <w:rtl/>
                <w:cs/>
                <w:lang w:val="ar-SA" w:eastAsia="zh-CN"/>
              </w:rPr>
              <w:t>‎.</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السيدة مايا </w:t>
            </w:r>
            <w:proofErr w:type="spellStart"/>
            <w:r>
              <w:rPr>
                <w:rFonts w:eastAsia="Arial"/>
                <w:bdr w:val="nil"/>
                <w:rtl/>
                <w:lang w:val="ar-SA" w:eastAsia="zh-CN"/>
              </w:rPr>
              <w:t>كاتارينا</w:t>
            </w:r>
            <w:proofErr w:type="spellEnd"/>
            <w:r>
              <w:rPr>
                <w:rFonts w:eastAsia="Arial"/>
                <w:bdr w:val="nil"/>
                <w:rtl/>
                <w:lang w:val="ar-SA" w:eastAsia="zh-CN"/>
              </w:rPr>
              <w:t xml:space="preserve"> </w:t>
            </w:r>
            <w:proofErr w:type="spellStart"/>
            <w:r>
              <w:rPr>
                <w:rFonts w:eastAsia="Arial"/>
                <w:bdr w:val="nil"/>
                <w:rtl/>
                <w:lang w:val="ar-SA" w:eastAsia="zh-CN"/>
              </w:rPr>
              <w:t>باخنر</w:t>
            </w:r>
            <w:proofErr w:type="spellEnd"/>
            <w:r>
              <w:rPr>
                <w:rFonts w:eastAsia="Arial"/>
                <w:bdr w:val="nil"/>
                <w:rtl/>
                <w:lang w:val="ar-SA" w:eastAsia="zh-CN"/>
              </w:rPr>
              <w:t>، مديرة بالإنابة ورئيسة تخطيط موارد إدارة وأداء البرامج، شعبة إدارة وأداء البرامج</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6.</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 فيليب </w:t>
            </w:r>
            <w:proofErr w:type="spellStart"/>
            <w:r>
              <w:rPr>
                <w:rFonts w:eastAsia="Arial"/>
                <w:bdr w:val="nil"/>
                <w:rtl/>
                <w:lang w:val="ar-SA" w:eastAsia="zh-CN"/>
              </w:rPr>
              <w:t>بيكتولد</w:t>
            </w:r>
            <w:proofErr w:type="spellEnd"/>
            <w:r>
              <w:rPr>
                <w:rFonts w:eastAsia="Arial"/>
                <w:bdr w:val="nil"/>
                <w:rtl/>
                <w:lang w:val="ar-SA" w:eastAsia="zh-CN"/>
              </w:rPr>
              <w:t>، مدير بالإنابة، شعبة معاهدة التعاون بشأن البراءات</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7.</w:t>
            </w:r>
          </w:p>
        </w:tc>
        <w:tc>
          <w:tcPr>
            <w:tcW w:w="8404" w:type="dxa"/>
            <w:shd w:val="clear" w:color="auto" w:fill="auto"/>
            <w:vAlign w:val="center"/>
          </w:tcPr>
          <w:p w:rsidR="00AE1126" w:rsidRPr="00CA5979" w:rsidRDefault="00AE1126" w:rsidP="007750F6">
            <w:pPr>
              <w:pStyle w:val="NormalParaAR"/>
              <w:widowControl w:val="0"/>
              <w:suppressAutoHyphens/>
              <w:rPr>
                <w:bCs/>
              </w:rPr>
            </w:pPr>
            <w:r>
              <w:rPr>
                <w:rFonts w:eastAsia="Arial"/>
                <w:bdr w:val="nil"/>
                <w:rtl/>
                <w:lang w:val="ar-SA" w:eastAsia="zh-CN"/>
              </w:rPr>
              <w:t>السيد عرفان بلوش، مدير، شعبة تنسيق جدول أعمال التنمية، قطاع التنمية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8</w:t>
            </w:r>
            <w:r w:rsidRPr="005A15E6">
              <w:rPr>
                <w:rFonts w:eastAsia="Arial"/>
                <w:bdr w:val="nil"/>
                <w:rtl/>
                <w:cs/>
                <w:lang w:val="ar-SA" w:eastAsia="zh-CN"/>
              </w:rPr>
              <w:t>‎.</w:t>
            </w:r>
          </w:p>
        </w:tc>
        <w:tc>
          <w:tcPr>
            <w:tcW w:w="8404" w:type="dxa"/>
            <w:shd w:val="clear" w:color="auto" w:fill="auto"/>
            <w:vAlign w:val="center"/>
          </w:tcPr>
          <w:p w:rsidR="00AE1126" w:rsidRPr="005A15E6" w:rsidRDefault="00AE1126" w:rsidP="007750F6">
            <w:pPr>
              <w:pStyle w:val="NormalParaAR"/>
              <w:widowControl w:val="0"/>
              <w:suppressAutoHyphens/>
              <w:rPr>
                <w:b/>
              </w:rPr>
            </w:pPr>
            <w:r w:rsidRPr="005A15E6">
              <w:rPr>
                <w:rFonts w:eastAsia="Arial"/>
                <w:b/>
                <w:bdr w:val="nil"/>
                <w:rtl/>
                <w:lang w:val="ar-SA" w:eastAsia="zh-CN"/>
              </w:rPr>
              <w:t>السيدة فريحة بوغتي، سكرتير أول، البعثة الدائمة لباكستان</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9</w:t>
            </w:r>
            <w:r w:rsidRPr="005A15E6">
              <w:rPr>
                <w:rFonts w:eastAsia="Arial"/>
                <w:bdr w:val="nil"/>
                <w:rtl/>
                <w:cs/>
                <w:lang w:val="ar-SA" w:eastAsia="zh-CN"/>
              </w:rPr>
              <w:t>‎.</w:t>
            </w:r>
          </w:p>
        </w:tc>
        <w:tc>
          <w:tcPr>
            <w:tcW w:w="8404" w:type="dxa"/>
            <w:shd w:val="clear" w:color="auto" w:fill="auto"/>
            <w:vAlign w:val="center"/>
          </w:tcPr>
          <w:p w:rsidR="00AE1126" w:rsidRPr="005A15E6" w:rsidRDefault="00AE1126" w:rsidP="007750F6">
            <w:pPr>
              <w:pStyle w:val="NormalParaAR"/>
              <w:widowControl w:val="0"/>
              <w:suppressAutoHyphens/>
              <w:rPr>
                <w:b/>
              </w:rPr>
            </w:pPr>
            <w:r w:rsidRPr="005A15E6">
              <w:rPr>
                <w:rFonts w:eastAsia="Arial"/>
                <w:b/>
                <w:bdr w:val="nil"/>
                <w:rtl/>
                <w:lang w:val="ar-SA" w:eastAsia="zh-CN"/>
              </w:rPr>
              <w:t xml:space="preserve">السيد مارسيلو دي </w:t>
            </w:r>
            <w:proofErr w:type="spellStart"/>
            <w:r w:rsidRPr="005A15E6">
              <w:rPr>
                <w:rFonts w:eastAsia="Arial"/>
                <w:b/>
                <w:bdr w:val="nil"/>
                <w:rtl/>
                <w:lang w:val="ar-SA" w:eastAsia="zh-CN"/>
              </w:rPr>
              <w:t>بيترة</w:t>
            </w:r>
            <w:proofErr w:type="spellEnd"/>
            <w:r w:rsidRPr="005A15E6">
              <w:rPr>
                <w:rFonts w:eastAsia="Arial"/>
                <w:b/>
                <w:bdr w:val="nil"/>
                <w:rtl/>
                <w:lang w:val="ar-SA" w:eastAsia="zh-CN"/>
              </w:rPr>
              <w:t xml:space="preserve"> </w:t>
            </w:r>
            <w:proofErr w:type="spellStart"/>
            <w:r w:rsidRPr="005A15E6">
              <w:rPr>
                <w:rFonts w:eastAsia="Arial"/>
                <w:b/>
                <w:bdr w:val="nil"/>
                <w:rtl/>
                <w:lang w:val="ar-SA" w:eastAsia="zh-CN"/>
              </w:rPr>
              <w:t>بيرالتا</w:t>
            </w:r>
            <w:proofErr w:type="spellEnd"/>
            <w:r w:rsidRPr="005A15E6">
              <w:rPr>
                <w:rFonts w:eastAsia="Arial"/>
                <w:b/>
                <w:bdr w:val="nil"/>
                <w:rtl/>
                <w:lang w:val="ar-SA" w:eastAsia="zh-CN"/>
              </w:rPr>
              <w:t>، مدير العمليات، أكاديمية الويبو</w:t>
            </w:r>
          </w:p>
        </w:tc>
      </w:tr>
      <w:tr w:rsidR="00AE1126" w:rsidTr="00AE1126">
        <w:tc>
          <w:tcPr>
            <w:tcW w:w="918" w:type="dxa"/>
            <w:shd w:val="clear" w:color="auto" w:fill="auto"/>
            <w:vAlign w:val="center"/>
          </w:tcPr>
          <w:p w:rsidR="00AE1126" w:rsidRPr="005A15E6" w:rsidRDefault="00E10D95" w:rsidP="007750F6">
            <w:pPr>
              <w:pStyle w:val="NormalParaAR"/>
              <w:widowControl w:val="0"/>
              <w:suppressAutoHyphens/>
              <w:bidi w:val="0"/>
              <w:jc w:val="center"/>
            </w:pPr>
            <w:r>
              <w:t>.10</w:t>
            </w:r>
          </w:p>
        </w:tc>
        <w:tc>
          <w:tcPr>
            <w:tcW w:w="8404" w:type="dxa"/>
            <w:shd w:val="clear" w:color="auto" w:fill="auto"/>
            <w:vAlign w:val="center"/>
          </w:tcPr>
          <w:p w:rsidR="00AE1126" w:rsidRPr="00CA5979" w:rsidRDefault="00AE1126" w:rsidP="007750F6">
            <w:pPr>
              <w:pStyle w:val="NormalParaAR"/>
              <w:widowControl w:val="0"/>
              <w:suppressAutoHyphens/>
              <w:rPr>
                <w:bCs/>
              </w:rPr>
            </w:pPr>
            <w:r>
              <w:rPr>
                <w:rFonts w:eastAsia="Arial"/>
                <w:bdr w:val="nil"/>
                <w:rtl/>
                <w:lang w:val="ar-SA" w:eastAsia="zh-CN"/>
              </w:rPr>
              <w:t xml:space="preserve">السيد </w:t>
            </w:r>
            <w:proofErr w:type="spellStart"/>
            <w:r>
              <w:rPr>
                <w:rFonts w:eastAsia="Arial"/>
                <w:bdr w:val="nil"/>
                <w:rtl/>
                <w:lang w:val="ar-SA" w:eastAsia="zh-CN"/>
              </w:rPr>
              <w:t>كارستن</w:t>
            </w:r>
            <w:proofErr w:type="spellEnd"/>
            <w:r>
              <w:rPr>
                <w:rFonts w:eastAsia="Arial"/>
                <w:bdr w:val="nil"/>
                <w:rtl/>
                <w:lang w:val="ar-SA" w:eastAsia="zh-CN"/>
              </w:rPr>
              <w:t xml:space="preserve"> فينك، كبير الاقتصاديين</w:t>
            </w:r>
          </w:p>
        </w:tc>
      </w:tr>
      <w:tr w:rsidR="00AE1126" w:rsidTr="00AE1126">
        <w:tc>
          <w:tcPr>
            <w:tcW w:w="918" w:type="dxa"/>
            <w:shd w:val="clear" w:color="auto" w:fill="auto"/>
            <w:vAlign w:val="center"/>
          </w:tcPr>
          <w:p w:rsidR="00AE1126" w:rsidRPr="005A15E6" w:rsidRDefault="00E10D95" w:rsidP="007750F6">
            <w:pPr>
              <w:pStyle w:val="NormalParaAR"/>
              <w:widowControl w:val="0"/>
              <w:suppressAutoHyphens/>
              <w:bidi w:val="0"/>
              <w:jc w:val="center"/>
            </w:pPr>
            <w:r>
              <w:t>.11</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السيد جورج غندور، كبير مسؤولي البرامج، شعبة تنسيق جدول أعمال التنمية، قطاع التنمية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12.</w:t>
            </w:r>
          </w:p>
        </w:tc>
        <w:tc>
          <w:tcPr>
            <w:tcW w:w="8404" w:type="dxa"/>
            <w:shd w:val="clear" w:color="auto" w:fill="auto"/>
            <w:vAlign w:val="center"/>
          </w:tcPr>
          <w:p w:rsidR="00AE1126" w:rsidRPr="00CA5979" w:rsidRDefault="00AE1126" w:rsidP="007750F6">
            <w:pPr>
              <w:pStyle w:val="NormalParaAR"/>
              <w:widowControl w:val="0"/>
              <w:suppressAutoHyphens/>
              <w:rPr>
                <w:bCs/>
              </w:rPr>
            </w:pPr>
            <w:r>
              <w:rPr>
                <w:rFonts w:eastAsia="Arial"/>
                <w:bdr w:val="nil"/>
                <w:rtl/>
                <w:lang w:val="ar-SA" w:eastAsia="zh-CN"/>
              </w:rPr>
              <w:t>السيد علي الجزائري، كبير المستشارين في شعبة التعاون الدولي لنظام معاهدة التعاون بشأن البراءات، قطاع البراءات والتكنولوجيا (مدير المشروع)</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13.</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 </w:t>
            </w:r>
            <w:proofErr w:type="spellStart"/>
            <w:r>
              <w:rPr>
                <w:rFonts w:eastAsia="Arial"/>
                <w:bdr w:val="nil"/>
                <w:rtl/>
                <w:lang w:val="ar-SA" w:eastAsia="zh-CN"/>
              </w:rPr>
              <w:t>أناتول</w:t>
            </w:r>
            <w:proofErr w:type="spellEnd"/>
            <w:r>
              <w:rPr>
                <w:rFonts w:eastAsia="Arial"/>
                <w:bdr w:val="nil"/>
                <w:rtl/>
                <w:lang w:val="ar-SA" w:eastAsia="zh-CN"/>
              </w:rPr>
              <w:t xml:space="preserve"> </w:t>
            </w:r>
            <w:proofErr w:type="spellStart"/>
            <w:r>
              <w:rPr>
                <w:rFonts w:eastAsia="Arial"/>
                <w:bdr w:val="nil"/>
                <w:rtl/>
                <w:lang w:val="ar-SA" w:eastAsia="zh-CN"/>
              </w:rPr>
              <w:t>كراتيغر</w:t>
            </w:r>
            <w:proofErr w:type="spellEnd"/>
            <w:r>
              <w:rPr>
                <w:rFonts w:eastAsia="Arial"/>
                <w:bdr w:val="nil"/>
                <w:rtl/>
                <w:lang w:val="ar-SA" w:eastAsia="zh-CN"/>
              </w:rPr>
              <w:t>، مدير، شبعة التحديات العالمية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14.</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 </w:t>
            </w:r>
            <w:proofErr w:type="spellStart"/>
            <w:r>
              <w:rPr>
                <w:rFonts w:eastAsia="Arial"/>
                <w:bdr w:val="nil"/>
                <w:rtl/>
                <w:lang w:val="ar-SA" w:eastAsia="zh-CN"/>
              </w:rPr>
              <w:t>غريغا</w:t>
            </w:r>
            <w:proofErr w:type="spellEnd"/>
            <w:r>
              <w:rPr>
                <w:rFonts w:eastAsia="Arial"/>
                <w:bdr w:val="nil"/>
                <w:rtl/>
                <w:lang w:val="ar-SA" w:eastAsia="zh-CN"/>
              </w:rPr>
              <w:t xml:space="preserve"> </w:t>
            </w:r>
            <w:proofErr w:type="spellStart"/>
            <w:r>
              <w:rPr>
                <w:rFonts w:eastAsia="Arial"/>
                <w:bdr w:val="nil"/>
                <w:rtl/>
                <w:lang w:val="ar-SA" w:eastAsia="zh-CN"/>
              </w:rPr>
              <w:t>كومر</w:t>
            </w:r>
            <w:proofErr w:type="spellEnd"/>
            <w:r>
              <w:rPr>
                <w:rFonts w:eastAsia="Arial"/>
                <w:bdr w:val="nil"/>
                <w:rtl/>
                <w:lang w:val="ar-SA" w:eastAsia="zh-CN"/>
              </w:rPr>
              <w:t>، كبير مستشارين في الملكية الفكرية، البعثة الدائمة للمملكة المتحدة.,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15.</w:t>
            </w:r>
          </w:p>
        </w:tc>
        <w:tc>
          <w:tcPr>
            <w:tcW w:w="8404" w:type="dxa"/>
            <w:shd w:val="clear" w:color="auto" w:fill="auto"/>
            <w:vAlign w:val="center"/>
          </w:tcPr>
          <w:p w:rsidR="00AE1126" w:rsidRDefault="00AE1126" w:rsidP="007750F6">
            <w:pPr>
              <w:pStyle w:val="NormalParaAR"/>
              <w:widowControl w:val="0"/>
              <w:suppressAutoHyphens/>
              <w:rPr>
                <w:b/>
                <w:bCs/>
              </w:rPr>
            </w:pPr>
            <w:r>
              <w:rPr>
                <w:rFonts w:eastAsia="Arial"/>
                <w:bdr w:val="nil"/>
                <w:rtl/>
                <w:lang w:val="ar-SA" w:eastAsia="zh-CN"/>
              </w:rPr>
              <w:t xml:space="preserve">السيدة مارينا </w:t>
            </w:r>
            <w:proofErr w:type="gramStart"/>
            <w:r>
              <w:rPr>
                <w:rFonts w:eastAsia="Arial"/>
                <w:bdr w:val="nil"/>
                <w:rtl/>
                <w:lang w:val="ar-SA" w:eastAsia="zh-CN"/>
              </w:rPr>
              <w:t>لام</w:t>
            </w:r>
            <w:proofErr w:type="gramEnd"/>
            <w:r>
              <w:rPr>
                <w:rFonts w:eastAsia="Arial"/>
                <w:bdr w:val="nil"/>
                <w:rtl/>
                <w:lang w:val="ar-SA" w:eastAsia="zh-CN"/>
              </w:rPr>
              <w:t xml:space="preserve">، البعثة </w:t>
            </w:r>
            <w:r w:rsidR="00E64B74">
              <w:rPr>
                <w:rFonts w:eastAsia="Arial" w:hint="cs"/>
                <w:bdr w:val="nil"/>
                <w:rtl/>
                <w:lang w:val="ar-SA" w:eastAsia="zh-CN"/>
              </w:rPr>
              <w:t>الدائم</w:t>
            </w:r>
            <w:r w:rsidR="00E64B74">
              <w:rPr>
                <w:rFonts w:eastAsia="Arial" w:hint="eastAsia"/>
                <w:bdr w:val="nil"/>
                <w:rtl/>
                <w:lang w:val="ar-SA" w:eastAsia="zh-CN"/>
              </w:rPr>
              <w:t>ة</w:t>
            </w:r>
            <w:r>
              <w:rPr>
                <w:rFonts w:eastAsia="Arial"/>
                <w:bdr w:val="nil"/>
                <w:rtl/>
                <w:lang w:val="ar-SA" w:eastAsia="zh-CN"/>
              </w:rPr>
              <w:t xml:space="preserve"> للولايات المتحدة الأمريكية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16.</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السيدة سارة </w:t>
            </w:r>
            <w:proofErr w:type="spellStart"/>
            <w:r>
              <w:rPr>
                <w:rFonts w:eastAsia="Arial"/>
                <w:bdr w:val="nil"/>
                <w:rtl/>
                <w:lang w:val="ar-SA" w:eastAsia="zh-CN"/>
              </w:rPr>
              <w:t>مانزانو</w:t>
            </w:r>
            <w:proofErr w:type="spellEnd"/>
            <w:r>
              <w:rPr>
                <w:rFonts w:eastAsia="Arial"/>
                <w:bdr w:val="nil"/>
                <w:rtl/>
                <w:lang w:val="ar-SA" w:eastAsia="zh-CN"/>
              </w:rPr>
              <w:t xml:space="preserve"> </w:t>
            </w:r>
            <w:proofErr w:type="spellStart"/>
            <w:r>
              <w:rPr>
                <w:rFonts w:eastAsia="Arial"/>
                <w:bdr w:val="nil"/>
                <w:rtl/>
                <w:lang w:val="ar-SA" w:eastAsia="zh-CN"/>
              </w:rPr>
              <w:t>ميرينو</w:t>
            </w:r>
            <w:proofErr w:type="spellEnd"/>
            <w:r>
              <w:rPr>
                <w:rFonts w:eastAsia="Arial"/>
                <w:bdr w:val="nil"/>
                <w:rtl/>
                <w:lang w:val="ar-SA" w:eastAsia="zh-CN"/>
              </w:rPr>
              <w:t>، مستشار، البعثة الدائمة للمكسيك</w:t>
            </w:r>
          </w:p>
        </w:tc>
      </w:tr>
      <w:tr w:rsidR="00AE1126" w:rsidTr="00AE1126">
        <w:tc>
          <w:tcPr>
            <w:tcW w:w="918" w:type="dxa"/>
            <w:shd w:val="clear" w:color="auto" w:fill="auto"/>
            <w:vAlign w:val="center"/>
          </w:tcPr>
          <w:p w:rsidR="00AE1126" w:rsidRPr="005A15E6" w:rsidRDefault="00E10D95" w:rsidP="007750F6">
            <w:pPr>
              <w:pStyle w:val="NormalParaAR"/>
              <w:widowControl w:val="0"/>
              <w:suppressAutoHyphens/>
              <w:bidi w:val="0"/>
              <w:jc w:val="center"/>
            </w:pPr>
            <w:r>
              <w:t>.17</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 كلاوس </w:t>
            </w:r>
            <w:proofErr w:type="spellStart"/>
            <w:r>
              <w:rPr>
                <w:rFonts w:eastAsia="Arial"/>
                <w:bdr w:val="nil"/>
                <w:rtl/>
                <w:lang w:val="ar-SA" w:eastAsia="zh-CN"/>
              </w:rPr>
              <w:t>ماتيس</w:t>
            </w:r>
            <w:proofErr w:type="spellEnd"/>
            <w:r>
              <w:rPr>
                <w:rFonts w:eastAsia="Arial"/>
                <w:bdr w:val="nil"/>
                <w:rtl/>
                <w:lang w:val="ar-SA" w:eastAsia="zh-CN"/>
              </w:rPr>
              <w:t>، مدير، شعبة تطوير أعمال معاهدة التعاون بشأن البراءات، قطاع البراءات والتكنولوجيا</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18.</w:t>
            </w:r>
          </w:p>
        </w:tc>
        <w:tc>
          <w:tcPr>
            <w:tcW w:w="8404" w:type="dxa"/>
            <w:shd w:val="clear" w:color="auto" w:fill="auto"/>
            <w:vAlign w:val="center"/>
          </w:tcPr>
          <w:p w:rsidR="00AE1126" w:rsidRPr="000B4844" w:rsidRDefault="00AE1126" w:rsidP="007750F6">
            <w:pPr>
              <w:pStyle w:val="NormalParaAR"/>
              <w:widowControl w:val="0"/>
              <w:suppressAutoHyphens/>
              <w:rPr>
                <w:bCs/>
              </w:rPr>
            </w:pPr>
            <w:r>
              <w:rPr>
                <w:rFonts w:eastAsia="Arial"/>
                <w:bdr w:val="nil"/>
                <w:rtl/>
                <w:lang w:val="ar-SA" w:eastAsia="zh-CN"/>
              </w:rPr>
              <w:t xml:space="preserve">السيد ماريو </w:t>
            </w:r>
            <w:proofErr w:type="spellStart"/>
            <w:r>
              <w:rPr>
                <w:rFonts w:eastAsia="Arial"/>
                <w:bdr w:val="nil"/>
                <w:rtl/>
                <w:lang w:val="ar-SA" w:eastAsia="zh-CN"/>
              </w:rPr>
              <w:t>ماتوس</w:t>
            </w:r>
            <w:proofErr w:type="spellEnd"/>
            <w:r>
              <w:rPr>
                <w:rFonts w:eastAsia="Arial"/>
                <w:bdr w:val="nil"/>
                <w:rtl/>
                <w:lang w:val="ar-SA" w:eastAsia="zh-CN"/>
              </w:rPr>
              <w:t>، نائب المدير العام، قطاع التنمية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lastRenderedPageBreak/>
              <w:t>19.</w:t>
            </w:r>
          </w:p>
        </w:tc>
        <w:tc>
          <w:tcPr>
            <w:tcW w:w="8404" w:type="dxa"/>
            <w:shd w:val="clear" w:color="auto" w:fill="auto"/>
            <w:vAlign w:val="center"/>
          </w:tcPr>
          <w:p w:rsidR="00AE1126" w:rsidRDefault="00AE1126" w:rsidP="007750F6">
            <w:pPr>
              <w:pStyle w:val="NormalParaAR"/>
              <w:widowControl w:val="0"/>
              <w:suppressAutoHyphens/>
              <w:rPr>
                <w:b/>
                <w:bCs/>
              </w:rPr>
            </w:pPr>
            <w:r>
              <w:rPr>
                <w:rFonts w:eastAsia="Arial"/>
                <w:bdr w:val="nil"/>
                <w:rtl/>
                <w:lang w:val="ar-SA" w:eastAsia="zh-CN"/>
              </w:rPr>
              <w:t xml:space="preserve">للسيد </w:t>
            </w:r>
            <w:proofErr w:type="spellStart"/>
            <w:r>
              <w:rPr>
                <w:rFonts w:eastAsia="Arial"/>
                <w:bdr w:val="nil"/>
                <w:rtl/>
                <w:lang w:val="ar-SA" w:eastAsia="zh-CN"/>
              </w:rPr>
              <w:t>روردريغو</w:t>
            </w:r>
            <w:proofErr w:type="spellEnd"/>
            <w:r>
              <w:rPr>
                <w:rFonts w:eastAsia="Arial"/>
                <w:bdr w:val="nil"/>
                <w:rtl/>
                <w:lang w:val="ar-SA" w:eastAsia="zh-CN"/>
              </w:rPr>
              <w:t xml:space="preserve"> </w:t>
            </w:r>
            <w:proofErr w:type="spellStart"/>
            <w:r>
              <w:rPr>
                <w:rFonts w:eastAsia="Arial"/>
                <w:bdr w:val="nil"/>
                <w:rtl/>
                <w:lang w:val="ar-SA" w:eastAsia="zh-CN"/>
              </w:rPr>
              <w:t>مينديس</w:t>
            </w:r>
            <w:proofErr w:type="spellEnd"/>
            <w:r>
              <w:rPr>
                <w:rFonts w:eastAsia="Arial"/>
                <w:bdr w:val="nil"/>
                <w:rtl/>
                <w:lang w:val="ar-SA" w:eastAsia="zh-CN"/>
              </w:rPr>
              <w:t xml:space="preserve"> </w:t>
            </w:r>
            <w:proofErr w:type="spellStart"/>
            <w:r>
              <w:rPr>
                <w:rFonts w:eastAsia="Arial"/>
                <w:bdr w:val="nil"/>
                <w:rtl/>
                <w:lang w:val="ar-SA" w:eastAsia="zh-CN"/>
              </w:rPr>
              <w:t>أرواخو</w:t>
            </w:r>
            <w:proofErr w:type="spellEnd"/>
            <w:r>
              <w:rPr>
                <w:rFonts w:eastAsia="Arial"/>
                <w:bdr w:val="nil"/>
                <w:rtl/>
                <w:lang w:val="ar-SA" w:eastAsia="zh-CN"/>
              </w:rPr>
              <w:t>، سكرتير ثان، البعثة الدائمة للبرازيل</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20.</w:t>
            </w:r>
          </w:p>
        </w:tc>
        <w:tc>
          <w:tcPr>
            <w:tcW w:w="8404" w:type="dxa"/>
            <w:shd w:val="clear" w:color="auto" w:fill="auto"/>
            <w:vAlign w:val="center"/>
          </w:tcPr>
          <w:p w:rsidR="00AE1126" w:rsidRPr="00E00BA2" w:rsidRDefault="00AE1126" w:rsidP="007750F6">
            <w:pPr>
              <w:pStyle w:val="NormalParaAR"/>
              <w:widowControl w:val="0"/>
              <w:suppressAutoHyphens/>
              <w:rPr>
                <w:b/>
                <w:bCs/>
              </w:rPr>
            </w:pPr>
            <w:r>
              <w:rPr>
                <w:rFonts w:eastAsia="Arial"/>
                <w:bdr w:val="nil"/>
                <w:rtl/>
                <w:lang w:val="ar-SA" w:eastAsia="zh-CN"/>
              </w:rPr>
              <w:t xml:space="preserve">السيدة </w:t>
            </w:r>
            <w:proofErr w:type="spellStart"/>
            <w:r>
              <w:rPr>
                <w:rFonts w:eastAsia="Arial"/>
                <w:bdr w:val="nil"/>
                <w:rtl/>
                <w:lang w:val="ar-SA" w:eastAsia="zh-CN"/>
              </w:rPr>
              <w:t>تامارا</w:t>
            </w:r>
            <w:proofErr w:type="spellEnd"/>
            <w:r>
              <w:rPr>
                <w:rFonts w:eastAsia="Arial"/>
                <w:bdr w:val="nil"/>
                <w:rtl/>
                <w:lang w:val="ar-SA" w:eastAsia="zh-CN"/>
              </w:rPr>
              <w:t xml:space="preserve"> </w:t>
            </w:r>
            <w:proofErr w:type="spellStart"/>
            <w:r>
              <w:rPr>
                <w:rFonts w:eastAsia="Arial"/>
                <w:bdr w:val="nil"/>
                <w:rtl/>
                <w:lang w:val="ar-SA" w:eastAsia="zh-CN"/>
              </w:rPr>
              <w:t>ناناياكارا</w:t>
            </w:r>
            <w:proofErr w:type="spellEnd"/>
            <w:r>
              <w:rPr>
                <w:rFonts w:eastAsia="Arial"/>
                <w:bdr w:val="nil"/>
                <w:rtl/>
                <w:lang w:val="ar-SA" w:eastAsia="zh-CN"/>
              </w:rPr>
              <w:t>، رئيسة، قسم سياسات الابتكار، شعبة دعم الشركات الصغيرة والمتوسطة وريادة الأعمال</w:t>
            </w:r>
          </w:p>
        </w:tc>
      </w:tr>
      <w:tr w:rsidR="00AE1126" w:rsidTr="00AE1126">
        <w:tc>
          <w:tcPr>
            <w:tcW w:w="918" w:type="dxa"/>
            <w:shd w:val="clear" w:color="auto" w:fill="auto"/>
            <w:vAlign w:val="center"/>
          </w:tcPr>
          <w:p w:rsidR="00AE1126" w:rsidRPr="005A15E6" w:rsidRDefault="00E10D95" w:rsidP="007750F6">
            <w:pPr>
              <w:pStyle w:val="NormalParaAR"/>
              <w:widowControl w:val="0"/>
              <w:suppressAutoHyphens/>
              <w:bidi w:val="0"/>
              <w:jc w:val="center"/>
            </w:pPr>
            <w:r>
              <w:t>.21</w:t>
            </w:r>
          </w:p>
        </w:tc>
        <w:tc>
          <w:tcPr>
            <w:tcW w:w="8404" w:type="dxa"/>
            <w:shd w:val="clear" w:color="auto" w:fill="auto"/>
            <w:vAlign w:val="center"/>
          </w:tcPr>
          <w:p w:rsidR="00AE1126" w:rsidRPr="00CA5979" w:rsidRDefault="00AE1126" w:rsidP="007750F6">
            <w:pPr>
              <w:pStyle w:val="NormalParaAR"/>
              <w:widowControl w:val="0"/>
              <w:suppressAutoHyphens/>
              <w:rPr>
                <w:bCs/>
              </w:rPr>
            </w:pPr>
            <w:r>
              <w:rPr>
                <w:rFonts w:eastAsia="Arial"/>
                <w:bdr w:val="nil"/>
                <w:rtl/>
                <w:lang w:val="ar-SA" w:eastAsia="zh-CN"/>
              </w:rPr>
              <w:t xml:space="preserve">السيدة ليفيا </w:t>
            </w:r>
            <w:proofErr w:type="spellStart"/>
            <w:r>
              <w:rPr>
                <w:rFonts w:eastAsia="Arial"/>
                <w:bdr w:val="nil"/>
                <w:rtl/>
                <w:lang w:val="ar-SA" w:eastAsia="zh-CN"/>
              </w:rPr>
              <w:t>بوسكاراغيو</w:t>
            </w:r>
            <w:proofErr w:type="spellEnd"/>
            <w:r>
              <w:rPr>
                <w:rFonts w:eastAsia="Arial"/>
                <w:bdr w:val="nil"/>
                <w:rtl/>
                <w:lang w:val="ar-SA" w:eastAsia="zh-CN"/>
              </w:rPr>
              <w:t>، سكرتير أول، البعثة الدائمة لرومانيا</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22.</w:t>
            </w:r>
          </w:p>
        </w:tc>
        <w:tc>
          <w:tcPr>
            <w:tcW w:w="8404" w:type="dxa"/>
            <w:shd w:val="clear" w:color="auto" w:fill="auto"/>
            <w:vAlign w:val="center"/>
          </w:tcPr>
          <w:p w:rsidR="00AE1126" w:rsidRDefault="00AE1126" w:rsidP="007750F6">
            <w:pPr>
              <w:pStyle w:val="NormalParaAR"/>
              <w:widowControl w:val="0"/>
              <w:suppressAutoHyphens/>
              <w:rPr>
                <w:b/>
                <w:bCs/>
              </w:rPr>
            </w:pPr>
            <w:r>
              <w:rPr>
                <w:rFonts w:eastAsia="Arial"/>
                <w:bdr w:val="nil"/>
                <w:rtl/>
                <w:lang w:val="ar-SA" w:eastAsia="zh-CN"/>
              </w:rPr>
              <w:t xml:space="preserve">السيد روبيرتو </w:t>
            </w:r>
            <w:proofErr w:type="spellStart"/>
            <w:r>
              <w:rPr>
                <w:rFonts w:eastAsia="Arial"/>
                <w:bdr w:val="nil"/>
                <w:rtl/>
                <w:lang w:val="ar-SA" w:eastAsia="zh-CN"/>
              </w:rPr>
              <w:t>ريكالدي</w:t>
            </w:r>
            <w:proofErr w:type="spellEnd"/>
            <w:r>
              <w:rPr>
                <w:rFonts w:eastAsia="Arial"/>
                <w:bdr w:val="nil"/>
                <w:rtl/>
                <w:lang w:val="ar-SA" w:eastAsia="zh-CN"/>
              </w:rPr>
              <w:t>، سكرتير ثان، البعثة الدائمة لباراغواي</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23.</w:t>
            </w:r>
          </w:p>
        </w:tc>
        <w:tc>
          <w:tcPr>
            <w:tcW w:w="8404" w:type="dxa"/>
            <w:shd w:val="clear" w:color="auto" w:fill="auto"/>
            <w:vAlign w:val="center"/>
          </w:tcPr>
          <w:p w:rsidR="00AE1126" w:rsidRPr="00CA5979" w:rsidRDefault="00AE1126" w:rsidP="007750F6">
            <w:pPr>
              <w:pStyle w:val="NormalParaAR"/>
              <w:widowControl w:val="0"/>
              <w:suppressAutoHyphens/>
              <w:rPr>
                <w:b/>
                <w:bCs/>
              </w:rPr>
            </w:pPr>
            <w:r>
              <w:rPr>
                <w:rFonts w:eastAsia="Arial"/>
                <w:bdr w:val="nil"/>
                <w:rtl/>
                <w:lang w:val="ar-SA" w:eastAsia="zh-CN"/>
              </w:rPr>
              <w:t xml:space="preserve">السيد كفل </w:t>
            </w:r>
            <w:proofErr w:type="spellStart"/>
            <w:r>
              <w:rPr>
                <w:rFonts w:eastAsia="Arial"/>
                <w:bdr w:val="nil"/>
                <w:rtl/>
                <w:lang w:val="ar-SA" w:eastAsia="zh-CN"/>
              </w:rPr>
              <w:t>شينكورو</w:t>
            </w:r>
            <w:proofErr w:type="spellEnd"/>
            <w:r>
              <w:rPr>
                <w:rFonts w:eastAsia="Arial"/>
                <w:bdr w:val="nil"/>
                <w:rtl/>
                <w:lang w:val="ar-SA" w:eastAsia="zh-CN"/>
              </w:rPr>
              <w:t>، مدير، شعبة أقل البلدان نمواً</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24.</w:t>
            </w:r>
          </w:p>
        </w:tc>
        <w:tc>
          <w:tcPr>
            <w:tcW w:w="8404" w:type="dxa"/>
            <w:shd w:val="clear" w:color="auto" w:fill="auto"/>
            <w:vAlign w:val="center"/>
          </w:tcPr>
          <w:p w:rsidR="00AE1126" w:rsidRDefault="00AE1126" w:rsidP="007750F6">
            <w:pPr>
              <w:pStyle w:val="NormalParaAR"/>
              <w:widowControl w:val="0"/>
              <w:suppressAutoHyphens/>
              <w:rPr>
                <w:b/>
                <w:bCs/>
              </w:rPr>
            </w:pPr>
            <w:r>
              <w:rPr>
                <w:rFonts w:eastAsia="Arial"/>
                <w:bdr w:val="nil"/>
                <w:rtl/>
                <w:lang w:val="ar-SA" w:eastAsia="zh-CN"/>
              </w:rPr>
              <w:t xml:space="preserve">السيد خوان </w:t>
            </w:r>
            <w:proofErr w:type="spellStart"/>
            <w:r>
              <w:rPr>
                <w:rFonts w:eastAsia="Arial"/>
                <w:bdr w:val="nil"/>
                <w:rtl/>
                <w:lang w:val="ar-SA" w:eastAsia="zh-CN"/>
              </w:rPr>
              <w:t>أنتونية</w:t>
            </w:r>
            <w:proofErr w:type="spellEnd"/>
            <w:r>
              <w:rPr>
                <w:rFonts w:eastAsia="Arial"/>
                <w:bdr w:val="nil"/>
                <w:rtl/>
                <w:lang w:val="ar-SA" w:eastAsia="zh-CN"/>
              </w:rPr>
              <w:t xml:space="preserve"> توليدو </w:t>
            </w:r>
            <w:proofErr w:type="spellStart"/>
            <w:r>
              <w:rPr>
                <w:rFonts w:eastAsia="Arial"/>
                <w:bdr w:val="nil"/>
                <w:rtl/>
                <w:lang w:val="ar-SA" w:eastAsia="zh-CN"/>
              </w:rPr>
              <w:t>باراثا</w:t>
            </w:r>
            <w:proofErr w:type="spellEnd"/>
            <w:r>
              <w:rPr>
                <w:rFonts w:eastAsia="Arial"/>
                <w:bdr w:val="nil"/>
                <w:rtl/>
                <w:lang w:val="ar-SA" w:eastAsia="zh-CN"/>
              </w:rPr>
              <w:t>، مدير، المكتب الإقليمي لأمريكا اللاتينية والكاريبي</w:t>
            </w:r>
          </w:p>
        </w:tc>
      </w:tr>
      <w:tr w:rsidR="00AE1126" w:rsidTr="00AE1126">
        <w:tc>
          <w:tcPr>
            <w:tcW w:w="918" w:type="dxa"/>
            <w:shd w:val="clear" w:color="auto" w:fill="auto"/>
            <w:vAlign w:val="center"/>
          </w:tcPr>
          <w:p w:rsidR="00AE1126" w:rsidRPr="005A15E6" w:rsidRDefault="00E10D95" w:rsidP="007750F6">
            <w:pPr>
              <w:pStyle w:val="NormalParaAR"/>
              <w:widowControl w:val="0"/>
              <w:suppressAutoHyphens/>
              <w:bidi w:val="0"/>
              <w:jc w:val="center"/>
            </w:pPr>
            <w:r>
              <w:t>.25</w:t>
            </w:r>
            <w:bookmarkStart w:id="9" w:name="_GoBack"/>
            <w:bookmarkEnd w:id="9"/>
          </w:p>
        </w:tc>
        <w:tc>
          <w:tcPr>
            <w:tcW w:w="8404" w:type="dxa"/>
            <w:shd w:val="clear" w:color="auto" w:fill="auto"/>
            <w:vAlign w:val="center"/>
          </w:tcPr>
          <w:p w:rsidR="00AE1126" w:rsidRPr="00CA5979" w:rsidRDefault="00AE1126" w:rsidP="007750F6">
            <w:pPr>
              <w:pStyle w:val="NormalParaAR"/>
              <w:widowControl w:val="0"/>
              <w:suppressAutoHyphens/>
              <w:rPr>
                <w:bCs/>
              </w:rPr>
            </w:pPr>
            <w:r>
              <w:rPr>
                <w:rFonts w:eastAsia="Arial"/>
                <w:bdr w:val="nil"/>
                <w:rtl/>
                <w:lang w:val="ar-SA" w:eastAsia="zh-CN"/>
              </w:rPr>
              <w:t xml:space="preserve">السيدة سيلفيا </w:t>
            </w:r>
            <w:proofErr w:type="spellStart"/>
            <w:r>
              <w:rPr>
                <w:rFonts w:eastAsia="Arial"/>
                <w:bdr w:val="nil"/>
                <w:rtl/>
                <w:lang w:val="ar-SA" w:eastAsia="zh-CN"/>
              </w:rPr>
              <w:t>تربكوفسكا</w:t>
            </w:r>
            <w:proofErr w:type="spellEnd"/>
            <w:r>
              <w:rPr>
                <w:rFonts w:eastAsia="Arial"/>
                <w:bdr w:val="nil"/>
                <w:rtl/>
                <w:lang w:val="ar-SA" w:eastAsia="zh-CN"/>
              </w:rPr>
              <w:t>، كبير مسؤولي برامج، قسم أوروبا الوسطى ودول البلقان وبلدان المتوسط، إدارة البلدان المنتقلة والمتقدمة</w:t>
            </w:r>
          </w:p>
        </w:tc>
      </w:tr>
      <w:tr w:rsidR="00AE1126" w:rsidTr="00AE1126">
        <w:tc>
          <w:tcPr>
            <w:tcW w:w="918" w:type="dxa"/>
            <w:shd w:val="clear" w:color="auto" w:fill="auto"/>
            <w:vAlign w:val="center"/>
          </w:tcPr>
          <w:p w:rsidR="00AE1126" w:rsidRPr="005A15E6" w:rsidRDefault="00AE1126" w:rsidP="007750F6">
            <w:pPr>
              <w:pStyle w:val="NormalParaAR"/>
              <w:widowControl w:val="0"/>
              <w:suppressAutoHyphens/>
              <w:jc w:val="center"/>
            </w:pPr>
            <w:r w:rsidRPr="005A15E6">
              <w:rPr>
                <w:rFonts w:eastAsia="Arial"/>
                <w:bdr w:val="nil"/>
                <w:rtl/>
                <w:lang w:val="ar-SA" w:eastAsia="zh-CN"/>
              </w:rPr>
              <w:t>26.</w:t>
            </w:r>
          </w:p>
        </w:tc>
        <w:tc>
          <w:tcPr>
            <w:tcW w:w="8404" w:type="dxa"/>
            <w:shd w:val="clear" w:color="auto" w:fill="auto"/>
            <w:vAlign w:val="center"/>
          </w:tcPr>
          <w:p w:rsidR="00AE1126" w:rsidRPr="001241E5" w:rsidRDefault="00AE1126" w:rsidP="007750F6">
            <w:pPr>
              <w:pStyle w:val="NormalParaAR"/>
              <w:widowControl w:val="0"/>
              <w:suppressAutoHyphens/>
              <w:rPr>
                <w:bCs/>
              </w:rPr>
            </w:pPr>
            <w:r>
              <w:rPr>
                <w:rFonts w:eastAsia="Arial"/>
                <w:bdr w:val="nil"/>
                <w:rtl/>
                <w:lang w:val="ar-SA" w:eastAsia="zh-CN"/>
              </w:rPr>
              <w:t xml:space="preserve">السيدة شيشي </w:t>
            </w:r>
            <w:proofErr w:type="spellStart"/>
            <w:r>
              <w:rPr>
                <w:rFonts w:eastAsia="Arial"/>
                <w:bdr w:val="nil"/>
                <w:rtl/>
                <w:lang w:val="ar-SA" w:eastAsia="zh-CN"/>
              </w:rPr>
              <w:t>أوميسي</w:t>
            </w:r>
            <w:proofErr w:type="spellEnd"/>
            <w:r>
              <w:rPr>
                <w:rFonts w:eastAsia="Arial"/>
                <w:bdr w:val="nil"/>
                <w:rtl/>
                <w:lang w:val="ar-SA" w:eastAsia="zh-CN"/>
              </w:rPr>
              <w:t>، سكرتير أول، البعثة الدائمة لجمهورية نيجيريا الاتحادية</w:t>
            </w:r>
          </w:p>
        </w:tc>
      </w:tr>
    </w:tbl>
    <w:p w:rsidR="00AE1126" w:rsidRDefault="00AE1126" w:rsidP="007750F6">
      <w:pPr>
        <w:pStyle w:val="ONUME"/>
        <w:widowControl w:val="0"/>
        <w:numPr>
          <w:ilvl w:val="0"/>
          <w:numId w:val="0"/>
        </w:numPr>
        <w:suppressAutoHyphens/>
        <w:spacing w:after="0"/>
        <w:jc w:val="both"/>
        <w:rPr>
          <w:caps/>
        </w:rPr>
      </w:pPr>
    </w:p>
    <w:p w:rsidR="00AE1126" w:rsidRDefault="00AE1126" w:rsidP="007750F6">
      <w:pPr>
        <w:pStyle w:val="EndofDocumentAR"/>
        <w:widowControl w:val="0"/>
        <w:suppressAutoHyphens/>
      </w:pPr>
      <w:r>
        <w:rPr>
          <w:rFonts w:eastAsia="Arial"/>
          <w:bdr w:val="nil"/>
          <w:rtl/>
          <w:lang w:val="ar-SA"/>
        </w:rPr>
        <w:t>[الملحق الثالث يتبع]</w:t>
      </w:r>
    </w:p>
    <w:p w:rsidR="00AE1126" w:rsidRDefault="00AE1126" w:rsidP="007750F6">
      <w:pPr>
        <w:pStyle w:val="Endofdocument-Annex"/>
        <w:widowControl w:val="0"/>
        <w:suppressAutoHyphens/>
      </w:pPr>
    </w:p>
    <w:p w:rsidR="00AE1126" w:rsidRDefault="00AE1126" w:rsidP="007750F6">
      <w:pPr>
        <w:pStyle w:val="Endofdocument-Annex"/>
        <w:widowControl w:val="0"/>
        <w:suppressAutoHyphens/>
        <w:sectPr w:rsidR="00AE1126" w:rsidSect="00AE1126">
          <w:headerReference w:type="default" r:id="rId22"/>
          <w:headerReference w:type="first" r:id="rId23"/>
          <w:footerReference w:type="first" r:id="rId24"/>
          <w:pgSz w:w="11907" w:h="16840" w:code="9"/>
          <w:pgMar w:top="567" w:right="1134" w:bottom="1418" w:left="1418" w:header="510" w:footer="1021" w:gutter="0"/>
          <w:pgNumType w:start="1"/>
          <w:cols w:space="720"/>
          <w:titlePg/>
        </w:sectPr>
      </w:pPr>
    </w:p>
    <w:p w:rsidR="00AE1126" w:rsidRPr="005A15E6" w:rsidRDefault="00DE7AAB" w:rsidP="007750F6">
      <w:pPr>
        <w:pStyle w:val="Heading1AR"/>
        <w:keepNext w:val="0"/>
        <w:widowControl w:val="0"/>
        <w:suppressAutoHyphens/>
        <w:jc w:val="center"/>
      </w:pPr>
      <w:proofErr w:type="gramStart"/>
      <w:r>
        <w:rPr>
          <w:rFonts w:eastAsia="Arial"/>
          <w:rtl/>
        </w:rPr>
        <w:lastRenderedPageBreak/>
        <w:t>الملحق</w:t>
      </w:r>
      <w:proofErr w:type="gramEnd"/>
      <w:r>
        <w:rPr>
          <w:rFonts w:eastAsia="Arial"/>
          <w:rtl/>
        </w:rPr>
        <w:t xml:space="preserve"> الثالث:</w:t>
      </w:r>
      <w:r w:rsidR="00AE1126" w:rsidRPr="005A15E6">
        <w:rPr>
          <w:rFonts w:eastAsia="Arial"/>
          <w:rtl/>
        </w:rPr>
        <w:t xml:space="preserve"> قائمة الوثائق</w:t>
      </w:r>
    </w:p>
    <w:p w:rsidR="00AE1126" w:rsidRPr="000B35B0" w:rsidRDefault="00AE1126" w:rsidP="007750F6">
      <w:pPr>
        <w:pStyle w:val="Heading2AR"/>
        <w:keepNext w:val="0"/>
        <w:widowControl w:val="0"/>
        <w:suppressAutoHyphens/>
        <w:rPr>
          <w:b/>
          <w:bCs/>
        </w:rPr>
      </w:pPr>
      <w:r w:rsidRPr="000B35B0">
        <w:rPr>
          <w:rFonts w:eastAsia="Arial"/>
          <w:b/>
          <w:bCs/>
          <w:rtl/>
        </w:rPr>
        <w:t xml:space="preserve">وثائق تتعلق بالرصد </w:t>
      </w:r>
      <w:proofErr w:type="gramStart"/>
      <w:r w:rsidRPr="000B35B0">
        <w:rPr>
          <w:rFonts w:eastAsia="Arial"/>
          <w:b/>
          <w:bCs/>
          <w:rtl/>
        </w:rPr>
        <w:t>والتقييم</w:t>
      </w:r>
      <w:proofErr w:type="gramEnd"/>
    </w:p>
    <w:p w:rsidR="00AE1126" w:rsidRPr="00453613" w:rsidRDefault="00AE1126" w:rsidP="007750F6">
      <w:pPr>
        <w:pStyle w:val="NormalParaAR"/>
        <w:widowControl w:val="0"/>
        <w:numPr>
          <w:ilvl w:val="0"/>
          <w:numId w:val="19"/>
        </w:numPr>
        <w:suppressAutoHyphens/>
        <w:ind w:left="283"/>
      </w:pPr>
      <w:r>
        <w:rPr>
          <w:rFonts w:eastAsia="Arial"/>
          <w:bdr w:val="nil"/>
          <w:rtl/>
          <w:lang w:val="ar-SA"/>
        </w:rPr>
        <w:t>شعبة التدقيق الداخلي والرقابة، سياسة الويبو المنقحة للتقييم، مايو 2010</w:t>
      </w:r>
    </w:p>
    <w:p w:rsidR="00AE1126" w:rsidRDefault="00AE1126" w:rsidP="007750F6">
      <w:pPr>
        <w:pStyle w:val="NormalParaAR"/>
        <w:widowControl w:val="0"/>
        <w:numPr>
          <w:ilvl w:val="0"/>
          <w:numId w:val="19"/>
        </w:numPr>
        <w:suppressAutoHyphens/>
        <w:ind w:left="283"/>
      </w:pPr>
      <w:proofErr w:type="gramStart"/>
      <w:r>
        <w:rPr>
          <w:rFonts w:eastAsia="Arial"/>
          <w:bdr w:val="nil"/>
          <w:rtl/>
          <w:lang w:val="ar-SA"/>
        </w:rPr>
        <w:t>شعبة</w:t>
      </w:r>
      <w:proofErr w:type="gramEnd"/>
      <w:r>
        <w:rPr>
          <w:rFonts w:eastAsia="Arial"/>
          <w:bdr w:val="nil"/>
          <w:rtl/>
          <w:lang w:val="ar-SA"/>
        </w:rPr>
        <w:t xml:space="preserve"> التدقيق الداخلي والرقابة، قسم التقييم والتفتيش، المبادئ التوجيهية للتقييم الذاتي، الإصدار 1.1، أبريل 2009</w:t>
      </w:r>
    </w:p>
    <w:p w:rsidR="00AE1126" w:rsidRDefault="00AE1126" w:rsidP="007750F6">
      <w:pPr>
        <w:pStyle w:val="NormalParaAR"/>
        <w:widowControl w:val="0"/>
        <w:numPr>
          <w:ilvl w:val="0"/>
          <w:numId w:val="19"/>
        </w:numPr>
        <w:suppressAutoHyphens/>
        <w:ind w:left="283"/>
      </w:pPr>
      <w:r>
        <w:rPr>
          <w:rFonts w:eastAsia="Arial"/>
          <w:bdr w:val="nil"/>
          <w:rtl/>
          <w:lang w:val="ar-SA"/>
        </w:rPr>
        <w:t>المبادئ التوجيهية والسلسلة المرجعية الصادرة عن لجنة المساعدة الإنمائية، معايير الجودة للتقييم الإنمائي، لجنة المساعدة الإنمائية، منظمة التعاون والتنمية في الميدان الاقتصادي، 2010.</w:t>
      </w:r>
    </w:p>
    <w:p w:rsidR="00AE1126" w:rsidRPr="005A15E6" w:rsidRDefault="00AE1126" w:rsidP="007750F6">
      <w:pPr>
        <w:pStyle w:val="NormalParaAR"/>
        <w:widowControl w:val="0"/>
        <w:numPr>
          <w:ilvl w:val="0"/>
          <w:numId w:val="19"/>
        </w:numPr>
        <w:suppressAutoHyphens/>
        <w:ind w:left="283"/>
        <w:rPr>
          <w:rFonts w:eastAsia="Arial"/>
          <w:bdr w:val="nil"/>
          <w:rtl/>
          <w:lang w:val="ar-SA"/>
        </w:rPr>
      </w:pPr>
      <w:r w:rsidRPr="005A15E6">
        <w:rPr>
          <w:rFonts w:eastAsia="Arial"/>
          <w:bdr w:val="nil"/>
          <w:rtl/>
          <w:lang w:val="ar-SA"/>
        </w:rPr>
        <w:t>فريق الأمم المتحدة المعني بالتقييم، معايير للتقييم في منظومة الأمم المتحدة، أبريل 2005 (آخر تحديث في 18 يونيه 2014)</w:t>
      </w:r>
    </w:p>
    <w:p w:rsidR="00AE1126" w:rsidRPr="000B35B0" w:rsidRDefault="00AE1126" w:rsidP="007750F6">
      <w:pPr>
        <w:pStyle w:val="Heading2AR"/>
        <w:keepNext w:val="0"/>
        <w:widowControl w:val="0"/>
        <w:suppressAutoHyphens/>
        <w:rPr>
          <w:b/>
          <w:bCs/>
        </w:rPr>
      </w:pPr>
      <w:r w:rsidRPr="000B35B0">
        <w:rPr>
          <w:rFonts w:eastAsia="Arial"/>
          <w:b/>
          <w:bCs/>
          <w:bdr w:val="nil"/>
          <w:rtl/>
          <w:lang w:val="ar-SA"/>
        </w:rPr>
        <w:t>وثائق الويبو البرامجية</w:t>
      </w:r>
    </w:p>
    <w:p w:rsidR="00AE1126" w:rsidRPr="009E3305" w:rsidRDefault="00AE1126" w:rsidP="007750F6">
      <w:pPr>
        <w:pStyle w:val="BodyText3"/>
        <w:widowControl w:val="0"/>
        <w:numPr>
          <w:ilvl w:val="0"/>
          <w:numId w:val="8"/>
        </w:numPr>
        <w:suppressAutoHyphens/>
        <w:bidi/>
        <w:spacing w:after="220"/>
        <w:rPr>
          <w:rFonts w:ascii="Arabic Typesetting" w:hAnsi="Arabic Typesetting" w:cs="Arabic Typesetting"/>
          <w:sz w:val="36"/>
          <w:szCs w:val="36"/>
        </w:rPr>
      </w:pPr>
      <w:r w:rsidRPr="009E3305">
        <w:rPr>
          <w:rFonts w:ascii="Arabic Typesetting" w:eastAsia="Arial" w:hAnsi="Arabic Typesetting" w:cs="Arabic Typesetting"/>
          <w:sz w:val="36"/>
          <w:szCs w:val="36"/>
          <w:bdr w:val="nil"/>
          <w:rtl/>
          <w:lang w:val="ar-SA"/>
        </w:rPr>
        <w:t>التوصيات الخمس وأربعين المعتمدة من الجمعية العامة للدول الأعضاء في الويبو في إطار جدول أعمال التنمية للويبو، 2007</w:t>
      </w:r>
    </w:p>
    <w:p w:rsidR="00AE1126" w:rsidRPr="009E3305" w:rsidRDefault="00AE1126" w:rsidP="007750F6">
      <w:pPr>
        <w:pStyle w:val="BodyText3"/>
        <w:widowControl w:val="0"/>
        <w:numPr>
          <w:ilvl w:val="0"/>
          <w:numId w:val="8"/>
        </w:numPr>
        <w:suppressAutoHyphens/>
        <w:bidi/>
        <w:spacing w:after="220"/>
        <w:rPr>
          <w:rFonts w:ascii="Arabic Typesetting" w:hAnsi="Arabic Typesetting" w:cs="Arabic Typesetting"/>
          <w:sz w:val="36"/>
          <w:szCs w:val="36"/>
        </w:rPr>
      </w:pPr>
      <w:r w:rsidRPr="009E3305">
        <w:rPr>
          <w:rFonts w:ascii="Arabic Typesetting" w:eastAsia="Arial" w:hAnsi="Arabic Typesetting" w:cs="Arabic Typesetting"/>
          <w:sz w:val="36"/>
          <w:szCs w:val="36"/>
          <w:bdr w:val="nil"/>
          <w:rtl/>
          <w:lang w:val="ar-SA"/>
        </w:rPr>
        <w:t>البرنامج والموازنة للثنائية 2010/2011، معتمدة من جمعيات الدول الأعضاء في الويبو في 1 أكتوبر 2009</w:t>
      </w:r>
    </w:p>
    <w:p w:rsidR="00AE1126" w:rsidRPr="009E3305" w:rsidRDefault="00AE1126" w:rsidP="007750F6">
      <w:pPr>
        <w:pStyle w:val="BodyText3"/>
        <w:widowControl w:val="0"/>
        <w:numPr>
          <w:ilvl w:val="0"/>
          <w:numId w:val="8"/>
        </w:numPr>
        <w:suppressAutoHyphens/>
        <w:bidi/>
        <w:spacing w:after="220"/>
        <w:rPr>
          <w:rFonts w:ascii="Arabic Typesetting" w:hAnsi="Arabic Typesetting" w:cs="Arabic Typesetting"/>
          <w:sz w:val="36"/>
          <w:szCs w:val="36"/>
        </w:rPr>
      </w:pPr>
      <w:r w:rsidRPr="009E3305">
        <w:rPr>
          <w:rFonts w:ascii="Arabic Typesetting" w:eastAsia="Arial" w:hAnsi="Arabic Typesetting" w:cs="Arabic Typesetting"/>
          <w:sz w:val="36"/>
          <w:szCs w:val="36"/>
          <w:bdr w:val="nil"/>
          <w:rtl/>
          <w:lang w:val="ar-SA"/>
        </w:rPr>
        <w:t>البرنامج والموازنة للثنائية 2012/2013، معتمدة من جمعيات الدول الأعضاء في الويبو في 29 سبتمبر 2011</w:t>
      </w:r>
    </w:p>
    <w:p w:rsidR="00AE1126" w:rsidRPr="009E3305" w:rsidRDefault="00AE1126" w:rsidP="007750F6">
      <w:pPr>
        <w:pStyle w:val="BodyText3"/>
        <w:widowControl w:val="0"/>
        <w:numPr>
          <w:ilvl w:val="0"/>
          <w:numId w:val="8"/>
        </w:numPr>
        <w:suppressAutoHyphens/>
        <w:bidi/>
        <w:spacing w:after="220"/>
        <w:rPr>
          <w:rFonts w:ascii="Arabic Typesetting" w:hAnsi="Arabic Typesetting" w:cs="Arabic Typesetting"/>
          <w:sz w:val="36"/>
          <w:szCs w:val="36"/>
        </w:rPr>
      </w:pPr>
      <w:r w:rsidRPr="009E3305">
        <w:rPr>
          <w:rFonts w:ascii="Arabic Typesetting" w:eastAsia="Arial" w:hAnsi="Arabic Typesetting" w:cs="Arabic Typesetting"/>
          <w:sz w:val="36"/>
          <w:szCs w:val="36"/>
          <w:bdr w:val="nil"/>
          <w:rtl/>
          <w:lang w:val="ar-SA"/>
        </w:rPr>
        <w:t>البرنامج والموازنة للثنائية 2014/2015، معتمدة من جمعيات الدول الأعضاء في الويبو في 12 ديسمبر 2013</w:t>
      </w:r>
    </w:p>
    <w:p w:rsidR="00AE1126" w:rsidRPr="00EA1747" w:rsidRDefault="00AE1126" w:rsidP="007750F6">
      <w:pPr>
        <w:pStyle w:val="BodyText3"/>
        <w:widowControl w:val="0"/>
        <w:numPr>
          <w:ilvl w:val="0"/>
          <w:numId w:val="8"/>
        </w:numPr>
        <w:suppressAutoHyphens/>
        <w:bidi/>
        <w:spacing w:after="220"/>
        <w:rPr>
          <w:i/>
          <w:sz w:val="22"/>
          <w:szCs w:val="22"/>
        </w:rPr>
      </w:pPr>
      <w:r w:rsidRPr="009E3305">
        <w:rPr>
          <w:rFonts w:ascii="Arabic Typesetting" w:eastAsia="Arial" w:hAnsi="Arabic Typesetting" w:cs="Arabic Typesetting"/>
          <w:sz w:val="36"/>
          <w:szCs w:val="36"/>
          <w:bdr w:val="nil"/>
          <w:rtl/>
          <w:lang w:val="ar-SA"/>
        </w:rPr>
        <w:t>الخطة الاستراتيجية للأجل المتوسط 2010-2015</w:t>
      </w:r>
      <w:r w:rsidR="00241FA8" w:rsidRPr="009E3305">
        <w:rPr>
          <w:rFonts w:ascii="Arabic Typesetting" w:eastAsia="Arial" w:hAnsi="Arabic Typesetting" w:cs="Arabic Typesetting"/>
          <w:sz w:val="36"/>
          <w:szCs w:val="36"/>
          <w:bdr w:val="nil"/>
          <w:rtl/>
          <w:lang w:val="ar-SA"/>
        </w:rPr>
        <w:t xml:space="preserve">: </w:t>
      </w:r>
      <w:r w:rsidRPr="009E3305">
        <w:rPr>
          <w:rFonts w:ascii="Arabic Typesetting" w:eastAsia="Arial" w:hAnsi="Arabic Typesetting" w:cs="Arabic Typesetting"/>
          <w:sz w:val="36"/>
          <w:szCs w:val="36"/>
          <w:bdr w:val="nil"/>
          <w:rtl/>
          <w:lang w:val="ar-SA"/>
        </w:rPr>
        <w:t>(الوثيقة A/48/3، 16 سبتمبر 2010</w:t>
      </w:r>
      <w:r>
        <w:rPr>
          <w:rFonts w:eastAsia="Arial" w:cs="Arial"/>
          <w:sz w:val="22"/>
          <w:szCs w:val="22"/>
          <w:bdr w:val="nil"/>
          <w:rtl/>
          <w:lang w:val="ar-SA"/>
        </w:rPr>
        <w:t>)</w:t>
      </w:r>
    </w:p>
    <w:p w:rsidR="00AE1126" w:rsidRPr="000B35B0" w:rsidRDefault="00AE1126" w:rsidP="007750F6">
      <w:pPr>
        <w:pStyle w:val="Heading2AR"/>
        <w:keepNext w:val="0"/>
        <w:widowControl w:val="0"/>
        <w:suppressAutoHyphens/>
        <w:rPr>
          <w:b/>
          <w:bCs/>
        </w:rPr>
      </w:pPr>
      <w:r w:rsidRPr="000B35B0">
        <w:rPr>
          <w:rFonts w:eastAsia="Arial"/>
          <w:b/>
          <w:bCs/>
          <w:bdr w:val="nil"/>
          <w:rtl/>
          <w:lang w:val="ar-SA"/>
        </w:rPr>
        <w:t xml:space="preserve">وثائق </w:t>
      </w:r>
      <w:proofErr w:type="gramStart"/>
      <w:r w:rsidRPr="000B35B0">
        <w:rPr>
          <w:rFonts w:eastAsia="Arial"/>
          <w:b/>
          <w:bCs/>
          <w:bdr w:val="nil"/>
          <w:rtl/>
          <w:lang w:val="ar-SA"/>
        </w:rPr>
        <w:t>وتقارير</w:t>
      </w:r>
      <w:proofErr w:type="gramEnd"/>
      <w:r w:rsidRPr="000B35B0">
        <w:rPr>
          <w:rFonts w:eastAsia="Arial"/>
          <w:b/>
          <w:bCs/>
          <w:bdr w:val="nil"/>
          <w:rtl/>
          <w:lang w:val="ar-SA"/>
        </w:rPr>
        <w:t xml:space="preserve"> المشروع </w:t>
      </w:r>
    </w:p>
    <w:p w:rsidR="00AE1126" w:rsidRPr="009E3305" w:rsidRDefault="00AE1126" w:rsidP="007750F6">
      <w:pPr>
        <w:pStyle w:val="BodyText3"/>
        <w:widowControl w:val="0"/>
        <w:numPr>
          <w:ilvl w:val="0"/>
          <w:numId w:val="7"/>
        </w:numPr>
        <w:suppressAutoHyphens/>
        <w:bidi/>
        <w:spacing w:after="220"/>
        <w:ind w:left="357" w:hanging="357"/>
        <w:contextualSpacing/>
        <w:rPr>
          <w:rFonts w:ascii="Arabic Typesetting" w:hAnsi="Arabic Typesetting" w:cs="Arabic Typesetting"/>
          <w:sz w:val="36"/>
          <w:szCs w:val="36"/>
        </w:rPr>
      </w:pPr>
      <w:r w:rsidRPr="009E3305">
        <w:rPr>
          <w:rFonts w:ascii="Arabic Typesetting" w:eastAsia="Arial" w:hAnsi="Arabic Typesetting" w:cs="Arabic Typesetting"/>
          <w:sz w:val="36"/>
          <w:szCs w:val="36"/>
          <w:bdr w:val="nil"/>
          <w:rtl/>
          <w:lang w:val="ar-SA"/>
        </w:rPr>
        <w:t>مقترح وثيقة المشروع</w:t>
      </w:r>
      <w:r w:rsidR="004E22FC" w:rsidRPr="009E3305">
        <w:rPr>
          <w:rFonts w:ascii="Arabic Typesetting" w:eastAsia="Arial" w:hAnsi="Arabic Typesetting" w:cs="Arabic Typesetting"/>
          <w:sz w:val="36"/>
          <w:szCs w:val="36"/>
          <w:bdr w:val="nil"/>
          <w:rtl/>
          <w:lang w:val="ar-SA"/>
        </w:rPr>
        <w:t xml:space="preserve"> </w:t>
      </w:r>
      <w:r w:rsidRPr="009E3305">
        <w:rPr>
          <w:rFonts w:ascii="Arabic Typesetting" w:eastAsia="Arial" w:hAnsi="Arabic Typesetting" w:cs="Arabic Typesetting"/>
          <w:sz w:val="36"/>
          <w:szCs w:val="36"/>
          <w:bdr w:val="nil"/>
          <w:rtl/>
          <w:lang w:val="ar-SA"/>
        </w:rPr>
        <w:t>مشروع الملكية الفكرية ونقل التكنولوجيا</w:t>
      </w:r>
      <w:r w:rsidR="00241FA8" w:rsidRPr="009E3305">
        <w:rPr>
          <w:rFonts w:ascii="Arabic Typesetting" w:eastAsia="Arial" w:hAnsi="Arabic Typesetting" w:cs="Arabic Typesetting"/>
          <w:sz w:val="36"/>
          <w:szCs w:val="36"/>
          <w:bdr w:val="nil"/>
          <w:rtl/>
          <w:lang w:val="ar-SA"/>
        </w:rPr>
        <w:t xml:space="preserve">: </w:t>
      </w:r>
      <w:r w:rsidRPr="009E3305">
        <w:rPr>
          <w:rFonts w:ascii="Arabic Typesetting" w:eastAsia="Arial" w:hAnsi="Arabic Typesetting" w:cs="Arabic Typesetting"/>
          <w:sz w:val="36"/>
          <w:szCs w:val="36"/>
          <w:bdr w:val="nil"/>
          <w:rtl/>
          <w:lang w:val="ar-SA"/>
        </w:rPr>
        <w:t xml:space="preserve">التحديات المشتركة وبناء الحلول (التوصيات 19 و25 و26 و28)، CDIP/6/4 </w:t>
      </w:r>
      <w:proofErr w:type="spellStart"/>
      <w:r w:rsidRPr="009E3305">
        <w:rPr>
          <w:rFonts w:ascii="Arabic Typesetting" w:eastAsia="Arial" w:hAnsi="Arabic Typesetting" w:cs="Arabic Typesetting"/>
          <w:sz w:val="36"/>
          <w:szCs w:val="36"/>
          <w:bdr w:val="nil"/>
          <w:rtl/>
          <w:lang w:val="ar-SA"/>
        </w:rPr>
        <w:t>Rev</w:t>
      </w:r>
      <w:proofErr w:type="spellEnd"/>
      <w:r w:rsidRPr="009E3305">
        <w:rPr>
          <w:rFonts w:ascii="Arabic Typesetting" w:eastAsia="Arial" w:hAnsi="Arabic Typesetting" w:cs="Arabic Typesetting"/>
          <w:sz w:val="36"/>
          <w:szCs w:val="36"/>
          <w:bdr w:val="nil"/>
          <w:rtl/>
          <w:lang w:val="ar-SA"/>
        </w:rPr>
        <w:t>.، بتاريخ 26 نوفمبر 2010.</w:t>
      </w:r>
    </w:p>
    <w:p w:rsidR="00AE1126" w:rsidRPr="009E3305" w:rsidRDefault="00AE1126" w:rsidP="007750F6">
      <w:pPr>
        <w:pStyle w:val="BodyText3"/>
        <w:widowControl w:val="0"/>
        <w:numPr>
          <w:ilvl w:val="0"/>
          <w:numId w:val="7"/>
        </w:numPr>
        <w:suppressAutoHyphens/>
        <w:bidi/>
        <w:spacing w:after="220"/>
        <w:ind w:left="357" w:hanging="357"/>
        <w:contextualSpacing/>
        <w:rPr>
          <w:rFonts w:ascii="Arabic Typesetting" w:hAnsi="Arabic Typesetting" w:cs="Arabic Typesetting"/>
          <w:sz w:val="36"/>
          <w:szCs w:val="36"/>
        </w:rPr>
      </w:pPr>
      <w:r w:rsidRPr="009E3305">
        <w:rPr>
          <w:rFonts w:ascii="Arabic Typesetting" w:eastAsia="Arial" w:hAnsi="Arabic Typesetting" w:cs="Arabic Typesetting"/>
          <w:sz w:val="36"/>
          <w:szCs w:val="36"/>
          <w:bdr w:val="nil"/>
          <w:rtl/>
          <w:lang w:val="ar-SA"/>
        </w:rPr>
        <w:t>ورقة المشروع</w:t>
      </w:r>
      <w:r w:rsidR="00241FA8" w:rsidRPr="009E3305">
        <w:rPr>
          <w:rFonts w:ascii="Arabic Typesetting" w:eastAsia="Arial" w:hAnsi="Arabic Typesetting" w:cs="Arabic Typesetting"/>
          <w:sz w:val="36"/>
          <w:szCs w:val="36"/>
          <w:bdr w:val="nil"/>
          <w:rtl/>
          <w:lang w:val="ar-SA"/>
        </w:rPr>
        <w:t xml:space="preserve">: </w:t>
      </w:r>
      <w:r w:rsidRPr="009E3305">
        <w:rPr>
          <w:rFonts w:ascii="Arabic Typesetting" w:eastAsia="Arial" w:hAnsi="Arabic Typesetting" w:cs="Arabic Typesetting"/>
          <w:sz w:val="36"/>
          <w:szCs w:val="36"/>
          <w:bdr w:val="nil"/>
          <w:rtl/>
          <w:lang w:val="ar-SA"/>
        </w:rPr>
        <w:t>مشروع الملكية الفكرية ونقل التكنولوجيا</w:t>
      </w:r>
      <w:r w:rsidR="00241FA8" w:rsidRPr="009E3305">
        <w:rPr>
          <w:rFonts w:ascii="Arabic Typesetting" w:eastAsia="Arial" w:hAnsi="Arabic Typesetting" w:cs="Arabic Typesetting"/>
          <w:sz w:val="36"/>
          <w:szCs w:val="36"/>
          <w:bdr w:val="nil"/>
          <w:rtl/>
          <w:lang w:val="ar-SA"/>
        </w:rPr>
        <w:t xml:space="preserve">: </w:t>
      </w:r>
      <w:r w:rsidRPr="009E3305">
        <w:rPr>
          <w:rFonts w:ascii="Arabic Typesetting" w:eastAsia="Arial" w:hAnsi="Arabic Typesetting" w:cs="Arabic Typesetting"/>
          <w:sz w:val="36"/>
          <w:szCs w:val="36"/>
          <w:bdr w:val="nil"/>
          <w:rtl/>
          <w:lang w:val="ar-SA"/>
        </w:rPr>
        <w:t>التحديات المشتركة وبناء الحلول (التوصيات 19 و25 و26 و28)، CDIP/8/7 بتاريخ 21 أكتوبر 2011.</w:t>
      </w:r>
    </w:p>
    <w:p w:rsidR="00AE1126" w:rsidRPr="009E3305" w:rsidRDefault="00AE1126" w:rsidP="007750F6">
      <w:pPr>
        <w:pStyle w:val="BodyText3"/>
        <w:widowControl w:val="0"/>
        <w:numPr>
          <w:ilvl w:val="0"/>
          <w:numId w:val="7"/>
        </w:numPr>
        <w:suppressAutoHyphens/>
        <w:bidi/>
        <w:spacing w:after="220"/>
        <w:ind w:left="357" w:hanging="357"/>
        <w:contextualSpacing/>
        <w:rPr>
          <w:rFonts w:ascii="Arabic Typesetting" w:hAnsi="Arabic Typesetting" w:cs="Arabic Typesetting"/>
          <w:sz w:val="36"/>
          <w:szCs w:val="36"/>
        </w:rPr>
      </w:pPr>
      <w:r w:rsidRPr="009E3305">
        <w:rPr>
          <w:rFonts w:ascii="Arabic Typesetting" w:eastAsia="Arial" w:hAnsi="Arabic Typesetting" w:cs="Arabic Typesetting"/>
          <w:sz w:val="36"/>
          <w:szCs w:val="36"/>
          <w:bdr w:val="nil"/>
          <w:rtl/>
          <w:lang w:val="ar-SA"/>
        </w:rPr>
        <w:t>ورقة المشروع (منقحة)</w:t>
      </w:r>
      <w:r w:rsidR="00241FA8" w:rsidRPr="009E3305">
        <w:rPr>
          <w:rFonts w:ascii="Arabic Typesetting" w:eastAsia="Arial" w:hAnsi="Arabic Typesetting" w:cs="Arabic Typesetting"/>
          <w:sz w:val="36"/>
          <w:szCs w:val="36"/>
          <w:bdr w:val="nil"/>
          <w:rtl/>
          <w:lang w:val="ar-SA"/>
        </w:rPr>
        <w:t xml:space="preserve">: </w:t>
      </w:r>
      <w:r w:rsidRPr="009E3305">
        <w:rPr>
          <w:rFonts w:ascii="Arabic Typesetting" w:eastAsia="Arial" w:hAnsi="Arabic Typesetting" w:cs="Arabic Typesetting"/>
          <w:sz w:val="36"/>
          <w:szCs w:val="36"/>
          <w:bdr w:val="nil"/>
          <w:rtl/>
          <w:lang w:val="ar-SA"/>
        </w:rPr>
        <w:t>مشروع الملكية الفكرية ونقل التكنولوجيا</w:t>
      </w:r>
      <w:r w:rsidR="00241FA8" w:rsidRPr="009E3305">
        <w:rPr>
          <w:rFonts w:ascii="Arabic Typesetting" w:eastAsia="Arial" w:hAnsi="Arabic Typesetting" w:cs="Arabic Typesetting"/>
          <w:sz w:val="36"/>
          <w:szCs w:val="36"/>
          <w:bdr w:val="nil"/>
          <w:rtl/>
          <w:lang w:val="ar-SA"/>
        </w:rPr>
        <w:t xml:space="preserve">: </w:t>
      </w:r>
      <w:r w:rsidRPr="009E3305">
        <w:rPr>
          <w:rFonts w:ascii="Arabic Typesetting" w:eastAsia="Arial" w:hAnsi="Arabic Typesetting" w:cs="Arabic Typesetting"/>
          <w:sz w:val="36"/>
          <w:szCs w:val="36"/>
          <w:bdr w:val="nil"/>
          <w:rtl/>
          <w:lang w:val="ar-SA"/>
        </w:rPr>
        <w:t>التحديات المشتركة وبناء الحلول (التوصيات 19 و25 و26 و28)، CDIP/9/INF/4 بتاريخ 13 مارس 2012.</w:t>
      </w:r>
    </w:p>
    <w:p w:rsidR="00AE1126" w:rsidRPr="009E3305" w:rsidRDefault="00AE1126" w:rsidP="007750F6">
      <w:pPr>
        <w:pStyle w:val="BodyText3"/>
        <w:widowControl w:val="0"/>
        <w:numPr>
          <w:ilvl w:val="0"/>
          <w:numId w:val="7"/>
        </w:numPr>
        <w:suppressAutoHyphens/>
        <w:bidi/>
        <w:spacing w:after="220"/>
        <w:ind w:left="357" w:hanging="357"/>
        <w:contextualSpacing/>
        <w:rPr>
          <w:rFonts w:ascii="Arabic Typesetting" w:hAnsi="Arabic Typesetting" w:cs="Arabic Typesetting"/>
          <w:sz w:val="36"/>
          <w:szCs w:val="36"/>
        </w:rPr>
      </w:pPr>
      <w:proofErr w:type="gramStart"/>
      <w:r w:rsidRPr="009E3305">
        <w:rPr>
          <w:rFonts w:ascii="Arabic Typesetting" w:eastAsia="Arial" w:hAnsi="Arabic Typesetting" w:cs="Arabic Typesetting"/>
          <w:sz w:val="36"/>
          <w:szCs w:val="36"/>
          <w:bdr w:val="nil"/>
          <w:rtl/>
          <w:lang w:val="ar-SA"/>
        </w:rPr>
        <w:t>تقرير</w:t>
      </w:r>
      <w:proofErr w:type="gramEnd"/>
      <w:r w:rsidRPr="009E3305">
        <w:rPr>
          <w:rFonts w:ascii="Arabic Typesetting" w:eastAsia="Arial" w:hAnsi="Arabic Typesetting" w:cs="Arabic Typesetting"/>
          <w:sz w:val="36"/>
          <w:szCs w:val="36"/>
          <w:bdr w:val="nil"/>
          <w:rtl/>
          <w:lang w:val="ar-SA"/>
        </w:rPr>
        <w:t xml:space="preserve"> مرحلي، CDIP/8/2 المرفق الخامس عشر (الصفحات 131-136)، 4 أكتوبر 2011.</w:t>
      </w:r>
    </w:p>
    <w:p w:rsidR="00AE1126" w:rsidRPr="009E3305" w:rsidRDefault="00AE1126" w:rsidP="007750F6">
      <w:pPr>
        <w:pStyle w:val="BodyText3"/>
        <w:widowControl w:val="0"/>
        <w:numPr>
          <w:ilvl w:val="0"/>
          <w:numId w:val="7"/>
        </w:numPr>
        <w:suppressAutoHyphens/>
        <w:bidi/>
        <w:spacing w:after="220"/>
        <w:ind w:left="357" w:hanging="357"/>
        <w:contextualSpacing/>
        <w:rPr>
          <w:rFonts w:ascii="Arabic Typesetting" w:hAnsi="Arabic Typesetting" w:cs="Arabic Typesetting"/>
          <w:sz w:val="36"/>
          <w:szCs w:val="36"/>
        </w:rPr>
      </w:pPr>
      <w:proofErr w:type="gramStart"/>
      <w:r w:rsidRPr="009E3305">
        <w:rPr>
          <w:rFonts w:ascii="Arabic Typesetting" w:eastAsia="Arial" w:hAnsi="Arabic Typesetting" w:cs="Arabic Typesetting"/>
          <w:sz w:val="36"/>
          <w:szCs w:val="36"/>
          <w:bdr w:val="nil"/>
          <w:rtl/>
          <w:lang w:val="ar-SA"/>
        </w:rPr>
        <w:t>تقرير</w:t>
      </w:r>
      <w:proofErr w:type="gramEnd"/>
      <w:r w:rsidRPr="009E3305">
        <w:rPr>
          <w:rFonts w:ascii="Arabic Typesetting" w:eastAsia="Arial" w:hAnsi="Arabic Typesetting" w:cs="Arabic Typesetting"/>
          <w:sz w:val="36"/>
          <w:szCs w:val="36"/>
          <w:bdr w:val="nil"/>
          <w:rtl/>
          <w:lang w:val="ar-SA"/>
        </w:rPr>
        <w:t xml:space="preserve"> مرحلي، CDIP/10/2 المرفق الثامن (الصفحات 72-79)، 27 سبتمبر 2012</w:t>
      </w:r>
    </w:p>
    <w:p w:rsidR="00AE1126" w:rsidRPr="009E3305" w:rsidRDefault="00AE1126" w:rsidP="007750F6">
      <w:pPr>
        <w:pStyle w:val="BodyText3"/>
        <w:widowControl w:val="0"/>
        <w:numPr>
          <w:ilvl w:val="0"/>
          <w:numId w:val="7"/>
        </w:numPr>
        <w:suppressAutoHyphens/>
        <w:bidi/>
        <w:spacing w:after="220"/>
        <w:ind w:left="357" w:hanging="357"/>
        <w:contextualSpacing/>
        <w:rPr>
          <w:rFonts w:ascii="Arabic Typesetting" w:hAnsi="Arabic Typesetting" w:cs="Arabic Typesetting"/>
          <w:sz w:val="36"/>
          <w:szCs w:val="36"/>
        </w:rPr>
      </w:pPr>
      <w:proofErr w:type="gramStart"/>
      <w:r w:rsidRPr="009E3305">
        <w:rPr>
          <w:rFonts w:ascii="Arabic Typesetting" w:eastAsia="Arial" w:hAnsi="Arabic Typesetting" w:cs="Arabic Typesetting"/>
          <w:sz w:val="36"/>
          <w:szCs w:val="36"/>
          <w:bdr w:val="nil"/>
          <w:rtl/>
          <w:lang w:val="ar-SA"/>
        </w:rPr>
        <w:t>تقرير</w:t>
      </w:r>
      <w:proofErr w:type="gramEnd"/>
      <w:r w:rsidRPr="009E3305">
        <w:rPr>
          <w:rFonts w:ascii="Arabic Typesetting" w:eastAsia="Arial" w:hAnsi="Arabic Typesetting" w:cs="Arabic Typesetting"/>
          <w:sz w:val="36"/>
          <w:szCs w:val="36"/>
          <w:bdr w:val="nil"/>
          <w:rtl/>
          <w:lang w:val="ar-SA"/>
        </w:rPr>
        <w:t xml:space="preserve"> مرحلي، CDIP/12/2 المرفق السادس (الصفحات 49-58)، 12 سبتمبر 2013</w:t>
      </w:r>
    </w:p>
    <w:p w:rsidR="00AE1126" w:rsidRPr="009E3305" w:rsidRDefault="00AE1126" w:rsidP="007750F6">
      <w:pPr>
        <w:pStyle w:val="BodyText3"/>
        <w:widowControl w:val="0"/>
        <w:numPr>
          <w:ilvl w:val="0"/>
          <w:numId w:val="7"/>
        </w:numPr>
        <w:suppressAutoHyphens/>
        <w:bidi/>
        <w:spacing w:after="220"/>
        <w:ind w:left="357" w:hanging="357"/>
        <w:contextualSpacing/>
        <w:rPr>
          <w:rFonts w:ascii="Arabic Typesetting" w:hAnsi="Arabic Typesetting" w:cs="Arabic Typesetting"/>
          <w:sz w:val="36"/>
          <w:szCs w:val="36"/>
        </w:rPr>
      </w:pPr>
      <w:proofErr w:type="gramStart"/>
      <w:r w:rsidRPr="009E3305">
        <w:rPr>
          <w:rFonts w:ascii="Arabic Typesetting" w:eastAsia="Arial" w:hAnsi="Arabic Typesetting" w:cs="Arabic Typesetting"/>
          <w:sz w:val="36"/>
          <w:szCs w:val="36"/>
          <w:bdr w:val="nil"/>
          <w:rtl/>
          <w:lang w:val="ar-SA"/>
        </w:rPr>
        <w:t>آخر</w:t>
      </w:r>
      <w:proofErr w:type="gramEnd"/>
      <w:r w:rsidRPr="009E3305">
        <w:rPr>
          <w:rFonts w:ascii="Arabic Typesetting" w:eastAsia="Arial" w:hAnsi="Arabic Typesetting" w:cs="Arabic Typesetting"/>
          <w:sz w:val="36"/>
          <w:szCs w:val="36"/>
          <w:bdr w:val="nil"/>
          <w:rtl/>
          <w:lang w:val="ar-SA"/>
        </w:rPr>
        <w:t xml:space="preserve"> تقرير مرحلي، CDIP/14/2 المرفق (أ) ثانياً (الصفحات 9-17)، 28 أغسطس 2014</w:t>
      </w:r>
    </w:p>
    <w:p w:rsidR="000B35B0" w:rsidRPr="000B35B0" w:rsidRDefault="00AE1126" w:rsidP="007750F6">
      <w:pPr>
        <w:pStyle w:val="Heading2AR"/>
        <w:keepNext w:val="0"/>
        <w:widowControl w:val="0"/>
        <w:suppressAutoHyphens/>
        <w:rPr>
          <w:rFonts w:eastAsia="Arial"/>
          <w:b/>
          <w:bCs/>
          <w:bdr w:val="nil"/>
          <w:rtl/>
          <w:lang w:val="ar-SA"/>
        </w:rPr>
      </w:pPr>
      <w:r>
        <w:rPr>
          <w:rFonts w:eastAsia="Arial"/>
          <w:bdr w:val="nil"/>
          <w:rtl/>
          <w:lang w:val="ar-SA"/>
        </w:rPr>
        <w:br w:type="page"/>
      </w:r>
      <w:proofErr w:type="gramStart"/>
      <w:r w:rsidRPr="000B35B0">
        <w:rPr>
          <w:rFonts w:eastAsia="Arial"/>
          <w:b/>
          <w:bCs/>
          <w:bdr w:val="nil"/>
          <w:rtl/>
          <w:lang w:val="ar-SA"/>
        </w:rPr>
        <w:lastRenderedPageBreak/>
        <w:t>مخرجات</w:t>
      </w:r>
      <w:proofErr w:type="gramEnd"/>
      <w:r w:rsidRPr="000B35B0">
        <w:rPr>
          <w:rFonts w:eastAsia="Arial"/>
          <w:b/>
          <w:bCs/>
          <w:bdr w:val="nil"/>
          <w:rtl/>
          <w:lang w:val="ar-SA"/>
        </w:rPr>
        <w:t xml:space="preserve"> المشروع</w:t>
      </w:r>
    </w:p>
    <w:p w:rsidR="00AE1126" w:rsidRPr="000B35B0" w:rsidRDefault="00AE1126" w:rsidP="007750F6">
      <w:pPr>
        <w:pStyle w:val="ListNumber"/>
        <w:widowControl w:val="0"/>
        <w:numPr>
          <w:ilvl w:val="0"/>
          <w:numId w:val="0"/>
        </w:numPr>
        <w:suppressAutoHyphens/>
        <w:bidi/>
        <w:spacing w:after="220" w:line="260" w:lineRule="atLeast"/>
        <w:rPr>
          <w:rFonts w:ascii="Arabic Typesetting" w:hAnsi="Arabic Typesetting" w:cs="Arabic Typesetting"/>
          <w:b/>
          <w:bCs/>
          <w:sz w:val="36"/>
          <w:szCs w:val="36"/>
        </w:rPr>
      </w:pPr>
      <w:r w:rsidRPr="000B35B0">
        <w:rPr>
          <w:rFonts w:ascii="Arabic Typesetting" w:eastAsia="Arial" w:hAnsi="Arabic Typesetting" w:cs="Arabic Typesetting"/>
          <w:b/>
          <w:bCs/>
          <w:sz w:val="36"/>
          <w:szCs w:val="36"/>
          <w:bdr w:val="nil"/>
          <w:rtl/>
          <w:lang w:val="ar-SA" w:eastAsia="zh-CN"/>
        </w:rPr>
        <w:t>المخرج 1: خمسة اجتماعات إقليمية تشاورية بشأن نقل التكنولوجيا في مناطق مختلفة حول العالم (وثائق الاجتماعات)</w:t>
      </w:r>
    </w:p>
    <w:p w:rsidR="00AE1126" w:rsidRPr="005A15E6" w:rsidRDefault="00AE1126" w:rsidP="007750F6">
      <w:pPr>
        <w:pStyle w:val="NormalParaAR"/>
        <w:widowControl w:val="0"/>
        <w:numPr>
          <w:ilvl w:val="0"/>
          <w:numId w:val="19"/>
        </w:numPr>
        <w:suppressAutoHyphens/>
        <w:ind w:left="283"/>
        <w:rPr>
          <w:rFonts w:eastAsia="Arial"/>
          <w:bdr w:val="nil"/>
          <w:rtl/>
          <w:lang w:val="ar-SA"/>
        </w:rPr>
      </w:pPr>
      <w:r w:rsidRPr="005A15E6">
        <w:rPr>
          <w:rFonts w:eastAsia="Arial"/>
          <w:bdr w:val="nil"/>
          <w:rtl/>
          <w:lang w:val="ar-SA"/>
        </w:rPr>
        <w:t>الاجتماع الإقليمي التشاوري بسنغافورة لمنطقة آسيا: http://www.wipo.int/meetings/en/details.jsp?meeting_id=28643</w:t>
      </w:r>
      <w:r w:rsidRPr="005A15E6">
        <w:rPr>
          <w:rFonts w:eastAsia="Arial"/>
          <w:bdr w:val="nil"/>
          <w:rtl/>
          <w:cs/>
          <w:lang w:val="ar-SA"/>
        </w:rPr>
        <w:t>‎</w:t>
      </w:r>
    </w:p>
    <w:p w:rsidR="00AE1126" w:rsidRPr="005A15E6" w:rsidRDefault="00AE1126" w:rsidP="007750F6">
      <w:pPr>
        <w:pStyle w:val="NormalParaAR"/>
        <w:widowControl w:val="0"/>
        <w:numPr>
          <w:ilvl w:val="0"/>
          <w:numId w:val="19"/>
        </w:numPr>
        <w:suppressAutoHyphens/>
        <w:ind w:left="283"/>
        <w:rPr>
          <w:rFonts w:eastAsia="Arial"/>
          <w:bdr w:val="nil"/>
          <w:rtl/>
          <w:lang w:val="ar-SA"/>
        </w:rPr>
      </w:pPr>
      <w:r w:rsidRPr="005A15E6">
        <w:rPr>
          <w:rFonts w:eastAsia="Arial"/>
          <w:bdr w:val="nil"/>
          <w:rtl/>
          <w:lang w:val="ar-SA"/>
        </w:rPr>
        <w:t>الاجتماع الإقليمي التشاوري بالجزائر لمنطقة أفريقيا والبلدان العربية: http://www.wipo.int/meetings/en/details.jsp?meeting_id=31263</w:t>
      </w:r>
    </w:p>
    <w:p w:rsidR="00AE1126" w:rsidRPr="005A15E6" w:rsidRDefault="00AE1126" w:rsidP="007750F6">
      <w:pPr>
        <w:pStyle w:val="NormalParaAR"/>
        <w:widowControl w:val="0"/>
        <w:numPr>
          <w:ilvl w:val="0"/>
          <w:numId w:val="19"/>
        </w:numPr>
        <w:suppressAutoHyphens/>
        <w:ind w:left="283"/>
        <w:rPr>
          <w:rFonts w:eastAsia="Arial"/>
          <w:bdr w:val="nil"/>
          <w:rtl/>
          <w:lang w:val="ar-SA"/>
        </w:rPr>
      </w:pPr>
      <w:r w:rsidRPr="005A15E6">
        <w:rPr>
          <w:rFonts w:eastAsia="Arial"/>
          <w:bdr w:val="nil"/>
          <w:rtl/>
          <w:lang w:val="ar-SA"/>
        </w:rPr>
        <w:t>الاجتماع الإقليمي التشاوري بإسطنبول للمنطقة الانتقالية: http://www.wipo.int/meetings/en/details.jsp?meeting_id=30703</w:t>
      </w:r>
      <w:r w:rsidRPr="005A15E6">
        <w:rPr>
          <w:rFonts w:eastAsia="Arial"/>
          <w:bdr w:val="nil"/>
          <w:rtl/>
          <w:cs/>
          <w:lang w:val="ar-SA"/>
        </w:rPr>
        <w:t>‎</w:t>
      </w:r>
    </w:p>
    <w:p w:rsidR="00AE1126" w:rsidRPr="005A15E6" w:rsidRDefault="00AE1126" w:rsidP="007750F6">
      <w:pPr>
        <w:pStyle w:val="NormalParaAR"/>
        <w:widowControl w:val="0"/>
        <w:numPr>
          <w:ilvl w:val="0"/>
          <w:numId w:val="19"/>
        </w:numPr>
        <w:suppressAutoHyphens/>
        <w:ind w:left="283"/>
        <w:rPr>
          <w:rFonts w:eastAsia="Arial"/>
          <w:bdr w:val="nil"/>
          <w:rtl/>
          <w:lang w:val="ar-SA"/>
        </w:rPr>
      </w:pPr>
      <w:r w:rsidRPr="005A15E6">
        <w:rPr>
          <w:rFonts w:eastAsia="Arial"/>
          <w:bdr w:val="nil"/>
          <w:rtl/>
          <w:lang w:val="ar-SA"/>
        </w:rPr>
        <w:t xml:space="preserve">الاجتماع الإقليمي التشاوري بجنيف للمنطقة المتقدمة: http://www.wipo.int/meetings/en/details.jsp?meeting_id=31242 (تتضمن تسجيلاً صوتياً للسيدة باتريشيا </w:t>
      </w:r>
      <w:proofErr w:type="spellStart"/>
      <w:r w:rsidRPr="005A15E6">
        <w:rPr>
          <w:rFonts w:eastAsia="Arial"/>
          <w:bdr w:val="nil"/>
          <w:rtl/>
          <w:lang w:val="ar-SA"/>
        </w:rPr>
        <w:t>أوبراين</w:t>
      </w:r>
      <w:proofErr w:type="spellEnd"/>
      <w:r w:rsidRPr="005A15E6">
        <w:rPr>
          <w:rFonts w:eastAsia="Arial"/>
          <w:bdr w:val="nil"/>
          <w:rtl/>
          <w:lang w:val="ar-SA"/>
        </w:rPr>
        <w:t xml:space="preserve">، سفيرة </w:t>
      </w:r>
      <w:proofErr w:type="spellStart"/>
      <w:r w:rsidRPr="005A15E6">
        <w:rPr>
          <w:rFonts w:eastAsia="Arial"/>
          <w:bdr w:val="nil"/>
          <w:rtl/>
          <w:lang w:val="ar-SA"/>
        </w:rPr>
        <w:t>أيرلندا</w:t>
      </w:r>
      <w:proofErr w:type="spellEnd"/>
      <w:r w:rsidRPr="005A15E6">
        <w:rPr>
          <w:rFonts w:eastAsia="Arial"/>
          <w:bdr w:val="nil"/>
          <w:rtl/>
          <w:lang w:val="ar-SA"/>
        </w:rPr>
        <w:t xml:space="preserve"> وممثلتها الدائمة، كخلفية)</w:t>
      </w:r>
    </w:p>
    <w:p w:rsidR="008369B6" w:rsidRPr="008369B6" w:rsidRDefault="00AE1126" w:rsidP="007750F6">
      <w:pPr>
        <w:pStyle w:val="NormalParaAR"/>
        <w:widowControl w:val="0"/>
        <w:numPr>
          <w:ilvl w:val="0"/>
          <w:numId w:val="19"/>
        </w:numPr>
        <w:suppressAutoHyphens/>
        <w:ind w:left="283"/>
        <w:rPr>
          <w:rFonts w:eastAsia="Arial"/>
          <w:bdr w:val="nil"/>
          <w:rtl/>
          <w:lang w:val="ar-SA"/>
        </w:rPr>
      </w:pPr>
      <w:r w:rsidRPr="005A15E6">
        <w:rPr>
          <w:rFonts w:eastAsia="Arial"/>
          <w:bdr w:val="nil"/>
          <w:rtl/>
          <w:lang w:val="ar-SA"/>
        </w:rPr>
        <w:t xml:space="preserve">الاجتماع الإقليمي التشاوري </w:t>
      </w:r>
      <w:proofErr w:type="spellStart"/>
      <w:r w:rsidRPr="005A15E6">
        <w:rPr>
          <w:rFonts w:eastAsia="Arial"/>
          <w:bdr w:val="nil"/>
          <w:rtl/>
          <w:lang w:val="ar-SA"/>
        </w:rPr>
        <w:t>بمونتيري</w:t>
      </w:r>
      <w:proofErr w:type="spellEnd"/>
      <w:r w:rsidRPr="005A15E6">
        <w:rPr>
          <w:rFonts w:eastAsia="Arial"/>
          <w:bdr w:val="nil"/>
          <w:rtl/>
          <w:lang w:val="ar-SA"/>
        </w:rPr>
        <w:t xml:space="preserve"> لمنطقة اللاتينية والكاريبي: http://www.wipo.int/meetings/en/details.jsp?meeting_id=31243</w:t>
      </w:r>
      <w:r w:rsidRPr="005A15E6">
        <w:rPr>
          <w:rFonts w:eastAsia="Arial"/>
          <w:bdr w:val="nil"/>
          <w:rtl/>
          <w:cs/>
          <w:lang w:val="ar-SA"/>
        </w:rPr>
        <w:t>‎</w:t>
      </w:r>
    </w:p>
    <w:p w:rsidR="00AE1126" w:rsidRPr="008369B6" w:rsidRDefault="00AE1126" w:rsidP="007750F6">
      <w:pPr>
        <w:pStyle w:val="NormalParaAR"/>
        <w:widowControl w:val="0"/>
        <w:numPr>
          <w:ilvl w:val="0"/>
          <w:numId w:val="19"/>
        </w:numPr>
        <w:suppressAutoHyphens/>
        <w:ind w:left="283"/>
        <w:rPr>
          <w:rFonts w:eastAsia="Arial"/>
          <w:bdr w:val="nil"/>
          <w:rtl/>
          <w:lang w:val="ar-SA"/>
        </w:rPr>
      </w:pPr>
      <w:r w:rsidRPr="008369B6">
        <w:rPr>
          <w:rFonts w:eastAsia="Arial"/>
          <w:bdr w:val="nil"/>
          <w:rtl/>
          <w:lang w:val="ar-SA"/>
        </w:rPr>
        <w:t xml:space="preserve">اجتماع </w:t>
      </w:r>
      <w:proofErr w:type="gramStart"/>
      <w:r w:rsidRPr="008369B6">
        <w:rPr>
          <w:rFonts w:eastAsia="Arial"/>
          <w:bdr w:val="nil"/>
          <w:rtl/>
          <w:lang w:val="ar-SA"/>
        </w:rPr>
        <w:t>لمنظمات</w:t>
      </w:r>
      <w:proofErr w:type="gramEnd"/>
      <w:r w:rsidRPr="008369B6">
        <w:rPr>
          <w:rFonts w:eastAsia="Arial"/>
          <w:bdr w:val="nil"/>
          <w:rtl/>
          <w:lang w:val="ar-SA"/>
        </w:rPr>
        <w:t xml:space="preserve"> غير حكومية ومنظمات حكومية دولية: http://www.wipo.int/meetings/en/details.jsp?meeting_id=34205 (</w:t>
      </w:r>
      <w:proofErr w:type="gramStart"/>
      <w:r w:rsidRPr="008369B6">
        <w:rPr>
          <w:rFonts w:eastAsia="Arial"/>
          <w:bdr w:val="nil"/>
          <w:rtl/>
          <w:lang w:val="ar-SA"/>
        </w:rPr>
        <w:t>مقدمة</w:t>
      </w:r>
      <w:proofErr w:type="gramEnd"/>
      <w:r w:rsidRPr="008369B6">
        <w:rPr>
          <w:rFonts w:eastAsia="Arial"/>
          <w:bdr w:val="nil"/>
          <w:rtl/>
          <w:lang w:val="ar-SA"/>
        </w:rPr>
        <w:t xml:space="preserve"> بصوت السيد بولي في الخلفية بشأن المسائل الرئيسية المتعلقة بنقل التكنولوجيا)</w:t>
      </w:r>
    </w:p>
    <w:p w:rsidR="00AE1126" w:rsidRPr="000B35B0" w:rsidRDefault="00AE1126" w:rsidP="007750F6">
      <w:pPr>
        <w:pStyle w:val="Heading2AR"/>
        <w:keepNext w:val="0"/>
        <w:widowControl w:val="0"/>
        <w:suppressAutoHyphens/>
        <w:rPr>
          <w:b/>
          <w:bCs/>
        </w:rPr>
      </w:pPr>
      <w:r w:rsidRPr="000B35B0">
        <w:rPr>
          <w:rFonts w:eastAsia="Arial"/>
          <w:b/>
          <w:bCs/>
          <w:bdr w:val="nil"/>
          <w:rtl/>
          <w:lang w:val="ar-SA" w:eastAsia="zh-CN"/>
        </w:rPr>
        <w:t>المخرج 2</w:t>
      </w:r>
      <w:r w:rsidR="00241FA8" w:rsidRPr="000B35B0">
        <w:rPr>
          <w:rFonts w:eastAsia="Arial"/>
          <w:b/>
          <w:bCs/>
          <w:bdr w:val="nil"/>
          <w:rtl/>
          <w:lang w:val="ar-SA" w:eastAsia="zh-CN"/>
        </w:rPr>
        <w:t xml:space="preserve">: </w:t>
      </w:r>
      <w:proofErr w:type="gramStart"/>
      <w:r w:rsidRPr="000B35B0">
        <w:rPr>
          <w:rFonts w:eastAsia="Arial"/>
          <w:b/>
          <w:bCs/>
          <w:bdr w:val="nil"/>
          <w:rtl/>
          <w:lang w:val="ar-SA" w:eastAsia="zh-CN"/>
        </w:rPr>
        <w:t>دراسات</w:t>
      </w:r>
      <w:proofErr w:type="gramEnd"/>
    </w:p>
    <w:p w:rsidR="00AE1126" w:rsidRPr="005A15E6" w:rsidRDefault="00AE1126" w:rsidP="007750F6">
      <w:pPr>
        <w:pStyle w:val="NormalParaAR"/>
        <w:widowControl w:val="0"/>
        <w:numPr>
          <w:ilvl w:val="0"/>
          <w:numId w:val="19"/>
        </w:numPr>
        <w:suppressAutoHyphens/>
        <w:ind w:left="141"/>
        <w:rPr>
          <w:rFonts w:eastAsia="Arial"/>
          <w:bdr w:val="nil"/>
          <w:rtl/>
          <w:lang w:val="ar-SA"/>
        </w:rPr>
      </w:pPr>
      <w:r w:rsidRPr="005A15E6">
        <w:rPr>
          <w:rFonts w:eastAsia="Arial"/>
          <w:bdr w:val="nil"/>
          <w:rtl/>
          <w:lang w:val="ar-SA"/>
        </w:rPr>
        <w:t xml:space="preserve">الدراسة 1: اقتصاديات الملكية الفكرية </w:t>
      </w:r>
      <w:proofErr w:type="gramStart"/>
      <w:r w:rsidRPr="005A15E6">
        <w:rPr>
          <w:rFonts w:eastAsia="Arial"/>
          <w:bdr w:val="nil"/>
          <w:rtl/>
          <w:lang w:val="ar-SA"/>
        </w:rPr>
        <w:t>ونقل</w:t>
      </w:r>
      <w:proofErr w:type="gramEnd"/>
      <w:r w:rsidRPr="005A15E6">
        <w:rPr>
          <w:rFonts w:eastAsia="Arial"/>
          <w:bdr w:val="nil"/>
          <w:rtl/>
          <w:lang w:val="ar-SA"/>
        </w:rPr>
        <w:t xml:space="preserve"> التكنولوجيا على الصعيد الدولي: http://www.wipo.int/meetings/en/doc_details.jsp?doc_id=287167</w:t>
      </w:r>
    </w:p>
    <w:p w:rsidR="00AE1126" w:rsidRPr="005A15E6" w:rsidRDefault="00AE1126" w:rsidP="007750F6">
      <w:pPr>
        <w:pStyle w:val="NormalParaAR"/>
        <w:widowControl w:val="0"/>
        <w:numPr>
          <w:ilvl w:val="0"/>
          <w:numId w:val="19"/>
        </w:numPr>
        <w:suppressAutoHyphens/>
        <w:ind w:left="141"/>
        <w:rPr>
          <w:rFonts w:eastAsia="Arial"/>
          <w:bdr w:val="nil"/>
          <w:rtl/>
          <w:lang w:val="ar-SA"/>
        </w:rPr>
      </w:pPr>
      <w:r w:rsidRPr="005A15E6">
        <w:rPr>
          <w:rFonts w:eastAsia="Arial"/>
          <w:bdr w:val="nil"/>
          <w:rtl/>
          <w:lang w:val="ar-SA"/>
        </w:rPr>
        <w:t>الدراسة 2</w:t>
      </w:r>
      <w:r w:rsidR="00241FA8">
        <w:rPr>
          <w:rFonts w:eastAsia="Arial"/>
          <w:bdr w:val="nil"/>
          <w:rtl/>
          <w:lang w:val="ar-SA"/>
        </w:rPr>
        <w:t xml:space="preserve">: </w:t>
      </w:r>
      <w:proofErr w:type="gramStart"/>
      <w:r w:rsidRPr="005A15E6">
        <w:rPr>
          <w:rFonts w:eastAsia="Arial"/>
          <w:bdr w:val="nil"/>
          <w:rtl/>
          <w:lang w:val="ar-SA"/>
        </w:rPr>
        <w:t>السياسات</w:t>
      </w:r>
      <w:proofErr w:type="gramEnd"/>
      <w:r w:rsidRPr="005A15E6">
        <w:rPr>
          <w:rFonts w:eastAsia="Arial"/>
          <w:bdr w:val="nil"/>
          <w:rtl/>
          <w:lang w:val="ar-SA"/>
        </w:rPr>
        <w:t xml:space="preserve"> والمبادرات ذات الصلة بالملكية الفكرية في البلدان النامية لتعزيز نقل التكنولوجيا: http://www.wipo.int/meetings/en/doc_details.jsp?doc_id=287217</w:t>
      </w:r>
      <w:r w:rsidRPr="005A15E6">
        <w:rPr>
          <w:rFonts w:eastAsia="Arial"/>
          <w:bdr w:val="nil"/>
          <w:rtl/>
          <w:cs/>
          <w:lang w:val="ar-SA"/>
        </w:rPr>
        <w:t>‎</w:t>
      </w:r>
    </w:p>
    <w:p w:rsidR="00AE1126" w:rsidRPr="005A15E6" w:rsidRDefault="00AE1126" w:rsidP="007750F6">
      <w:pPr>
        <w:pStyle w:val="NormalParaAR"/>
        <w:widowControl w:val="0"/>
        <w:numPr>
          <w:ilvl w:val="0"/>
          <w:numId w:val="19"/>
        </w:numPr>
        <w:suppressAutoHyphens/>
        <w:ind w:left="141"/>
        <w:rPr>
          <w:rFonts w:eastAsia="Arial"/>
          <w:bdr w:val="nil"/>
          <w:rtl/>
          <w:lang w:val="ar-SA"/>
        </w:rPr>
      </w:pPr>
      <w:r w:rsidRPr="005A15E6">
        <w:rPr>
          <w:rFonts w:eastAsia="Arial"/>
          <w:bdr w:val="nil"/>
          <w:rtl/>
          <w:lang w:val="ar-SA"/>
        </w:rPr>
        <w:t>الدراسة 3</w:t>
      </w:r>
      <w:r w:rsidR="00241FA8">
        <w:rPr>
          <w:rFonts w:eastAsia="Arial"/>
          <w:bdr w:val="nil"/>
          <w:rtl/>
          <w:lang w:val="ar-SA"/>
        </w:rPr>
        <w:t xml:space="preserve">: </w:t>
      </w:r>
      <w:r w:rsidRPr="005A15E6">
        <w:rPr>
          <w:rFonts w:eastAsia="Arial"/>
          <w:bdr w:val="nil"/>
          <w:rtl/>
          <w:lang w:val="ar-SA"/>
        </w:rPr>
        <w:t>دراسات إفرادية بشأن التعاون والتبادل بين مؤسسات البحث والتطوير في البلدان المتقدمة والنامية http://www.wipo.int/meetings/en/doc_details.jsp?doc_id=287221</w:t>
      </w:r>
      <w:r w:rsidRPr="005A15E6">
        <w:rPr>
          <w:rFonts w:eastAsia="Arial"/>
          <w:bdr w:val="nil"/>
          <w:rtl/>
          <w:cs/>
          <w:lang w:val="ar-SA"/>
        </w:rPr>
        <w:t>‎</w:t>
      </w:r>
    </w:p>
    <w:p w:rsidR="00AE1126" w:rsidRPr="005A15E6" w:rsidRDefault="00AE1126" w:rsidP="007750F6">
      <w:pPr>
        <w:pStyle w:val="NormalParaAR"/>
        <w:widowControl w:val="0"/>
        <w:numPr>
          <w:ilvl w:val="0"/>
          <w:numId w:val="19"/>
        </w:numPr>
        <w:suppressAutoHyphens/>
        <w:ind w:left="141"/>
        <w:rPr>
          <w:rFonts w:eastAsia="Arial"/>
          <w:bdr w:val="nil"/>
          <w:rtl/>
          <w:lang w:val="ar-SA"/>
        </w:rPr>
      </w:pPr>
      <w:r w:rsidRPr="005A15E6">
        <w:rPr>
          <w:rFonts w:eastAsia="Arial"/>
          <w:bdr w:val="nil"/>
          <w:rtl/>
          <w:lang w:val="ar-SA"/>
        </w:rPr>
        <w:t>الدراسة 4</w:t>
      </w:r>
      <w:r w:rsidR="00241FA8">
        <w:rPr>
          <w:rFonts w:eastAsia="Arial"/>
          <w:bdr w:val="nil"/>
          <w:rtl/>
          <w:lang w:val="ar-SA"/>
        </w:rPr>
        <w:t xml:space="preserve">: </w:t>
      </w:r>
      <w:r w:rsidRPr="005A15E6">
        <w:rPr>
          <w:rFonts w:eastAsia="Arial"/>
          <w:bdr w:val="nil"/>
          <w:rtl/>
          <w:lang w:val="ar-SA"/>
        </w:rPr>
        <w:t xml:space="preserve">السياسات التي تنمي مشاركة الشركات </w:t>
      </w:r>
      <w:proofErr w:type="gramStart"/>
      <w:r w:rsidRPr="005A15E6">
        <w:rPr>
          <w:rFonts w:eastAsia="Arial"/>
          <w:bdr w:val="nil"/>
          <w:rtl/>
          <w:lang w:val="ar-SA"/>
        </w:rPr>
        <w:t>في</w:t>
      </w:r>
      <w:proofErr w:type="gramEnd"/>
      <w:r w:rsidRPr="005A15E6">
        <w:rPr>
          <w:rFonts w:eastAsia="Arial"/>
          <w:bdr w:val="nil"/>
          <w:rtl/>
          <w:lang w:val="ar-SA"/>
        </w:rPr>
        <w:t xml:space="preserve"> نقل التكنولوجيا: http://www.wipo.int/meetings/en/doc_details.jsp?doc_id=287164</w:t>
      </w:r>
    </w:p>
    <w:p w:rsidR="00AE1126" w:rsidRPr="005A15E6" w:rsidRDefault="00AE1126" w:rsidP="007750F6">
      <w:pPr>
        <w:pStyle w:val="NormalParaAR"/>
        <w:widowControl w:val="0"/>
        <w:numPr>
          <w:ilvl w:val="0"/>
          <w:numId w:val="19"/>
        </w:numPr>
        <w:suppressAutoHyphens/>
        <w:ind w:left="141"/>
        <w:rPr>
          <w:rFonts w:eastAsia="Arial"/>
          <w:bdr w:val="nil"/>
          <w:rtl/>
          <w:lang w:val="ar-SA"/>
        </w:rPr>
      </w:pPr>
      <w:r w:rsidRPr="005A15E6">
        <w:rPr>
          <w:rFonts w:eastAsia="Arial"/>
          <w:bdr w:val="nil"/>
          <w:rtl/>
          <w:lang w:val="ar-SA"/>
        </w:rPr>
        <w:t>الدراسة 5</w:t>
      </w:r>
      <w:r w:rsidR="00241FA8">
        <w:rPr>
          <w:rFonts w:eastAsia="Arial"/>
          <w:bdr w:val="nil"/>
          <w:rtl/>
          <w:lang w:val="ar-SA"/>
        </w:rPr>
        <w:t xml:space="preserve">: </w:t>
      </w:r>
      <w:r w:rsidRPr="005A15E6">
        <w:rPr>
          <w:rFonts w:eastAsia="Arial"/>
          <w:bdr w:val="nil"/>
          <w:rtl/>
          <w:lang w:val="ar-SA"/>
        </w:rPr>
        <w:t xml:space="preserve">نقل التكنولوجيا على الصعيد العالمي: </w:t>
      </w:r>
      <w:proofErr w:type="gramStart"/>
      <w:r w:rsidRPr="005A15E6">
        <w:rPr>
          <w:rFonts w:eastAsia="Arial"/>
          <w:bdr w:val="nil"/>
          <w:rtl/>
          <w:lang w:val="ar-SA"/>
        </w:rPr>
        <w:t>تحليل</w:t>
      </w:r>
      <w:proofErr w:type="gramEnd"/>
      <w:r w:rsidRPr="005A15E6">
        <w:rPr>
          <w:rFonts w:eastAsia="Arial"/>
          <w:bdr w:val="nil"/>
          <w:rtl/>
          <w:lang w:val="ar-SA"/>
        </w:rPr>
        <w:t xml:space="preserve"> من منظور البلدان النامية: http://www.wipo.int/meetings/en/doc_details.jsp?doc_id=287165</w:t>
      </w:r>
    </w:p>
    <w:p w:rsidR="00AE1126" w:rsidRPr="005A15E6" w:rsidRDefault="00AE1126" w:rsidP="007750F6">
      <w:pPr>
        <w:pStyle w:val="NormalParaAR"/>
        <w:widowControl w:val="0"/>
        <w:numPr>
          <w:ilvl w:val="0"/>
          <w:numId w:val="19"/>
        </w:numPr>
        <w:suppressAutoHyphens/>
        <w:ind w:left="141"/>
        <w:rPr>
          <w:rFonts w:eastAsia="Arial"/>
          <w:bdr w:val="nil"/>
          <w:rtl/>
          <w:lang w:val="ar-SA"/>
        </w:rPr>
      </w:pPr>
      <w:r w:rsidRPr="005A15E6">
        <w:rPr>
          <w:rFonts w:eastAsia="Arial"/>
          <w:bdr w:val="nil"/>
          <w:rtl/>
          <w:lang w:val="ar-SA"/>
        </w:rPr>
        <w:t>الدراسة 6</w:t>
      </w:r>
      <w:r w:rsidR="00241FA8">
        <w:rPr>
          <w:rFonts w:eastAsia="Arial"/>
          <w:bdr w:val="nil"/>
          <w:rtl/>
          <w:lang w:val="ar-SA"/>
        </w:rPr>
        <w:t xml:space="preserve">: </w:t>
      </w:r>
      <w:r w:rsidRPr="005A15E6">
        <w:rPr>
          <w:rFonts w:eastAsia="Arial"/>
          <w:bdr w:val="nil"/>
          <w:rtl/>
          <w:lang w:val="ar-SA"/>
        </w:rPr>
        <w:t>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 http://www.wipo.int/meetings/en/doc_details.jsp?doc_id=287218</w:t>
      </w:r>
      <w:r w:rsidRPr="005A15E6">
        <w:rPr>
          <w:rFonts w:eastAsia="Arial"/>
          <w:bdr w:val="nil"/>
          <w:rtl/>
          <w:cs/>
          <w:lang w:val="ar-SA"/>
        </w:rPr>
        <w:t>‎</w:t>
      </w:r>
    </w:p>
    <w:p w:rsidR="00AE1126" w:rsidRPr="000B35B0" w:rsidRDefault="00AE1126" w:rsidP="007750F6">
      <w:pPr>
        <w:pStyle w:val="Heading2AR"/>
        <w:keepNext w:val="0"/>
        <w:widowControl w:val="0"/>
        <w:suppressAutoHyphens/>
        <w:rPr>
          <w:b/>
          <w:bCs/>
        </w:rPr>
      </w:pPr>
      <w:r w:rsidRPr="000B35B0">
        <w:rPr>
          <w:rFonts w:eastAsia="Arial"/>
          <w:b/>
          <w:bCs/>
          <w:bdr w:val="nil"/>
          <w:rtl/>
          <w:lang w:val="ar-SA"/>
        </w:rPr>
        <w:lastRenderedPageBreak/>
        <w:t>المخرج 3</w:t>
      </w:r>
      <w:r w:rsidR="00241FA8" w:rsidRPr="000B35B0">
        <w:rPr>
          <w:rFonts w:eastAsia="Arial"/>
          <w:b/>
          <w:bCs/>
          <w:bdr w:val="nil"/>
          <w:rtl/>
          <w:lang w:val="ar-SA"/>
        </w:rPr>
        <w:t xml:space="preserve">: </w:t>
      </w:r>
      <w:r w:rsidRPr="000B35B0">
        <w:rPr>
          <w:rFonts w:eastAsia="Arial"/>
          <w:b/>
          <w:bCs/>
          <w:bdr w:val="nil"/>
          <w:rtl/>
          <w:lang w:val="ar-SA"/>
        </w:rPr>
        <w:t xml:space="preserve">ورقة </w:t>
      </w:r>
      <w:proofErr w:type="spellStart"/>
      <w:r w:rsidRPr="000B35B0">
        <w:rPr>
          <w:rFonts w:eastAsia="Arial"/>
          <w:b/>
          <w:bCs/>
          <w:bdr w:val="nil"/>
          <w:rtl/>
          <w:lang w:val="ar-SA"/>
        </w:rPr>
        <w:t>مفاهيمية</w:t>
      </w:r>
      <w:proofErr w:type="spellEnd"/>
      <w:r w:rsidRPr="000B35B0">
        <w:rPr>
          <w:rFonts w:eastAsia="Arial"/>
          <w:b/>
          <w:bCs/>
          <w:bdr w:val="nil"/>
          <w:rtl/>
          <w:lang w:val="ar-SA"/>
        </w:rPr>
        <w:t xml:space="preserve"> بشأن بناء الحلول</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توصيات مقدمة إلى اللجنة للنظر فيها والموافقة عليها: http://www.wipo.int/edocs/mdocs/mdocs/ar/cdip_15/cdip_15_5.pdf</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عرض تقديمي لمدير المشروع (شرائح)</w:t>
      </w:r>
    </w:p>
    <w:p w:rsidR="00AE1126" w:rsidRPr="000B35B0" w:rsidRDefault="00AE1126" w:rsidP="007750F6">
      <w:pPr>
        <w:pStyle w:val="Heading2AR"/>
        <w:keepNext w:val="0"/>
        <w:widowControl w:val="0"/>
        <w:suppressAutoHyphens/>
        <w:rPr>
          <w:rFonts w:cs="Times New Roman"/>
          <w:b/>
          <w:bCs/>
        </w:rPr>
      </w:pPr>
      <w:r w:rsidRPr="000B35B0">
        <w:rPr>
          <w:rFonts w:eastAsia="Arial"/>
          <w:b/>
          <w:bCs/>
          <w:bdr w:val="nil"/>
          <w:rtl/>
          <w:lang w:val="ar-SA" w:eastAsia="zh-CN"/>
        </w:rPr>
        <w:t>المخرج 5</w:t>
      </w:r>
      <w:r w:rsidR="00241FA8" w:rsidRPr="000B35B0">
        <w:rPr>
          <w:rFonts w:eastAsia="Arial"/>
          <w:b/>
          <w:bCs/>
          <w:bdr w:val="nil"/>
          <w:rtl/>
          <w:lang w:val="ar-SA" w:eastAsia="zh-CN"/>
        </w:rPr>
        <w:t xml:space="preserve">: </w:t>
      </w:r>
      <w:proofErr w:type="gramStart"/>
      <w:r w:rsidRPr="000B35B0">
        <w:rPr>
          <w:rFonts w:eastAsia="Arial"/>
          <w:b/>
          <w:bCs/>
          <w:bdr w:val="nil"/>
          <w:rtl/>
          <w:lang w:val="ar-SA" w:eastAsia="zh-CN"/>
        </w:rPr>
        <w:t>منتدى</w:t>
      </w:r>
      <w:proofErr w:type="gramEnd"/>
      <w:r w:rsidRPr="000B35B0">
        <w:rPr>
          <w:rFonts w:eastAsia="Arial"/>
          <w:b/>
          <w:bCs/>
          <w:bdr w:val="nil"/>
          <w:rtl/>
          <w:lang w:val="ar-SA" w:eastAsia="zh-CN"/>
        </w:rPr>
        <w:t xml:space="preserve"> خبراء دولي بشأن نقل التكنولوجيا</w:t>
      </w:r>
    </w:p>
    <w:p w:rsidR="00AE1126" w:rsidRPr="00771CEC" w:rsidRDefault="00AE1126" w:rsidP="007750F6">
      <w:pPr>
        <w:pStyle w:val="NormalParaAR"/>
        <w:widowControl w:val="0"/>
        <w:numPr>
          <w:ilvl w:val="0"/>
          <w:numId w:val="19"/>
        </w:numPr>
        <w:suppressAutoHyphens/>
        <w:ind w:left="141"/>
        <w:rPr>
          <w:rFonts w:eastAsia="Arial"/>
          <w:bdr w:val="nil"/>
          <w:rtl/>
          <w:lang w:val="ar-SA"/>
        </w:rPr>
      </w:pPr>
      <w:proofErr w:type="gramStart"/>
      <w:r w:rsidRPr="00771CEC">
        <w:rPr>
          <w:rFonts w:eastAsia="Arial"/>
          <w:bdr w:val="nil"/>
          <w:rtl/>
          <w:lang w:val="ar-SA"/>
        </w:rPr>
        <w:t>مواد</w:t>
      </w:r>
      <w:proofErr w:type="gramEnd"/>
      <w:r w:rsidRPr="00771CEC">
        <w:rPr>
          <w:rFonts w:eastAsia="Arial"/>
          <w:bdr w:val="nil"/>
          <w:rtl/>
          <w:lang w:val="ar-SA"/>
        </w:rPr>
        <w:t xml:space="preserve"> المؤتمر (بما في ذلك موقع إلكتروني وبرنامج وسير ذاتية وبيان صحفي ولافتة وقائمة المشاركين ومواد عرض مختارة) منزلة من http://www.wipo.int/meetings/en/details.jsp?meeting_id=35562</w:t>
      </w:r>
      <w:r w:rsidRPr="00771CEC">
        <w:rPr>
          <w:rFonts w:eastAsia="Arial"/>
          <w:bdr w:val="nil"/>
          <w:rtl/>
          <w:cs/>
          <w:lang w:val="ar-SA"/>
        </w:rPr>
        <w:t>‎</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معايير انتقاء الخبراء (</w:t>
      </w:r>
      <w:proofErr w:type="gramStart"/>
      <w:r w:rsidRPr="00771CEC">
        <w:rPr>
          <w:rFonts w:eastAsia="Arial"/>
          <w:bdr w:val="nil"/>
          <w:rtl/>
          <w:lang w:val="ar-SA"/>
        </w:rPr>
        <w:t>شرائح</w:t>
      </w:r>
      <w:proofErr w:type="gramEnd"/>
      <w:r w:rsidRPr="00771CEC">
        <w:rPr>
          <w:rFonts w:eastAsia="Arial"/>
          <w:bdr w:val="nil"/>
          <w:rtl/>
          <w:lang w:val="ar-SA"/>
        </w:rPr>
        <w:t xml:space="preserve"> بتاريخ 24 نوفمبر 2014) مقدمة من مدير المشروع</w:t>
      </w:r>
    </w:p>
    <w:p w:rsidR="00AE1126" w:rsidRPr="000B35B0" w:rsidRDefault="00AE1126" w:rsidP="007750F6">
      <w:pPr>
        <w:pStyle w:val="Heading2AR"/>
        <w:keepNext w:val="0"/>
        <w:widowControl w:val="0"/>
        <w:suppressAutoHyphens/>
        <w:rPr>
          <w:rFonts w:cs="Times New Roman"/>
          <w:b/>
          <w:bCs/>
          <w:lang w:val="de-CH"/>
        </w:rPr>
      </w:pPr>
      <w:r w:rsidRPr="000B35B0">
        <w:rPr>
          <w:rFonts w:eastAsia="Arial"/>
          <w:b/>
          <w:bCs/>
          <w:bdr w:val="nil"/>
          <w:rtl/>
          <w:lang w:val="ar-SA"/>
        </w:rPr>
        <w:t>المخرج 6</w:t>
      </w:r>
      <w:r w:rsidR="00241FA8" w:rsidRPr="000B35B0">
        <w:rPr>
          <w:rFonts w:eastAsia="Arial"/>
          <w:b/>
          <w:bCs/>
          <w:bdr w:val="nil"/>
          <w:rtl/>
          <w:lang w:val="ar-SA"/>
        </w:rPr>
        <w:t xml:space="preserve">: </w:t>
      </w:r>
      <w:proofErr w:type="gramStart"/>
      <w:r w:rsidRPr="000B35B0">
        <w:rPr>
          <w:rFonts w:eastAsia="Arial"/>
          <w:b/>
          <w:bCs/>
          <w:bdr w:val="nil"/>
          <w:rtl/>
          <w:lang w:val="ar-SA"/>
        </w:rPr>
        <w:t>منتدى</w:t>
      </w:r>
      <w:proofErr w:type="gramEnd"/>
      <w:r w:rsidRPr="000B35B0">
        <w:rPr>
          <w:rFonts w:eastAsia="Arial"/>
          <w:b/>
          <w:bCs/>
          <w:bdr w:val="nil"/>
          <w:rtl/>
          <w:lang w:val="ar-SA"/>
        </w:rPr>
        <w:t xml:space="preserve"> إلكتروني</w:t>
      </w:r>
    </w:p>
    <w:p w:rsidR="00AE1126" w:rsidRDefault="00AE1126" w:rsidP="007750F6">
      <w:pPr>
        <w:pStyle w:val="NormalParaAR"/>
        <w:widowControl w:val="0"/>
        <w:suppressAutoHyphens/>
        <w:rPr>
          <w:rFonts w:cs="Times New Roman"/>
        </w:rPr>
      </w:pPr>
      <w:proofErr w:type="gramStart"/>
      <w:r w:rsidRPr="00771CEC">
        <w:rPr>
          <w:rFonts w:eastAsia="Arial"/>
          <w:bdr w:val="nil"/>
          <w:rtl/>
          <w:lang w:val="ar-SA"/>
        </w:rPr>
        <w:t>المنتديات</w:t>
      </w:r>
      <w:proofErr w:type="gramEnd"/>
      <w:r w:rsidRPr="00771CEC">
        <w:rPr>
          <w:rFonts w:eastAsia="Arial"/>
          <w:bdr w:val="nil"/>
          <w:rtl/>
          <w:lang w:val="ar-SA"/>
        </w:rPr>
        <w:t xml:space="preserve"> الإلكتروني: </w:t>
      </w:r>
      <w:r w:rsidR="00E64B74" w:rsidRPr="00EA6CEF">
        <w:rPr>
          <w:rFonts w:cs="Times New Roman"/>
          <w:szCs w:val="22"/>
          <w:lang w:eastAsia="x-none"/>
        </w:rPr>
        <w:t>https://www3.wipo.int/confluence/display/TTOC/Technology+Transfer+and+Open+Collaboration+Home</w:t>
      </w:r>
      <w:r>
        <w:rPr>
          <w:rFonts w:eastAsia="Arial"/>
          <w:bdr w:val="nil"/>
          <w:rtl/>
          <w:lang w:val="ar-SA"/>
        </w:rPr>
        <w:t xml:space="preserve">، كما يمكن الوصول إليه عبر http://www.wipo.int/wiki بالنقر على </w:t>
      </w:r>
      <w:proofErr w:type="gramStart"/>
      <w:r>
        <w:rPr>
          <w:rFonts w:eastAsia="Arial"/>
          <w:bdr w:val="nil"/>
          <w:rtl/>
          <w:lang w:val="ar-SA"/>
        </w:rPr>
        <w:t>"</w:t>
      </w:r>
      <w:r w:rsidR="00E64B74" w:rsidRPr="00E64B74">
        <w:rPr>
          <w:rFonts w:cs="Times New Roman"/>
          <w:szCs w:val="22"/>
          <w:lang w:eastAsia="x-none"/>
        </w:rPr>
        <w:t xml:space="preserve"> </w:t>
      </w:r>
      <w:r w:rsidR="00E64B74" w:rsidRPr="00EA6CEF">
        <w:rPr>
          <w:rFonts w:cs="Times New Roman"/>
          <w:szCs w:val="22"/>
          <w:lang w:eastAsia="x-none"/>
        </w:rPr>
        <w:t>Technology</w:t>
      </w:r>
      <w:proofErr w:type="gramEnd"/>
      <w:r w:rsidR="00E64B74" w:rsidRPr="00EA6CEF">
        <w:rPr>
          <w:rFonts w:cs="Times New Roman"/>
          <w:szCs w:val="22"/>
          <w:lang w:eastAsia="x-none"/>
        </w:rPr>
        <w:t xml:space="preserve"> Transfer and Open Collaboration</w:t>
      </w:r>
      <w:r w:rsidR="00E64B74">
        <w:rPr>
          <w:rFonts w:eastAsia="Arial"/>
          <w:bdr w:val="nil"/>
          <w:rtl/>
          <w:lang w:val="ar-SA"/>
        </w:rPr>
        <w:t xml:space="preserve"> </w:t>
      </w:r>
      <w:r>
        <w:rPr>
          <w:rFonts w:eastAsia="Arial"/>
          <w:bdr w:val="nil"/>
          <w:rtl/>
          <w:lang w:val="ar-SA"/>
        </w:rPr>
        <w:t>".</w:t>
      </w:r>
    </w:p>
    <w:p w:rsidR="00AE1126" w:rsidRPr="000B35B0" w:rsidRDefault="00AE1126" w:rsidP="007750F6">
      <w:pPr>
        <w:pStyle w:val="Heading2AR"/>
        <w:keepNext w:val="0"/>
        <w:widowControl w:val="0"/>
        <w:suppressAutoHyphens/>
        <w:rPr>
          <w:rFonts w:cs="Times New Roman"/>
          <w:b/>
          <w:bCs/>
        </w:rPr>
      </w:pPr>
      <w:proofErr w:type="gramStart"/>
      <w:r w:rsidRPr="000B35B0">
        <w:rPr>
          <w:rFonts w:eastAsia="Arial"/>
          <w:b/>
          <w:bCs/>
          <w:bdr w:val="nil"/>
          <w:rtl/>
          <w:lang w:val="ar-SA"/>
        </w:rPr>
        <w:t>وثائق</w:t>
      </w:r>
      <w:proofErr w:type="gramEnd"/>
      <w:r w:rsidRPr="000B35B0">
        <w:rPr>
          <w:rFonts w:eastAsia="Arial"/>
          <w:b/>
          <w:bCs/>
          <w:bdr w:val="nil"/>
          <w:rtl/>
          <w:lang w:val="ar-SA"/>
        </w:rPr>
        <w:t xml:space="preserve"> داخلية</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التقارير المالية حسب الوضع في 30 يونيه 2015</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 xml:space="preserve">تقارير البعثات </w:t>
      </w:r>
      <w:proofErr w:type="gramStart"/>
      <w:r w:rsidRPr="00771CEC">
        <w:rPr>
          <w:rFonts w:eastAsia="Arial"/>
          <w:bdr w:val="nil"/>
          <w:rtl/>
          <w:lang w:val="ar-SA"/>
        </w:rPr>
        <w:t>للمؤتمرات</w:t>
      </w:r>
      <w:proofErr w:type="gramEnd"/>
      <w:r w:rsidRPr="00771CEC">
        <w:rPr>
          <w:rFonts w:eastAsia="Arial"/>
          <w:bdr w:val="nil"/>
          <w:rtl/>
          <w:lang w:val="ar-SA"/>
        </w:rPr>
        <w:t xml:space="preserve"> الإقليمية (المخرج 1)</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إحصائيات البث عبر الويب</w:t>
      </w:r>
    </w:p>
    <w:p w:rsidR="00AE1126" w:rsidRPr="000B35B0" w:rsidRDefault="00AE1126" w:rsidP="007750F6">
      <w:pPr>
        <w:pStyle w:val="Heading2AR"/>
        <w:keepNext w:val="0"/>
        <w:widowControl w:val="0"/>
        <w:suppressAutoHyphens/>
        <w:rPr>
          <w:rFonts w:cs="Times New Roman"/>
          <w:b/>
          <w:bCs/>
        </w:rPr>
      </w:pPr>
      <w:proofErr w:type="gramStart"/>
      <w:r w:rsidRPr="000B35B0">
        <w:rPr>
          <w:rFonts w:eastAsia="Arial"/>
          <w:b/>
          <w:bCs/>
          <w:bdr w:val="nil"/>
          <w:rtl/>
          <w:lang w:val="ar-SA"/>
        </w:rPr>
        <w:t>وثائق</w:t>
      </w:r>
      <w:proofErr w:type="gramEnd"/>
      <w:r w:rsidRPr="000B35B0">
        <w:rPr>
          <w:rFonts w:eastAsia="Arial"/>
          <w:b/>
          <w:bCs/>
          <w:bdr w:val="nil"/>
          <w:rtl/>
          <w:lang w:val="ar-SA"/>
        </w:rPr>
        <w:t xml:space="preserve"> أخرى</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 xml:space="preserve">دمج الملكية الفكرية في صياغة سياسات الابتكار في الصرب، من إعداد قسم سياسات الابتكار، شعبة الابتكار، الويبو مع دعم خبراء من ألفريد </w:t>
      </w:r>
      <w:proofErr w:type="spellStart"/>
      <w:r w:rsidRPr="00771CEC">
        <w:rPr>
          <w:rFonts w:eastAsia="Arial"/>
          <w:bdr w:val="nil"/>
          <w:rtl/>
          <w:lang w:val="ar-SA"/>
        </w:rPr>
        <w:t>ريداور</w:t>
      </w:r>
      <w:proofErr w:type="spellEnd"/>
      <w:r w:rsidRPr="00771CEC">
        <w:rPr>
          <w:rFonts w:eastAsia="Arial"/>
          <w:bdr w:val="nil"/>
          <w:rtl/>
          <w:lang w:val="ar-SA"/>
        </w:rPr>
        <w:t xml:space="preserve">، كبير الاستشاريين، مجموعة </w:t>
      </w:r>
      <w:proofErr w:type="spellStart"/>
      <w:r w:rsidRPr="00771CEC">
        <w:rPr>
          <w:rFonts w:eastAsia="Arial"/>
          <w:bdr w:val="nil"/>
          <w:rtl/>
          <w:lang w:val="ar-SA"/>
        </w:rPr>
        <w:t>تكنوبوليس</w:t>
      </w:r>
      <w:proofErr w:type="spellEnd"/>
      <w:r w:rsidRPr="00771CEC">
        <w:rPr>
          <w:rFonts w:eastAsia="Arial"/>
          <w:bdr w:val="nil"/>
          <w:rtl/>
          <w:lang w:val="ar-SA"/>
        </w:rPr>
        <w:t>، النمسا، 4 أغسطس 2014</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 xml:space="preserve">دمج الملكية الفكرية في صياغة سياسات الابتكار في ترينيداد وتوباغو، من إعداد قسم سياسات الابتكار، شعبة الابتكار، الويبو مع دعم خبراء من ألفريد </w:t>
      </w:r>
      <w:proofErr w:type="spellStart"/>
      <w:r w:rsidRPr="00771CEC">
        <w:rPr>
          <w:rFonts w:eastAsia="Arial"/>
          <w:bdr w:val="nil"/>
          <w:rtl/>
          <w:lang w:val="ar-SA"/>
        </w:rPr>
        <w:t>ريداور</w:t>
      </w:r>
      <w:proofErr w:type="spellEnd"/>
      <w:r w:rsidRPr="00771CEC">
        <w:rPr>
          <w:rFonts w:eastAsia="Arial"/>
          <w:bdr w:val="nil"/>
          <w:rtl/>
          <w:lang w:val="ar-SA"/>
        </w:rPr>
        <w:t xml:space="preserve">، كبير الاستشاريين، مجموعة </w:t>
      </w:r>
      <w:proofErr w:type="spellStart"/>
      <w:r w:rsidRPr="00771CEC">
        <w:rPr>
          <w:rFonts w:eastAsia="Arial"/>
          <w:bdr w:val="nil"/>
          <w:rtl/>
          <w:lang w:val="ar-SA"/>
        </w:rPr>
        <w:t>تكنوبوليس</w:t>
      </w:r>
      <w:proofErr w:type="spellEnd"/>
      <w:r w:rsidRPr="00771CEC">
        <w:rPr>
          <w:rFonts w:eastAsia="Arial"/>
          <w:bdr w:val="nil"/>
          <w:rtl/>
          <w:lang w:val="ar-SA"/>
        </w:rPr>
        <w:t>، النمسا، 5 أغسطس 2015</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 xml:space="preserve">عناصر الملكية الفكرية في صياغة سياسات الابتكار في الكاميرون، تقرير </w:t>
      </w:r>
      <w:proofErr w:type="spellStart"/>
      <w:r w:rsidRPr="00771CEC">
        <w:rPr>
          <w:rFonts w:eastAsia="Arial"/>
          <w:bdr w:val="nil"/>
          <w:rtl/>
          <w:lang w:val="ar-SA"/>
        </w:rPr>
        <w:t>للويبو</w:t>
      </w:r>
      <w:proofErr w:type="spellEnd"/>
      <w:r w:rsidRPr="00771CEC">
        <w:rPr>
          <w:rFonts w:eastAsia="Arial"/>
          <w:bdr w:val="nil"/>
          <w:rtl/>
          <w:lang w:val="ar-SA"/>
        </w:rPr>
        <w:t xml:space="preserve"> من إعداد </w:t>
      </w:r>
      <w:proofErr w:type="spellStart"/>
      <w:r w:rsidRPr="00771CEC">
        <w:rPr>
          <w:rFonts w:eastAsia="Arial"/>
          <w:bdr w:val="nil"/>
          <w:rtl/>
          <w:lang w:val="ar-SA"/>
        </w:rPr>
        <w:t>بارتليمي</w:t>
      </w:r>
      <w:proofErr w:type="spellEnd"/>
      <w:r w:rsidRPr="00771CEC">
        <w:rPr>
          <w:rFonts w:eastAsia="Arial"/>
          <w:bdr w:val="nil"/>
          <w:rtl/>
          <w:lang w:val="ar-SA"/>
        </w:rPr>
        <w:t xml:space="preserve"> نياس، استشاري، جامعة ياوندي، الكاميرون بالتعاون مع ألفريد </w:t>
      </w:r>
      <w:proofErr w:type="spellStart"/>
      <w:r w:rsidRPr="00771CEC">
        <w:rPr>
          <w:rFonts w:eastAsia="Arial"/>
          <w:bdr w:val="nil"/>
          <w:rtl/>
          <w:lang w:val="ar-SA"/>
        </w:rPr>
        <w:t>ريداور</w:t>
      </w:r>
      <w:proofErr w:type="spellEnd"/>
      <w:r w:rsidRPr="00771CEC">
        <w:rPr>
          <w:rFonts w:eastAsia="Arial"/>
          <w:bdr w:val="nil"/>
          <w:rtl/>
          <w:lang w:val="ar-SA"/>
        </w:rPr>
        <w:t xml:space="preserve">، كبير الاستشاريين، مجموعة </w:t>
      </w:r>
      <w:proofErr w:type="spellStart"/>
      <w:r w:rsidRPr="00771CEC">
        <w:rPr>
          <w:rFonts w:eastAsia="Arial"/>
          <w:bdr w:val="nil"/>
          <w:rtl/>
          <w:lang w:val="ar-SA"/>
        </w:rPr>
        <w:t>تكنوبوليس</w:t>
      </w:r>
      <w:proofErr w:type="spellEnd"/>
      <w:r w:rsidRPr="00771CEC">
        <w:rPr>
          <w:rFonts w:eastAsia="Arial"/>
          <w:bdr w:val="nil"/>
          <w:rtl/>
          <w:lang w:val="ar-SA"/>
        </w:rPr>
        <w:t>، النمسا.</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 xml:space="preserve">دمج الملكية الفكرية في صياغة سياسات الابتكار في رواندا، تقرير من إعداد </w:t>
      </w:r>
      <w:proofErr w:type="spellStart"/>
      <w:r w:rsidRPr="00771CEC">
        <w:rPr>
          <w:rFonts w:eastAsia="Arial"/>
          <w:bdr w:val="nil"/>
          <w:rtl/>
          <w:lang w:val="ar-SA"/>
        </w:rPr>
        <w:t>غيتاتشو</w:t>
      </w:r>
      <w:proofErr w:type="spellEnd"/>
      <w:r w:rsidRPr="00771CEC">
        <w:rPr>
          <w:rFonts w:eastAsia="Arial"/>
          <w:bdr w:val="nil"/>
          <w:rtl/>
          <w:lang w:val="ar-SA"/>
        </w:rPr>
        <w:t xml:space="preserve"> </w:t>
      </w:r>
      <w:proofErr w:type="spellStart"/>
      <w:r w:rsidRPr="00771CEC">
        <w:rPr>
          <w:rFonts w:eastAsia="Arial"/>
          <w:bdr w:val="nil"/>
          <w:rtl/>
          <w:lang w:val="ar-SA"/>
        </w:rPr>
        <w:t>منغستي</w:t>
      </w:r>
      <w:proofErr w:type="spellEnd"/>
      <w:r w:rsidRPr="00771CEC">
        <w:rPr>
          <w:rFonts w:eastAsia="Arial"/>
          <w:bdr w:val="nil"/>
          <w:rtl/>
          <w:lang w:val="ar-SA"/>
        </w:rPr>
        <w:t xml:space="preserve"> لقسم سياسات الابتكار، شعبة الابتكار، المنظمة العالمية للملكية الفكرية</w:t>
      </w:r>
    </w:p>
    <w:p w:rsidR="00AE1126"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 xml:space="preserve">دمج الملكية الفكرية في صياغة سياسات الابتكار في سري </w:t>
      </w:r>
      <w:proofErr w:type="spellStart"/>
      <w:r w:rsidRPr="00771CEC">
        <w:rPr>
          <w:rFonts w:eastAsia="Arial"/>
          <w:bdr w:val="nil"/>
          <w:rtl/>
          <w:lang w:val="ar-SA"/>
        </w:rPr>
        <w:t>لانكا</w:t>
      </w:r>
      <w:proofErr w:type="spellEnd"/>
      <w:r w:rsidRPr="00771CEC">
        <w:rPr>
          <w:rFonts w:eastAsia="Arial"/>
          <w:bdr w:val="nil"/>
          <w:rtl/>
          <w:lang w:val="ar-SA"/>
        </w:rPr>
        <w:t xml:space="preserve">، تقرير من إعداد فيليب </w:t>
      </w:r>
      <w:proofErr w:type="spellStart"/>
      <w:r w:rsidRPr="00771CEC">
        <w:rPr>
          <w:rFonts w:eastAsia="Arial"/>
          <w:bdr w:val="nil"/>
          <w:rtl/>
          <w:lang w:val="ar-SA"/>
        </w:rPr>
        <w:t>منديس</w:t>
      </w:r>
      <w:proofErr w:type="spellEnd"/>
      <w:r w:rsidRPr="00771CEC">
        <w:rPr>
          <w:rFonts w:eastAsia="Arial"/>
          <w:bdr w:val="nil"/>
          <w:rtl/>
          <w:lang w:val="ar-SA"/>
        </w:rPr>
        <w:t xml:space="preserve">، المدير، </w:t>
      </w:r>
      <w:proofErr w:type="spellStart"/>
      <w:r w:rsidRPr="00771CEC">
        <w:rPr>
          <w:rFonts w:eastAsia="Arial"/>
          <w:bdr w:val="nil"/>
          <w:rtl/>
          <w:lang w:val="ar-SA"/>
        </w:rPr>
        <w:t>أوبتيون</w:t>
      </w:r>
      <w:proofErr w:type="spellEnd"/>
      <w:r w:rsidRPr="00771CEC">
        <w:rPr>
          <w:rFonts w:eastAsia="Arial"/>
          <w:bdr w:val="nil"/>
          <w:rtl/>
          <w:lang w:val="ar-SA"/>
        </w:rPr>
        <w:t>، أستراليا لقسم سياسات الابتكار، شعبة الابتكار، المنظمة العالمية للملكية الفكرية</w:t>
      </w:r>
    </w:p>
    <w:p w:rsidR="00717133" w:rsidRPr="00771CEC" w:rsidRDefault="00AE1126" w:rsidP="007750F6">
      <w:pPr>
        <w:pStyle w:val="NormalParaAR"/>
        <w:widowControl w:val="0"/>
        <w:numPr>
          <w:ilvl w:val="0"/>
          <w:numId w:val="19"/>
        </w:numPr>
        <w:suppressAutoHyphens/>
        <w:ind w:left="141"/>
        <w:rPr>
          <w:rFonts w:eastAsia="Arial"/>
          <w:bdr w:val="nil"/>
          <w:rtl/>
          <w:lang w:val="ar-SA"/>
        </w:rPr>
      </w:pPr>
      <w:r w:rsidRPr="00771CEC">
        <w:rPr>
          <w:rFonts w:eastAsia="Arial"/>
          <w:bdr w:val="nil"/>
          <w:rtl/>
          <w:lang w:val="ar-SA"/>
        </w:rPr>
        <w:t xml:space="preserve">تقرير تقييمي عن مشروع تكوين الكفاءات في استخدام المعلومات التقنية والعلمية الملائمة لمجالات تكنولوجية معينة كحل </w:t>
      </w:r>
      <w:r w:rsidRPr="00771CEC">
        <w:rPr>
          <w:rFonts w:eastAsia="Arial"/>
          <w:bdr w:val="nil"/>
          <w:rtl/>
          <w:lang w:val="ar-SA"/>
        </w:rPr>
        <w:lastRenderedPageBreak/>
        <w:t>لتحديات إنمائية محددة (التوصيات 19 و30 و31) من إعداد البروفيسور توم ب. م. أوغادا، خبير التقييم الاستشاري لشركة خدمات تي أند بي لإدارة الابتكار والتكنولوجيا، نيروبي (CDIP/12/3، 25 سبتمبر، 2013).</w:t>
      </w:r>
    </w:p>
    <w:p w:rsidR="00F56CAB" w:rsidRDefault="00F56CAB" w:rsidP="007750F6">
      <w:pPr>
        <w:pStyle w:val="EndofDocumentAR"/>
        <w:widowControl w:val="0"/>
        <w:suppressAutoHyphens/>
      </w:pPr>
    </w:p>
    <w:p w:rsidR="008804E0" w:rsidRPr="000B35B0" w:rsidRDefault="00717133" w:rsidP="007750F6">
      <w:pPr>
        <w:pStyle w:val="EndofDocumentAR"/>
        <w:widowControl w:val="0"/>
        <w:suppressAutoHyphens/>
        <w:rPr>
          <w:rtl/>
        </w:rPr>
      </w:pPr>
      <w:r>
        <w:rPr>
          <w:rFonts w:hint="cs"/>
          <w:rtl/>
        </w:rPr>
        <w:t>[</w:t>
      </w:r>
      <w:r w:rsidR="00CE40C4">
        <w:rPr>
          <w:rFonts w:hint="cs"/>
          <w:rtl/>
        </w:rPr>
        <w:t xml:space="preserve">نهاية </w:t>
      </w:r>
      <w:r w:rsidR="00771CEC">
        <w:rPr>
          <w:rFonts w:hint="cs"/>
          <w:rtl/>
        </w:rPr>
        <w:t>الملحق</w:t>
      </w:r>
      <w:r w:rsidR="00CE40C4">
        <w:rPr>
          <w:rFonts w:hint="cs"/>
          <w:rtl/>
        </w:rPr>
        <w:t xml:space="preserve"> </w:t>
      </w:r>
      <w:r w:rsidR="00AE1126">
        <w:rPr>
          <w:rFonts w:hint="cs"/>
          <w:rtl/>
        </w:rPr>
        <w:t xml:space="preserve">الثالث </w:t>
      </w:r>
      <w:proofErr w:type="gramStart"/>
      <w:r w:rsidR="00CE40C4">
        <w:rPr>
          <w:rFonts w:hint="cs"/>
          <w:rtl/>
        </w:rPr>
        <w:t>والوثيقة</w:t>
      </w:r>
      <w:proofErr w:type="gramEnd"/>
      <w:r>
        <w:rPr>
          <w:rFonts w:hint="cs"/>
          <w:rtl/>
        </w:rPr>
        <w:t>]</w:t>
      </w:r>
    </w:p>
    <w:sectPr w:rsidR="008804E0" w:rsidRPr="000B35B0" w:rsidSect="00B61C0F">
      <w:headerReference w:type="default" r:id="rId25"/>
      <w:headerReference w:type="first" r:id="rId2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AA" w:rsidRDefault="002033AA">
      <w:r>
        <w:separator/>
      </w:r>
    </w:p>
  </w:endnote>
  <w:endnote w:type="continuationSeparator" w:id="0">
    <w:p w:rsidR="002033AA" w:rsidRDefault="0020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AA" w:rsidRDefault="002033AA" w:rsidP="009622BF">
      <w:pPr>
        <w:bidi/>
      </w:pPr>
      <w:bookmarkStart w:id="0" w:name="OLE_LINK1"/>
      <w:bookmarkStart w:id="1" w:name="OLE_LINK2"/>
      <w:r>
        <w:separator/>
      </w:r>
      <w:bookmarkEnd w:id="0"/>
      <w:bookmarkEnd w:id="1"/>
    </w:p>
  </w:footnote>
  <w:footnote w:type="continuationSeparator" w:id="0">
    <w:p w:rsidR="002033AA" w:rsidRDefault="002033AA" w:rsidP="009622BF">
      <w:pPr>
        <w:bidi/>
      </w:pPr>
      <w:r>
        <w:separator/>
      </w:r>
    </w:p>
  </w:footnote>
  <w:footnote w:id="1">
    <w:p w:rsidR="002033AA" w:rsidRPr="00E64B74" w:rsidRDefault="002033AA" w:rsidP="00AE1126">
      <w:pPr>
        <w:pStyle w:val="FootnoteText"/>
        <w:rPr>
          <w:rFonts w:eastAsia="Arabic Typesetting"/>
          <w:lang w:bidi="ar-EG"/>
        </w:rPr>
      </w:pPr>
      <w:r w:rsidRPr="00E64B74">
        <w:rPr>
          <w:rFonts w:eastAsia="Arabic Typesetting"/>
          <w:lang w:bidi="ar-EG"/>
        </w:rPr>
        <w:footnoteRef/>
      </w:r>
      <w:r w:rsidRPr="00E64B74">
        <w:rPr>
          <w:rFonts w:eastAsia="Arabic Typesetting"/>
          <w:rtl/>
          <w:lang w:bidi="ar-EG"/>
        </w:rPr>
        <w:t xml:space="preserve">دانييل </w:t>
      </w:r>
      <w:proofErr w:type="spellStart"/>
      <w:r w:rsidRPr="00E64B74">
        <w:rPr>
          <w:rFonts w:eastAsia="Arabic Typesetting"/>
          <w:rtl/>
          <w:lang w:bidi="ar-EG"/>
        </w:rPr>
        <w:t>كيلير</w:t>
      </w:r>
      <w:proofErr w:type="spellEnd"/>
      <w:r w:rsidRPr="00E64B74">
        <w:rPr>
          <w:rFonts w:eastAsia="Arabic Typesetting"/>
          <w:rtl/>
          <w:lang w:bidi="ar-EG"/>
        </w:rPr>
        <w:t xml:space="preserve">، من شركة إفال </w:t>
      </w:r>
      <w:proofErr w:type="spellStart"/>
      <w:r w:rsidRPr="00E64B74">
        <w:rPr>
          <w:rFonts w:eastAsia="Arabic Typesetting"/>
          <w:rtl/>
          <w:lang w:bidi="ar-EG"/>
        </w:rPr>
        <w:t>كو</w:t>
      </w:r>
      <w:proofErr w:type="spellEnd"/>
      <w:r w:rsidRPr="00E64B74">
        <w:rPr>
          <w:rFonts w:eastAsia="Arabic Typesetting"/>
          <w:rtl/>
          <w:lang w:bidi="ar-EG"/>
        </w:rPr>
        <w:t xml:space="preserve"> المحدودة المسؤولية (</w:t>
      </w:r>
      <w:proofErr w:type="spellStart"/>
      <w:r w:rsidRPr="00E64B74">
        <w:rPr>
          <w:rFonts w:eastAsia="Arabic Typesetting"/>
          <w:rtl/>
          <w:lang w:bidi="ar-EG"/>
        </w:rPr>
        <w:t>EvalCo</w:t>
      </w:r>
      <w:proofErr w:type="spellEnd"/>
      <w:r w:rsidRPr="00E64B74">
        <w:rPr>
          <w:rFonts w:eastAsia="Arabic Typesetting"/>
          <w:rtl/>
          <w:lang w:bidi="ar-EG"/>
        </w:rPr>
        <w:t xml:space="preserve"> </w:t>
      </w:r>
      <w:proofErr w:type="spellStart"/>
      <w:r w:rsidRPr="00E64B74">
        <w:rPr>
          <w:rFonts w:eastAsia="Arabic Typesetting"/>
          <w:rtl/>
          <w:lang w:bidi="ar-EG"/>
        </w:rPr>
        <w:t>Sàrl</w:t>
      </w:r>
      <w:proofErr w:type="spellEnd"/>
      <w:r w:rsidRPr="00E64B74">
        <w:rPr>
          <w:rFonts w:eastAsia="Arabic Typesetting"/>
          <w:rtl/>
          <w:lang w:bidi="ar-EG"/>
        </w:rPr>
        <w:t>)، سويسرا، قائداً للفريق، والدكتور راشد خان، من شركة الابتكار العالمي والملكية الفكرية في الولايات المتحدة الأمريكية وآسيا</w:t>
      </w:r>
      <w:r>
        <w:rPr>
          <w:rFonts w:eastAsia="Arabic Typesetting"/>
          <w:rtl/>
          <w:lang w:bidi="ar-EG"/>
        </w:rPr>
        <w:t xml:space="preserve">. </w:t>
      </w:r>
      <w:proofErr w:type="gramStart"/>
      <w:r w:rsidRPr="00E64B74">
        <w:rPr>
          <w:rFonts w:eastAsia="Arabic Typesetting"/>
          <w:rtl/>
          <w:lang w:bidi="ar-EG"/>
        </w:rPr>
        <w:t>وكلا</w:t>
      </w:r>
      <w:proofErr w:type="gramEnd"/>
      <w:r w:rsidRPr="00E64B74">
        <w:rPr>
          <w:rFonts w:eastAsia="Arabic Typesetting"/>
          <w:rtl/>
          <w:lang w:bidi="ar-EG"/>
        </w:rPr>
        <w:t xml:space="preserve"> المقيِّمين مستقل ولم يكن لهما دور في إعداد المشروع ولا في تنفيذه.</w:t>
      </w:r>
    </w:p>
  </w:footnote>
  <w:footnote w:id="2">
    <w:p w:rsidR="002033AA" w:rsidRPr="00E64B74" w:rsidRDefault="002033AA" w:rsidP="00AE1126">
      <w:pPr>
        <w:pStyle w:val="FootnoteText"/>
        <w:rPr>
          <w:rFonts w:eastAsia="Arabic Typesetting"/>
          <w:lang w:bidi="ar-EG"/>
        </w:rPr>
      </w:pPr>
      <w:r w:rsidRPr="00E64B74">
        <w:rPr>
          <w:rFonts w:eastAsia="Arabic Typesetting"/>
          <w:lang w:bidi="ar-EG"/>
        </w:rPr>
        <w:footnoteRef/>
      </w:r>
      <w:proofErr w:type="gramStart"/>
      <w:r w:rsidRPr="00E64B74">
        <w:rPr>
          <w:rFonts w:eastAsia="Arabic Typesetting"/>
          <w:rtl/>
          <w:lang w:bidi="ar-EG"/>
        </w:rPr>
        <w:t>معدلة</w:t>
      </w:r>
      <w:proofErr w:type="gramEnd"/>
      <w:r w:rsidRPr="00E64B74">
        <w:rPr>
          <w:rFonts w:eastAsia="Arabic Typesetting"/>
          <w:rtl/>
          <w:lang w:bidi="ar-EG"/>
        </w:rPr>
        <w:t xml:space="preserve"> من الموازنة الأصلية وفقاً للوثيقة (CDIP/6/4 </w:t>
      </w:r>
      <w:proofErr w:type="spellStart"/>
      <w:r w:rsidRPr="00E64B74">
        <w:rPr>
          <w:rFonts w:eastAsia="Arabic Typesetting"/>
          <w:rtl/>
          <w:lang w:bidi="ar-EG"/>
        </w:rPr>
        <w:t>Rev</w:t>
      </w:r>
      <w:proofErr w:type="spellEnd"/>
      <w:r w:rsidRPr="00E64B74">
        <w:rPr>
          <w:rFonts w:eastAsia="Arabic Typesetting"/>
          <w:rtl/>
          <w:lang w:bidi="ar-EG"/>
        </w:rPr>
        <w:t xml:space="preserve">. </w:t>
      </w:r>
      <w:proofErr w:type="gramStart"/>
      <w:r w:rsidRPr="00E64B74">
        <w:rPr>
          <w:rFonts w:eastAsia="Arabic Typesetting"/>
          <w:rtl/>
          <w:lang w:bidi="ar-EG"/>
        </w:rPr>
        <w:t>المرفق</w:t>
      </w:r>
      <w:proofErr w:type="gramEnd"/>
      <w:r w:rsidRPr="00E64B74">
        <w:rPr>
          <w:rFonts w:eastAsia="Arabic Typesetting"/>
          <w:rtl/>
          <w:lang w:bidi="ar-EG"/>
        </w:rPr>
        <w:t>، صفحة 9)</w:t>
      </w:r>
      <w:r>
        <w:rPr>
          <w:rFonts w:eastAsia="Arabic Typesetting"/>
          <w:rtl/>
          <w:lang w:bidi="ar-EG"/>
        </w:rPr>
        <w:t xml:space="preserve">: </w:t>
      </w:r>
      <w:r w:rsidRPr="00E64B74">
        <w:rPr>
          <w:rFonts w:eastAsia="Arabic Typesetting"/>
          <w:rtl/>
          <w:lang w:bidi="ar-EG"/>
        </w:rPr>
        <w:t>598000 فرنك سويسري لتكاليف الموظفين و1193000 فرنك سويسري لغيرها من التكاليف (انظر CDIP/9/INF/4، المرفق، صفحة 17)</w:t>
      </w:r>
    </w:p>
  </w:footnote>
  <w:footnote w:id="3">
    <w:p w:rsidR="002033AA" w:rsidRPr="00E00556" w:rsidRDefault="002033AA" w:rsidP="00AE1126">
      <w:pPr>
        <w:pStyle w:val="FootnoteText"/>
        <w:rPr>
          <w:rFonts w:eastAsia="Arabic Typesetting"/>
          <w:lang w:bidi="ar-EG"/>
        </w:rPr>
      </w:pPr>
      <w:r w:rsidRPr="00E64B74">
        <w:rPr>
          <w:rFonts w:eastAsia="Arabic Typesetting"/>
          <w:lang w:bidi="ar-EG"/>
        </w:rPr>
        <w:footnoteRef/>
      </w:r>
      <w:r w:rsidRPr="00E64B74">
        <w:rPr>
          <w:rFonts w:eastAsia="Arabic Typesetting"/>
          <w:rtl/>
          <w:lang w:bidi="ar-EG"/>
        </w:rPr>
        <w:t>التمديد الأخير</w:t>
      </w:r>
      <w:r>
        <w:rPr>
          <w:rFonts w:eastAsia="Arabic Typesetting"/>
          <w:rtl/>
          <w:lang w:bidi="ar-EG"/>
        </w:rPr>
        <w:t xml:space="preserve">: </w:t>
      </w:r>
      <w:r w:rsidRPr="00E64B74">
        <w:rPr>
          <w:rFonts w:eastAsia="Arabic Typesetting"/>
          <w:rtl/>
          <w:lang w:bidi="ar-EG"/>
        </w:rPr>
        <w:t>CDIP/12/2، المرفق السادس، صفحة 7، حتى 30 يونيه 2014</w:t>
      </w:r>
    </w:p>
  </w:footnote>
  <w:footnote w:id="4">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التعريف ملخص من الفقرتين 9 و10 من وثيقة المشروع (CDIP/6/4 </w:t>
      </w:r>
      <w:proofErr w:type="spellStart"/>
      <w:r w:rsidRPr="00E00556">
        <w:rPr>
          <w:rFonts w:eastAsia="Arabic Typesetting"/>
          <w:rtl/>
          <w:lang w:bidi="ar-EG"/>
        </w:rPr>
        <w:t>Rev</w:t>
      </w:r>
      <w:proofErr w:type="spellEnd"/>
      <w:r w:rsidRPr="00E00556">
        <w:rPr>
          <w:rFonts w:eastAsia="Arabic Typesetting"/>
          <w:rtl/>
          <w:lang w:bidi="ar-EG"/>
        </w:rPr>
        <w:t>.)</w:t>
      </w:r>
    </w:p>
  </w:footnote>
  <w:footnote w:id="5">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proofErr w:type="gramStart"/>
      <w:r w:rsidRPr="00E00556">
        <w:rPr>
          <w:rFonts w:eastAsia="Arabic Typesetting"/>
          <w:rtl/>
          <w:lang w:bidi="ar-EG"/>
        </w:rPr>
        <w:t>النواتج</w:t>
      </w:r>
      <w:proofErr w:type="gramEnd"/>
      <w:r w:rsidRPr="00E00556">
        <w:rPr>
          <w:rFonts w:eastAsia="Arabic Typesetting"/>
          <w:rtl/>
          <w:lang w:bidi="ar-EG"/>
        </w:rPr>
        <w:t xml:space="preserve"> هي ما يتولد عن استخدام عناصر تسليم (مخرجات) المشروع.</w:t>
      </w:r>
    </w:p>
  </w:footnote>
  <w:footnote w:id="6">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proofErr w:type="gramStart"/>
      <w:r w:rsidRPr="00E00556">
        <w:rPr>
          <w:rFonts w:eastAsia="Arabic Typesetting"/>
          <w:rtl/>
          <w:lang w:bidi="ar-EG"/>
        </w:rPr>
        <w:t>يشير</w:t>
      </w:r>
      <w:proofErr w:type="gramEnd"/>
      <w:r w:rsidRPr="00E00556">
        <w:rPr>
          <w:rFonts w:eastAsia="Arabic Typesetting"/>
          <w:rtl/>
          <w:lang w:bidi="ar-EG"/>
        </w:rPr>
        <w:t xml:space="preserve"> الوقع إلى الآثار طويلة الأمد الناجمة عن تدخل تنموي ما، سواء كانت إيجابية أو سلبية، أو مقصودة أو غير مقصودة، مباشرة أو غير مباشرة.</w:t>
      </w:r>
    </w:p>
  </w:footnote>
  <w:footnote w:id="7">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تقرير التنفيذ الأخير المقدم إلى الدول </w:t>
      </w:r>
      <w:proofErr w:type="gramStart"/>
      <w:r w:rsidRPr="00E00556">
        <w:rPr>
          <w:rFonts w:eastAsia="Arabic Typesetting"/>
          <w:rtl/>
          <w:lang w:bidi="ar-EG"/>
        </w:rPr>
        <w:t>الأعضاء</w:t>
      </w:r>
      <w:proofErr w:type="gramEnd"/>
      <w:r w:rsidRPr="00E00556">
        <w:rPr>
          <w:rFonts w:eastAsia="Arabic Typesetting"/>
          <w:rtl/>
          <w:lang w:bidi="ar-EG"/>
        </w:rPr>
        <w:t xml:space="preserve"> مؤرخ في 28 أغسطس 2014 (CDIP/14/2، المرفق الثالث). </w:t>
      </w:r>
    </w:p>
  </w:footnote>
  <w:footnote w:id="8">
    <w:p w:rsidR="002033AA" w:rsidRPr="00E00556" w:rsidRDefault="002033AA" w:rsidP="00E0055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الويبو، سياسة التقييم المنقحة، مايو 2010، خاصةً المرفق الأول بشأن معايير التقييم، الذي يشير إلى معايير لجنة المساعدة الإنمائية لتقييم المساعدة الإنمائية.</w:t>
      </w:r>
    </w:p>
  </w:footnote>
  <w:footnote w:id="9">
    <w:p w:rsidR="002033AA" w:rsidRPr="00E00556" w:rsidRDefault="002033AA" w:rsidP="00E0055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المبادئ التوجيهية والسلسلة المرجعية الصادرة عن لجنة المساعدة الإنمائية، معايير الجودة للتقييم الإنمائي، لجنة المساعدة الإنمائية، منظمة التعاون والتنمية في الميدان الاقتصادي، 2010. </w:t>
      </w:r>
    </w:p>
  </w:footnote>
  <w:footnote w:id="10">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لم تقتض الاختصاصات إلا تقويماً للفعالية </w:t>
      </w:r>
      <w:proofErr w:type="gramStart"/>
      <w:r w:rsidRPr="00E00556">
        <w:rPr>
          <w:rFonts w:eastAsia="Arabic Typesetting"/>
          <w:rtl/>
          <w:lang w:bidi="ar-EG"/>
        </w:rPr>
        <w:t>والاستدامة</w:t>
      </w:r>
      <w:proofErr w:type="gramEnd"/>
    </w:p>
  </w:footnote>
  <w:footnote w:id="11">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ويمكن اعتبار هذه المسائل </w:t>
      </w:r>
      <w:proofErr w:type="gramStart"/>
      <w:r w:rsidRPr="00E00556">
        <w:rPr>
          <w:rFonts w:eastAsia="Arabic Typesetting"/>
          <w:rtl/>
          <w:lang w:bidi="ar-EG"/>
        </w:rPr>
        <w:t>وجها</w:t>
      </w:r>
      <w:proofErr w:type="gramEnd"/>
      <w:r w:rsidRPr="00E00556">
        <w:rPr>
          <w:rFonts w:eastAsia="Arabic Typesetting"/>
          <w:rtl/>
          <w:lang w:bidi="ar-EG"/>
        </w:rPr>
        <w:t xml:space="preserve"> خاصا من أوجه الكفاءة.</w:t>
      </w:r>
    </w:p>
  </w:footnote>
  <w:footnote w:id="12">
    <w:p w:rsidR="002033AA" w:rsidRPr="00E00556" w:rsidRDefault="002033AA" w:rsidP="00E0055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من الدراسات المذكورة على وجه خاص تلك التي أجريت في إطار "مشروع الملكية الفكرية والتنمية الاجتماعية الاقتصادية" (CDIP/5/7) وتقارير رصد مشهد البراءات الذي أعد في إطار مشروع بشأن "تطوير أدوات للنفاذ إلى معلومات البراءات (CDIP/4/6).</w:t>
      </w:r>
    </w:p>
  </w:footnote>
  <w:footnote w:id="13">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proofErr w:type="gramStart"/>
      <w:r w:rsidRPr="00E00556">
        <w:rPr>
          <w:rFonts w:eastAsia="Arabic Typesetting"/>
          <w:rtl/>
          <w:lang w:bidi="ar-EG"/>
        </w:rPr>
        <w:t>ملخصة</w:t>
      </w:r>
      <w:proofErr w:type="gramEnd"/>
      <w:r w:rsidRPr="00E00556">
        <w:rPr>
          <w:rFonts w:eastAsia="Arabic Typesetting"/>
          <w:rtl/>
          <w:lang w:bidi="ar-EG"/>
        </w:rPr>
        <w:t xml:space="preserve"> في الفقرات 17-47 من الوثيقة CDIP/9/INF/4، القسم الثاني. </w:t>
      </w:r>
    </w:p>
  </w:footnote>
  <w:footnote w:id="14">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أيضا بشكل خاص مشروع المدونة الدولية لقواعد السلوك في نقل التكنولوجيا من </w:t>
      </w:r>
      <w:proofErr w:type="spellStart"/>
      <w:r w:rsidRPr="00E00556">
        <w:rPr>
          <w:rFonts w:eastAsia="Arabic Typesetting"/>
          <w:rtl/>
          <w:lang w:bidi="ar-EG"/>
        </w:rPr>
        <w:t>الأونكتاد</w:t>
      </w:r>
      <w:proofErr w:type="spellEnd"/>
      <w:r w:rsidRPr="00E00556">
        <w:rPr>
          <w:rFonts w:eastAsia="Arabic Typesetting"/>
          <w:rtl/>
          <w:lang w:bidi="ar-EG"/>
        </w:rPr>
        <w:t>.</w:t>
      </w:r>
    </w:p>
  </w:footnote>
  <w:footnote w:id="15">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proofErr w:type="gramStart"/>
      <w:r w:rsidRPr="00E00556">
        <w:rPr>
          <w:rFonts w:eastAsia="Arabic Typesetting"/>
          <w:rtl/>
          <w:lang w:bidi="ar-EG"/>
        </w:rPr>
        <w:t>بمعرفة</w:t>
      </w:r>
      <w:proofErr w:type="gramEnd"/>
      <w:r w:rsidRPr="00E00556">
        <w:rPr>
          <w:rFonts w:eastAsia="Arabic Typesetting"/>
          <w:rtl/>
          <w:lang w:bidi="ar-EG"/>
        </w:rPr>
        <w:t xml:space="preserve"> جميع وكالات التنمية الرئيسية بما في ذلك المنظمات غير الحكومية بشكل عام وضمن منظومة الأمم المتحدة بشكل خاص.</w:t>
      </w:r>
    </w:p>
  </w:footnote>
  <w:footnote w:id="16">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محددة وقابلة للقياس وقابلة للتحقيق وذات صلة بالمشروع ومتاحة في الأوقات المناسبة </w:t>
      </w:r>
      <w:proofErr w:type="gramStart"/>
      <w:r w:rsidRPr="00E00556">
        <w:rPr>
          <w:rFonts w:eastAsia="Arabic Typesetting"/>
          <w:rtl/>
          <w:lang w:bidi="ar-EG"/>
        </w:rPr>
        <w:t>(SMART) .</w:t>
      </w:r>
      <w:proofErr w:type="gramEnd"/>
    </w:p>
  </w:footnote>
  <w:footnote w:id="17">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proofErr w:type="gramStart"/>
      <w:r w:rsidRPr="00E00556">
        <w:rPr>
          <w:rFonts w:eastAsia="Arabic Typesetting"/>
          <w:rtl/>
          <w:lang w:bidi="ar-EG"/>
        </w:rPr>
        <w:t>تكون</w:t>
      </w:r>
      <w:proofErr w:type="gramEnd"/>
      <w:r w:rsidRPr="00E00556">
        <w:rPr>
          <w:rFonts w:eastAsia="Arabic Typesetting"/>
          <w:rtl/>
          <w:lang w:bidi="ar-EG"/>
        </w:rPr>
        <w:t xml:space="preserve"> المؤشرات قابلة للقياس إما من خلال أساليب كمية (وهي المفضلة) أو نوعية. </w:t>
      </w:r>
    </w:p>
  </w:footnote>
  <w:footnote w:id="18">
    <w:p w:rsidR="002033AA" w:rsidRPr="00E00556" w:rsidRDefault="002033AA" w:rsidP="00AE1126">
      <w:pPr>
        <w:pStyle w:val="FootnoteText"/>
        <w:rPr>
          <w:rFonts w:eastAsia="Arabic Typesetting"/>
          <w:lang w:bidi="ar-EG"/>
        </w:rPr>
      </w:pPr>
      <w:r w:rsidRPr="00E00556">
        <w:rPr>
          <w:rFonts w:eastAsia="Arabic Typesetting"/>
          <w:lang w:bidi="ar-EG"/>
        </w:rPr>
        <w:footnoteRef/>
      </w:r>
      <w:proofErr w:type="gramStart"/>
      <w:r w:rsidRPr="00E00556">
        <w:rPr>
          <w:rFonts w:eastAsia="Arabic Typesetting"/>
          <w:rtl/>
          <w:lang w:bidi="ar-EG"/>
        </w:rPr>
        <w:t>لدى</w:t>
      </w:r>
      <w:proofErr w:type="gramEnd"/>
      <w:r w:rsidRPr="00E00556">
        <w:rPr>
          <w:rFonts w:eastAsia="Arabic Typesetting"/>
          <w:rtl/>
          <w:lang w:bidi="ar-EG"/>
        </w:rPr>
        <w:t xml:space="preserve"> عرض أول مقترح مواضيعي (CDIP/6/4 </w:t>
      </w:r>
      <w:proofErr w:type="spellStart"/>
      <w:r w:rsidRPr="00E00556">
        <w:rPr>
          <w:rFonts w:eastAsia="Arabic Typesetting"/>
          <w:rtl/>
          <w:lang w:bidi="ar-EG"/>
        </w:rPr>
        <w:t>Rev</w:t>
      </w:r>
      <w:proofErr w:type="spellEnd"/>
      <w:r w:rsidRPr="00E00556">
        <w:rPr>
          <w:rFonts w:eastAsia="Arabic Typesetting"/>
          <w:rtl/>
          <w:lang w:bidi="ar-EG"/>
        </w:rPr>
        <w:t xml:space="preserve">.)، ورقة المشروع </w:t>
      </w:r>
      <w:proofErr w:type="gramStart"/>
      <w:r w:rsidRPr="00E00556">
        <w:rPr>
          <w:rFonts w:eastAsia="Arabic Typesetting"/>
          <w:rtl/>
          <w:lang w:bidi="ar-EG"/>
        </w:rPr>
        <w:t>المحددة</w:t>
      </w:r>
      <w:proofErr w:type="gramEnd"/>
      <w:r w:rsidRPr="00E00556">
        <w:rPr>
          <w:rFonts w:eastAsia="Arabic Typesetting"/>
          <w:rtl/>
          <w:lang w:bidi="ar-EG"/>
        </w:rPr>
        <w:t xml:space="preserve"> (CDIP/8/7) بوصف تفصيلي للأنشطة</w:t>
      </w:r>
      <w:r>
        <w:rPr>
          <w:rFonts w:eastAsia="Arabic Typesetting"/>
          <w:rtl/>
          <w:lang w:bidi="ar-EG"/>
        </w:rPr>
        <w:t xml:space="preserve">. </w:t>
      </w:r>
      <w:proofErr w:type="gramStart"/>
      <w:r w:rsidRPr="00E00556">
        <w:rPr>
          <w:rFonts w:eastAsia="Arabic Typesetting"/>
          <w:rtl/>
          <w:lang w:bidi="ar-EG"/>
        </w:rPr>
        <w:t>كما</w:t>
      </w:r>
      <w:proofErr w:type="gramEnd"/>
      <w:r w:rsidRPr="00E00556">
        <w:rPr>
          <w:rFonts w:eastAsia="Arabic Typesetting"/>
          <w:rtl/>
          <w:lang w:bidi="ar-EG"/>
        </w:rPr>
        <w:t xml:space="preserve"> التُمست المشورة من الدول الأعضاء بشأن نسخة محدثة من هذه الوثيقة، التي عرضت على اللجنة في دورتها التاسعة في مارس 2012، للعلم (CDIP/9/INF/4، 13 مارس 2012).</w:t>
      </w:r>
    </w:p>
  </w:footnote>
  <w:footnote w:id="19">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وضع مقاربة دولية متكاملة وجامعة ومتبصرة وموضوعية لمبادرات السياسة العامة بشأن الملكية الفكرية والتحديات العالمية وتعزيز قدرة الدول الأعضاء ولا سيما البلدان النامية والبلدان الأقل نموا والبلدان المنتقلة إلى نظام الاقتصاد الحر في مجال دعم الابتكار ونقل التكنولوجيا (وثيقة البرنامج والميزانية للثنائية 2010/2011 التي اعتمدتها جمعيات الدول الأعضاء في الويبو في 1 أكتوبر 2009، صفحة 166)</w:t>
      </w:r>
      <w:r>
        <w:rPr>
          <w:rFonts w:eastAsia="Arabic Typesetting"/>
          <w:rtl/>
          <w:lang w:bidi="ar-EG"/>
        </w:rPr>
        <w:t xml:space="preserve">. </w:t>
      </w:r>
      <w:r w:rsidRPr="00E00556">
        <w:rPr>
          <w:rFonts w:eastAsia="Arabic Typesetting"/>
          <w:rtl/>
          <w:lang w:bidi="ar-EG"/>
        </w:rPr>
        <w:t xml:space="preserve">والرابط بالتوصية 10 </w:t>
      </w:r>
      <w:proofErr w:type="gramStart"/>
      <w:r w:rsidRPr="00E00556">
        <w:rPr>
          <w:rFonts w:eastAsia="Arabic Typesetting"/>
          <w:rtl/>
          <w:lang w:bidi="ar-EG"/>
        </w:rPr>
        <w:t>في</w:t>
      </w:r>
      <w:proofErr w:type="gramEnd"/>
      <w:r w:rsidRPr="00E00556">
        <w:rPr>
          <w:rFonts w:eastAsia="Arabic Typesetting"/>
          <w:rtl/>
          <w:lang w:bidi="ar-EG"/>
        </w:rPr>
        <w:t xml:space="preserve"> جدول أعمال التنمية مذكور بشكل صريح.</w:t>
      </w:r>
    </w:p>
  </w:footnote>
  <w:footnote w:id="20">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البرنامج 1</w:t>
      </w:r>
      <w:r>
        <w:rPr>
          <w:rFonts w:eastAsia="Arabic Typesetting"/>
          <w:rtl/>
          <w:lang w:bidi="ar-EG"/>
        </w:rPr>
        <w:t xml:space="preserve">: </w:t>
      </w:r>
      <w:r w:rsidRPr="00E00556">
        <w:rPr>
          <w:rFonts w:eastAsia="Arabic Typesetting"/>
          <w:rtl/>
          <w:lang w:bidi="ar-EG"/>
        </w:rPr>
        <w:t>وعي أكبر بالمبادئ والممارسات القانونية، في نظام البراءات، بما فيها مواطن المرونة المتاحة في النظام، وفهم أعمق وتوضيح أكبر للقضايا الجارية والمستجدة في المسائل المتعلقة بالبراءات.</w:t>
      </w:r>
    </w:p>
  </w:footnote>
  <w:footnote w:id="21">
    <w:p w:rsidR="002033AA" w:rsidRPr="00E00556" w:rsidRDefault="002033AA" w:rsidP="00AE1126">
      <w:pPr>
        <w:pStyle w:val="FootnoteText"/>
        <w:rPr>
          <w:rFonts w:eastAsia="Arabic Typesetting"/>
          <w:lang w:bidi="ar-EG"/>
        </w:rPr>
      </w:pPr>
      <w:r w:rsidRPr="00E00556">
        <w:rPr>
          <w:rFonts w:eastAsia="Arabic Typesetting"/>
          <w:lang w:bidi="ar-EG"/>
        </w:rPr>
        <w:footnoteRef/>
      </w:r>
      <w:proofErr w:type="gramStart"/>
      <w:r w:rsidRPr="00E00556">
        <w:rPr>
          <w:rFonts w:eastAsia="Arabic Typesetting"/>
          <w:rtl/>
          <w:lang w:bidi="ar-EG"/>
        </w:rPr>
        <w:t>البرنامج</w:t>
      </w:r>
      <w:proofErr w:type="gramEnd"/>
      <w:r w:rsidRPr="00E00556">
        <w:rPr>
          <w:rFonts w:eastAsia="Arabic Typesetting"/>
          <w:rtl/>
          <w:lang w:bidi="ar-EG"/>
        </w:rPr>
        <w:t xml:space="preserve"> 8</w:t>
      </w:r>
      <w:r>
        <w:rPr>
          <w:rFonts w:eastAsia="Arabic Typesetting"/>
          <w:rtl/>
          <w:lang w:bidi="ar-EG"/>
        </w:rPr>
        <w:t xml:space="preserve">: </w:t>
      </w:r>
      <w:r w:rsidRPr="00E00556">
        <w:rPr>
          <w:rFonts w:eastAsia="Arabic Typesetting"/>
          <w:rtl/>
          <w:lang w:bidi="ar-EG"/>
        </w:rPr>
        <w:t>تزايد إدماج مبادئ جدول أعمال التنمية في برامج المنظمة وأنشطتها، بما فيها عملها في وضع القواعد والمعايير؛ تنفيذ فعّال لجدول أعمال التنمية من خلال مشروعات وأنشطة ملموسة</w:t>
      </w:r>
    </w:p>
  </w:footnote>
  <w:footnote w:id="22">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البرنامج 9</w:t>
      </w:r>
      <w:r>
        <w:rPr>
          <w:rFonts w:eastAsia="Arabic Typesetting"/>
          <w:rtl/>
          <w:lang w:bidi="ar-EG"/>
        </w:rPr>
        <w:t xml:space="preserve">: </w:t>
      </w:r>
      <w:r w:rsidRPr="00E00556">
        <w:rPr>
          <w:rFonts w:eastAsia="Arabic Typesetting"/>
          <w:rtl/>
          <w:lang w:bidi="ar-EG"/>
        </w:rPr>
        <w:t xml:space="preserve">سياسات واستراتيجيات وطنية بشأن الملكية الفكرية وخطط عمل قطرية تتماشى والخطط والأولويات الإنمائية الوطنية؛ تعزيز كفاءة المهنيين في مجال الملكية الفكرية وتكوين نخبة مهمة من </w:t>
      </w:r>
      <w:proofErr w:type="spellStart"/>
      <w:r w:rsidRPr="00E00556">
        <w:rPr>
          <w:rFonts w:eastAsia="Arabic Typesetting"/>
          <w:rtl/>
          <w:lang w:bidi="ar-EG"/>
        </w:rPr>
        <w:t>أخصائيي</w:t>
      </w:r>
      <w:proofErr w:type="spellEnd"/>
      <w:r w:rsidRPr="00E00556">
        <w:rPr>
          <w:rFonts w:eastAsia="Arabic Typesetting"/>
          <w:rtl/>
          <w:lang w:bidi="ar-EG"/>
        </w:rPr>
        <w:t>/خبراء الملكية الفكرية</w:t>
      </w:r>
    </w:p>
  </w:footnote>
  <w:footnote w:id="23">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CDIP/9/INF/4، الفقرة 12، </w:t>
      </w:r>
      <w:proofErr w:type="gramStart"/>
      <w:r w:rsidRPr="00E00556">
        <w:rPr>
          <w:rFonts w:eastAsia="Arabic Typesetting"/>
          <w:rtl/>
          <w:lang w:bidi="ar-EG"/>
        </w:rPr>
        <w:t>صفحة</w:t>
      </w:r>
      <w:proofErr w:type="gramEnd"/>
      <w:r w:rsidRPr="00E00556">
        <w:rPr>
          <w:rFonts w:eastAsia="Arabic Typesetting"/>
          <w:rtl/>
          <w:lang w:bidi="ar-EG"/>
        </w:rPr>
        <w:t xml:space="preserve"> 3</w:t>
      </w:r>
    </w:p>
  </w:footnote>
  <w:footnote w:id="24">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http://www.wipo.int/meetings/en/doc_details.jsp?doc_id=287167</w:t>
      </w:r>
    </w:p>
  </w:footnote>
  <w:footnote w:id="25">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http://www.wipo.int/meetings/en/doc_details.jsp?doc_id=287217</w:t>
      </w:r>
    </w:p>
  </w:footnote>
  <w:footnote w:id="26">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http://www.wipo.int/meetings/en/doc_details.jsp?doc_id=287221</w:t>
      </w:r>
    </w:p>
  </w:footnote>
  <w:footnote w:id="27">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http://www.wipo.int/meetings/en/doc_details.jsp?doc_id=287164</w:t>
      </w:r>
    </w:p>
  </w:footnote>
  <w:footnote w:id="28">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http://www.wipo.int/meetings/en/doc_details.jsp?doc_id=287165</w:t>
      </w:r>
    </w:p>
  </w:footnote>
  <w:footnote w:id="29">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http://www.wipo.int/meetings/en/doc_details.jsp?doc_id=287218</w:t>
      </w:r>
    </w:p>
  </w:footnote>
  <w:footnote w:id="30">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http://www.wipo.int/meetings/en/details.jsp?meeting_id=32093</w:t>
      </w:r>
    </w:p>
  </w:footnote>
  <w:footnote w:id="31">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http://www.wipo.int/meetings/en/doc_details.jsp?doc_id=287217</w:t>
      </w:r>
    </w:p>
    <w:p w:rsidR="002033AA" w:rsidRPr="00E00556" w:rsidRDefault="002033AA" w:rsidP="00AE1126">
      <w:pPr>
        <w:pStyle w:val="FootnoteText"/>
        <w:rPr>
          <w:rFonts w:eastAsia="Arabic Typesetting"/>
          <w:lang w:bidi="ar-EG"/>
        </w:rPr>
      </w:pPr>
      <w:r w:rsidRPr="00E00556">
        <w:rPr>
          <w:rFonts w:eastAsia="Arabic Typesetting"/>
          <w:rtl/>
          <w:lang w:bidi="ar-EG"/>
        </w:rPr>
        <w:t xml:space="preserve">http://www.wipo.int/meetings/en/doc_details.jsp?doc_id=287221؛ غير أن </w:t>
      </w:r>
      <w:proofErr w:type="spellStart"/>
      <w:r w:rsidRPr="00E00556">
        <w:rPr>
          <w:rFonts w:eastAsia="Arabic Typesetting"/>
          <w:rtl/>
          <w:lang w:bidi="ar-EG"/>
        </w:rPr>
        <w:t>ماسكوس</w:t>
      </w:r>
      <w:proofErr w:type="spellEnd"/>
      <w:r w:rsidRPr="00E00556">
        <w:rPr>
          <w:rFonts w:eastAsia="Arabic Typesetting"/>
          <w:rtl/>
          <w:lang w:bidi="ar-EG"/>
        </w:rPr>
        <w:t xml:space="preserve"> يوضح هذا التمييز بجلاء تام في http://www.wipo.int/meetings/en/doc_details.jsp?doc_id=287165.</w:t>
      </w:r>
    </w:p>
  </w:footnote>
  <w:footnote w:id="32">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http://www.wipo.int/meetings/en/doc_details.jsp?doc_id=287167</w:t>
      </w:r>
    </w:p>
  </w:footnote>
  <w:footnote w:id="33">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p>
  </w:footnote>
  <w:footnote w:id="34">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انظر CDIP/15/5</w:t>
      </w:r>
    </w:p>
  </w:footnote>
  <w:footnote w:id="35">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http://www.wipo.int/meetings/en/doc_details.jsp?doc_id=287165</w:t>
      </w:r>
    </w:p>
  </w:footnote>
  <w:footnote w:id="36">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http://www.wipo.int/meetings/en/doc_details.jsp?doc_id=287217</w:t>
      </w:r>
    </w:p>
  </w:footnote>
  <w:footnote w:id="37">
    <w:p w:rsidR="002033AA" w:rsidRPr="00E00556" w:rsidRDefault="002033AA" w:rsidP="00E0055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r w:rsidRPr="00E00556">
        <w:rPr>
          <w:rFonts w:eastAsia="Arabic Typesetting"/>
          <w:lang w:bidi="ar-EG"/>
        </w:rPr>
        <w:t>http://www.wipo.int/meetings/en/doc_details.jsp?doc_id=287165</w:t>
      </w:r>
    </w:p>
  </w:footnote>
  <w:footnote w:id="38">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http://www.wipo.int/meetings/en/doc_details.jsp?doc_id=287165</w:t>
      </w:r>
    </w:p>
  </w:footnote>
  <w:footnote w:id="39">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-37 </w:t>
      </w:r>
      <w:proofErr w:type="gramStart"/>
      <w:r w:rsidRPr="00E00556">
        <w:rPr>
          <w:rFonts w:eastAsia="Arabic Typesetting"/>
          <w:rtl/>
          <w:lang w:bidi="ar-EG"/>
        </w:rPr>
        <w:t>يمكن</w:t>
      </w:r>
      <w:proofErr w:type="gramEnd"/>
      <w:r w:rsidRPr="00E00556">
        <w:rPr>
          <w:rFonts w:eastAsia="Arabic Typesetting"/>
          <w:rtl/>
          <w:lang w:bidi="ar-EG"/>
        </w:rPr>
        <w:t xml:space="preserve"> استنباط هذه المفاهيم من الدراسة التي أجريت بشأن "نقل التكنولوجيا على الصعيد الدولي</w:t>
      </w:r>
      <w:r>
        <w:rPr>
          <w:rFonts w:eastAsia="Arabic Typesetting"/>
          <w:rtl/>
          <w:lang w:bidi="ar-EG"/>
        </w:rPr>
        <w:t xml:space="preserve">: </w:t>
      </w:r>
      <w:r w:rsidRPr="00E00556">
        <w:rPr>
          <w:rFonts w:eastAsia="Arabic Typesetting"/>
          <w:rtl/>
          <w:lang w:bidi="ar-EG"/>
        </w:rPr>
        <w:t xml:space="preserve">تحليل من منظور البلدان النامية"، CDIP/14/INF/7/المرفق 1/صفحة 9؛ http://www.wipo.int/meetings/en/doc_details.jsp?doc_id=287165؛ والسياسات والمبادرات </w:t>
      </w:r>
      <w:proofErr w:type="gramStart"/>
      <w:r w:rsidRPr="00E00556">
        <w:rPr>
          <w:rFonts w:eastAsia="Arabic Typesetting"/>
          <w:rtl/>
          <w:lang w:bidi="ar-EG"/>
        </w:rPr>
        <w:t>ذات</w:t>
      </w:r>
      <w:proofErr w:type="gramEnd"/>
      <w:r w:rsidRPr="00E00556">
        <w:rPr>
          <w:rFonts w:eastAsia="Arabic Typesetting"/>
          <w:rtl/>
          <w:lang w:bidi="ar-EG"/>
        </w:rPr>
        <w:t xml:space="preserve"> الصلة بالملكية الفكرية في البلدان النامية لتعزيز نقل التكنولوجيا: http://www.wipo.int/meetings/en/doc_details.jsp?doc_id=287217 ودراسات أخرى في المشروع.</w:t>
      </w:r>
    </w:p>
  </w:footnote>
  <w:footnote w:id="40">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http://www.wipo.int/meetings/en/doc_details.jsp?doc_id=287217</w:t>
      </w:r>
    </w:p>
  </w:footnote>
  <w:footnote w:id="41">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hyperlink r:id="rId1" w:history="1">
        <w:r w:rsidRPr="00E00556">
          <w:rPr>
            <w:rFonts w:eastAsia="Arabic Typesetting"/>
            <w:rtl/>
            <w:lang w:bidi="ar-EG"/>
          </w:rPr>
          <w:t>http://www.wipo.int/meetings/en/doc_details.jsp?doc_id=287164</w:t>
        </w:r>
      </w:hyperlink>
    </w:p>
  </w:footnote>
  <w:footnote w:id="42">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http://www.wipo.int/meetings/en/doc_details.jsp?doc_id=287164</w:t>
      </w:r>
    </w:p>
  </w:footnote>
  <w:footnote w:id="43">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انظر الوثيقة CDIP/14/INF/9 من إعداد مركز الملكية الفكرية، وهو مركز مشترك بين جامعة </w:t>
      </w:r>
      <w:proofErr w:type="spellStart"/>
      <w:r w:rsidRPr="00E00556">
        <w:rPr>
          <w:rFonts w:eastAsia="Arabic Typesetting"/>
          <w:rtl/>
          <w:lang w:bidi="ar-EG"/>
        </w:rPr>
        <w:t>غوتنبورغ</w:t>
      </w:r>
      <w:proofErr w:type="spellEnd"/>
      <w:r w:rsidRPr="00E00556">
        <w:rPr>
          <w:rFonts w:eastAsia="Arabic Typesetting"/>
          <w:rtl/>
          <w:lang w:bidi="ar-EG"/>
        </w:rPr>
        <w:t xml:space="preserve"> وجامعة </w:t>
      </w:r>
      <w:proofErr w:type="spellStart"/>
      <w:r w:rsidRPr="00E00556">
        <w:rPr>
          <w:rFonts w:eastAsia="Arabic Typesetting"/>
          <w:rtl/>
          <w:lang w:bidi="ar-EG"/>
        </w:rPr>
        <w:t>تشالمرز</w:t>
      </w:r>
      <w:proofErr w:type="spellEnd"/>
      <w:r w:rsidRPr="00E00556">
        <w:rPr>
          <w:rFonts w:eastAsia="Arabic Typesetting"/>
          <w:rtl/>
          <w:lang w:bidi="ar-EG"/>
        </w:rPr>
        <w:t xml:space="preserve"> للتكنولوجيا، كجهد تعاوني.</w:t>
      </w:r>
    </w:p>
  </w:footnote>
  <w:footnote w:id="44">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http://www.wipo.int/meetings/en/doc_details.jsp?doc_id=287221</w:t>
      </w:r>
    </w:p>
  </w:footnote>
  <w:footnote w:id="45">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http://www.wipo.int/meetings/en/doc_details.jsp?doc_id=287218; CDIP/14/INF/12)</w:t>
      </w:r>
    </w:p>
  </w:footnote>
  <w:footnote w:id="46">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http://www.wipo.int/meetings/en/doc_details.jsp?doc_id=287167. وهذه التوصية مشتقة من الفقرتين 110 و111 من الوثيقة CDIP/14/INF/7 وكان برنامج "النفاذ إلى المعلومات المتخصصة بشأن البراءات" (ASPI) يتيح نفاذاً محدوداً إلى قواعد بيانات تجارية، منها منتجات شركات رائدة في توفير قواعد البيانات. </w:t>
      </w:r>
      <w:proofErr w:type="gramStart"/>
      <w:r w:rsidRPr="00E00556">
        <w:rPr>
          <w:rFonts w:eastAsia="Arabic Typesetting"/>
          <w:rtl/>
          <w:lang w:bidi="ar-EG"/>
        </w:rPr>
        <w:t>ولكنه</w:t>
      </w:r>
      <w:proofErr w:type="gramEnd"/>
      <w:r w:rsidRPr="00E00556">
        <w:rPr>
          <w:rFonts w:eastAsia="Arabic Typesetting"/>
          <w:rtl/>
          <w:lang w:bidi="ar-EG"/>
        </w:rPr>
        <w:t xml:space="preserve"> ليس من المعلوم إن كان النفاذ مازال متاحاً لأقل البلدان نمواً. كما طُرحت التوصية كذلك </w:t>
      </w:r>
      <w:proofErr w:type="gramStart"/>
      <w:r w:rsidRPr="00E00556">
        <w:rPr>
          <w:rFonts w:eastAsia="Arabic Typesetting"/>
          <w:rtl/>
          <w:lang w:bidi="ar-EG"/>
        </w:rPr>
        <w:t>في</w:t>
      </w:r>
      <w:proofErr w:type="gramEnd"/>
      <w:r w:rsidRPr="00E00556">
        <w:rPr>
          <w:rFonts w:eastAsia="Arabic Typesetting"/>
          <w:rtl/>
          <w:lang w:bidi="ar-EG"/>
        </w:rPr>
        <w:t xml:space="preserve"> http://www.wipo.int/meetings/en/doc_details.jsp?doc_id=287217</w:t>
      </w:r>
      <w:r w:rsidRPr="00E00556">
        <w:rPr>
          <w:rFonts w:eastAsia="Arabic Typesetting"/>
          <w:rtl/>
          <w:cs/>
          <w:lang w:bidi="ar-EG"/>
        </w:rPr>
        <w:t>‎</w:t>
      </w:r>
    </w:p>
  </w:footnote>
  <w:footnote w:id="47">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http://www.wipo.int/meetings/en/doc_details.jsp?doc_id=287218</w:t>
      </w:r>
    </w:p>
    <w:p w:rsidR="002033AA" w:rsidRPr="00E00556" w:rsidRDefault="002033AA" w:rsidP="00AE1126">
      <w:pPr>
        <w:pStyle w:val="FootnoteText"/>
        <w:rPr>
          <w:rFonts w:eastAsia="Arabic Typesetting"/>
          <w:lang w:bidi="ar-EG"/>
        </w:rPr>
      </w:pPr>
    </w:p>
  </w:footnote>
  <w:footnote w:id="48">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proofErr w:type="gramStart"/>
      <w:r w:rsidRPr="00E00556">
        <w:rPr>
          <w:rFonts w:eastAsia="Arabic Typesetting"/>
          <w:rtl/>
          <w:lang w:bidi="ar-EG"/>
        </w:rPr>
        <w:t>مشروع</w:t>
      </w:r>
      <w:proofErr w:type="gramEnd"/>
      <w:r w:rsidRPr="00E00556">
        <w:rPr>
          <w:rFonts w:eastAsia="Arabic Typesetting"/>
          <w:rtl/>
          <w:lang w:bidi="ar-EG"/>
        </w:rPr>
        <w:t xml:space="preserve"> الملكية الفكرية والملك العام</w:t>
      </w:r>
    </w:p>
  </w:footnote>
  <w:footnote w:id="49">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مشروع البراءات والملك العام</w:t>
      </w:r>
    </w:p>
  </w:footnote>
  <w:footnote w:id="50">
    <w:p w:rsidR="002033AA" w:rsidRPr="00E00556" w:rsidRDefault="002033AA" w:rsidP="00AE1126">
      <w:pPr>
        <w:pStyle w:val="FootnoteText"/>
        <w:rPr>
          <w:rFonts w:eastAsia="Arabic Typesetting"/>
          <w:lang w:bidi="ar-EG"/>
        </w:rPr>
      </w:pPr>
      <w:r w:rsidRPr="00E00556">
        <w:rPr>
          <w:rFonts w:eastAsia="Arabic Typesetting"/>
          <w:lang w:bidi="ar-EG"/>
        </w:rPr>
        <w:footnoteRef/>
      </w:r>
      <w:r w:rsidRPr="00E00556">
        <w:rPr>
          <w:rFonts w:eastAsia="Arabic Typesetting"/>
          <w:rtl/>
          <w:lang w:bidi="ar-EG"/>
        </w:rPr>
        <w:t xml:space="preserve"> </w:t>
      </w:r>
      <w:proofErr w:type="gramStart"/>
      <w:r w:rsidRPr="00E00556">
        <w:rPr>
          <w:rFonts w:eastAsia="Arabic Typesetting"/>
          <w:rtl/>
          <w:lang w:bidi="ar-EG"/>
        </w:rPr>
        <w:t>وثيقة</w:t>
      </w:r>
      <w:proofErr w:type="gramEnd"/>
      <w:r w:rsidRPr="00E00556">
        <w:rPr>
          <w:rFonts w:eastAsia="Arabic Typesetting"/>
          <w:rtl/>
          <w:lang w:bidi="ar-EG"/>
        </w:rPr>
        <w:t xml:space="preserve"> المشروع CDIP/6/4 </w:t>
      </w:r>
      <w:proofErr w:type="spellStart"/>
      <w:r w:rsidRPr="00E00556">
        <w:rPr>
          <w:rFonts w:eastAsia="Arabic Typesetting"/>
          <w:rtl/>
          <w:lang w:bidi="ar-EG"/>
        </w:rPr>
        <w:t>Rev</w:t>
      </w:r>
      <w:proofErr w:type="spellEnd"/>
      <w:r w:rsidRPr="00E00556">
        <w:rPr>
          <w:rFonts w:eastAsia="Arabic Typesetting"/>
          <w:rtl/>
          <w:lang w:bidi="ar-EG"/>
        </w:rPr>
        <w:t xml:space="preserve">. متاحة </w:t>
      </w:r>
      <w:proofErr w:type="gramStart"/>
      <w:r w:rsidRPr="00E00556">
        <w:rPr>
          <w:rFonts w:eastAsia="Arabic Typesetting"/>
          <w:rtl/>
          <w:lang w:bidi="ar-EG"/>
        </w:rPr>
        <w:t>في</w:t>
      </w:r>
      <w:proofErr w:type="gramEnd"/>
      <w:r w:rsidRPr="00E00556">
        <w:rPr>
          <w:rFonts w:eastAsia="Arabic Typesetting"/>
          <w:rtl/>
          <w:lang w:bidi="ar-EG"/>
        </w:rPr>
        <w:t>:</w:t>
      </w:r>
    </w:p>
    <w:p w:rsidR="002033AA" w:rsidRPr="00E00556" w:rsidRDefault="00E9597F" w:rsidP="00AE1126">
      <w:pPr>
        <w:pStyle w:val="FootnoteText"/>
        <w:rPr>
          <w:rFonts w:eastAsia="Arabic Typesetting"/>
          <w:lang w:bidi="ar-EG"/>
        </w:rPr>
      </w:pPr>
      <w:hyperlink r:id="rId2" w:history="1">
        <w:r w:rsidR="002033AA" w:rsidRPr="00E00556">
          <w:rPr>
            <w:rFonts w:eastAsia="Arabic Typesetting"/>
            <w:rtl/>
            <w:lang w:bidi="ar-EG"/>
          </w:rPr>
          <w:t>http://www.wipo.int/meetings/en/doc_details.jsp?doc_id=156582</w:t>
        </w:r>
      </w:hyperlink>
      <w:r w:rsidR="002033AA" w:rsidRPr="00E00556">
        <w:rPr>
          <w:rFonts w:eastAsia="Arabic Typesetting"/>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F56CAB">
    <w:pPr>
      <w:pStyle w:val="Header"/>
      <w:rPr>
        <w:rFonts w:eastAsia="Arial"/>
        <w:szCs w:val="22"/>
        <w:bdr w:val="nil"/>
        <w:lang w:eastAsia="zh-CN"/>
      </w:rPr>
    </w:pPr>
    <w:r>
      <w:rPr>
        <w:rFonts w:eastAsia="Arial"/>
        <w:szCs w:val="22"/>
        <w:bdr w:val="nil"/>
        <w:lang w:eastAsia="zh-CN"/>
      </w:rPr>
      <w:t>CDIP/16/3</w:t>
    </w:r>
  </w:p>
  <w:p w:rsidR="002033AA" w:rsidRPr="00BC69E4" w:rsidRDefault="002033AA" w:rsidP="00F56CAB">
    <w:pPr>
      <w:pStyle w:val="Header"/>
    </w:pPr>
    <w:r>
      <w:rPr>
        <w:rFonts w:eastAsia="Arial"/>
        <w:szCs w:val="22"/>
        <w:bdr w:val="nil"/>
        <w:lang w:eastAsia="zh-CN"/>
      </w:rPr>
      <w:t>APPENDIX II</w:t>
    </w:r>
  </w:p>
  <w:p w:rsidR="002033AA" w:rsidRPr="00F56CAB" w:rsidRDefault="002033AA" w:rsidP="00F56CAB">
    <w:pPr>
      <w:pStyle w:val="Header"/>
      <w:rPr>
        <w:rFonts w:ascii="Arabic Typesetting" w:hAnsi="Arabic Typesetting" w:cs="Arabic Typesetting"/>
        <w:sz w:val="36"/>
        <w:szCs w:val="36"/>
      </w:rPr>
    </w:pPr>
    <w:proofErr w:type="gramStart"/>
    <w:r w:rsidRPr="00F56CAB">
      <w:rPr>
        <w:rFonts w:ascii="Arabic Typesetting" w:eastAsia="Arial" w:hAnsi="Arabic Typesetting" w:cs="Arabic Typesetting"/>
        <w:sz w:val="36"/>
        <w:szCs w:val="36"/>
        <w:bdr w:val="nil"/>
        <w:rtl/>
        <w:lang w:val="ar-SA" w:eastAsia="zh-CN"/>
      </w:rPr>
      <w:t>الملحق</w:t>
    </w:r>
    <w:proofErr w:type="gramEnd"/>
    <w:r w:rsidRPr="00F56CAB">
      <w:rPr>
        <w:rFonts w:ascii="Arabic Typesetting" w:eastAsia="Arial" w:hAnsi="Arabic Typesetting" w:cs="Arabic Typesetting"/>
        <w:sz w:val="36"/>
        <w:szCs w:val="36"/>
        <w:bdr w:val="nil"/>
        <w:rtl/>
        <w:lang w:val="ar-SA" w:eastAsia="zh-CN"/>
      </w:rPr>
      <w:t xml:space="preserve"> </w:t>
    </w:r>
    <w:r>
      <w:rPr>
        <w:rFonts w:ascii="Arabic Typesetting" w:eastAsia="Arial" w:hAnsi="Arabic Typesetting" w:cs="Arabic Typesetting" w:hint="cs"/>
        <w:sz w:val="36"/>
        <w:szCs w:val="36"/>
        <w:bdr w:val="nil"/>
        <w:rtl/>
        <w:lang w:val="ar-SA" w:eastAsia="zh-CN"/>
      </w:rPr>
      <w:t>الثاني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E138A6">
    <w:pPr>
      <w:rPr>
        <w:rtl/>
      </w:rPr>
    </w:pPr>
    <w:r>
      <w:t>CDIP/16/3</w:t>
    </w:r>
  </w:p>
  <w:p w:rsidR="002033AA" w:rsidRDefault="002033AA" w:rsidP="00C12F47">
    <w:r>
      <w:t>Appendix III</w:t>
    </w:r>
  </w:p>
  <w:p w:rsidR="002033AA" w:rsidRDefault="002033AA" w:rsidP="000034B6">
    <w:pPr>
      <w:pStyle w:val="Header"/>
      <w:bidi/>
      <w:jc w:val="right"/>
    </w:pPr>
    <w:r w:rsidRPr="00790748">
      <w:rPr>
        <w:lang w:val="fr-CH"/>
      </w:rPr>
      <w:fldChar w:fldCharType="begin"/>
    </w:r>
    <w:r w:rsidRPr="00790748">
      <w:rPr>
        <w:lang w:val="fr-CH"/>
      </w:rPr>
      <w:instrText xml:space="preserve"> PAGE   \* MERGEFORMAT </w:instrText>
    </w:r>
    <w:r w:rsidRPr="00790748">
      <w:rPr>
        <w:lang w:val="fr-CH"/>
      </w:rPr>
      <w:fldChar w:fldCharType="separate"/>
    </w:r>
    <w:r w:rsidR="00E9597F">
      <w:rPr>
        <w:noProof/>
        <w:rtl/>
        <w:lang w:val="fr-CH"/>
      </w:rPr>
      <w:t>4</w:t>
    </w:r>
    <w:r w:rsidRPr="00790748">
      <w:rPr>
        <w:noProof/>
        <w:lang w:val="fr-CH"/>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Pr="006E10F2" w:rsidRDefault="002033AA" w:rsidP="00DE7AAB">
    <w:pPr>
      <w:pStyle w:val="Header"/>
      <w:jc w:val="both"/>
      <w:rPr>
        <w:rFonts w:asciiTheme="minorBidi" w:hAnsiTheme="minorBidi" w:cstheme="minorBidi"/>
      </w:rPr>
    </w:pPr>
    <w:r w:rsidRPr="006E10F2">
      <w:rPr>
        <w:rFonts w:asciiTheme="minorBidi" w:hAnsiTheme="minorBidi" w:cstheme="minorBidi"/>
      </w:rPr>
      <w:t>CDIP/16/3</w:t>
    </w:r>
  </w:p>
  <w:p w:rsidR="002033AA" w:rsidRPr="006E10F2" w:rsidRDefault="002033AA" w:rsidP="00DE7AAB">
    <w:pPr>
      <w:pStyle w:val="Header"/>
      <w:jc w:val="both"/>
      <w:rPr>
        <w:rFonts w:asciiTheme="minorBidi" w:hAnsiTheme="minorBidi" w:cstheme="minorBidi"/>
      </w:rPr>
    </w:pPr>
    <w:r w:rsidRPr="006E10F2">
      <w:rPr>
        <w:rFonts w:asciiTheme="minorBidi" w:hAnsiTheme="minorBidi" w:cstheme="minorBidi"/>
      </w:rPr>
      <w:t>APPENDIX III</w:t>
    </w:r>
  </w:p>
  <w:p w:rsidR="002033AA" w:rsidRPr="006E10F2" w:rsidRDefault="002033AA" w:rsidP="00DE7AAB">
    <w:pPr>
      <w:pStyle w:val="Header"/>
      <w:jc w:val="both"/>
      <w:rPr>
        <w:rFonts w:ascii="Arabic Typesetting" w:hAnsi="Arabic Typesetting" w:cs="Arabic Typesetting"/>
        <w:sz w:val="36"/>
        <w:szCs w:val="36"/>
        <w:rtl/>
      </w:rPr>
    </w:pPr>
    <w:proofErr w:type="gramStart"/>
    <w:r w:rsidRPr="006E10F2">
      <w:rPr>
        <w:rFonts w:ascii="Arabic Typesetting" w:hAnsi="Arabic Typesetting" w:cs="Arabic Typesetting"/>
        <w:sz w:val="36"/>
        <w:szCs w:val="36"/>
        <w:rtl/>
      </w:rPr>
      <w:t>الملحق</w:t>
    </w:r>
    <w:proofErr w:type="gramEnd"/>
    <w:r w:rsidRPr="006E10F2">
      <w:rPr>
        <w:rFonts w:ascii="Arabic Typesetting" w:hAnsi="Arabic Typesetting" w:cs="Arabic Typesetting"/>
        <w:sz w:val="36"/>
        <w:szCs w:val="36"/>
        <w:rtl/>
      </w:rPr>
      <w:t xml:space="preserve"> الثالث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C12F47">
    <w:r>
      <w:t>CDIP/16/3</w:t>
    </w:r>
  </w:p>
  <w:p w:rsidR="002033AA" w:rsidRDefault="002033AA" w:rsidP="00405F71">
    <w:pPr>
      <w:pStyle w:val="Header"/>
    </w:pPr>
    <w:r>
      <w:t>Annex</w:t>
    </w:r>
    <w:proofErr w:type="gramStart"/>
    <w:r>
      <w:t>,</w:t>
    </w:r>
    <w:proofErr w:type="gramEnd"/>
    <w:sdt>
      <w:sdtPr>
        <w:id w:val="9839714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3E73">
          <w:rPr>
            <w:noProof/>
          </w:rPr>
          <w:t>4</w:t>
        </w:r>
        <w:r>
          <w:rPr>
            <w:noProof/>
          </w:rPr>
          <w:fldChar w:fldCharType="end"/>
        </w:r>
      </w:sdtContent>
    </w:sdt>
  </w:p>
  <w:p w:rsidR="002033AA" w:rsidRDefault="002033A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F56CAB">
    <w:pPr>
      <w:pStyle w:val="Header"/>
      <w:rPr>
        <w:rFonts w:eastAsia="Arial"/>
        <w:szCs w:val="22"/>
        <w:bdr w:val="nil"/>
        <w:lang w:eastAsia="zh-CN"/>
      </w:rPr>
    </w:pPr>
    <w:r>
      <w:rPr>
        <w:rFonts w:eastAsia="Arial"/>
        <w:szCs w:val="22"/>
        <w:bdr w:val="nil"/>
        <w:lang w:eastAsia="zh-CN"/>
      </w:rPr>
      <w:t>CDIP/16/3</w:t>
    </w:r>
  </w:p>
  <w:p w:rsidR="002033AA" w:rsidRPr="00B9104D" w:rsidRDefault="002033AA" w:rsidP="00F56CAB">
    <w:pPr>
      <w:pStyle w:val="Header"/>
    </w:pPr>
    <w:r>
      <w:rPr>
        <w:rFonts w:eastAsia="Arial"/>
        <w:szCs w:val="22"/>
        <w:bdr w:val="nil"/>
        <w:lang w:eastAsia="zh-CN"/>
      </w:rPr>
      <w:t>Annex</w:t>
    </w:r>
  </w:p>
  <w:p w:rsidR="002033AA" w:rsidRPr="00DD4C78" w:rsidRDefault="002033AA" w:rsidP="00F56CAB">
    <w:pPr>
      <w:pStyle w:val="Header"/>
      <w:rPr>
        <w:lang w:val="fr-CH"/>
      </w:rPr>
    </w:pPr>
    <w:r w:rsidRPr="00790748">
      <w:rPr>
        <w:lang w:val="fr-CH"/>
      </w:rPr>
      <w:fldChar w:fldCharType="begin"/>
    </w:r>
    <w:r w:rsidRPr="00790748">
      <w:rPr>
        <w:lang w:val="fr-CH"/>
      </w:rPr>
      <w:instrText xml:space="preserve"> PAGE   \* MERGEFORMAT </w:instrText>
    </w:r>
    <w:r w:rsidRPr="00790748">
      <w:rPr>
        <w:lang w:val="fr-CH"/>
      </w:rPr>
      <w:fldChar w:fldCharType="separate"/>
    </w:r>
    <w:r w:rsidR="00E9597F">
      <w:rPr>
        <w:noProof/>
        <w:lang w:val="fr-CH"/>
      </w:rPr>
      <w:t>20</w:t>
    </w:r>
    <w:r w:rsidRPr="00790748">
      <w:rPr>
        <w:noProof/>
        <w:lang w:val="fr-CH"/>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F56CAB">
    <w:pPr>
      <w:pStyle w:val="Header"/>
      <w:rPr>
        <w:rFonts w:eastAsia="Arial"/>
        <w:szCs w:val="22"/>
        <w:bdr w:val="nil"/>
        <w:lang w:eastAsia="zh-CN"/>
      </w:rPr>
    </w:pPr>
    <w:r>
      <w:rPr>
        <w:rFonts w:eastAsia="Arial"/>
        <w:szCs w:val="22"/>
        <w:bdr w:val="nil"/>
        <w:lang w:eastAsia="zh-CN"/>
      </w:rPr>
      <w:t>CDIP/16/3</w:t>
    </w:r>
  </w:p>
  <w:p w:rsidR="002033AA" w:rsidRDefault="002033AA" w:rsidP="00F56CAB">
    <w:pPr>
      <w:pStyle w:val="Header"/>
      <w:rPr>
        <w:rFonts w:eastAsia="Arial"/>
        <w:szCs w:val="22"/>
        <w:bdr w:val="nil"/>
        <w:lang w:eastAsia="zh-CN"/>
      </w:rPr>
    </w:pPr>
    <w:r>
      <w:rPr>
        <w:rFonts w:eastAsia="Arial"/>
        <w:szCs w:val="22"/>
        <w:bdr w:val="nil"/>
        <w:lang w:eastAsia="zh-CN"/>
      </w:rPr>
      <w:t>ANNEX</w:t>
    </w:r>
  </w:p>
  <w:p w:rsidR="002033AA" w:rsidRPr="00F56CAB" w:rsidRDefault="002033AA" w:rsidP="00F56CAB">
    <w:pPr>
      <w:pStyle w:val="Header"/>
      <w:rPr>
        <w:rFonts w:ascii="Arabic Typesetting" w:hAnsi="Arabic Typesetting" w:cs="Arabic Typesetting"/>
        <w:sz w:val="36"/>
        <w:szCs w:val="36"/>
      </w:rPr>
    </w:pPr>
    <w:r w:rsidRPr="00F56CAB">
      <w:rPr>
        <w:rFonts w:ascii="Arabic Typesetting" w:eastAsia="Arial" w:hAnsi="Arabic Typesetting" w:cs="Arabic Typesetting"/>
        <w:sz w:val="36"/>
        <w:szCs w:val="36"/>
        <w:bdr w:val="nil"/>
        <w:rtl/>
        <w:lang w:eastAsia="zh-CN"/>
      </w:rPr>
      <w:t>المرفق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F56CAB">
    <w:pPr>
      <w:pStyle w:val="Header"/>
      <w:rPr>
        <w:rFonts w:eastAsia="Arial"/>
        <w:szCs w:val="22"/>
        <w:bdr w:val="nil"/>
        <w:lang w:eastAsia="zh-CN"/>
      </w:rPr>
    </w:pPr>
    <w:r>
      <w:rPr>
        <w:rFonts w:eastAsia="Arial"/>
        <w:szCs w:val="22"/>
        <w:bdr w:val="nil"/>
        <w:rtl/>
        <w:lang w:val="ar-SA" w:eastAsia="zh-CN"/>
      </w:rPr>
      <w:t>CDIP/16/3</w:t>
    </w:r>
  </w:p>
  <w:p w:rsidR="002033AA" w:rsidRDefault="002033AA" w:rsidP="00F56CAB">
    <w:pPr>
      <w:pStyle w:val="Header"/>
      <w:rPr>
        <w:rFonts w:eastAsia="Arial"/>
        <w:szCs w:val="22"/>
        <w:bdr w:val="nil"/>
        <w:lang w:eastAsia="zh-CN"/>
      </w:rPr>
    </w:pPr>
    <w:r>
      <w:rPr>
        <w:rFonts w:eastAsia="Arial"/>
        <w:szCs w:val="22"/>
        <w:bdr w:val="nil"/>
        <w:lang w:eastAsia="zh-CN"/>
      </w:rPr>
      <w:t>Appendix I</w:t>
    </w:r>
  </w:p>
  <w:p w:rsidR="002033AA" w:rsidRPr="00DD4C78" w:rsidRDefault="002033AA" w:rsidP="00F56CAB">
    <w:pPr>
      <w:pStyle w:val="Header"/>
      <w:rPr>
        <w:lang w:val="fr-CH"/>
      </w:rPr>
    </w:pPr>
    <w:r w:rsidRPr="00790748">
      <w:rPr>
        <w:lang w:val="fr-CH"/>
      </w:rPr>
      <w:fldChar w:fldCharType="begin"/>
    </w:r>
    <w:r w:rsidRPr="00790748">
      <w:rPr>
        <w:lang w:val="fr-CH"/>
      </w:rPr>
      <w:instrText xml:space="preserve"> PAGE   \* MERGEFORMAT </w:instrText>
    </w:r>
    <w:r w:rsidRPr="00790748">
      <w:rPr>
        <w:lang w:val="fr-CH"/>
      </w:rPr>
      <w:fldChar w:fldCharType="separate"/>
    </w:r>
    <w:r w:rsidR="00E9597F">
      <w:rPr>
        <w:noProof/>
        <w:lang w:val="fr-CH"/>
      </w:rPr>
      <w:t>4</w:t>
    </w:r>
    <w:r w:rsidRPr="00790748">
      <w:rPr>
        <w:noProof/>
        <w:lang w:val="fr-CH"/>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F56CAB">
    <w:pPr>
      <w:pStyle w:val="Header"/>
      <w:rPr>
        <w:rFonts w:eastAsia="Arial"/>
        <w:szCs w:val="22"/>
        <w:bdr w:val="nil"/>
        <w:lang w:eastAsia="zh-CN"/>
      </w:rPr>
    </w:pPr>
    <w:r>
      <w:rPr>
        <w:rFonts w:eastAsia="Arial"/>
        <w:szCs w:val="22"/>
        <w:bdr w:val="nil"/>
        <w:lang w:eastAsia="zh-CN"/>
      </w:rPr>
      <w:t>CDIP/16/3</w:t>
    </w:r>
  </w:p>
  <w:p w:rsidR="002033AA" w:rsidRPr="00BC69E4" w:rsidRDefault="002033AA" w:rsidP="00F56CAB">
    <w:pPr>
      <w:pStyle w:val="Header"/>
    </w:pPr>
    <w:r>
      <w:rPr>
        <w:rFonts w:eastAsia="Arial"/>
        <w:szCs w:val="22"/>
        <w:bdr w:val="nil"/>
        <w:lang w:eastAsia="zh-CN"/>
      </w:rPr>
      <w:t>APPENDIX I</w:t>
    </w:r>
  </w:p>
  <w:p w:rsidR="002033AA" w:rsidRPr="00F56CAB" w:rsidRDefault="002033AA" w:rsidP="00F56CAB">
    <w:pPr>
      <w:pStyle w:val="Header"/>
      <w:rPr>
        <w:rFonts w:ascii="Arabic Typesetting" w:hAnsi="Arabic Typesetting" w:cs="Arabic Typesetting"/>
        <w:sz w:val="36"/>
        <w:szCs w:val="36"/>
      </w:rPr>
    </w:pPr>
    <w:proofErr w:type="gramStart"/>
    <w:r w:rsidRPr="00F56CAB">
      <w:rPr>
        <w:rFonts w:ascii="Arabic Typesetting" w:eastAsia="Arial" w:hAnsi="Arabic Typesetting" w:cs="Arabic Typesetting"/>
        <w:sz w:val="36"/>
        <w:szCs w:val="36"/>
        <w:bdr w:val="nil"/>
        <w:rtl/>
        <w:lang w:val="ar-SA" w:eastAsia="zh-CN"/>
      </w:rPr>
      <w:t>الملحق</w:t>
    </w:r>
    <w:proofErr w:type="gramEnd"/>
    <w:r w:rsidRPr="00F56CAB">
      <w:rPr>
        <w:rFonts w:ascii="Arabic Typesetting" w:eastAsia="Arial" w:hAnsi="Arabic Typesetting" w:cs="Arabic Typesetting"/>
        <w:sz w:val="36"/>
        <w:szCs w:val="36"/>
        <w:bdr w:val="nil"/>
        <w:rtl/>
        <w:lang w:val="ar-SA" w:eastAsia="zh-CN"/>
      </w:rPr>
      <w:t xml:space="preserve"> الأول</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AA" w:rsidRDefault="002033AA" w:rsidP="00F56CAB">
    <w:pPr>
      <w:pStyle w:val="Header"/>
      <w:rPr>
        <w:lang w:val="fr-CH"/>
      </w:rPr>
    </w:pPr>
    <w:r>
      <w:rPr>
        <w:rFonts w:eastAsia="Arial"/>
        <w:szCs w:val="22"/>
        <w:bdr w:val="nil"/>
        <w:rtl/>
        <w:lang w:val="ar-SA" w:eastAsia="zh-CN"/>
      </w:rPr>
      <w:t>CDIP/16/3</w:t>
    </w:r>
  </w:p>
  <w:p w:rsidR="002033AA" w:rsidRPr="00D021F0" w:rsidRDefault="002033AA" w:rsidP="00F56CAB">
    <w:pPr>
      <w:pStyle w:val="Header"/>
      <w:rPr>
        <w:rFonts w:eastAsia="Arial"/>
        <w:szCs w:val="22"/>
        <w:bdr w:val="nil"/>
        <w:lang w:eastAsia="zh-CN"/>
      </w:rPr>
    </w:pPr>
    <w:r>
      <w:rPr>
        <w:rFonts w:eastAsia="Arial"/>
        <w:szCs w:val="22"/>
        <w:bdr w:val="nil"/>
        <w:lang w:eastAsia="zh-CN"/>
      </w:rPr>
      <w:t>Appendix II</w:t>
    </w:r>
  </w:p>
  <w:p w:rsidR="002033AA" w:rsidRPr="00DD4C78" w:rsidRDefault="002033AA" w:rsidP="00F56CAB">
    <w:pPr>
      <w:pStyle w:val="Header"/>
      <w:rPr>
        <w:lang w:val="fr-CH"/>
      </w:rPr>
    </w:pPr>
    <w:r w:rsidRPr="00790748">
      <w:rPr>
        <w:lang w:val="fr-CH"/>
      </w:rPr>
      <w:fldChar w:fldCharType="begin"/>
    </w:r>
    <w:r w:rsidRPr="00790748">
      <w:rPr>
        <w:lang w:val="fr-CH"/>
      </w:rPr>
      <w:instrText xml:space="preserve"> PAGE   \* MERGEFORMAT </w:instrText>
    </w:r>
    <w:r w:rsidRPr="00790748">
      <w:rPr>
        <w:lang w:val="fr-CH"/>
      </w:rPr>
      <w:fldChar w:fldCharType="separate"/>
    </w:r>
    <w:r w:rsidR="00E9597F">
      <w:rPr>
        <w:noProof/>
        <w:lang w:val="fr-CH"/>
      </w:rPr>
      <w:t>2</w:t>
    </w:r>
    <w:r w:rsidRPr="00790748">
      <w:rPr>
        <w:noProof/>
        <w:lang w:val="fr-CH"/>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D48DDE4"/>
    <w:lvl w:ilvl="0">
      <w:start w:val="1"/>
      <w:numFmt w:val="decimal"/>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0CD04B88"/>
    <w:multiLevelType w:val="hybridMultilevel"/>
    <w:tmpl w:val="EB3CDB68"/>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D54A4"/>
    <w:multiLevelType w:val="hybridMultilevel"/>
    <w:tmpl w:val="CA5E0208"/>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85F49"/>
    <w:multiLevelType w:val="hybridMultilevel"/>
    <w:tmpl w:val="6FEE8FD8"/>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02C17"/>
    <w:multiLevelType w:val="hybridMultilevel"/>
    <w:tmpl w:val="675CA592"/>
    <w:lvl w:ilvl="0" w:tplc="45A4F778">
      <w:start w:val="1"/>
      <w:numFmt w:val="bullet"/>
      <w:lvlText w:val=""/>
      <w:lvlJc w:val="left"/>
      <w:pPr>
        <w:ind w:left="360" w:hanging="360"/>
      </w:pPr>
      <w:rPr>
        <w:rFonts w:ascii="Symbol" w:hAnsi="Symbol" w:hint="default"/>
      </w:rPr>
    </w:lvl>
    <w:lvl w:ilvl="1" w:tplc="42F414B6" w:tentative="1">
      <w:start w:val="1"/>
      <w:numFmt w:val="bullet"/>
      <w:lvlText w:val="o"/>
      <w:lvlJc w:val="left"/>
      <w:pPr>
        <w:ind w:left="1080" w:hanging="360"/>
      </w:pPr>
      <w:rPr>
        <w:rFonts w:ascii="Courier New" w:hAnsi="Courier New" w:cs="Courier New" w:hint="default"/>
      </w:rPr>
    </w:lvl>
    <w:lvl w:ilvl="2" w:tplc="DDB8814C" w:tentative="1">
      <w:start w:val="1"/>
      <w:numFmt w:val="bullet"/>
      <w:lvlText w:val=""/>
      <w:lvlJc w:val="left"/>
      <w:pPr>
        <w:ind w:left="1800" w:hanging="360"/>
      </w:pPr>
      <w:rPr>
        <w:rFonts w:ascii="Wingdings" w:hAnsi="Wingdings" w:hint="default"/>
      </w:rPr>
    </w:lvl>
    <w:lvl w:ilvl="3" w:tplc="B9CE82E6" w:tentative="1">
      <w:start w:val="1"/>
      <w:numFmt w:val="bullet"/>
      <w:lvlText w:val=""/>
      <w:lvlJc w:val="left"/>
      <w:pPr>
        <w:ind w:left="2520" w:hanging="360"/>
      </w:pPr>
      <w:rPr>
        <w:rFonts w:ascii="Symbol" w:hAnsi="Symbol" w:hint="default"/>
      </w:rPr>
    </w:lvl>
    <w:lvl w:ilvl="4" w:tplc="464C37D0" w:tentative="1">
      <w:start w:val="1"/>
      <w:numFmt w:val="bullet"/>
      <w:lvlText w:val="o"/>
      <w:lvlJc w:val="left"/>
      <w:pPr>
        <w:ind w:left="3240" w:hanging="360"/>
      </w:pPr>
      <w:rPr>
        <w:rFonts w:ascii="Courier New" w:hAnsi="Courier New" w:cs="Courier New" w:hint="default"/>
      </w:rPr>
    </w:lvl>
    <w:lvl w:ilvl="5" w:tplc="757A5D82" w:tentative="1">
      <w:start w:val="1"/>
      <w:numFmt w:val="bullet"/>
      <w:lvlText w:val=""/>
      <w:lvlJc w:val="left"/>
      <w:pPr>
        <w:ind w:left="3960" w:hanging="360"/>
      </w:pPr>
      <w:rPr>
        <w:rFonts w:ascii="Wingdings" w:hAnsi="Wingdings" w:hint="default"/>
      </w:rPr>
    </w:lvl>
    <w:lvl w:ilvl="6" w:tplc="C5E6BB68" w:tentative="1">
      <w:start w:val="1"/>
      <w:numFmt w:val="bullet"/>
      <w:lvlText w:val=""/>
      <w:lvlJc w:val="left"/>
      <w:pPr>
        <w:ind w:left="4680" w:hanging="360"/>
      </w:pPr>
      <w:rPr>
        <w:rFonts w:ascii="Symbol" w:hAnsi="Symbol" w:hint="default"/>
      </w:rPr>
    </w:lvl>
    <w:lvl w:ilvl="7" w:tplc="1B12D4DA" w:tentative="1">
      <w:start w:val="1"/>
      <w:numFmt w:val="bullet"/>
      <w:lvlText w:val="o"/>
      <w:lvlJc w:val="left"/>
      <w:pPr>
        <w:ind w:left="5400" w:hanging="360"/>
      </w:pPr>
      <w:rPr>
        <w:rFonts w:ascii="Courier New" w:hAnsi="Courier New" w:cs="Courier New" w:hint="default"/>
      </w:rPr>
    </w:lvl>
    <w:lvl w:ilvl="8" w:tplc="454CC428" w:tentative="1">
      <w:start w:val="1"/>
      <w:numFmt w:val="bullet"/>
      <w:lvlText w:val=""/>
      <w:lvlJc w:val="left"/>
      <w:pPr>
        <w:ind w:left="6120" w:hanging="360"/>
      </w:pPr>
      <w:rPr>
        <w:rFonts w:ascii="Wingdings" w:hAnsi="Wingdings" w:hint="default"/>
      </w:rPr>
    </w:lvl>
  </w:abstractNum>
  <w:abstractNum w:abstractNumId="5">
    <w:nsid w:val="148E3344"/>
    <w:multiLevelType w:val="hybridMultilevel"/>
    <w:tmpl w:val="0CD6AE00"/>
    <w:lvl w:ilvl="0" w:tplc="FFE485D2">
      <w:start w:val="1"/>
      <w:numFmt w:val="arabicAbjad"/>
      <w:lvlText w:val="(%1)"/>
      <w:lvlJc w:val="left"/>
      <w:pPr>
        <w:ind w:left="1734" w:hanging="360"/>
      </w:pPr>
      <w:rPr>
        <w:rFonts w:hint="default"/>
      </w:rPr>
    </w:lvl>
    <w:lvl w:ilvl="1" w:tplc="04090019">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6">
    <w:nsid w:val="15A46A4F"/>
    <w:multiLevelType w:val="hybridMultilevel"/>
    <w:tmpl w:val="3F1C79C4"/>
    <w:lvl w:ilvl="0" w:tplc="BA54D26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708EA"/>
    <w:multiLevelType w:val="hybridMultilevel"/>
    <w:tmpl w:val="63F66CDE"/>
    <w:lvl w:ilvl="0" w:tplc="01AC7FAA">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D4DDE"/>
    <w:multiLevelType w:val="hybridMultilevel"/>
    <w:tmpl w:val="0AE66DEA"/>
    <w:lvl w:ilvl="0" w:tplc="16EA566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5E87973"/>
    <w:multiLevelType w:val="hybridMultilevel"/>
    <w:tmpl w:val="F97CAE3C"/>
    <w:lvl w:ilvl="0" w:tplc="D2E097D8">
      <w:start w:val="1"/>
      <w:numFmt w:val="decimal"/>
      <w:pStyle w:val="NumberedParaAR"/>
      <w:lvlText w:val="%1."/>
      <w:lvlJc w:val="left"/>
      <w:pPr>
        <w:tabs>
          <w:tab w:val="num" w:pos="567"/>
        </w:tabs>
        <w:ind w:left="0" w:firstLine="0"/>
      </w:pPr>
      <w:rPr>
        <w:rFonts w:ascii="Arabic Typesetting" w:hAnsi="Arabic Typesetting" w:cs="Arabic Typesetting" w:hint="default"/>
        <w:b/>
        <w:b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80835"/>
    <w:multiLevelType w:val="hybridMultilevel"/>
    <w:tmpl w:val="085C252E"/>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54AAD"/>
    <w:multiLevelType w:val="hybridMultilevel"/>
    <w:tmpl w:val="4BF6A790"/>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21CD8"/>
    <w:multiLevelType w:val="hybridMultilevel"/>
    <w:tmpl w:val="62A49468"/>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43537"/>
    <w:multiLevelType w:val="hybridMultilevel"/>
    <w:tmpl w:val="7E60C064"/>
    <w:lvl w:ilvl="0" w:tplc="FFE485D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B80011"/>
    <w:multiLevelType w:val="hybridMultilevel"/>
    <w:tmpl w:val="62EECF4E"/>
    <w:lvl w:ilvl="0" w:tplc="4AC61758">
      <w:start w:val="1"/>
      <w:numFmt w:val="bullet"/>
      <w:lvlText w:val=""/>
      <w:lvlJc w:val="left"/>
      <w:pPr>
        <w:ind w:left="360" w:hanging="360"/>
      </w:pPr>
      <w:rPr>
        <w:rFonts w:ascii="Symbol" w:hAnsi="Symbol" w:hint="default"/>
      </w:rPr>
    </w:lvl>
    <w:lvl w:ilvl="1" w:tplc="E962EFBA" w:tentative="1">
      <w:start w:val="1"/>
      <w:numFmt w:val="bullet"/>
      <w:lvlText w:val="o"/>
      <w:lvlJc w:val="left"/>
      <w:pPr>
        <w:ind w:left="1080" w:hanging="360"/>
      </w:pPr>
      <w:rPr>
        <w:rFonts w:ascii="Courier New" w:hAnsi="Courier New" w:cs="Courier New" w:hint="default"/>
      </w:rPr>
    </w:lvl>
    <w:lvl w:ilvl="2" w:tplc="31E453EC" w:tentative="1">
      <w:start w:val="1"/>
      <w:numFmt w:val="bullet"/>
      <w:lvlText w:val=""/>
      <w:lvlJc w:val="left"/>
      <w:pPr>
        <w:ind w:left="1800" w:hanging="360"/>
      </w:pPr>
      <w:rPr>
        <w:rFonts w:ascii="Wingdings" w:hAnsi="Wingdings" w:hint="default"/>
      </w:rPr>
    </w:lvl>
    <w:lvl w:ilvl="3" w:tplc="1938FA30" w:tentative="1">
      <w:start w:val="1"/>
      <w:numFmt w:val="bullet"/>
      <w:lvlText w:val=""/>
      <w:lvlJc w:val="left"/>
      <w:pPr>
        <w:ind w:left="2520" w:hanging="360"/>
      </w:pPr>
      <w:rPr>
        <w:rFonts w:ascii="Symbol" w:hAnsi="Symbol" w:hint="default"/>
      </w:rPr>
    </w:lvl>
    <w:lvl w:ilvl="4" w:tplc="C428E700" w:tentative="1">
      <w:start w:val="1"/>
      <w:numFmt w:val="bullet"/>
      <w:lvlText w:val="o"/>
      <w:lvlJc w:val="left"/>
      <w:pPr>
        <w:ind w:left="3240" w:hanging="360"/>
      </w:pPr>
      <w:rPr>
        <w:rFonts w:ascii="Courier New" w:hAnsi="Courier New" w:cs="Courier New" w:hint="default"/>
      </w:rPr>
    </w:lvl>
    <w:lvl w:ilvl="5" w:tplc="ABF8CD08" w:tentative="1">
      <w:start w:val="1"/>
      <w:numFmt w:val="bullet"/>
      <w:lvlText w:val=""/>
      <w:lvlJc w:val="left"/>
      <w:pPr>
        <w:ind w:left="3960" w:hanging="360"/>
      </w:pPr>
      <w:rPr>
        <w:rFonts w:ascii="Wingdings" w:hAnsi="Wingdings" w:hint="default"/>
      </w:rPr>
    </w:lvl>
    <w:lvl w:ilvl="6" w:tplc="4EF43558" w:tentative="1">
      <w:start w:val="1"/>
      <w:numFmt w:val="bullet"/>
      <w:lvlText w:val=""/>
      <w:lvlJc w:val="left"/>
      <w:pPr>
        <w:ind w:left="4680" w:hanging="360"/>
      </w:pPr>
      <w:rPr>
        <w:rFonts w:ascii="Symbol" w:hAnsi="Symbol" w:hint="default"/>
      </w:rPr>
    </w:lvl>
    <w:lvl w:ilvl="7" w:tplc="EE62E992" w:tentative="1">
      <w:start w:val="1"/>
      <w:numFmt w:val="bullet"/>
      <w:lvlText w:val="o"/>
      <w:lvlJc w:val="left"/>
      <w:pPr>
        <w:ind w:left="5400" w:hanging="360"/>
      </w:pPr>
      <w:rPr>
        <w:rFonts w:ascii="Courier New" w:hAnsi="Courier New" w:cs="Courier New" w:hint="default"/>
      </w:rPr>
    </w:lvl>
    <w:lvl w:ilvl="8" w:tplc="153888F2" w:tentative="1">
      <w:start w:val="1"/>
      <w:numFmt w:val="bullet"/>
      <w:lvlText w:val=""/>
      <w:lvlJc w:val="left"/>
      <w:pPr>
        <w:ind w:left="6120" w:hanging="360"/>
      </w:pPr>
      <w:rPr>
        <w:rFonts w:ascii="Wingdings" w:hAnsi="Wingdings" w:hint="default"/>
      </w:rPr>
    </w:lvl>
  </w:abstractNum>
  <w:abstractNum w:abstractNumId="16">
    <w:nsid w:val="5DD804C5"/>
    <w:multiLevelType w:val="hybridMultilevel"/>
    <w:tmpl w:val="3FF4C44C"/>
    <w:lvl w:ilvl="0" w:tplc="1BD622E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086272"/>
    <w:multiLevelType w:val="hybridMultilevel"/>
    <w:tmpl w:val="0CD6AE00"/>
    <w:lvl w:ilvl="0" w:tplc="FFE485D2">
      <w:start w:val="1"/>
      <w:numFmt w:val="arabicAbjad"/>
      <w:lvlText w:val="(%1)"/>
      <w:lvlJc w:val="left"/>
      <w:pPr>
        <w:ind w:left="1734" w:hanging="360"/>
      </w:pPr>
      <w:rPr>
        <w:rFonts w:hint="default"/>
      </w:rPr>
    </w:lvl>
    <w:lvl w:ilvl="1" w:tplc="04090019">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0"/>
  </w:num>
  <w:num w:numId="3">
    <w:abstractNumId w:val="17"/>
  </w:num>
  <w:num w:numId="4">
    <w:abstractNumId w:val="5"/>
  </w:num>
  <w:num w:numId="5">
    <w:abstractNumId w:val="0"/>
  </w:num>
  <w:num w:numId="6">
    <w:abstractNumId w:val="9"/>
  </w:num>
  <w:num w:numId="7">
    <w:abstractNumId w:val="4"/>
  </w:num>
  <w:num w:numId="8">
    <w:abstractNumId w:val="15"/>
  </w:num>
  <w:num w:numId="9">
    <w:abstractNumId w:val="10"/>
    <w:lvlOverride w:ilvl="0">
      <w:startOverride w:val="1"/>
    </w:lvlOverride>
  </w:num>
  <w:num w:numId="10">
    <w:abstractNumId w:val="14"/>
  </w:num>
  <w:num w:numId="11">
    <w:abstractNumId w:val="8"/>
  </w:num>
  <w:num w:numId="12">
    <w:abstractNumId w:val="13"/>
  </w:num>
  <w:num w:numId="13">
    <w:abstractNumId w:val="6"/>
  </w:num>
  <w:num w:numId="14">
    <w:abstractNumId w:val="2"/>
  </w:num>
  <w:num w:numId="15">
    <w:abstractNumId w:val="11"/>
  </w:num>
  <w:num w:numId="16">
    <w:abstractNumId w:val="3"/>
  </w:num>
  <w:num w:numId="17">
    <w:abstractNumId w:val="12"/>
  </w:num>
  <w:num w:numId="18">
    <w:abstractNumId w:val="1"/>
  </w:num>
  <w:num w:numId="19">
    <w:abstractNumId w:val="7"/>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A5"/>
    <w:rsid w:val="00000513"/>
    <w:rsid w:val="00000D17"/>
    <w:rsid w:val="00002345"/>
    <w:rsid w:val="00002CBE"/>
    <w:rsid w:val="00003232"/>
    <w:rsid w:val="000033DA"/>
    <w:rsid w:val="000034B6"/>
    <w:rsid w:val="000053B4"/>
    <w:rsid w:val="0000579F"/>
    <w:rsid w:val="00007187"/>
    <w:rsid w:val="000074D1"/>
    <w:rsid w:val="000076BD"/>
    <w:rsid w:val="00010481"/>
    <w:rsid w:val="00010671"/>
    <w:rsid w:val="00010F60"/>
    <w:rsid w:val="000114E2"/>
    <w:rsid w:val="00013308"/>
    <w:rsid w:val="00013347"/>
    <w:rsid w:val="00013952"/>
    <w:rsid w:val="00013D73"/>
    <w:rsid w:val="000142E1"/>
    <w:rsid w:val="000146BD"/>
    <w:rsid w:val="00014B68"/>
    <w:rsid w:val="0001645D"/>
    <w:rsid w:val="00017A43"/>
    <w:rsid w:val="00020B4A"/>
    <w:rsid w:val="0002157B"/>
    <w:rsid w:val="00023101"/>
    <w:rsid w:val="0002407C"/>
    <w:rsid w:val="0002476F"/>
    <w:rsid w:val="00024D2F"/>
    <w:rsid w:val="00024E17"/>
    <w:rsid w:val="000258DB"/>
    <w:rsid w:val="000259E5"/>
    <w:rsid w:val="00031B2C"/>
    <w:rsid w:val="00033D2C"/>
    <w:rsid w:val="00035CE8"/>
    <w:rsid w:val="00036041"/>
    <w:rsid w:val="00036D78"/>
    <w:rsid w:val="00040637"/>
    <w:rsid w:val="00040688"/>
    <w:rsid w:val="0004070F"/>
    <w:rsid w:val="0004115B"/>
    <w:rsid w:val="00042F2D"/>
    <w:rsid w:val="000432B2"/>
    <w:rsid w:val="000432CF"/>
    <w:rsid w:val="000438A8"/>
    <w:rsid w:val="00044AC0"/>
    <w:rsid w:val="00045B2A"/>
    <w:rsid w:val="00045B68"/>
    <w:rsid w:val="00045E69"/>
    <w:rsid w:val="00046EDC"/>
    <w:rsid w:val="00047497"/>
    <w:rsid w:val="000500C9"/>
    <w:rsid w:val="0005014C"/>
    <w:rsid w:val="000508E2"/>
    <w:rsid w:val="00050A69"/>
    <w:rsid w:val="00050C55"/>
    <w:rsid w:val="00050F28"/>
    <w:rsid w:val="00051949"/>
    <w:rsid w:val="00053836"/>
    <w:rsid w:val="00054659"/>
    <w:rsid w:val="00055F6D"/>
    <w:rsid w:val="00055FA2"/>
    <w:rsid w:val="00057195"/>
    <w:rsid w:val="000571DD"/>
    <w:rsid w:val="00061FF5"/>
    <w:rsid w:val="00062502"/>
    <w:rsid w:val="00062B23"/>
    <w:rsid w:val="00063C91"/>
    <w:rsid w:val="000640E7"/>
    <w:rsid w:val="00065C4B"/>
    <w:rsid w:val="00066DC7"/>
    <w:rsid w:val="0006794A"/>
    <w:rsid w:val="00067F31"/>
    <w:rsid w:val="00071138"/>
    <w:rsid w:val="00071220"/>
    <w:rsid w:val="000717BF"/>
    <w:rsid w:val="00071B8F"/>
    <w:rsid w:val="00073402"/>
    <w:rsid w:val="000742FD"/>
    <w:rsid w:val="00075745"/>
    <w:rsid w:val="00075A04"/>
    <w:rsid w:val="00075D39"/>
    <w:rsid w:val="000760C3"/>
    <w:rsid w:val="000763A4"/>
    <w:rsid w:val="00076901"/>
    <w:rsid w:val="0008237C"/>
    <w:rsid w:val="000833C3"/>
    <w:rsid w:val="000837FE"/>
    <w:rsid w:val="0008421F"/>
    <w:rsid w:val="0008451C"/>
    <w:rsid w:val="00085041"/>
    <w:rsid w:val="00085A0B"/>
    <w:rsid w:val="00085AB3"/>
    <w:rsid w:val="000863B7"/>
    <w:rsid w:val="00087DB6"/>
    <w:rsid w:val="00087DD5"/>
    <w:rsid w:val="00090139"/>
    <w:rsid w:val="0009024C"/>
    <w:rsid w:val="00090ADD"/>
    <w:rsid w:val="000913C0"/>
    <w:rsid w:val="00091F52"/>
    <w:rsid w:val="00092302"/>
    <w:rsid w:val="00092982"/>
    <w:rsid w:val="00092DD6"/>
    <w:rsid w:val="00094C85"/>
    <w:rsid w:val="00094D7E"/>
    <w:rsid w:val="0009517B"/>
    <w:rsid w:val="00095AE2"/>
    <w:rsid w:val="00095E98"/>
    <w:rsid w:val="000962DF"/>
    <w:rsid w:val="0009661E"/>
    <w:rsid w:val="00096C31"/>
    <w:rsid w:val="000A12BC"/>
    <w:rsid w:val="000A1306"/>
    <w:rsid w:val="000A1521"/>
    <w:rsid w:val="000A2FC1"/>
    <w:rsid w:val="000A3A57"/>
    <w:rsid w:val="000A5408"/>
    <w:rsid w:val="000A6510"/>
    <w:rsid w:val="000A79BA"/>
    <w:rsid w:val="000B0BB4"/>
    <w:rsid w:val="000B1045"/>
    <w:rsid w:val="000B1BAE"/>
    <w:rsid w:val="000B24C2"/>
    <w:rsid w:val="000B29B3"/>
    <w:rsid w:val="000B3530"/>
    <w:rsid w:val="000B35B0"/>
    <w:rsid w:val="000B3889"/>
    <w:rsid w:val="000B3942"/>
    <w:rsid w:val="000B3B3B"/>
    <w:rsid w:val="000B42E7"/>
    <w:rsid w:val="000B70B7"/>
    <w:rsid w:val="000B73E6"/>
    <w:rsid w:val="000B7759"/>
    <w:rsid w:val="000C0F0C"/>
    <w:rsid w:val="000C111E"/>
    <w:rsid w:val="000C1E3C"/>
    <w:rsid w:val="000C1FB4"/>
    <w:rsid w:val="000C2A3E"/>
    <w:rsid w:val="000C2CE8"/>
    <w:rsid w:val="000C335E"/>
    <w:rsid w:val="000C4651"/>
    <w:rsid w:val="000C46EC"/>
    <w:rsid w:val="000C484D"/>
    <w:rsid w:val="000C4E09"/>
    <w:rsid w:val="000C523D"/>
    <w:rsid w:val="000C52A5"/>
    <w:rsid w:val="000C563F"/>
    <w:rsid w:val="000C5DF9"/>
    <w:rsid w:val="000C5F21"/>
    <w:rsid w:val="000C662C"/>
    <w:rsid w:val="000C733A"/>
    <w:rsid w:val="000C76B0"/>
    <w:rsid w:val="000D0C07"/>
    <w:rsid w:val="000D0C7C"/>
    <w:rsid w:val="000D0DDA"/>
    <w:rsid w:val="000D1A1D"/>
    <w:rsid w:val="000D4102"/>
    <w:rsid w:val="000D489C"/>
    <w:rsid w:val="000D5FB7"/>
    <w:rsid w:val="000D7612"/>
    <w:rsid w:val="000E06A5"/>
    <w:rsid w:val="000E099B"/>
    <w:rsid w:val="000E16EB"/>
    <w:rsid w:val="000E591F"/>
    <w:rsid w:val="000E5A23"/>
    <w:rsid w:val="000E6045"/>
    <w:rsid w:val="000E7872"/>
    <w:rsid w:val="000F040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1EE"/>
    <w:rsid w:val="001042E0"/>
    <w:rsid w:val="00104C51"/>
    <w:rsid w:val="0010597B"/>
    <w:rsid w:val="00110107"/>
    <w:rsid w:val="00110531"/>
    <w:rsid w:val="00110794"/>
    <w:rsid w:val="00111A0E"/>
    <w:rsid w:val="00112524"/>
    <w:rsid w:val="00112AC8"/>
    <w:rsid w:val="00113769"/>
    <w:rsid w:val="00114141"/>
    <w:rsid w:val="00114827"/>
    <w:rsid w:val="00115266"/>
    <w:rsid w:val="001154FB"/>
    <w:rsid w:val="00115B51"/>
    <w:rsid w:val="001171EF"/>
    <w:rsid w:val="001173C5"/>
    <w:rsid w:val="001175C0"/>
    <w:rsid w:val="00121092"/>
    <w:rsid w:val="00121AA0"/>
    <w:rsid w:val="00121FE6"/>
    <w:rsid w:val="00123F16"/>
    <w:rsid w:val="0012405D"/>
    <w:rsid w:val="001252B1"/>
    <w:rsid w:val="00126574"/>
    <w:rsid w:val="00126897"/>
    <w:rsid w:val="0012696D"/>
    <w:rsid w:val="00130FC9"/>
    <w:rsid w:val="001310EE"/>
    <w:rsid w:val="0013191A"/>
    <w:rsid w:val="00131E8F"/>
    <w:rsid w:val="0013337D"/>
    <w:rsid w:val="00135C24"/>
    <w:rsid w:val="00136389"/>
    <w:rsid w:val="00136A1A"/>
    <w:rsid w:val="00136A96"/>
    <w:rsid w:val="001376B6"/>
    <w:rsid w:val="00140A35"/>
    <w:rsid w:val="00142F4D"/>
    <w:rsid w:val="00143428"/>
    <w:rsid w:val="0014412C"/>
    <w:rsid w:val="00144713"/>
    <w:rsid w:val="00144CC3"/>
    <w:rsid w:val="00145406"/>
    <w:rsid w:val="00145FD6"/>
    <w:rsid w:val="001462B1"/>
    <w:rsid w:val="0015009D"/>
    <w:rsid w:val="00150EA8"/>
    <w:rsid w:val="00151493"/>
    <w:rsid w:val="001519FB"/>
    <w:rsid w:val="00151B18"/>
    <w:rsid w:val="00151BF2"/>
    <w:rsid w:val="00151C68"/>
    <w:rsid w:val="001520DD"/>
    <w:rsid w:val="00152374"/>
    <w:rsid w:val="00153A62"/>
    <w:rsid w:val="00153CD7"/>
    <w:rsid w:val="00154023"/>
    <w:rsid w:val="001545B3"/>
    <w:rsid w:val="001550DF"/>
    <w:rsid w:val="00155CEA"/>
    <w:rsid w:val="00156153"/>
    <w:rsid w:val="001563D9"/>
    <w:rsid w:val="00156428"/>
    <w:rsid w:val="001568F4"/>
    <w:rsid w:val="001572CE"/>
    <w:rsid w:val="0016020F"/>
    <w:rsid w:val="001603F7"/>
    <w:rsid w:val="00160C95"/>
    <w:rsid w:val="00162777"/>
    <w:rsid w:val="0016337E"/>
    <w:rsid w:val="00164306"/>
    <w:rsid w:val="00164691"/>
    <w:rsid w:val="00164BD2"/>
    <w:rsid w:val="00165AC3"/>
    <w:rsid w:val="001665F3"/>
    <w:rsid w:val="001667B6"/>
    <w:rsid w:val="001668D4"/>
    <w:rsid w:val="00166A09"/>
    <w:rsid w:val="00167809"/>
    <w:rsid w:val="00167F30"/>
    <w:rsid w:val="00171844"/>
    <w:rsid w:val="001725A4"/>
    <w:rsid w:val="0017385A"/>
    <w:rsid w:val="00175448"/>
    <w:rsid w:val="001757AF"/>
    <w:rsid w:val="00175825"/>
    <w:rsid w:val="00175FC5"/>
    <w:rsid w:val="0017666F"/>
    <w:rsid w:val="001768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170"/>
    <w:rsid w:val="00193E09"/>
    <w:rsid w:val="0019454F"/>
    <w:rsid w:val="00194719"/>
    <w:rsid w:val="00194774"/>
    <w:rsid w:val="00195CE0"/>
    <w:rsid w:val="001A098F"/>
    <w:rsid w:val="001A10CB"/>
    <w:rsid w:val="001A110B"/>
    <w:rsid w:val="001A149A"/>
    <w:rsid w:val="001A2AB7"/>
    <w:rsid w:val="001A4A9C"/>
    <w:rsid w:val="001A6B88"/>
    <w:rsid w:val="001A6C33"/>
    <w:rsid w:val="001A6E68"/>
    <w:rsid w:val="001A7465"/>
    <w:rsid w:val="001B1595"/>
    <w:rsid w:val="001B3131"/>
    <w:rsid w:val="001B4B2F"/>
    <w:rsid w:val="001B4E64"/>
    <w:rsid w:val="001B7C00"/>
    <w:rsid w:val="001C09D2"/>
    <w:rsid w:val="001C1620"/>
    <w:rsid w:val="001C18B2"/>
    <w:rsid w:val="001C1994"/>
    <w:rsid w:val="001C2933"/>
    <w:rsid w:val="001C2F30"/>
    <w:rsid w:val="001C5EEE"/>
    <w:rsid w:val="001C6A73"/>
    <w:rsid w:val="001C73C2"/>
    <w:rsid w:val="001D0474"/>
    <w:rsid w:val="001D141D"/>
    <w:rsid w:val="001D1EBD"/>
    <w:rsid w:val="001D1FE4"/>
    <w:rsid w:val="001D2184"/>
    <w:rsid w:val="001D24F3"/>
    <w:rsid w:val="001D2678"/>
    <w:rsid w:val="001D2804"/>
    <w:rsid w:val="001D2DC4"/>
    <w:rsid w:val="001D557C"/>
    <w:rsid w:val="001D55B8"/>
    <w:rsid w:val="001D6A48"/>
    <w:rsid w:val="001E1043"/>
    <w:rsid w:val="001E10E1"/>
    <w:rsid w:val="001E175F"/>
    <w:rsid w:val="001E19F7"/>
    <w:rsid w:val="001E2669"/>
    <w:rsid w:val="001E3FB9"/>
    <w:rsid w:val="001E4083"/>
    <w:rsid w:val="001E5588"/>
    <w:rsid w:val="001E56CB"/>
    <w:rsid w:val="001E56FC"/>
    <w:rsid w:val="001E582D"/>
    <w:rsid w:val="001E62B9"/>
    <w:rsid w:val="001E6318"/>
    <w:rsid w:val="001F0AD5"/>
    <w:rsid w:val="001F0C0A"/>
    <w:rsid w:val="001F1509"/>
    <w:rsid w:val="001F18E7"/>
    <w:rsid w:val="001F191C"/>
    <w:rsid w:val="001F3A75"/>
    <w:rsid w:val="001F3A9D"/>
    <w:rsid w:val="001F3FDB"/>
    <w:rsid w:val="001F6545"/>
    <w:rsid w:val="001F66B5"/>
    <w:rsid w:val="001F6F36"/>
    <w:rsid w:val="001F76FD"/>
    <w:rsid w:val="002004C0"/>
    <w:rsid w:val="002012F2"/>
    <w:rsid w:val="002014D7"/>
    <w:rsid w:val="0020206E"/>
    <w:rsid w:val="00202F07"/>
    <w:rsid w:val="00203030"/>
    <w:rsid w:val="002033AA"/>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2A10"/>
    <w:rsid w:val="0022360A"/>
    <w:rsid w:val="00226204"/>
    <w:rsid w:val="00226B82"/>
    <w:rsid w:val="00227103"/>
    <w:rsid w:val="00230249"/>
    <w:rsid w:val="00230D5F"/>
    <w:rsid w:val="00231BE3"/>
    <w:rsid w:val="00232C51"/>
    <w:rsid w:val="00233414"/>
    <w:rsid w:val="00233832"/>
    <w:rsid w:val="00233D69"/>
    <w:rsid w:val="00234587"/>
    <w:rsid w:val="00234E82"/>
    <w:rsid w:val="00235C9D"/>
    <w:rsid w:val="002412D4"/>
    <w:rsid w:val="00241E63"/>
    <w:rsid w:val="00241FA8"/>
    <w:rsid w:val="0024220D"/>
    <w:rsid w:val="00242BD3"/>
    <w:rsid w:val="00242C02"/>
    <w:rsid w:val="00243155"/>
    <w:rsid w:val="002440FC"/>
    <w:rsid w:val="00246E87"/>
    <w:rsid w:val="00247783"/>
    <w:rsid w:val="0025172C"/>
    <w:rsid w:val="00252CF8"/>
    <w:rsid w:val="00252E2E"/>
    <w:rsid w:val="00253210"/>
    <w:rsid w:val="0025353E"/>
    <w:rsid w:val="00253DE1"/>
    <w:rsid w:val="0025425F"/>
    <w:rsid w:val="00254468"/>
    <w:rsid w:val="00254DE4"/>
    <w:rsid w:val="002559DA"/>
    <w:rsid w:val="00256955"/>
    <w:rsid w:val="00257782"/>
    <w:rsid w:val="0026071A"/>
    <w:rsid w:val="00261B27"/>
    <w:rsid w:val="00262B5A"/>
    <w:rsid w:val="002636B1"/>
    <w:rsid w:val="0026520E"/>
    <w:rsid w:val="00266486"/>
    <w:rsid w:val="00266B0A"/>
    <w:rsid w:val="00266C61"/>
    <w:rsid w:val="00266EA3"/>
    <w:rsid w:val="0026749A"/>
    <w:rsid w:val="002704F8"/>
    <w:rsid w:val="00270E72"/>
    <w:rsid w:val="0027167E"/>
    <w:rsid w:val="00271F24"/>
    <w:rsid w:val="00272503"/>
    <w:rsid w:val="00272F3A"/>
    <w:rsid w:val="002736FD"/>
    <w:rsid w:val="00273941"/>
    <w:rsid w:val="00273D91"/>
    <w:rsid w:val="002743E2"/>
    <w:rsid w:val="00274410"/>
    <w:rsid w:val="0027447E"/>
    <w:rsid w:val="00274F41"/>
    <w:rsid w:val="0027520A"/>
    <w:rsid w:val="00275419"/>
    <w:rsid w:val="0027564F"/>
    <w:rsid w:val="00275A2D"/>
    <w:rsid w:val="0027637C"/>
    <w:rsid w:val="0027655E"/>
    <w:rsid w:val="002772A5"/>
    <w:rsid w:val="002806F8"/>
    <w:rsid w:val="002810B5"/>
    <w:rsid w:val="00281F4F"/>
    <w:rsid w:val="00283D37"/>
    <w:rsid w:val="00286744"/>
    <w:rsid w:val="00290707"/>
    <w:rsid w:val="002909B9"/>
    <w:rsid w:val="00292466"/>
    <w:rsid w:val="00292CEE"/>
    <w:rsid w:val="00292D22"/>
    <w:rsid w:val="0029470D"/>
    <w:rsid w:val="00295BBE"/>
    <w:rsid w:val="00297B80"/>
    <w:rsid w:val="002A04A8"/>
    <w:rsid w:val="002A076C"/>
    <w:rsid w:val="002A0A2A"/>
    <w:rsid w:val="002A1059"/>
    <w:rsid w:val="002A1835"/>
    <w:rsid w:val="002A3C9D"/>
    <w:rsid w:val="002A5403"/>
    <w:rsid w:val="002A6936"/>
    <w:rsid w:val="002A6C9F"/>
    <w:rsid w:val="002A77F3"/>
    <w:rsid w:val="002B14F0"/>
    <w:rsid w:val="002B1F0F"/>
    <w:rsid w:val="002B28F0"/>
    <w:rsid w:val="002B3BF6"/>
    <w:rsid w:val="002B53D3"/>
    <w:rsid w:val="002B6202"/>
    <w:rsid w:val="002B7616"/>
    <w:rsid w:val="002C014C"/>
    <w:rsid w:val="002C060C"/>
    <w:rsid w:val="002C0BA6"/>
    <w:rsid w:val="002C12A7"/>
    <w:rsid w:val="002C2B6F"/>
    <w:rsid w:val="002C314F"/>
    <w:rsid w:val="002C4AD1"/>
    <w:rsid w:val="002C71B6"/>
    <w:rsid w:val="002C7D29"/>
    <w:rsid w:val="002D0298"/>
    <w:rsid w:val="002D1662"/>
    <w:rsid w:val="002D1DE5"/>
    <w:rsid w:val="002D3506"/>
    <w:rsid w:val="002D3670"/>
    <w:rsid w:val="002D3AB6"/>
    <w:rsid w:val="002D4807"/>
    <w:rsid w:val="002D5DDC"/>
    <w:rsid w:val="002D5F16"/>
    <w:rsid w:val="002D62F1"/>
    <w:rsid w:val="002D6716"/>
    <w:rsid w:val="002D6FD8"/>
    <w:rsid w:val="002D727B"/>
    <w:rsid w:val="002D7EAD"/>
    <w:rsid w:val="002E1169"/>
    <w:rsid w:val="002E1218"/>
    <w:rsid w:val="002E28F3"/>
    <w:rsid w:val="002E42A3"/>
    <w:rsid w:val="002E6CD5"/>
    <w:rsid w:val="002E7615"/>
    <w:rsid w:val="002E7A2A"/>
    <w:rsid w:val="002E7F16"/>
    <w:rsid w:val="002F1425"/>
    <w:rsid w:val="002F2EC8"/>
    <w:rsid w:val="002F4CE2"/>
    <w:rsid w:val="002F5F6A"/>
    <w:rsid w:val="002F60A4"/>
    <w:rsid w:val="002F6386"/>
    <w:rsid w:val="002F6B0C"/>
    <w:rsid w:val="002F77FC"/>
    <w:rsid w:val="003004A6"/>
    <w:rsid w:val="00300CB1"/>
    <w:rsid w:val="0030129C"/>
    <w:rsid w:val="003013E2"/>
    <w:rsid w:val="003017AD"/>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630"/>
    <w:rsid w:val="00335CA6"/>
    <w:rsid w:val="003365F0"/>
    <w:rsid w:val="00336C50"/>
    <w:rsid w:val="00337388"/>
    <w:rsid w:val="0034007D"/>
    <w:rsid w:val="0034104C"/>
    <w:rsid w:val="003433E5"/>
    <w:rsid w:val="00344082"/>
    <w:rsid w:val="0034582C"/>
    <w:rsid w:val="00345916"/>
    <w:rsid w:val="00345CAC"/>
    <w:rsid w:val="0034789E"/>
    <w:rsid w:val="003501DA"/>
    <w:rsid w:val="003503E2"/>
    <w:rsid w:val="00351DC1"/>
    <w:rsid w:val="003534EE"/>
    <w:rsid w:val="0035502D"/>
    <w:rsid w:val="00355580"/>
    <w:rsid w:val="00356F88"/>
    <w:rsid w:val="003576D8"/>
    <w:rsid w:val="003600A2"/>
    <w:rsid w:val="003612D8"/>
    <w:rsid w:val="003637B6"/>
    <w:rsid w:val="00363F89"/>
    <w:rsid w:val="00363FB0"/>
    <w:rsid w:val="003646D6"/>
    <w:rsid w:val="00364FC6"/>
    <w:rsid w:val="0036541D"/>
    <w:rsid w:val="003664CA"/>
    <w:rsid w:val="00370504"/>
    <w:rsid w:val="00371814"/>
    <w:rsid w:val="0037263F"/>
    <w:rsid w:val="00372BAE"/>
    <w:rsid w:val="00372EE9"/>
    <w:rsid w:val="00373F07"/>
    <w:rsid w:val="00374A60"/>
    <w:rsid w:val="00375181"/>
    <w:rsid w:val="003764C0"/>
    <w:rsid w:val="003767A4"/>
    <w:rsid w:val="003774F6"/>
    <w:rsid w:val="00380CAF"/>
    <w:rsid w:val="003818B3"/>
    <w:rsid w:val="0038356A"/>
    <w:rsid w:val="0038382F"/>
    <w:rsid w:val="0038443F"/>
    <w:rsid w:val="00385427"/>
    <w:rsid w:val="00385766"/>
    <w:rsid w:val="00385886"/>
    <w:rsid w:val="003864D9"/>
    <w:rsid w:val="00387542"/>
    <w:rsid w:val="00387C6B"/>
    <w:rsid w:val="00390FC0"/>
    <w:rsid w:val="003911B2"/>
    <w:rsid w:val="00391423"/>
    <w:rsid w:val="00391AFE"/>
    <w:rsid w:val="00392705"/>
    <w:rsid w:val="00393A79"/>
    <w:rsid w:val="00393C32"/>
    <w:rsid w:val="0039419C"/>
    <w:rsid w:val="00395987"/>
    <w:rsid w:val="00395C1C"/>
    <w:rsid w:val="00396375"/>
    <w:rsid w:val="00396801"/>
    <w:rsid w:val="00396E82"/>
    <w:rsid w:val="00397BF3"/>
    <w:rsid w:val="003A07FF"/>
    <w:rsid w:val="003A146E"/>
    <w:rsid w:val="003A26CD"/>
    <w:rsid w:val="003A2FDD"/>
    <w:rsid w:val="003A37F7"/>
    <w:rsid w:val="003A401E"/>
    <w:rsid w:val="003A416E"/>
    <w:rsid w:val="003A54E9"/>
    <w:rsid w:val="003A5E7C"/>
    <w:rsid w:val="003A669B"/>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08B1"/>
    <w:rsid w:val="003D1130"/>
    <w:rsid w:val="003D37D4"/>
    <w:rsid w:val="003D47A7"/>
    <w:rsid w:val="003D56B5"/>
    <w:rsid w:val="003D5DCC"/>
    <w:rsid w:val="003D6A63"/>
    <w:rsid w:val="003D6B84"/>
    <w:rsid w:val="003E1A49"/>
    <w:rsid w:val="003E2D01"/>
    <w:rsid w:val="003E2F9A"/>
    <w:rsid w:val="003E330E"/>
    <w:rsid w:val="003E3AE3"/>
    <w:rsid w:val="003E3C8F"/>
    <w:rsid w:val="003E47C9"/>
    <w:rsid w:val="003E5733"/>
    <w:rsid w:val="003E5E27"/>
    <w:rsid w:val="003E6FD2"/>
    <w:rsid w:val="003E788F"/>
    <w:rsid w:val="003E7A97"/>
    <w:rsid w:val="003E7D3A"/>
    <w:rsid w:val="003F0950"/>
    <w:rsid w:val="003F09C9"/>
    <w:rsid w:val="003F4C37"/>
    <w:rsid w:val="003F67AE"/>
    <w:rsid w:val="003F6BBB"/>
    <w:rsid w:val="003F719F"/>
    <w:rsid w:val="00400082"/>
    <w:rsid w:val="0040033D"/>
    <w:rsid w:val="004007E1"/>
    <w:rsid w:val="00400B1F"/>
    <w:rsid w:val="0040124A"/>
    <w:rsid w:val="004032D2"/>
    <w:rsid w:val="00403C4F"/>
    <w:rsid w:val="004058B4"/>
    <w:rsid w:val="00405C45"/>
    <w:rsid w:val="00405F71"/>
    <w:rsid w:val="004062EF"/>
    <w:rsid w:val="004062F0"/>
    <w:rsid w:val="00406CB5"/>
    <w:rsid w:val="00407A19"/>
    <w:rsid w:val="00410B8F"/>
    <w:rsid w:val="0041190D"/>
    <w:rsid w:val="00412057"/>
    <w:rsid w:val="004126C1"/>
    <w:rsid w:val="00413BA5"/>
    <w:rsid w:val="00414FD0"/>
    <w:rsid w:val="00415B35"/>
    <w:rsid w:val="00417294"/>
    <w:rsid w:val="00417E93"/>
    <w:rsid w:val="0042075B"/>
    <w:rsid w:val="00422A2A"/>
    <w:rsid w:val="00423B37"/>
    <w:rsid w:val="00424BB4"/>
    <w:rsid w:val="004253D2"/>
    <w:rsid w:val="004258CD"/>
    <w:rsid w:val="00425FC6"/>
    <w:rsid w:val="004261D2"/>
    <w:rsid w:val="004303D1"/>
    <w:rsid w:val="00431540"/>
    <w:rsid w:val="00433C0A"/>
    <w:rsid w:val="004349FA"/>
    <w:rsid w:val="00435129"/>
    <w:rsid w:val="00440014"/>
    <w:rsid w:val="004406BD"/>
    <w:rsid w:val="00441205"/>
    <w:rsid w:val="00442692"/>
    <w:rsid w:val="004426C7"/>
    <w:rsid w:val="00442FBE"/>
    <w:rsid w:val="004433B1"/>
    <w:rsid w:val="00443571"/>
    <w:rsid w:val="004444E3"/>
    <w:rsid w:val="004447FD"/>
    <w:rsid w:val="00445032"/>
    <w:rsid w:val="004450CB"/>
    <w:rsid w:val="00446967"/>
    <w:rsid w:val="00446AB6"/>
    <w:rsid w:val="00446D97"/>
    <w:rsid w:val="00450EEE"/>
    <w:rsid w:val="004512B2"/>
    <w:rsid w:val="004528EE"/>
    <w:rsid w:val="00453360"/>
    <w:rsid w:val="00456409"/>
    <w:rsid w:val="004569C6"/>
    <w:rsid w:val="00456ADC"/>
    <w:rsid w:val="00457496"/>
    <w:rsid w:val="0045768F"/>
    <w:rsid w:val="00457769"/>
    <w:rsid w:val="004627AE"/>
    <w:rsid w:val="0046298E"/>
    <w:rsid w:val="004647BB"/>
    <w:rsid w:val="0046482B"/>
    <w:rsid w:val="004648E0"/>
    <w:rsid w:val="00472043"/>
    <w:rsid w:val="00472F56"/>
    <w:rsid w:val="0047335E"/>
    <w:rsid w:val="00473CA1"/>
    <w:rsid w:val="0047572C"/>
    <w:rsid w:val="00476407"/>
    <w:rsid w:val="00476A07"/>
    <w:rsid w:val="004773F7"/>
    <w:rsid w:val="00477CD5"/>
    <w:rsid w:val="00481B73"/>
    <w:rsid w:val="00481F5F"/>
    <w:rsid w:val="004821D0"/>
    <w:rsid w:val="00482CB2"/>
    <w:rsid w:val="00483259"/>
    <w:rsid w:val="004839C6"/>
    <w:rsid w:val="00483D06"/>
    <w:rsid w:val="00485A4A"/>
    <w:rsid w:val="00485CF7"/>
    <w:rsid w:val="004862C2"/>
    <w:rsid w:val="004863F7"/>
    <w:rsid w:val="00486FFC"/>
    <w:rsid w:val="00490ED4"/>
    <w:rsid w:val="00491B91"/>
    <w:rsid w:val="00491C21"/>
    <w:rsid w:val="00491C66"/>
    <w:rsid w:val="004920EF"/>
    <w:rsid w:val="004935D6"/>
    <w:rsid w:val="00494195"/>
    <w:rsid w:val="00494498"/>
    <w:rsid w:val="004945FB"/>
    <w:rsid w:val="00497356"/>
    <w:rsid w:val="004A03E9"/>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335"/>
    <w:rsid w:val="004B6C75"/>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68C"/>
    <w:rsid w:val="004E1264"/>
    <w:rsid w:val="004E22FC"/>
    <w:rsid w:val="004E2CBC"/>
    <w:rsid w:val="004E3DD4"/>
    <w:rsid w:val="004E5117"/>
    <w:rsid w:val="004E5C1A"/>
    <w:rsid w:val="004E6C8C"/>
    <w:rsid w:val="004E6CC7"/>
    <w:rsid w:val="004E776F"/>
    <w:rsid w:val="004F111D"/>
    <w:rsid w:val="004F1843"/>
    <w:rsid w:val="004F1EEC"/>
    <w:rsid w:val="004F1F49"/>
    <w:rsid w:val="004F24C8"/>
    <w:rsid w:val="004F30D6"/>
    <w:rsid w:val="004F34A5"/>
    <w:rsid w:val="004F40D6"/>
    <w:rsid w:val="004F5E44"/>
    <w:rsid w:val="004F6925"/>
    <w:rsid w:val="00503AE1"/>
    <w:rsid w:val="00503CA6"/>
    <w:rsid w:val="00503FAE"/>
    <w:rsid w:val="00504DC1"/>
    <w:rsid w:val="00505332"/>
    <w:rsid w:val="00505A57"/>
    <w:rsid w:val="00505D37"/>
    <w:rsid w:val="00507EFC"/>
    <w:rsid w:val="005104E8"/>
    <w:rsid w:val="005107DB"/>
    <w:rsid w:val="00510DB0"/>
    <w:rsid w:val="005119F6"/>
    <w:rsid w:val="00511B7D"/>
    <w:rsid w:val="00511D00"/>
    <w:rsid w:val="00512567"/>
    <w:rsid w:val="005137E7"/>
    <w:rsid w:val="00516256"/>
    <w:rsid w:val="005162CF"/>
    <w:rsid w:val="00517A63"/>
    <w:rsid w:val="00517C8D"/>
    <w:rsid w:val="00517FD1"/>
    <w:rsid w:val="005219E6"/>
    <w:rsid w:val="00521A28"/>
    <w:rsid w:val="00521B4A"/>
    <w:rsid w:val="0052212E"/>
    <w:rsid w:val="00522E91"/>
    <w:rsid w:val="0052302D"/>
    <w:rsid w:val="005236A5"/>
    <w:rsid w:val="005266BD"/>
    <w:rsid w:val="0052772D"/>
    <w:rsid w:val="00530442"/>
    <w:rsid w:val="00534AF0"/>
    <w:rsid w:val="00535060"/>
    <w:rsid w:val="00535738"/>
    <w:rsid w:val="005366DD"/>
    <w:rsid w:val="005409EB"/>
    <w:rsid w:val="00540D4F"/>
    <w:rsid w:val="00540F30"/>
    <w:rsid w:val="0054176F"/>
    <w:rsid w:val="00541DD2"/>
    <w:rsid w:val="00543A63"/>
    <w:rsid w:val="00543AB5"/>
    <w:rsid w:val="005457CF"/>
    <w:rsid w:val="00545976"/>
    <w:rsid w:val="0054660F"/>
    <w:rsid w:val="00547628"/>
    <w:rsid w:val="005533C3"/>
    <w:rsid w:val="005536E6"/>
    <w:rsid w:val="00553AC3"/>
    <w:rsid w:val="00553DBA"/>
    <w:rsid w:val="00554335"/>
    <w:rsid w:val="00554739"/>
    <w:rsid w:val="00555631"/>
    <w:rsid w:val="0055621D"/>
    <w:rsid w:val="00556E8E"/>
    <w:rsid w:val="0055764D"/>
    <w:rsid w:val="00560C6A"/>
    <w:rsid w:val="00560F85"/>
    <w:rsid w:val="005610A0"/>
    <w:rsid w:val="00561EFF"/>
    <w:rsid w:val="0056248F"/>
    <w:rsid w:val="00563CA0"/>
    <w:rsid w:val="00564985"/>
    <w:rsid w:val="00565379"/>
    <w:rsid w:val="005674C3"/>
    <w:rsid w:val="00567990"/>
    <w:rsid w:val="00567C4C"/>
    <w:rsid w:val="00570606"/>
    <w:rsid w:val="00570B8B"/>
    <w:rsid w:val="005728C8"/>
    <w:rsid w:val="005733AD"/>
    <w:rsid w:val="0057381A"/>
    <w:rsid w:val="00573ABD"/>
    <w:rsid w:val="00574B91"/>
    <w:rsid w:val="00574E5C"/>
    <w:rsid w:val="005750F7"/>
    <w:rsid w:val="0057512C"/>
    <w:rsid w:val="00576319"/>
    <w:rsid w:val="0057648C"/>
    <w:rsid w:val="00576AF3"/>
    <w:rsid w:val="0058158E"/>
    <w:rsid w:val="00581FF0"/>
    <w:rsid w:val="005825FC"/>
    <w:rsid w:val="005828F6"/>
    <w:rsid w:val="00583437"/>
    <w:rsid w:val="00583CE0"/>
    <w:rsid w:val="00584B4A"/>
    <w:rsid w:val="00584DCB"/>
    <w:rsid w:val="00585594"/>
    <w:rsid w:val="00585A16"/>
    <w:rsid w:val="00585B98"/>
    <w:rsid w:val="005863D8"/>
    <w:rsid w:val="005865B2"/>
    <w:rsid w:val="00586812"/>
    <w:rsid w:val="00587BC2"/>
    <w:rsid w:val="005914A0"/>
    <w:rsid w:val="005918E4"/>
    <w:rsid w:val="00591C6D"/>
    <w:rsid w:val="00591C71"/>
    <w:rsid w:val="00592392"/>
    <w:rsid w:val="00592484"/>
    <w:rsid w:val="0059283D"/>
    <w:rsid w:val="005928D3"/>
    <w:rsid w:val="00592D5D"/>
    <w:rsid w:val="005955C0"/>
    <w:rsid w:val="005959DE"/>
    <w:rsid w:val="00595B68"/>
    <w:rsid w:val="00595EAA"/>
    <w:rsid w:val="0059672B"/>
    <w:rsid w:val="005A0C60"/>
    <w:rsid w:val="005A15E6"/>
    <w:rsid w:val="005A255F"/>
    <w:rsid w:val="005A25AC"/>
    <w:rsid w:val="005A330E"/>
    <w:rsid w:val="005A5554"/>
    <w:rsid w:val="005A5651"/>
    <w:rsid w:val="005A6AFE"/>
    <w:rsid w:val="005A780C"/>
    <w:rsid w:val="005A7BF3"/>
    <w:rsid w:val="005A7DE0"/>
    <w:rsid w:val="005B0AEF"/>
    <w:rsid w:val="005B1EDB"/>
    <w:rsid w:val="005B37D9"/>
    <w:rsid w:val="005B445B"/>
    <w:rsid w:val="005B474E"/>
    <w:rsid w:val="005B489A"/>
    <w:rsid w:val="005B63A6"/>
    <w:rsid w:val="005B64D1"/>
    <w:rsid w:val="005B6A88"/>
    <w:rsid w:val="005B6B7B"/>
    <w:rsid w:val="005B6E05"/>
    <w:rsid w:val="005B7F42"/>
    <w:rsid w:val="005C1D45"/>
    <w:rsid w:val="005C22EB"/>
    <w:rsid w:val="005C3C9B"/>
    <w:rsid w:val="005C42AB"/>
    <w:rsid w:val="005C45C0"/>
    <w:rsid w:val="005C5335"/>
    <w:rsid w:val="005C5969"/>
    <w:rsid w:val="005C5D7B"/>
    <w:rsid w:val="005C5E29"/>
    <w:rsid w:val="005C611F"/>
    <w:rsid w:val="005C6474"/>
    <w:rsid w:val="005C6A68"/>
    <w:rsid w:val="005C7F45"/>
    <w:rsid w:val="005D0AE3"/>
    <w:rsid w:val="005D1103"/>
    <w:rsid w:val="005D19D0"/>
    <w:rsid w:val="005D276D"/>
    <w:rsid w:val="005D3683"/>
    <w:rsid w:val="005D3EA2"/>
    <w:rsid w:val="005D40F8"/>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00C"/>
    <w:rsid w:val="005F0112"/>
    <w:rsid w:val="005F03E3"/>
    <w:rsid w:val="005F0829"/>
    <w:rsid w:val="005F32BE"/>
    <w:rsid w:val="005F34FB"/>
    <w:rsid w:val="005F39A0"/>
    <w:rsid w:val="005F6B68"/>
    <w:rsid w:val="005F6F2E"/>
    <w:rsid w:val="005F7D85"/>
    <w:rsid w:val="0060092B"/>
    <w:rsid w:val="00601A1F"/>
    <w:rsid w:val="00602655"/>
    <w:rsid w:val="006036D0"/>
    <w:rsid w:val="00603B68"/>
    <w:rsid w:val="00605297"/>
    <w:rsid w:val="00605CB9"/>
    <w:rsid w:val="006065BF"/>
    <w:rsid w:val="00607C00"/>
    <w:rsid w:val="00610430"/>
    <w:rsid w:val="00611858"/>
    <w:rsid w:val="0061422A"/>
    <w:rsid w:val="00614EB1"/>
    <w:rsid w:val="00614F67"/>
    <w:rsid w:val="00615277"/>
    <w:rsid w:val="00615519"/>
    <w:rsid w:val="00615CED"/>
    <w:rsid w:val="00615CFC"/>
    <w:rsid w:val="00616AF5"/>
    <w:rsid w:val="00617A92"/>
    <w:rsid w:val="006203DB"/>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8F2"/>
    <w:rsid w:val="00662EDE"/>
    <w:rsid w:val="00664C9F"/>
    <w:rsid w:val="0066535A"/>
    <w:rsid w:val="00666548"/>
    <w:rsid w:val="00666A71"/>
    <w:rsid w:val="00667537"/>
    <w:rsid w:val="00667F09"/>
    <w:rsid w:val="006700ED"/>
    <w:rsid w:val="00670865"/>
    <w:rsid w:val="00671AED"/>
    <w:rsid w:val="006725B5"/>
    <w:rsid w:val="00673521"/>
    <w:rsid w:val="00673767"/>
    <w:rsid w:val="00673F39"/>
    <w:rsid w:val="006746AC"/>
    <w:rsid w:val="0067571B"/>
    <w:rsid w:val="00675E37"/>
    <w:rsid w:val="0067663E"/>
    <w:rsid w:val="00676EAF"/>
    <w:rsid w:val="00677624"/>
    <w:rsid w:val="00677850"/>
    <w:rsid w:val="00680657"/>
    <w:rsid w:val="00680BD9"/>
    <w:rsid w:val="00680C21"/>
    <w:rsid w:val="00681B4A"/>
    <w:rsid w:val="00681D07"/>
    <w:rsid w:val="00681EDA"/>
    <w:rsid w:val="00682017"/>
    <w:rsid w:val="00682AAD"/>
    <w:rsid w:val="00686530"/>
    <w:rsid w:val="006868CA"/>
    <w:rsid w:val="00686E32"/>
    <w:rsid w:val="0069087A"/>
    <w:rsid w:val="00690B4B"/>
    <w:rsid w:val="00690BE4"/>
    <w:rsid w:val="00691077"/>
    <w:rsid w:val="00691982"/>
    <w:rsid w:val="00691BB0"/>
    <w:rsid w:val="00692777"/>
    <w:rsid w:val="00692BE0"/>
    <w:rsid w:val="00692C98"/>
    <w:rsid w:val="0069324E"/>
    <w:rsid w:val="00694487"/>
    <w:rsid w:val="006944C8"/>
    <w:rsid w:val="00695815"/>
    <w:rsid w:val="0069581B"/>
    <w:rsid w:val="00696601"/>
    <w:rsid w:val="006977FA"/>
    <w:rsid w:val="00697FA8"/>
    <w:rsid w:val="006A06EC"/>
    <w:rsid w:val="006A20FB"/>
    <w:rsid w:val="006A339D"/>
    <w:rsid w:val="006A4462"/>
    <w:rsid w:val="006A5A53"/>
    <w:rsid w:val="006A5B59"/>
    <w:rsid w:val="006A6A14"/>
    <w:rsid w:val="006A753A"/>
    <w:rsid w:val="006A777C"/>
    <w:rsid w:val="006A7C46"/>
    <w:rsid w:val="006B0F76"/>
    <w:rsid w:val="006B1F20"/>
    <w:rsid w:val="006B398A"/>
    <w:rsid w:val="006B3E04"/>
    <w:rsid w:val="006B4024"/>
    <w:rsid w:val="006B459C"/>
    <w:rsid w:val="006B47D7"/>
    <w:rsid w:val="006B499D"/>
    <w:rsid w:val="006B5041"/>
    <w:rsid w:val="006B524E"/>
    <w:rsid w:val="006B643D"/>
    <w:rsid w:val="006B79A4"/>
    <w:rsid w:val="006C1254"/>
    <w:rsid w:val="006C2DC5"/>
    <w:rsid w:val="006C480B"/>
    <w:rsid w:val="006C570B"/>
    <w:rsid w:val="006C572E"/>
    <w:rsid w:val="006C5997"/>
    <w:rsid w:val="006C5CD2"/>
    <w:rsid w:val="006C6488"/>
    <w:rsid w:val="006D0636"/>
    <w:rsid w:val="006D06DC"/>
    <w:rsid w:val="006D6372"/>
    <w:rsid w:val="006D6E46"/>
    <w:rsid w:val="006D7FA8"/>
    <w:rsid w:val="006E10F2"/>
    <w:rsid w:val="006E210A"/>
    <w:rsid w:val="006E4601"/>
    <w:rsid w:val="006E5B86"/>
    <w:rsid w:val="006E63FF"/>
    <w:rsid w:val="006E652D"/>
    <w:rsid w:val="006E6632"/>
    <w:rsid w:val="006E6D99"/>
    <w:rsid w:val="006E7572"/>
    <w:rsid w:val="006F2184"/>
    <w:rsid w:val="006F2F22"/>
    <w:rsid w:val="006F384D"/>
    <w:rsid w:val="006F434A"/>
    <w:rsid w:val="006F5938"/>
    <w:rsid w:val="006F7974"/>
    <w:rsid w:val="00700A60"/>
    <w:rsid w:val="00705027"/>
    <w:rsid w:val="00710494"/>
    <w:rsid w:val="007116C7"/>
    <w:rsid w:val="007116CB"/>
    <w:rsid w:val="007117BD"/>
    <w:rsid w:val="00715129"/>
    <w:rsid w:val="007154CE"/>
    <w:rsid w:val="00715B25"/>
    <w:rsid w:val="00716020"/>
    <w:rsid w:val="00717133"/>
    <w:rsid w:val="00717696"/>
    <w:rsid w:val="00720860"/>
    <w:rsid w:val="00721087"/>
    <w:rsid w:val="00721530"/>
    <w:rsid w:val="007225D3"/>
    <w:rsid w:val="00722D6B"/>
    <w:rsid w:val="00723422"/>
    <w:rsid w:val="00725960"/>
    <w:rsid w:val="00725CAA"/>
    <w:rsid w:val="00725F7A"/>
    <w:rsid w:val="007260FE"/>
    <w:rsid w:val="00726DD6"/>
    <w:rsid w:val="007278FA"/>
    <w:rsid w:val="0073076E"/>
    <w:rsid w:val="0073271A"/>
    <w:rsid w:val="00733416"/>
    <w:rsid w:val="0073377E"/>
    <w:rsid w:val="00733E05"/>
    <w:rsid w:val="00735C8A"/>
    <w:rsid w:val="00735FE2"/>
    <w:rsid w:val="0073719A"/>
    <w:rsid w:val="007379D3"/>
    <w:rsid w:val="00737C62"/>
    <w:rsid w:val="00737C91"/>
    <w:rsid w:val="0074130E"/>
    <w:rsid w:val="00743937"/>
    <w:rsid w:val="00743BE4"/>
    <w:rsid w:val="00744889"/>
    <w:rsid w:val="00744910"/>
    <w:rsid w:val="00745BA4"/>
    <w:rsid w:val="00745D2F"/>
    <w:rsid w:val="00745E8A"/>
    <w:rsid w:val="007462E8"/>
    <w:rsid w:val="00746F2D"/>
    <w:rsid w:val="0074734F"/>
    <w:rsid w:val="00750177"/>
    <w:rsid w:val="0075057F"/>
    <w:rsid w:val="0075066D"/>
    <w:rsid w:val="00751F59"/>
    <w:rsid w:val="00752AEC"/>
    <w:rsid w:val="00752FBA"/>
    <w:rsid w:val="00753324"/>
    <w:rsid w:val="0075458D"/>
    <w:rsid w:val="007554A9"/>
    <w:rsid w:val="007555DD"/>
    <w:rsid w:val="007556F5"/>
    <w:rsid w:val="00757105"/>
    <w:rsid w:val="00757B82"/>
    <w:rsid w:val="007615F5"/>
    <w:rsid w:val="0076281A"/>
    <w:rsid w:val="00762ADE"/>
    <w:rsid w:val="0076365D"/>
    <w:rsid w:val="007642DC"/>
    <w:rsid w:val="007660E6"/>
    <w:rsid w:val="007661A9"/>
    <w:rsid w:val="007662C0"/>
    <w:rsid w:val="0076742F"/>
    <w:rsid w:val="00767712"/>
    <w:rsid w:val="007711D0"/>
    <w:rsid w:val="007712E6"/>
    <w:rsid w:val="00771CEC"/>
    <w:rsid w:val="00771D3D"/>
    <w:rsid w:val="007724A9"/>
    <w:rsid w:val="007728AB"/>
    <w:rsid w:val="00772CFE"/>
    <w:rsid w:val="00772E46"/>
    <w:rsid w:val="007730CF"/>
    <w:rsid w:val="00773E73"/>
    <w:rsid w:val="00774756"/>
    <w:rsid w:val="007750F6"/>
    <w:rsid w:val="00775181"/>
    <w:rsid w:val="007751B6"/>
    <w:rsid w:val="00775345"/>
    <w:rsid w:val="00776A33"/>
    <w:rsid w:val="00776F15"/>
    <w:rsid w:val="007779ED"/>
    <w:rsid w:val="00780B1A"/>
    <w:rsid w:val="007810D3"/>
    <w:rsid w:val="0078264A"/>
    <w:rsid w:val="00783D11"/>
    <w:rsid w:val="00785E46"/>
    <w:rsid w:val="00787917"/>
    <w:rsid w:val="00787FAC"/>
    <w:rsid w:val="00791489"/>
    <w:rsid w:val="007915BE"/>
    <w:rsid w:val="00791683"/>
    <w:rsid w:val="00792F0C"/>
    <w:rsid w:val="007940EC"/>
    <w:rsid w:val="007942C1"/>
    <w:rsid w:val="00795460"/>
    <w:rsid w:val="0079591A"/>
    <w:rsid w:val="00796CF7"/>
    <w:rsid w:val="007A0313"/>
    <w:rsid w:val="007A0A0D"/>
    <w:rsid w:val="007A0A83"/>
    <w:rsid w:val="007A4BB3"/>
    <w:rsid w:val="007A6307"/>
    <w:rsid w:val="007A6822"/>
    <w:rsid w:val="007A724D"/>
    <w:rsid w:val="007A749D"/>
    <w:rsid w:val="007A7B37"/>
    <w:rsid w:val="007A7DB6"/>
    <w:rsid w:val="007B024C"/>
    <w:rsid w:val="007B1C4C"/>
    <w:rsid w:val="007B2800"/>
    <w:rsid w:val="007B38F7"/>
    <w:rsid w:val="007B40D4"/>
    <w:rsid w:val="007B4511"/>
    <w:rsid w:val="007B50B9"/>
    <w:rsid w:val="007B5B5D"/>
    <w:rsid w:val="007B5C86"/>
    <w:rsid w:val="007B6071"/>
    <w:rsid w:val="007B6540"/>
    <w:rsid w:val="007B69A2"/>
    <w:rsid w:val="007C09C4"/>
    <w:rsid w:val="007C16CC"/>
    <w:rsid w:val="007C25E9"/>
    <w:rsid w:val="007C2F78"/>
    <w:rsid w:val="007C34C5"/>
    <w:rsid w:val="007C4079"/>
    <w:rsid w:val="007C4827"/>
    <w:rsid w:val="007C4A20"/>
    <w:rsid w:val="007D0B18"/>
    <w:rsid w:val="007D0B7F"/>
    <w:rsid w:val="007D1266"/>
    <w:rsid w:val="007D1B94"/>
    <w:rsid w:val="007D458D"/>
    <w:rsid w:val="007D4E8C"/>
    <w:rsid w:val="007D538F"/>
    <w:rsid w:val="007D668A"/>
    <w:rsid w:val="007E09E2"/>
    <w:rsid w:val="007E0B7B"/>
    <w:rsid w:val="007E0FF5"/>
    <w:rsid w:val="007E1012"/>
    <w:rsid w:val="007E17CD"/>
    <w:rsid w:val="007E19AD"/>
    <w:rsid w:val="007E2413"/>
    <w:rsid w:val="007E24ED"/>
    <w:rsid w:val="007E374B"/>
    <w:rsid w:val="007E39DE"/>
    <w:rsid w:val="007E3F53"/>
    <w:rsid w:val="007E7997"/>
    <w:rsid w:val="007E7B47"/>
    <w:rsid w:val="007F04EF"/>
    <w:rsid w:val="007F108D"/>
    <w:rsid w:val="007F342F"/>
    <w:rsid w:val="007F38D1"/>
    <w:rsid w:val="007F3CD4"/>
    <w:rsid w:val="007F56BB"/>
    <w:rsid w:val="007F63CE"/>
    <w:rsid w:val="007F6EA4"/>
    <w:rsid w:val="008002A5"/>
    <w:rsid w:val="0080050E"/>
    <w:rsid w:val="00801329"/>
    <w:rsid w:val="00801424"/>
    <w:rsid w:val="00801AA4"/>
    <w:rsid w:val="00801B7E"/>
    <w:rsid w:val="008021B9"/>
    <w:rsid w:val="00806E68"/>
    <w:rsid w:val="00807FC3"/>
    <w:rsid w:val="00810034"/>
    <w:rsid w:val="00810948"/>
    <w:rsid w:val="008114CF"/>
    <w:rsid w:val="00811523"/>
    <w:rsid w:val="008117CC"/>
    <w:rsid w:val="00811AB3"/>
    <w:rsid w:val="0081421D"/>
    <w:rsid w:val="00814ADB"/>
    <w:rsid w:val="00815C5D"/>
    <w:rsid w:val="0081618F"/>
    <w:rsid w:val="008174D1"/>
    <w:rsid w:val="008178B2"/>
    <w:rsid w:val="00820244"/>
    <w:rsid w:val="0082165E"/>
    <w:rsid w:val="00822136"/>
    <w:rsid w:val="00822AAF"/>
    <w:rsid w:val="00822F01"/>
    <w:rsid w:val="008232A6"/>
    <w:rsid w:val="00823898"/>
    <w:rsid w:val="008239D1"/>
    <w:rsid w:val="00824071"/>
    <w:rsid w:val="008246B2"/>
    <w:rsid w:val="0082488A"/>
    <w:rsid w:val="00824C08"/>
    <w:rsid w:val="00824F70"/>
    <w:rsid w:val="008250F6"/>
    <w:rsid w:val="00826560"/>
    <w:rsid w:val="00826CBB"/>
    <w:rsid w:val="00827180"/>
    <w:rsid w:val="0082770D"/>
    <w:rsid w:val="00827B6D"/>
    <w:rsid w:val="00827C90"/>
    <w:rsid w:val="00827E3D"/>
    <w:rsid w:val="0083004E"/>
    <w:rsid w:val="00831EAF"/>
    <w:rsid w:val="00832288"/>
    <w:rsid w:val="008326D6"/>
    <w:rsid w:val="00833468"/>
    <w:rsid w:val="008337EA"/>
    <w:rsid w:val="00833839"/>
    <w:rsid w:val="00833B4A"/>
    <w:rsid w:val="00833D15"/>
    <w:rsid w:val="008344C4"/>
    <w:rsid w:val="008348DA"/>
    <w:rsid w:val="00835621"/>
    <w:rsid w:val="00835760"/>
    <w:rsid w:val="00835C5C"/>
    <w:rsid w:val="008362AE"/>
    <w:rsid w:val="008369B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409"/>
    <w:rsid w:val="008550C2"/>
    <w:rsid w:val="00855A0D"/>
    <w:rsid w:val="00855CA6"/>
    <w:rsid w:val="00857F69"/>
    <w:rsid w:val="00860323"/>
    <w:rsid w:val="00860F4F"/>
    <w:rsid w:val="008610B9"/>
    <w:rsid w:val="00862656"/>
    <w:rsid w:val="00863013"/>
    <w:rsid w:val="00863F67"/>
    <w:rsid w:val="0086483A"/>
    <w:rsid w:val="0087049C"/>
    <w:rsid w:val="00870AAD"/>
    <w:rsid w:val="00870EDE"/>
    <w:rsid w:val="00871DA0"/>
    <w:rsid w:val="00872030"/>
    <w:rsid w:val="008724F1"/>
    <w:rsid w:val="0087254E"/>
    <w:rsid w:val="00873973"/>
    <w:rsid w:val="00875C28"/>
    <w:rsid w:val="00875E75"/>
    <w:rsid w:val="0087658F"/>
    <w:rsid w:val="0087762E"/>
    <w:rsid w:val="00877823"/>
    <w:rsid w:val="00877BD6"/>
    <w:rsid w:val="00877C50"/>
    <w:rsid w:val="00877D40"/>
    <w:rsid w:val="008803F5"/>
    <w:rsid w:val="008804E0"/>
    <w:rsid w:val="008812BF"/>
    <w:rsid w:val="00881341"/>
    <w:rsid w:val="00882931"/>
    <w:rsid w:val="00882B64"/>
    <w:rsid w:val="0088374D"/>
    <w:rsid w:val="00884939"/>
    <w:rsid w:val="008853E0"/>
    <w:rsid w:val="00885BE2"/>
    <w:rsid w:val="008863C8"/>
    <w:rsid w:val="00886827"/>
    <w:rsid w:val="00886D38"/>
    <w:rsid w:val="00886D40"/>
    <w:rsid w:val="00887A0E"/>
    <w:rsid w:val="00887CC5"/>
    <w:rsid w:val="008907F3"/>
    <w:rsid w:val="008920C2"/>
    <w:rsid w:val="00895702"/>
    <w:rsid w:val="00896A8E"/>
    <w:rsid w:val="00897566"/>
    <w:rsid w:val="0089757B"/>
    <w:rsid w:val="008A1594"/>
    <w:rsid w:val="008A1757"/>
    <w:rsid w:val="008A1CE6"/>
    <w:rsid w:val="008A1F25"/>
    <w:rsid w:val="008A1FC1"/>
    <w:rsid w:val="008A47FB"/>
    <w:rsid w:val="008A5234"/>
    <w:rsid w:val="008A5397"/>
    <w:rsid w:val="008A6861"/>
    <w:rsid w:val="008A7522"/>
    <w:rsid w:val="008A7B55"/>
    <w:rsid w:val="008B0578"/>
    <w:rsid w:val="008B0BD1"/>
    <w:rsid w:val="008B170D"/>
    <w:rsid w:val="008B4941"/>
    <w:rsid w:val="008B4984"/>
    <w:rsid w:val="008B4F60"/>
    <w:rsid w:val="008B5501"/>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718"/>
    <w:rsid w:val="008D2CA6"/>
    <w:rsid w:val="008D311C"/>
    <w:rsid w:val="008D31D2"/>
    <w:rsid w:val="008D3CC5"/>
    <w:rsid w:val="008D4220"/>
    <w:rsid w:val="008D4CD8"/>
    <w:rsid w:val="008D564A"/>
    <w:rsid w:val="008D5E47"/>
    <w:rsid w:val="008D7D8C"/>
    <w:rsid w:val="008E004E"/>
    <w:rsid w:val="008E04FB"/>
    <w:rsid w:val="008E0999"/>
    <w:rsid w:val="008E283C"/>
    <w:rsid w:val="008E3E79"/>
    <w:rsid w:val="008E5282"/>
    <w:rsid w:val="008E5E2C"/>
    <w:rsid w:val="008E621F"/>
    <w:rsid w:val="008E78F1"/>
    <w:rsid w:val="008F03CE"/>
    <w:rsid w:val="008F075B"/>
    <w:rsid w:val="008F0E9E"/>
    <w:rsid w:val="008F1C41"/>
    <w:rsid w:val="008F20D8"/>
    <w:rsid w:val="008F2913"/>
    <w:rsid w:val="008F2A4E"/>
    <w:rsid w:val="008F2AE9"/>
    <w:rsid w:val="008F332B"/>
    <w:rsid w:val="008F52D0"/>
    <w:rsid w:val="008F58BB"/>
    <w:rsid w:val="008F6106"/>
    <w:rsid w:val="008F77C2"/>
    <w:rsid w:val="008F791D"/>
    <w:rsid w:val="00900959"/>
    <w:rsid w:val="00901900"/>
    <w:rsid w:val="00901B7A"/>
    <w:rsid w:val="00901EE8"/>
    <w:rsid w:val="00901F6C"/>
    <w:rsid w:val="0090266B"/>
    <w:rsid w:val="00902F06"/>
    <w:rsid w:val="009035DB"/>
    <w:rsid w:val="00904671"/>
    <w:rsid w:val="00905356"/>
    <w:rsid w:val="00905BC5"/>
    <w:rsid w:val="009064AA"/>
    <w:rsid w:val="00912257"/>
    <w:rsid w:val="00912340"/>
    <w:rsid w:val="00913495"/>
    <w:rsid w:val="009136B8"/>
    <w:rsid w:val="00913874"/>
    <w:rsid w:val="0091488F"/>
    <w:rsid w:val="00915E13"/>
    <w:rsid w:val="009163CC"/>
    <w:rsid w:val="0091674C"/>
    <w:rsid w:val="00916862"/>
    <w:rsid w:val="00916B2A"/>
    <w:rsid w:val="00916D96"/>
    <w:rsid w:val="009174F7"/>
    <w:rsid w:val="00917E76"/>
    <w:rsid w:val="00920167"/>
    <w:rsid w:val="00920A08"/>
    <w:rsid w:val="00921137"/>
    <w:rsid w:val="00921BB8"/>
    <w:rsid w:val="00921D28"/>
    <w:rsid w:val="00922034"/>
    <w:rsid w:val="0092266C"/>
    <w:rsid w:val="009241E8"/>
    <w:rsid w:val="00925956"/>
    <w:rsid w:val="00925DD2"/>
    <w:rsid w:val="00926344"/>
    <w:rsid w:val="00926929"/>
    <w:rsid w:val="00927301"/>
    <w:rsid w:val="00927E9D"/>
    <w:rsid w:val="00930F40"/>
    <w:rsid w:val="00931859"/>
    <w:rsid w:val="0093205C"/>
    <w:rsid w:val="009343F5"/>
    <w:rsid w:val="0093456A"/>
    <w:rsid w:val="009345AE"/>
    <w:rsid w:val="00935301"/>
    <w:rsid w:val="00935EF0"/>
    <w:rsid w:val="00936597"/>
    <w:rsid w:val="00936F64"/>
    <w:rsid w:val="00937B8E"/>
    <w:rsid w:val="00940C5B"/>
    <w:rsid w:val="009411F7"/>
    <w:rsid w:val="00941378"/>
    <w:rsid w:val="009417F1"/>
    <w:rsid w:val="00941A84"/>
    <w:rsid w:val="0094204A"/>
    <w:rsid w:val="009443ED"/>
    <w:rsid w:val="00944ABD"/>
    <w:rsid w:val="00945DBF"/>
    <w:rsid w:val="00946042"/>
    <w:rsid w:val="00946AB3"/>
    <w:rsid w:val="00947074"/>
    <w:rsid w:val="0094752A"/>
    <w:rsid w:val="009478B5"/>
    <w:rsid w:val="00947D01"/>
    <w:rsid w:val="009503EA"/>
    <w:rsid w:val="0095112D"/>
    <w:rsid w:val="00952124"/>
    <w:rsid w:val="009525F1"/>
    <w:rsid w:val="00953740"/>
    <w:rsid w:val="009544C6"/>
    <w:rsid w:val="00956244"/>
    <w:rsid w:val="00956A06"/>
    <w:rsid w:val="00957435"/>
    <w:rsid w:val="009578D0"/>
    <w:rsid w:val="009600C6"/>
    <w:rsid w:val="00960D80"/>
    <w:rsid w:val="00960E0A"/>
    <w:rsid w:val="0096163F"/>
    <w:rsid w:val="009621CE"/>
    <w:rsid w:val="009622BF"/>
    <w:rsid w:val="009651B8"/>
    <w:rsid w:val="009653F3"/>
    <w:rsid w:val="0096587A"/>
    <w:rsid w:val="009666E7"/>
    <w:rsid w:val="009669CF"/>
    <w:rsid w:val="00967278"/>
    <w:rsid w:val="00971568"/>
    <w:rsid w:val="009728F2"/>
    <w:rsid w:val="00972BEF"/>
    <w:rsid w:val="00973BCF"/>
    <w:rsid w:val="009744BC"/>
    <w:rsid w:val="00974E60"/>
    <w:rsid w:val="00975896"/>
    <w:rsid w:val="00975DF1"/>
    <w:rsid w:val="00976AFE"/>
    <w:rsid w:val="009801C6"/>
    <w:rsid w:val="00983389"/>
    <w:rsid w:val="00983CEA"/>
    <w:rsid w:val="00984198"/>
    <w:rsid w:val="00984E04"/>
    <w:rsid w:val="00986194"/>
    <w:rsid w:val="009861D2"/>
    <w:rsid w:val="00986B9C"/>
    <w:rsid w:val="00986E53"/>
    <w:rsid w:val="00987CE5"/>
    <w:rsid w:val="009918FD"/>
    <w:rsid w:val="00993CF0"/>
    <w:rsid w:val="0099428D"/>
    <w:rsid w:val="009949A7"/>
    <w:rsid w:val="009958BB"/>
    <w:rsid w:val="00995CDC"/>
    <w:rsid w:val="009975CA"/>
    <w:rsid w:val="009A0C15"/>
    <w:rsid w:val="009A1088"/>
    <w:rsid w:val="009A14CB"/>
    <w:rsid w:val="009A27C7"/>
    <w:rsid w:val="009A2961"/>
    <w:rsid w:val="009A344A"/>
    <w:rsid w:val="009A41C7"/>
    <w:rsid w:val="009A4F5A"/>
    <w:rsid w:val="009A5C82"/>
    <w:rsid w:val="009A6BAC"/>
    <w:rsid w:val="009A7749"/>
    <w:rsid w:val="009B010D"/>
    <w:rsid w:val="009B0AAB"/>
    <w:rsid w:val="009B0D3E"/>
    <w:rsid w:val="009B2A44"/>
    <w:rsid w:val="009B2AD1"/>
    <w:rsid w:val="009B2AF0"/>
    <w:rsid w:val="009B3224"/>
    <w:rsid w:val="009B3A61"/>
    <w:rsid w:val="009B528E"/>
    <w:rsid w:val="009B54FE"/>
    <w:rsid w:val="009B77DD"/>
    <w:rsid w:val="009B79A2"/>
    <w:rsid w:val="009B7F06"/>
    <w:rsid w:val="009C0043"/>
    <w:rsid w:val="009C13BF"/>
    <w:rsid w:val="009C2943"/>
    <w:rsid w:val="009C4551"/>
    <w:rsid w:val="009C4754"/>
    <w:rsid w:val="009C4B2C"/>
    <w:rsid w:val="009C4CB3"/>
    <w:rsid w:val="009C4F15"/>
    <w:rsid w:val="009C511C"/>
    <w:rsid w:val="009C5416"/>
    <w:rsid w:val="009C587B"/>
    <w:rsid w:val="009C64C5"/>
    <w:rsid w:val="009C6F87"/>
    <w:rsid w:val="009C7166"/>
    <w:rsid w:val="009C730E"/>
    <w:rsid w:val="009C742C"/>
    <w:rsid w:val="009C78AD"/>
    <w:rsid w:val="009C7C17"/>
    <w:rsid w:val="009D2376"/>
    <w:rsid w:val="009D2D48"/>
    <w:rsid w:val="009D3103"/>
    <w:rsid w:val="009D4409"/>
    <w:rsid w:val="009D4724"/>
    <w:rsid w:val="009D4B2F"/>
    <w:rsid w:val="009D4C1B"/>
    <w:rsid w:val="009D500A"/>
    <w:rsid w:val="009D5159"/>
    <w:rsid w:val="009D5EA5"/>
    <w:rsid w:val="009D5F78"/>
    <w:rsid w:val="009D64DA"/>
    <w:rsid w:val="009D6BEA"/>
    <w:rsid w:val="009D76A3"/>
    <w:rsid w:val="009E09F5"/>
    <w:rsid w:val="009E0DBC"/>
    <w:rsid w:val="009E11BD"/>
    <w:rsid w:val="009E1DF8"/>
    <w:rsid w:val="009E2C1A"/>
    <w:rsid w:val="009E2C4B"/>
    <w:rsid w:val="009E2E0C"/>
    <w:rsid w:val="009E2E28"/>
    <w:rsid w:val="009E3218"/>
    <w:rsid w:val="009E3248"/>
    <w:rsid w:val="009E3305"/>
    <w:rsid w:val="009E37E3"/>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BB7"/>
    <w:rsid w:val="00A01DEB"/>
    <w:rsid w:val="00A03BF0"/>
    <w:rsid w:val="00A06D32"/>
    <w:rsid w:val="00A07545"/>
    <w:rsid w:val="00A07BF6"/>
    <w:rsid w:val="00A12BA6"/>
    <w:rsid w:val="00A13947"/>
    <w:rsid w:val="00A13E2B"/>
    <w:rsid w:val="00A142AF"/>
    <w:rsid w:val="00A1562A"/>
    <w:rsid w:val="00A15901"/>
    <w:rsid w:val="00A1618E"/>
    <w:rsid w:val="00A161A1"/>
    <w:rsid w:val="00A20562"/>
    <w:rsid w:val="00A20F75"/>
    <w:rsid w:val="00A212B1"/>
    <w:rsid w:val="00A26FFF"/>
    <w:rsid w:val="00A2789F"/>
    <w:rsid w:val="00A27C80"/>
    <w:rsid w:val="00A316EC"/>
    <w:rsid w:val="00A31804"/>
    <w:rsid w:val="00A318AE"/>
    <w:rsid w:val="00A318C5"/>
    <w:rsid w:val="00A31E82"/>
    <w:rsid w:val="00A320BA"/>
    <w:rsid w:val="00A32283"/>
    <w:rsid w:val="00A32342"/>
    <w:rsid w:val="00A325EC"/>
    <w:rsid w:val="00A32B81"/>
    <w:rsid w:val="00A337E5"/>
    <w:rsid w:val="00A339DB"/>
    <w:rsid w:val="00A3658D"/>
    <w:rsid w:val="00A36E51"/>
    <w:rsid w:val="00A377C5"/>
    <w:rsid w:val="00A37B2E"/>
    <w:rsid w:val="00A37D45"/>
    <w:rsid w:val="00A401FD"/>
    <w:rsid w:val="00A402D3"/>
    <w:rsid w:val="00A4040A"/>
    <w:rsid w:val="00A40558"/>
    <w:rsid w:val="00A40AF2"/>
    <w:rsid w:val="00A411DC"/>
    <w:rsid w:val="00A43904"/>
    <w:rsid w:val="00A43CCE"/>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A22"/>
    <w:rsid w:val="00A60184"/>
    <w:rsid w:val="00A61365"/>
    <w:rsid w:val="00A61759"/>
    <w:rsid w:val="00A61B88"/>
    <w:rsid w:val="00A62C70"/>
    <w:rsid w:val="00A63982"/>
    <w:rsid w:val="00A65845"/>
    <w:rsid w:val="00A65A41"/>
    <w:rsid w:val="00A666AA"/>
    <w:rsid w:val="00A671FC"/>
    <w:rsid w:val="00A707A6"/>
    <w:rsid w:val="00A71670"/>
    <w:rsid w:val="00A72874"/>
    <w:rsid w:val="00A72E48"/>
    <w:rsid w:val="00A7359C"/>
    <w:rsid w:val="00A73616"/>
    <w:rsid w:val="00A75DFA"/>
    <w:rsid w:val="00A76648"/>
    <w:rsid w:val="00A76DF7"/>
    <w:rsid w:val="00A77523"/>
    <w:rsid w:val="00A77894"/>
    <w:rsid w:val="00A77C86"/>
    <w:rsid w:val="00A83454"/>
    <w:rsid w:val="00A843FC"/>
    <w:rsid w:val="00A84DA5"/>
    <w:rsid w:val="00A85302"/>
    <w:rsid w:val="00A86119"/>
    <w:rsid w:val="00A8649F"/>
    <w:rsid w:val="00A86D25"/>
    <w:rsid w:val="00A86EF4"/>
    <w:rsid w:val="00A877BD"/>
    <w:rsid w:val="00A8786B"/>
    <w:rsid w:val="00A903F1"/>
    <w:rsid w:val="00A905CC"/>
    <w:rsid w:val="00A90974"/>
    <w:rsid w:val="00A9197E"/>
    <w:rsid w:val="00A92040"/>
    <w:rsid w:val="00A92065"/>
    <w:rsid w:val="00A92184"/>
    <w:rsid w:val="00A9334F"/>
    <w:rsid w:val="00A93D6F"/>
    <w:rsid w:val="00A950D1"/>
    <w:rsid w:val="00A9614E"/>
    <w:rsid w:val="00A963B5"/>
    <w:rsid w:val="00A96FA8"/>
    <w:rsid w:val="00A97665"/>
    <w:rsid w:val="00AA0504"/>
    <w:rsid w:val="00AA0909"/>
    <w:rsid w:val="00AA0E00"/>
    <w:rsid w:val="00AA1C72"/>
    <w:rsid w:val="00AA1E8D"/>
    <w:rsid w:val="00AA1F04"/>
    <w:rsid w:val="00AA1FDE"/>
    <w:rsid w:val="00AA291C"/>
    <w:rsid w:val="00AA30F6"/>
    <w:rsid w:val="00AA334D"/>
    <w:rsid w:val="00AA37B1"/>
    <w:rsid w:val="00AA47B8"/>
    <w:rsid w:val="00AA550A"/>
    <w:rsid w:val="00AA5EBD"/>
    <w:rsid w:val="00AA628B"/>
    <w:rsid w:val="00AA6DE4"/>
    <w:rsid w:val="00AA7408"/>
    <w:rsid w:val="00AA7D1F"/>
    <w:rsid w:val="00AB02C6"/>
    <w:rsid w:val="00AB0533"/>
    <w:rsid w:val="00AB205C"/>
    <w:rsid w:val="00AB2346"/>
    <w:rsid w:val="00AB246B"/>
    <w:rsid w:val="00AB2E96"/>
    <w:rsid w:val="00AB32EB"/>
    <w:rsid w:val="00AB36D4"/>
    <w:rsid w:val="00AB5500"/>
    <w:rsid w:val="00AB5564"/>
    <w:rsid w:val="00AB57FB"/>
    <w:rsid w:val="00AB66EF"/>
    <w:rsid w:val="00AB7348"/>
    <w:rsid w:val="00AC0463"/>
    <w:rsid w:val="00AC13B0"/>
    <w:rsid w:val="00AC24BD"/>
    <w:rsid w:val="00AC2FD0"/>
    <w:rsid w:val="00AC3DBD"/>
    <w:rsid w:val="00AC5E85"/>
    <w:rsid w:val="00AC7000"/>
    <w:rsid w:val="00AD03D8"/>
    <w:rsid w:val="00AD0D5F"/>
    <w:rsid w:val="00AD34CF"/>
    <w:rsid w:val="00AD36C8"/>
    <w:rsid w:val="00AD37C9"/>
    <w:rsid w:val="00AD47D3"/>
    <w:rsid w:val="00AD652F"/>
    <w:rsid w:val="00AD7D05"/>
    <w:rsid w:val="00AE01F6"/>
    <w:rsid w:val="00AE1126"/>
    <w:rsid w:val="00AE16F0"/>
    <w:rsid w:val="00AE2328"/>
    <w:rsid w:val="00AE28C9"/>
    <w:rsid w:val="00AE473C"/>
    <w:rsid w:val="00AE55E7"/>
    <w:rsid w:val="00AE587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428"/>
    <w:rsid w:val="00B072A3"/>
    <w:rsid w:val="00B07FCD"/>
    <w:rsid w:val="00B1149C"/>
    <w:rsid w:val="00B11E16"/>
    <w:rsid w:val="00B11F60"/>
    <w:rsid w:val="00B121EF"/>
    <w:rsid w:val="00B127AA"/>
    <w:rsid w:val="00B130CB"/>
    <w:rsid w:val="00B1336F"/>
    <w:rsid w:val="00B14D9D"/>
    <w:rsid w:val="00B14EF5"/>
    <w:rsid w:val="00B157AA"/>
    <w:rsid w:val="00B16048"/>
    <w:rsid w:val="00B2028C"/>
    <w:rsid w:val="00B21771"/>
    <w:rsid w:val="00B2191C"/>
    <w:rsid w:val="00B21B30"/>
    <w:rsid w:val="00B2231E"/>
    <w:rsid w:val="00B22E76"/>
    <w:rsid w:val="00B23016"/>
    <w:rsid w:val="00B23771"/>
    <w:rsid w:val="00B245DD"/>
    <w:rsid w:val="00B24EA8"/>
    <w:rsid w:val="00B26625"/>
    <w:rsid w:val="00B26A5A"/>
    <w:rsid w:val="00B2713B"/>
    <w:rsid w:val="00B27244"/>
    <w:rsid w:val="00B2769B"/>
    <w:rsid w:val="00B307D2"/>
    <w:rsid w:val="00B3398B"/>
    <w:rsid w:val="00B33B1E"/>
    <w:rsid w:val="00B346C4"/>
    <w:rsid w:val="00B362D9"/>
    <w:rsid w:val="00B36424"/>
    <w:rsid w:val="00B36584"/>
    <w:rsid w:val="00B36B99"/>
    <w:rsid w:val="00B36D20"/>
    <w:rsid w:val="00B36F67"/>
    <w:rsid w:val="00B40633"/>
    <w:rsid w:val="00B44049"/>
    <w:rsid w:val="00B44318"/>
    <w:rsid w:val="00B44C4B"/>
    <w:rsid w:val="00B477CB"/>
    <w:rsid w:val="00B5068E"/>
    <w:rsid w:val="00B508A7"/>
    <w:rsid w:val="00B51004"/>
    <w:rsid w:val="00B52081"/>
    <w:rsid w:val="00B5232C"/>
    <w:rsid w:val="00B52695"/>
    <w:rsid w:val="00B545AF"/>
    <w:rsid w:val="00B55B09"/>
    <w:rsid w:val="00B5602D"/>
    <w:rsid w:val="00B56711"/>
    <w:rsid w:val="00B57EF2"/>
    <w:rsid w:val="00B604F3"/>
    <w:rsid w:val="00B6101C"/>
    <w:rsid w:val="00B615D2"/>
    <w:rsid w:val="00B615ED"/>
    <w:rsid w:val="00B61C0F"/>
    <w:rsid w:val="00B63A9D"/>
    <w:rsid w:val="00B64888"/>
    <w:rsid w:val="00B672E3"/>
    <w:rsid w:val="00B675F9"/>
    <w:rsid w:val="00B6798D"/>
    <w:rsid w:val="00B70849"/>
    <w:rsid w:val="00B72C1C"/>
    <w:rsid w:val="00B73BB7"/>
    <w:rsid w:val="00B751C3"/>
    <w:rsid w:val="00B76C0D"/>
    <w:rsid w:val="00B77D0D"/>
    <w:rsid w:val="00B801E1"/>
    <w:rsid w:val="00B80817"/>
    <w:rsid w:val="00B81F41"/>
    <w:rsid w:val="00B827E6"/>
    <w:rsid w:val="00B82A28"/>
    <w:rsid w:val="00B82B8D"/>
    <w:rsid w:val="00B82C97"/>
    <w:rsid w:val="00B851D5"/>
    <w:rsid w:val="00B85B06"/>
    <w:rsid w:val="00B90558"/>
    <w:rsid w:val="00B9104D"/>
    <w:rsid w:val="00B92958"/>
    <w:rsid w:val="00B93957"/>
    <w:rsid w:val="00B93E18"/>
    <w:rsid w:val="00B93E2F"/>
    <w:rsid w:val="00B9404A"/>
    <w:rsid w:val="00B94877"/>
    <w:rsid w:val="00B9491F"/>
    <w:rsid w:val="00B96043"/>
    <w:rsid w:val="00B965C9"/>
    <w:rsid w:val="00B96F5D"/>
    <w:rsid w:val="00BA02F9"/>
    <w:rsid w:val="00BA1230"/>
    <w:rsid w:val="00BA1987"/>
    <w:rsid w:val="00BA2682"/>
    <w:rsid w:val="00BA29DE"/>
    <w:rsid w:val="00BA31E4"/>
    <w:rsid w:val="00BA3959"/>
    <w:rsid w:val="00BA47CC"/>
    <w:rsid w:val="00BA524B"/>
    <w:rsid w:val="00BA54F7"/>
    <w:rsid w:val="00BA5604"/>
    <w:rsid w:val="00BA576C"/>
    <w:rsid w:val="00BA6205"/>
    <w:rsid w:val="00BA6CE5"/>
    <w:rsid w:val="00BA6F38"/>
    <w:rsid w:val="00BB1388"/>
    <w:rsid w:val="00BB2683"/>
    <w:rsid w:val="00BB33BB"/>
    <w:rsid w:val="00BB3FFE"/>
    <w:rsid w:val="00BB40DF"/>
    <w:rsid w:val="00BB5E2C"/>
    <w:rsid w:val="00BB7D9E"/>
    <w:rsid w:val="00BC16AC"/>
    <w:rsid w:val="00BC22D2"/>
    <w:rsid w:val="00BC2B7B"/>
    <w:rsid w:val="00BC3AE8"/>
    <w:rsid w:val="00BC3AF4"/>
    <w:rsid w:val="00BC43A8"/>
    <w:rsid w:val="00BC5C6D"/>
    <w:rsid w:val="00BC69E4"/>
    <w:rsid w:val="00BC7120"/>
    <w:rsid w:val="00BC76A3"/>
    <w:rsid w:val="00BD00D1"/>
    <w:rsid w:val="00BD07A2"/>
    <w:rsid w:val="00BD2603"/>
    <w:rsid w:val="00BD4EEC"/>
    <w:rsid w:val="00BD4F34"/>
    <w:rsid w:val="00BD511B"/>
    <w:rsid w:val="00BD537C"/>
    <w:rsid w:val="00BD66B9"/>
    <w:rsid w:val="00BD6F5B"/>
    <w:rsid w:val="00BD7662"/>
    <w:rsid w:val="00BE0447"/>
    <w:rsid w:val="00BE05ED"/>
    <w:rsid w:val="00BE350E"/>
    <w:rsid w:val="00BE3801"/>
    <w:rsid w:val="00BE38CF"/>
    <w:rsid w:val="00BE394B"/>
    <w:rsid w:val="00BE3976"/>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98B"/>
    <w:rsid w:val="00C01244"/>
    <w:rsid w:val="00C015C7"/>
    <w:rsid w:val="00C01804"/>
    <w:rsid w:val="00C026BC"/>
    <w:rsid w:val="00C02AD4"/>
    <w:rsid w:val="00C03869"/>
    <w:rsid w:val="00C07988"/>
    <w:rsid w:val="00C07C5E"/>
    <w:rsid w:val="00C07D5A"/>
    <w:rsid w:val="00C10068"/>
    <w:rsid w:val="00C10AC5"/>
    <w:rsid w:val="00C12DAD"/>
    <w:rsid w:val="00C12E17"/>
    <w:rsid w:val="00C12F47"/>
    <w:rsid w:val="00C14741"/>
    <w:rsid w:val="00C1544B"/>
    <w:rsid w:val="00C1665A"/>
    <w:rsid w:val="00C1739F"/>
    <w:rsid w:val="00C177FF"/>
    <w:rsid w:val="00C222FF"/>
    <w:rsid w:val="00C23122"/>
    <w:rsid w:val="00C2338E"/>
    <w:rsid w:val="00C23669"/>
    <w:rsid w:val="00C23FB0"/>
    <w:rsid w:val="00C24021"/>
    <w:rsid w:val="00C248AF"/>
    <w:rsid w:val="00C24B09"/>
    <w:rsid w:val="00C24BDE"/>
    <w:rsid w:val="00C24E9F"/>
    <w:rsid w:val="00C305BA"/>
    <w:rsid w:val="00C32151"/>
    <w:rsid w:val="00C3217A"/>
    <w:rsid w:val="00C323EE"/>
    <w:rsid w:val="00C33551"/>
    <w:rsid w:val="00C3357D"/>
    <w:rsid w:val="00C33BE9"/>
    <w:rsid w:val="00C33C13"/>
    <w:rsid w:val="00C348C7"/>
    <w:rsid w:val="00C35B2A"/>
    <w:rsid w:val="00C35CFA"/>
    <w:rsid w:val="00C36742"/>
    <w:rsid w:val="00C374AD"/>
    <w:rsid w:val="00C40DE4"/>
    <w:rsid w:val="00C40E63"/>
    <w:rsid w:val="00C41A06"/>
    <w:rsid w:val="00C4261B"/>
    <w:rsid w:val="00C42BFB"/>
    <w:rsid w:val="00C44DDC"/>
    <w:rsid w:val="00C5128B"/>
    <w:rsid w:val="00C51423"/>
    <w:rsid w:val="00C5294D"/>
    <w:rsid w:val="00C52F83"/>
    <w:rsid w:val="00C5366B"/>
    <w:rsid w:val="00C54C1B"/>
    <w:rsid w:val="00C54DBA"/>
    <w:rsid w:val="00C575C7"/>
    <w:rsid w:val="00C5792A"/>
    <w:rsid w:val="00C57ED3"/>
    <w:rsid w:val="00C60449"/>
    <w:rsid w:val="00C61640"/>
    <w:rsid w:val="00C61AA7"/>
    <w:rsid w:val="00C61B8E"/>
    <w:rsid w:val="00C62538"/>
    <w:rsid w:val="00C637B0"/>
    <w:rsid w:val="00C668DE"/>
    <w:rsid w:val="00C7044F"/>
    <w:rsid w:val="00C720F8"/>
    <w:rsid w:val="00C7294B"/>
    <w:rsid w:val="00C75139"/>
    <w:rsid w:val="00C7525C"/>
    <w:rsid w:val="00C76CF7"/>
    <w:rsid w:val="00C83A4C"/>
    <w:rsid w:val="00C8533B"/>
    <w:rsid w:val="00C858BA"/>
    <w:rsid w:val="00C86968"/>
    <w:rsid w:val="00C86977"/>
    <w:rsid w:val="00C916C8"/>
    <w:rsid w:val="00C9398D"/>
    <w:rsid w:val="00C939EE"/>
    <w:rsid w:val="00C93C6E"/>
    <w:rsid w:val="00C93F93"/>
    <w:rsid w:val="00C94200"/>
    <w:rsid w:val="00C94D44"/>
    <w:rsid w:val="00C95EEE"/>
    <w:rsid w:val="00C974CB"/>
    <w:rsid w:val="00C97929"/>
    <w:rsid w:val="00CA0049"/>
    <w:rsid w:val="00CA0980"/>
    <w:rsid w:val="00CA2A98"/>
    <w:rsid w:val="00CA2BAE"/>
    <w:rsid w:val="00CA34BA"/>
    <w:rsid w:val="00CA4503"/>
    <w:rsid w:val="00CA5A66"/>
    <w:rsid w:val="00CA5C44"/>
    <w:rsid w:val="00CA651B"/>
    <w:rsid w:val="00CA796A"/>
    <w:rsid w:val="00CB2575"/>
    <w:rsid w:val="00CB3677"/>
    <w:rsid w:val="00CB368F"/>
    <w:rsid w:val="00CB4C42"/>
    <w:rsid w:val="00CB4DFA"/>
    <w:rsid w:val="00CB79E4"/>
    <w:rsid w:val="00CB7BD7"/>
    <w:rsid w:val="00CC119D"/>
    <w:rsid w:val="00CC334A"/>
    <w:rsid w:val="00CC4CB6"/>
    <w:rsid w:val="00CC4DB0"/>
    <w:rsid w:val="00CC5038"/>
    <w:rsid w:val="00CC5326"/>
    <w:rsid w:val="00CC7426"/>
    <w:rsid w:val="00CC7910"/>
    <w:rsid w:val="00CD0153"/>
    <w:rsid w:val="00CD0C20"/>
    <w:rsid w:val="00CD297A"/>
    <w:rsid w:val="00CD35E1"/>
    <w:rsid w:val="00CD3DB0"/>
    <w:rsid w:val="00CD4129"/>
    <w:rsid w:val="00CD5DBB"/>
    <w:rsid w:val="00CD675D"/>
    <w:rsid w:val="00CD67E7"/>
    <w:rsid w:val="00CD7388"/>
    <w:rsid w:val="00CE130A"/>
    <w:rsid w:val="00CE23CD"/>
    <w:rsid w:val="00CE247A"/>
    <w:rsid w:val="00CE2A1A"/>
    <w:rsid w:val="00CE2F05"/>
    <w:rsid w:val="00CE40C4"/>
    <w:rsid w:val="00CE4A51"/>
    <w:rsid w:val="00CE4F80"/>
    <w:rsid w:val="00CE50E4"/>
    <w:rsid w:val="00CE51E8"/>
    <w:rsid w:val="00CE56A1"/>
    <w:rsid w:val="00CE571F"/>
    <w:rsid w:val="00CE64A5"/>
    <w:rsid w:val="00CE669E"/>
    <w:rsid w:val="00CE66B5"/>
    <w:rsid w:val="00CE6BFE"/>
    <w:rsid w:val="00CE7031"/>
    <w:rsid w:val="00CE7258"/>
    <w:rsid w:val="00CE740A"/>
    <w:rsid w:val="00CF0B9B"/>
    <w:rsid w:val="00CF0F7C"/>
    <w:rsid w:val="00CF13B8"/>
    <w:rsid w:val="00CF285E"/>
    <w:rsid w:val="00CF3739"/>
    <w:rsid w:val="00CF5597"/>
    <w:rsid w:val="00CF57B4"/>
    <w:rsid w:val="00CF5CA5"/>
    <w:rsid w:val="00CF658A"/>
    <w:rsid w:val="00CF66B6"/>
    <w:rsid w:val="00CF6865"/>
    <w:rsid w:val="00CF692A"/>
    <w:rsid w:val="00CF6A22"/>
    <w:rsid w:val="00D007D6"/>
    <w:rsid w:val="00D01A9F"/>
    <w:rsid w:val="00D01CED"/>
    <w:rsid w:val="00D01E38"/>
    <w:rsid w:val="00D021F0"/>
    <w:rsid w:val="00D022B5"/>
    <w:rsid w:val="00D037FA"/>
    <w:rsid w:val="00D039B5"/>
    <w:rsid w:val="00D04AA9"/>
    <w:rsid w:val="00D04F76"/>
    <w:rsid w:val="00D053D2"/>
    <w:rsid w:val="00D07D07"/>
    <w:rsid w:val="00D10F87"/>
    <w:rsid w:val="00D1149D"/>
    <w:rsid w:val="00D11B8E"/>
    <w:rsid w:val="00D11D8D"/>
    <w:rsid w:val="00D12B12"/>
    <w:rsid w:val="00D12DD7"/>
    <w:rsid w:val="00D131DA"/>
    <w:rsid w:val="00D13A8C"/>
    <w:rsid w:val="00D149E1"/>
    <w:rsid w:val="00D14A44"/>
    <w:rsid w:val="00D15BCC"/>
    <w:rsid w:val="00D1628F"/>
    <w:rsid w:val="00D21D89"/>
    <w:rsid w:val="00D22522"/>
    <w:rsid w:val="00D22657"/>
    <w:rsid w:val="00D228DF"/>
    <w:rsid w:val="00D23557"/>
    <w:rsid w:val="00D2427F"/>
    <w:rsid w:val="00D24BB7"/>
    <w:rsid w:val="00D2506D"/>
    <w:rsid w:val="00D25E4E"/>
    <w:rsid w:val="00D263AE"/>
    <w:rsid w:val="00D27202"/>
    <w:rsid w:val="00D27855"/>
    <w:rsid w:val="00D27E5A"/>
    <w:rsid w:val="00D30126"/>
    <w:rsid w:val="00D31021"/>
    <w:rsid w:val="00D329B9"/>
    <w:rsid w:val="00D33412"/>
    <w:rsid w:val="00D33CC1"/>
    <w:rsid w:val="00D34502"/>
    <w:rsid w:val="00D3482C"/>
    <w:rsid w:val="00D35843"/>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9E5"/>
    <w:rsid w:val="00D51BD5"/>
    <w:rsid w:val="00D52B95"/>
    <w:rsid w:val="00D5362B"/>
    <w:rsid w:val="00D53A09"/>
    <w:rsid w:val="00D54725"/>
    <w:rsid w:val="00D54AAB"/>
    <w:rsid w:val="00D552F9"/>
    <w:rsid w:val="00D56EDF"/>
    <w:rsid w:val="00D56F08"/>
    <w:rsid w:val="00D57361"/>
    <w:rsid w:val="00D602DC"/>
    <w:rsid w:val="00D61406"/>
    <w:rsid w:val="00D61541"/>
    <w:rsid w:val="00D61575"/>
    <w:rsid w:val="00D61688"/>
    <w:rsid w:val="00D618F0"/>
    <w:rsid w:val="00D61E7F"/>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47C1"/>
    <w:rsid w:val="00D7550B"/>
    <w:rsid w:val="00D75EEB"/>
    <w:rsid w:val="00D75F1E"/>
    <w:rsid w:val="00D77AD8"/>
    <w:rsid w:val="00D80F87"/>
    <w:rsid w:val="00D812A5"/>
    <w:rsid w:val="00D82A5C"/>
    <w:rsid w:val="00D82D11"/>
    <w:rsid w:val="00D83CD3"/>
    <w:rsid w:val="00D83E51"/>
    <w:rsid w:val="00D84182"/>
    <w:rsid w:val="00D843D4"/>
    <w:rsid w:val="00D84719"/>
    <w:rsid w:val="00D84CC9"/>
    <w:rsid w:val="00D856EA"/>
    <w:rsid w:val="00D85ACD"/>
    <w:rsid w:val="00D85D72"/>
    <w:rsid w:val="00D86460"/>
    <w:rsid w:val="00D912D5"/>
    <w:rsid w:val="00D91AAF"/>
    <w:rsid w:val="00D94564"/>
    <w:rsid w:val="00D9536E"/>
    <w:rsid w:val="00D953C4"/>
    <w:rsid w:val="00D95D30"/>
    <w:rsid w:val="00D97426"/>
    <w:rsid w:val="00D97568"/>
    <w:rsid w:val="00DA06B0"/>
    <w:rsid w:val="00DA29BA"/>
    <w:rsid w:val="00DA3249"/>
    <w:rsid w:val="00DA38CE"/>
    <w:rsid w:val="00DA4B01"/>
    <w:rsid w:val="00DA4B93"/>
    <w:rsid w:val="00DA5322"/>
    <w:rsid w:val="00DA5489"/>
    <w:rsid w:val="00DA55AC"/>
    <w:rsid w:val="00DA5600"/>
    <w:rsid w:val="00DA608B"/>
    <w:rsid w:val="00DA7413"/>
    <w:rsid w:val="00DB0066"/>
    <w:rsid w:val="00DB0F9E"/>
    <w:rsid w:val="00DB1307"/>
    <w:rsid w:val="00DB1E1A"/>
    <w:rsid w:val="00DB2AF6"/>
    <w:rsid w:val="00DB316A"/>
    <w:rsid w:val="00DB364F"/>
    <w:rsid w:val="00DB39E7"/>
    <w:rsid w:val="00DB3B3E"/>
    <w:rsid w:val="00DB3E7F"/>
    <w:rsid w:val="00DB6D0D"/>
    <w:rsid w:val="00DB71DB"/>
    <w:rsid w:val="00DB71E1"/>
    <w:rsid w:val="00DB7B0F"/>
    <w:rsid w:val="00DB7CB3"/>
    <w:rsid w:val="00DC0A4B"/>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E7AAB"/>
    <w:rsid w:val="00DF081A"/>
    <w:rsid w:val="00DF265D"/>
    <w:rsid w:val="00DF2EB0"/>
    <w:rsid w:val="00DF3199"/>
    <w:rsid w:val="00DF31C1"/>
    <w:rsid w:val="00DF32E8"/>
    <w:rsid w:val="00DF427A"/>
    <w:rsid w:val="00DF45C5"/>
    <w:rsid w:val="00DF5A8C"/>
    <w:rsid w:val="00DF63BD"/>
    <w:rsid w:val="00DF71D8"/>
    <w:rsid w:val="00E00556"/>
    <w:rsid w:val="00E00CCA"/>
    <w:rsid w:val="00E01623"/>
    <w:rsid w:val="00E03FE3"/>
    <w:rsid w:val="00E05A1F"/>
    <w:rsid w:val="00E06951"/>
    <w:rsid w:val="00E10C94"/>
    <w:rsid w:val="00E10D95"/>
    <w:rsid w:val="00E10EC4"/>
    <w:rsid w:val="00E118D7"/>
    <w:rsid w:val="00E138A6"/>
    <w:rsid w:val="00E13F46"/>
    <w:rsid w:val="00E15BD4"/>
    <w:rsid w:val="00E16458"/>
    <w:rsid w:val="00E16C71"/>
    <w:rsid w:val="00E16FB6"/>
    <w:rsid w:val="00E17001"/>
    <w:rsid w:val="00E17814"/>
    <w:rsid w:val="00E17CEF"/>
    <w:rsid w:val="00E20B66"/>
    <w:rsid w:val="00E20FBC"/>
    <w:rsid w:val="00E21E81"/>
    <w:rsid w:val="00E23097"/>
    <w:rsid w:val="00E244CA"/>
    <w:rsid w:val="00E250E6"/>
    <w:rsid w:val="00E2512D"/>
    <w:rsid w:val="00E2548C"/>
    <w:rsid w:val="00E2662B"/>
    <w:rsid w:val="00E26736"/>
    <w:rsid w:val="00E268AC"/>
    <w:rsid w:val="00E26D93"/>
    <w:rsid w:val="00E27986"/>
    <w:rsid w:val="00E27D23"/>
    <w:rsid w:val="00E30A8A"/>
    <w:rsid w:val="00E31BC7"/>
    <w:rsid w:val="00E31E7F"/>
    <w:rsid w:val="00E32D82"/>
    <w:rsid w:val="00E363CD"/>
    <w:rsid w:val="00E365C4"/>
    <w:rsid w:val="00E36C7F"/>
    <w:rsid w:val="00E36CD9"/>
    <w:rsid w:val="00E37652"/>
    <w:rsid w:val="00E3768F"/>
    <w:rsid w:val="00E402BC"/>
    <w:rsid w:val="00E407A5"/>
    <w:rsid w:val="00E41403"/>
    <w:rsid w:val="00E418C7"/>
    <w:rsid w:val="00E41BD7"/>
    <w:rsid w:val="00E428D6"/>
    <w:rsid w:val="00E43284"/>
    <w:rsid w:val="00E445C9"/>
    <w:rsid w:val="00E447C5"/>
    <w:rsid w:val="00E450C1"/>
    <w:rsid w:val="00E4547F"/>
    <w:rsid w:val="00E4574F"/>
    <w:rsid w:val="00E46B5C"/>
    <w:rsid w:val="00E46B7D"/>
    <w:rsid w:val="00E5091C"/>
    <w:rsid w:val="00E50C5F"/>
    <w:rsid w:val="00E50E42"/>
    <w:rsid w:val="00E51009"/>
    <w:rsid w:val="00E511AB"/>
    <w:rsid w:val="00E51350"/>
    <w:rsid w:val="00E51B20"/>
    <w:rsid w:val="00E51C5E"/>
    <w:rsid w:val="00E523FB"/>
    <w:rsid w:val="00E528AF"/>
    <w:rsid w:val="00E53629"/>
    <w:rsid w:val="00E5372C"/>
    <w:rsid w:val="00E537A9"/>
    <w:rsid w:val="00E541BF"/>
    <w:rsid w:val="00E541C7"/>
    <w:rsid w:val="00E5480C"/>
    <w:rsid w:val="00E54AB7"/>
    <w:rsid w:val="00E55131"/>
    <w:rsid w:val="00E55282"/>
    <w:rsid w:val="00E55F3E"/>
    <w:rsid w:val="00E56392"/>
    <w:rsid w:val="00E5712F"/>
    <w:rsid w:val="00E601DA"/>
    <w:rsid w:val="00E60547"/>
    <w:rsid w:val="00E609FF"/>
    <w:rsid w:val="00E61872"/>
    <w:rsid w:val="00E61AA8"/>
    <w:rsid w:val="00E6247F"/>
    <w:rsid w:val="00E62E59"/>
    <w:rsid w:val="00E63E99"/>
    <w:rsid w:val="00E6454D"/>
    <w:rsid w:val="00E64B74"/>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970"/>
    <w:rsid w:val="00E80A1A"/>
    <w:rsid w:val="00E820E7"/>
    <w:rsid w:val="00E8292A"/>
    <w:rsid w:val="00E82DE7"/>
    <w:rsid w:val="00E84116"/>
    <w:rsid w:val="00E84C5C"/>
    <w:rsid w:val="00E85533"/>
    <w:rsid w:val="00E86343"/>
    <w:rsid w:val="00E866CD"/>
    <w:rsid w:val="00E86DFB"/>
    <w:rsid w:val="00E877ED"/>
    <w:rsid w:val="00E901FD"/>
    <w:rsid w:val="00E91964"/>
    <w:rsid w:val="00E91FB1"/>
    <w:rsid w:val="00E94468"/>
    <w:rsid w:val="00E94A0E"/>
    <w:rsid w:val="00E9597F"/>
    <w:rsid w:val="00E96226"/>
    <w:rsid w:val="00E964A1"/>
    <w:rsid w:val="00E96DDE"/>
    <w:rsid w:val="00EA04AE"/>
    <w:rsid w:val="00EA062F"/>
    <w:rsid w:val="00EA17A9"/>
    <w:rsid w:val="00EA2F48"/>
    <w:rsid w:val="00EA311B"/>
    <w:rsid w:val="00EA36CA"/>
    <w:rsid w:val="00EA3D9C"/>
    <w:rsid w:val="00EA43C0"/>
    <w:rsid w:val="00EA4CB0"/>
    <w:rsid w:val="00EA4F3F"/>
    <w:rsid w:val="00EA566F"/>
    <w:rsid w:val="00EA7F51"/>
    <w:rsid w:val="00EB0DAC"/>
    <w:rsid w:val="00EB2857"/>
    <w:rsid w:val="00EB30B7"/>
    <w:rsid w:val="00EB3EDD"/>
    <w:rsid w:val="00EB3F8A"/>
    <w:rsid w:val="00EB416F"/>
    <w:rsid w:val="00EB43B9"/>
    <w:rsid w:val="00EB4482"/>
    <w:rsid w:val="00EB4588"/>
    <w:rsid w:val="00EB4C01"/>
    <w:rsid w:val="00EB4D59"/>
    <w:rsid w:val="00EB4E58"/>
    <w:rsid w:val="00EB573D"/>
    <w:rsid w:val="00EB583A"/>
    <w:rsid w:val="00EB7752"/>
    <w:rsid w:val="00EC0725"/>
    <w:rsid w:val="00EC0889"/>
    <w:rsid w:val="00EC0C13"/>
    <w:rsid w:val="00EC148C"/>
    <w:rsid w:val="00EC2D7D"/>
    <w:rsid w:val="00EC36AD"/>
    <w:rsid w:val="00EC3BCF"/>
    <w:rsid w:val="00EC3C2F"/>
    <w:rsid w:val="00EC56B1"/>
    <w:rsid w:val="00EC664F"/>
    <w:rsid w:val="00EC6749"/>
    <w:rsid w:val="00EC719F"/>
    <w:rsid w:val="00EC72F5"/>
    <w:rsid w:val="00EC7334"/>
    <w:rsid w:val="00ED0993"/>
    <w:rsid w:val="00ED1877"/>
    <w:rsid w:val="00ED247F"/>
    <w:rsid w:val="00ED27E4"/>
    <w:rsid w:val="00ED2F27"/>
    <w:rsid w:val="00ED3370"/>
    <w:rsid w:val="00ED4D96"/>
    <w:rsid w:val="00ED5A40"/>
    <w:rsid w:val="00ED5F21"/>
    <w:rsid w:val="00ED602C"/>
    <w:rsid w:val="00ED62B5"/>
    <w:rsid w:val="00ED6DDB"/>
    <w:rsid w:val="00ED7985"/>
    <w:rsid w:val="00EE270D"/>
    <w:rsid w:val="00EE2D08"/>
    <w:rsid w:val="00EE6989"/>
    <w:rsid w:val="00EE6C77"/>
    <w:rsid w:val="00EE6D08"/>
    <w:rsid w:val="00EE7604"/>
    <w:rsid w:val="00EE7912"/>
    <w:rsid w:val="00EE7915"/>
    <w:rsid w:val="00EF0465"/>
    <w:rsid w:val="00EF13C5"/>
    <w:rsid w:val="00EF16D8"/>
    <w:rsid w:val="00EF1EF7"/>
    <w:rsid w:val="00EF28EF"/>
    <w:rsid w:val="00EF2EB9"/>
    <w:rsid w:val="00EF34ED"/>
    <w:rsid w:val="00EF40E7"/>
    <w:rsid w:val="00EF4529"/>
    <w:rsid w:val="00EF5B34"/>
    <w:rsid w:val="00EF657C"/>
    <w:rsid w:val="00F004D1"/>
    <w:rsid w:val="00F00C0D"/>
    <w:rsid w:val="00F0128B"/>
    <w:rsid w:val="00F02663"/>
    <w:rsid w:val="00F02F65"/>
    <w:rsid w:val="00F03369"/>
    <w:rsid w:val="00F04E62"/>
    <w:rsid w:val="00F050AA"/>
    <w:rsid w:val="00F05E6D"/>
    <w:rsid w:val="00F06D24"/>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2F9"/>
    <w:rsid w:val="00F36C03"/>
    <w:rsid w:val="00F37C0D"/>
    <w:rsid w:val="00F37CFD"/>
    <w:rsid w:val="00F37D33"/>
    <w:rsid w:val="00F40178"/>
    <w:rsid w:val="00F40DB9"/>
    <w:rsid w:val="00F40ED1"/>
    <w:rsid w:val="00F415A3"/>
    <w:rsid w:val="00F41778"/>
    <w:rsid w:val="00F41B3E"/>
    <w:rsid w:val="00F421D1"/>
    <w:rsid w:val="00F4323B"/>
    <w:rsid w:val="00F43B8E"/>
    <w:rsid w:val="00F445E2"/>
    <w:rsid w:val="00F45196"/>
    <w:rsid w:val="00F45D51"/>
    <w:rsid w:val="00F45D84"/>
    <w:rsid w:val="00F46842"/>
    <w:rsid w:val="00F4765F"/>
    <w:rsid w:val="00F479B5"/>
    <w:rsid w:val="00F47A1B"/>
    <w:rsid w:val="00F47C4B"/>
    <w:rsid w:val="00F52363"/>
    <w:rsid w:val="00F53775"/>
    <w:rsid w:val="00F539A6"/>
    <w:rsid w:val="00F55E0E"/>
    <w:rsid w:val="00F5611D"/>
    <w:rsid w:val="00F56CAB"/>
    <w:rsid w:val="00F56E3E"/>
    <w:rsid w:val="00F578A8"/>
    <w:rsid w:val="00F57EEB"/>
    <w:rsid w:val="00F57F67"/>
    <w:rsid w:val="00F60996"/>
    <w:rsid w:val="00F60B5D"/>
    <w:rsid w:val="00F611E4"/>
    <w:rsid w:val="00F611E8"/>
    <w:rsid w:val="00F613D4"/>
    <w:rsid w:val="00F61FE7"/>
    <w:rsid w:val="00F62AFE"/>
    <w:rsid w:val="00F6316C"/>
    <w:rsid w:val="00F633E5"/>
    <w:rsid w:val="00F63BA1"/>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6DC"/>
    <w:rsid w:val="00F87A53"/>
    <w:rsid w:val="00F9031B"/>
    <w:rsid w:val="00F90397"/>
    <w:rsid w:val="00F903DE"/>
    <w:rsid w:val="00F91DA4"/>
    <w:rsid w:val="00F92728"/>
    <w:rsid w:val="00F937AF"/>
    <w:rsid w:val="00F943D7"/>
    <w:rsid w:val="00F94494"/>
    <w:rsid w:val="00F96206"/>
    <w:rsid w:val="00F96483"/>
    <w:rsid w:val="00F9648C"/>
    <w:rsid w:val="00F964AD"/>
    <w:rsid w:val="00F96671"/>
    <w:rsid w:val="00F9680E"/>
    <w:rsid w:val="00F96E21"/>
    <w:rsid w:val="00FA00AF"/>
    <w:rsid w:val="00FA0A0A"/>
    <w:rsid w:val="00FA0C9D"/>
    <w:rsid w:val="00FA1249"/>
    <w:rsid w:val="00FA169B"/>
    <w:rsid w:val="00FA2C4B"/>
    <w:rsid w:val="00FA5CC6"/>
    <w:rsid w:val="00FA64D5"/>
    <w:rsid w:val="00FA6760"/>
    <w:rsid w:val="00FA70F6"/>
    <w:rsid w:val="00FA7420"/>
    <w:rsid w:val="00FA756C"/>
    <w:rsid w:val="00FA75E4"/>
    <w:rsid w:val="00FA776B"/>
    <w:rsid w:val="00FA7E65"/>
    <w:rsid w:val="00FB0AB1"/>
    <w:rsid w:val="00FB2BEF"/>
    <w:rsid w:val="00FB36CA"/>
    <w:rsid w:val="00FB72AC"/>
    <w:rsid w:val="00FB7706"/>
    <w:rsid w:val="00FB7EC9"/>
    <w:rsid w:val="00FB7F82"/>
    <w:rsid w:val="00FC0DAF"/>
    <w:rsid w:val="00FC11F5"/>
    <w:rsid w:val="00FC126D"/>
    <w:rsid w:val="00FC3387"/>
    <w:rsid w:val="00FC382F"/>
    <w:rsid w:val="00FC4236"/>
    <w:rsid w:val="00FC528B"/>
    <w:rsid w:val="00FC580A"/>
    <w:rsid w:val="00FC615D"/>
    <w:rsid w:val="00FD01CC"/>
    <w:rsid w:val="00FD08AF"/>
    <w:rsid w:val="00FD1E7A"/>
    <w:rsid w:val="00FD2672"/>
    <w:rsid w:val="00FD28F4"/>
    <w:rsid w:val="00FD2CE2"/>
    <w:rsid w:val="00FD4843"/>
    <w:rsid w:val="00FD4A1E"/>
    <w:rsid w:val="00FD66A9"/>
    <w:rsid w:val="00FD6712"/>
    <w:rsid w:val="00FD6853"/>
    <w:rsid w:val="00FD6E54"/>
    <w:rsid w:val="00FE01B5"/>
    <w:rsid w:val="00FE03BB"/>
    <w:rsid w:val="00FE0BF0"/>
    <w:rsid w:val="00FE15A2"/>
    <w:rsid w:val="00FE3B37"/>
    <w:rsid w:val="00FE43F2"/>
    <w:rsid w:val="00FE4B40"/>
    <w:rsid w:val="00FE5DC4"/>
    <w:rsid w:val="00FE6E94"/>
    <w:rsid w:val="00FE76CB"/>
    <w:rsid w:val="00FE7BD8"/>
    <w:rsid w:val="00FF12EF"/>
    <w:rsid w:val="00FF18CE"/>
    <w:rsid w:val="00FF1D76"/>
    <w:rsid w:val="00FF309E"/>
    <w:rsid w:val="00FF3EE6"/>
    <w:rsid w:val="00FF3F39"/>
    <w:rsid w:val="00FF434C"/>
    <w:rsid w:val="00FF55F5"/>
    <w:rsid w:val="00FF5C1F"/>
    <w:rsid w:val="00FF682B"/>
    <w:rsid w:val="00FF69EA"/>
    <w:rsid w:val="00FF7402"/>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AE1126"/>
    <w:pPr>
      <w:keepNext/>
      <w:keepLines/>
      <w:spacing w:before="200"/>
      <w:outlineLvl w:val="4"/>
    </w:pPr>
    <w:rPr>
      <w:rFonts w:asciiTheme="majorHAnsi" w:eastAsiaTheme="majorEastAsia" w:hAnsiTheme="majorHAnsi" w:cstheme="majorBidi"/>
      <w:color w:val="243F60" w:themeColor="accent1" w:themeShade="7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rsid w:val="00E16C71"/>
    <w:rPr>
      <w:rFonts w:ascii="Arial" w:hAnsi="Arial" w:cs="Arial"/>
      <w:sz w:val="22"/>
    </w:rPr>
  </w:style>
  <w:style w:type="character" w:customStyle="1" w:styleId="Heading5Char">
    <w:name w:val="Heading 5 Char"/>
    <w:basedOn w:val="DefaultParagraphFont"/>
    <w:link w:val="Heading5"/>
    <w:semiHidden/>
    <w:rsid w:val="00AE1126"/>
    <w:rPr>
      <w:rFonts w:asciiTheme="majorHAnsi" w:eastAsiaTheme="majorEastAsia" w:hAnsiTheme="majorHAnsi" w:cstheme="majorBidi"/>
      <w:color w:val="243F60" w:themeColor="accent1" w:themeShade="7F"/>
      <w:sz w:val="22"/>
      <w:lang w:eastAsia="zh-CN"/>
    </w:rPr>
  </w:style>
  <w:style w:type="paragraph" w:customStyle="1" w:styleId="Endofdocument-Annex">
    <w:name w:val="[End of document - Annex]"/>
    <w:basedOn w:val="Normal"/>
    <w:link w:val="Endofdocument-AnnexChar"/>
    <w:rsid w:val="00AE1126"/>
    <w:pPr>
      <w:ind w:left="5534"/>
    </w:pPr>
    <w:rPr>
      <w:rFonts w:eastAsia="SimSun"/>
      <w:lang w:eastAsia="zh-CN"/>
    </w:rPr>
  </w:style>
  <w:style w:type="paragraph" w:styleId="BodyText">
    <w:name w:val="Body Text"/>
    <w:basedOn w:val="Normal"/>
    <w:link w:val="BodyTextChar"/>
    <w:rsid w:val="00AE1126"/>
    <w:pPr>
      <w:spacing w:after="220"/>
    </w:pPr>
    <w:rPr>
      <w:rFonts w:eastAsia="SimSun"/>
      <w:lang w:eastAsia="zh-CN"/>
    </w:rPr>
  </w:style>
  <w:style w:type="character" w:customStyle="1" w:styleId="BodyTextChar">
    <w:name w:val="Body Text Char"/>
    <w:basedOn w:val="DefaultParagraphFont"/>
    <w:link w:val="BodyText"/>
    <w:rsid w:val="00AE1126"/>
    <w:rPr>
      <w:rFonts w:ascii="Arial" w:eastAsia="SimSun" w:hAnsi="Arial" w:cs="Arial"/>
      <w:sz w:val="22"/>
      <w:lang w:eastAsia="zh-CN"/>
    </w:rPr>
  </w:style>
  <w:style w:type="paragraph" w:customStyle="1" w:styleId="ONUME">
    <w:name w:val="ONUM E"/>
    <w:basedOn w:val="BodyText"/>
    <w:rsid w:val="00AE1126"/>
    <w:pPr>
      <w:numPr>
        <w:numId w:val="5"/>
      </w:numPr>
    </w:pPr>
  </w:style>
  <w:style w:type="paragraph" w:customStyle="1" w:styleId="ONUMFS">
    <w:name w:val="ONUM FS"/>
    <w:basedOn w:val="BodyText"/>
    <w:rsid w:val="00AE1126"/>
    <w:pPr>
      <w:numPr>
        <w:numId w:val="6"/>
      </w:numPr>
    </w:pPr>
  </w:style>
  <w:style w:type="character" w:customStyle="1" w:styleId="Endofdocument-AnnexChar">
    <w:name w:val="[End of document - Annex] Char"/>
    <w:link w:val="Endofdocument-Annex"/>
    <w:rsid w:val="00AE1126"/>
    <w:rPr>
      <w:rFonts w:ascii="Arial" w:eastAsia="SimSun" w:hAnsi="Arial" w:cs="Arial"/>
      <w:sz w:val="22"/>
      <w:lang w:eastAsia="zh-CN"/>
    </w:rPr>
  </w:style>
  <w:style w:type="character" w:customStyle="1" w:styleId="FootnoteTextChar">
    <w:name w:val="Footnote Text Char"/>
    <w:aliases w:val="Footnote Char"/>
    <w:link w:val="FootnoteText"/>
    <w:semiHidden/>
    <w:locked/>
    <w:rsid w:val="00AE1126"/>
    <w:rPr>
      <w:rFonts w:ascii="Arabic Typesetting" w:hAnsi="Arabic Typesetting" w:cs="Arabic Typesetting"/>
      <w:sz w:val="28"/>
      <w:szCs w:val="28"/>
    </w:rPr>
  </w:style>
  <w:style w:type="paragraph" w:styleId="TOC3">
    <w:name w:val="toc 3"/>
    <w:basedOn w:val="Normal"/>
    <w:next w:val="Normal"/>
    <w:autoRedefine/>
    <w:uiPriority w:val="39"/>
    <w:rsid w:val="00AE1126"/>
    <w:pPr>
      <w:tabs>
        <w:tab w:val="left" w:pos="851"/>
        <w:tab w:val="right" w:leader="dot" w:pos="9345"/>
      </w:tabs>
      <w:ind w:left="440"/>
    </w:pPr>
    <w:rPr>
      <w:rFonts w:eastAsia="SimSun"/>
      <w:lang w:eastAsia="zh-CN"/>
    </w:rPr>
  </w:style>
  <w:style w:type="paragraph" w:styleId="TOC1">
    <w:name w:val="toc 1"/>
    <w:basedOn w:val="Normal"/>
    <w:next w:val="Normal"/>
    <w:autoRedefine/>
    <w:uiPriority w:val="39"/>
    <w:rsid w:val="00AE1126"/>
    <w:pPr>
      <w:spacing w:before="120" w:after="120"/>
    </w:pPr>
    <w:rPr>
      <w:rFonts w:ascii="arial bold" w:eastAsia="SimSun" w:hAnsi="arial bold"/>
      <w:b/>
      <w:caps/>
      <w:lang w:eastAsia="zh-CN"/>
    </w:rPr>
  </w:style>
  <w:style w:type="paragraph" w:styleId="TOC2">
    <w:name w:val="toc 2"/>
    <w:basedOn w:val="Normal"/>
    <w:next w:val="Normal"/>
    <w:autoRedefine/>
    <w:uiPriority w:val="39"/>
    <w:rsid w:val="00AE1126"/>
    <w:pPr>
      <w:spacing w:before="120" w:after="120"/>
      <w:ind w:left="221"/>
    </w:pPr>
    <w:rPr>
      <w:rFonts w:eastAsia="SimSun"/>
      <w:caps/>
      <w:lang w:eastAsia="zh-CN"/>
    </w:rPr>
  </w:style>
  <w:style w:type="character" w:styleId="Hyperlink">
    <w:name w:val="Hyperlink"/>
    <w:uiPriority w:val="99"/>
    <w:rsid w:val="00AE1126"/>
    <w:rPr>
      <w:color w:val="0000FF"/>
      <w:u w:val="single"/>
    </w:rPr>
  </w:style>
  <w:style w:type="paragraph" w:styleId="BodyText3">
    <w:name w:val="Body Text 3"/>
    <w:basedOn w:val="Normal"/>
    <w:link w:val="BodyText3Char"/>
    <w:rsid w:val="00AE1126"/>
    <w:pPr>
      <w:spacing w:after="120" w:line="260" w:lineRule="atLeast"/>
      <w:ind w:left="1021"/>
    </w:pPr>
    <w:rPr>
      <w:rFonts w:cs="Times New Roman"/>
      <w:sz w:val="16"/>
      <w:szCs w:val="16"/>
      <w:lang w:eastAsia="zh-CN"/>
    </w:rPr>
  </w:style>
  <w:style w:type="character" w:customStyle="1" w:styleId="BodyText3Char">
    <w:name w:val="Body Text 3 Char"/>
    <w:basedOn w:val="DefaultParagraphFont"/>
    <w:link w:val="BodyText3"/>
    <w:rsid w:val="00AE1126"/>
    <w:rPr>
      <w:rFonts w:ascii="Arial" w:hAnsi="Arial"/>
      <w:sz w:val="16"/>
      <w:szCs w:val="16"/>
      <w:lang w:eastAsia="zh-CN"/>
    </w:rPr>
  </w:style>
  <w:style w:type="paragraph" w:customStyle="1" w:styleId="MediumGrid1-Accent21">
    <w:name w:val="Medium Grid 1 - Accent 21"/>
    <w:basedOn w:val="Normal"/>
    <w:uiPriority w:val="34"/>
    <w:qFormat/>
    <w:rsid w:val="00AE1126"/>
    <w:pPr>
      <w:spacing w:after="200" w:line="276" w:lineRule="auto"/>
      <w:ind w:left="720"/>
      <w:contextualSpacing/>
    </w:pPr>
    <w:rPr>
      <w:rFonts w:ascii="Times New Roman" w:eastAsia="Calibri" w:hAnsi="Times New Roman" w:cs="Times New Roman"/>
      <w:sz w:val="28"/>
      <w:szCs w:val="22"/>
    </w:rPr>
  </w:style>
  <w:style w:type="character" w:styleId="CommentReference">
    <w:name w:val="annotation reference"/>
    <w:rsid w:val="00AE1126"/>
    <w:rPr>
      <w:sz w:val="18"/>
      <w:szCs w:val="18"/>
    </w:rPr>
  </w:style>
  <w:style w:type="paragraph" w:styleId="CommentSubject">
    <w:name w:val="annotation subject"/>
    <w:basedOn w:val="CommentText"/>
    <w:next w:val="CommentText"/>
    <w:link w:val="CommentSubjectChar"/>
    <w:rsid w:val="00AE1126"/>
    <w:rPr>
      <w:rFonts w:eastAsia="SimSun" w:cs="Times New Roman"/>
      <w:b/>
      <w:bCs/>
      <w:lang w:eastAsia="zh-CN"/>
    </w:rPr>
  </w:style>
  <w:style w:type="character" w:customStyle="1" w:styleId="CommentTextChar">
    <w:name w:val="Comment Text Char"/>
    <w:basedOn w:val="DefaultParagraphFont"/>
    <w:link w:val="CommentText"/>
    <w:semiHidden/>
    <w:rsid w:val="00AE1126"/>
    <w:rPr>
      <w:rFonts w:ascii="Arial" w:hAnsi="Arial" w:cs="Arial"/>
      <w:sz w:val="18"/>
    </w:rPr>
  </w:style>
  <w:style w:type="character" w:customStyle="1" w:styleId="CommentSubjectChar">
    <w:name w:val="Comment Subject Char"/>
    <w:basedOn w:val="CommentTextChar"/>
    <w:link w:val="CommentSubject"/>
    <w:rsid w:val="00AE1126"/>
    <w:rPr>
      <w:rFonts w:ascii="Arial" w:eastAsia="SimSun" w:hAnsi="Arial" w:cs="Arial"/>
      <w:b/>
      <w:bCs/>
      <w:sz w:val="18"/>
      <w:lang w:eastAsia="zh-CN"/>
    </w:rPr>
  </w:style>
  <w:style w:type="character" w:customStyle="1" w:styleId="Heading1Char">
    <w:name w:val="Heading 1 Char"/>
    <w:link w:val="Heading1"/>
    <w:rsid w:val="00AE1126"/>
    <w:rPr>
      <w:rFonts w:ascii="Arial" w:eastAsia="SimSun" w:hAnsi="Arial" w:cs="Arial"/>
      <w:b/>
      <w:bCs/>
      <w:caps/>
      <w:kern w:val="32"/>
      <w:sz w:val="22"/>
      <w:szCs w:val="32"/>
    </w:rPr>
  </w:style>
  <w:style w:type="character" w:customStyle="1" w:styleId="Heading3Char">
    <w:name w:val="Heading 3 Char"/>
    <w:link w:val="Heading3"/>
    <w:rsid w:val="00AE1126"/>
    <w:rPr>
      <w:rFonts w:ascii="Arial" w:eastAsia="SimSun" w:hAnsi="Arial" w:cs="Arial"/>
      <w:bCs/>
      <w:sz w:val="22"/>
      <w:szCs w:val="26"/>
      <w:u w:val="single"/>
    </w:rPr>
  </w:style>
  <w:style w:type="paragraph" w:styleId="Revision">
    <w:name w:val="Revision"/>
    <w:hidden/>
    <w:uiPriority w:val="99"/>
    <w:semiHidden/>
    <w:rsid w:val="00AE1126"/>
    <w:rPr>
      <w:rFonts w:ascii="Arial" w:eastAsia="SimSun" w:hAnsi="Arial" w:cs="Arial"/>
      <w:sz w:val="22"/>
      <w:lang w:eastAsia="zh-CN"/>
    </w:rPr>
  </w:style>
  <w:style w:type="paragraph" w:styleId="NormalWeb">
    <w:name w:val="Normal (Web)"/>
    <w:basedOn w:val="Normal"/>
    <w:rsid w:val="00AE1126"/>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AE1126"/>
    <w:pPr>
      <w:keepNext/>
      <w:keepLines/>
      <w:spacing w:before="200"/>
      <w:outlineLvl w:val="4"/>
    </w:pPr>
    <w:rPr>
      <w:rFonts w:asciiTheme="majorHAnsi" w:eastAsiaTheme="majorEastAsia" w:hAnsiTheme="majorHAnsi" w:cstheme="majorBidi"/>
      <w:color w:val="243F60" w:themeColor="accent1" w:themeShade="7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rsid w:val="00E16C71"/>
    <w:rPr>
      <w:rFonts w:ascii="Arial" w:hAnsi="Arial" w:cs="Arial"/>
      <w:sz w:val="22"/>
    </w:rPr>
  </w:style>
  <w:style w:type="character" w:customStyle="1" w:styleId="Heading5Char">
    <w:name w:val="Heading 5 Char"/>
    <w:basedOn w:val="DefaultParagraphFont"/>
    <w:link w:val="Heading5"/>
    <w:semiHidden/>
    <w:rsid w:val="00AE1126"/>
    <w:rPr>
      <w:rFonts w:asciiTheme="majorHAnsi" w:eastAsiaTheme="majorEastAsia" w:hAnsiTheme="majorHAnsi" w:cstheme="majorBidi"/>
      <w:color w:val="243F60" w:themeColor="accent1" w:themeShade="7F"/>
      <w:sz w:val="22"/>
      <w:lang w:eastAsia="zh-CN"/>
    </w:rPr>
  </w:style>
  <w:style w:type="paragraph" w:customStyle="1" w:styleId="Endofdocument-Annex">
    <w:name w:val="[End of document - Annex]"/>
    <w:basedOn w:val="Normal"/>
    <w:link w:val="Endofdocument-AnnexChar"/>
    <w:rsid w:val="00AE1126"/>
    <w:pPr>
      <w:ind w:left="5534"/>
    </w:pPr>
    <w:rPr>
      <w:rFonts w:eastAsia="SimSun"/>
      <w:lang w:eastAsia="zh-CN"/>
    </w:rPr>
  </w:style>
  <w:style w:type="paragraph" w:styleId="BodyText">
    <w:name w:val="Body Text"/>
    <w:basedOn w:val="Normal"/>
    <w:link w:val="BodyTextChar"/>
    <w:rsid w:val="00AE1126"/>
    <w:pPr>
      <w:spacing w:after="220"/>
    </w:pPr>
    <w:rPr>
      <w:rFonts w:eastAsia="SimSun"/>
      <w:lang w:eastAsia="zh-CN"/>
    </w:rPr>
  </w:style>
  <w:style w:type="character" w:customStyle="1" w:styleId="BodyTextChar">
    <w:name w:val="Body Text Char"/>
    <w:basedOn w:val="DefaultParagraphFont"/>
    <w:link w:val="BodyText"/>
    <w:rsid w:val="00AE1126"/>
    <w:rPr>
      <w:rFonts w:ascii="Arial" w:eastAsia="SimSun" w:hAnsi="Arial" w:cs="Arial"/>
      <w:sz w:val="22"/>
      <w:lang w:eastAsia="zh-CN"/>
    </w:rPr>
  </w:style>
  <w:style w:type="paragraph" w:customStyle="1" w:styleId="ONUME">
    <w:name w:val="ONUM E"/>
    <w:basedOn w:val="BodyText"/>
    <w:rsid w:val="00AE1126"/>
    <w:pPr>
      <w:numPr>
        <w:numId w:val="5"/>
      </w:numPr>
    </w:pPr>
  </w:style>
  <w:style w:type="paragraph" w:customStyle="1" w:styleId="ONUMFS">
    <w:name w:val="ONUM FS"/>
    <w:basedOn w:val="BodyText"/>
    <w:rsid w:val="00AE1126"/>
    <w:pPr>
      <w:numPr>
        <w:numId w:val="6"/>
      </w:numPr>
    </w:pPr>
  </w:style>
  <w:style w:type="character" w:customStyle="1" w:styleId="Endofdocument-AnnexChar">
    <w:name w:val="[End of document - Annex] Char"/>
    <w:link w:val="Endofdocument-Annex"/>
    <w:rsid w:val="00AE1126"/>
    <w:rPr>
      <w:rFonts w:ascii="Arial" w:eastAsia="SimSun" w:hAnsi="Arial" w:cs="Arial"/>
      <w:sz w:val="22"/>
      <w:lang w:eastAsia="zh-CN"/>
    </w:rPr>
  </w:style>
  <w:style w:type="character" w:customStyle="1" w:styleId="FootnoteTextChar">
    <w:name w:val="Footnote Text Char"/>
    <w:aliases w:val="Footnote Char"/>
    <w:link w:val="FootnoteText"/>
    <w:semiHidden/>
    <w:locked/>
    <w:rsid w:val="00AE1126"/>
    <w:rPr>
      <w:rFonts w:ascii="Arabic Typesetting" w:hAnsi="Arabic Typesetting" w:cs="Arabic Typesetting"/>
      <w:sz w:val="28"/>
      <w:szCs w:val="28"/>
    </w:rPr>
  </w:style>
  <w:style w:type="paragraph" w:styleId="TOC3">
    <w:name w:val="toc 3"/>
    <w:basedOn w:val="Normal"/>
    <w:next w:val="Normal"/>
    <w:autoRedefine/>
    <w:uiPriority w:val="39"/>
    <w:rsid w:val="00AE1126"/>
    <w:pPr>
      <w:tabs>
        <w:tab w:val="left" w:pos="851"/>
        <w:tab w:val="right" w:leader="dot" w:pos="9345"/>
      </w:tabs>
      <w:ind w:left="440"/>
    </w:pPr>
    <w:rPr>
      <w:rFonts w:eastAsia="SimSun"/>
      <w:lang w:eastAsia="zh-CN"/>
    </w:rPr>
  </w:style>
  <w:style w:type="paragraph" w:styleId="TOC1">
    <w:name w:val="toc 1"/>
    <w:basedOn w:val="Normal"/>
    <w:next w:val="Normal"/>
    <w:autoRedefine/>
    <w:uiPriority w:val="39"/>
    <w:rsid w:val="00AE1126"/>
    <w:pPr>
      <w:spacing w:before="120" w:after="120"/>
    </w:pPr>
    <w:rPr>
      <w:rFonts w:ascii="arial bold" w:eastAsia="SimSun" w:hAnsi="arial bold"/>
      <w:b/>
      <w:caps/>
      <w:lang w:eastAsia="zh-CN"/>
    </w:rPr>
  </w:style>
  <w:style w:type="paragraph" w:styleId="TOC2">
    <w:name w:val="toc 2"/>
    <w:basedOn w:val="Normal"/>
    <w:next w:val="Normal"/>
    <w:autoRedefine/>
    <w:uiPriority w:val="39"/>
    <w:rsid w:val="00AE1126"/>
    <w:pPr>
      <w:spacing w:before="120" w:after="120"/>
      <w:ind w:left="221"/>
    </w:pPr>
    <w:rPr>
      <w:rFonts w:eastAsia="SimSun"/>
      <w:caps/>
      <w:lang w:eastAsia="zh-CN"/>
    </w:rPr>
  </w:style>
  <w:style w:type="character" w:styleId="Hyperlink">
    <w:name w:val="Hyperlink"/>
    <w:uiPriority w:val="99"/>
    <w:rsid w:val="00AE1126"/>
    <w:rPr>
      <w:color w:val="0000FF"/>
      <w:u w:val="single"/>
    </w:rPr>
  </w:style>
  <w:style w:type="paragraph" w:styleId="BodyText3">
    <w:name w:val="Body Text 3"/>
    <w:basedOn w:val="Normal"/>
    <w:link w:val="BodyText3Char"/>
    <w:rsid w:val="00AE1126"/>
    <w:pPr>
      <w:spacing w:after="120" w:line="260" w:lineRule="atLeast"/>
      <w:ind w:left="1021"/>
    </w:pPr>
    <w:rPr>
      <w:rFonts w:cs="Times New Roman"/>
      <w:sz w:val="16"/>
      <w:szCs w:val="16"/>
      <w:lang w:eastAsia="zh-CN"/>
    </w:rPr>
  </w:style>
  <w:style w:type="character" w:customStyle="1" w:styleId="BodyText3Char">
    <w:name w:val="Body Text 3 Char"/>
    <w:basedOn w:val="DefaultParagraphFont"/>
    <w:link w:val="BodyText3"/>
    <w:rsid w:val="00AE1126"/>
    <w:rPr>
      <w:rFonts w:ascii="Arial" w:hAnsi="Arial"/>
      <w:sz w:val="16"/>
      <w:szCs w:val="16"/>
      <w:lang w:eastAsia="zh-CN"/>
    </w:rPr>
  </w:style>
  <w:style w:type="paragraph" w:customStyle="1" w:styleId="MediumGrid1-Accent21">
    <w:name w:val="Medium Grid 1 - Accent 21"/>
    <w:basedOn w:val="Normal"/>
    <w:uiPriority w:val="34"/>
    <w:qFormat/>
    <w:rsid w:val="00AE1126"/>
    <w:pPr>
      <w:spacing w:after="200" w:line="276" w:lineRule="auto"/>
      <w:ind w:left="720"/>
      <w:contextualSpacing/>
    </w:pPr>
    <w:rPr>
      <w:rFonts w:ascii="Times New Roman" w:eastAsia="Calibri" w:hAnsi="Times New Roman" w:cs="Times New Roman"/>
      <w:sz w:val="28"/>
      <w:szCs w:val="22"/>
    </w:rPr>
  </w:style>
  <w:style w:type="character" w:styleId="CommentReference">
    <w:name w:val="annotation reference"/>
    <w:rsid w:val="00AE1126"/>
    <w:rPr>
      <w:sz w:val="18"/>
      <w:szCs w:val="18"/>
    </w:rPr>
  </w:style>
  <w:style w:type="paragraph" w:styleId="CommentSubject">
    <w:name w:val="annotation subject"/>
    <w:basedOn w:val="CommentText"/>
    <w:next w:val="CommentText"/>
    <w:link w:val="CommentSubjectChar"/>
    <w:rsid w:val="00AE1126"/>
    <w:rPr>
      <w:rFonts w:eastAsia="SimSun" w:cs="Times New Roman"/>
      <w:b/>
      <w:bCs/>
      <w:lang w:eastAsia="zh-CN"/>
    </w:rPr>
  </w:style>
  <w:style w:type="character" w:customStyle="1" w:styleId="CommentTextChar">
    <w:name w:val="Comment Text Char"/>
    <w:basedOn w:val="DefaultParagraphFont"/>
    <w:link w:val="CommentText"/>
    <w:semiHidden/>
    <w:rsid w:val="00AE1126"/>
    <w:rPr>
      <w:rFonts w:ascii="Arial" w:hAnsi="Arial" w:cs="Arial"/>
      <w:sz w:val="18"/>
    </w:rPr>
  </w:style>
  <w:style w:type="character" w:customStyle="1" w:styleId="CommentSubjectChar">
    <w:name w:val="Comment Subject Char"/>
    <w:basedOn w:val="CommentTextChar"/>
    <w:link w:val="CommentSubject"/>
    <w:rsid w:val="00AE1126"/>
    <w:rPr>
      <w:rFonts w:ascii="Arial" w:eastAsia="SimSun" w:hAnsi="Arial" w:cs="Arial"/>
      <w:b/>
      <w:bCs/>
      <w:sz w:val="18"/>
      <w:lang w:eastAsia="zh-CN"/>
    </w:rPr>
  </w:style>
  <w:style w:type="character" w:customStyle="1" w:styleId="Heading1Char">
    <w:name w:val="Heading 1 Char"/>
    <w:link w:val="Heading1"/>
    <w:rsid w:val="00AE1126"/>
    <w:rPr>
      <w:rFonts w:ascii="Arial" w:eastAsia="SimSun" w:hAnsi="Arial" w:cs="Arial"/>
      <w:b/>
      <w:bCs/>
      <w:caps/>
      <w:kern w:val="32"/>
      <w:sz w:val="22"/>
      <w:szCs w:val="32"/>
    </w:rPr>
  </w:style>
  <w:style w:type="character" w:customStyle="1" w:styleId="Heading3Char">
    <w:name w:val="Heading 3 Char"/>
    <w:link w:val="Heading3"/>
    <w:rsid w:val="00AE1126"/>
    <w:rPr>
      <w:rFonts w:ascii="Arial" w:eastAsia="SimSun" w:hAnsi="Arial" w:cs="Arial"/>
      <w:bCs/>
      <w:sz w:val="22"/>
      <w:szCs w:val="26"/>
      <w:u w:val="single"/>
    </w:rPr>
  </w:style>
  <w:style w:type="paragraph" w:styleId="Revision">
    <w:name w:val="Revision"/>
    <w:hidden/>
    <w:uiPriority w:val="99"/>
    <w:semiHidden/>
    <w:rsid w:val="00AE1126"/>
    <w:rPr>
      <w:rFonts w:ascii="Arial" w:eastAsia="SimSun" w:hAnsi="Arial" w:cs="Arial"/>
      <w:sz w:val="22"/>
      <w:lang w:eastAsia="zh-CN"/>
    </w:rPr>
  </w:style>
  <w:style w:type="paragraph" w:styleId="NormalWeb">
    <w:name w:val="Normal (Web)"/>
    <w:basedOn w:val="Normal"/>
    <w:rsid w:val="00AE1126"/>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156582" TargetMode="External"/><Relationship Id="rId1" Type="http://schemas.openxmlformats.org/officeDocument/2006/relationships/hyperlink" Target="http://www.wipo.int/meetings/en/doc_details.jsp?doc_id=2871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jaes\AppData\Local\Microsoft\Windows\Temporary%20Internet%20Files\Content.MSO\E114B7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CF6D-10F8-4C6C-A048-F3D38C68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E114B730</Template>
  <TotalTime>253</TotalTime>
  <Pages>36</Pages>
  <Words>11528</Words>
  <Characters>62094</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CDIP/15/-- (Arabic)</vt:lpstr>
    </vt:vector>
  </TitlesOfParts>
  <Company>World Intellectual Property Organization</Company>
  <LinksUpToDate>false</LinksUpToDate>
  <CharactersWithSpaces>73476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 (Arabic)</dc:title>
  <dc:creator>LAWAND Zeina</dc:creator>
  <cp:lastModifiedBy>MOUJAES Michelle</cp:lastModifiedBy>
  <cp:revision>89</cp:revision>
  <cp:lastPrinted>2015-12-01T12:39:00Z</cp:lastPrinted>
  <dcterms:created xsi:type="dcterms:W3CDTF">2015-11-30T08:46:00Z</dcterms:created>
  <dcterms:modified xsi:type="dcterms:W3CDTF">2015-12-01T12:41:00Z</dcterms:modified>
</cp:coreProperties>
</file>