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582A90" w:rsidTr="00582A90">
        <w:tc>
          <w:tcPr>
            <w:tcW w:w="4843" w:type="dxa"/>
            <w:tcBorders>
              <w:bottom w:val="single" w:sz="4" w:space="0" w:color="auto"/>
            </w:tcBorders>
            <w:shd w:val="clear" w:color="auto" w:fill="auto"/>
          </w:tcPr>
          <w:p w:rsidR="001667B6" w:rsidRPr="00582A90" w:rsidRDefault="001667B6" w:rsidP="00582A90">
            <w:pPr>
              <w:bidi/>
              <w:rPr>
                <w:rFonts w:ascii="Arabic Typesetting" w:hAnsi="Arabic Typesetting" w:cs="Arabic Typesetting"/>
                <w:sz w:val="36"/>
                <w:szCs w:val="36"/>
                <w:rtl/>
              </w:rPr>
            </w:pPr>
          </w:p>
        </w:tc>
        <w:tc>
          <w:tcPr>
            <w:tcW w:w="4223" w:type="dxa"/>
            <w:tcBorders>
              <w:bottom w:val="single" w:sz="4" w:space="0" w:color="auto"/>
            </w:tcBorders>
            <w:shd w:val="clear" w:color="auto" w:fill="auto"/>
          </w:tcPr>
          <w:p w:rsidR="001667B6" w:rsidRPr="00582A90" w:rsidRDefault="0039283A" w:rsidP="00582A90">
            <w:pPr>
              <w:bidi/>
              <w:spacing w:after="20"/>
              <w:rPr>
                <w:rFonts w:ascii="Arabic Typesetting" w:hAnsi="Arabic Typesetting" w:cs="Arabic Typesetting"/>
                <w:sz w:val="36"/>
                <w:szCs w:val="36"/>
                <w:rtl/>
              </w:rPr>
            </w:pPr>
            <w:r>
              <w:rPr>
                <w:noProof/>
              </w:rPr>
              <w:drawing>
                <wp:inline distT="0" distB="0" distL="0" distR="0" wp14:anchorId="52FCE2AB" wp14:editId="4A90AB3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582A90" w:rsidRDefault="001667B6" w:rsidP="001667B6">
            <w:pPr>
              <w:rPr>
                <w:b/>
                <w:bCs/>
                <w:sz w:val="40"/>
                <w:szCs w:val="40"/>
              </w:rPr>
            </w:pPr>
            <w:r w:rsidRPr="00582A90">
              <w:rPr>
                <w:b/>
                <w:bCs/>
                <w:sz w:val="40"/>
                <w:szCs w:val="40"/>
              </w:rPr>
              <w:t>A</w:t>
            </w:r>
          </w:p>
        </w:tc>
      </w:tr>
      <w:tr w:rsidR="001667B6" w:rsidRPr="00582A90" w:rsidTr="00582A90">
        <w:trPr>
          <w:trHeight w:val="333"/>
        </w:trPr>
        <w:tc>
          <w:tcPr>
            <w:tcW w:w="9571" w:type="dxa"/>
            <w:gridSpan w:val="3"/>
            <w:tcBorders>
              <w:top w:val="single" w:sz="4" w:space="0" w:color="auto"/>
            </w:tcBorders>
            <w:shd w:val="clear" w:color="auto" w:fill="auto"/>
            <w:vAlign w:val="bottom"/>
          </w:tcPr>
          <w:p w:rsidR="00B6101C" w:rsidRPr="00B6101C" w:rsidRDefault="00470628" w:rsidP="005804FC">
            <w:pPr>
              <w:pStyle w:val="DocumentCodeAR"/>
              <w:bidi/>
              <w:rPr>
                <w:rtl/>
              </w:rPr>
            </w:pPr>
            <w:r>
              <w:t>CDIP</w:t>
            </w:r>
            <w:r w:rsidR="00100F97">
              <w:t>/</w:t>
            </w:r>
            <w:r w:rsidR="00A871F4">
              <w:t>1</w:t>
            </w:r>
            <w:r w:rsidR="00A375CD">
              <w:t>4</w:t>
            </w:r>
            <w:r w:rsidR="009E364C">
              <w:t>/INF/4</w:t>
            </w:r>
          </w:p>
        </w:tc>
      </w:tr>
      <w:tr w:rsidR="001667B6" w:rsidRPr="00582A90" w:rsidTr="00582A90">
        <w:tc>
          <w:tcPr>
            <w:tcW w:w="9571" w:type="dxa"/>
            <w:gridSpan w:val="3"/>
            <w:shd w:val="clear" w:color="auto" w:fill="auto"/>
          </w:tcPr>
          <w:p w:rsidR="001667B6" w:rsidRPr="00B6101C" w:rsidRDefault="00B6101C" w:rsidP="009E364C">
            <w:pPr>
              <w:pStyle w:val="DocumentLanguageAR"/>
              <w:bidi/>
              <w:rPr>
                <w:rtl/>
              </w:rPr>
            </w:pPr>
            <w:r w:rsidRPr="00B6101C">
              <w:rPr>
                <w:rFonts w:hint="cs"/>
                <w:rtl/>
              </w:rPr>
              <w:t xml:space="preserve">الأصل: </w:t>
            </w:r>
            <w:r w:rsidR="009E364C">
              <w:rPr>
                <w:rFonts w:hint="cs"/>
                <w:rtl/>
              </w:rPr>
              <w:t>بالإنكليزية</w:t>
            </w:r>
          </w:p>
        </w:tc>
      </w:tr>
      <w:tr w:rsidR="001667B6" w:rsidRPr="00582A90" w:rsidTr="00582A90">
        <w:tc>
          <w:tcPr>
            <w:tcW w:w="9571" w:type="dxa"/>
            <w:gridSpan w:val="3"/>
            <w:shd w:val="clear" w:color="auto" w:fill="auto"/>
          </w:tcPr>
          <w:p w:rsidR="001667B6" w:rsidRPr="00B6101C" w:rsidRDefault="00B6101C" w:rsidP="009E364C">
            <w:pPr>
              <w:pStyle w:val="DocumentDateAR"/>
              <w:bidi/>
              <w:rPr>
                <w:rtl/>
              </w:rPr>
            </w:pPr>
            <w:r w:rsidRPr="00B6101C">
              <w:rPr>
                <w:rFonts w:hint="cs"/>
                <w:rtl/>
              </w:rPr>
              <w:t xml:space="preserve">التاريخ: </w:t>
            </w:r>
            <w:r w:rsidR="009E364C">
              <w:rPr>
                <w:rFonts w:hint="cs"/>
                <w:rtl/>
              </w:rPr>
              <w:t>9</w:t>
            </w:r>
            <w:r w:rsidRPr="00B6101C">
              <w:rPr>
                <w:rFonts w:hint="cs"/>
                <w:rtl/>
              </w:rPr>
              <w:t xml:space="preserve"> </w:t>
            </w:r>
            <w:r w:rsidR="009E364C">
              <w:rPr>
                <w:rFonts w:hint="cs"/>
                <w:rtl/>
              </w:rPr>
              <w:t>سبتمبر</w:t>
            </w:r>
            <w:r w:rsidRPr="00B6101C">
              <w:rPr>
                <w:rFonts w:hint="cs"/>
                <w:rtl/>
              </w:rPr>
              <w:t xml:space="preserve"> </w:t>
            </w:r>
            <w:r w:rsidR="005804FC">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100F97" w:rsidP="00470628">
      <w:pPr>
        <w:pStyle w:val="MeetingTitleAR"/>
        <w:bidi/>
        <w:ind w:right="550"/>
        <w:rPr>
          <w:rtl/>
        </w:rPr>
      </w:pPr>
      <w:r w:rsidRPr="00100F97">
        <w:rPr>
          <w:rtl/>
        </w:rPr>
        <w:t xml:space="preserve">اللجنة </w:t>
      </w:r>
      <w:r w:rsidR="00470628">
        <w:rPr>
          <w:rFonts w:hint="cs"/>
          <w:rtl/>
        </w:rPr>
        <w:t>المعنية بالتنمية والملكية الفكرية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A375CD">
      <w:pPr>
        <w:pStyle w:val="MeetingSessionAR"/>
        <w:bidi/>
        <w:rPr>
          <w:rFonts w:ascii="Cambria Math" w:hAnsi="Cambria Math"/>
          <w:rtl/>
        </w:rPr>
      </w:pPr>
      <w:r w:rsidRPr="00783D11">
        <w:rPr>
          <w:rFonts w:ascii="Cambria Math" w:hAnsi="Cambria Math"/>
          <w:rtl/>
        </w:rPr>
        <w:t xml:space="preserve">الدورة </w:t>
      </w:r>
      <w:r w:rsidR="00A375CD">
        <w:rPr>
          <w:rFonts w:ascii="Cambria Math" w:hAnsi="Cambria Math" w:hint="cs"/>
          <w:rtl/>
        </w:rPr>
        <w:t>الرابعة</w:t>
      </w:r>
      <w:r w:rsidR="00796CF7">
        <w:rPr>
          <w:rFonts w:ascii="Cambria Math" w:hAnsi="Cambria Math" w:hint="cs"/>
          <w:rtl/>
        </w:rPr>
        <w:t xml:space="preserve"> عشرة</w:t>
      </w:r>
    </w:p>
    <w:p w:rsidR="00D61541" w:rsidRPr="00D61541" w:rsidRDefault="00D61541" w:rsidP="00A375CD">
      <w:pPr>
        <w:pStyle w:val="MeetingDatesAR"/>
        <w:bidi/>
        <w:rPr>
          <w:rtl/>
        </w:rPr>
      </w:pPr>
      <w:r w:rsidRPr="00D61541">
        <w:rPr>
          <w:rFonts w:hint="cs"/>
          <w:rtl/>
        </w:rPr>
        <w:t xml:space="preserve">جنيف، من </w:t>
      </w:r>
      <w:r w:rsidR="00A375CD">
        <w:rPr>
          <w:rFonts w:hint="cs"/>
          <w:rtl/>
        </w:rPr>
        <w:t>10</w:t>
      </w:r>
      <w:r w:rsidR="00100F97">
        <w:rPr>
          <w:rFonts w:hint="cs"/>
          <w:rtl/>
        </w:rPr>
        <w:t xml:space="preserve"> إلى </w:t>
      </w:r>
      <w:r w:rsidR="00A375CD">
        <w:rPr>
          <w:rFonts w:hint="cs"/>
          <w:rtl/>
        </w:rPr>
        <w:t>14</w:t>
      </w:r>
      <w:r w:rsidR="00783D11">
        <w:rPr>
          <w:rFonts w:hint="cs"/>
          <w:rtl/>
        </w:rPr>
        <w:t xml:space="preserve"> </w:t>
      </w:r>
      <w:r w:rsidR="00A375CD">
        <w:rPr>
          <w:rFonts w:hint="cs"/>
          <w:rtl/>
        </w:rPr>
        <w:t>نوفمبر</w:t>
      </w:r>
      <w:r w:rsidR="00AE2328">
        <w:rPr>
          <w:rFonts w:hint="cs"/>
          <w:rtl/>
        </w:rPr>
        <w:t xml:space="preserve"> </w:t>
      </w:r>
      <w:r w:rsidR="005804FC">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9E364C" w:rsidP="002F6F94">
      <w:pPr>
        <w:pStyle w:val="DocumentTitleAR"/>
        <w:bidi/>
        <w:rPr>
          <w:rtl/>
        </w:rPr>
      </w:pPr>
      <w:r>
        <w:rPr>
          <w:rtl/>
        </w:rPr>
        <w:t xml:space="preserve">ملخص الدراسة عن </w:t>
      </w:r>
      <w:r w:rsidR="002F6F94">
        <w:rPr>
          <w:rFonts w:hint="cs"/>
          <w:rtl/>
          <w:lang w:val="fr-CH"/>
        </w:rPr>
        <w:t>وقع</w:t>
      </w:r>
      <w:r w:rsidRPr="009E364C">
        <w:rPr>
          <w:rtl/>
        </w:rPr>
        <w:t xml:space="preserve"> نماذج المنفعة في تايلند</w:t>
      </w:r>
    </w:p>
    <w:p w:rsidR="00D61541" w:rsidRDefault="00D61541" w:rsidP="00E863D1">
      <w:pPr>
        <w:pStyle w:val="PreparedbyAR"/>
        <w:bidi/>
        <w:rPr>
          <w:rtl/>
        </w:rPr>
      </w:pPr>
      <w:r w:rsidRPr="00D61541">
        <w:rPr>
          <w:rFonts w:hint="cs"/>
          <w:rtl/>
        </w:rPr>
        <w:t xml:space="preserve">من </w:t>
      </w:r>
      <w:r w:rsidRPr="00931859">
        <w:rPr>
          <w:rFonts w:hint="cs"/>
          <w:rtl/>
        </w:rPr>
        <w:t>إعداد</w:t>
      </w:r>
      <w:r w:rsidR="009E364C">
        <w:rPr>
          <w:rFonts w:hint="cs"/>
          <w:rtl/>
        </w:rPr>
        <w:t xml:space="preserve"> الأمانة بالتعاون مع السيدة</w:t>
      </w:r>
      <w:r w:rsidR="00E863D1">
        <w:rPr>
          <w:rFonts w:hint="eastAsia"/>
          <w:rtl/>
        </w:rPr>
        <w:t> </w:t>
      </w:r>
      <w:proofErr w:type="spellStart"/>
      <w:r w:rsidR="009E364C">
        <w:rPr>
          <w:rFonts w:hint="cs"/>
          <w:rtl/>
        </w:rPr>
        <w:t>دوندين</w:t>
      </w:r>
      <w:proofErr w:type="spellEnd"/>
      <w:r w:rsidR="00E863D1">
        <w:rPr>
          <w:rFonts w:hint="eastAsia"/>
          <w:rtl/>
        </w:rPr>
        <w:t> </w:t>
      </w:r>
      <w:proofErr w:type="spellStart"/>
      <w:r w:rsidR="009E364C">
        <w:rPr>
          <w:rFonts w:hint="cs"/>
          <w:rtl/>
        </w:rPr>
        <w:t>نيكومبوريرك</w:t>
      </w:r>
      <w:proofErr w:type="spellEnd"/>
      <w:r w:rsidR="009E364C">
        <w:rPr>
          <w:rFonts w:hint="cs"/>
          <w:rtl/>
        </w:rPr>
        <w:t xml:space="preserve">، مديرة قسم البحوث، </w:t>
      </w:r>
      <w:r w:rsidR="00BA52CE">
        <w:rPr>
          <w:rFonts w:hint="cs"/>
          <w:rtl/>
        </w:rPr>
        <w:t>الحوكمة الاقتصادية، والسيدة</w:t>
      </w:r>
      <w:r w:rsidR="00E863D1">
        <w:rPr>
          <w:rFonts w:hint="eastAsia"/>
          <w:rtl/>
        </w:rPr>
        <w:t> </w:t>
      </w:r>
      <w:proofErr w:type="spellStart"/>
      <w:r w:rsidR="00BA52CE">
        <w:rPr>
          <w:rFonts w:hint="cs"/>
          <w:rtl/>
        </w:rPr>
        <w:t>ويراوان</w:t>
      </w:r>
      <w:proofErr w:type="spellEnd"/>
      <w:r w:rsidR="00E863D1">
        <w:rPr>
          <w:rFonts w:hint="eastAsia"/>
          <w:rtl/>
        </w:rPr>
        <w:t> </w:t>
      </w:r>
      <w:proofErr w:type="spellStart"/>
      <w:r w:rsidR="00BA52CE">
        <w:rPr>
          <w:rFonts w:hint="cs"/>
          <w:rtl/>
        </w:rPr>
        <w:t>بايبونكوت</w:t>
      </w:r>
      <w:proofErr w:type="spellEnd"/>
      <w:r w:rsidR="00BA52CE">
        <w:rPr>
          <w:rFonts w:hint="cs"/>
          <w:rtl/>
        </w:rPr>
        <w:t>-أري، كبيرة باحثين، برنامج اقتصاديات القطاعات، معهد تايلند لبحوث التنمية، تايلند</w:t>
      </w:r>
    </w:p>
    <w:p w:rsidR="00BA52CE" w:rsidRDefault="00BA52CE" w:rsidP="002F6F94">
      <w:pPr>
        <w:pStyle w:val="NumberedParaAR"/>
      </w:pPr>
      <w:r>
        <w:rPr>
          <w:rFonts w:hint="cs"/>
          <w:rtl/>
        </w:rPr>
        <w:t xml:space="preserve">يحتوي مرفق هذه الوثيقة على ملخص الدراسة عن </w:t>
      </w:r>
      <w:r w:rsidR="002F6F94">
        <w:rPr>
          <w:rFonts w:hint="cs"/>
          <w:rtl/>
        </w:rPr>
        <w:t xml:space="preserve">وقع </w:t>
      </w:r>
      <w:r>
        <w:rPr>
          <w:rFonts w:hint="cs"/>
          <w:rtl/>
        </w:rPr>
        <w:t>نماذج المنفعة في تايلند، وهي دراسة أعدَّت في إطار مشروع "الملكية الفكرية والتنمية الاجتماعية والاقتصادية" (الوثيقة </w:t>
      </w:r>
      <w:r>
        <w:t>CDIP/5/7 Rev.</w:t>
      </w:r>
      <w:r>
        <w:rPr>
          <w:rFonts w:hint="cs"/>
          <w:rtl/>
        </w:rPr>
        <w:t xml:space="preserve">) </w:t>
      </w:r>
      <w:r>
        <w:rPr>
          <w:rtl/>
        </w:rPr>
        <w:t xml:space="preserve">الذي وافقت عليه اللجنة المعنية بالتنمية والملكية الفكرية (اللجنة) في دورتها الخامسة </w:t>
      </w:r>
      <w:r w:rsidR="00662C1F">
        <w:rPr>
          <w:rtl/>
        </w:rPr>
        <w:t>التي عُقدت</w:t>
      </w:r>
      <w:r>
        <w:rPr>
          <w:rtl/>
        </w:rPr>
        <w:t xml:space="preserve"> </w:t>
      </w:r>
      <w:r w:rsidR="00CA6ACB">
        <w:rPr>
          <w:rFonts w:hint="cs"/>
          <w:rtl/>
        </w:rPr>
        <w:t>في أبريل</w:t>
      </w:r>
      <w:r w:rsidR="00CA6ACB">
        <w:rPr>
          <w:rFonts w:hint="eastAsia"/>
          <w:rtl/>
        </w:rPr>
        <w:t> </w:t>
      </w:r>
      <w:r w:rsidR="00CA6ACB">
        <w:rPr>
          <w:rFonts w:hint="cs"/>
          <w:rtl/>
        </w:rPr>
        <w:t xml:space="preserve">2010. وتكمل هذه الدراسة وثيقة سابقة عن التحليل الوصفي لتنفيذ نماذج المنفعة واستخدامها في تايلند كانت قد قُدمت إلى اللجنة في دورتها الثانية عشرة </w:t>
      </w:r>
      <w:r w:rsidR="00662C1F">
        <w:rPr>
          <w:rFonts w:hint="cs"/>
          <w:rtl/>
        </w:rPr>
        <w:t>التي عُقدت</w:t>
      </w:r>
      <w:r w:rsidR="00CA6ACB">
        <w:rPr>
          <w:rFonts w:hint="cs"/>
          <w:rtl/>
        </w:rPr>
        <w:t xml:space="preserve"> في الفترة من 18</w:t>
      </w:r>
      <w:r w:rsidR="00CA6ACB">
        <w:rPr>
          <w:rFonts w:hint="eastAsia"/>
          <w:rtl/>
        </w:rPr>
        <w:t> </w:t>
      </w:r>
      <w:r w:rsidR="00CA6ACB">
        <w:rPr>
          <w:rFonts w:hint="cs"/>
          <w:rtl/>
        </w:rPr>
        <w:t>إلى</w:t>
      </w:r>
      <w:r w:rsidR="00CA6ACB">
        <w:rPr>
          <w:rFonts w:hint="eastAsia"/>
          <w:rtl/>
        </w:rPr>
        <w:t> </w:t>
      </w:r>
      <w:r w:rsidR="00CA6ACB">
        <w:rPr>
          <w:rFonts w:hint="cs"/>
          <w:rtl/>
        </w:rPr>
        <w:t>21</w:t>
      </w:r>
      <w:r w:rsidR="00CA6ACB">
        <w:rPr>
          <w:rFonts w:hint="eastAsia"/>
          <w:rtl/>
        </w:rPr>
        <w:t> </w:t>
      </w:r>
      <w:r w:rsidR="00CA6ACB">
        <w:rPr>
          <w:rFonts w:hint="cs"/>
          <w:rtl/>
        </w:rPr>
        <w:t>نوفمبر</w:t>
      </w:r>
      <w:r w:rsidR="00CA6ACB">
        <w:rPr>
          <w:rFonts w:hint="eastAsia"/>
          <w:rtl/>
        </w:rPr>
        <w:t> </w:t>
      </w:r>
      <w:r w:rsidR="00CA6ACB">
        <w:rPr>
          <w:rFonts w:hint="cs"/>
          <w:rtl/>
        </w:rPr>
        <w:t>2013. واستناداً إلى بيانات سجلات وحدات مفصلة وجديدة بشأن تسجيل نماذج المنفعة، تبحث هذه الوثيقة طرق تأثير نماذج المنفعة على أداء الشركات المحلية في تايلند.</w:t>
      </w:r>
    </w:p>
    <w:p w:rsidR="00BA52CE" w:rsidRDefault="00BA52CE" w:rsidP="00BA52CE">
      <w:pPr>
        <w:pStyle w:val="DecisionParaAR"/>
        <w:rPr>
          <w:rtl/>
        </w:rPr>
      </w:pPr>
      <w:r>
        <w:rPr>
          <w:rFonts w:hint="cs"/>
          <w:rtl/>
          <w:lang w:val="fr-CH"/>
        </w:rPr>
        <w:t>إن اللجنة مدعوة إلى الإحاطة علما</w:t>
      </w:r>
      <w:r w:rsidR="00CA6ACB">
        <w:rPr>
          <w:rFonts w:hint="cs"/>
          <w:rtl/>
          <w:lang w:val="fr-CH"/>
        </w:rPr>
        <w:t>ً</w:t>
      </w:r>
      <w:r>
        <w:rPr>
          <w:rFonts w:hint="cs"/>
          <w:rtl/>
          <w:lang w:val="fr-CH"/>
        </w:rPr>
        <w:t xml:space="preserve"> بالمعلومات الواردة في مرفق هذه الوثيقة.</w:t>
      </w:r>
    </w:p>
    <w:p w:rsidR="00BA52CE" w:rsidRDefault="00BA52CE" w:rsidP="00BA52CE">
      <w:pPr>
        <w:pStyle w:val="EndofDocumentAR"/>
        <w:rPr>
          <w:rtl/>
        </w:rPr>
      </w:pPr>
      <w:r>
        <w:rPr>
          <w:rFonts w:hint="cs"/>
          <w:rtl/>
        </w:rPr>
        <w:t>[يلي ذلك المرفق]</w:t>
      </w:r>
    </w:p>
    <w:p w:rsidR="00CA6ACB" w:rsidRDefault="00CA6ACB" w:rsidP="00A375CD">
      <w:pPr>
        <w:pStyle w:val="NormalParaAR"/>
        <w:rPr>
          <w:rtl/>
        </w:rPr>
      </w:pPr>
    </w:p>
    <w:p w:rsidR="00CA6ACB" w:rsidRDefault="00CA6ACB" w:rsidP="00A375CD">
      <w:pPr>
        <w:pStyle w:val="NormalParaAR"/>
        <w:rPr>
          <w:rtl/>
        </w:rPr>
        <w:sectPr w:rsidR="00CA6ACB" w:rsidSect="00EB7752">
          <w:headerReference w:type="default" r:id="rId10"/>
          <w:pgSz w:w="11907" w:h="16840" w:code="9"/>
          <w:pgMar w:top="567" w:right="1418" w:bottom="1418" w:left="1134" w:header="510" w:footer="1021" w:gutter="0"/>
          <w:cols w:space="720"/>
          <w:titlePg/>
          <w:docGrid w:linePitch="299"/>
        </w:sectPr>
      </w:pPr>
    </w:p>
    <w:p w:rsidR="00A375CD" w:rsidRDefault="00CA6ACB" w:rsidP="00DE71EB">
      <w:pPr>
        <w:pStyle w:val="Heading1AR"/>
        <w:spacing w:before="0" w:line="360" w:lineRule="exact"/>
        <w:rPr>
          <w:rtl/>
        </w:rPr>
      </w:pPr>
      <w:r>
        <w:rPr>
          <w:rFonts w:hint="cs"/>
          <w:rtl/>
        </w:rPr>
        <w:lastRenderedPageBreak/>
        <w:t xml:space="preserve">طرق تأثير نماذج المنفعة </w:t>
      </w:r>
      <w:r w:rsidR="00DE71EB">
        <w:rPr>
          <w:rFonts w:hint="cs"/>
          <w:rtl/>
        </w:rPr>
        <w:t xml:space="preserve">في </w:t>
      </w:r>
      <w:r>
        <w:rPr>
          <w:rFonts w:hint="cs"/>
          <w:rtl/>
        </w:rPr>
        <w:t>أداء الشركات المحلية في تايلند</w:t>
      </w:r>
    </w:p>
    <w:p w:rsidR="00CA6ACB" w:rsidRDefault="00CA6ACB" w:rsidP="00CA6ACB">
      <w:pPr>
        <w:pStyle w:val="Heading1AR"/>
        <w:spacing w:before="0" w:line="360" w:lineRule="exact"/>
        <w:rPr>
          <w:rtl/>
        </w:rPr>
      </w:pPr>
      <w:r>
        <w:rPr>
          <w:rFonts w:hint="cs"/>
          <w:rtl/>
        </w:rPr>
        <w:t>ملخص عملي</w:t>
      </w:r>
    </w:p>
    <w:p w:rsidR="00CA6ACB" w:rsidRDefault="00D154D7" w:rsidP="00DE71EB">
      <w:pPr>
        <w:pStyle w:val="NormalParaAR"/>
        <w:rPr>
          <w:rtl/>
        </w:rPr>
      </w:pPr>
      <w:r>
        <w:rPr>
          <w:rFonts w:hint="cs"/>
          <w:rtl/>
        </w:rPr>
        <w:t xml:space="preserve">هذه الوثيقة </w:t>
      </w:r>
      <w:r w:rsidR="00E76540">
        <w:rPr>
          <w:rFonts w:hint="cs"/>
          <w:rtl/>
        </w:rPr>
        <w:t>أحد نواتج</w:t>
      </w:r>
      <w:r>
        <w:rPr>
          <w:rFonts w:hint="cs"/>
          <w:rtl/>
        </w:rPr>
        <w:t xml:space="preserve"> مشروع الملكية الفكرية والتنمية الاجتماعية والاقتصادية </w:t>
      </w:r>
      <w:r w:rsidR="00311DCE">
        <w:rPr>
          <w:rFonts w:hint="cs"/>
          <w:rtl/>
        </w:rPr>
        <w:t xml:space="preserve">التابع </w:t>
      </w:r>
      <w:r>
        <w:rPr>
          <w:rtl/>
        </w:rPr>
        <w:t>للجنة المعنية بالتنمية والملكية الفكرية (اللجنة)</w:t>
      </w:r>
      <w:r w:rsidR="00E76540">
        <w:rPr>
          <w:rFonts w:hint="cs"/>
          <w:rtl/>
        </w:rPr>
        <w:t xml:space="preserve"> والذي تألف من مجموعة من الدراسات الاقتصادية التي تس</w:t>
      </w:r>
      <w:r w:rsidR="004278D1">
        <w:rPr>
          <w:rFonts w:hint="cs"/>
          <w:rtl/>
        </w:rPr>
        <w:t>عى</w:t>
      </w:r>
      <w:r w:rsidR="00E76540">
        <w:rPr>
          <w:rFonts w:hint="cs"/>
          <w:rtl/>
        </w:rPr>
        <w:t xml:space="preserve"> إلى تقديم الأدلة على آثار الملكية الفكرية في البلدان الأقل تقدماً.</w:t>
      </w:r>
      <w:r w:rsidR="00E76540">
        <w:rPr>
          <w:rStyle w:val="FootnoteReference"/>
          <w:rtl/>
        </w:rPr>
        <w:footnoteReference w:id="1"/>
      </w:r>
      <w:r w:rsidR="00E76540">
        <w:rPr>
          <w:rFonts w:hint="cs"/>
          <w:rtl/>
        </w:rPr>
        <w:t xml:space="preserve"> وتبحث هذه الدراسة</w:t>
      </w:r>
      <w:r w:rsidR="00311DCE">
        <w:rPr>
          <w:rFonts w:hint="cs"/>
          <w:rtl/>
        </w:rPr>
        <w:t>،</w:t>
      </w:r>
      <w:r w:rsidR="00E76540">
        <w:rPr>
          <w:rFonts w:hint="cs"/>
          <w:rtl/>
        </w:rPr>
        <w:t xml:space="preserve"> بوجه خاص</w:t>
      </w:r>
      <w:r w:rsidR="00311DCE">
        <w:rPr>
          <w:rFonts w:hint="cs"/>
          <w:rtl/>
        </w:rPr>
        <w:t>،</w:t>
      </w:r>
      <w:r w:rsidR="00E76540">
        <w:rPr>
          <w:rFonts w:hint="cs"/>
          <w:rtl/>
        </w:rPr>
        <w:t xml:space="preserve"> </w:t>
      </w:r>
      <w:r w:rsidR="00DE71EB">
        <w:rPr>
          <w:rFonts w:hint="cs"/>
          <w:rtl/>
        </w:rPr>
        <w:t>وقع</w:t>
      </w:r>
      <w:r w:rsidR="00E76540">
        <w:rPr>
          <w:rFonts w:hint="cs"/>
          <w:rtl/>
        </w:rPr>
        <w:t xml:space="preserve"> حماية نماذج المنفعة</w:t>
      </w:r>
      <w:r w:rsidR="00311DCE">
        <w:rPr>
          <w:rFonts w:hint="cs"/>
          <w:rtl/>
        </w:rPr>
        <w:t xml:space="preserve"> </w:t>
      </w:r>
      <w:r w:rsidR="00E76540">
        <w:rPr>
          <w:rFonts w:hint="cs"/>
          <w:rtl/>
        </w:rPr>
        <w:t>في تايلند</w:t>
      </w:r>
      <w:r w:rsidR="00311DCE">
        <w:rPr>
          <w:rFonts w:hint="cs"/>
          <w:rtl/>
        </w:rPr>
        <w:t xml:space="preserve"> وهي</w:t>
      </w:r>
      <w:r w:rsidR="00E76540">
        <w:rPr>
          <w:rFonts w:hint="cs"/>
          <w:rtl/>
        </w:rPr>
        <w:t xml:space="preserve"> </w:t>
      </w:r>
      <w:r w:rsidR="00D4542C">
        <w:rPr>
          <w:rFonts w:hint="cs"/>
          <w:rtl/>
        </w:rPr>
        <w:t>أحد البلدان ذات</w:t>
      </w:r>
      <w:r w:rsidR="00E76540">
        <w:rPr>
          <w:rFonts w:hint="cs"/>
          <w:rtl/>
        </w:rPr>
        <w:t xml:space="preserve"> </w:t>
      </w:r>
      <w:r w:rsidR="00D4542C">
        <w:rPr>
          <w:rFonts w:hint="cs"/>
          <w:rtl/>
        </w:rPr>
        <w:t>ال</w:t>
      </w:r>
      <w:r w:rsidR="00E76540">
        <w:rPr>
          <w:rFonts w:hint="cs"/>
          <w:rtl/>
        </w:rPr>
        <w:t xml:space="preserve">دخل </w:t>
      </w:r>
      <w:r w:rsidR="00D4542C">
        <w:rPr>
          <w:rFonts w:hint="cs"/>
          <w:rtl/>
        </w:rPr>
        <w:t>ال</w:t>
      </w:r>
      <w:r w:rsidR="00E76540">
        <w:rPr>
          <w:rFonts w:hint="cs"/>
          <w:rtl/>
        </w:rPr>
        <w:t xml:space="preserve">متوسط </w:t>
      </w:r>
      <w:r w:rsidR="00D4542C">
        <w:rPr>
          <w:rFonts w:hint="cs"/>
          <w:rtl/>
        </w:rPr>
        <w:t>ال</w:t>
      </w:r>
      <w:r w:rsidR="00E76540">
        <w:rPr>
          <w:rFonts w:hint="cs"/>
          <w:rtl/>
        </w:rPr>
        <w:t>مرتفع. وتنقسم نتائج دراسة هذا البلد إلى الجزأين التاليين: تقدم الوثيقة الأولى تحليلاً وصفياً</w:t>
      </w:r>
      <w:r w:rsidR="004278D1">
        <w:rPr>
          <w:rFonts w:hint="cs"/>
          <w:rtl/>
        </w:rPr>
        <w:t xml:space="preserve"> لاستخدام حماية نماذج المنفعة في</w:t>
      </w:r>
      <w:r w:rsidR="00E76540">
        <w:rPr>
          <w:rFonts w:hint="cs"/>
          <w:rtl/>
        </w:rPr>
        <w:t xml:space="preserve"> تايلند وقدِّمت إلى اللجنة خلال دورتها الثانية عشرة </w:t>
      </w:r>
      <w:r w:rsidR="00662C1F">
        <w:rPr>
          <w:rFonts w:hint="cs"/>
          <w:rtl/>
        </w:rPr>
        <w:t>التي عُقدت</w:t>
      </w:r>
      <w:r w:rsidR="00E76540">
        <w:rPr>
          <w:rFonts w:hint="cs"/>
          <w:rtl/>
        </w:rPr>
        <w:t xml:space="preserve"> في نوفمبر 2013. أما الوثيقة الثانية فتبحث طرق تأثير حماية نماذج المنفعة على الأداء الاقتصادي للشركات في تايلند.</w:t>
      </w:r>
    </w:p>
    <w:p w:rsidR="00E76540" w:rsidRDefault="00B00CCD" w:rsidP="004278D1">
      <w:pPr>
        <w:pStyle w:val="NormalParaAR"/>
        <w:rPr>
          <w:rtl/>
        </w:rPr>
      </w:pPr>
      <w:r>
        <w:rPr>
          <w:rFonts w:hint="cs"/>
          <w:rtl/>
        </w:rPr>
        <w:t>وإ</w:t>
      </w:r>
      <w:r w:rsidR="00BD637A">
        <w:rPr>
          <w:rFonts w:hint="cs"/>
          <w:rtl/>
        </w:rPr>
        <w:t>جراءً لهذا البحث، اعت</w:t>
      </w:r>
      <w:r w:rsidR="00D4542C">
        <w:rPr>
          <w:rFonts w:hint="cs"/>
          <w:rtl/>
        </w:rPr>
        <w:t xml:space="preserve">مد </w:t>
      </w:r>
      <w:r w:rsidR="00BD637A">
        <w:rPr>
          <w:rFonts w:hint="cs"/>
          <w:rtl/>
        </w:rPr>
        <w:t xml:space="preserve">الفريق </w:t>
      </w:r>
      <w:r w:rsidR="00D4542C">
        <w:rPr>
          <w:rFonts w:hint="cs"/>
          <w:rtl/>
        </w:rPr>
        <w:t>على قاعدة بيانات جديدة وشاملة بشأن نماذج المنفعة في تايلند أعدَّت من خلال جهود مشتركة بين معهد تايلند لبحوث التنمية والمنظمة العالمية للملكية الفكرية بالتعاون الوثيق مع إدارة تايلند المعنية بالملكية الفكرية والتابعة لوزارة التجارة.</w:t>
      </w:r>
      <w:r w:rsidR="00D4542C">
        <w:rPr>
          <w:rStyle w:val="FootnoteReference"/>
          <w:rtl/>
        </w:rPr>
        <w:footnoteReference w:id="2"/>
      </w:r>
      <w:r w:rsidR="00D4542C">
        <w:rPr>
          <w:rFonts w:hint="cs"/>
          <w:rtl/>
        </w:rPr>
        <w:t xml:space="preserve"> وتحتوي</w:t>
      </w:r>
      <w:r w:rsidR="00BD637A">
        <w:rPr>
          <w:rFonts w:hint="cs"/>
          <w:rtl/>
        </w:rPr>
        <w:t xml:space="preserve"> هذه القاعدة</w:t>
      </w:r>
      <w:r w:rsidR="00D4542C">
        <w:rPr>
          <w:rFonts w:hint="cs"/>
          <w:rtl/>
        </w:rPr>
        <w:t xml:space="preserve"> على جميع نماذج المنفعة المسجلة في تايلند من أكتوبر 1996 إلى سبتمبر 2012 فضلاً عن معلومات أخرى متصلة بها. وانتق</w:t>
      </w:r>
      <w:r w:rsidR="004278D1">
        <w:rPr>
          <w:rFonts w:hint="cs"/>
          <w:rtl/>
        </w:rPr>
        <w:t>ى</w:t>
      </w:r>
      <w:r w:rsidR="00D4542C">
        <w:rPr>
          <w:rFonts w:hint="cs"/>
          <w:rtl/>
        </w:rPr>
        <w:t xml:space="preserve"> </w:t>
      </w:r>
      <w:r w:rsidR="00BD637A">
        <w:rPr>
          <w:rFonts w:hint="cs"/>
          <w:rtl/>
        </w:rPr>
        <w:t xml:space="preserve">الفريق </w:t>
      </w:r>
      <w:r w:rsidR="00D4542C">
        <w:rPr>
          <w:rFonts w:hint="cs"/>
          <w:rtl/>
        </w:rPr>
        <w:t xml:space="preserve">من مجموعة البيانات هذه الطلبات التي أودعتها شركات محلية أو </w:t>
      </w:r>
      <w:r w:rsidR="00BD637A">
        <w:rPr>
          <w:rFonts w:hint="cs"/>
          <w:rtl/>
        </w:rPr>
        <w:t>أمكن نسبها</w:t>
      </w:r>
      <w:r w:rsidR="00D4542C">
        <w:rPr>
          <w:rFonts w:hint="cs"/>
          <w:rtl/>
        </w:rPr>
        <w:t xml:space="preserve"> إل</w:t>
      </w:r>
      <w:r w:rsidR="00BD637A">
        <w:rPr>
          <w:rFonts w:hint="cs"/>
          <w:rtl/>
        </w:rPr>
        <w:t>يها</w:t>
      </w:r>
      <w:r w:rsidR="00D4542C">
        <w:rPr>
          <w:rFonts w:hint="cs"/>
          <w:rtl/>
        </w:rPr>
        <w:t xml:space="preserve"> في الفترة من 1999</w:t>
      </w:r>
      <w:r w:rsidR="00311DCE">
        <w:rPr>
          <w:rFonts w:hint="eastAsia"/>
          <w:rtl/>
        </w:rPr>
        <w:t> </w:t>
      </w:r>
      <w:r w:rsidR="00D4542C">
        <w:rPr>
          <w:rFonts w:hint="cs"/>
          <w:rtl/>
        </w:rPr>
        <w:t>إلى</w:t>
      </w:r>
      <w:r w:rsidR="00BD637A">
        <w:rPr>
          <w:rFonts w:hint="eastAsia"/>
          <w:rtl/>
        </w:rPr>
        <w:t> </w:t>
      </w:r>
      <w:r w:rsidR="00D4542C">
        <w:rPr>
          <w:rFonts w:hint="cs"/>
          <w:rtl/>
        </w:rPr>
        <w:t xml:space="preserve">2012 ووسع نطاق هذه المعلومات لضم المعلومات الخاصة بالشركات </w:t>
      </w:r>
      <w:r w:rsidR="00311DCE">
        <w:rPr>
          <w:rFonts w:hint="cs"/>
          <w:rtl/>
        </w:rPr>
        <w:t>حصراً</w:t>
      </w:r>
      <w:r w:rsidR="00D4542C">
        <w:rPr>
          <w:rFonts w:hint="cs"/>
          <w:rtl/>
        </w:rPr>
        <w:t>.</w:t>
      </w:r>
    </w:p>
    <w:p w:rsidR="00BD637A" w:rsidRDefault="00BD637A" w:rsidP="00B00CCD">
      <w:pPr>
        <w:pStyle w:val="NormalParaAR"/>
        <w:rPr>
          <w:rtl/>
        </w:rPr>
      </w:pPr>
      <w:r>
        <w:rPr>
          <w:rFonts w:hint="cs"/>
          <w:rtl/>
        </w:rPr>
        <w:t>و</w:t>
      </w:r>
      <w:r w:rsidR="00B00CCD">
        <w:rPr>
          <w:rFonts w:hint="cs"/>
          <w:rtl/>
        </w:rPr>
        <w:t>أُ</w:t>
      </w:r>
      <w:r>
        <w:rPr>
          <w:rFonts w:hint="cs"/>
          <w:rtl/>
        </w:rPr>
        <w:t xml:space="preserve">جري العمل البحثي على أربعة مراحل. كانت أولها تحديد وجود صلة بين طلب حماية نماذج المنفعة وبين أداء الشركات من خلال رصد </w:t>
      </w:r>
      <w:r w:rsidR="005D027B">
        <w:rPr>
          <w:rFonts w:hint="cs"/>
          <w:rtl/>
        </w:rPr>
        <w:t>الأثر المحتمل على</w:t>
      </w:r>
      <w:r>
        <w:rPr>
          <w:rFonts w:hint="cs"/>
          <w:rtl/>
        </w:rPr>
        <w:t xml:space="preserve"> أداء الشركات قبل طلب</w:t>
      </w:r>
      <w:r w:rsidR="00311DCE">
        <w:rPr>
          <w:rFonts w:hint="cs"/>
          <w:rtl/>
        </w:rPr>
        <w:t>ها</w:t>
      </w:r>
      <w:r>
        <w:rPr>
          <w:rFonts w:hint="cs"/>
          <w:rtl/>
        </w:rPr>
        <w:t xml:space="preserve"> حماية نماذج المنفعة وبعده.</w:t>
      </w:r>
      <w:r w:rsidR="005D027B">
        <w:rPr>
          <w:rFonts w:hint="cs"/>
          <w:rtl/>
        </w:rPr>
        <w:t xml:space="preserve"> أما المرحلة الثانية فهي محاولة تحديد السمات المحددة </w:t>
      </w:r>
      <w:r w:rsidR="004278D1">
        <w:rPr>
          <w:rFonts w:hint="cs"/>
          <w:rtl/>
        </w:rPr>
        <w:t>و</w:t>
      </w:r>
      <w:r w:rsidR="005D027B">
        <w:rPr>
          <w:rFonts w:hint="cs"/>
          <w:rtl/>
        </w:rPr>
        <w:t>المحتملة للشركات التي تلتمس حماية نماذج المنفعة. فإن الشركات العاملة في بعض القطاعات الصناعية مثلاً قد تميل أكثر من غيرها إلى طلب حماية نماذج المنفعة. ثم</w:t>
      </w:r>
      <w:r w:rsidR="00B00CCD">
        <w:rPr>
          <w:rFonts w:hint="cs"/>
          <w:rtl/>
        </w:rPr>
        <w:t xml:space="preserve"> </w:t>
      </w:r>
      <w:r w:rsidR="00311DCE">
        <w:rPr>
          <w:rFonts w:hint="cs"/>
          <w:rtl/>
        </w:rPr>
        <w:t>أجريت</w:t>
      </w:r>
      <w:r w:rsidR="005D027B">
        <w:rPr>
          <w:rFonts w:hint="cs"/>
          <w:rtl/>
        </w:rPr>
        <w:t xml:space="preserve"> تحليلات اقتصادية قياسية رجعية للتأكد من وجود أي أثر</w:t>
      </w:r>
      <w:r w:rsidR="00311DCE">
        <w:rPr>
          <w:rFonts w:hint="cs"/>
          <w:rtl/>
        </w:rPr>
        <w:t>،</w:t>
      </w:r>
      <w:r w:rsidR="005D027B">
        <w:rPr>
          <w:rFonts w:hint="cs"/>
          <w:rtl/>
        </w:rPr>
        <w:t xml:space="preserve"> وأخيراً </w:t>
      </w:r>
      <w:r w:rsidR="00311DCE">
        <w:rPr>
          <w:rFonts w:hint="cs"/>
          <w:rtl/>
        </w:rPr>
        <w:t xml:space="preserve">حُدد </w:t>
      </w:r>
      <w:r w:rsidR="005D027B">
        <w:rPr>
          <w:rFonts w:hint="cs"/>
          <w:rtl/>
        </w:rPr>
        <w:t>مدى أثر حماية نماذج المنفعة على الشركات.</w:t>
      </w:r>
    </w:p>
    <w:p w:rsidR="005D027B" w:rsidRDefault="005D027B" w:rsidP="00311DCE">
      <w:pPr>
        <w:pStyle w:val="NormalParaAR"/>
        <w:rPr>
          <w:rtl/>
        </w:rPr>
      </w:pPr>
      <w:r>
        <w:rPr>
          <w:rFonts w:hint="cs"/>
          <w:rtl/>
        </w:rPr>
        <w:t xml:space="preserve">ويمكن رصد العلاقة بين حماية نماذج المنفعة وأداء الشركات </w:t>
      </w:r>
      <w:r w:rsidR="00311DCE">
        <w:rPr>
          <w:rFonts w:hint="cs"/>
          <w:rtl/>
        </w:rPr>
        <w:t>ب</w:t>
      </w:r>
      <w:r>
        <w:rPr>
          <w:rFonts w:hint="cs"/>
          <w:rtl/>
        </w:rPr>
        <w:t xml:space="preserve">مقارنة هذه المتغيرات في رسوم بيانية. وتشير الرسوم البيانية الواردة في الشكل هاء </w:t>
      </w:r>
      <w:r>
        <w:rPr>
          <w:rtl/>
        </w:rPr>
        <w:t>–</w:t>
      </w:r>
      <w:r>
        <w:rPr>
          <w:rFonts w:hint="cs"/>
          <w:rtl/>
        </w:rPr>
        <w:t xml:space="preserve"> 1 </w:t>
      </w:r>
      <w:r w:rsidR="00311DCE">
        <w:rPr>
          <w:rFonts w:hint="cs"/>
          <w:rtl/>
        </w:rPr>
        <w:t>إلى المخطط الزمني</w:t>
      </w:r>
      <w:r>
        <w:rPr>
          <w:rFonts w:hint="cs"/>
          <w:rtl/>
        </w:rPr>
        <w:t xml:space="preserve"> </w:t>
      </w:r>
      <w:r w:rsidR="00311DCE">
        <w:rPr>
          <w:rFonts w:hint="cs"/>
          <w:rtl/>
        </w:rPr>
        <w:t>ل</w:t>
      </w:r>
      <w:r>
        <w:rPr>
          <w:rFonts w:hint="cs"/>
          <w:rtl/>
        </w:rPr>
        <w:t>طلب الشركات حماية نماذج المنفعة مقارنة بالمؤشرات الثلاثة التالية لأداء الشركات المالي: صافي المبيعات وصافي الأرباح ونسبة المبيعات إلى التكلفة.</w:t>
      </w:r>
    </w:p>
    <w:p w:rsidR="005D027B" w:rsidRDefault="005D027B" w:rsidP="004278D1">
      <w:pPr>
        <w:pStyle w:val="NormalParaAR"/>
        <w:rPr>
          <w:rtl/>
        </w:rPr>
      </w:pPr>
      <w:r>
        <w:rPr>
          <w:rFonts w:hint="cs"/>
          <w:rtl/>
        </w:rPr>
        <w:t>ويبدو في المتوسط أن الشركات التي تستخدم نماذج المنفعة تتميز، بعد طلب نموذج منفعة، بأداء أفضل ف</w:t>
      </w:r>
      <w:r w:rsidR="00F10451">
        <w:rPr>
          <w:rFonts w:hint="cs"/>
          <w:rtl/>
        </w:rPr>
        <w:t xml:space="preserve">ي مؤشراتها المالية الثلاث كلها </w:t>
      </w:r>
      <w:r w:rsidR="00BF6A5B">
        <w:rPr>
          <w:rFonts w:hint="cs"/>
          <w:rtl/>
        </w:rPr>
        <w:t>التي شهدت عدداً من التغييرات الملحوظة. إذ سجلت الشركة التايلندية المتوسطة، بعد خمس سنوات من طلبها حماية نموذج المنفعة، مبيعات قدرها ستة أضعاف ما سجلته خلال السنوات الخمس السابقة للطلب (بارتفاع من بليون</w:t>
      </w:r>
      <w:r w:rsidR="004278D1">
        <w:rPr>
          <w:rFonts w:hint="eastAsia"/>
          <w:rtl/>
        </w:rPr>
        <w:t> </w:t>
      </w:r>
      <w:r w:rsidR="00BF6A5B">
        <w:rPr>
          <w:rFonts w:hint="cs"/>
          <w:rtl/>
        </w:rPr>
        <w:t>ب</w:t>
      </w:r>
      <w:r w:rsidR="00311DCE">
        <w:rPr>
          <w:rFonts w:hint="cs"/>
          <w:rtl/>
        </w:rPr>
        <w:t>ات</w:t>
      </w:r>
      <w:r w:rsidR="00BF6A5B">
        <w:rPr>
          <w:rFonts w:hint="cs"/>
          <w:rtl/>
        </w:rPr>
        <w:t xml:space="preserve"> إلى ستة</w:t>
      </w:r>
      <w:r w:rsidR="004278D1">
        <w:rPr>
          <w:rFonts w:hint="eastAsia"/>
          <w:rtl/>
        </w:rPr>
        <w:t> </w:t>
      </w:r>
      <w:r w:rsidR="00BF6A5B">
        <w:rPr>
          <w:rFonts w:hint="cs"/>
          <w:rtl/>
        </w:rPr>
        <w:t>بل</w:t>
      </w:r>
      <w:r w:rsidR="00311DCE">
        <w:rPr>
          <w:rFonts w:hint="cs"/>
          <w:rtl/>
        </w:rPr>
        <w:t>ايي</w:t>
      </w:r>
      <w:r w:rsidR="00BF6A5B">
        <w:rPr>
          <w:rFonts w:hint="cs"/>
          <w:rtl/>
        </w:rPr>
        <w:t>ن</w:t>
      </w:r>
      <w:r w:rsidR="004278D1">
        <w:rPr>
          <w:rFonts w:hint="eastAsia"/>
          <w:rtl/>
        </w:rPr>
        <w:t> </w:t>
      </w:r>
      <w:r w:rsidR="00311DCE">
        <w:rPr>
          <w:rFonts w:hint="cs"/>
          <w:rtl/>
        </w:rPr>
        <w:t>بات</w:t>
      </w:r>
      <w:r w:rsidR="00BF6A5B">
        <w:rPr>
          <w:rFonts w:hint="cs"/>
          <w:rtl/>
        </w:rPr>
        <w:t xml:space="preserve"> أي ما يعادل تقريباً</w:t>
      </w:r>
      <w:r w:rsidR="00311DCE">
        <w:rPr>
          <w:rFonts w:hint="cs"/>
          <w:rtl/>
        </w:rPr>
        <w:t xml:space="preserve"> زيادة</w:t>
      </w:r>
      <w:r w:rsidR="00BF6A5B">
        <w:rPr>
          <w:rFonts w:hint="cs"/>
          <w:rtl/>
        </w:rPr>
        <w:t xml:space="preserve"> من 32.2</w:t>
      </w:r>
      <w:r w:rsidR="00311DCE">
        <w:rPr>
          <w:rFonts w:hint="eastAsia"/>
          <w:rtl/>
        </w:rPr>
        <w:t> </w:t>
      </w:r>
      <w:r w:rsidR="00BF6A5B">
        <w:rPr>
          <w:rFonts w:hint="cs"/>
          <w:rtl/>
        </w:rPr>
        <w:t>مليون</w:t>
      </w:r>
      <w:r w:rsidR="00311DCE">
        <w:rPr>
          <w:rFonts w:hint="eastAsia"/>
          <w:rtl/>
        </w:rPr>
        <w:t> </w:t>
      </w:r>
      <w:r w:rsidR="00BF6A5B">
        <w:rPr>
          <w:rFonts w:hint="cs"/>
          <w:rtl/>
        </w:rPr>
        <w:t>دولار</w:t>
      </w:r>
      <w:r w:rsidR="00311DCE">
        <w:rPr>
          <w:rFonts w:hint="eastAsia"/>
          <w:rtl/>
        </w:rPr>
        <w:t> </w:t>
      </w:r>
      <w:r w:rsidR="00BF6A5B">
        <w:rPr>
          <w:rFonts w:hint="cs"/>
          <w:rtl/>
        </w:rPr>
        <w:t>أمريكي إلى 96</w:t>
      </w:r>
      <w:r w:rsidR="00311DCE">
        <w:rPr>
          <w:rFonts w:hint="eastAsia"/>
          <w:rtl/>
        </w:rPr>
        <w:t> </w:t>
      </w:r>
      <w:r w:rsidR="00BF6A5B">
        <w:rPr>
          <w:rFonts w:hint="cs"/>
          <w:rtl/>
        </w:rPr>
        <w:t>مليون</w:t>
      </w:r>
      <w:r w:rsidR="00311DCE">
        <w:rPr>
          <w:rFonts w:hint="eastAsia"/>
          <w:rtl/>
        </w:rPr>
        <w:t> </w:t>
      </w:r>
      <w:r w:rsidR="00BF6A5B">
        <w:rPr>
          <w:rFonts w:hint="cs"/>
          <w:rtl/>
        </w:rPr>
        <w:t>دولار</w:t>
      </w:r>
      <w:r w:rsidR="00311DCE">
        <w:rPr>
          <w:rFonts w:hint="eastAsia"/>
          <w:rtl/>
        </w:rPr>
        <w:t> </w:t>
      </w:r>
      <w:r w:rsidR="00BF6A5B">
        <w:rPr>
          <w:rFonts w:hint="cs"/>
          <w:rtl/>
        </w:rPr>
        <w:t>أمريكي).</w:t>
      </w:r>
      <w:r w:rsidR="00BF6A5B">
        <w:rPr>
          <w:rStyle w:val="FootnoteReference"/>
          <w:rtl/>
        </w:rPr>
        <w:footnoteReference w:id="3"/>
      </w:r>
      <w:r w:rsidR="00C52254">
        <w:rPr>
          <w:rFonts w:hint="cs"/>
          <w:rtl/>
        </w:rPr>
        <w:t xml:space="preserve"> وبالمثل، عندما طلبت الشركة المتوسطة حماية نموذج المنفعة، ازداد صافي أرباح</w:t>
      </w:r>
      <w:r w:rsidR="004278D1">
        <w:rPr>
          <w:rFonts w:hint="cs"/>
          <w:rtl/>
        </w:rPr>
        <w:t>ه</w:t>
      </w:r>
      <w:r w:rsidR="00C52254">
        <w:rPr>
          <w:rFonts w:hint="cs"/>
          <w:rtl/>
        </w:rPr>
        <w:t>ا من 20</w:t>
      </w:r>
      <w:r w:rsidR="004278D1">
        <w:rPr>
          <w:rFonts w:hint="eastAsia"/>
          <w:rtl/>
        </w:rPr>
        <w:t> </w:t>
      </w:r>
      <w:r w:rsidR="00C52254">
        <w:rPr>
          <w:rFonts w:hint="cs"/>
          <w:rtl/>
        </w:rPr>
        <w:t>مليون</w:t>
      </w:r>
      <w:r w:rsidR="004278D1">
        <w:rPr>
          <w:rFonts w:hint="eastAsia"/>
          <w:rtl/>
        </w:rPr>
        <w:t> </w:t>
      </w:r>
      <w:r w:rsidR="00C52254">
        <w:rPr>
          <w:rFonts w:hint="cs"/>
          <w:rtl/>
        </w:rPr>
        <w:t>بات إلى 350</w:t>
      </w:r>
      <w:r w:rsidR="004278D1">
        <w:rPr>
          <w:rFonts w:hint="eastAsia"/>
          <w:rtl/>
        </w:rPr>
        <w:t> </w:t>
      </w:r>
      <w:r w:rsidR="00C52254">
        <w:rPr>
          <w:rFonts w:hint="cs"/>
          <w:rtl/>
        </w:rPr>
        <w:t>مليون</w:t>
      </w:r>
      <w:r w:rsidR="004278D1">
        <w:rPr>
          <w:rFonts w:hint="eastAsia"/>
          <w:rtl/>
        </w:rPr>
        <w:t> </w:t>
      </w:r>
      <w:r w:rsidR="00C52254">
        <w:rPr>
          <w:rFonts w:hint="cs"/>
          <w:rtl/>
        </w:rPr>
        <w:t>بات (نحو</w:t>
      </w:r>
      <w:r w:rsidR="00311DCE">
        <w:rPr>
          <w:rFonts w:hint="eastAsia"/>
          <w:rtl/>
        </w:rPr>
        <w:t> </w:t>
      </w:r>
      <w:r w:rsidR="00C52254">
        <w:rPr>
          <w:rFonts w:hint="cs"/>
          <w:rtl/>
        </w:rPr>
        <w:t>500 643</w:t>
      </w:r>
      <w:r w:rsidR="00311DCE">
        <w:rPr>
          <w:rFonts w:hint="eastAsia"/>
          <w:rtl/>
        </w:rPr>
        <w:t> </w:t>
      </w:r>
      <w:r w:rsidR="00C52254">
        <w:rPr>
          <w:rFonts w:hint="cs"/>
          <w:rtl/>
        </w:rPr>
        <w:t>دولار</w:t>
      </w:r>
      <w:r w:rsidR="00311DCE">
        <w:rPr>
          <w:rFonts w:hint="eastAsia"/>
          <w:rtl/>
        </w:rPr>
        <w:t> </w:t>
      </w:r>
      <w:r w:rsidR="00C52254">
        <w:rPr>
          <w:rFonts w:hint="cs"/>
          <w:rtl/>
        </w:rPr>
        <w:t>أمريكي و11.3</w:t>
      </w:r>
      <w:r w:rsidR="00311DCE">
        <w:rPr>
          <w:rFonts w:hint="eastAsia"/>
          <w:rtl/>
        </w:rPr>
        <w:t> </w:t>
      </w:r>
      <w:r w:rsidR="00C52254">
        <w:rPr>
          <w:rFonts w:hint="cs"/>
          <w:rtl/>
        </w:rPr>
        <w:t>مليون</w:t>
      </w:r>
      <w:r w:rsidR="00311DCE">
        <w:rPr>
          <w:rFonts w:hint="eastAsia"/>
          <w:rtl/>
        </w:rPr>
        <w:t> </w:t>
      </w:r>
      <w:r w:rsidR="00C52254">
        <w:rPr>
          <w:rFonts w:hint="cs"/>
          <w:rtl/>
        </w:rPr>
        <w:t>دولار</w:t>
      </w:r>
      <w:r w:rsidR="00311DCE">
        <w:rPr>
          <w:rFonts w:hint="eastAsia"/>
          <w:rtl/>
        </w:rPr>
        <w:t> </w:t>
      </w:r>
      <w:r w:rsidR="00C52254">
        <w:rPr>
          <w:rFonts w:hint="cs"/>
          <w:rtl/>
        </w:rPr>
        <w:t>أمريكي على التوالي).</w:t>
      </w:r>
      <w:r w:rsidR="00C52254">
        <w:rPr>
          <w:rStyle w:val="FootnoteReference"/>
          <w:rtl/>
        </w:rPr>
        <w:footnoteReference w:id="4"/>
      </w:r>
      <w:r w:rsidR="00C52254">
        <w:rPr>
          <w:rFonts w:hint="cs"/>
          <w:rtl/>
        </w:rPr>
        <w:t xml:space="preserve"> وأخيراً</w:t>
      </w:r>
      <w:r w:rsidR="00311DCE">
        <w:rPr>
          <w:rFonts w:hint="cs"/>
          <w:rtl/>
        </w:rPr>
        <w:t>،</w:t>
      </w:r>
      <w:r w:rsidR="00C52254">
        <w:rPr>
          <w:rFonts w:hint="cs"/>
          <w:rtl/>
        </w:rPr>
        <w:t xml:space="preserve"> تزداد نسبة المبيعات إلى التكلفة للشركة المتوسطة أيضاً بعد طلبها الحماية لنماذج المنافع ولكن ب</w:t>
      </w:r>
      <w:r w:rsidR="00311DCE">
        <w:rPr>
          <w:rFonts w:hint="cs"/>
          <w:rtl/>
        </w:rPr>
        <w:t>صورة</w:t>
      </w:r>
      <w:r w:rsidR="00C52254">
        <w:rPr>
          <w:rFonts w:hint="cs"/>
          <w:rtl/>
        </w:rPr>
        <w:t xml:space="preserve"> أقل نظراً إلى </w:t>
      </w:r>
      <w:r w:rsidR="004278D1">
        <w:rPr>
          <w:rFonts w:hint="cs"/>
          <w:rtl/>
        </w:rPr>
        <w:t>التوجه الأكثر تقلباً خلال فترة البحث.</w:t>
      </w:r>
      <w:r w:rsidR="00C52254">
        <w:rPr>
          <w:rFonts w:hint="cs"/>
          <w:rtl/>
        </w:rPr>
        <w:t xml:space="preserve"> وتيسيراً لتصور توجه الأعمال ال</w:t>
      </w:r>
      <w:r w:rsidR="004278D1">
        <w:rPr>
          <w:rFonts w:hint="cs"/>
          <w:rtl/>
        </w:rPr>
        <w:t>ذي</w:t>
      </w:r>
      <w:r w:rsidR="00C52254">
        <w:rPr>
          <w:rFonts w:hint="cs"/>
          <w:rtl/>
        </w:rPr>
        <w:t xml:space="preserve"> كانت تواجهه الشركات في </w:t>
      </w:r>
      <w:r w:rsidR="00EE2296">
        <w:rPr>
          <w:rFonts w:hint="cs"/>
          <w:rtl/>
        </w:rPr>
        <w:t>تايلند</w:t>
      </w:r>
      <w:r w:rsidR="00C52254">
        <w:rPr>
          <w:rFonts w:hint="cs"/>
          <w:rtl/>
        </w:rPr>
        <w:t xml:space="preserve"> خلال الفترة ذاتها، أدرج رسم بياني يوضح تطور التكاليف التشغيلية للشركة المتوسطة مقارنة بطلب نموذج المنفعة (انظر الشكل هاء </w:t>
      </w:r>
      <w:r w:rsidR="00C52254">
        <w:rPr>
          <w:rtl/>
        </w:rPr>
        <w:t>–</w:t>
      </w:r>
      <w:r w:rsidR="00C52254">
        <w:rPr>
          <w:rFonts w:hint="cs"/>
          <w:rtl/>
        </w:rPr>
        <w:t xml:space="preserve"> 1 (د)).</w:t>
      </w:r>
    </w:p>
    <w:p w:rsidR="00C52254" w:rsidRPr="00C52254" w:rsidRDefault="00C52254" w:rsidP="00C52254">
      <w:pPr>
        <w:pStyle w:val="NormalParaAR"/>
        <w:keepNext/>
        <w:rPr>
          <w:b/>
          <w:bCs/>
          <w:rtl/>
        </w:rPr>
      </w:pPr>
      <w:r w:rsidRPr="00C52254">
        <w:rPr>
          <w:rFonts w:hint="cs"/>
          <w:b/>
          <w:bCs/>
          <w:rtl/>
        </w:rPr>
        <w:t xml:space="preserve">الشكل هاء </w:t>
      </w:r>
      <w:r w:rsidRPr="00C52254">
        <w:rPr>
          <w:b/>
          <w:bCs/>
          <w:rtl/>
        </w:rPr>
        <w:t>–</w:t>
      </w:r>
      <w:r w:rsidRPr="00C52254">
        <w:rPr>
          <w:rFonts w:hint="cs"/>
          <w:b/>
          <w:bCs/>
          <w:rtl/>
        </w:rPr>
        <w:t xml:space="preserve"> 1: تطور توجهات مؤشرات أداء الشركات استناداً إلى تاريخ تقديمها طلب نموذج المنفعة</w:t>
      </w:r>
    </w:p>
    <w:tbl>
      <w:tblPr>
        <w:tblStyle w:val="TableGrid"/>
        <w:bidiVisual/>
        <w:tblW w:w="0" w:type="auto"/>
        <w:jc w:val="center"/>
        <w:tblLayout w:type="fixed"/>
        <w:tblCellMar>
          <w:left w:w="115" w:type="dxa"/>
          <w:right w:w="115" w:type="dxa"/>
        </w:tblCellMar>
        <w:tblLook w:val="04A0" w:firstRow="1" w:lastRow="0" w:firstColumn="1" w:lastColumn="0" w:noHBand="0" w:noVBand="1"/>
      </w:tblPr>
      <w:tblGrid>
        <w:gridCol w:w="4788"/>
        <w:gridCol w:w="4788"/>
      </w:tblGrid>
      <w:tr w:rsidR="00CA6ACB" w:rsidRPr="00F23513" w:rsidTr="00C52254">
        <w:trPr>
          <w:jc w:val="center"/>
        </w:trPr>
        <w:tc>
          <w:tcPr>
            <w:tcW w:w="4788" w:type="dxa"/>
            <w:tcBorders>
              <w:bottom w:val="nil"/>
            </w:tcBorders>
          </w:tcPr>
          <w:p w:rsidR="00CA6ACB" w:rsidRPr="00F23513" w:rsidRDefault="00C52254" w:rsidP="00C52254">
            <w:pPr>
              <w:numPr>
                <w:ilvl w:val="0"/>
                <w:numId w:val="21"/>
              </w:numPr>
              <w:bidi/>
              <w:rPr>
                <w:rFonts w:ascii="Arabic Typesetting" w:hAnsi="Arabic Typesetting" w:cs="Arabic Typesetting"/>
                <w:sz w:val="28"/>
                <w:szCs w:val="28"/>
              </w:rPr>
            </w:pPr>
            <w:bookmarkStart w:id="2" w:name="_Toc384911741"/>
            <w:r w:rsidRPr="00F23513">
              <w:rPr>
                <w:rFonts w:ascii="Arabic Typesetting" w:hAnsi="Arabic Typesetting" w:cs="Arabic Typesetting"/>
                <w:sz w:val="28"/>
                <w:szCs w:val="28"/>
                <w:rtl/>
              </w:rPr>
              <w:t>صافي المبيعات (بملايين البات)</w:t>
            </w:r>
          </w:p>
        </w:tc>
        <w:tc>
          <w:tcPr>
            <w:tcW w:w="4788" w:type="dxa"/>
            <w:tcBorders>
              <w:bottom w:val="nil"/>
            </w:tcBorders>
          </w:tcPr>
          <w:p w:rsidR="00CA6ACB" w:rsidRPr="00F23513" w:rsidRDefault="00C52254" w:rsidP="00C52254">
            <w:pPr>
              <w:numPr>
                <w:ilvl w:val="0"/>
                <w:numId w:val="21"/>
              </w:numPr>
              <w:bidi/>
              <w:rPr>
                <w:rFonts w:ascii="Arabic Typesetting" w:hAnsi="Arabic Typesetting" w:cs="Arabic Typesetting"/>
                <w:sz w:val="28"/>
                <w:szCs w:val="28"/>
              </w:rPr>
            </w:pPr>
            <w:r w:rsidRPr="00F23513">
              <w:rPr>
                <w:rFonts w:ascii="Arabic Typesetting" w:hAnsi="Arabic Typesetting" w:cs="Arabic Typesetting"/>
                <w:sz w:val="28"/>
                <w:szCs w:val="28"/>
                <w:rtl/>
              </w:rPr>
              <w:t>صافي الأرباح (بملايين البات)</w:t>
            </w:r>
          </w:p>
        </w:tc>
      </w:tr>
      <w:tr w:rsidR="00CA6ACB" w:rsidRPr="00F23513" w:rsidTr="00C52254">
        <w:trPr>
          <w:jc w:val="center"/>
        </w:trPr>
        <w:tc>
          <w:tcPr>
            <w:tcW w:w="4788" w:type="dxa"/>
            <w:tcBorders>
              <w:top w:val="nil"/>
              <w:bottom w:val="single" w:sz="4" w:space="0" w:color="auto"/>
            </w:tcBorders>
          </w:tcPr>
          <w:p w:rsidR="00CA6ACB" w:rsidRPr="00F23513" w:rsidRDefault="00CA6ACB" w:rsidP="002837EC">
            <w:pPr>
              <w:rPr>
                <w:rFonts w:ascii="Arabic Typesetting" w:hAnsi="Arabic Typesetting" w:cs="Arabic Typesetting"/>
                <w:sz w:val="28"/>
                <w:szCs w:val="28"/>
              </w:rPr>
            </w:pPr>
            <w:r w:rsidRPr="00F23513">
              <w:rPr>
                <w:rFonts w:ascii="Arabic Typesetting" w:hAnsi="Arabic Typesetting" w:cs="Arabic Typesetting"/>
                <w:noProof/>
                <w:sz w:val="28"/>
                <w:szCs w:val="28"/>
              </w:rPr>
              <w:drawing>
                <wp:inline distT="0" distB="0" distL="0" distR="0" wp14:anchorId="3F1FDB2F" wp14:editId="44287C88">
                  <wp:extent cx="2980944" cy="2167128"/>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80944" cy="2167128"/>
                          </a:xfrm>
                          <a:prstGeom prst="rect">
                            <a:avLst/>
                          </a:prstGeom>
                          <a:noFill/>
                        </pic:spPr>
                      </pic:pic>
                    </a:graphicData>
                  </a:graphic>
                </wp:inline>
              </w:drawing>
            </w:r>
          </w:p>
        </w:tc>
        <w:tc>
          <w:tcPr>
            <w:tcW w:w="4788" w:type="dxa"/>
            <w:tcBorders>
              <w:top w:val="nil"/>
              <w:bottom w:val="single" w:sz="4" w:space="0" w:color="auto"/>
            </w:tcBorders>
          </w:tcPr>
          <w:p w:rsidR="00CA6ACB" w:rsidRPr="00F23513" w:rsidRDefault="00CA6ACB" w:rsidP="002837EC">
            <w:pPr>
              <w:rPr>
                <w:rFonts w:ascii="Arabic Typesetting" w:hAnsi="Arabic Typesetting" w:cs="Arabic Typesetting"/>
                <w:sz w:val="28"/>
                <w:szCs w:val="28"/>
              </w:rPr>
            </w:pPr>
            <w:r w:rsidRPr="00F23513">
              <w:rPr>
                <w:rFonts w:ascii="Arabic Typesetting" w:hAnsi="Arabic Typesetting" w:cs="Arabic Typesetting"/>
                <w:noProof/>
                <w:sz w:val="28"/>
                <w:szCs w:val="28"/>
              </w:rPr>
              <w:drawing>
                <wp:inline distT="0" distB="0" distL="0" distR="0" wp14:anchorId="603E3ACE" wp14:editId="4E62E307">
                  <wp:extent cx="2980944" cy="2167128"/>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80944" cy="2167128"/>
                          </a:xfrm>
                          <a:prstGeom prst="rect">
                            <a:avLst/>
                          </a:prstGeom>
                          <a:noFill/>
                        </pic:spPr>
                      </pic:pic>
                    </a:graphicData>
                  </a:graphic>
                </wp:inline>
              </w:drawing>
            </w:r>
          </w:p>
        </w:tc>
      </w:tr>
      <w:tr w:rsidR="00CA6ACB" w:rsidRPr="00F23513" w:rsidTr="00C52254">
        <w:trPr>
          <w:jc w:val="center"/>
        </w:trPr>
        <w:tc>
          <w:tcPr>
            <w:tcW w:w="4788" w:type="dxa"/>
            <w:tcBorders>
              <w:bottom w:val="nil"/>
            </w:tcBorders>
          </w:tcPr>
          <w:p w:rsidR="00CA6ACB" w:rsidRPr="00F23513" w:rsidRDefault="00C52254" w:rsidP="00C52254">
            <w:pPr>
              <w:numPr>
                <w:ilvl w:val="0"/>
                <w:numId w:val="21"/>
              </w:numPr>
              <w:bidi/>
              <w:rPr>
                <w:rFonts w:ascii="Arabic Typesetting" w:hAnsi="Arabic Typesetting" w:cs="Arabic Typesetting"/>
                <w:sz w:val="28"/>
                <w:szCs w:val="28"/>
              </w:rPr>
            </w:pPr>
            <w:r w:rsidRPr="00F23513">
              <w:rPr>
                <w:rFonts w:ascii="Arabic Typesetting" w:hAnsi="Arabic Typesetting" w:cs="Arabic Typesetting"/>
                <w:sz w:val="28"/>
                <w:szCs w:val="28"/>
                <w:rtl/>
              </w:rPr>
              <w:t>نسبة المبيعات إلى التكلفة</w:t>
            </w:r>
          </w:p>
        </w:tc>
        <w:tc>
          <w:tcPr>
            <w:tcW w:w="4788" w:type="dxa"/>
            <w:tcBorders>
              <w:bottom w:val="nil"/>
            </w:tcBorders>
          </w:tcPr>
          <w:p w:rsidR="00CA6ACB" w:rsidRPr="00F23513" w:rsidRDefault="00C52254" w:rsidP="00C52254">
            <w:pPr>
              <w:numPr>
                <w:ilvl w:val="0"/>
                <w:numId w:val="21"/>
              </w:numPr>
              <w:bidi/>
              <w:rPr>
                <w:rFonts w:ascii="Arabic Typesetting" w:hAnsi="Arabic Typesetting" w:cs="Arabic Typesetting"/>
                <w:sz w:val="28"/>
                <w:szCs w:val="28"/>
              </w:rPr>
            </w:pPr>
            <w:r w:rsidRPr="00F23513">
              <w:rPr>
                <w:rFonts w:ascii="Arabic Typesetting" w:hAnsi="Arabic Typesetting" w:cs="Arabic Typesetting"/>
                <w:sz w:val="28"/>
                <w:szCs w:val="28"/>
                <w:rtl/>
              </w:rPr>
              <w:t>التكاليف التشغيلية (بملايين البات)</w:t>
            </w:r>
          </w:p>
        </w:tc>
      </w:tr>
      <w:tr w:rsidR="00CA6ACB" w:rsidRPr="00F23513" w:rsidTr="00C52254">
        <w:trPr>
          <w:jc w:val="center"/>
        </w:trPr>
        <w:tc>
          <w:tcPr>
            <w:tcW w:w="4788" w:type="dxa"/>
            <w:tcBorders>
              <w:top w:val="nil"/>
              <w:bottom w:val="single" w:sz="4" w:space="0" w:color="auto"/>
            </w:tcBorders>
          </w:tcPr>
          <w:p w:rsidR="00CA6ACB" w:rsidRPr="00F23513" w:rsidRDefault="00CA6ACB" w:rsidP="002837EC">
            <w:pPr>
              <w:rPr>
                <w:rFonts w:ascii="Arabic Typesetting" w:hAnsi="Arabic Typesetting" w:cs="Arabic Typesetting"/>
                <w:sz w:val="28"/>
                <w:szCs w:val="28"/>
              </w:rPr>
            </w:pPr>
            <w:r w:rsidRPr="00F23513">
              <w:rPr>
                <w:rFonts w:ascii="Arabic Typesetting" w:hAnsi="Arabic Typesetting" w:cs="Arabic Typesetting"/>
                <w:noProof/>
                <w:sz w:val="28"/>
                <w:szCs w:val="28"/>
              </w:rPr>
              <w:drawing>
                <wp:inline distT="0" distB="0" distL="0" distR="0" wp14:anchorId="42AC567D" wp14:editId="687ED62B">
                  <wp:extent cx="2990088" cy="2167128"/>
                  <wp:effectExtent l="0" t="0" r="127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90088" cy="2167128"/>
                          </a:xfrm>
                          <a:prstGeom prst="rect">
                            <a:avLst/>
                          </a:prstGeom>
                          <a:noFill/>
                        </pic:spPr>
                      </pic:pic>
                    </a:graphicData>
                  </a:graphic>
                </wp:inline>
              </w:drawing>
            </w:r>
          </w:p>
        </w:tc>
        <w:tc>
          <w:tcPr>
            <w:tcW w:w="4788" w:type="dxa"/>
            <w:tcBorders>
              <w:top w:val="nil"/>
              <w:bottom w:val="single" w:sz="4" w:space="0" w:color="auto"/>
            </w:tcBorders>
          </w:tcPr>
          <w:p w:rsidR="00CA6ACB" w:rsidRPr="00F23513" w:rsidRDefault="00CA6ACB" w:rsidP="002837EC">
            <w:pPr>
              <w:rPr>
                <w:rFonts w:ascii="Arabic Typesetting" w:hAnsi="Arabic Typesetting" w:cs="Arabic Typesetting"/>
                <w:sz w:val="28"/>
                <w:szCs w:val="28"/>
              </w:rPr>
            </w:pPr>
            <w:r w:rsidRPr="00F23513">
              <w:rPr>
                <w:rFonts w:ascii="Arabic Typesetting" w:hAnsi="Arabic Typesetting" w:cs="Arabic Typesetting"/>
                <w:noProof/>
                <w:sz w:val="28"/>
                <w:szCs w:val="28"/>
              </w:rPr>
              <w:drawing>
                <wp:inline distT="0" distB="0" distL="0" distR="0" wp14:anchorId="64EB2AE0" wp14:editId="2CD8CBDC">
                  <wp:extent cx="2990088" cy="2167128"/>
                  <wp:effectExtent l="0" t="0" r="127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90088" cy="2167128"/>
                          </a:xfrm>
                          <a:prstGeom prst="rect">
                            <a:avLst/>
                          </a:prstGeom>
                          <a:noFill/>
                        </pic:spPr>
                      </pic:pic>
                    </a:graphicData>
                  </a:graphic>
                </wp:inline>
              </w:drawing>
            </w:r>
          </w:p>
        </w:tc>
      </w:tr>
      <w:tr w:rsidR="00CA6ACB" w:rsidRPr="00F23513" w:rsidTr="00C52254">
        <w:trPr>
          <w:jc w:val="center"/>
        </w:trPr>
        <w:tc>
          <w:tcPr>
            <w:tcW w:w="9576" w:type="dxa"/>
            <w:gridSpan w:val="2"/>
            <w:tcBorders>
              <w:top w:val="single" w:sz="4" w:space="0" w:color="auto"/>
              <w:left w:val="nil"/>
              <w:bottom w:val="nil"/>
              <w:right w:val="nil"/>
            </w:tcBorders>
          </w:tcPr>
          <w:p w:rsidR="00CA6ACB" w:rsidRPr="00F23513" w:rsidRDefault="00C52254" w:rsidP="00F23513">
            <w:pPr>
              <w:bidi/>
              <w:rPr>
                <w:rFonts w:ascii="Arabic Typesetting" w:eastAsia="MS Mincho" w:hAnsi="Arabic Typesetting" w:cs="Arabic Typesetting"/>
                <w:b/>
                <w:bCs/>
                <w:sz w:val="28"/>
                <w:szCs w:val="28"/>
              </w:rPr>
            </w:pPr>
            <w:r w:rsidRPr="00F23513">
              <w:rPr>
                <w:rFonts w:ascii="Arabic Typesetting" w:eastAsia="MS Mincho" w:hAnsi="Arabic Typesetting" w:cs="Arabic Typesetting"/>
                <w:b/>
                <w:bCs/>
                <w:sz w:val="28"/>
                <w:szCs w:val="28"/>
                <w:rtl/>
              </w:rPr>
              <w:t>المصدر:</w:t>
            </w:r>
            <w:r w:rsidR="00F23513" w:rsidRPr="00F23513">
              <w:rPr>
                <w:rFonts w:ascii="Arabic Typesetting" w:eastAsia="MS Mincho" w:hAnsi="Arabic Typesetting" w:cs="Arabic Typesetting"/>
                <w:b/>
                <w:bCs/>
                <w:sz w:val="28"/>
                <w:szCs w:val="28"/>
                <w:rtl/>
              </w:rPr>
              <w:t xml:space="preserve"> قاعدة البيانات الموسعة والمشتركة بين معهد </w:t>
            </w:r>
            <w:r w:rsidR="00EE2296">
              <w:rPr>
                <w:rFonts w:ascii="Arabic Typesetting" w:eastAsia="MS Mincho" w:hAnsi="Arabic Typesetting" w:cs="Arabic Typesetting"/>
                <w:b/>
                <w:bCs/>
                <w:sz w:val="28"/>
                <w:szCs w:val="28"/>
                <w:rtl/>
              </w:rPr>
              <w:t>تايلند</w:t>
            </w:r>
            <w:r w:rsidR="00F23513" w:rsidRPr="00F23513">
              <w:rPr>
                <w:rFonts w:ascii="Arabic Typesetting" w:eastAsia="MS Mincho" w:hAnsi="Arabic Typesetting" w:cs="Arabic Typesetting"/>
                <w:b/>
                <w:bCs/>
                <w:sz w:val="28"/>
                <w:szCs w:val="28"/>
                <w:rtl/>
              </w:rPr>
              <w:t xml:space="preserve"> لبحوث التنمية والويبو (2013).</w:t>
            </w:r>
          </w:p>
        </w:tc>
      </w:tr>
    </w:tbl>
    <w:p w:rsidR="00F23513" w:rsidRPr="00F23513" w:rsidRDefault="00F23513" w:rsidP="00F23513">
      <w:pPr>
        <w:pStyle w:val="Heading1AR"/>
        <w:spacing w:line="360" w:lineRule="exact"/>
        <w:rPr>
          <w:i/>
          <w:iCs/>
          <w:sz w:val="36"/>
          <w:szCs w:val="36"/>
          <w:rtl/>
        </w:rPr>
      </w:pPr>
      <w:r w:rsidRPr="00F23513">
        <w:rPr>
          <w:rFonts w:hint="cs"/>
          <w:i/>
          <w:iCs/>
          <w:sz w:val="36"/>
          <w:szCs w:val="36"/>
          <w:rtl/>
        </w:rPr>
        <w:t>ما سمات الشركات التي تطلب نماذج المنافع؟</w:t>
      </w:r>
    </w:p>
    <w:p w:rsidR="00F23513" w:rsidRDefault="00F23513" w:rsidP="00F23513">
      <w:pPr>
        <w:pStyle w:val="NormalParaAR"/>
        <w:rPr>
          <w:rFonts w:eastAsia="Calibri"/>
          <w:rtl/>
        </w:rPr>
      </w:pPr>
      <w:r>
        <w:rPr>
          <w:rFonts w:eastAsia="Calibri" w:hint="cs"/>
          <w:rtl/>
        </w:rPr>
        <w:t>حاول الفريق كشف السمات المحددة والمحتملة للشركات التي تلتمس صك الملكية الفكرية هذا للتحقق من وجود أمثلة تميل فيها الشركات أكثر إلى استخدام حماية نموذج المنافع في قطاع صناعي محدد مثلاً. وإن وُجدت لشهدت هذه المجموعة الفرعية المحددة من الشركات أثراً أقوى من حماية نماذج المنفعة على مؤشرات أدائها مقارنة بغيرها. وبحث الفريق الشركات من حيث الفئة العمرية والموقع الجغرافي والحجم والقطاعات الصناعية والمجالات التكنولوجية ودوَّن الملاحظات الواردة أدناه.</w:t>
      </w:r>
    </w:p>
    <w:p w:rsidR="00F23513" w:rsidRDefault="00943B4C" w:rsidP="00943B4C">
      <w:pPr>
        <w:pStyle w:val="NormalParaAR"/>
        <w:rPr>
          <w:rFonts w:eastAsia="Calibri"/>
          <w:rtl/>
        </w:rPr>
      </w:pPr>
      <w:r>
        <w:rPr>
          <w:rFonts w:eastAsia="Calibri" w:hint="cs"/>
          <w:rtl/>
        </w:rPr>
        <w:t xml:space="preserve">فقد </w:t>
      </w:r>
      <w:r w:rsidR="002421F7">
        <w:rPr>
          <w:rFonts w:eastAsia="Calibri" w:hint="cs"/>
          <w:rtl/>
        </w:rPr>
        <w:t xml:space="preserve">لوحظ أولاً أنه لا يوجد ميل </w:t>
      </w:r>
      <w:r>
        <w:rPr>
          <w:rFonts w:eastAsia="Calibri" w:hint="cs"/>
          <w:rtl/>
        </w:rPr>
        <w:t>خاص</w:t>
      </w:r>
      <w:r w:rsidR="002421F7">
        <w:rPr>
          <w:rFonts w:eastAsia="Calibri" w:hint="cs"/>
          <w:rtl/>
        </w:rPr>
        <w:t xml:space="preserve"> لاستخدام حماية نماذج المنفعة استناداً إلى الفئة العمرية للشركة. إذ إن نصف الشركات التايلندية تقريباً التي طلبت حماية نموذج المنفعة هي شركات قائمة منذ أكثر من 20 عاماً.</w:t>
      </w:r>
    </w:p>
    <w:p w:rsidR="00673C03" w:rsidRDefault="00177945" w:rsidP="00673C03">
      <w:pPr>
        <w:pStyle w:val="NormalParaAR"/>
        <w:rPr>
          <w:rFonts w:eastAsia="Calibri"/>
          <w:rtl/>
        </w:rPr>
      </w:pPr>
      <w:r>
        <w:rPr>
          <w:rFonts w:eastAsia="Calibri" w:hint="cs"/>
          <w:rtl/>
        </w:rPr>
        <w:t>وثانياً، يبدو أن حجم الشركات يؤثر على العلاقة بين إيداعات نموذج المنفعة ومؤشرات أداء الشركات. فبعبارة أخرى</w:t>
      </w:r>
      <w:r w:rsidR="00943B4C">
        <w:rPr>
          <w:rFonts w:eastAsia="Calibri" w:hint="cs"/>
          <w:rtl/>
        </w:rPr>
        <w:t>،</w:t>
      </w:r>
      <w:r>
        <w:rPr>
          <w:rFonts w:eastAsia="Calibri" w:hint="cs"/>
          <w:rtl/>
        </w:rPr>
        <w:t xml:space="preserve"> يختلف حجم الأثر الناجم عن إيداعات نموذج المنفعة على أداء الشركات باختلاف حجم الشركات. ويلخص الجدول هاء </w:t>
      </w:r>
      <w:r>
        <w:rPr>
          <w:rFonts w:eastAsia="Calibri"/>
          <w:rtl/>
        </w:rPr>
        <w:t>–</w:t>
      </w:r>
      <w:r>
        <w:rPr>
          <w:rFonts w:eastAsia="Calibri" w:hint="cs"/>
          <w:rtl/>
        </w:rPr>
        <w:t xml:space="preserve"> 2 تغير مؤشرات أداء الشركات قبل طلب</w:t>
      </w:r>
      <w:r w:rsidR="00943B4C">
        <w:rPr>
          <w:rFonts w:eastAsia="Calibri" w:hint="cs"/>
          <w:rtl/>
        </w:rPr>
        <w:t>ها</w:t>
      </w:r>
      <w:r>
        <w:rPr>
          <w:rFonts w:eastAsia="Calibri" w:hint="cs"/>
          <w:rtl/>
        </w:rPr>
        <w:t xml:space="preserve"> حماية نموذج المنفعة وبعده. ويرتفع صافي مبيعات الشركات بعد طلبها حماية نموذج المنفعة ولكن تختلف هذه الزيادة باختلاف أحجام الشركات: إذ تشهد الشركات الكبيرة الحجم زيادة أكبر في صافي مبيعاتها بعد طلب نموذج المنفعة مقارنة بنظيراتها الأصغر. ولكن عندما تُستخدم نسبة المبيعات إلى التكلفة </w:t>
      </w:r>
      <w:r w:rsidR="00B4732C">
        <w:rPr>
          <w:rFonts w:eastAsia="Calibri" w:hint="cs"/>
          <w:rtl/>
        </w:rPr>
        <w:t xml:space="preserve">مقياساً لأداء الشركة، </w:t>
      </w:r>
      <w:r w:rsidR="00673C03">
        <w:rPr>
          <w:rFonts w:eastAsia="Calibri" w:hint="cs"/>
          <w:rtl/>
        </w:rPr>
        <w:t xml:space="preserve">فإن الشركات الكبيرة هي الفئة الوحيدة من الشركات التي حققت أداءً أفضل قليلاً </w:t>
      </w:r>
      <w:r w:rsidR="00B4732C">
        <w:rPr>
          <w:rFonts w:eastAsia="Calibri" w:hint="cs"/>
          <w:rtl/>
        </w:rPr>
        <w:t>خلال الربع الأخير.</w:t>
      </w:r>
      <w:r w:rsidR="00673C03">
        <w:rPr>
          <w:rFonts w:eastAsia="Calibri" w:hint="cs"/>
          <w:rtl/>
        </w:rPr>
        <w:t xml:space="preserve"> بينما شهدت الشركات الأخرى انخفاضاً طفيفاً في نسبة مبيعاتها إلى تكاليفها. وتشير هذه الملاحظة إلى احتمال وجود أثر للحجم على طرق تأثير حماية نموذج المنفعة على مؤشرات أداء الشركات والتي ستراعى في وضع النموذج الاقتصادي.</w:t>
      </w:r>
    </w:p>
    <w:p w:rsidR="00CA6ACB" w:rsidRPr="00673C03" w:rsidRDefault="00673C03" w:rsidP="00673C03">
      <w:pPr>
        <w:pStyle w:val="NormalParaAR"/>
        <w:keepNext/>
        <w:rPr>
          <w:b/>
          <w:bCs/>
        </w:rPr>
      </w:pPr>
      <w:r w:rsidRPr="00673C03">
        <w:rPr>
          <w:rFonts w:hint="cs"/>
          <w:b/>
          <w:bCs/>
          <w:rtl/>
        </w:rPr>
        <w:t xml:space="preserve">الجدول هاء </w:t>
      </w:r>
      <w:r w:rsidRPr="00673C03">
        <w:rPr>
          <w:b/>
          <w:bCs/>
          <w:rtl/>
        </w:rPr>
        <w:t>–</w:t>
      </w:r>
      <w:r w:rsidRPr="00673C03">
        <w:rPr>
          <w:rFonts w:hint="cs"/>
          <w:b/>
          <w:bCs/>
          <w:rtl/>
        </w:rPr>
        <w:t xml:space="preserve"> 2: التغير في صافي المبيعات وصافي الأرباح ونسبة المبي</w:t>
      </w:r>
      <w:r w:rsidR="00ED413E">
        <w:rPr>
          <w:rFonts w:hint="cs"/>
          <w:b/>
          <w:bCs/>
          <w:rtl/>
        </w:rPr>
        <w:t>عات إلى التكلفة بحسب حجم الشركة</w:t>
      </w:r>
    </w:p>
    <w:tbl>
      <w:tblPr>
        <w:tblStyle w:val="TableGrid"/>
        <w:tblW w:w="0" w:type="auto"/>
        <w:jc w:val="center"/>
        <w:tblLayout w:type="fixed"/>
        <w:tblCellMar>
          <w:left w:w="115" w:type="dxa"/>
          <w:right w:w="115" w:type="dxa"/>
        </w:tblCellMar>
        <w:tblLook w:val="04A0" w:firstRow="1" w:lastRow="0" w:firstColumn="1" w:lastColumn="0" w:noHBand="0" w:noVBand="1"/>
      </w:tblPr>
      <w:tblGrid>
        <w:gridCol w:w="9576"/>
      </w:tblGrid>
      <w:tr w:rsidR="00CA6ACB" w:rsidTr="002837EC">
        <w:trPr>
          <w:jc w:val="center"/>
        </w:trPr>
        <w:tc>
          <w:tcPr>
            <w:tcW w:w="9576" w:type="dxa"/>
            <w:tcBorders>
              <w:bottom w:val="single" w:sz="4" w:space="0" w:color="auto"/>
            </w:tcBorders>
          </w:tcPr>
          <w:p w:rsidR="00CA6ACB" w:rsidRDefault="00CA6ACB" w:rsidP="002837EC">
            <w:pPr>
              <w:jc w:val="center"/>
            </w:pPr>
            <w:r>
              <w:rPr>
                <w:noProof/>
              </w:rPr>
              <w:drawing>
                <wp:inline distT="0" distB="0" distL="0" distR="0" wp14:anchorId="141193C3" wp14:editId="015E5558">
                  <wp:extent cx="5414010" cy="30359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14010" cy="3035935"/>
                          </a:xfrm>
                          <a:prstGeom prst="rect">
                            <a:avLst/>
                          </a:prstGeom>
                          <a:noFill/>
                        </pic:spPr>
                      </pic:pic>
                    </a:graphicData>
                  </a:graphic>
                </wp:inline>
              </w:drawing>
            </w:r>
          </w:p>
        </w:tc>
      </w:tr>
      <w:tr w:rsidR="00CA6ACB" w:rsidTr="002837EC">
        <w:trPr>
          <w:jc w:val="center"/>
        </w:trPr>
        <w:tc>
          <w:tcPr>
            <w:tcW w:w="9576" w:type="dxa"/>
            <w:tcBorders>
              <w:left w:val="nil"/>
              <w:bottom w:val="nil"/>
              <w:right w:val="nil"/>
            </w:tcBorders>
          </w:tcPr>
          <w:p w:rsidR="00673C03" w:rsidRPr="00673C03" w:rsidRDefault="00673C03" w:rsidP="00673C03">
            <w:pPr>
              <w:bidi/>
              <w:rPr>
                <w:rFonts w:ascii="Arabic Typesetting" w:eastAsia="MS Mincho" w:hAnsi="Arabic Typesetting" w:cs="Arabic Typesetting"/>
                <w:b/>
                <w:bCs/>
                <w:sz w:val="28"/>
                <w:szCs w:val="28"/>
              </w:rPr>
            </w:pPr>
            <w:r w:rsidRPr="00F23513">
              <w:rPr>
                <w:rFonts w:ascii="Arabic Typesetting" w:eastAsia="MS Mincho" w:hAnsi="Arabic Typesetting" w:cs="Arabic Typesetting"/>
                <w:b/>
                <w:bCs/>
                <w:sz w:val="28"/>
                <w:szCs w:val="28"/>
                <w:rtl/>
              </w:rPr>
              <w:t xml:space="preserve">المصدر: قاعدة البيانات الموسعة والمشتركة بين معهد </w:t>
            </w:r>
            <w:r w:rsidR="00EE2296">
              <w:rPr>
                <w:rFonts w:ascii="Arabic Typesetting" w:eastAsia="MS Mincho" w:hAnsi="Arabic Typesetting" w:cs="Arabic Typesetting"/>
                <w:b/>
                <w:bCs/>
                <w:sz w:val="28"/>
                <w:szCs w:val="28"/>
                <w:rtl/>
              </w:rPr>
              <w:t>تايلند</w:t>
            </w:r>
            <w:r w:rsidRPr="00F23513">
              <w:rPr>
                <w:rFonts w:ascii="Arabic Typesetting" w:eastAsia="MS Mincho" w:hAnsi="Arabic Typesetting" w:cs="Arabic Typesetting"/>
                <w:b/>
                <w:bCs/>
                <w:sz w:val="28"/>
                <w:szCs w:val="28"/>
                <w:rtl/>
              </w:rPr>
              <w:t xml:space="preserve"> لبحوث التنمية والويبو (2013).</w:t>
            </w:r>
          </w:p>
        </w:tc>
      </w:tr>
    </w:tbl>
    <w:p w:rsidR="00673C03" w:rsidRPr="00DE71EB" w:rsidRDefault="00673C03" w:rsidP="00673C03">
      <w:pPr>
        <w:pStyle w:val="Heading1AR"/>
        <w:keepNext w:val="0"/>
        <w:spacing w:line="360" w:lineRule="exact"/>
        <w:rPr>
          <w:b/>
          <w:bCs w:val="0"/>
          <w:sz w:val="36"/>
          <w:szCs w:val="36"/>
          <w:rtl/>
        </w:rPr>
      </w:pPr>
      <w:r w:rsidRPr="00DE71EB">
        <w:rPr>
          <w:rFonts w:hint="cs"/>
          <w:b/>
          <w:bCs w:val="0"/>
          <w:sz w:val="36"/>
          <w:szCs w:val="36"/>
          <w:rtl/>
        </w:rPr>
        <w:t>وثالثاً، أن شركات من جميع القطاعات الصناعية قد طلبت حماية نموذج المنفعة. ولكن القطاعات الصناعية الأربعة التالية تتسم بتركيز كبير من الشركات المتمتعة بحماية نموذج المنفعة: البيع بالجملة، والأغذية والمشروبات، والآلات، والبيع بالتجزئة. وفي المقابل، أبرز ثلاث مجالات تكنولوجيا من حيث عدد الشركات الملتمسة لنموذج المنفعة هي الهندسة المدنية، و</w:t>
      </w:r>
      <w:r w:rsidR="005E1EFB" w:rsidRPr="00DE71EB">
        <w:rPr>
          <w:rFonts w:hint="cs"/>
          <w:b/>
          <w:bCs w:val="0"/>
          <w:sz w:val="36"/>
          <w:szCs w:val="36"/>
          <w:rtl/>
        </w:rPr>
        <w:t>الكيمياء الغذائية، والمناولة.</w:t>
      </w:r>
    </w:p>
    <w:p w:rsidR="005E1EFB" w:rsidRDefault="005E1EFB" w:rsidP="005E1EFB">
      <w:pPr>
        <w:pStyle w:val="NormalParaAR"/>
        <w:rPr>
          <w:rtl/>
        </w:rPr>
      </w:pPr>
      <w:r>
        <w:rPr>
          <w:rFonts w:hint="cs"/>
          <w:rtl/>
        </w:rPr>
        <w:t xml:space="preserve">ورابعاً، ترد غالبية طلبات نماذج المنفعة من شركات تقع في بانكوك عاصمة </w:t>
      </w:r>
      <w:r w:rsidR="00EE2296">
        <w:rPr>
          <w:rFonts w:hint="cs"/>
          <w:rtl/>
        </w:rPr>
        <w:t>تايلند</w:t>
      </w:r>
      <w:r>
        <w:rPr>
          <w:rFonts w:hint="cs"/>
          <w:rtl/>
        </w:rPr>
        <w:t>.</w:t>
      </w:r>
    </w:p>
    <w:p w:rsidR="005E1EFB" w:rsidRDefault="005E1EFB" w:rsidP="007F7148">
      <w:pPr>
        <w:pStyle w:val="NormalParaAR"/>
        <w:rPr>
          <w:rtl/>
        </w:rPr>
      </w:pPr>
      <w:r>
        <w:rPr>
          <w:rFonts w:hint="cs"/>
          <w:rtl/>
        </w:rPr>
        <w:t xml:space="preserve">وأخيراً، </w:t>
      </w:r>
      <w:r w:rsidR="00ED413E">
        <w:rPr>
          <w:rFonts w:hint="cs"/>
          <w:rtl/>
        </w:rPr>
        <w:t>فحص الفريق أنماط طلب نما</w:t>
      </w:r>
      <w:r w:rsidR="00AE0F76">
        <w:rPr>
          <w:rFonts w:hint="cs"/>
          <w:rtl/>
        </w:rPr>
        <w:t>ذج المنفعة التي تقدمه شركات في قطاعات صناعية محددة وفقاً للمجال التكنولوجي لطلباتها لاستنباط أية توجهات ممكنة. ووفقاً للتوقعات، تودع الشركات التابعة لمجموعات صناعية محددة طلبات حماية نماذج منفعة بشأن اختراعات في مجالاتها التكنولوجية التقليدية كطلبات قطاع الأغذية والمشروبات في مجال كيمياء الأغذية. فعلى سبيل المثال، تقدم شركات من قطاع الأغذية والمشروبات طلبات نماذج منفعة في تكنولوجيات متعلقة بكيمياء الأغذية بينما تقدم شركات من قطاع الصناعات الكيميائية طلبات نماذج منفعة في مجالي صناعة الأدوية والمواد الكيميائية الأساسية. ولكن المفاجأة أن ب</w:t>
      </w:r>
      <w:r w:rsidR="007F7148">
        <w:rPr>
          <w:rFonts w:hint="cs"/>
          <w:rtl/>
        </w:rPr>
        <w:t>عض</w:t>
      </w:r>
      <w:r w:rsidR="00AE0F76">
        <w:rPr>
          <w:rFonts w:hint="cs"/>
          <w:rtl/>
        </w:rPr>
        <w:t xml:space="preserve"> </w:t>
      </w:r>
      <w:r w:rsidR="007F7148">
        <w:rPr>
          <w:rFonts w:hint="cs"/>
          <w:rtl/>
        </w:rPr>
        <w:t>ال</w:t>
      </w:r>
      <w:r w:rsidR="00AE0F76">
        <w:rPr>
          <w:rFonts w:hint="cs"/>
          <w:rtl/>
        </w:rPr>
        <w:t xml:space="preserve">قطاعات </w:t>
      </w:r>
      <w:r w:rsidR="007F7148">
        <w:rPr>
          <w:rFonts w:hint="cs"/>
          <w:rtl/>
        </w:rPr>
        <w:t>ال</w:t>
      </w:r>
      <w:r w:rsidR="00AE0F76">
        <w:rPr>
          <w:rFonts w:hint="cs"/>
          <w:rtl/>
        </w:rPr>
        <w:t xml:space="preserve">صناعية </w:t>
      </w:r>
      <w:r w:rsidR="007F7148">
        <w:rPr>
          <w:rFonts w:hint="cs"/>
          <w:rtl/>
        </w:rPr>
        <w:t>ال</w:t>
      </w:r>
      <w:r w:rsidR="00AE0F76">
        <w:rPr>
          <w:rFonts w:hint="cs"/>
          <w:rtl/>
        </w:rPr>
        <w:t xml:space="preserve">كبيرة </w:t>
      </w:r>
      <w:r w:rsidR="00AE0F76">
        <w:rPr>
          <w:rtl/>
        </w:rPr>
        <w:t>–</w:t>
      </w:r>
      <w:r w:rsidR="00AE0F76">
        <w:rPr>
          <w:rFonts w:hint="cs"/>
          <w:rtl/>
        </w:rPr>
        <w:t xml:space="preserve"> مثل البيع بالجملة </w:t>
      </w:r>
      <w:r w:rsidR="00AE0F76">
        <w:rPr>
          <w:rtl/>
        </w:rPr>
        <w:t>–</w:t>
      </w:r>
      <w:r w:rsidR="00AE0F76">
        <w:rPr>
          <w:rFonts w:hint="cs"/>
          <w:rtl/>
        </w:rPr>
        <w:t xml:space="preserve"> تنطوي على شركات تطلب الحماية لاختراعات يمكن تطبيقها في العديد من المجالات التكنولوجية المختلفة.</w:t>
      </w:r>
    </w:p>
    <w:p w:rsidR="00AE0F76" w:rsidRDefault="00AE0F76" w:rsidP="00AE0F76">
      <w:pPr>
        <w:pStyle w:val="Heading1AR"/>
        <w:spacing w:line="360" w:lineRule="exact"/>
        <w:rPr>
          <w:i/>
          <w:iCs/>
          <w:sz w:val="36"/>
          <w:szCs w:val="36"/>
          <w:rtl/>
        </w:rPr>
      </w:pPr>
      <w:r w:rsidRPr="00AE0F76">
        <w:rPr>
          <w:rFonts w:hint="cs"/>
          <w:i/>
          <w:iCs/>
          <w:sz w:val="36"/>
          <w:szCs w:val="36"/>
          <w:rtl/>
        </w:rPr>
        <w:t>كيف تؤثر حماية نماذج المنفعة في الشركات؟</w:t>
      </w:r>
    </w:p>
    <w:p w:rsidR="00AE0F76" w:rsidRDefault="00B526FA" w:rsidP="00D834CF">
      <w:pPr>
        <w:pStyle w:val="NormalParaAR"/>
        <w:rPr>
          <w:rtl/>
        </w:rPr>
      </w:pPr>
      <w:r>
        <w:rPr>
          <w:rFonts w:hint="cs"/>
          <w:rtl/>
        </w:rPr>
        <w:t>أجرى الفريق بحثاً أكثر تعمقاً في الصلة بين حماية نموذ</w:t>
      </w:r>
      <w:r>
        <w:rPr>
          <w:rFonts w:hint="eastAsia"/>
          <w:rtl/>
        </w:rPr>
        <w:t>ج</w:t>
      </w:r>
      <w:r>
        <w:rPr>
          <w:rFonts w:hint="cs"/>
          <w:rtl/>
        </w:rPr>
        <w:t xml:space="preserve"> المنفعة وأداء الشركات استناداً إلى نهج اقتصادي قياسي. وأتاحت له هذه المنهجية تحديد </w:t>
      </w:r>
      <w:r w:rsidR="00D834CF">
        <w:rPr>
          <w:rFonts w:hint="cs"/>
          <w:rtl/>
        </w:rPr>
        <w:t>إمكانية</w:t>
      </w:r>
      <w:r w:rsidR="00FD21A5">
        <w:rPr>
          <w:rFonts w:hint="cs"/>
          <w:rtl/>
        </w:rPr>
        <w:t xml:space="preserve"> إرجاع أداء الشركات إلى حماية نموذج المنفعة و</w:t>
      </w:r>
      <w:r w:rsidR="00D834CF">
        <w:rPr>
          <w:rFonts w:hint="cs"/>
          <w:rtl/>
        </w:rPr>
        <w:t>تحديد مدى تأثير هذه الحماية</w:t>
      </w:r>
    </w:p>
    <w:p w:rsidR="00FD21A5" w:rsidRDefault="00FD21A5" w:rsidP="00D834CF">
      <w:pPr>
        <w:pStyle w:val="NormalParaAR"/>
        <w:rPr>
          <w:rtl/>
        </w:rPr>
      </w:pPr>
      <w:r>
        <w:rPr>
          <w:rFonts w:hint="cs"/>
          <w:rtl/>
        </w:rPr>
        <w:t>و</w:t>
      </w:r>
      <w:r w:rsidR="00D834CF">
        <w:rPr>
          <w:rFonts w:hint="cs"/>
          <w:rtl/>
        </w:rPr>
        <w:t xml:space="preserve">تلي </w:t>
      </w:r>
      <w:r>
        <w:rPr>
          <w:rFonts w:hint="cs"/>
          <w:rtl/>
        </w:rPr>
        <w:t xml:space="preserve">المعادلة </w:t>
      </w:r>
      <w:r w:rsidR="00D834CF">
        <w:rPr>
          <w:rFonts w:hint="cs"/>
          <w:rtl/>
        </w:rPr>
        <w:t>العامة المستخدمة في حساب الأداء</w:t>
      </w:r>
      <w:r>
        <w:rPr>
          <w:rFonts w:hint="cs"/>
          <w:rtl/>
        </w:rPr>
        <w:t>:</w:t>
      </w:r>
    </w:p>
    <w:p w:rsidR="00CA6ACB" w:rsidRPr="00D25F58" w:rsidRDefault="00CD1546" w:rsidP="00D25F58">
      <w:pPr>
        <w:spacing w:after="240" w:line="360" w:lineRule="exact"/>
        <w:jc w:val="center"/>
        <w:rPr>
          <w:rFonts w:ascii="Arabic Typesetting" w:hAnsi="Arabic Typesetting" w:cs="Arabic Typesetting"/>
          <w:bCs/>
          <w:i/>
          <w:sz w:val="36"/>
          <w:szCs w:val="32"/>
        </w:rPr>
      </w:pPr>
      <m:oMathPara>
        <m:oMath>
          <m:sSub>
            <m:sSubPr>
              <m:ctrlPr>
                <w:rPr>
                  <w:rFonts w:ascii="Cambria Math" w:hAnsi="Cambria Math"/>
                  <w:bCs/>
                  <w:i/>
                </w:rPr>
              </m:ctrlPr>
            </m:sSubPr>
            <m:e>
              <m:r>
                <w:rPr>
                  <w:rFonts w:ascii="Cambria Math" w:hAnsi="Cambria Math"/>
                </w:rPr>
                <m:t>Performance</m:t>
              </m:r>
            </m:e>
            <m:sub>
              <m:r>
                <w:rPr>
                  <w:rFonts w:ascii="Cambria Math" w:hAnsi="Cambria Math"/>
                </w:rPr>
                <m:t>it</m:t>
              </m:r>
            </m:sub>
          </m:sSub>
          <m:r>
            <w:rPr>
              <w:rFonts w:ascii="Cambria Math" w:hAnsi="Cambria Math"/>
            </w:rPr>
            <m:t>=</m:t>
          </m:r>
          <m:sSub>
            <m:sSubPr>
              <m:ctrlPr>
                <w:rPr>
                  <w:rFonts w:ascii="Cambria Math" w:hAnsi="Cambria Math"/>
                  <w:bCs/>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bCs/>
                  <w:i/>
                </w:rPr>
              </m:ctrlPr>
            </m:sSubPr>
            <m:e>
              <m:r>
                <w:rPr>
                  <w:rFonts w:ascii="Cambria Math" w:hAnsi="Cambria Math"/>
                </w:rPr>
                <m:t>β</m:t>
              </m:r>
            </m:e>
            <m:sub>
              <m:r>
                <w:rPr>
                  <w:rFonts w:ascii="Cambria Math" w:hAnsi="Cambria Math"/>
                </w:rPr>
                <m:t>1</m:t>
              </m:r>
            </m:sub>
          </m:sSub>
          <m:sSub>
            <m:sSubPr>
              <m:ctrlPr>
                <w:rPr>
                  <w:rFonts w:ascii="Cambria Math" w:hAnsi="Cambria Math"/>
                  <w:bCs/>
                  <w:i/>
                </w:rPr>
              </m:ctrlPr>
            </m:sSubPr>
            <m:e>
              <m:r>
                <w:rPr>
                  <w:rFonts w:ascii="Cambria Math" w:hAnsi="Cambria Math"/>
                </w:rPr>
                <m:t>Cost</m:t>
              </m:r>
            </m:e>
            <m:sub>
              <m:r>
                <w:rPr>
                  <w:rFonts w:ascii="Cambria Math" w:hAnsi="Cambria Math"/>
                </w:rPr>
                <m:t>it</m:t>
              </m:r>
            </m:sub>
          </m:sSub>
          <m:r>
            <w:rPr>
              <w:rFonts w:ascii="Cambria Math" w:hAnsi="Cambria Math"/>
            </w:rPr>
            <m:t>+</m:t>
          </m:r>
          <m:sSub>
            <m:sSubPr>
              <m:ctrlPr>
                <w:rPr>
                  <w:rFonts w:ascii="Cambria Math" w:hAnsi="Cambria Math"/>
                  <w:bCs/>
                  <w:i/>
                </w:rPr>
              </m:ctrlPr>
            </m:sSubPr>
            <m:e>
              <m:r>
                <w:rPr>
                  <w:rFonts w:ascii="Cambria Math" w:hAnsi="Cambria Math"/>
                </w:rPr>
                <m:t>β</m:t>
              </m:r>
            </m:e>
            <m:sub>
              <m:r>
                <w:rPr>
                  <w:rFonts w:ascii="Cambria Math" w:hAnsi="Cambria Math"/>
                </w:rPr>
                <m:t>2</m:t>
              </m:r>
            </m:sub>
          </m:sSub>
          <m:sSub>
            <m:sSubPr>
              <m:ctrlPr>
                <w:rPr>
                  <w:rFonts w:ascii="Cambria Math" w:hAnsi="Cambria Math"/>
                  <w:bCs/>
                  <w:i/>
                </w:rPr>
              </m:ctrlPr>
            </m:sSubPr>
            <m:e>
              <m:r>
                <w:rPr>
                  <w:rFonts w:ascii="Cambria Math" w:hAnsi="Cambria Math"/>
                </w:rPr>
                <m:t>UM</m:t>
              </m:r>
            </m:e>
            <m:sub>
              <m:r>
                <w:rPr>
                  <w:rFonts w:ascii="Cambria Math" w:hAnsi="Cambria Math"/>
                </w:rPr>
                <m:t>it</m:t>
              </m:r>
            </m:sub>
          </m:sSub>
          <m:r>
            <w:rPr>
              <w:rFonts w:ascii="Cambria Math" w:hAnsi="Cambria Math"/>
            </w:rPr>
            <m:t>+</m:t>
          </m:r>
          <m:sSub>
            <m:sSubPr>
              <m:ctrlPr>
                <w:rPr>
                  <w:rFonts w:ascii="Cambria Math" w:hAnsi="Cambria Math"/>
                  <w:bCs/>
                  <w:i/>
                </w:rPr>
              </m:ctrlPr>
            </m:sSubPr>
            <m:e>
              <m:r>
                <w:rPr>
                  <w:rFonts w:ascii="Cambria Math" w:hAnsi="Cambria Math"/>
                </w:rPr>
                <m:t>α</m:t>
              </m:r>
            </m:e>
            <m:sub>
              <m:r>
                <w:rPr>
                  <w:rFonts w:ascii="Cambria Math" w:hAnsi="Cambria Math"/>
                </w:rPr>
                <m:t>i</m:t>
              </m:r>
            </m:sub>
          </m:sSub>
          <m:r>
            <w:rPr>
              <w:rFonts w:ascii="Cambria Math" w:hAnsi="Cambria Math"/>
            </w:rPr>
            <m:t>+</m:t>
          </m:r>
          <m:sSub>
            <m:sSubPr>
              <m:ctrlPr>
                <w:rPr>
                  <w:rFonts w:ascii="Cambria Math" w:hAnsi="Cambria Math"/>
                  <w:bCs/>
                  <w:i/>
                </w:rPr>
              </m:ctrlPr>
            </m:sSubPr>
            <m:e>
              <m:r>
                <w:rPr>
                  <w:rFonts w:ascii="Cambria Math" w:hAnsi="Cambria Math"/>
                </w:rPr>
                <m:t>ϵ</m:t>
              </m:r>
            </m:e>
            <m:sub>
              <m:r>
                <w:rPr>
                  <w:rFonts w:ascii="Cambria Math" w:hAnsi="Cambria Math"/>
                </w:rPr>
                <m:t>it</m:t>
              </m:r>
            </m:sub>
          </m:sSub>
        </m:oMath>
      </m:oMathPara>
    </w:p>
    <w:p w:rsidR="00972B49" w:rsidRDefault="00972B49" w:rsidP="00D834CF">
      <w:pPr>
        <w:pStyle w:val="NormalParaAR"/>
        <w:rPr>
          <w:rtl/>
        </w:rPr>
      </w:pPr>
      <w:r>
        <w:rPr>
          <w:rFonts w:hint="cs"/>
          <w:rtl/>
        </w:rPr>
        <w:t xml:space="preserve">حيث يكون مؤشر الأداء المالي في الوقت </w:t>
      </w:r>
      <m:oMath>
        <m:r>
          <w:rPr>
            <w:rFonts w:ascii="Cambria Math" w:hAnsi="Cambria Math"/>
            <w:sz w:val="24"/>
            <w:szCs w:val="24"/>
          </w:rPr>
          <m:t>t</m:t>
        </m:r>
      </m:oMath>
      <w:r w:rsidRPr="00972B49">
        <w:rPr>
          <w:rFonts w:hint="cs"/>
          <w:rtl/>
        </w:rPr>
        <w:t xml:space="preserve"> </w:t>
      </w:r>
      <w:r>
        <w:rPr>
          <w:rFonts w:hint="cs"/>
          <w:rtl/>
        </w:rPr>
        <w:t>م</w:t>
      </w:r>
      <w:r w:rsidR="00D834CF">
        <w:rPr>
          <w:rFonts w:hint="cs"/>
          <w:rtl/>
        </w:rPr>
        <w:t xml:space="preserve">عتمداً على </w:t>
      </w:r>
      <w:r>
        <w:rPr>
          <w:rFonts w:hint="cs"/>
          <w:rtl/>
        </w:rPr>
        <w:t>امتلاك الشركة طلب نموذج منفعة</w:t>
      </w:r>
      <w:r w:rsidR="00D81FF5">
        <w:rPr>
          <w:rFonts w:hint="cs"/>
          <w:rtl/>
        </w:rPr>
        <w:t xml:space="preserve"> </w:t>
      </w:r>
      <m:oMath>
        <m:sSub>
          <m:sSubPr>
            <m:ctrlPr>
              <w:rPr>
                <w:rFonts w:ascii="Cambria Math" w:hAnsi="Cambria Math" w:cstheme="minorBidi"/>
                <w:i/>
                <w:sz w:val="24"/>
                <w:szCs w:val="24"/>
              </w:rPr>
            </m:ctrlPr>
          </m:sSubPr>
          <m:e>
            <m:r>
              <w:rPr>
                <w:rFonts w:ascii="Cambria Math" w:hAnsi="Cambria Math" w:cstheme="minorBidi"/>
                <w:sz w:val="24"/>
                <w:szCs w:val="24"/>
              </w:rPr>
              <m:t>UM</m:t>
            </m:r>
          </m:e>
          <m:sub>
            <m:r>
              <w:rPr>
                <w:rFonts w:ascii="Cambria Math" w:hAnsi="Cambria Math" w:cstheme="minorBidi"/>
                <w:sz w:val="24"/>
                <w:szCs w:val="24"/>
              </w:rPr>
              <m:t>it</m:t>
            </m:r>
          </m:sub>
        </m:sSub>
      </m:oMath>
      <w:r>
        <w:rPr>
          <w:rFonts w:hint="cs"/>
          <w:rtl/>
        </w:rPr>
        <w:t xml:space="preserve">، وتكاليفها التشغيلية </w:t>
      </w:r>
      <m:oMath>
        <m:sSub>
          <m:sSubPr>
            <m:ctrlPr>
              <w:rPr>
                <w:rFonts w:ascii="Cambria Math" w:hAnsi="Cambria Math" w:cstheme="minorBidi"/>
                <w:i/>
                <w:sz w:val="24"/>
                <w:szCs w:val="24"/>
              </w:rPr>
            </m:ctrlPr>
          </m:sSubPr>
          <m:e>
            <m:r>
              <w:rPr>
                <w:rFonts w:ascii="Cambria Math" w:hAnsi="Cambria Math" w:cstheme="minorBidi"/>
                <w:sz w:val="24"/>
                <w:szCs w:val="24"/>
              </w:rPr>
              <m:t>Cost</m:t>
            </m:r>
          </m:e>
          <m:sub>
            <m:r>
              <w:rPr>
                <w:rFonts w:ascii="Cambria Math" w:hAnsi="Cambria Math" w:cstheme="minorBidi"/>
                <w:sz w:val="24"/>
                <w:szCs w:val="24"/>
              </w:rPr>
              <m:t>it</m:t>
            </m:r>
          </m:sub>
        </m:sSub>
      </m:oMath>
      <w:r>
        <w:rPr>
          <w:rFonts w:hint="cs"/>
          <w:rtl/>
        </w:rPr>
        <w:t xml:space="preserve"> وعوامل وقتية ثابتة ومحددة للشركة </w:t>
      </w:r>
      <m:oMath>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i</m:t>
            </m:r>
          </m:sub>
        </m:sSub>
      </m:oMath>
      <w:r>
        <w:rPr>
          <w:rFonts w:hint="cs"/>
          <w:rtl/>
        </w:rPr>
        <w:t xml:space="preserve">. ويمكن حساب العامل الوقتي الثابت والمحدد للشركة </w:t>
      </w:r>
      <m:oMath>
        <m:sSub>
          <m:sSubPr>
            <m:ctrlPr>
              <w:rPr>
                <w:rFonts w:ascii="Cambria Math" w:hAnsi="Cambria Math" w:cstheme="minorBidi"/>
                <w:i/>
                <w:sz w:val="24"/>
                <w:szCs w:val="24"/>
              </w:rPr>
            </m:ctrlPr>
          </m:sSubPr>
          <m:e>
            <m:r>
              <w:rPr>
                <w:rFonts w:ascii="Cambria Math" w:hAnsi="Cambria Math" w:cstheme="minorBidi"/>
                <w:sz w:val="24"/>
                <w:szCs w:val="24"/>
              </w:rPr>
              <m:t>α</m:t>
            </m:r>
          </m:e>
          <m:sub>
            <m:r>
              <w:rPr>
                <w:rFonts w:ascii="Cambria Math" w:hAnsi="Cambria Math" w:cstheme="minorBidi"/>
                <w:sz w:val="24"/>
                <w:szCs w:val="24"/>
              </w:rPr>
              <m:t>i</m:t>
            </m:r>
          </m:sub>
        </m:sSub>
      </m:oMath>
      <w:r>
        <w:rPr>
          <w:rFonts w:hint="cs"/>
          <w:rtl/>
        </w:rPr>
        <w:t xml:space="preserve"> باستخدام تقدير </w:t>
      </w:r>
      <w:r w:rsidR="00D834CF">
        <w:rPr>
          <w:rFonts w:hint="cs"/>
          <w:rtl/>
        </w:rPr>
        <w:t>التحليل الرجعي للأثر الثابت</w:t>
      </w:r>
      <w:r>
        <w:rPr>
          <w:rFonts w:hint="cs"/>
          <w:rtl/>
        </w:rPr>
        <w:t>.</w:t>
      </w:r>
    </w:p>
    <w:p w:rsidR="00972B49" w:rsidRDefault="00972B49" w:rsidP="00D834CF">
      <w:pPr>
        <w:pStyle w:val="NormalParaAR"/>
        <w:rPr>
          <w:rtl/>
        </w:rPr>
      </w:pPr>
      <w:r>
        <w:rPr>
          <w:rFonts w:hint="cs"/>
          <w:rtl/>
        </w:rPr>
        <w:t xml:space="preserve">وتؤكد نتائج الحسابات بصورة كبيرة التوجهات المبينة في الشكل هاء </w:t>
      </w:r>
      <w:r>
        <w:rPr>
          <w:rtl/>
        </w:rPr>
        <w:t>–</w:t>
      </w:r>
      <w:r>
        <w:rPr>
          <w:rFonts w:hint="cs"/>
          <w:rtl/>
        </w:rPr>
        <w:t xml:space="preserve"> 1 أعلاه. </w:t>
      </w:r>
      <w:r w:rsidR="00D834CF">
        <w:rPr>
          <w:rFonts w:hint="cs"/>
          <w:rtl/>
        </w:rPr>
        <w:t xml:space="preserve">فقد </w:t>
      </w:r>
      <w:r>
        <w:rPr>
          <w:rFonts w:hint="cs"/>
          <w:rtl/>
        </w:rPr>
        <w:t xml:space="preserve"> وُجد</w:t>
      </w:r>
      <w:r w:rsidR="00D834CF">
        <w:rPr>
          <w:rFonts w:hint="cs"/>
          <w:rtl/>
        </w:rPr>
        <w:t>، في المتوسط،</w:t>
      </w:r>
      <w:r>
        <w:rPr>
          <w:rFonts w:hint="cs"/>
          <w:rtl/>
        </w:rPr>
        <w:t xml:space="preserve"> تلازم إيجابي </w:t>
      </w:r>
      <w:r w:rsidR="00D834CF">
        <w:rPr>
          <w:rFonts w:hint="cs"/>
          <w:rtl/>
        </w:rPr>
        <w:t>و</w:t>
      </w:r>
      <w:r>
        <w:rPr>
          <w:rFonts w:hint="cs"/>
          <w:rtl/>
        </w:rPr>
        <w:t>ذو دلالة إحصائية بين مؤشرات الأداء المالي للشركات وحماية نماذج المنفعة.</w:t>
      </w:r>
    </w:p>
    <w:p w:rsidR="00972B49" w:rsidRDefault="00874599" w:rsidP="00D834CF">
      <w:pPr>
        <w:pStyle w:val="NormalParaAR"/>
        <w:rPr>
          <w:rtl/>
        </w:rPr>
      </w:pPr>
      <w:r>
        <w:rPr>
          <w:rFonts w:hint="cs"/>
          <w:rtl/>
        </w:rPr>
        <w:t>و</w:t>
      </w:r>
      <w:r w:rsidR="00D834CF">
        <w:rPr>
          <w:rFonts w:hint="cs"/>
          <w:rtl/>
        </w:rPr>
        <w:t>ا</w:t>
      </w:r>
      <w:r>
        <w:rPr>
          <w:rFonts w:hint="cs"/>
          <w:rtl/>
        </w:rPr>
        <w:t>شتبه الفريق في وجود أثر حجمي يؤثر في الصلة بين حماية نموذج المنفعة ومؤشرات أداء الشركات فاختبر هذه ال</w:t>
      </w:r>
      <w:r w:rsidR="00D834CF">
        <w:rPr>
          <w:rFonts w:hint="cs"/>
          <w:rtl/>
        </w:rPr>
        <w:t>فرضية</w:t>
      </w:r>
      <w:r>
        <w:rPr>
          <w:rFonts w:hint="cs"/>
          <w:rtl/>
        </w:rPr>
        <w:t xml:space="preserve">. وخلص إلى نتيجتين مثيرتين للاهتمام. أولهما أن الحجم المتصل بمعاملات نموذج المنفعة أعلى من التحليلات الرجعية التي تغفل متغير الحجم. وثانيهما أن الزيادة في صافي المبيعات للشركة المتوسطة ينخفض بزيادة حجم الشركة. فبباسطة، الزيادة في صافي المبيعات للشركات </w:t>
      </w:r>
      <w:r w:rsidR="00D834CF">
        <w:rPr>
          <w:rFonts w:hint="cs"/>
          <w:rtl/>
        </w:rPr>
        <w:t>التي تمتلك</w:t>
      </w:r>
      <w:r>
        <w:rPr>
          <w:rFonts w:hint="cs"/>
          <w:rtl/>
        </w:rPr>
        <w:t xml:space="preserve"> حماية </w:t>
      </w:r>
      <w:r w:rsidR="00D834CF">
        <w:rPr>
          <w:rFonts w:hint="cs"/>
          <w:rtl/>
        </w:rPr>
        <w:t>ل</w:t>
      </w:r>
      <w:r>
        <w:rPr>
          <w:rFonts w:hint="cs"/>
          <w:rtl/>
        </w:rPr>
        <w:t xml:space="preserve">نموذج المنفعة أعلى مما سبق في جميع الأحوال إلا أن الأثر أقوى بالنسبة إلى الشركات الأصغر حجماً. ويمكن ملاحظة هذه النتيجة </w:t>
      </w:r>
      <w:r w:rsidR="00D834CF">
        <w:rPr>
          <w:rFonts w:hint="cs"/>
          <w:rtl/>
        </w:rPr>
        <w:t>بصورة أفضل</w:t>
      </w:r>
      <w:r>
        <w:rPr>
          <w:rFonts w:hint="cs"/>
          <w:rtl/>
        </w:rPr>
        <w:t xml:space="preserve"> عندما </w:t>
      </w:r>
      <w:r w:rsidR="00D834CF">
        <w:rPr>
          <w:rFonts w:hint="cs"/>
          <w:rtl/>
        </w:rPr>
        <w:t>يوضع رسم بياني</w:t>
      </w:r>
      <w:r>
        <w:rPr>
          <w:rFonts w:hint="cs"/>
          <w:rtl/>
        </w:rPr>
        <w:t xml:space="preserve"> </w:t>
      </w:r>
      <w:r w:rsidR="00D834CF">
        <w:rPr>
          <w:rFonts w:hint="cs"/>
          <w:rtl/>
        </w:rPr>
        <w:t>ل</w:t>
      </w:r>
      <w:r>
        <w:rPr>
          <w:rFonts w:hint="cs"/>
          <w:rtl/>
        </w:rPr>
        <w:t xml:space="preserve">أثر حماية نموذج المنفعة على صافي المبيعات وفقاً لحجم الشركة </w:t>
      </w:r>
      <w:r w:rsidR="00D834CF">
        <w:rPr>
          <w:rFonts w:hint="cs"/>
          <w:rtl/>
        </w:rPr>
        <w:t>على النحو المبين</w:t>
      </w:r>
      <w:r>
        <w:rPr>
          <w:rFonts w:hint="cs"/>
          <w:rtl/>
        </w:rPr>
        <w:t xml:space="preserve"> في الشكل هاء</w:t>
      </w:r>
      <w:r w:rsidR="00D834CF">
        <w:rPr>
          <w:rFonts w:hint="cs"/>
          <w:rtl/>
        </w:rPr>
        <w:t xml:space="preserve"> </w:t>
      </w:r>
      <w:r w:rsidR="00D834CF">
        <w:rPr>
          <w:rtl/>
        </w:rPr>
        <w:t>–</w:t>
      </w:r>
      <w:r w:rsidR="00D834CF">
        <w:rPr>
          <w:rFonts w:hint="cs"/>
          <w:rtl/>
        </w:rPr>
        <w:t xml:space="preserve"> 2</w:t>
      </w:r>
      <w:r>
        <w:rPr>
          <w:rFonts w:hint="cs"/>
          <w:rtl/>
        </w:rPr>
        <w:t xml:space="preserve">. إذ يبين الشكل (أدناه) أن </w:t>
      </w:r>
      <w:r w:rsidR="00A31EF4">
        <w:rPr>
          <w:rFonts w:hint="cs"/>
          <w:rtl/>
        </w:rPr>
        <w:t>تزايد</w:t>
      </w:r>
      <w:r>
        <w:rPr>
          <w:rFonts w:hint="cs"/>
          <w:rtl/>
        </w:rPr>
        <w:t xml:space="preserve"> حجم الشركة </w:t>
      </w:r>
      <w:r>
        <w:rPr>
          <w:rtl/>
        </w:rPr>
        <w:t>–</w:t>
      </w:r>
      <w:r>
        <w:rPr>
          <w:rFonts w:hint="cs"/>
          <w:rtl/>
        </w:rPr>
        <w:t xml:space="preserve"> الذي يُقاس بتكاليفها التشغيلية </w:t>
      </w:r>
      <w:r>
        <w:rPr>
          <w:rtl/>
        </w:rPr>
        <w:t>–</w:t>
      </w:r>
      <w:r>
        <w:rPr>
          <w:rFonts w:hint="cs"/>
          <w:rtl/>
        </w:rPr>
        <w:t xml:space="preserve"> </w:t>
      </w:r>
      <w:r w:rsidR="00D834CF">
        <w:rPr>
          <w:rFonts w:hint="cs"/>
          <w:rtl/>
        </w:rPr>
        <w:t>ي</w:t>
      </w:r>
      <w:r w:rsidR="00A31EF4">
        <w:rPr>
          <w:rFonts w:hint="cs"/>
          <w:rtl/>
        </w:rPr>
        <w:t>ؤدي إلى تضاؤل أثر طلب نموذج المنفعة على صافي المبيعات.</w:t>
      </w:r>
    </w:p>
    <w:p w:rsidR="00CA6ACB" w:rsidRPr="00A31EF4" w:rsidRDefault="00A31EF4" w:rsidP="00A31EF4">
      <w:pPr>
        <w:pStyle w:val="NormalParaAR"/>
        <w:keepNext/>
        <w:rPr>
          <w:b/>
          <w:bCs/>
        </w:rPr>
      </w:pPr>
      <w:r w:rsidRPr="00A31EF4">
        <w:rPr>
          <w:rFonts w:hint="cs"/>
          <w:b/>
          <w:bCs/>
          <w:rtl/>
        </w:rPr>
        <w:t xml:space="preserve">الشكل هاء </w:t>
      </w:r>
      <w:r w:rsidRPr="00A31EF4">
        <w:rPr>
          <w:b/>
          <w:bCs/>
          <w:rtl/>
        </w:rPr>
        <w:t>–</w:t>
      </w:r>
      <w:r w:rsidRPr="00A31EF4">
        <w:rPr>
          <w:rFonts w:hint="cs"/>
          <w:b/>
          <w:bCs/>
          <w:rtl/>
        </w:rPr>
        <w:t xml:space="preserve"> 2: التفاعل بين طلب نموذج المنفعة وصافي المبيعات</w:t>
      </w:r>
    </w:p>
    <w:tbl>
      <w:tblPr>
        <w:tblStyle w:val="TableGrid"/>
        <w:tblW w:w="9097" w:type="dxa"/>
        <w:jc w:val="center"/>
        <w:tblLook w:val="04A0" w:firstRow="1" w:lastRow="0" w:firstColumn="1" w:lastColumn="0" w:noHBand="0" w:noVBand="1"/>
      </w:tblPr>
      <w:tblGrid>
        <w:gridCol w:w="9097"/>
      </w:tblGrid>
      <w:tr w:rsidR="00CA6ACB" w:rsidTr="002837EC">
        <w:trPr>
          <w:trHeight w:val="4796"/>
          <w:jc w:val="center"/>
        </w:trPr>
        <w:tc>
          <w:tcPr>
            <w:tcW w:w="9097" w:type="dxa"/>
          </w:tcPr>
          <w:p w:rsidR="00CA6ACB" w:rsidRDefault="00CA6ACB" w:rsidP="002837EC">
            <w:r>
              <w:rPr>
                <w:noProof/>
              </w:rPr>
              <w:drawing>
                <wp:inline distT="0" distB="0" distL="0" distR="0" wp14:anchorId="1AFCB89C" wp14:editId="6C42EF85">
                  <wp:extent cx="5633085" cy="3005455"/>
                  <wp:effectExtent l="0" t="0" r="5715"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33085" cy="3005455"/>
                          </a:xfrm>
                          <a:prstGeom prst="rect">
                            <a:avLst/>
                          </a:prstGeom>
                          <a:noFill/>
                        </pic:spPr>
                      </pic:pic>
                    </a:graphicData>
                  </a:graphic>
                </wp:inline>
              </w:drawing>
            </w:r>
          </w:p>
        </w:tc>
      </w:tr>
    </w:tbl>
    <w:p w:rsidR="00CA6ACB" w:rsidRDefault="00A31EF4" w:rsidP="00A31EF4">
      <w:pPr>
        <w:pStyle w:val="Heading1AR"/>
        <w:spacing w:line="360" w:lineRule="exact"/>
        <w:rPr>
          <w:i/>
          <w:iCs/>
          <w:sz w:val="36"/>
          <w:szCs w:val="36"/>
          <w:rtl/>
        </w:rPr>
      </w:pPr>
      <w:r>
        <w:rPr>
          <w:rFonts w:hint="cs"/>
          <w:i/>
          <w:iCs/>
          <w:sz w:val="36"/>
          <w:szCs w:val="36"/>
          <w:rtl/>
        </w:rPr>
        <w:t>الخلاصة</w:t>
      </w:r>
    </w:p>
    <w:p w:rsidR="00A31EF4" w:rsidRDefault="00A31EF4" w:rsidP="002B1ABE">
      <w:pPr>
        <w:pStyle w:val="NormalParaAR"/>
        <w:rPr>
          <w:rtl/>
        </w:rPr>
      </w:pPr>
      <w:r>
        <w:rPr>
          <w:rFonts w:hint="cs"/>
          <w:rtl/>
        </w:rPr>
        <w:t>شرع</w:t>
      </w:r>
      <w:bookmarkStart w:id="3" w:name="_GoBack"/>
      <w:bookmarkEnd w:id="3"/>
      <w:r>
        <w:rPr>
          <w:rFonts w:hint="cs"/>
          <w:rtl/>
        </w:rPr>
        <w:t xml:space="preserve">ت هذه الدراسة في محاولة </w:t>
      </w:r>
      <w:r w:rsidR="002B1ABE">
        <w:rPr>
          <w:rFonts w:hint="cs"/>
          <w:rtl/>
        </w:rPr>
        <w:t>إثبات</w:t>
      </w:r>
      <w:r>
        <w:rPr>
          <w:rFonts w:hint="cs"/>
          <w:rtl/>
        </w:rPr>
        <w:t xml:space="preserve"> فائدة حماية نموذج المنفعة </w:t>
      </w:r>
      <w:r w:rsidR="002B1ABE">
        <w:rPr>
          <w:rFonts w:hint="cs"/>
          <w:rtl/>
        </w:rPr>
        <w:t>بالنسبة إلى</w:t>
      </w:r>
      <w:r>
        <w:rPr>
          <w:rFonts w:hint="cs"/>
          <w:rtl/>
        </w:rPr>
        <w:t xml:space="preserve"> اقتصاد أقل تقدماً مثل </w:t>
      </w:r>
      <w:r w:rsidR="00EE2296">
        <w:rPr>
          <w:rFonts w:hint="cs"/>
          <w:rtl/>
        </w:rPr>
        <w:t>تايلند</w:t>
      </w:r>
      <w:r>
        <w:rPr>
          <w:rFonts w:hint="cs"/>
          <w:rtl/>
        </w:rPr>
        <w:t>. وبحثت بوجه خاص العلاقة بين حماية نموذج المنفعة وأداء الشركات المحلية في البلد المذكور.</w:t>
      </w:r>
    </w:p>
    <w:p w:rsidR="00A31EF4" w:rsidRDefault="00A31EF4" w:rsidP="002B1ABE">
      <w:pPr>
        <w:pStyle w:val="NormalParaAR"/>
        <w:rPr>
          <w:rtl/>
        </w:rPr>
      </w:pPr>
      <w:r>
        <w:rPr>
          <w:rFonts w:hint="cs"/>
          <w:rtl/>
        </w:rPr>
        <w:t xml:space="preserve">والنتائج المقدمة في هذه الوثيقة بشأن حماية نموذج المنفعة واعدة. إذ لوحظ وجود صلة إيجابية وهامة بين حماية نموذج المنفعة ومؤشرات أداء الشركات. ولكن </w:t>
      </w:r>
      <w:r w:rsidR="002B1ABE">
        <w:rPr>
          <w:rFonts w:hint="cs"/>
          <w:rtl/>
        </w:rPr>
        <w:t>ينبغي الامتناع عن إرجاع</w:t>
      </w:r>
      <w:r>
        <w:rPr>
          <w:rFonts w:hint="cs"/>
          <w:rtl/>
        </w:rPr>
        <w:t xml:space="preserve"> الزيادة في مؤشرات أداء الشركات إلى حماية نماذج المنفعة. إذ لم يتسنى، بكل بساطة، برهنة السببية بين استحداث حماية المنفعة وتنفيذها وبين </w:t>
      </w:r>
      <w:r w:rsidR="002B1ABE">
        <w:rPr>
          <w:rFonts w:hint="cs"/>
          <w:rtl/>
        </w:rPr>
        <w:t>ازدياد</w:t>
      </w:r>
      <w:r>
        <w:rPr>
          <w:rFonts w:hint="cs"/>
          <w:rtl/>
        </w:rPr>
        <w:t xml:space="preserve"> أداء الشركات. ويُعزى ذلك جزئياً إلى القصور في البيانات. وقد تكون هذه الدراسة قد أغفلت بعض العوامل الهامة التي قد تفسر هذه المكاسب الاقتصادية التي تشهدها هذه الشركات والتي قد </w:t>
      </w:r>
      <w:r w:rsidR="002B1ABE">
        <w:rPr>
          <w:rFonts w:hint="cs"/>
          <w:rtl/>
        </w:rPr>
        <w:t>ت</w:t>
      </w:r>
      <w:r>
        <w:rPr>
          <w:rFonts w:hint="cs"/>
          <w:rtl/>
        </w:rPr>
        <w:t xml:space="preserve">تعلق كذلك بقرار الشركات طلب نموذج المنفعة. فبعبارة أخرى، هل يتسم المبتكرون الناجحون الذين يطلبون المزيد من حماية نماذج المنفعة بأداء أفضل؟ </w:t>
      </w:r>
      <w:r w:rsidR="00A45B64">
        <w:rPr>
          <w:rFonts w:hint="cs"/>
          <w:rtl/>
        </w:rPr>
        <w:t>والحجة المقابلة، هل الشركات التي تولد ابتكارات ناجحة ولكنها لا تطلب حماية نماذج المنفعة تت</w:t>
      </w:r>
      <w:r w:rsidR="002B1ABE">
        <w:rPr>
          <w:rFonts w:hint="cs"/>
          <w:rtl/>
        </w:rPr>
        <w:t>ميز</w:t>
      </w:r>
      <w:r w:rsidR="00A45B64">
        <w:rPr>
          <w:rFonts w:hint="cs"/>
          <w:rtl/>
        </w:rPr>
        <w:t xml:space="preserve"> بالدرجة ذاتها من الأداء؟</w:t>
      </w:r>
    </w:p>
    <w:p w:rsidR="00A45B64" w:rsidRPr="00A31EF4" w:rsidRDefault="00A45B64" w:rsidP="003D00BB">
      <w:pPr>
        <w:pStyle w:val="NormalParaAR"/>
      </w:pPr>
      <w:r>
        <w:rPr>
          <w:rFonts w:hint="cs"/>
          <w:rtl/>
        </w:rPr>
        <w:t>ويتعين إجراء المزيد من البحوث قبل استخلاص طرق تأثير نماذج المنفعة على أداء الشركات الاقتصادي. فينبغي الرد على الأسئلة التالية: ما هي ال</w:t>
      </w:r>
      <w:r w:rsidR="002B1ABE">
        <w:rPr>
          <w:rFonts w:hint="cs"/>
          <w:rtl/>
        </w:rPr>
        <w:t>سبل</w:t>
      </w:r>
      <w:r>
        <w:rPr>
          <w:rFonts w:hint="cs"/>
          <w:rtl/>
        </w:rPr>
        <w:t xml:space="preserve"> التي تؤثر من خلالها حماية نماذج المنفعة على أداء الشركات؟ هل تتيح حماية نماذج المنفعة الوقت للشركات كي تسوِّق اختراعاتها دون </w:t>
      </w:r>
      <w:r w:rsidR="003D00BB">
        <w:rPr>
          <w:rFonts w:hint="cs"/>
          <w:rtl/>
        </w:rPr>
        <w:t>خشية</w:t>
      </w:r>
      <w:r>
        <w:rPr>
          <w:rFonts w:hint="cs"/>
          <w:rtl/>
        </w:rPr>
        <w:t xml:space="preserve"> انتهاك منافسيها لملكيتها الفكرية؟ هل تيسر حشد الشركات لرؤوس الأموال؟ ما هي الأسباب الكامنة وراء قرار الشركات طلب حماية نماذج المنفعة مقارنة بحماية البراءات مثلاً؟ </w:t>
      </w:r>
      <w:r w:rsidR="003D00BB">
        <w:rPr>
          <w:rFonts w:hint="cs"/>
          <w:rtl/>
        </w:rPr>
        <w:t>و</w:t>
      </w:r>
      <w:r>
        <w:rPr>
          <w:rFonts w:hint="cs"/>
          <w:rtl/>
        </w:rPr>
        <w:t xml:space="preserve">يزمع الفريق إلى بحث هذه </w:t>
      </w:r>
      <w:r w:rsidR="003D00BB">
        <w:rPr>
          <w:rFonts w:hint="cs"/>
          <w:rtl/>
        </w:rPr>
        <w:t>القضايا</w:t>
      </w:r>
      <w:r>
        <w:rPr>
          <w:rFonts w:hint="cs"/>
          <w:rtl/>
        </w:rPr>
        <w:t xml:space="preserve"> في بحوث مقبلة.</w:t>
      </w:r>
    </w:p>
    <w:bookmarkEnd w:id="2"/>
    <w:p w:rsidR="00CA6ACB" w:rsidRPr="00CA6ACB" w:rsidRDefault="00CA6ACB" w:rsidP="00CA6ACB">
      <w:pPr>
        <w:pStyle w:val="EndofDocumentAR"/>
        <w:rPr>
          <w:rtl/>
        </w:rPr>
      </w:pPr>
      <w:r>
        <w:rPr>
          <w:rFonts w:hint="cs"/>
          <w:rtl/>
        </w:rPr>
        <w:t>[نهاية المرفق والوثيقة]</w:t>
      </w:r>
    </w:p>
    <w:sectPr w:rsidR="00CA6ACB" w:rsidRPr="00CA6ACB" w:rsidSect="00A83D4A">
      <w:headerReference w:type="default" r:id="rId17"/>
      <w:headerReference w:type="first" r:id="rId18"/>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1AB" w:rsidRDefault="00F121AB">
      <w:r>
        <w:separator/>
      </w:r>
    </w:p>
  </w:endnote>
  <w:endnote w:type="continuationSeparator" w:id="0">
    <w:p w:rsidR="00F121AB" w:rsidRDefault="00F1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1AB" w:rsidRDefault="00F121AB" w:rsidP="009622BF">
      <w:pPr>
        <w:bidi/>
      </w:pPr>
      <w:bookmarkStart w:id="0" w:name="OLE_LINK1"/>
      <w:bookmarkStart w:id="1" w:name="OLE_LINK2"/>
      <w:r>
        <w:separator/>
      </w:r>
      <w:bookmarkEnd w:id="0"/>
      <w:bookmarkEnd w:id="1"/>
    </w:p>
  </w:footnote>
  <w:footnote w:type="continuationSeparator" w:id="0">
    <w:p w:rsidR="00F121AB" w:rsidRDefault="00F121AB" w:rsidP="009622BF">
      <w:pPr>
        <w:bidi/>
      </w:pPr>
      <w:r>
        <w:separator/>
      </w:r>
    </w:p>
  </w:footnote>
  <w:footnote w:id="1">
    <w:p w:rsidR="00E76540" w:rsidRDefault="00E76540">
      <w:pPr>
        <w:pStyle w:val="FootnoteText"/>
        <w:rPr>
          <w:rtl/>
        </w:rPr>
      </w:pPr>
      <w:r>
        <w:rPr>
          <w:rStyle w:val="FootnoteReference"/>
        </w:rPr>
        <w:footnoteRef/>
      </w:r>
      <w:r>
        <w:rPr>
          <w:rFonts w:hint="cs"/>
          <w:rtl/>
        </w:rPr>
        <w:tab/>
        <w:t>انظر وثيقة الويبو </w:t>
      </w:r>
      <w:hyperlink r:id="rId1" w:history="1">
        <w:proofErr w:type="spellStart"/>
        <w:r w:rsidRPr="00E76540">
          <w:rPr>
            <w:rStyle w:val="Hyperlink"/>
          </w:rPr>
          <w:t>CDIP</w:t>
        </w:r>
        <w:proofErr w:type="spellEnd"/>
        <w:r w:rsidRPr="00E76540">
          <w:rPr>
            <w:rStyle w:val="Hyperlink"/>
          </w:rPr>
          <w:t>/5/7.Rev.</w:t>
        </w:r>
      </w:hyperlink>
      <w:r>
        <w:rPr>
          <w:rFonts w:hint="cs"/>
          <w:rtl/>
        </w:rPr>
        <w:t>.</w:t>
      </w:r>
    </w:p>
  </w:footnote>
  <w:footnote w:id="2">
    <w:p w:rsidR="00D4542C" w:rsidRDefault="00D4542C" w:rsidP="00D4542C">
      <w:pPr>
        <w:pStyle w:val="FootnoteText"/>
      </w:pPr>
      <w:r>
        <w:rPr>
          <w:rStyle w:val="FootnoteReference"/>
        </w:rPr>
        <w:footnoteRef/>
      </w:r>
      <w:r>
        <w:rPr>
          <w:rFonts w:hint="cs"/>
          <w:rtl/>
        </w:rPr>
        <w:tab/>
      </w:r>
      <w:r w:rsidRPr="00BF6A5B">
        <w:rPr>
          <w:rFonts w:hint="cs"/>
          <w:rtl/>
        </w:rPr>
        <w:t>انظر وثيقة الويبو </w:t>
      </w:r>
      <w:hyperlink r:id="rId2" w:history="1">
        <w:proofErr w:type="spellStart"/>
        <w:r w:rsidRPr="00BF6A5B">
          <w:rPr>
            <w:rStyle w:val="Hyperlink"/>
            <w:rFonts w:eastAsiaTheme="minorHAnsi"/>
            <w:szCs w:val="18"/>
          </w:rPr>
          <w:t>CDIP</w:t>
        </w:r>
        <w:proofErr w:type="spellEnd"/>
        <w:r w:rsidRPr="00BF6A5B">
          <w:rPr>
            <w:rStyle w:val="Hyperlink"/>
            <w:rFonts w:eastAsiaTheme="minorHAnsi"/>
            <w:szCs w:val="18"/>
          </w:rPr>
          <w:t>/12/INF/6</w:t>
        </w:r>
      </w:hyperlink>
      <w:r w:rsidRPr="00BF6A5B">
        <w:rPr>
          <w:szCs w:val="18"/>
        </w:rPr>
        <w:t xml:space="preserve"> </w:t>
      </w:r>
      <w:r w:rsidRPr="00BF6A5B">
        <w:rPr>
          <w:rFonts w:hint="cs"/>
          <w:rtl/>
        </w:rPr>
        <w:t>المقدمة إلى</w:t>
      </w:r>
      <w:r>
        <w:rPr>
          <w:rFonts w:hint="cs"/>
          <w:rtl/>
        </w:rPr>
        <w:t xml:space="preserve"> اللجنة المعنية بالتنمية والملكية الفكرية في دورتها الثانية عشرة </w:t>
      </w:r>
      <w:r w:rsidR="00662C1F">
        <w:rPr>
          <w:rFonts w:hint="cs"/>
          <w:rtl/>
        </w:rPr>
        <w:t>التي عُقدت</w:t>
      </w:r>
      <w:r>
        <w:rPr>
          <w:rFonts w:hint="cs"/>
          <w:rtl/>
        </w:rPr>
        <w:t xml:space="preserve"> في الفترة من 18 إلى 21 نوفمبر 2013.</w:t>
      </w:r>
    </w:p>
  </w:footnote>
  <w:footnote w:id="3">
    <w:p w:rsidR="00BF6A5B" w:rsidRDefault="00BF6A5B" w:rsidP="00311DCE">
      <w:pPr>
        <w:pStyle w:val="FootnoteText"/>
        <w:rPr>
          <w:rtl/>
        </w:rPr>
      </w:pPr>
      <w:r>
        <w:rPr>
          <w:rStyle w:val="FootnoteReference"/>
        </w:rPr>
        <w:footnoteRef/>
      </w:r>
      <w:r>
        <w:rPr>
          <w:rFonts w:hint="cs"/>
          <w:rtl/>
        </w:rPr>
        <w:tab/>
        <w:t xml:space="preserve">سعر الصرف الرسمي </w:t>
      </w:r>
      <w:r w:rsidR="00C52254">
        <w:rPr>
          <w:rFonts w:hint="cs"/>
          <w:rtl/>
        </w:rPr>
        <w:t>31.08</w:t>
      </w:r>
      <w:r w:rsidR="00311DCE">
        <w:rPr>
          <w:rFonts w:hint="eastAsia"/>
          <w:rtl/>
        </w:rPr>
        <w:t> </w:t>
      </w:r>
      <w:r w:rsidR="00C52254">
        <w:rPr>
          <w:rFonts w:hint="cs"/>
          <w:rtl/>
        </w:rPr>
        <w:t>بات لكل دولار</w:t>
      </w:r>
      <w:r w:rsidR="00311DCE">
        <w:rPr>
          <w:rFonts w:hint="eastAsia"/>
          <w:rtl/>
        </w:rPr>
        <w:t> </w:t>
      </w:r>
      <w:r w:rsidR="00C52254">
        <w:rPr>
          <w:rFonts w:hint="cs"/>
          <w:rtl/>
        </w:rPr>
        <w:t>أمريكي محسوب كمتوسط سنوي على أساس المتوسطات الشهرية لعام</w:t>
      </w:r>
      <w:r w:rsidR="00311DCE">
        <w:rPr>
          <w:rFonts w:hint="eastAsia"/>
          <w:rtl/>
        </w:rPr>
        <w:t> </w:t>
      </w:r>
      <w:r w:rsidR="00C52254">
        <w:rPr>
          <w:rFonts w:hint="cs"/>
          <w:rtl/>
        </w:rPr>
        <w:t xml:space="preserve">2012، </w:t>
      </w:r>
      <w:r w:rsidR="00C52254" w:rsidRPr="00C52254">
        <w:rPr>
          <w:rtl/>
        </w:rPr>
        <w:t>الإحصاءات المالية الدولية الخاصة بصندوق النقد الدولي</w:t>
      </w:r>
      <w:r w:rsidR="00C52254">
        <w:rPr>
          <w:rFonts w:hint="cs"/>
          <w:rtl/>
        </w:rPr>
        <w:t xml:space="preserve"> (بيانات متاحة على الرابط التالي:</w:t>
      </w:r>
      <w:r w:rsidR="00C52254">
        <w:rPr>
          <w:rFonts w:hint="eastAsia"/>
          <w:rtl/>
        </w:rPr>
        <w:t> </w:t>
      </w:r>
      <w:hyperlink r:id="rId3" w:history="1">
        <w:r w:rsidR="00C52254" w:rsidRPr="00B82C96">
          <w:rPr>
            <w:rStyle w:val="Hyperlink"/>
            <w:szCs w:val="18"/>
          </w:rPr>
          <w:t>http://data.worldbank.org/indicator/PA.NUS.FCRF</w:t>
        </w:r>
      </w:hyperlink>
      <w:r w:rsidR="00C52254">
        <w:rPr>
          <w:rFonts w:hint="cs"/>
          <w:rtl/>
        </w:rPr>
        <w:t>).</w:t>
      </w:r>
    </w:p>
  </w:footnote>
  <w:footnote w:id="4">
    <w:p w:rsidR="00C52254" w:rsidRDefault="00C52254">
      <w:pPr>
        <w:pStyle w:val="FootnoteText"/>
      </w:pPr>
      <w:r>
        <w:rPr>
          <w:rStyle w:val="FootnoteReference"/>
        </w:rPr>
        <w:footnoteRef/>
      </w:r>
      <w:r>
        <w:rPr>
          <w:rFonts w:hint="cs"/>
          <w:rtl/>
        </w:rPr>
        <w:tab/>
        <w:t>المرجع السابق.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30D" w:rsidRDefault="001C130D" w:rsidP="00CA6ACB">
    <w:r>
      <w:rPr>
        <w:lang w:val="fr-CH"/>
      </w:rPr>
      <w:t>CDIP</w:t>
    </w:r>
    <w:r>
      <w:t>/1</w:t>
    </w:r>
    <w:r w:rsidR="00A375CD">
      <w:t>4</w:t>
    </w:r>
    <w:r w:rsidR="00CA6ACB">
      <w:t>/INF/4</w:t>
    </w:r>
  </w:p>
  <w:p w:rsidR="00CA6ACB" w:rsidRDefault="00CA6ACB" w:rsidP="00CA6ACB">
    <w:r>
      <w:t>Annex</w:t>
    </w:r>
  </w:p>
  <w:p w:rsidR="001C130D" w:rsidRDefault="001C130D" w:rsidP="00D61541">
    <w:r>
      <w:fldChar w:fldCharType="begin"/>
    </w:r>
    <w:r>
      <w:instrText xml:space="preserve"> PAGE  \* MERGEFORMAT </w:instrText>
    </w:r>
    <w:r>
      <w:fldChar w:fldCharType="separate"/>
    </w:r>
    <w:r w:rsidR="00662C1F">
      <w:rPr>
        <w:noProof/>
      </w:rPr>
      <w:t>5</w:t>
    </w:r>
    <w:r>
      <w:fldChar w:fldCharType="end"/>
    </w:r>
  </w:p>
  <w:p w:rsidR="001C130D" w:rsidRDefault="001C130D"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ACB" w:rsidRDefault="00CA6ACB" w:rsidP="00CA6ACB">
    <w:r>
      <w:rPr>
        <w:lang w:val="fr-CH"/>
      </w:rPr>
      <w:t>CDIP</w:t>
    </w:r>
    <w:r>
      <w:t>/14/INF/4</w:t>
    </w:r>
  </w:p>
  <w:p w:rsidR="00CA6ACB" w:rsidRDefault="00CA6ACB" w:rsidP="00CA6ACB">
    <w:r>
      <w:t>Annex</w:t>
    </w:r>
  </w:p>
  <w:p w:rsidR="00CA6ACB" w:rsidRDefault="00CA6ACB" w:rsidP="00CA6ACB">
    <w:r>
      <w:fldChar w:fldCharType="begin"/>
    </w:r>
    <w:r>
      <w:instrText xml:space="preserve"> PAGE  \* MERGEFORMAT </w:instrText>
    </w:r>
    <w:r>
      <w:fldChar w:fldCharType="separate"/>
    </w:r>
    <w:r w:rsidR="00CD1546">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ACB" w:rsidRPr="00F25064" w:rsidRDefault="00CA6ACB" w:rsidP="00CA6ACB">
    <w:pPr>
      <w:pStyle w:val="Apendix"/>
      <w:rPr>
        <w:b w:val="0"/>
      </w:rPr>
    </w:pPr>
    <w:r w:rsidRPr="00F25064">
      <w:rPr>
        <w:b w:val="0"/>
      </w:rPr>
      <w:t>CDIP/14/</w:t>
    </w:r>
    <w:r>
      <w:rPr>
        <w:b w:val="0"/>
      </w:rPr>
      <w:t>INF/4</w:t>
    </w:r>
  </w:p>
  <w:p w:rsidR="00CA6ACB" w:rsidRPr="00F25064" w:rsidRDefault="00CA6ACB" w:rsidP="00CA6ACB">
    <w:pPr>
      <w:pStyle w:val="Apendix"/>
      <w:jc w:val="both"/>
      <w:rPr>
        <w:b w:val="0"/>
        <w:noProof/>
      </w:rPr>
    </w:pPr>
    <w:r>
      <w:rPr>
        <w:b w:val="0"/>
      </w:rPr>
      <w:t>ANNEX</w:t>
    </w:r>
  </w:p>
  <w:p w:rsidR="00CA6ACB" w:rsidRPr="00CA6ACB" w:rsidRDefault="00CA6ACB" w:rsidP="00CA6ACB">
    <w:pPr>
      <w:pStyle w:val="Header"/>
      <w:bidi/>
      <w:jc w:val="right"/>
      <w:rPr>
        <w:rFonts w:ascii="Arabic Typesetting" w:hAnsi="Arabic Typesetting" w:cs="Arabic Typesetting"/>
        <w:sz w:val="36"/>
        <w:szCs w:val="36"/>
        <w:rtl/>
      </w:rPr>
    </w:pPr>
    <w:r w:rsidRPr="00CA6ACB">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BC252AA"/>
    <w:multiLevelType w:val="hybridMultilevel"/>
    <w:tmpl w:val="9D265064"/>
    <w:lvl w:ilvl="0" w:tplc="D8166F5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8"/>
  </w:num>
  <w:num w:numId="5">
    <w:abstractNumId w:val="8"/>
  </w:num>
  <w:num w:numId="6">
    <w:abstractNumId w:val="19"/>
  </w:num>
  <w:num w:numId="7">
    <w:abstractNumId w:val="13"/>
  </w:num>
  <w:num w:numId="8">
    <w:abstractNumId w:val="16"/>
  </w:num>
  <w:num w:numId="9">
    <w:abstractNumId w:val="15"/>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64C"/>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190"/>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945"/>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30D"/>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36F5"/>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1F7"/>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ABE"/>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6F94"/>
    <w:rsid w:val="002F77FC"/>
    <w:rsid w:val="003004A6"/>
    <w:rsid w:val="0030129C"/>
    <w:rsid w:val="003013E2"/>
    <w:rsid w:val="00301FE4"/>
    <w:rsid w:val="00303E3A"/>
    <w:rsid w:val="00305417"/>
    <w:rsid w:val="00306127"/>
    <w:rsid w:val="0030641B"/>
    <w:rsid w:val="003067C8"/>
    <w:rsid w:val="00311453"/>
    <w:rsid w:val="003114C9"/>
    <w:rsid w:val="00311DCE"/>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67"/>
    <w:rsid w:val="00390FC0"/>
    <w:rsid w:val="003911B2"/>
    <w:rsid w:val="00391AFE"/>
    <w:rsid w:val="00392705"/>
    <w:rsid w:val="0039283A"/>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265F"/>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0BB"/>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0AFE"/>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278D1"/>
    <w:rsid w:val="004303D1"/>
    <w:rsid w:val="004335A8"/>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0628"/>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04FC"/>
    <w:rsid w:val="00581FF0"/>
    <w:rsid w:val="005825FC"/>
    <w:rsid w:val="00582A90"/>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27B"/>
    <w:rsid w:val="005D0AE3"/>
    <w:rsid w:val="005D1103"/>
    <w:rsid w:val="005D276D"/>
    <w:rsid w:val="005D5912"/>
    <w:rsid w:val="005D794C"/>
    <w:rsid w:val="005D7A9F"/>
    <w:rsid w:val="005D7AA2"/>
    <w:rsid w:val="005E1EFB"/>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0B8F"/>
    <w:rsid w:val="00662C1F"/>
    <w:rsid w:val="00662EDE"/>
    <w:rsid w:val="00664C9F"/>
    <w:rsid w:val="00666548"/>
    <w:rsid w:val="00666A71"/>
    <w:rsid w:val="00667537"/>
    <w:rsid w:val="00670865"/>
    <w:rsid w:val="00671AED"/>
    <w:rsid w:val="006725B5"/>
    <w:rsid w:val="00673521"/>
    <w:rsid w:val="00673767"/>
    <w:rsid w:val="00673C03"/>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361B"/>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4AAF"/>
    <w:rsid w:val="007F56BB"/>
    <w:rsid w:val="007F63CE"/>
    <w:rsid w:val="007F6EA4"/>
    <w:rsid w:val="007F7148"/>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23C"/>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599"/>
    <w:rsid w:val="00875C28"/>
    <w:rsid w:val="00875E75"/>
    <w:rsid w:val="0087658F"/>
    <w:rsid w:val="0087762E"/>
    <w:rsid w:val="00877823"/>
    <w:rsid w:val="008803F5"/>
    <w:rsid w:val="00880A5F"/>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4B32"/>
    <w:rsid w:val="00935301"/>
    <w:rsid w:val="00936F64"/>
    <w:rsid w:val="00937B8E"/>
    <w:rsid w:val="00940C5B"/>
    <w:rsid w:val="009411F7"/>
    <w:rsid w:val="009417F1"/>
    <w:rsid w:val="00941A84"/>
    <w:rsid w:val="0094204A"/>
    <w:rsid w:val="00943B4C"/>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49"/>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80"/>
    <w:rsid w:val="009E11BD"/>
    <w:rsid w:val="009E1DF8"/>
    <w:rsid w:val="009E2C1A"/>
    <w:rsid w:val="009E2C4B"/>
    <w:rsid w:val="009E2E0C"/>
    <w:rsid w:val="009E3218"/>
    <w:rsid w:val="009E3248"/>
    <w:rsid w:val="009E364C"/>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1EF4"/>
    <w:rsid w:val="00A320BA"/>
    <w:rsid w:val="00A32283"/>
    <w:rsid w:val="00A32342"/>
    <w:rsid w:val="00A325EC"/>
    <w:rsid w:val="00A32B81"/>
    <w:rsid w:val="00A337E5"/>
    <w:rsid w:val="00A3658D"/>
    <w:rsid w:val="00A36E51"/>
    <w:rsid w:val="00A375CD"/>
    <w:rsid w:val="00A377C5"/>
    <w:rsid w:val="00A37B2E"/>
    <w:rsid w:val="00A37D45"/>
    <w:rsid w:val="00A401FD"/>
    <w:rsid w:val="00A40558"/>
    <w:rsid w:val="00A40AF2"/>
    <w:rsid w:val="00A411DC"/>
    <w:rsid w:val="00A43904"/>
    <w:rsid w:val="00A4582E"/>
    <w:rsid w:val="00A45B64"/>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3D4A"/>
    <w:rsid w:val="00A843FC"/>
    <w:rsid w:val="00A84DA5"/>
    <w:rsid w:val="00A85302"/>
    <w:rsid w:val="00A86119"/>
    <w:rsid w:val="00A8649F"/>
    <w:rsid w:val="00A86D25"/>
    <w:rsid w:val="00A871F4"/>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588"/>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0F7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0CCD"/>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32C"/>
    <w:rsid w:val="00B477CB"/>
    <w:rsid w:val="00B508A7"/>
    <w:rsid w:val="00B52081"/>
    <w:rsid w:val="00B52695"/>
    <w:rsid w:val="00B526FA"/>
    <w:rsid w:val="00B545AF"/>
    <w:rsid w:val="00B55B09"/>
    <w:rsid w:val="00B56711"/>
    <w:rsid w:val="00B57EF2"/>
    <w:rsid w:val="00B604F3"/>
    <w:rsid w:val="00B6101C"/>
    <w:rsid w:val="00B615ED"/>
    <w:rsid w:val="00B63A9D"/>
    <w:rsid w:val="00B64888"/>
    <w:rsid w:val="00B66021"/>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2CE"/>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5E50"/>
    <w:rsid w:val="00BD637A"/>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A5B"/>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254"/>
    <w:rsid w:val="00C5294D"/>
    <w:rsid w:val="00C52F83"/>
    <w:rsid w:val="00C54C1B"/>
    <w:rsid w:val="00C54DBA"/>
    <w:rsid w:val="00C55C1D"/>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6AC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1546"/>
    <w:rsid w:val="00CD297A"/>
    <w:rsid w:val="00CD3DB0"/>
    <w:rsid w:val="00CD4129"/>
    <w:rsid w:val="00CD5DBB"/>
    <w:rsid w:val="00CD67E7"/>
    <w:rsid w:val="00CD7388"/>
    <w:rsid w:val="00CE130A"/>
    <w:rsid w:val="00CE161C"/>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4D7"/>
    <w:rsid w:val="00D15BCC"/>
    <w:rsid w:val="00D1628F"/>
    <w:rsid w:val="00D17444"/>
    <w:rsid w:val="00D21D89"/>
    <w:rsid w:val="00D22522"/>
    <w:rsid w:val="00D22657"/>
    <w:rsid w:val="00D228DF"/>
    <w:rsid w:val="00D23557"/>
    <w:rsid w:val="00D2427F"/>
    <w:rsid w:val="00D24BB7"/>
    <w:rsid w:val="00D2506D"/>
    <w:rsid w:val="00D25F58"/>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42C"/>
    <w:rsid w:val="00D45D8F"/>
    <w:rsid w:val="00D50332"/>
    <w:rsid w:val="00D52B95"/>
    <w:rsid w:val="00D5362B"/>
    <w:rsid w:val="00D53A09"/>
    <w:rsid w:val="00D5461B"/>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1FF5"/>
    <w:rsid w:val="00D82A5C"/>
    <w:rsid w:val="00D82D11"/>
    <w:rsid w:val="00D834CF"/>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530"/>
    <w:rsid w:val="00DD7960"/>
    <w:rsid w:val="00DD7B0D"/>
    <w:rsid w:val="00DE1F29"/>
    <w:rsid w:val="00DE3FEB"/>
    <w:rsid w:val="00DE4905"/>
    <w:rsid w:val="00DE510C"/>
    <w:rsid w:val="00DE71EB"/>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540"/>
    <w:rsid w:val="00E76D85"/>
    <w:rsid w:val="00E77C2E"/>
    <w:rsid w:val="00E80A1A"/>
    <w:rsid w:val="00E8292A"/>
    <w:rsid w:val="00E82DE7"/>
    <w:rsid w:val="00E84116"/>
    <w:rsid w:val="00E84C5C"/>
    <w:rsid w:val="00E85533"/>
    <w:rsid w:val="00E86343"/>
    <w:rsid w:val="00E863D1"/>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13E"/>
    <w:rsid w:val="00ED4D96"/>
    <w:rsid w:val="00ED5A40"/>
    <w:rsid w:val="00ED5F21"/>
    <w:rsid w:val="00ED602C"/>
    <w:rsid w:val="00ED62B5"/>
    <w:rsid w:val="00ED6DDB"/>
    <w:rsid w:val="00ED7985"/>
    <w:rsid w:val="00EE2296"/>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0451"/>
    <w:rsid w:val="00F11800"/>
    <w:rsid w:val="00F11B61"/>
    <w:rsid w:val="00F121AB"/>
    <w:rsid w:val="00F135D6"/>
    <w:rsid w:val="00F13922"/>
    <w:rsid w:val="00F13DBC"/>
    <w:rsid w:val="00F15FCF"/>
    <w:rsid w:val="00F16613"/>
    <w:rsid w:val="00F175B1"/>
    <w:rsid w:val="00F20706"/>
    <w:rsid w:val="00F21496"/>
    <w:rsid w:val="00F21E77"/>
    <w:rsid w:val="00F23513"/>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1A5"/>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Body Text"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aliases w:val="Footnote ak"/>
    <w:basedOn w:val="NormalParaAR"/>
    <w:link w:val="FootnoteTextChar"/>
    <w:uiPriority w:val="99"/>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uiPriority w:val="59"/>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9E364C"/>
    <w:rPr>
      <w:rFonts w:ascii="Tahoma" w:hAnsi="Tahoma" w:cs="Tahoma"/>
      <w:sz w:val="16"/>
      <w:szCs w:val="16"/>
    </w:rPr>
  </w:style>
  <w:style w:type="character" w:customStyle="1" w:styleId="BalloonTextChar">
    <w:name w:val="Balloon Text Char"/>
    <w:basedOn w:val="DefaultParagraphFont"/>
    <w:link w:val="BalloonText"/>
    <w:rsid w:val="009E364C"/>
    <w:rPr>
      <w:rFonts w:ascii="Tahoma" w:hAnsi="Tahoma" w:cs="Tahoma"/>
      <w:sz w:val="16"/>
      <w:szCs w:val="16"/>
    </w:rPr>
  </w:style>
  <w:style w:type="paragraph" w:customStyle="1" w:styleId="Apendix">
    <w:name w:val="Apendix"/>
    <w:basedOn w:val="Heading1"/>
    <w:qFormat/>
    <w:rsid w:val="00CA6ACB"/>
    <w:pPr>
      <w:keepNext w:val="0"/>
      <w:spacing w:before="0" w:after="0"/>
      <w:ind w:left="432" w:hanging="432"/>
      <w:contextualSpacing/>
    </w:pPr>
    <w:rPr>
      <w:rFonts w:eastAsia="Times New Roman" w:cs="Times New Roman"/>
      <w:caps w:val="0"/>
      <w:kern w:val="0"/>
      <w:szCs w:val="28"/>
    </w:rPr>
  </w:style>
  <w:style w:type="character" w:customStyle="1" w:styleId="HeaderChar">
    <w:name w:val="Header Char"/>
    <w:basedOn w:val="DefaultParagraphFont"/>
    <w:link w:val="Header"/>
    <w:uiPriority w:val="99"/>
    <w:rsid w:val="00CA6ACB"/>
    <w:rPr>
      <w:rFonts w:ascii="Arial" w:hAnsi="Arial" w:cs="Arial"/>
      <w:sz w:val="22"/>
    </w:rPr>
  </w:style>
  <w:style w:type="character" w:customStyle="1" w:styleId="FootnoteTextChar">
    <w:name w:val="Footnote Text Char"/>
    <w:aliases w:val="Footnote ak Char"/>
    <w:basedOn w:val="DefaultParagraphFont"/>
    <w:link w:val="FootnoteText"/>
    <w:uiPriority w:val="99"/>
    <w:rsid w:val="00CA6ACB"/>
    <w:rPr>
      <w:rFonts w:ascii="Arabic Typesetting" w:hAnsi="Arabic Typesetting" w:cs="Arabic Typesetting"/>
      <w:sz w:val="28"/>
      <w:szCs w:val="28"/>
    </w:rPr>
  </w:style>
  <w:style w:type="character" w:styleId="Hyperlink">
    <w:name w:val="Hyperlink"/>
    <w:basedOn w:val="DefaultParagraphFont"/>
    <w:uiPriority w:val="99"/>
    <w:unhideWhenUsed/>
    <w:rsid w:val="00CA6ACB"/>
    <w:rPr>
      <w:color w:val="0000FF"/>
      <w:u w:val="single"/>
    </w:rPr>
  </w:style>
  <w:style w:type="paragraph" w:styleId="BodyText">
    <w:name w:val="Body Text"/>
    <w:basedOn w:val="Normal"/>
    <w:link w:val="BodyTextChar"/>
    <w:qFormat/>
    <w:rsid w:val="00CA6ACB"/>
    <w:rPr>
      <w:szCs w:val="24"/>
      <w:lang w:bidi="th-TH"/>
    </w:rPr>
  </w:style>
  <w:style w:type="character" w:customStyle="1" w:styleId="BodyTextChar">
    <w:name w:val="Body Text Char"/>
    <w:basedOn w:val="DefaultParagraphFont"/>
    <w:link w:val="BodyText"/>
    <w:rsid w:val="00CA6ACB"/>
    <w:rPr>
      <w:rFonts w:ascii="Arial" w:hAnsi="Arial" w:cs="Arial"/>
      <w:sz w:val="22"/>
      <w:szCs w:val="24"/>
      <w:lang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Body Text"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aliases w:val="Footnote ak"/>
    <w:basedOn w:val="NormalParaAR"/>
    <w:link w:val="FootnoteTextChar"/>
    <w:uiPriority w:val="99"/>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uiPriority w:val="59"/>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9E364C"/>
    <w:rPr>
      <w:rFonts w:ascii="Tahoma" w:hAnsi="Tahoma" w:cs="Tahoma"/>
      <w:sz w:val="16"/>
      <w:szCs w:val="16"/>
    </w:rPr>
  </w:style>
  <w:style w:type="character" w:customStyle="1" w:styleId="BalloonTextChar">
    <w:name w:val="Balloon Text Char"/>
    <w:basedOn w:val="DefaultParagraphFont"/>
    <w:link w:val="BalloonText"/>
    <w:rsid w:val="009E364C"/>
    <w:rPr>
      <w:rFonts w:ascii="Tahoma" w:hAnsi="Tahoma" w:cs="Tahoma"/>
      <w:sz w:val="16"/>
      <w:szCs w:val="16"/>
    </w:rPr>
  </w:style>
  <w:style w:type="paragraph" w:customStyle="1" w:styleId="Apendix">
    <w:name w:val="Apendix"/>
    <w:basedOn w:val="Heading1"/>
    <w:qFormat/>
    <w:rsid w:val="00CA6ACB"/>
    <w:pPr>
      <w:keepNext w:val="0"/>
      <w:spacing w:before="0" w:after="0"/>
      <w:ind w:left="432" w:hanging="432"/>
      <w:contextualSpacing/>
    </w:pPr>
    <w:rPr>
      <w:rFonts w:eastAsia="Times New Roman" w:cs="Times New Roman"/>
      <w:caps w:val="0"/>
      <w:kern w:val="0"/>
      <w:szCs w:val="28"/>
    </w:rPr>
  </w:style>
  <w:style w:type="character" w:customStyle="1" w:styleId="HeaderChar">
    <w:name w:val="Header Char"/>
    <w:basedOn w:val="DefaultParagraphFont"/>
    <w:link w:val="Header"/>
    <w:uiPriority w:val="99"/>
    <w:rsid w:val="00CA6ACB"/>
    <w:rPr>
      <w:rFonts w:ascii="Arial" w:hAnsi="Arial" w:cs="Arial"/>
      <w:sz w:val="22"/>
    </w:rPr>
  </w:style>
  <w:style w:type="character" w:customStyle="1" w:styleId="FootnoteTextChar">
    <w:name w:val="Footnote Text Char"/>
    <w:aliases w:val="Footnote ak Char"/>
    <w:basedOn w:val="DefaultParagraphFont"/>
    <w:link w:val="FootnoteText"/>
    <w:uiPriority w:val="99"/>
    <w:rsid w:val="00CA6ACB"/>
    <w:rPr>
      <w:rFonts w:ascii="Arabic Typesetting" w:hAnsi="Arabic Typesetting" w:cs="Arabic Typesetting"/>
      <w:sz w:val="28"/>
      <w:szCs w:val="28"/>
    </w:rPr>
  </w:style>
  <w:style w:type="character" w:styleId="Hyperlink">
    <w:name w:val="Hyperlink"/>
    <w:basedOn w:val="DefaultParagraphFont"/>
    <w:uiPriority w:val="99"/>
    <w:unhideWhenUsed/>
    <w:rsid w:val="00CA6ACB"/>
    <w:rPr>
      <w:color w:val="0000FF"/>
      <w:u w:val="single"/>
    </w:rPr>
  </w:style>
  <w:style w:type="paragraph" w:styleId="BodyText">
    <w:name w:val="Body Text"/>
    <w:basedOn w:val="Normal"/>
    <w:link w:val="BodyTextChar"/>
    <w:qFormat/>
    <w:rsid w:val="00CA6ACB"/>
    <w:rPr>
      <w:szCs w:val="24"/>
      <w:lang w:bidi="th-TH"/>
    </w:rPr>
  </w:style>
  <w:style w:type="character" w:customStyle="1" w:styleId="BodyTextChar">
    <w:name w:val="Body Text Char"/>
    <w:basedOn w:val="DefaultParagraphFont"/>
    <w:link w:val="BodyText"/>
    <w:rsid w:val="00CA6ACB"/>
    <w:rPr>
      <w:rFonts w:ascii="Arial" w:hAnsi="Arial" w:cs="Arial"/>
      <w:sz w:val="22"/>
      <w:szCs w:val="24"/>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data.worldbank.org/indicator/PA.NUS.FCRF" TargetMode="External"/><Relationship Id="rId2" Type="http://schemas.openxmlformats.org/officeDocument/2006/relationships/hyperlink" Target="http://www.wipo.int/meetings/en/doc_details.jsp?doc_id=253571" TargetMode="External"/><Relationship Id="rId1" Type="http://schemas.openxmlformats.org/officeDocument/2006/relationships/hyperlink" Target="http://www.wipo.int/meetings/en/doc_details.jsp?doc_id=1396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DIP_14_AR%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2B19E-FCF2-4B4C-9AD3-DC65F65A0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CDIP_14_AR .dotx</Template>
  <TotalTime>578</TotalTime>
  <Pages>6</Pages>
  <Words>1660</Words>
  <Characters>8862</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CDIP/14/INF/4 (Arabic)</vt:lpstr>
    </vt:vector>
  </TitlesOfParts>
  <Company>World Intellectual Property Organization</Company>
  <LinksUpToDate>false</LinksUpToDate>
  <CharactersWithSpaces>10501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CDIP/14/INF/4 (Arabic)</dc:title>
  <dc:creator>AHMIDOUCH Noureddine</dc:creator>
  <cp:lastModifiedBy>AHMIDOUCH Noureddine</cp:lastModifiedBy>
  <cp:revision>22</cp:revision>
  <cp:lastPrinted>2014-09-23T12:38:00Z</cp:lastPrinted>
  <dcterms:created xsi:type="dcterms:W3CDTF">2014-09-19T07:09:00Z</dcterms:created>
  <dcterms:modified xsi:type="dcterms:W3CDTF">2014-09-23T12:38:00Z</dcterms:modified>
</cp:coreProperties>
</file>