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82A90" w:rsidTr="00582A90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582A9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39283A" w:rsidP="00582A9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82A90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82A90" w:rsidTr="00582A90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470628" w:rsidP="005804FC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871F4">
              <w:t>1</w:t>
            </w:r>
            <w:r w:rsidR="00A375CD">
              <w:t>4</w:t>
            </w:r>
            <w:r w:rsidR="0040154C">
              <w:t>/INF/14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40154C" w:rsidP="00582A90">
            <w:pPr>
              <w:pStyle w:val="DocumentLanguageAR"/>
              <w:bidi/>
              <w:rPr>
                <w:rtl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40154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0154C">
              <w:rPr>
                <w:rFonts w:hint="cs"/>
                <w:rtl/>
              </w:rPr>
              <w:t>19</w:t>
            </w:r>
            <w:r w:rsidRPr="00B6101C">
              <w:rPr>
                <w:rFonts w:hint="cs"/>
                <w:rtl/>
              </w:rPr>
              <w:t xml:space="preserve"> </w:t>
            </w:r>
            <w:r w:rsidR="0040154C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5804FC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470628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 w:rsidR="00470628">
        <w:rPr>
          <w:rFonts w:hint="cs"/>
          <w:rtl/>
        </w:rPr>
        <w:t>المعنية بالتنمية والملكية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A375CD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A375CD">
        <w:rPr>
          <w:rFonts w:ascii="Cambria Math" w:hAnsi="Cambria Math" w:hint="cs"/>
          <w:rtl/>
        </w:rPr>
        <w:t>الرابعة</w:t>
      </w:r>
      <w:r w:rsidR="00796CF7">
        <w:rPr>
          <w:rFonts w:ascii="Cambria Math" w:hAnsi="Cambria Math" w:hint="cs"/>
          <w:rtl/>
        </w:rPr>
        <w:t xml:space="preserve"> عشرة</w:t>
      </w:r>
    </w:p>
    <w:p w:rsidR="00D61541" w:rsidRPr="00D61541" w:rsidRDefault="00D61541" w:rsidP="00A375C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A375CD">
        <w:rPr>
          <w:rFonts w:hint="cs"/>
          <w:rtl/>
        </w:rPr>
        <w:t>10</w:t>
      </w:r>
      <w:r w:rsidR="00100F97">
        <w:rPr>
          <w:rFonts w:hint="cs"/>
          <w:rtl/>
        </w:rPr>
        <w:t xml:space="preserve"> إلى </w:t>
      </w:r>
      <w:r w:rsidR="00A375CD">
        <w:rPr>
          <w:rFonts w:hint="cs"/>
          <w:rtl/>
        </w:rPr>
        <w:t>14</w:t>
      </w:r>
      <w:r w:rsidR="00783D11">
        <w:rPr>
          <w:rFonts w:hint="cs"/>
          <w:rtl/>
        </w:rPr>
        <w:t xml:space="preserve"> </w:t>
      </w:r>
      <w:r w:rsidR="00A375CD">
        <w:rPr>
          <w:rFonts w:hint="cs"/>
          <w:rtl/>
        </w:rPr>
        <w:t>نوفمبر</w:t>
      </w:r>
      <w:r w:rsidR="00AE2328">
        <w:rPr>
          <w:rFonts w:hint="cs"/>
          <w:rtl/>
        </w:rPr>
        <w:t xml:space="preserve"> </w:t>
      </w:r>
      <w:r w:rsidR="005804FC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715DD" w:rsidP="00B715DD">
      <w:pPr>
        <w:pStyle w:val="DocumentTitleAR"/>
        <w:bidi/>
        <w:rPr>
          <w:rtl/>
        </w:rPr>
      </w:pPr>
      <w:r>
        <w:rPr>
          <w:rFonts w:hint="cs"/>
          <w:rtl/>
        </w:rPr>
        <w:t>ملخص الدراسة التقييمية الم</w:t>
      </w:r>
      <w:r w:rsidR="0040154C">
        <w:rPr>
          <w:rFonts w:hint="cs"/>
          <w:rtl/>
        </w:rPr>
        <w:t>عم</w:t>
      </w:r>
      <w:r>
        <w:rPr>
          <w:rFonts w:hint="cs"/>
          <w:rtl/>
        </w:rPr>
        <w:t>َّ</w:t>
      </w:r>
      <w:r w:rsidR="0040154C">
        <w:rPr>
          <w:rFonts w:hint="cs"/>
          <w:rtl/>
        </w:rPr>
        <w:t xml:space="preserve">قة </w:t>
      </w:r>
      <w:r>
        <w:rPr>
          <w:rFonts w:hint="cs"/>
          <w:rtl/>
        </w:rPr>
        <w:t>بشأن ا</w:t>
      </w:r>
      <w:r w:rsidR="0040154C" w:rsidRPr="0040154C">
        <w:rPr>
          <w:rtl/>
        </w:rPr>
        <w:t>لمشروعات التعاونية المفتوحة والنم</w:t>
      </w:r>
      <w:r w:rsidR="0040154C">
        <w:rPr>
          <w:rtl/>
        </w:rPr>
        <w:t>اذج القائمة على الملكية الفكرية</w:t>
      </w:r>
    </w:p>
    <w:p w:rsidR="00D61541" w:rsidRDefault="0040154C" w:rsidP="0040154C">
      <w:pPr>
        <w:pStyle w:val="PreparedbyAR"/>
        <w:bidi/>
        <w:rPr>
          <w:rtl/>
        </w:rPr>
      </w:pPr>
      <w:r>
        <w:rPr>
          <w:rFonts w:hint="cs"/>
          <w:rtl/>
        </w:rPr>
        <w:t>من طلب الأمانة</w:t>
      </w:r>
    </w:p>
    <w:p w:rsidR="00A375CD" w:rsidRDefault="0040154C" w:rsidP="00B715DD">
      <w:pPr>
        <w:pStyle w:val="NumberedParaAR"/>
      </w:pPr>
      <w:r>
        <w:rPr>
          <w:rFonts w:hint="cs"/>
          <w:rtl/>
        </w:rPr>
        <w:t>يتضمن مرفق هذه الوثيقة ملخصاً لل</w:t>
      </w:r>
      <w:r w:rsidR="00B715DD">
        <w:rPr>
          <w:rFonts w:hint="cs"/>
          <w:rtl/>
        </w:rPr>
        <w:t>دراسة المعنونة "دراسة تقييمية م</w:t>
      </w:r>
      <w:r>
        <w:rPr>
          <w:rFonts w:hint="cs"/>
          <w:rtl/>
        </w:rPr>
        <w:t>عم</w:t>
      </w:r>
      <w:r w:rsidR="00B715DD">
        <w:rPr>
          <w:rFonts w:hint="cs"/>
          <w:rtl/>
        </w:rPr>
        <w:t>َّ</w:t>
      </w:r>
      <w:r>
        <w:rPr>
          <w:rFonts w:hint="cs"/>
          <w:rtl/>
        </w:rPr>
        <w:t xml:space="preserve">قة </w:t>
      </w:r>
      <w:r w:rsidRPr="0040154C">
        <w:rPr>
          <w:rtl/>
        </w:rPr>
        <w:t>للمشروعات التعاونية المفتوحة والنماذج القائمة على الملكية الفكرية</w:t>
      </w:r>
      <w:r>
        <w:rPr>
          <w:rFonts w:hint="cs"/>
          <w:rtl/>
        </w:rPr>
        <w:t xml:space="preserve">" والتي </w:t>
      </w:r>
      <w:r w:rsidR="00B715DD">
        <w:rPr>
          <w:rFonts w:hint="cs"/>
          <w:rtl/>
        </w:rPr>
        <w:t>أعدتها الأستاذة إلين إنك</w:t>
      </w:r>
      <w:r>
        <w:rPr>
          <w:rFonts w:hint="cs"/>
          <w:rtl/>
        </w:rPr>
        <w:t xml:space="preserve">ل، رئيسة معهد الدكتور مانفريد بيشوف لإدارة الابتكار </w:t>
      </w:r>
      <w:r w:rsidR="00B715DD">
        <w:rPr>
          <w:rFonts w:hint="cs"/>
          <w:rtl/>
        </w:rPr>
        <w:t>في مجموعة إيرباص</w:t>
      </w:r>
      <w:r>
        <w:rPr>
          <w:rFonts w:hint="cs"/>
          <w:rtl/>
        </w:rPr>
        <w:t xml:space="preserve"> ورئيسة إدارة الابتكار في جامعة </w:t>
      </w:r>
      <w:r>
        <w:rPr>
          <w:rtl/>
        </w:rPr>
        <w:t>زيبلين</w:t>
      </w:r>
      <w:r>
        <w:rPr>
          <w:rFonts w:hint="cs"/>
          <w:rtl/>
        </w:rPr>
        <w:t xml:space="preserve"> بفريدري</w:t>
      </w:r>
      <w:r w:rsidR="00B62DC8">
        <w:rPr>
          <w:rFonts w:hint="cs"/>
          <w:rtl/>
        </w:rPr>
        <w:t>ك</w:t>
      </w:r>
      <w:r>
        <w:rPr>
          <w:rFonts w:hint="cs"/>
          <w:rtl/>
        </w:rPr>
        <w:t>شافن في ألمانيا</w:t>
      </w:r>
      <w:r w:rsidR="00B715DD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B62DC8">
        <w:rPr>
          <w:rFonts w:hint="cs"/>
          <w:rtl/>
        </w:rPr>
        <w:t>بوصفها أحد أهداف مشروع "المشروعات</w:t>
      </w:r>
      <w:r w:rsidR="00B715DD">
        <w:rPr>
          <w:rFonts w:hint="eastAsia"/>
          <w:rtl/>
        </w:rPr>
        <w:t> </w:t>
      </w:r>
      <w:r w:rsidR="00B62DC8">
        <w:rPr>
          <w:rFonts w:hint="cs"/>
          <w:rtl/>
        </w:rPr>
        <w:t>التعاونية المفتوحة والنماذج القائمة على الملكية الفكرية".</w:t>
      </w:r>
    </w:p>
    <w:p w:rsidR="00B62DC8" w:rsidRDefault="00B62DC8" w:rsidP="00B62DC8">
      <w:pPr>
        <w:pStyle w:val="DecisionParaAR"/>
      </w:pPr>
      <w:r w:rsidRPr="00B62DC8">
        <w:rPr>
          <w:rtl/>
        </w:rPr>
        <w:t>إن اللجنة المعنية بالتنمية والملكية الفكرية مدعوة إلى الإحاطة علما بالمعلومات الواردة في مرفق هذه الوثيقة.</w:t>
      </w:r>
    </w:p>
    <w:p w:rsidR="00B62DC8" w:rsidRDefault="00B62DC8" w:rsidP="00B62DC8">
      <w:pPr>
        <w:pStyle w:val="EndofDocumentAR"/>
        <w:spacing w:before="720"/>
        <w:rPr>
          <w:rtl/>
        </w:rPr>
      </w:pPr>
      <w:r>
        <w:rPr>
          <w:rFonts w:hint="cs"/>
          <w:rtl/>
        </w:rPr>
        <w:t>[يلي ذلك المرفق]</w:t>
      </w:r>
    </w:p>
    <w:p w:rsidR="00B715DD" w:rsidRDefault="00B62DC8" w:rsidP="00B715DD">
      <w:pPr>
        <w:pStyle w:val="NormalParaAR"/>
        <w:spacing w:before="1680"/>
        <w:rPr>
          <w:b/>
          <w:bCs/>
        </w:rPr>
      </w:pPr>
      <w:r w:rsidRPr="00B62DC8">
        <w:rPr>
          <w:rFonts w:hint="cs"/>
          <w:b/>
          <w:bCs/>
          <w:rtl/>
        </w:rPr>
        <w:t>ملحوظة:</w:t>
      </w:r>
      <w:r w:rsidRPr="00B62DC8">
        <w:rPr>
          <w:b/>
          <w:bCs/>
          <w:rtl/>
        </w:rPr>
        <w:t xml:space="preserve"> </w:t>
      </w:r>
      <w:r w:rsidR="00B715DD">
        <w:rPr>
          <w:b/>
          <w:bCs/>
          <w:rtl/>
        </w:rPr>
        <w:t>إن وجهات النظر المع</w:t>
      </w:r>
      <w:r w:rsidR="00B715DD">
        <w:rPr>
          <w:rFonts w:hint="cs"/>
          <w:b/>
          <w:bCs/>
          <w:rtl/>
        </w:rPr>
        <w:t>بَّر</w:t>
      </w:r>
      <w:r w:rsidRPr="00B62DC8">
        <w:rPr>
          <w:b/>
          <w:bCs/>
          <w:rtl/>
        </w:rPr>
        <w:t xml:space="preserve"> عنها في هذه الدراسة هي لمؤلفيها وليست بالضرورة وجهات نظر أمانة الويبو أو الدول الأعضاء فيها.</w:t>
      </w:r>
    </w:p>
    <w:p w:rsidR="00B715DD" w:rsidRDefault="00B715DD" w:rsidP="00B715DD">
      <w:pPr>
        <w:pStyle w:val="NormalParaAR"/>
        <w:spacing w:before="1680"/>
        <w:rPr>
          <w:b/>
          <w:bCs/>
          <w:rtl/>
        </w:rPr>
        <w:sectPr w:rsidR="00B715DD" w:rsidSect="00EB7752"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B62DC8" w:rsidRDefault="00B62DC8" w:rsidP="00B62DC8">
      <w:pPr>
        <w:pStyle w:val="Heading1AR"/>
        <w:rPr>
          <w:rtl/>
        </w:rPr>
      </w:pPr>
      <w:r>
        <w:rPr>
          <w:rFonts w:hint="cs"/>
          <w:rtl/>
        </w:rPr>
        <w:lastRenderedPageBreak/>
        <w:t>ملخص عملي</w:t>
      </w:r>
    </w:p>
    <w:p w:rsidR="00B62DC8" w:rsidRDefault="00B62DC8" w:rsidP="00055822">
      <w:pPr>
        <w:pStyle w:val="NumberedParaAR"/>
        <w:numPr>
          <w:ilvl w:val="0"/>
          <w:numId w:val="21"/>
        </w:numPr>
      </w:pPr>
      <w:r>
        <w:rPr>
          <w:rFonts w:hint="cs"/>
          <w:rtl/>
        </w:rPr>
        <w:t>رغم استناد أبحاث الأكاد</w:t>
      </w:r>
      <w:r w:rsidR="00B715DD">
        <w:rPr>
          <w:rFonts w:hint="cs"/>
          <w:rtl/>
        </w:rPr>
        <w:t>يميي</w:t>
      </w:r>
      <w:r>
        <w:rPr>
          <w:rFonts w:hint="cs"/>
          <w:rtl/>
        </w:rPr>
        <w:t xml:space="preserve">ن والممارسين </w:t>
      </w:r>
      <w:r w:rsidR="00B715DD">
        <w:rPr>
          <w:rFonts w:hint="cs"/>
          <w:rtl/>
        </w:rPr>
        <w:t>غالباً</w:t>
      </w:r>
      <w:r>
        <w:rPr>
          <w:rFonts w:hint="cs"/>
          <w:rtl/>
        </w:rPr>
        <w:t xml:space="preserve"> إلى أمثلة على الابتكار المفتوح في ال</w:t>
      </w:r>
      <w:r w:rsidR="00B715DD">
        <w:rPr>
          <w:rFonts w:hint="cs"/>
          <w:rtl/>
        </w:rPr>
        <w:t>بلدان</w:t>
      </w:r>
      <w:r>
        <w:rPr>
          <w:rFonts w:hint="cs"/>
          <w:rtl/>
        </w:rPr>
        <w:t xml:space="preserve"> المتقدم</w:t>
      </w:r>
      <w:r w:rsidR="00B715DD">
        <w:rPr>
          <w:rFonts w:hint="cs"/>
          <w:rtl/>
        </w:rPr>
        <w:t>ة،</w:t>
      </w:r>
      <w:r>
        <w:rPr>
          <w:rFonts w:hint="cs"/>
          <w:rtl/>
        </w:rPr>
        <w:t xml:space="preserve"> مثل ب</w:t>
      </w:r>
      <w:r w:rsidR="00B715DD">
        <w:rPr>
          <w:rFonts w:hint="cs"/>
          <w:rtl/>
        </w:rPr>
        <w:t>ر</w:t>
      </w:r>
      <w:r>
        <w:rPr>
          <w:rFonts w:hint="cs"/>
          <w:rtl/>
        </w:rPr>
        <w:t>وكتر آند</w:t>
      </w:r>
      <w:r w:rsidR="00B715DD">
        <w:rPr>
          <w:rFonts w:hint="cs"/>
          <w:rtl/>
        </w:rPr>
        <w:t> غامل أو فيليبس أو آي بي</w:t>
      </w:r>
      <w:r w:rsidR="00B715DD">
        <w:rPr>
          <w:rFonts w:hint="eastAsia"/>
          <w:rtl/>
        </w:rPr>
        <w:t> </w:t>
      </w:r>
      <w:r>
        <w:rPr>
          <w:rFonts w:hint="cs"/>
          <w:rtl/>
        </w:rPr>
        <w:t>إم، فإن هذا التقرير يبين من خلال سبعة أمثلة أن الابتكار المفتوح متقدم للغاية في ال</w:t>
      </w:r>
      <w:r w:rsidR="00B715DD">
        <w:rPr>
          <w:rFonts w:hint="cs"/>
          <w:rtl/>
        </w:rPr>
        <w:t>بلدان</w:t>
      </w:r>
      <w:r>
        <w:rPr>
          <w:rFonts w:hint="cs"/>
          <w:rtl/>
        </w:rPr>
        <w:t xml:space="preserve"> النامي</w:t>
      </w:r>
      <w:r w:rsidR="00B715DD">
        <w:rPr>
          <w:rFonts w:hint="cs"/>
          <w:rtl/>
        </w:rPr>
        <w:t>ة</w:t>
      </w:r>
      <w:r>
        <w:rPr>
          <w:rFonts w:hint="cs"/>
          <w:rtl/>
        </w:rPr>
        <w:t>. إذ</w:t>
      </w:r>
      <w:r w:rsidR="00B715DD">
        <w:rPr>
          <w:rFonts w:hint="eastAsia"/>
          <w:rtl/>
        </w:rPr>
        <w:t> </w:t>
      </w:r>
      <w:r>
        <w:rPr>
          <w:rFonts w:hint="cs"/>
          <w:rtl/>
        </w:rPr>
        <w:t xml:space="preserve">تستخدم جميع المشروعات </w:t>
      </w:r>
      <w:r w:rsidR="00B715DD">
        <w:rPr>
          <w:rFonts w:hint="cs"/>
          <w:rtl/>
        </w:rPr>
        <w:t>شراكات تعاونية</w:t>
      </w:r>
      <w:r>
        <w:rPr>
          <w:rFonts w:hint="cs"/>
          <w:rtl/>
        </w:rPr>
        <w:t xml:space="preserve"> متعددة وطائفة متنوعة من الاتفاقات المختلفة والمرنة لتوسيع مواردها الشحيحة. وأقامت جميع المشروعات حولها نظاماً إيكولوجيا</w:t>
      </w:r>
      <w:r w:rsidR="00B715DD">
        <w:rPr>
          <w:rFonts w:hint="cs"/>
          <w:rtl/>
        </w:rPr>
        <w:t>ً من شركاء الدعم لتوسيع دائرة تأثيرها</w:t>
      </w:r>
      <w:r>
        <w:rPr>
          <w:rFonts w:hint="cs"/>
          <w:rtl/>
        </w:rPr>
        <w:t xml:space="preserve"> وتحقيق أهداف اجتماعية </w:t>
      </w:r>
      <w:r w:rsidR="00055822">
        <w:rPr>
          <w:rFonts w:hint="cs"/>
          <w:rtl/>
        </w:rPr>
        <w:t>يستحال تحقيقها كمنظمة فردية.</w:t>
      </w:r>
    </w:p>
    <w:p w:rsidR="00B715DD" w:rsidRDefault="00B62DC8" w:rsidP="00055822">
      <w:pPr>
        <w:pStyle w:val="NumberedParaAR"/>
        <w:numPr>
          <w:ilvl w:val="0"/>
          <w:numId w:val="21"/>
        </w:numPr>
      </w:pPr>
      <w:r>
        <w:rPr>
          <w:rFonts w:hint="cs"/>
          <w:rtl/>
        </w:rPr>
        <w:t xml:space="preserve">وبتحليل مشروعات </w:t>
      </w:r>
      <w:proofErr w:type="spellStart"/>
      <w:r w:rsidR="0019560B" w:rsidRPr="0019560B">
        <w:t>Ushahidi</w:t>
      </w:r>
      <w:proofErr w:type="spellEnd"/>
      <w:r w:rsidR="0019560B">
        <w:rPr>
          <w:rFonts w:hint="cs"/>
          <w:rtl/>
        </w:rPr>
        <w:t>، و</w:t>
      </w:r>
      <w:proofErr w:type="spellStart"/>
      <w:r w:rsidR="0019560B">
        <w:t>iHub</w:t>
      </w:r>
      <w:proofErr w:type="spellEnd"/>
      <w:r w:rsidR="0019560B">
        <w:rPr>
          <w:rFonts w:hint="cs"/>
          <w:rtl/>
        </w:rPr>
        <w:t>، و</w:t>
      </w:r>
      <w:r w:rsidR="0019560B">
        <w:t>Eclipse</w:t>
      </w:r>
      <w:r w:rsidR="0019560B">
        <w:rPr>
          <w:rFonts w:hint="cs"/>
          <w:rtl/>
        </w:rPr>
        <w:t>، و</w:t>
      </w:r>
      <w:r w:rsidR="0019560B" w:rsidRPr="0019560B">
        <w:rPr>
          <w:rtl/>
        </w:rPr>
        <w:t>مشروع المجين البشري</w:t>
      </w:r>
      <w:r w:rsidR="0019560B">
        <w:rPr>
          <w:rFonts w:hint="cs"/>
          <w:rtl/>
        </w:rPr>
        <w:t>،</w:t>
      </w:r>
      <w:r w:rsidR="00055822">
        <w:rPr>
          <w:rFonts w:hint="cs"/>
          <w:rtl/>
        </w:rPr>
        <w:t xml:space="preserve"> </w:t>
      </w:r>
      <w:r w:rsidR="0019560B">
        <w:rPr>
          <w:rFonts w:hint="cs"/>
          <w:rtl/>
        </w:rPr>
        <w:t>و</w:t>
      </w:r>
      <w:proofErr w:type="spellStart"/>
      <w:r w:rsidR="0019560B">
        <w:t>Desertec</w:t>
      </w:r>
      <w:proofErr w:type="spellEnd"/>
      <w:r w:rsidR="0019560B">
        <w:rPr>
          <w:rFonts w:hint="cs"/>
          <w:rtl/>
        </w:rPr>
        <w:t>، و</w:t>
      </w:r>
      <w:r w:rsidR="0019560B" w:rsidRPr="0019560B">
        <w:t>Cambia</w:t>
      </w:r>
      <w:r w:rsidR="00055822">
        <w:rPr>
          <w:rFonts w:hint="cs"/>
          <w:rtl/>
        </w:rPr>
        <w:t xml:space="preserve"> و"ا</w:t>
      </w:r>
      <w:r w:rsidR="00C42F41">
        <w:rPr>
          <w:rFonts w:hint="cs"/>
          <w:rtl/>
        </w:rPr>
        <w:t>لحديقة المعلوماتية</w:t>
      </w:r>
      <w:r w:rsidR="00055822">
        <w:rPr>
          <w:rFonts w:hint="cs"/>
          <w:rtl/>
        </w:rPr>
        <w:t>"</w:t>
      </w:r>
      <w:r w:rsidR="00C42F41">
        <w:rPr>
          <w:rFonts w:hint="cs"/>
          <w:rtl/>
        </w:rPr>
        <w:t xml:space="preserve"> للجزائر استناداً إلى تصنيف متقن، تمكن الفريق من استنباط ثلاثة عوامل نجاح رئيسية في جميع المشروعات.</w:t>
      </w:r>
      <w:r w:rsidR="00055822">
        <w:rPr>
          <w:rFonts w:hint="cs"/>
          <w:rtl/>
        </w:rPr>
        <w:t xml:space="preserve"> فإن الشركات تستخدم برمجيات مفتوحة المصدر وقواعد خاصة للإسهام والتسويق بغية توسيع</w:t>
      </w:r>
      <w:r w:rsidR="00C42F41">
        <w:rPr>
          <w:rFonts w:hint="cs"/>
          <w:rtl/>
        </w:rPr>
        <w:t xml:space="preserve"> نظامها الإيكولوجي بسرعة والحفاظ على الابتكار من خلال سد الفجوة المعرفية بين الشركاء والمستخدمين</w:t>
      </w:r>
      <w:r w:rsidR="00055822">
        <w:rPr>
          <w:rFonts w:hint="cs"/>
          <w:rtl/>
        </w:rPr>
        <w:t>.</w:t>
      </w:r>
      <w:r w:rsidR="00C42F41">
        <w:rPr>
          <w:rFonts w:hint="cs"/>
          <w:rtl/>
        </w:rPr>
        <w:t xml:space="preserve"> كما أن الموارد الشحيحة وقلة النفاذ إلى نظام البراءات وفهمه دوافع أخرى لاستخدام الاتفاقات المفتوحة المصدر. وإضافة إلى ذلك تستخدم جميع المشروعات مجموعة متنوعة من الاتفاقات الرسمية و</w:t>
      </w:r>
      <w:r w:rsidR="00055822">
        <w:rPr>
          <w:rFonts w:hint="cs"/>
          <w:rtl/>
        </w:rPr>
        <w:t xml:space="preserve">تتبع </w:t>
      </w:r>
      <w:r w:rsidR="00C42F41">
        <w:rPr>
          <w:rFonts w:hint="cs"/>
          <w:rtl/>
        </w:rPr>
        <w:t>ن</w:t>
      </w:r>
      <w:r w:rsidR="00055822">
        <w:rPr>
          <w:rFonts w:hint="cs"/>
          <w:rtl/>
        </w:rPr>
        <w:t>هوج</w:t>
      </w:r>
      <w:r w:rsidR="00C42F41">
        <w:rPr>
          <w:rFonts w:hint="cs"/>
          <w:rtl/>
        </w:rPr>
        <w:t xml:space="preserve"> </w:t>
      </w:r>
      <w:r w:rsidR="00055822">
        <w:rPr>
          <w:rFonts w:hint="cs"/>
          <w:rtl/>
        </w:rPr>
        <w:t>من التفتح</w:t>
      </w:r>
      <w:r w:rsidR="00C42F41">
        <w:rPr>
          <w:rFonts w:hint="cs"/>
          <w:rtl/>
        </w:rPr>
        <w:t xml:space="preserve"> لتلبية احتياجات الشركات الكبيرة في البلدان المتقدمة </w:t>
      </w:r>
      <w:r w:rsidR="00055822">
        <w:rPr>
          <w:rFonts w:hint="cs"/>
          <w:rtl/>
        </w:rPr>
        <w:t>سواء أكانت شركات مقاولة أم شركاء غير هادفين للربح.</w:t>
      </w:r>
    </w:p>
    <w:p w:rsidR="00C42F41" w:rsidRDefault="00C42F41" w:rsidP="00B03854">
      <w:pPr>
        <w:pStyle w:val="NumberedParaAR"/>
        <w:numPr>
          <w:ilvl w:val="0"/>
          <w:numId w:val="21"/>
        </w:numPr>
        <w:rPr>
          <w:rtl/>
        </w:rPr>
      </w:pPr>
      <w:r>
        <w:rPr>
          <w:rFonts w:hint="cs"/>
          <w:rtl/>
        </w:rPr>
        <w:t xml:space="preserve">ومن ثم يمكن للويبو أن توسع نطاق خدماتها للمنظمات في البلدان النامية </w:t>
      </w:r>
      <w:r w:rsidR="00B03854">
        <w:rPr>
          <w:rFonts w:hint="cs"/>
          <w:rtl/>
        </w:rPr>
        <w:t>بناء على</w:t>
      </w:r>
      <w:r>
        <w:rPr>
          <w:rFonts w:hint="cs"/>
          <w:rtl/>
        </w:rPr>
        <w:t xml:space="preserve"> احتياجاتها إلى مجموعة و</w:t>
      </w:r>
      <w:r w:rsidR="00B03854">
        <w:rPr>
          <w:rFonts w:hint="cs"/>
          <w:rtl/>
        </w:rPr>
        <w:t>اسعة من الاتفاقات المختلفة، ومجم</w:t>
      </w:r>
      <w:r>
        <w:rPr>
          <w:rFonts w:hint="cs"/>
          <w:rtl/>
        </w:rPr>
        <w:t>عات البراءات</w:t>
      </w:r>
      <w:r w:rsidR="00B03854">
        <w:rPr>
          <w:rFonts w:hint="cs"/>
          <w:rtl/>
        </w:rPr>
        <w:t>، والترجمة</w:t>
      </w:r>
      <w:r>
        <w:rPr>
          <w:rFonts w:hint="cs"/>
          <w:rtl/>
        </w:rPr>
        <w:t xml:space="preserve"> إلى لغات وطنية و</w:t>
      </w:r>
      <w:r w:rsidR="00B03854">
        <w:rPr>
          <w:rFonts w:hint="cs"/>
          <w:rtl/>
        </w:rPr>
        <w:t xml:space="preserve">وضع </w:t>
      </w:r>
      <w:r>
        <w:rPr>
          <w:rFonts w:hint="cs"/>
          <w:rtl/>
        </w:rPr>
        <w:t xml:space="preserve">وثائق </w:t>
      </w:r>
      <w:r w:rsidR="00B03854">
        <w:rPr>
          <w:rFonts w:hint="cs"/>
          <w:rtl/>
        </w:rPr>
        <w:t>أسهل فهماً</w:t>
      </w:r>
      <w:r>
        <w:rPr>
          <w:rFonts w:hint="cs"/>
          <w:rtl/>
        </w:rPr>
        <w:t>. وينبغي كذلك لل</w:t>
      </w:r>
      <w:r w:rsidR="00B03854">
        <w:rPr>
          <w:rFonts w:hint="cs"/>
          <w:rtl/>
        </w:rPr>
        <w:t>ويبو</w:t>
      </w:r>
      <w:r>
        <w:rPr>
          <w:rFonts w:hint="cs"/>
          <w:rtl/>
        </w:rPr>
        <w:t xml:space="preserve"> أن تراعي بوجه خاص</w:t>
      </w:r>
      <w:r w:rsidR="00B03854">
        <w:rPr>
          <w:rFonts w:hint="cs"/>
          <w:rtl/>
        </w:rPr>
        <w:t xml:space="preserve"> أن وضع</w:t>
      </w:r>
      <w:r>
        <w:rPr>
          <w:rFonts w:hint="cs"/>
          <w:rtl/>
        </w:rPr>
        <w:t xml:space="preserve"> نظام إيكولوجي للابتكار واستخدام برمجيات مفتوحة المصدر قد </w:t>
      </w:r>
      <w:r w:rsidR="00B03854">
        <w:rPr>
          <w:rFonts w:hint="cs"/>
          <w:rtl/>
        </w:rPr>
        <w:t>يعودان بفوائد كبرى على</w:t>
      </w:r>
      <w:r>
        <w:rPr>
          <w:rFonts w:hint="cs"/>
          <w:rtl/>
        </w:rPr>
        <w:t xml:space="preserve"> تسريع الابتكار في البلدان النامية</w:t>
      </w:r>
      <w:r w:rsidR="00B03854">
        <w:rPr>
          <w:rFonts w:hint="cs"/>
          <w:rtl/>
        </w:rPr>
        <w:t>.</w:t>
      </w:r>
    </w:p>
    <w:p w:rsidR="00C42F41" w:rsidRPr="00B62DC8" w:rsidRDefault="00C42F41" w:rsidP="00C42F41">
      <w:pPr>
        <w:pStyle w:val="EndofDocumentAR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C42F41" w:rsidRPr="00B62DC8" w:rsidSect="00EB7752"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80" w:rsidRDefault="001E1B80">
      <w:r>
        <w:separator/>
      </w:r>
    </w:p>
  </w:endnote>
  <w:endnote w:type="continuationSeparator" w:id="0">
    <w:p w:rsidR="001E1B80" w:rsidRDefault="001E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80" w:rsidRDefault="001E1B8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E1B80" w:rsidRDefault="001E1B8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5DD" w:rsidRDefault="00B715DD" w:rsidP="00B715DD">
    <w:r>
      <w:rPr>
        <w:lang w:val="fr-CH"/>
      </w:rPr>
      <w:t>CDIP</w:t>
    </w:r>
    <w:r>
      <w:t>/14/INF/14</w:t>
    </w:r>
  </w:p>
  <w:p w:rsidR="00B715DD" w:rsidRDefault="00B715DD" w:rsidP="00B715DD">
    <w:pPr>
      <w:rPr>
        <w:rtl/>
      </w:rPr>
    </w:pPr>
    <w:r>
      <w:t>ANNEX</w:t>
    </w:r>
  </w:p>
  <w:p w:rsidR="00B715DD" w:rsidRPr="00B715DD" w:rsidRDefault="00B715DD" w:rsidP="00B715DD">
    <w:pPr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B715DD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60F654C4"/>
    <w:lvl w:ilvl="0" w:tplc="786C57AA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4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822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60B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30D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6F5"/>
    <w:rsid w:val="001D6A48"/>
    <w:rsid w:val="001E1043"/>
    <w:rsid w:val="001E10E1"/>
    <w:rsid w:val="001E175F"/>
    <w:rsid w:val="001E19F7"/>
    <w:rsid w:val="001E1B80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67"/>
    <w:rsid w:val="00390FC0"/>
    <w:rsid w:val="003911B2"/>
    <w:rsid w:val="00391AFE"/>
    <w:rsid w:val="00392705"/>
    <w:rsid w:val="0039283A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AFE"/>
    <w:rsid w:val="003F4C37"/>
    <w:rsid w:val="003F67AE"/>
    <w:rsid w:val="003F6BBB"/>
    <w:rsid w:val="003F719F"/>
    <w:rsid w:val="0040033D"/>
    <w:rsid w:val="004007E1"/>
    <w:rsid w:val="00400B1F"/>
    <w:rsid w:val="0040154C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5A8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628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04FC"/>
    <w:rsid w:val="00581FF0"/>
    <w:rsid w:val="005825FC"/>
    <w:rsid w:val="00582A90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B8F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361B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4AA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1C7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80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5CD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1F4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588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854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2DC8"/>
    <w:rsid w:val="00B63A9D"/>
    <w:rsid w:val="00B64888"/>
    <w:rsid w:val="00B672E3"/>
    <w:rsid w:val="00B675F9"/>
    <w:rsid w:val="00B70849"/>
    <w:rsid w:val="00B715DD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5E50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2F41"/>
    <w:rsid w:val="00C44DDC"/>
    <w:rsid w:val="00C5128B"/>
    <w:rsid w:val="00C51423"/>
    <w:rsid w:val="00C5294D"/>
    <w:rsid w:val="00C52F83"/>
    <w:rsid w:val="00C54C1B"/>
    <w:rsid w:val="00C54DBA"/>
    <w:rsid w:val="00C55C1D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36B6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61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530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5B1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401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401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CDIP/14/INF/14 (Arabic)</vt:lpstr>
    </vt:vector>
  </TitlesOfParts>
  <Company>World Intellectual Property Organization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CDIP/14/INF/14 (Arabic)</dc:title>
  <dc:creator>HASSAN Ahmed</dc:creator>
  <cp:lastModifiedBy>SHOUSHA Sally</cp:lastModifiedBy>
  <cp:revision>2</cp:revision>
  <cp:lastPrinted>2011-07-08T11:30:00Z</cp:lastPrinted>
  <dcterms:created xsi:type="dcterms:W3CDTF">2014-10-02T12:58:00Z</dcterms:created>
  <dcterms:modified xsi:type="dcterms:W3CDTF">2014-10-02T12:58:00Z</dcterms:modified>
</cp:coreProperties>
</file>