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5B2A9A">
              <w:t>/4</w:t>
            </w:r>
          </w:p>
        </w:tc>
      </w:tr>
      <w:tr w:rsidR="001667B6" w:rsidRPr="00582A90" w:rsidTr="00582A90">
        <w:tc>
          <w:tcPr>
            <w:tcW w:w="9571" w:type="dxa"/>
            <w:gridSpan w:val="3"/>
            <w:shd w:val="clear" w:color="auto" w:fill="auto"/>
          </w:tcPr>
          <w:p w:rsidR="001667B6" w:rsidRPr="00B6101C" w:rsidRDefault="005B2A9A" w:rsidP="00582A90">
            <w:pPr>
              <w:pStyle w:val="DocumentLanguageAR"/>
              <w:bidi/>
              <w:rPr>
                <w:rtl/>
              </w:rPr>
            </w:pPr>
            <w:r>
              <w:rPr>
                <w:rFonts w:hint="cs"/>
                <w:rtl/>
              </w:rPr>
              <w:t>الأصل: بالإنكليزية</w:t>
            </w:r>
          </w:p>
        </w:tc>
      </w:tr>
      <w:tr w:rsidR="001667B6" w:rsidRPr="00582A90" w:rsidTr="00582A90">
        <w:tc>
          <w:tcPr>
            <w:tcW w:w="9571" w:type="dxa"/>
            <w:gridSpan w:val="3"/>
            <w:shd w:val="clear" w:color="auto" w:fill="auto"/>
          </w:tcPr>
          <w:p w:rsidR="001667B6" w:rsidRPr="00B6101C" w:rsidRDefault="00B6101C" w:rsidP="005B2A9A">
            <w:pPr>
              <w:pStyle w:val="DocumentDateAR"/>
              <w:bidi/>
              <w:rPr>
                <w:rtl/>
              </w:rPr>
            </w:pPr>
            <w:r w:rsidRPr="00B6101C">
              <w:rPr>
                <w:rFonts w:hint="cs"/>
                <w:rtl/>
              </w:rPr>
              <w:t xml:space="preserve">التاريخ: </w:t>
            </w:r>
            <w:r w:rsidR="005B2A9A">
              <w:rPr>
                <w:rFonts w:hint="cs"/>
                <w:rtl/>
              </w:rPr>
              <w:t>3</w:t>
            </w:r>
            <w:r w:rsidRPr="00B6101C">
              <w:rPr>
                <w:rFonts w:hint="cs"/>
                <w:rtl/>
              </w:rPr>
              <w:t xml:space="preserve"> </w:t>
            </w:r>
            <w:r w:rsidR="005B2A9A">
              <w:rPr>
                <w:rFonts w:hint="cs"/>
                <w:rtl/>
              </w:rPr>
              <w:t>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B2A9A" w:rsidP="0097553B">
      <w:pPr>
        <w:pStyle w:val="DocumentTitleAR"/>
        <w:bidi/>
        <w:rPr>
          <w:rtl/>
        </w:rPr>
      </w:pPr>
      <w:r>
        <w:rPr>
          <w:rFonts w:hint="cs"/>
          <w:rtl/>
        </w:rPr>
        <w:t xml:space="preserve">ملخص </w:t>
      </w:r>
      <w:r w:rsidR="0072352A">
        <w:rPr>
          <w:rFonts w:hint="cs"/>
          <w:rtl/>
        </w:rPr>
        <w:t>تقرير التقييم</w:t>
      </w:r>
      <w:r>
        <w:rPr>
          <w:rFonts w:hint="cs"/>
          <w:rtl/>
        </w:rPr>
        <w:t xml:space="preserve"> عن ال</w:t>
      </w:r>
      <w:r w:rsidRPr="005B2A9A">
        <w:rPr>
          <w:rtl/>
        </w:rPr>
        <w:t xml:space="preserve">مشروع </w:t>
      </w:r>
      <w:r>
        <w:rPr>
          <w:rFonts w:hint="cs"/>
          <w:rtl/>
        </w:rPr>
        <w:t>ال</w:t>
      </w:r>
      <w:r w:rsidRPr="005B2A9A">
        <w:rPr>
          <w:rtl/>
        </w:rPr>
        <w:t xml:space="preserve">رائد لإنشاء أكاديميات </w:t>
      </w:r>
      <w:r w:rsidR="000A7C8F">
        <w:rPr>
          <w:rFonts w:hint="cs"/>
          <w:rtl/>
        </w:rPr>
        <w:t>وطنية ناشئة للملكية الفكرية</w:t>
      </w:r>
      <w:r w:rsidR="0097553B">
        <w:rPr>
          <w:rFonts w:hint="cs"/>
          <w:rtl/>
        </w:rPr>
        <w:t xml:space="preserve"> </w:t>
      </w:r>
      <w:r w:rsidR="0097553B">
        <w:rPr>
          <w:rtl/>
        </w:rPr>
        <w:noBreakHyphen/>
      </w:r>
      <w:r w:rsidR="0097553B">
        <w:rPr>
          <w:rFonts w:hint="cs"/>
          <w:rtl/>
        </w:rPr>
        <w:t xml:space="preserve"> </w:t>
      </w:r>
      <w:r w:rsidR="000A7C8F">
        <w:rPr>
          <w:rtl/>
        </w:rPr>
        <w:t>المرحل</w:t>
      </w:r>
      <w:r w:rsidR="000A7C8F">
        <w:rPr>
          <w:rFonts w:hint="cs"/>
          <w:rtl/>
        </w:rPr>
        <w:t>ة</w:t>
      </w:r>
      <w:r w:rsidR="000A7C8F">
        <w:rPr>
          <w:rFonts w:cs="Times New Roman" w:hint="cs"/>
          <w:rtl/>
        </w:rPr>
        <w:t> </w:t>
      </w:r>
      <w:r>
        <w:rPr>
          <w:rtl/>
        </w:rPr>
        <w:t>الثانية</w:t>
      </w:r>
    </w:p>
    <w:p w:rsidR="00D61541" w:rsidRDefault="00D61541" w:rsidP="0072352A">
      <w:pPr>
        <w:pStyle w:val="PreparedbyAR"/>
        <w:bidi/>
        <w:rPr>
          <w:rtl/>
        </w:rPr>
      </w:pPr>
      <w:r w:rsidRPr="00D61541">
        <w:rPr>
          <w:rFonts w:hint="cs"/>
          <w:rtl/>
        </w:rPr>
        <w:t xml:space="preserve">من </w:t>
      </w:r>
      <w:r w:rsidRPr="00931859">
        <w:rPr>
          <w:rFonts w:hint="cs"/>
          <w:rtl/>
        </w:rPr>
        <w:t>إعداد</w:t>
      </w:r>
      <w:r w:rsidR="005B2A9A">
        <w:rPr>
          <w:rFonts w:hint="cs"/>
          <w:rtl/>
        </w:rPr>
        <w:t xml:space="preserve"> السيدة</w:t>
      </w:r>
      <w:r w:rsidR="005B2A9A" w:rsidRPr="005B2A9A">
        <w:rPr>
          <w:rtl/>
        </w:rPr>
        <w:t xml:space="preserve"> لويس أوستن، خبيرة استشارية، لندن، المملكة المتحدة</w:t>
      </w:r>
    </w:p>
    <w:p w:rsidR="00A375CD" w:rsidRDefault="005B2A9A" w:rsidP="00496016">
      <w:pPr>
        <w:pStyle w:val="NumberedParaAR"/>
        <w:rPr>
          <w:rtl/>
        </w:rPr>
      </w:pPr>
      <w:r>
        <w:rPr>
          <w:rFonts w:hint="cs"/>
          <w:rtl/>
        </w:rPr>
        <w:t xml:space="preserve">يتضمن مرفق هذه الوثيقة ملخصاً لتقرير التقييم الخارجي المستقل عن </w:t>
      </w:r>
      <w:r w:rsidR="000A7C8F">
        <w:rPr>
          <w:rtl/>
        </w:rPr>
        <w:t>المشروع الرائد لإنشاء أكاديميات</w:t>
      </w:r>
      <w:r w:rsidR="000A7C8F">
        <w:rPr>
          <w:rFonts w:hint="cs"/>
          <w:rtl/>
        </w:rPr>
        <w:t xml:space="preserve"> وطنية "ناشئة" ل</w:t>
      </w:r>
      <w:r w:rsidRPr="005B2A9A">
        <w:rPr>
          <w:rtl/>
        </w:rPr>
        <w:t>لملكية الفكرية</w:t>
      </w:r>
      <w:r w:rsidR="000A7C8F">
        <w:rPr>
          <w:rFonts w:hint="cs"/>
          <w:rtl/>
        </w:rPr>
        <w:t xml:space="preserve"> </w:t>
      </w:r>
      <w:r w:rsidR="00496016">
        <w:rPr>
          <w:rFonts w:hint="cs"/>
          <w:rtl/>
        </w:rPr>
        <w:noBreakHyphen/>
      </w:r>
      <w:r w:rsidRPr="005B2A9A">
        <w:rPr>
          <w:rtl/>
        </w:rPr>
        <w:t xml:space="preserve"> المرحلة الثانية</w:t>
      </w:r>
      <w:r w:rsidR="000A7C8F">
        <w:rPr>
          <w:rFonts w:hint="cs"/>
          <w:rtl/>
        </w:rPr>
        <w:t>،</w:t>
      </w:r>
      <w:r w:rsidR="00A24E9A">
        <w:rPr>
          <w:rFonts w:hint="cs"/>
          <w:rtl/>
        </w:rPr>
        <w:t xml:space="preserve"> الذي أعدت</w:t>
      </w:r>
      <w:r>
        <w:rPr>
          <w:rFonts w:hint="cs"/>
          <w:rtl/>
        </w:rPr>
        <w:t>ه السيدة لويس أوستن، خبيرة استشارية في لندن بالمملكة المتحدة.</w:t>
      </w:r>
    </w:p>
    <w:p w:rsidR="00A375CD" w:rsidRDefault="0072352A" w:rsidP="0072352A">
      <w:pPr>
        <w:pStyle w:val="DecisionParaAR"/>
      </w:pPr>
      <w:r w:rsidRPr="0072352A">
        <w:rPr>
          <w:rtl/>
        </w:rPr>
        <w:t>إن اللجنة المعنية بالتنمية والملكية الفكرية مدعوة إلى الإحاطة علما</w:t>
      </w:r>
      <w:r w:rsidR="00A24E9A">
        <w:rPr>
          <w:rFonts w:hint="cs"/>
          <w:rtl/>
        </w:rPr>
        <w:t>ً</w:t>
      </w:r>
      <w:r w:rsidRPr="0072352A">
        <w:rPr>
          <w:rtl/>
        </w:rPr>
        <w:t xml:space="preserve"> بالمعلومات الواردة في مرفق هذه الوثيقة.</w:t>
      </w:r>
    </w:p>
    <w:p w:rsidR="0072352A" w:rsidRDefault="0072352A" w:rsidP="0072352A">
      <w:pPr>
        <w:pStyle w:val="EndofDocumentAR"/>
        <w:rPr>
          <w:rtl/>
        </w:rPr>
        <w:sectPr w:rsidR="0072352A"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72352A" w:rsidRDefault="0072352A" w:rsidP="0072352A">
      <w:pPr>
        <w:pStyle w:val="Heading1AR"/>
        <w:spacing w:before="0" w:line="360" w:lineRule="exact"/>
        <w:rPr>
          <w:rtl/>
        </w:rPr>
      </w:pPr>
      <w:r>
        <w:rPr>
          <w:rFonts w:hint="cs"/>
          <w:rtl/>
        </w:rPr>
        <w:lastRenderedPageBreak/>
        <w:t>ملخص عملي</w:t>
      </w:r>
    </w:p>
    <w:p w:rsidR="0072352A" w:rsidRDefault="0072352A" w:rsidP="00496016">
      <w:pPr>
        <w:pStyle w:val="NormalParaAR"/>
        <w:rPr>
          <w:rtl/>
        </w:rPr>
      </w:pPr>
      <w:r>
        <w:rPr>
          <w:rtl/>
        </w:rPr>
        <w:t>تعرض هذه الوثيقة</w:t>
      </w:r>
      <w:r w:rsidRPr="0072352A">
        <w:rPr>
          <w:rtl/>
        </w:rPr>
        <w:t xml:space="preserve"> </w:t>
      </w:r>
      <w:r>
        <w:rPr>
          <w:rFonts w:hint="cs"/>
          <w:rtl/>
        </w:rPr>
        <w:t>تقرير التقييم النهائي ل</w:t>
      </w:r>
      <w:r w:rsidRPr="0072352A">
        <w:rPr>
          <w:rtl/>
        </w:rPr>
        <w:t xml:space="preserve">لمشروع الرائد لإنشاء </w:t>
      </w:r>
      <w:r w:rsidR="00A24E9A">
        <w:rPr>
          <w:rtl/>
        </w:rPr>
        <w:t>أكاديميات</w:t>
      </w:r>
      <w:r w:rsidR="00A24E9A">
        <w:rPr>
          <w:rFonts w:hint="cs"/>
          <w:rtl/>
        </w:rPr>
        <w:t xml:space="preserve"> وطنية "ناشئة" ل</w:t>
      </w:r>
      <w:r w:rsidR="00A24E9A" w:rsidRPr="005B2A9A">
        <w:rPr>
          <w:rtl/>
        </w:rPr>
        <w:t>لملكية الفكرية</w:t>
      </w:r>
      <w:r w:rsidR="00A24E9A">
        <w:rPr>
          <w:rFonts w:hint="cs"/>
          <w:rtl/>
        </w:rPr>
        <w:t xml:space="preserve"> </w:t>
      </w:r>
      <w:r w:rsidR="00496016">
        <w:rPr>
          <w:rFonts w:hint="cs"/>
          <w:rtl/>
        </w:rPr>
        <w:noBreakHyphen/>
      </w:r>
      <w:r w:rsidR="00A24E9A" w:rsidRPr="005B2A9A">
        <w:rPr>
          <w:rtl/>
        </w:rPr>
        <w:t xml:space="preserve"> المرحلة الثانية</w:t>
      </w:r>
      <w:r>
        <w:rPr>
          <w:rFonts w:hint="cs"/>
          <w:rtl/>
        </w:rPr>
        <w:t>.</w:t>
      </w:r>
    </w:p>
    <w:p w:rsidR="0072352A" w:rsidRPr="00B22EC1" w:rsidRDefault="0072352A" w:rsidP="00A24E9A">
      <w:pPr>
        <w:pStyle w:val="NormalParaAR"/>
        <w:keepNext/>
        <w:rPr>
          <w:rtl/>
        </w:rPr>
      </w:pPr>
      <w:r>
        <w:rPr>
          <w:rFonts w:hint="cs"/>
          <w:rtl/>
        </w:rPr>
        <w:t>وكانت</w:t>
      </w:r>
      <w:r w:rsidRPr="0072352A">
        <w:rPr>
          <w:rtl/>
        </w:rPr>
        <w:t xml:space="preserve"> اللجنة المعنية بالتنمية والملكية الفكرية</w:t>
      </w:r>
      <w:r>
        <w:rPr>
          <w:rFonts w:hint="cs"/>
          <w:rtl/>
        </w:rPr>
        <w:t xml:space="preserve"> قد وافقت على المشروع في دورتها التاسعة التي عُقدت في مايو</w:t>
      </w:r>
      <w:r w:rsidR="00A24E9A">
        <w:rPr>
          <w:rFonts w:hint="eastAsia"/>
          <w:rtl/>
        </w:rPr>
        <w:t> </w:t>
      </w:r>
      <w:r>
        <w:rPr>
          <w:rFonts w:hint="cs"/>
          <w:rtl/>
        </w:rPr>
        <w:t>2012. وهدف المشروع إلى تحقيق ما يلي بحلول نهاية</w:t>
      </w:r>
      <w:r w:rsidR="00A24E9A">
        <w:rPr>
          <w:rFonts w:hint="eastAsia"/>
          <w:rtl/>
        </w:rPr>
        <w:t> </w:t>
      </w:r>
      <w:r>
        <w:rPr>
          <w:rFonts w:hint="cs"/>
          <w:rtl/>
        </w:rPr>
        <w:t>2013</w:t>
      </w:r>
      <w:r w:rsidRPr="00B22EC1">
        <w:rPr>
          <w:rFonts w:hint="cs"/>
          <w:rtl/>
        </w:rPr>
        <w:t>:</w:t>
      </w:r>
    </w:p>
    <w:p w:rsidR="0072352A" w:rsidRDefault="0072352A" w:rsidP="00367997">
      <w:pPr>
        <w:pStyle w:val="NormalParaAR"/>
        <w:keepNext/>
        <w:ind w:left="567"/>
        <w:rPr>
          <w:rtl/>
        </w:rPr>
      </w:pPr>
      <w:r>
        <w:rPr>
          <w:rFonts w:hint="cs"/>
          <w:rtl/>
        </w:rPr>
        <w:t>(أ)</w:t>
      </w:r>
      <w:r>
        <w:rPr>
          <w:rFonts w:hint="cs"/>
          <w:rtl/>
        </w:rPr>
        <w:tab/>
        <w:t>مساعدة البلدان الستة المختارة (</w:t>
      </w:r>
      <w:r w:rsidR="004B0CB1">
        <w:rPr>
          <w:rtl/>
        </w:rPr>
        <w:t>كولومبيا</w:t>
      </w:r>
      <w:r w:rsidR="004B0CB1" w:rsidRPr="004B0CB1">
        <w:rPr>
          <w:rtl/>
        </w:rPr>
        <w:t xml:space="preserve"> والجمهورية الدومينيكية</w:t>
      </w:r>
      <w:r w:rsidR="004B0CB1">
        <w:rPr>
          <w:rtl/>
        </w:rPr>
        <w:t xml:space="preserve"> ومصر</w:t>
      </w:r>
      <w:r w:rsidR="004B0CB1" w:rsidRPr="004B0CB1">
        <w:rPr>
          <w:rtl/>
        </w:rPr>
        <w:t xml:space="preserve"> وإثيوبيا وبيرو وتونس</w:t>
      </w:r>
      <w:r w:rsidR="004B0CB1">
        <w:rPr>
          <w:rFonts w:hint="cs"/>
          <w:rtl/>
        </w:rPr>
        <w:t>)</w:t>
      </w:r>
      <w:r w:rsidR="00A01FF9">
        <w:rPr>
          <w:rtl/>
        </w:rPr>
        <w:t xml:space="preserve"> على إنشاء مراكز </w:t>
      </w:r>
      <w:r w:rsidR="004B0CB1" w:rsidRPr="004B0CB1">
        <w:rPr>
          <w:rtl/>
        </w:rPr>
        <w:t xml:space="preserve">تدريب على الملكية الفكرية تكون </w:t>
      </w:r>
      <w:r w:rsidR="00367997">
        <w:rPr>
          <w:rFonts w:hint="cs"/>
          <w:rtl/>
        </w:rPr>
        <w:t>ذاتية الاستدامة</w:t>
      </w:r>
      <w:r w:rsidR="004B0CB1" w:rsidRPr="004B0CB1">
        <w:rPr>
          <w:rtl/>
        </w:rPr>
        <w:t xml:space="preserve"> و</w:t>
      </w:r>
      <w:r w:rsidR="00496016">
        <w:rPr>
          <w:rFonts w:hint="cs"/>
          <w:rtl/>
        </w:rPr>
        <w:t xml:space="preserve">قادرة </w:t>
      </w:r>
      <w:r w:rsidR="004B0CB1" w:rsidRPr="004B0CB1">
        <w:rPr>
          <w:rtl/>
        </w:rPr>
        <w:t xml:space="preserve">على تقديم ما لا يقل عن برنامجي تدريب منتظمين بشأن المسائل </w:t>
      </w:r>
      <w:r w:rsidR="004B0CB1">
        <w:rPr>
          <w:rtl/>
        </w:rPr>
        <w:t xml:space="preserve">الناشئة </w:t>
      </w:r>
      <w:r w:rsidR="00B22EC1">
        <w:rPr>
          <w:rFonts w:hint="cs"/>
          <w:rtl/>
        </w:rPr>
        <w:t>في</w:t>
      </w:r>
      <w:r w:rsidR="004B0CB1">
        <w:rPr>
          <w:rtl/>
        </w:rPr>
        <w:t xml:space="preserve"> مجال الملكية الفكرية</w:t>
      </w:r>
      <w:r w:rsidR="004B0CB1">
        <w:rPr>
          <w:rFonts w:hint="cs"/>
          <w:rtl/>
        </w:rPr>
        <w:t>؛</w:t>
      </w:r>
    </w:p>
    <w:p w:rsidR="0072352A" w:rsidRDefault="0072352A" w:rsidP="00B22EC1">
      <w:pPr>
        <w:pStyle w:val="NormalParaAR"/>
        <w:keepNext/>
        <w:ind w:left="567"/>
        <w:rPr>
          <w:rtl/>
        </w:rPr>
      </w:pPr>
      <w:r>
        <w:rPr>
          <w:rFonts w:hint="cs"/>
          <w:rtl/>
        </w:rPr>
        <w:t>(ب)</w:t>
      </w:r>
      <w:r>
        <w:rPr>
          <w:rFonts w:hint="cs"/>
          <w:rtl/>
        </w:rPr>
        <w:tab/>
      </w:r>
      <w:r w:rsidR="004B0CB1" w:rsidRPr="004B0CB1">
        <w:rPr>
          <w:rtl/>
        </w:rPr>
        <w:t xml:space="preserve">تكوين موارد بشرية حاسمة تكون قادرة على وضع وتقديم برامج للتدريب على الملكية الفكرية تراعي تحديات التنمية الوطنية وأولوياتها واحتياجاتها المحلية، وتراعي تحقيق توازن عادل بين حقوق </w:t>
      </w:r>
      <w:r w:rsidR="004B0CB1">
        <w:rPr>
          <w:rtl/>
        </w:rPr>
        <w:t>الملكية الفكرية والمصلحة العامة</w:t>
      </w:r>
      <w:r w:rsidR="004B0CB1">
        <w:rPr>
          <w:rFonts w:hint="cs"/>
          <w:rtl/>
        </w:rPr>
        <w:t>؛</w:t>
      </w:r>
    </w:p>
    <w:p w:rsidR="004B0CB1" w:rsidRDefault="004B0CB1" w:rsidP="00B22EC1">
      <w:pPr>
        <w:pStyle w:val="NormalParaAR"/>
        <w:keepNext/>
        <w:ind w:left="567"/>
        <w:rPr>
          <w:rtl/>
        </w:rPr>
      </w:pPr>
      <w:r>
        <w:rPr>
          <w:rFonts w:hint="cs"/>
          <w:rtl/>
        </w:rPr>
        <w:t>(ج)</w:t>
      </w:r>
      <w:r>
        <w:rPr>
          <w:rFonts w:hint="cs"/>
          <w:rtl/>
        </w:rPr>
        <w:tab/>
      </w:r>
      <w:r w:rsidRPr="004B0CB1">
        <w:rPr>
          <w:rtl/>
        </w:rPr>
        <w:t xml:space="preserve">إعداد مجموعة من الأدوات والمبادئ التوجيهية التي يمكن للدول الأعضاء الأخرى المعنية أن تستخدمها </w:t>
      </w:r>
      <w:r w:rsidR="00A24E9A">
        <w:rPr>
          <w:rFonts w:hint="cs"/>
          <w:rtl/>
        </w:rPr>
        <w:t xml:space="preserve">مرجعاً </w:t>
      </w:r>
      <w:r w:rsidRPr="004B0CB1">
        <w:rPr>
          <w:rtl/>
        </w:rPr>
        <w:t xml:space="preserve">في </w:t>
      </w:r>
      <w:r>
        <w:rPr>
          <w:rtl/>
        </w:rPr>
        <w:t>إنشاء مؤسساتها التدريبية الخاصة</w:t>
      </w:r>
      <w:r>
        <w:rPr>
          <w:rFonts w:hint="cs"/>
          <w:rtl/>
        </w:rPr>
        <w:t>؛</w:t>
      </w:r>
    </w:p>
    <w:p w:rsidR="004B0CB1" w:rsidRDefault="004B0CB1" w:rsidP="0088582C">
      <w:pPr>
        <w:pStyle w:val="NormalParaAR"/>
        <w:ind w:left="567"/>
        <w:rPr>
          <w:rtl/>
        </w:rPr>
      </w:pPr>
      <w:r>
        <w:rPr>
          <w:rFonts w:hint="cs"/>
          <w:rtl/>
        </w:rPr>
        <w:t>(د)</w:t>
      </w:r>
      <w:r>
        <w:rPr>
          <w:rFonts w:hint="cs"/>
          <w:rtl/>
        </w:rPr>
        <w:tab/>
      </w:r>
      <w:r w:rsidRPr="004B0CB1">
        <w:rPr>
          <w:rtl/>
        </w:rPr>
        <w:t>الإسهام في إنشاء منتدى للمناقشات بشأن الانتفاع بالملكية الفكرية لأغراض التنمية الاجتماعية والاقتصادية</w:t>
      </w:r>
      <w:r>
        <w:rPr>
          <w:rtl/>
        </w:rPr>
        <w:t xml:space="preserve"> على </w:t>
      </w:r>
      <w:r w:rsidR="0088582C">
        <w:rPr>
          <w:rFonts w:hint="cs"/>
          <w:rtl/>
        </w:rPr>
        <w:t>الصعيدين</w:t>
      </w:r>
      <w:r>
        <w:rPr>
          <w:rtl/>
        </w:rPr>
        <w:t xml:space="preserve"> الوطني والإقليمي</w:t>
      </w:r>
      <w:r>
        <w:rPr>
          <w:rFonts w:hint="cs"/>
          <w:rtl/>
        </w:rPr>
        <w:t>.</w:t>
      </w:r>
    </w:p>
    <w:p w:rsidR="004B0CB1" w:rsidRDefault="004B0CB1" w:rsidP="00A24E9A">
      <w:pPr>
        <w:pStyle w:val="NormalParaAR"/>
        <w:rPr>
          <w:rtl/>
        </w:rPr>
      </w:pPr>
      <w:r>
        <w:rPr>
          <w:rtl/>
        </w:rPr>
        <w:t>و</w:t>
      </w:r>
      <w:r>
        <w:rPr>
          <w:rFonts w:hint="cs"/>
          <w:rtl/>
        </w:rPr>
        <w:t>نُفذ</w:t>
      </w:r>
      <w:r>
        <w:rPr>
          <w:rtl/>
        </w:rPr>
        <w:t xml:space="preserve"> المشروع</w:t>
      </w:r>
      <w:r w:rsidRPr="004B0CB1">
        <w:rPr>
          <w:rtl/>
        </w:rPr>
        <w:t xml:space="preserve"> تحت إشراف مسؤول عن المشروع (</w:t>
      </w:r>
      <w:r>
        <w:rPr>
          <w:rFonts w:hint="cs"/>
          <w:rtl/>
        </w:rPr>
        <w:t xml:space="preserve">مدير أكاديمية الويبو) بدعم </w:t>
      </w:r>
      <w:r w:rsidR="00745414">
        <w:rPr>
          <w:rFonts w:hint="cs"/>
          <w:rtl/>
        </w:rPr>
        <w:t>من مسؤول برنامج مخصص. واضط</w:t>
      </w:r>
      <w:r w:rsidR="00A24E9A">
        <w:rPr>
          <w:rFonts w:hint="cs"/>
          <w:rtl/>
        </w:rPr>
        <w:t>ُ</w:t>
      </w:r>
      <w:r w:rsidR="00745414">
        <w:rPr>
          <w:rFonts w:hint="cs"/>
          <w:rtl/>
        </w:rPr>
        <w:t>لع بالمرحلة الأولى من المشروع في الفترة بين أبريل</w:t>
      </w:r>
      <w:r w:rsidR="00A24E9A">
        <w:rPr>
          <w:rFonts w:hint="eastAsia"/>
          <w:rtl/>
        </w:rPr>
        <w:t> </w:t>
      </w:r>
      <w:r w:rsidR="00745414">
        <w:rPr>
          <w:rFonts w:hint="cs"/>
          <w:rtl/>
        </w:rPr>
        <w:t>2009 وأكتوبر</w:t>
      </w:r>
      <w:r w:rsidR="00A24E9A">
        <w:rPr>
          <w:rFonts w:hint="eastAsia"/>
          <w:rtl/>
        </w:rPr>
        <w:t> </w:t>
      </w:r>
      <w:r w:rsidR="00745414">
        <w:rPr>
          <w:rFonts w:hint="cs"/>
          <w:rtl/>
        </w:rPr>
        <w:t>2011.</w:t>
      </w:r>
    </w:p>
    <w:p w:rsidR="00745414" w:rsidRDefault="00745414" w:rsidP="00A24E9A">
      <w:pPr>
        <w:pStyle w:val="NumberedParaAR"/>
        <w:keepNext/>
        <w:numPr>
          <w:ilvl w:val="0"/>
          <w:numId w:val="0"/>
        </w:numPr>
        <w:rPr>
          <w:rtl/>
        </w:rPr>
      </w:pPr>
      <w:r w:rsidRPr="00745414">
        <w:rPr>
          <w:rtl/>
        </w:rPr>
        <w:t>وأجرت التقييم خبير</w:t>
      </w:r>
      <w:r>
        <w:rPr>
          <w:rFonts w:hint="cs"/>
          <w:rtl/>
        </w:rPr>
        <w:t>ة</w:t>
      </w:r>
      <w:r w:rsidRPr="00745414">
        <w:rPr>
          <w:rtl/>
        </w:rPr>
        <w:t xml:space="preserve"> استشاري</w:t>
      </w:r>
      <w:r>
        <w:rPr>
          <w:rFonts w:hint="cs"/>
          <w:rtl/>
        </w:rPr>
        <w:t>ة</w:t>
      </w:r>
      <w:r w:rsidRPr="00745414">
        <w:rPr>
          <w:rtl/>
        </w:rPr>
        <w:t xml:space="preserve"> مستقلة طبقت فيه المنهجية التالية:</w:t>
      </w:r>
    </w:p>
    <w:p w:rsidR="00745414" w:rsidRDefault="00745414" w:rsidP="00916C82">
      <w:pPr>
        <w:pStyle w:val="NormalParaAR"/>
        <w:keepNext/>
        <w:numPr>
          <w:ilvl w:val="0"/>
          <w:numId w:val="4"/>
        </w:numPr>
        <w:spacing w:after="0"/>
        <w:ind w:left="714" w:hanging="357"/>
        <w:rPr>
          <w:rtl/>
        </w:rPr>
      </w:pPr>
      <w:r>
        <w:rPr>
          <w:rtl/>
        </w:rPr>
        <w:t>إجراء مقابلات مع أصحاب المصالح الرئيسيين من فريق المشروع وأمانة الويبو والدول الأعضاء</w:t>
      </w:r>
      <w:r>
        <w:rPr>
          <w:rFonts w:hint="cs"/>
          <w:rtl/>
        </w:rPr>
        <w:t xml:space="preserve"> والأكاديميات التي يدعمها المشروع؛</w:t>
      </w:r>
    </w:p>
    <w:p w:rsidR="00745414" w:rsidRDefault="00745414" w:rsidP="00916C82">
      <w:pPr>
        <w:pStyle w:val="NormalParaAR"/>
        <w:keepNext/>
        <w:numPr>
          <w:ilvl w:val="0"/>
          <w:numId w:val="4"/>
        </w:numPr>
        <w:spacing w:after="0"/>
        <w:ind w:left="714" w:hanging="357"/>
        <w:rPr>
          <w:rtl/>
        </w:rPr>
      </w:pPr>
      <w:r>
        <w:rPr>
          <w:rtl/>
        </w:rPr>
        <w:t xml:space="preserve">استعراض الوثائق الرئيسية </w:t>
      </w:r>
      <w:r w:rsidR="00A24E9A">
        <w:rPr>
          <w:rFonts w:hint="cs"/>
          <w:rtl/>
        </w:rPr>
        <w:t>ذات الصلة</w:t>
      </w:r>
      <w:r>
        <w:rPr>
          <w:rFonts w:hint="cs"/>
          <w:rtl/>
        </w:rPr>
        <w:t>؛</w:t>
      </w:r>
    </w:p>
    <w:p w:rsidR="00745414" w:rsidRDefault="00745414" w:rsidP="00D14D61">
      <w:pPr>
        <w:pStyle w:val="NormalParaAR"/>
        <w:numPr>
          <w:ilvl w:val="0"/>
          <w:numId w:val="4"/>
        </w:numPr>
        <w:rPr>
          <w:rtl/>
        </w:rPr>
      </w:pPr>
      <w:r>
        <w:rPr>
          <w:rtl/>
        </w:rPr>
        <w:t xml:space="preserve">دمج </w:t>
      </w:r>
      <w:r>
        <w:rPr>
          <w:rFonts w:hint="cs"/>
          <w:rtl/>
        </w:rPr>
        <w:t>توضيحات</w:t>
      </w:r>
      <w:r>
        <w:rPr>
          <w:rtl/>
        </w:rPr>
        <w:t xml:space="preserve"> أمانة الويبو </w:t>
      </w:r>
      <w:r>
        <w:rPr>
          <w:rFonts w:hint="cs"/>
          <w:rtl/>
        </w:rPr>
        <w:t xml:space="preserve">بشأن الوقائع </w:t>
      </w:r>
      <w:r>
        <w:rPr>
          <w:rtl/>
        </w:rPr>
        <w:t>في تقرير التقييم النهائي.</w:t>
      </w:r>
    </w:p>
    <w:p w:rsidR="004B0CB1" w:rsidRDefault="00745414" w:rsidP="00A01FF9">
      <w:pPr>
        <w:pStyle w:val="NormalParaAR"/>
        <w:rPr>
          <w:rtl/>
        </w:rPr>
      </w:pPr>
      <w:r>
        <w:rPr>
          <w:rtl/>
        </w:rPr>
        <w:t>و</w:t>
      </w:r>
      <w:r w:rsidR="00A24E9A">
        <w:rPr>
          <w:rFonts w:hint="cs"/>
          <w:rtl/>
        </w:rPr>
        <w:t xml:space="preserve">يهدف </w:t>
      </w:r>
      <w:r>
        <w:rPr>
          <w:rtl/>
        </w:rPr>
        <w:t xml:space="preserve">التقييم </w:t>
      </w:r>
      <w:r w:rsidR="00A24E9A">
        <w:rPr>
          <w:rFonts w:hint="cs"/>
          <w:rtl/>
        </w:rPr>
        <w:t>إلى</w:t>
      </w:r>
      <w:r>
        <w:rPr>
          <w:rtl/>
        </w:rPr>
        <w:t xml:space="preserve"> فهم الأمور التي لقيت نجاحاً داخل المشروع والأمور التي لم تُتوَّج بالنجاح ع</w:t>
      </w:r>
      <w:r w:rsidR="00A01FF9">
        <w:rPr>
          <w:rtl/>
        </w:rPr>
        <w:t>ن طريق تقييم إطار تصميم المشروع</w:t>
      </w:r>
      <w:r w:rsidR="00A01FF9">
        <w:rPr>
          <w:rFonts w:hint="cs"/>
          <w:rtl/>
        </w:rPr>
        <w:t>؛</w:t>
      </w:r>
      <w:r w:rsidR="00A01FF9">
        <w:rPr>
          <w:rtl/>
        </w:rPr>
        <w:t xml:space="preserve"> وإدارة المشروع</w:t>
      </w:r>
      <w:r w:rsidR="00A01FF9">
        <w:rPr>
          <w:rFonts w:hint="cs"/>
          <w:rtl/>
        </w:rPr>
        <w:t>؛</w:t>
      </w:r>
      <w:r>
        <w:rPr>
          <w:rtl/>
        </w:rPr>
        <w:t xml:space="preserve"> وقياس النتائج التي تحققت حتى الآن</w:t>
      </w:r>
      <w:r w:rsidR="00A01FF9">
        <w:rPr>
          <w:rFonts w:hint="cs"/>
          <w:rtl/>
        </w:rPr>
        <w:t>؛</w:t>
      </w:r>
      <w:r>
        <w:rPr>
          <w:rtl/>
        </w:rPr>
        <w:t xml:space="preserve"> وتقدير احتمال استدامة النتائج المُحقَّقة.</w:t>
      </w:r>
    </w:p>
    <w:p w:rsidR="003C5394" w:rsidRPr="002A6C26" w:rsidRDefault="003C5394" w:rsidP="003C5394">
      <w:pPr>
        <w:pStyle w:val="NumberedParaAR"/>
        <w:keepNext/>
        <w:numPr>
          <w:ilvl w:val="0"/>
          <w:numId w:val="0"/>
        </w:numPr>
        <w:rPr>
          <w:b/>
          <w:bCs/>
          <w:sz w:val="40"/>
          <w:szCs w:val="40"/>
          <w:rtl/>
        </w:rPr>
      </w:pPr>
      <w:r w:rsidRPr="002A6C26">
        <w:rPr>
          <w:b/>
          <w:bCs/>
          <w:sz w:val="40"/>
          <w:szCs w:val="40"/>
          <w:rtl/>
        </w:rPr>
        <w:t>النتائج الرئيسية</w:t>
      </w:r>
    </w:p>
    <w:p w:rsidR="003C5394" w:rsidRDefault="009061DB" w:rsidP="003C5394">
      <w:pPr>
        <w:pStyle w:val="NumberedParaAR"/>
        <w:keepNext/>
        <w:numPr>
          <w:ilvl w:val="0"/>
          <w:numId w:val="0"/>
        </w:numPr>
        <w:rPr>
          <w:rtl/>
        </w:rPr>
      </w:pPr>
      <w:r>
        <w:rPr>
          <w:rtl/>
        </w:rPr>
        <w:t>تُعر</w:t>
      </w:r>
      <w:r w:rsidR="003C5394" w:rsidRPr="00A36C16">
        <w:rPr>
          <w:rtl/>
        </w:rPr>
        <w:t>ض النتائج في إطار كل مجال من المجالات الثلاثة التي ركَّز عليها التقييم:</w:t>
      </w:r>
    </w:p>
    <w:p w:rsidR="003C5394" w:rsidRDefault="003C5394" w:rsidP="00916C82">
      <w:pPr>
        <w:pStyle w:val="NumberedParaAR"/>
        <w:numPr>
          <w:ilvl w:val="0"/>
          <w:numId w:val="5"/>
        </w:numPr>
        <w:spacing w:after="0"/>
        <w:ind w:left="714" w:hanging="357"/>
      </w:pPr>
      <w:r w:rsidRPr="00A36C16">
        <w:rPr>
          <w:rtl/>
        </w:rPr>
        <w:t>تصميم المشروع وإدارته</w:t>
      </w:r>
      <w:r w:rsidR="00301F87">
        <w:rPr>
          <w:rFonts w:hint="cs"/>
          <w:rtl/>
          <w:lang w:bidi="ar-EG"/>
        </w:rPr>
        <w:t>؛</w:t>
      </w:r>
    </w:p>
    <w:p w:rsidR="003C5394" w:rsidRDefault="003C5394" w:rsidP="00916C82">
      <w:pPr>
        <w:pStyle w:val="NumberedParaAR"/>
        <w:numPr>
          <w:ilvl w:val="0"/>
          <w:numId w:val="5"/>
        </w:numPr>
        <w:spacing w:after="0"/>
        <w:ind w:left="714" w:hanging="357"/>
      </w:pPr>
      <w:r w:rsidRPr="00A36C16">
        <w:rPr>
          <w:rtl/>
        </w:rPr>
        <w:t>فعالية المشروع</w:t>
      </w:r>
      <w:r w:rsidR="00301F87">
        <w:rPr>
          <w:rFonts w:hint="cs"/>
          <w:rtl/>
        </w:rPr>
        <w:t>؛</w:t>
      </w:r>
    </w:p>
    <w:p w:rsidR="003C5394" w:rsidRDefault="003C5394" w:rsidP="00D14D61">
      <w:pPr>
        <w:pStyle w:val="NumberedParaAR"/>
        <w:numPr>
          <w:ilvl w:val="0"/>
          <w:numId w:val="5"/>
        </w:numPr>
      </w:pPr>
      <w:r w:rsidRPr="00A36C16">
        <w:rPr>
          <w:rtl/>
        </w:rPr>
        <w:t>استدامة المشروع</w:t>
      </w:r>
      <w:r w:rsidR="00301F87">
        <w:rPr>
          <w:rFonts w:hint="cs"/>
          <w:rtl/>
        </w:rPr>
        <w:t>؛</w:t>
      </w:r>
    </w:p>
    <w:p w:rsidR="003C5394" w:rsidRPr="002A6C26" w:rsidRDefault="003C5394" w:rsidP="003C5394">
      <w:pPr>
        <w:pStyle w:val="NumberedParaAR"/>
        <w:keepNext/>
        <w:numPr>
          <w:ilvl w:val="0"/>
          <w:numId w:val="0"/>
        </w:numPr>
        <w:rPr>
          <w:b/>
          <w:bCs/>
          <w:i/>
          <w:iCs/>
          <w:sz w:val="40"/>
          <w:szCs w:val="40"/>
          <w:rtl/>
        </w:rPr>
      </w:pPr>
      <w:r w:rsidRPr="002A6C26">
        <w:rPr>
          <w:b/>
          <w:bCs/>
          <w:i/>
          <w:iCs/>
          <w:sz w:val="40"/>
          <w:szCs w:val="40"/>
          <w:rtl/>
        </w:rPr>
        <w:lastRenderedPageBreak/>
        <w:t>تصميم المشروع وإدارته</w:t>
      </w:r>
    </w:p>
    <w:tbl>
      <w:tblPr>
        <w:tblStyle w:val="TableGrid"/>
        <w:bidiVisual/>
        <w:tblW w:w="0" w:type="auto"/>
        <w:tblLook w:val="04A0" w:firstRow="1" w:lastRow="0" w:firstColumn="1" w:lastColumn="0" w:noHBand="0" w:noVBand="1"/>
      </w:tblPr>
      <w:tblGrid>
        <w:gridCol w:w="9571"/>
      </w:tblGrid>
      <w:tr w:rsidR="003C5394" w:rsidTr="005C3293">
        <w:trPr>
          <w:cantSplit/>
        </w:trPr>
        <w:tc>
          <w:tcPr>
            <w:tcW w:w="9571" w:type="dxa"/>
          </w:tcPr>
          <w:p w:rsidR="003C5394" w:rsidRPr="000545F4" w:rsidRDefault="00A24E9A" w:rsidP="00916C82">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0545F4">
              <w:rPr>
                <w:rFonts w:hint="cs"/>
                <w:b/>
                <w:bCs/>
                <w:i/>
                <w:iCs/>
                <w:rtl/>
              </w:rPr>
              <w:t>1:</w:t>
            </w:r>
            <w:r w:rsidR="000545F4" w:rsidRPr="0001461E">
              <w:rPr>
                <w:i/>
                <w:iCs/>
                <w:rtl/>
              </w:rPr>
              <w:tab/>
            </w:r>
            <w:r w:rsidR="00276279">
              <w:rPr>
                <w:rFonts w:hint="cs"/>
                <w:i/>
                <w:iCs/>
                <w:rtl/>
              </w:rPr>
              <w:t>إن</w:t>
            </w:r>
            <w:r w:rsidR="000545F4">
              <w:rPr>
                <w:rFonts w:hint="cs"/>
                <w:i/>
                <w:iCs/>
                <w:rtl/>
              </w:rPr>
              <w:t xml:space="preserve"> وثائق المرحلة الثانية من المشروع </w:t>
            </w:r>
            <w:r w:rsidR="00276279">
              <w:rPr>
                <w:rFonts w:hint="cs"/>
                <w:i/>
                <w:iCs/>
                <w:rtl/>
              </w:rPr>
              <w:t>ونهجها يتسمان بالتفصيل وأخذا</w:t>
            </w:r>
            <w:r w:rsidR="000545F4">
              <w:rPr>
                <w:rFonts w:hint="cs"/>
                <w:i/>
                <w:iCs/>
                <w:rtl/>
              </w:rPr>
              <w:t xml:space="preserve"> ببعض التوصيات الناجمة عن تقييم المرحلة الأولى.</w:t>
            </w:r>
          </w:p>
        </w:tc>
      </w:tr>
      <w:tr w:rsidR="003C5394" w:rsidTr="005C3293">
        <w:trPr>
          <w:cantSplit/>
        </w:trPr>
        <w:tc>
          <w:tcPr>
            <w:tcW w:w="9571" w:type="dxa"/>
          </w:tcPr>
          <w:p w:rsidR="003C5394" w:rsidRPr="0001461E" w:rsidRDefault="00A24E9A" w:rsidP="00916C82">
            <w:pPr>
              <w:pStyle w:val="NormalParaAR"/>
              <w:spacing w:after="0"/>
              <w:rPr>
                <w:b/>
                <w:bCs/>
                <w:i/>
                <w:iCs/>
                <w:u w:val="single"/>
                <w:rtl/>
              </w:rPr>
            </w:pPr>
            <w:r>
              <w:rPr>
                <w:rFonts w:hint="cs"/>
                <w:b/>
                <w:bCs/>
                <w:i/>
                <w:iCs/>
                <w:rtl/>
              </w:rPr>
              <w:t>النتيجة</w:t>
            </w:r>
            <w:r>
              <w:rPr>
                <w:b/>
                <w:bCs/>
                <w:i/>
                <w:iCs/>
                <w:rtl/>
              </w:rPr>
              <w:t> </w:t>
            </w:r>
            <w:r>
              <w:rPr>
                <w:rFonts w:hint="cs"/>
                <w:b/>
                <w:bCs/>
                <w:i/>
                <w:iCs/>
                <w:rtl/>
              </w:rPr>
              <w:t>الرئيسية</w:t>
            </w:r>
            <w:r>
              <w:rPr>
                <w:b/>
                <w:bCs/>
                <w:i/>
                <w:iCs/>
                <w:rtl/>
              </w:rPr>
              <w:t> </w:t>
            </w:r>
            <w:r w:rsidR="0001461E">
              <w:rPr>
                <w:rFonts w:hint="cs"/>
                <w:b/>
                <w:bCs/>
                <w:i/>
                <w:iCs/>
                <w:rtl/>
              </w:rPr>
              <w:t>2:</w:t>
            </w:r>
            <w:r w:rsidR="0001461E" w:rsidRPr="0001461E">
              <w:rPr>
                <w:i/>
                <w:iCs/>
                <w:rtl/>
              </w:rPr>
              <w:tab/>
            </w:r>
            <w:r w:rsidR="0001461E">
              <w:rPr>
                <w:rFonts w:hint="cs"/>
                <w:i/>
                <w:iCs/>
                <w:rtl/>
              </w:rPr>
              <w:t>وردت في وثائق المشروع توقعات بشأن عدد من المخاطر الداخلية والخارجية المحتملة ا</w:t>
            </w:r>
            <w:r>
              <w:rPr>
                <w:rFonts w:hint="cs"/>
                <w:i/>
                <w:iCs/>
                <w:rtl/>
              </w:rPr>
              <w:t>لتي قد تعرقل تنفيذ المشروع وتحقي</w:t>
            </w:r>
            <w:r w:rsidR="0001461E">
              <w:rPr>
                <w:rFonts w:hint="cs"/>
                <w:i/>
                <w:iCs/>
                <w:rtl/>
              </w:rPr>
              <w:t>ق</w:t>
            </w:r>
            <w:r>
              <w:rPr>
                <w:rFonts w:hint="cs"/>
                <w:i/>
                <w:iCs/>
                <w:rtl/>
              </w:rPr>
              <w:t xml:space="preserve"> أهدافه</w:t>
            </w:r>
            <w:r w:rsidR="0001461E">
              <w:rPr>
                <w:rFonts w:hint="cs"/>
                <w:i/>
                <w:iCs/>
                <w:rtl/>
              </w:rPr>
              <w:t>.</w:t>
            </w:r>
          </w:p>
        </w:tc>
      </w:tr>
      <w:tr w:rsidR="003C5394" w:rsidTr="005C3293">
        <w:trPr>
          <w:cantSplit/>
        </w:trPr>
        <w:tc>
          <w:tcPr>
            <w:tcW w:w="9571" w:type="dxa"/>
          </w:tcPr>
          <w:p w:rsidR="003C5394" w:rsidRDefault="00A24E9A" w:rsidP="00301F87">
            <w:pPr>
              <w:pStyle w:val="NormalParaAR"/>
              <w:spacing w:after="0"/>
              <w:rPr>
                <w:rtl/>
              </w:rPr>
            </w:pPr>
            <w:r>
              <w:rPr>
                <w:rFonts w:hint="cs"/>
                <w:b/>
                <w:bCs/>
                <w:i/>
                <w:iCs/>
                <w:rtl/>
              </w:rPr>
              <w:t>النتيجة</w:t>
            </w:r>
            <w:r>
              <w:rPr>
                <w:b/>
                <w:bCs/>
                <w:i/>
                <w:iCs/>
                <w:rtl/>
              </w:rPr>
              <w:t> </w:t>
            </w:r>
            <w:r>
              <w:rPr>
                <w:rFonts w:hint="cs"/>
                <w:b/>
                <w:bCs/>
                <w:i/>
                <w:iCs/>
                <w:rtl/>
              </w:rPr>
              <w:t>الرئيسية</w:t>
            </w:r>
            <w:r>
              <w:rPr>
                <w:b/>
                <w:bCs/>
                <w:i/>
                <w:iCs/>
                <w:rtl/>
              </w:rPr>
              <w:t> </w:t>
            </w:r>
            <w:r w:rsidR="0001461E">
              <w:rPr>
                <w:rFonts w:hint="cs"/>
                <w:b/>
                <w:bCs/>
                <w:i/>
                <w:iCs/>
                <w:rtl/>
              </w:rPr>
              <w:t>3:</w:t>
            </w:r>
            <w:r w:rsidR="00A01FF9" w:rsidRPr="00A01FF9">
              <w:rPr>
                <w:i/>
                <w:iCs/>
                <w:rtl/>
              </w:rPr>
              <w:tab/>
            </w:r>
            <w:r w:rsidR="00A01FF9" w:rsidRPr="00A01FF9">
              <w:rPr>
                <w:rFonts w:hint="cs"/>
                <w:i/>
                <w:iCs/>
                <w:rtl/>
              </w:rPr>
              <w:t>قُيد</w:t>
            </w:r>
            <w:r w:rsidR="0001461E">
              <w:rPr>
                <w:rFonts w:hint="cs"/>
                <w:i/>
                <w:iCs/>
                <w:rtl/>
              </w:rPr>
              <w:t xml:space="preserve"> دور</w:t>
            </w:r>
            <w:r w:rsidR="00301F87">
              <w:rPr>
                <w:rFonts w:hint="cs"/>
                <w:i/>
                <w:iCs/>
                <w:rtl/>
              </w:rPr>
              <w:t xml:space="preserve"> بعض</w:t>
            </w:r>
            <w:r w:rsidR="0001461E">
              <w:rPr>
                <w:rFonts w:hint="cs"/>
                <w:i/>
                <w:iCs/>
                <w:rtl/>
              </w:rPr>
              <w:t xml:space="preserve"> مكاتب الويبو الإقليمية في المرحلة الثانية من المشر</w:t>
            </w:r>
            <w:r>
              <w:rPr>
                <w:rFonts w:hint="cs"/>
                <w:i/>
                <w:iCs/>
                <w:rtl/>
              </w:rPr>
              <w:t>وع رغم دو</w:t>
            </w:r>
            <w:r w:rsidR="00276279">
              <w:rPr>
                <w:rFonts w:hint="cs"/>
                <w:i/>
                <w:iCs/>
                <w:rtl/>
              </w:rPr>
              <w:t>رها الهام ك</w:t>
            </w:r>
            <w:r>
              <w:rPr>
                <w:rFonts w:hint="cs"/>
                <w:i/>
                <w:iCs/>
                <w:rtl/>
              </w:rPr>
              <w:t>أمينة ل</w:t>
            </w:r>
            <w:r w:rsidR="0001461E">
              <w:rPr>
                <w:rFonts w:hint="cs"/>
                <w:i/>
                <w:iCs/>
                <w:rtl/>
              </w:rPr>
              <w:t>لاستراتيجيات الخاصة بالملكية الفكرية على الصعيد الوطني.</w:t>
            </w:r>
            <w:r w:rsidR="00301F87">
              <w:rPr>
                <w:rFonts w:hint="cs"/>
                <w:i/>
                <w:iCs/>
                <w:rtl/>
              </w:rPr>
              <w:t xml:space="preserve"> وقامت أكاديمية الويبو ببعض المحاولات للتعاون مع هذه المكاتب لكن مشاركتها اختلفت من إقليم لآخر.</w:t>
            </w:r>
          </w:p>
        </w:tc>
      </w:tr>
      <w:tr w:rsidR="003C5394" w:rsidTr="005C3293">
        <w:trPr>
          <w:cantSplit/>
        </w:trPr>
        <w:tc>
          <w:tcPr>
            <w:tcW w:w="9571" w:type="dxa"/>
          </w:tcPr>
          <w:p w:rsidR="00DB2D28" w:rsidRPr="00DB2D28" w:rsidRDefault="00A24E9A" w:rsidP="00301F87">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01461E">
              <w:rPr>
                <w:rFonts w:hint="cs"/>
                <w:b/>
                <w:bCs/>
                <w:i/>
                <w:iCs/>
                <w:rtl/>
              </w:rPr>
              <w:t>4:</w:t>
            </w:r>
            <w:r w:rsidR="0001461E">
              <w:rPr>
                <w:i/>
                <w:iCs/>
                <w:rtl/>
              </w:rPr>
              <w:tab/>
            </w:r>
            <w:r w:rsidR="0001461E">
              <w:rPr>
                <w:rFonts w:hint="cs"/>
                <w:i/>
                <w:iCs/>
                <w:rtl/>
              </w:rPr>
              <w:t xml:space="preserve">تعرضت </w:t>
            </w:r>
            <w:r w:rsidR="009061DB">
              <w:rPr>
                <w:rFonts w:hint="cs"/>
                <w:i/>
                <w:iCs/>
                <w:rtl/>
              </w:rPr>
              <w:t>ثلاثة بلدان لتأخيرات</w:t>
            </w:r>
            <w:r w:rsidR="0001461E">
              <w:rPr>
                <w:rFonts w:hint="cs"/>
                <w:i/>
                <w:iCs/>
                <w:rtl/>
              </w:rPr>
              <w:t xml:space="preserve"> في التنفيذ خلال مدة المشروع البالغة 20</w:t>
            </w:r>
            <w:r w:rsidR="00A01FF9">
              <w:rPr>
                <w:rFonts w:hint="eastAsia"/>
                <w:i/>
                <w:iCs/>
                <w:rtl/>
              </w:rPr>
              <w:t> </w:t>
            </w:r>
            <w:r w:rsidR="0001461E">
              <w:rPr>
                <w:rFonts w:hint="cs"/>
                <w:i/>
                <w:iCs/>
                <w:rtl/>
              </w:rPr>
              <w:t>شهراً</w:t>
            </w:r>
            <w:r w:rsidR="00301F87">
              <w:rPr>
                <w:rFonts w:hint="cs"/>
                <w:i/>
                <w:iCs/>
                <w:rtl/>
              </w:rPr>
              <w:t>، لأسباب تخرج أساساً عن سيطرة الموضوع</w:t>
            </w:r>
            <w:r w:rsidR="0001461E">
              <w:rPr>
                <w:rFonts w:hint="cs"/>
                <w:i/>
                <w:iCs/>
                <w:rtl/>
              </w:rPr>
              <w:t>. وتجاوز استكمال بعض الأنشطة في بلدين</w:t>
            </w:r>
            <w:r w:rsidR="00A01FF9">
              <w:rPr>
                <w:rFonts w:hint="cs"/>
                <w:i/>
                <w:iCs/>
                <w:rtl/>
              </w:rPr>
              <w:t xml:space="preserve"> الأجل</w:t>
            </w:r>
            <w:r w:rsidR="009061DB">
              <w:rPr>
                <w:rFonts w:hint="cs"/>
                <w:i/>
                <w:iCs/>
                <w:rtl/>
              </w:rPr>
              <w:t xml:space="preserve"> المحدد للمشروع ولم ت</w:t>
            </w:r>
            <w:r w:rsidR="0001461E">
              <w:rPr>
                <w:rFonts w:hint="cs"/>
                <w:i/>
                <w:iCs/>
                <w:rtl/>
              </w:rPr>
              <w:t>نف</w:t>
            </w:r>
            <w:r w:rsidR="009061DB">
              <w:rPr>
                <w:rFonts w:hint="cs"/>
                <w:i/>
                <w:iCs/>
                <w:rtl/>
              </w:rPr>
              <w:t>َّ</w:t>
            </w:r>
            <w:r w:rsidR="0001461E">
              <w:rPr>
                <w:rFonts w:hint="cs"/>
                <w:i/>
                <w:iCs/>
                <w:rtl/>
              </w:rPr>
              <w:t>ذ في البلد الثالث إلا أنشطة محدودة.</w:t>
            </w:r>
            <w:r w:rsidR="00301F87">
              <w:rPr>
                <w:rFonts w:hint="cs"/>
                <w:i/>
                <w:iCs/>
                <w:rtl/>
              </w:rPr>
              <w:t xml:space="preserve"> واتخذت تدابير تصحيحية لتدارك هذا التأخير.</w:t>
            </w:r>
            <w:r w:rsidR="0001461E">
              <w:rPr>
                <w:rFonts w:hint="cs"/>
                <w:i/>
                <w:iCs/>
                <w:rtl/>
              </w:rPr>
              <w:t xml:space="preserve"> ولم يُلتمس أي</w:t>
            </w:r>
            <w:r w:rsidR="00DB2D28">
              <w:rPr>
                <w:rFonts w:hint="cs"/>
                <w:i/>
                <w:iCs/>
                <w:rtl/>
              </w:rPr>
              <w:t xml:space="preserve"> مد للميزانية.</w:t>
            </w:r>
          </w:p>
        </w:tc>
      </w:tr>
    </w:tbl>
    <w:p w:rsidR="00301F87" w:rsidRDefault="007654E0" w:rsidP="00916C82">
      <w:pPr>
        <w:pStyle w:val="NormalParaAR"/>
        <w:spacing w:before="240"/>
        <w:rPr>
          <w:rtl/>
        </w:rPr>
      </w:pPr>
      <w:r>
        <w:rPr>
          <w:rFonts w:hint="cs"/>
          <w:rtl/>
        </w:rPr>
        <w:t xml:space="preserve">تتيح وثائق المشروع استعراض إنجازات المرحلة الأولى من المشروع واستراتيجية تنفيذ المرحلة الثانية استعراضاً شاملاً. وأخذت الوثائق ببعض التوصيات الناجمة عن تقييم المرحلة الأولى إذ حذفت </w:t>
      </w:r>
      <w:r w:rsidR="00A01FF9">
        <w:rPr>
          <w:rFonts w:hint="cs"/>
          <w:rtl/>
        </w:rPr>
        <w:t xml:space="preserve">مثلاً </w:t>
      </w:r>
      <w:r>
        <w:rPr>
          <w:rFonts w:hint="cs"/>
          <w:rtl/>
        </w:rPr>
        <w:t>بعض مصطلحات المشروع التي كانت تحتمل اللبس. ووردت في الوثائق توقعات بشأن عدد من المخاطر المحتملة (واجهت المرحلة الثانية بعض</w:t>
      </w:r>
      <w:r w:rsidR="00276279">
        <w:rPr>
          <w:rFonts w:hint="cs"/>
          <w:rtl/>
        </w:rPr>
        <w:t>ها</w:t>
      </w:r>
      <w:r>
        <w:rPr>
          <w:rFonts w:hint="cs"/>
          <w:rtl/>
        </w:rPr>
        <w:t xml:space="preserve">) واستراتيجيات لمواجهة تلك المخاطر. واتخذت الويبو عدداً من الخطوات للتخفيف من وطأة المخاطر المتصلة بالمشروع </w:t>
      </w:r>
      <w:r w:rsidR="00276279">
        <w:rPr>
          <w:rFonts w:hint="cs"/>
          <w:rtl/>
        </w:rPr>
        <w:t>بالتحقق من</w:t>
      </w:r>
      <w:r>
        <w:rPr>
          <w:rFonts w:hint="cs"/>
          <w:rtl/>
        </w:rPr>
        <w:t xml:space="preserve"> ضرورة استيفاء مجموعة من الشروط الأساس</w:t>
      </w:r>
      <w:r w:rsidR="00A01FF9">
        <w:rPr>
          <w:rFonts w:hint="cs"/>
          <w:rtl/>
        </w:rPr>
        <w:t>ية قبل المضي قدماً نحو التعاون.</w:t>
      </w:r>
      <w:r w:rsidR="00916C82">
        <w:rPr>
          <w:rFonts w:hint="cs"/>
          <w:rtl/>
        </w:rPr>
        <w:t xml:space="preserve"> </w:t>
      </w:r>
    </w:p>
    <w:p w:rsidR="00745414" w:rsidRDefault="007654E0" w:rsidP="00916C82">
      <w:pPr>
        <w:pStyle w:val="NormalParaAR"/>
        <w:spacing w:before="240"/>
        <w:rPr>
          <w:rtl/>
        </w:rPr>
      </w:pPr>
      <w:r>
        <w:rPr>
          <w:rFonts w:hint="cs"/>
          <w:rtl/>
        </w:rPr>
        <w:t xml:space="preserve">واكتسى توقيت المشروع أهمية بالنسبة إلى عدد من الدول الأعضاء المشاركة في التنفيذ إذ تزامن مع وضعها تدابير وطنية للنهوض بالقضايا المتصلة بالملكية الفكرية. وشوهد ذلك في مصر وبيرو والجمهورية الدومينيكية </w:t>
      </w:r>
      <w:r w:rsidR="00276279">
        <w:rPr>
          <w:rFonts w:hint="cs"/>
          <w:rtl/>
        </w:rPr>
        <w:t xml:space="preserve">التي </w:t>
      </w:r>
      <w:r>
        <w:rPr>
          <w:rFonts w:hint="cs"/>
          <w:rtl/>
        </w:rPr>
        <w:t>وضعت خطط</w:t>
      </w:r>
      <w:r w:rsidR="00276279">
        <w:rPr>
          <w:rFonts w:hint="cs"/>
          <w:rtl/>
        </w:rPr>
        <w:t>اً</w:t>
      </w:r>
      <w:r>
        <w:rPr>
          <w:rFonts w:hint="cs"/>
          <w:rtl/>
        </w:rPr>
        <w:t xml:space="preserve"> لمحاولة إنشاء مركز تدريب على الملكية الفكرية.</w:t>
      </w:r>
    </w:p>
    <w:p w:rsidR="007654E0" w:rsidRDefault="007654E0" w:rsidP="002E770C">
      <w:pPr>
        <w:pStyle w:val="NormalParaAR"/>
        <w:spacing w:before="240"/>
        <w:rPr>
          <w:rtl/>
        </w:rPr>
      </w:pPr>
      <w:r>
        <w:rPr>
          <w:rFonts w:hint="cs"/>
          <w:rtl/>
        </w:rPr>
        <w:t xml:space="preserve">وأدارت أكاديمية الويبو هذا المشروع ولكنها </w:t>
      </w:r>
      <w:r w:rsidR="00276279">
        <w:rPr>
          <w:rFonts w:hint="cs"/>
          <w:rtl/>
        </w:rPr>
        <w:t xml:space="preserve">التمست </w:t>
      </w:r>
      <w:r>
        <w:rPr>
          <w:rFonts w:hint="cs"/>
          <w:rtl/>
        </w:rPr>
        <w:t xml:space="preserve">آراء قطاعات </w:t>
      </w:r>
      <w:r w:rsidR="00276279">
        <w:rPr>
          <w:rFonts w:hint="cs"/>
          <w:rtl/>
        </w:rPr>
        <w:t xml:space="preserve">أخرى من </w:t>
      </w:r>
      <w:r>
        <w:rPr>
          <w:rFonts w:hint="cs"/>
          <w:rtl/>
        </w:rPr>
        <w:t>الويبو. وكانت الجهات الفاعلة الرئيسية الأخرى هي المكاتب الإقليمية التي ت</w:t>
      </w:r>
      <w:r w:rsidR="00276279">
        <w:rPr>
          <w:rFonts w:hint="cs"/>
          <w:rtl/>
        </w:rPr>
        <w:t>َ</w:t>
      </w:r>
      <w:r>
        <w:rPr>
          <w:rFonts w:hint="cs"/>
          <w:rtl/>
        </w:rPr>
        <w:t>غير دورها بحسب إقليمها ومرحلة التنفيذ. ولاحظ تقييم المرحلة الأولى أ</w:t>
      </w:r>
      <w:r w:rsidR="00276279">
        <w:rPr>
          <w:rFonts w:hint="cs"/>
          <w:rtl/>
        </w:rPr>
        <w:t>ن</w:t>
      </w:r>
      <w:r>
        <w:rPr>
          <w:rFonts w:hint="cs"/>
          <w:rtl/>
        </w:rPr>
        <w:t xml:space="preserve"> </w:t>
      </w:r>
      <w:r w:rsidR="00367997">
        <w:rPr>
          <w:rFonts w:hint="cs"/>
          <w:rtl/>
        </w:rPr>
        <w:t>المشاركة المتزايدة للمكاتب</w:t>
      </w:r>
      <w:r>
        <w:rPr>
          <w:rFonts w:hint="cs"/>
          <w:rtl/>
        </w:rPr>
        <w:t xml:space="preserve"> </w:t>
      </w:r>
      <w:r w:rsidR="00276279">
        <w:rPr>
          <w:rFonts w:hint="cs"/>
          <w:rtl/>
        </w:rPr>
        <w:t>س</w:t>
      </w:r>
      <w:r w:rsidR="00367997">
        <w:rPr>
          <w:rFonts w:hint="cs"/>
          <w:rtl/>
        </w:rPr>
        <w:t>ت</w:t>
      </w:r>
      <w:r w:rsidR="00276279">
        <w:rPr>
          <w:rFonts w:hint="cs"/>
          <w:rtl/>
        </w:rPr>
        <w:t>كون مفيد</w:t>
      </w:r>
      <w:r w:rsidR="00367997">
        <w:rPr>
          <w:rFonts w:hint="cs"/>
          <w:rtl/>
        </w:rPr>
        <w:t>ة</w:t>
      </w:r>
      <w:r>
        <w:rPr>
          <w:rFonts w:hint="cs"/>
          <w:rtl/>
        </w:rPr>
        <w:t xml:space="preserve"> </w:t>
      </w:r>
      <w:r w:rsidR="00367997">
        <w:rPr>
          <w:rFonts w:hint="cs"/>
          <w:rtl/>
        </w:rPr>
        <w:t xml:space="preserve">إلا أنها </w:t>
      </w:r>
      <w:r w:rsidR="002E770C">
        <w:rPr>
          <w:rFonts w:hint="cs"/>
          <w:rtl/>
        </w:rPr>
        <w:t>تمت</w:t>
      </w:r>
      <w:r w:rsidR="00301F87">
        <w:rPr>
          <w:rFonts w:hint="cs"/>
          <w:rtl/>
        </w:rPr>
        <w:t xml:space="preserve"> </w:t>
      </w:r>
      <w:r w:rsidR="002E770C">
        <w:rPr>
          <w:rFonts w:hint="cs"/>
          <w:rtl/>
        </w:rPr>
        <w:t>ب</w:t>
      </w:r>
      <w:r w:rsidR="00301F87">
        <w:rPr>
          <w:rFonts w:hint="cs"/>
          <w:rtl/>
        </w:rPr>
        <w:t xml:space="preserve">درجة </w:t>
      </w:r>
      <w:r w:rsidR="002E770C">
        <w:rPr>
          <w:rFonts w:hint="cs"/>
          <w:rtl/>
        </w:rPr>
        <w:t>محدودة</w:t>
      </w:r>
      <w:r>
        <w:rPr>
          <w:rFonts w:hint="cs"/>
          <w:rtl/>
        </w:rPr>
        <w:t xml:space="preserve"> في المرحلة ال</w:t>
      </w:r>
      <w:r w:rsidR="00276279">
        <w:rPr>
          <w:rFonts w:hint="cs"/>
          <w:rtl/>
        </w:rPr>
        <w:t>ثانية. فقد شارك مكتب</w:t>
      </w:r>
      <w:r>
        <w:rPr>
          <w:rFonts w:hint="cs"/>
          <w:rtl/>
        </w:rPr>
        <w:t xml:space="preserve"> أمريكا اللاتينية والكاريبي مثلاً في المراحل الأولى الخاصة بتيسير التواصل بين أكاديمية الويبو والجهات الوطنية الرئيسية المعنية ولكنه لم يشارك إلا قليلاً خلال التنفيذ.</w:t>
      </w:r>
      <w:r w:rsidR="00301F87">
        <w:rPr>
          <w:rFonts w:hint="cs"/>
          <w:rtl/>
        </w:rPr>
        <w:t xml:space="preserve"> ولم يترتب </w:t>
      </w:r>
      <w:r w:rsidR="002E770C">
        <w:rPr>
          <w:rFonts w:hint="cs"/>
          <w:rtl/>
        </w:rPr>
        <w:t>انخفاض مستوى</w:t>
      </w:r>
      <w:r w:rsidR="00301F87">
        <w:rPr>
          <w:rFonts w:hint="cs"/>
          <w:rtl/>
        </w:rPr>
        <w:t xml:space="preserve"> المشاركة بالضرورة عن عدم بذل الأكاديمية </w:t>
      </w:r>
      <w:r w:rsidR="00394DCA">
        <w:rPr>
          <w:rFonts w:hint="cs"/>
          <w:rtl/>
        </w:rPr>
        <w:t>ل</w:t>
      </w:r>
      <w:r w:rsidR="00301F87">
        <w:rPr>
          <w:rFonts w:hint="cs"/>
          <w:rtl/>
        </w:rPr>
        <w:t xml:space="preserve">جهود في سبيل </w:t>
      </w:r>
      <w:r w:rsidR="00394DCA">
        <w:rPr>
          <w:rFonts w:hint="cs"/>
          <w:rtl/>
        </w:rPr>
        <w:t xml:space="preserve">إقامة </w:t>
      </w:r>
      <w:r w:rsidR="00301F87">
        <w:rPr>
          <w:rFonts w:hint="cs"/>
          <w:rtl/>
        </w:rPr>
        <w:t>التعاون، نظراً لأن بعض الجهود الرامية إلى زيادة إشراك المكاتب لم تستقبل دائماً على نحو إيجابي.</w:t>
      </w:r>
      <w:r>
        <w:rPr>
          <w:rFonts w:hint="cs"/>
          <w:rtl/>
        </w:rPr>
        <w:t xml:space="preserve"> و</w:t>
      </w:r>
      <w:r w:rsidR="00F80AA7">
        <w:rPr>
          <w:rFonts w:hint="cs"/>
          <w:rtl/>
        </w:rPr>
        <w:t xml:space="preserve">كان مكتب البلدان العربية أقل مشاركة في </w:t>
      </w:r>
      <w:r w:rsidR="00367997">
        <w:rPr>
          <w:rFonts w:hint="cs"/>
          <w:rtl/>
        </w:rPr>
        <w:t>المراحل الأولى</w:t>
      </w:r>
      <w:r w:rsidR="00F80AA7">
        <w:rPr>
          <w:rFonts w:hint="cs"/>
          <w:rtl/>
        </w:rPr>
        <w:t xml:space="preserve"> ولكنه قدم إسهامات عندما واجهت بلدان مدعومة في منطقتها تأخيرات في التنفيذ نظراً إلى انعدام الأمن السياسي.</w:t>
      </w:r>
      <w:r w:rsidR="00301F87">
        <w:rPr>
          <w:rFonts w:hint="cs"/>
          <w:rtl/>
        </w:rPr>
        <w:t xml:space="preserve"> ومع ذلك أخطرت المكاتب بالمسائل التصورية المتعلقة بتطوير استراتيجيات التعاون وتم التشاور معها بشأن هذه </w:t>
      </w:r>
      <w:r w:rsidR="002E770C">
        <w:rPr>
          <w:rFonts w:hint="cs"/>
          <w:rtl/>
        </w:rPr>
        <w:t>المسائل</w:t>
      </w:r>
      <w:r w:rsidR="00301F87">
        <w:rPr>
          <w:rFonts w:hint="cs"/>
          <w:rtl/>
        </w:rPr>
        <w:t>.</w:t>
      </w:r>
      <w:r w:rsidR="00F80AA7">
        <w:rPr>
          <w:rFonts w:hint="cs"/>
          <w:rtl/>
        </w:rPr>
        <w:t xml:space="preserve"> ومن المساهمين الآخرين </w:t>
      </w:r>
      <w:r w:rsidR="00367997">
        <w:rPr>
          <w:rFonts w:hint="cs"/>
          <w:rtl/>
        </w:rPr>
        <w:t>"</w:t>
      </w:r>
      <w:r w:rsidR="00F80AA7">
        <w:rPr>
          <w:rFonts w:hint="cs"/>
          <w:rtl/>
        </w:rPr>
        <w:t xml:space="preserve">مشروع الويبو بشأن مكتبات إيداع </w:t>
      </w:r>
      <w:r w:rsidR="003779B7">
        <w:rPr>
          <w:rFonts w:hint="cs"/>
          <w:rtl/>
        </w:rPr>
        <w:t>لل</w:t>
      </w:r>
      <w:r w:rsidR="00F80AA7">
        <w:rPr>
          <w:rFonts w:hint="cs"/>
          <w:rtl/>
        </w:rPr>
        <w:t>منشورات</w:t>
      </w:r>
      <w:r w:rsidR="00367997">
        <w:rPr>
          <w:rFonts w:hint="cs"/>
          <w:rtl/>
        </w:rPr>
        <w:t>"</w:t>
      </w:r>
      <w:r w:rsidR="00F80AA7">
        <w:rPr>
          <w:rFonts w:hint="cs"/>
          <w:rtl/>
        </w:rPr>
        <w:t xml:space="preserve"> </w:t>
      </w:r>
      <w:r w:rsidR="00367997">
        <w:rPr>
          <w:rFonts w:hint="cs"/>
          <w:rtl/>
        </w:rPr>
        <w:t>الذي تولى</w:t>
      </w:r>
      <w:r w:rsidR="003779B7">
        <w:rPr>
          <w:rFonts w:hint="cs"/>
          <w:rtl/>
        </w:rPr>
        <w:t xml:space="preserve"> مسؤول</w:t>
      </w:r>
      <w:r w:rsidR="00367997">
        <w:rPr>
          <w:rFonts w:hint="cs"/>
          <w:rtl/>
        </w:rPr>
        <w:t>ي</w:t>
      </w:r>
      <w:r w:rsidR="003779B7">
        <w:rPr>
          <w:rFonts w:hint="cs"/>
          <w:rtl/>
        </w:rPr>
        <w:t>ة</w:t>
      </w:r>
      <w:r w:rsidR="00F80AA7">
        <w:rPr>
          <w:rFonts w:hint="cs"/>
          <w:rtl/>
        </w:rPr>
        <w:t xml:space="preserve"> تزويد مراكز التدريب </w:t>
      </w:r>
      <w:r w:rsidR="003779B7">
        <w:rPr>
          <w:rFonts w:hint="cs"/>
          <w:rtl/>
        </w:rPr>
        <w:t>الناشئة</w:t>
      </w:r>
      <w:r w:rsidR="00F80AA7">
        <w:rPr>
          <w:rFonts w:hint="cs"/>
          <w:rtl/>
        </w:rPr>
        <w:t xml:space="preserve"> بمنشورات الملكية الفكرية الهامة.</w:t>
      </w:r>
    </w:p>
    <w:p w:rsidR="00F80AA7" w:rsidRDefault="00F80AA7" w:rsidP="002E770C">
      <w:pPr>
        <w:pStyle w:val="NormalParaAR"/>
        <w:spacing w:before="240"/>
        <w:rPr>
          <w:rtl/>
        </w:rPr>
      </w:pPr>
      <w:r>
        <w:rPr>
          <w:rFonts w:hint="cs"/>
          <w:rtl/>
        </w:rPr>
        <w:t>واستغرق المشروع 20</w:t>
      </w:r>
      <w:r w:rsidR="003779B7">
        <w:rPr>
          <w:rFonts w:hint="eastAsia"/>
          <w:rtl/>
        </w:rPr>
        <w:t> </w:t>
      </w:r>
      <w:r>
        <w:rPr>
          <w:rFonts w:hint="cs"/>
          <w:rtl/>
        </w:rPr>
        <w:t>شهراً أي من مايو</w:t>
      </w:r>
      <w:r w:rsidR="003779B7">
        <w:rPr>
          <w:rFonts w:hint="eastAsia"/>
          <w:rtl/>
        </w:rPr>
        <w:t> </w:t>
      </w:r>
      <w:r>
        <w:rPr>
          <w:rFonts w:hint="cs"/>
          <w:rtl/>
        </w:rPr>
        <w:t>2012 إلى ديسمبر</w:t>
      </w:r>
      <w:r w:rsidR="003779B7">
        <w:rPr>
          <w:rFonts w:hint="eastAsia"/>
          <w:rtl/>
        </w:rPr>
        <w:t> </w:t>
      </w:r>
      <w:r>
        <w:rPr>
          <w:rFonts w:hint="cs"/>
          <w:rtl/>
        </w:rPr>
        <w:t>2013. وشوهدت تأخيرات ف</w:t>
      </w:r>
      <w:r w:rsidR="001932D8">
        <w:rPr>
          <w:rFonts w:hint="cs"/>
          <w:rtl/>
        </w:rPr>
        <w:t xml:space="preserve">ي ثلاثة من البلدان المدعومة </w:t>
      </w:r>
      <w:r w:rsidR="001932D8">
        <w:rPr>
          <w:rtl/>
        </w:rPr>
        <w:t>–</w:t>
      </w:r>
      <w:r w:rsidR="001932D8">
        <w:rPr>
          <w:rFonts w:hint="cs"/>
          <w:rtl/>
        </w:rPr>
        <w:t xml:space="preserve"> </w:t>
      </w:r>
      <w:r w:rsidR="003779B7">
        <w:rPr>
          <w:rFonts w:hint="cs"/>
          <w:rtl/>
        </w:rPr>
        <w:t>وهي</w:t>
      </w:r>
      <w:r w:rsidR="001932D8">
        <w:rPr>
          <w:rFonts w:hint="cs"/>
          <w:rtl/>
        </w:rPr>
        <w:t xml:space="preserve"> مصر وتونس بسبب السياق السياسي، وإث</w:t>
      </w:r>
      <w:r w:rsidR="00367997">
        <w:rPr>
          <w:rFonts w:hint="cs"/>
          <w:rtl/>
        </w:rPr>
        <w:t>يوبيا بسبب انعدام البنى التحتية</w:t>
      </w:r>
      <w:r w:rsidR="001932D8">
        <w:rPr>
          <w:rFonts w:hint="cs"/>
          <w:rtl/>
        </w:rPr>
        <w:t xml:space="preserve"> لاستضافة مركز التدريب المزمع. </w:t>
      </w:r>
      <w:r w:rsidR="002E770C">
        <w:rPr>
          <w:rFonts w:hint="cs"/>
          <w:rtl/>
        </w:rPr>
        <w:t xml:space="preserve">وعلى الرغم من تأخر برنامج تدريب المدربين في أثيوبيا ومصر، لم تفتأ تُنفذ أنشطة تدريب أخرى من قبيل تدريب المنسقين الأكاديميين وتقديم المنح الدراسية وشراء الكتب. وكانت التأخيرات مرتقبة ضمن المخاطر المحتملة في المشروع واتخذت التدابير التصحيحية عن طريق تقديم المنح الدراسية إلى المدربين الرئيسيين في مجال الماجستير الدولي في قانون الملكية الفكرية. </w:t>
      </w:r>
      <w:r w:rsidR="001932D8">
        <w:rPr>
          <w:rFonts w:hint="cs"/>
          <w:rtl/>
        </w:rPr>
        <w:lastRenderedPageBreak/>
        <w:t xml:space="preserve">ولكن لم تؤدِ تأخيرات المشروع إلى </w:t>
      </w:r>
      <w:r w:rsidR="003779B7">
        <w:rPr>
          <w:rFonts w:hint="cs"/>
          <w:rtl/>
        </w:rPr>
        <w:t>مد</w:t>
      </w:r>
      <w:r w:rsidR="001932D8">
        <w:rPr>
          <w:rFonts w:hint="cs"/>
          <w:rtl/>
        </w:rPr>
        <w:t xml:space="preserve"> ميزانية المشروع نظراً إلى أن الأنشطة التي اضطُلع بها لم </w:t>
      </w:r>
      <w:r w:rsidR="003779B7">
        <w:rPr>
          <w:rFonts w:hint="cs"/>
          <w:rtl/>
        </w:rPr>
        <w:t>ت</w:t>
      </w:r>
      <w:r w:rsidR="001932D8">
        <w:rPr>
          <w:rFonts w:hint="cs"/>
          <w:rtl/>
        </w:rPr>
        <w:t>ترتب عليها أية آثار مالية تتجاوز أجل المشروع أو أن عدداً أقل من الأنشطة قد نُفذ في إثيوبيا.</w:t>
      </w:r>
    </w:p>
    <w:p w:rsidR="001932D8" w:rsidRPr="002A6C26" w:rsidRDefault="001932D8" w:rsidP="001932D8">
      <w:pPr>
        <w:pStyle w:val="NumberedParaAR"/>
        <w:keepNext/>
        <w:numPr>
          <w:ilvl w:val="0"/>
          <w:numId w:val="0"/>
        </w:numPr>
        <w:rPr>
          <w:b/>
          <w:bCs/>
          <w:i/>
          <w:iCs/>
          <w:sz w:val="40"/>
          <w:szCs w:val="40"/>
          <w:rtl/>
        </w:rPr>
      </w:pPr>
      <w:r w:rsidRPr="002A6C26">
        <w:rPr>
          <w:rFonts w:hint="cs"/>
          <w:b/>
          <w:bCs/>
          <w:i/>
          <w:iCs/>
          <w:sz w:val="40"/>
          <w:szCs w:val="40"/>
          <w:rtl/>
        </w:rPr>
        <w:t>الفعالية</w:t>
      </w:r>
    </w:p>
    <w:tbl>
      <w:tblPr>
        <w:tblStyle w:val="TableGrid"/>
        <w:bidiVisual/>
        <w:tblW w:w="0" w:type="auto"/>
        <w:tblLook w:val="04A0" w:firstRow="1" w:lastRow="0" w:firstColumn="1" w:lastColumn="0" w:noHBand="0" w:noVBand="1"/>
      </w:tblPr>
      <w:tblGrid>
        <w:gridCol w:w="9571"/>
      </w:tblGrid>
      <w:tr w:rsidR="00D6258A" w:rsidTr="005C3293">
        <w:trPr>
          <w:cantSplit/>
        </w:trPr>
        <w:tc>
          <w:tcPr>
            <w:tcW w:w="9571" w:type="dxa"/>
          </w:tcPr>
          <w:p w:rsidR="00D6258A" w:rsidRPr="00D6258A" w:rsidRDefault="00A24E9A" w:rsidP="002E770C">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D6258A">
              <w:rPr>
                <w:rFonts w:hint="cs"/>
                <w:b/>
                <w:bCs/>
                <w:i/>
                <w:iCs/>
                <w:rtl/>
              </w:rPr>
              <w:t>5:</w:t>
            </w:r>
            <w:r w:rsidR="00D6258A">
              <w:rPr>
                <w:i/>
                <w:iCs/>
                <w:rtl/>
              </w:rPr>
              <w:tab/>
            </w:r>
            <w:r w:rsidR="00B85A9C">
              <w:rPr>
                <w:rFonts w:hint="cs"/>
                <w:i/>
                <w:iCs/>
                <w:rtl/>
              </w:rPr>
              <w:t>ترد</w:t>
            </w:r>
            <w:r w:rsidR="003C0D75">
              <w:rPr>
                <w:rFonts w:hint="cs"/>
                <w:i/>
                <w:iCs/>
                <w:rtl/>
              </w:rPr>
              <w:t xml:space="preserve"> بعض المؤشرات المحدودة في وثائق المشروع بشأن العناصر المؤلفة لمركز </w:t>
            </w:r>
            <w:r w:rsidR="00367997">
              <w:rPr>
                <w:rFonts w:hint="cs"/>
                <w:i/>
                <w:iCs/>
                <w:rtl/>
              </w:rPr>
              <w:t>ذاتي الاستدامة</w:t>
            </w:r>
            <w:r w:rsidR="003C0D75">
              <w:rPr>
                <w:rFonts w:hint="cs"/>
                <w:i/>
                <w:iCs/>
                <w:rtl/>
              </w:rPr>
              <w:t xml:space="preserve">. وتركز المؤشرات المدرجة في هذه الوثائق على النواتج </w:t>
            </w:r>
            <w:r w:rsidR="001D3179">
              <w:rPr>
                <w:rFonts w:hint="cs"/>
                <w:i/>
                <w:iCs/>
                <w:rtl/>
              </w:rPr>
              <w:t>لا</w:t>
            </w:r>
            <w:r w:rsidR="003C0D75">
              <w:rPr>
                <w:rFonts w:hint="cs"/>
                <w:i/>
                <w:iCs/>
                <w:rtl/>
              </w:rPr>
              <w:t xml:space="preserve"> النتائج. وأفادت الويبو بأن ثلاثة من أصل البلدان الستة المدعومة قد أنشأت مراكز تدريب </w:t>
            </w:r>
            <w:r w:rsidR="001D3179">
              <w:rPr>
                <w:rFonts w:hint="cs"/>
                <w:i/>
                <w:iCs/>
                <w:rtl/>
              </w:rPr>
              <w:t>ناشئة</w:t>
            </w:r>
            <w:r w:rsidR="003C0D75">
              <w:rPr>
                <w:rFonts w:hint="cs"/>
                <w:i/>
                <w:iCs/>
                <w:rtl/>
              </w:rPr>
              <w:t xml:space="preserve"> </w:t>
            </w:r>
            <w:r w:rsidR="00367997">
              <w:rPr>
                <w:rFonts w:hint="cs"/>
                <w:i/>
                <w:iCs/>
                <w:rtl/>
              </w:rPr>
              <w:t>ذاتية الاستدامة</w:t>
            </w:r>
            <w:r w:rsidR="003C0D75">
              <w:rPr>
                <w:rFonts w:hint="cs"/>
                <w:i/>
                <w:iCs/>
                <w:rtl/>
              </w:rPr>
              <w:t xml:space="preserve"> في إطار المرحلة الثانية من المشروع بينما </w:t>
            </w:r>
            <w:r w:rsidR="005C3293">
              <w:rPr>
                <w:rFonts w:hint="cs"/>
                <w:i/>
                <w:iCs/>
                <w:rtl/>
              </w:rPr>
              <w:t xml:space="preserve">لا يزال </w:t>
            </w:r>
            <w:r w:rsidR="002E770C">
              <w:rPr>
                <w:rFonts w:hint="cs"/>
                <w:i/>
                <w:iCs/>
                <w:rtl/>
              </w:rPr>
              <w:t xml:space="preserve">ثلاثة بلدان </w:t>
            </w:r>
            <w:r w:rsidR="005C3293">
              <w:rPr>
                <w:rFonts w:hint="cs"/>
                <w:i/>
                <w:iCs/>
                <w:rtl/>
              </w:rPr>
              <w:t xml:space="preserve">في طور الإنشاء. </w:t>
            </w:r>
            <w:r w:rsidR="002E770C">
              <w:rPr>
                <w:rFonts w:hint="cs"/>
                <w:i/>
                <w:iCs/>
                <w:rtl/>
              </w:rPr>
              <w:t>ويقدم مركزان</w:t>
            </w:r>
            <w:r w:rsidR="005C3293">
              <w:rPr>
                <w:rFonts w:hint="cs"/>
                <w:i/>
                <w:iCs/>
                <w:rtl/>
              </w:rPr>
              <w:t xml:space="preserve"> برامج تدريب منتظم</w:t>
            </w:r>
            <w:r w:rsidR="001D3179">
              <w:rPr>
                <w:rFonts w:hint="cs"/>
                <w:i/>
                <w:iCs/>
                <w:rtl/>
              </w:rPr>
              <w:t>ة</w:t>
            </w:r>
            <w:r w:rsidR="005C3293">
              <w:rPr>
                <w:rFonts w:hint="cs"/>
                <w:i/>
                <w:iCs/>
                <w:rtl/>
              </w:rPr>
              <w:t xml:space="preserve"> على الملكية الفكرية.</w:t>
            </w:r>
          </w:p>
        </w:tc>
      </w:tr>
      <w:tr w:rsidR="005C3293" w:rsidTr="005C3293">
        <w:trPr>
          <w:cantSplit/>
        </w:trPr>
        <w:tc>
          <w:tcPr>
            <w:tcW w:w="9571" w:type="dxa"/>
          </w:tcPr>
          <w:p w:rsidR="005C3293" w:rsidRPr="005C3293" w:rsidRDefault="00A24E9A" w:rsidP="002E770C">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5C3293">
              <w:rPr>
                <w:rFonts w:hint="cs"/>
                <w:b/>
                <w:bCs/>
                <w:i/>
                <w:iCs/>
                <w:rtl/>
              </w:rPr>
              <w:t>6:</w:t>
            </w:r>
            <w:r w:rsidR="005C3293">
              <w:rPr>
                <w:i/>
                <w:iCs/>
                <w:rtl/>
              </w:rPr>
              <w:tab/>
            </w:r>
            <w:r w:rsidR="005C3293">
              <w:rPr>
                <w:rFonts w:hint="cs"/>
                <w:i/>
                <w:iCs/>
                <w:rtl/>
              </w:rPr>
              <w:t xml:space="preserve">اعتُمد ما مجموعه </w:t>
            </w:r>
            <w:r w:rsidR="002E770C">
              <w:rPr>
                <w:rFonts w:hint="cs"/>
                <w:i/>
                <w:iCs/>
                <w:rtl/>
              </w:rPr>
              <w:t xml:space="preserve">86 </w:t>
            </w:r>
            <w:r w:rsidR="005C3293">
              <w:rPr>
                <w:rFonts w:hint="cs"/>
                <w:i/>
                <w:iCs/>
                <w:rtl/>
              </w:rPr>
              <w:t xml:space="preserve">مدرباً بوصفهم مؤهلين لتقديم التدريب نتيجة للمشروع رغم التحديات التي تواجه ضمان الانتفاع </w:t>
            </w:r>
            <w:r w:rsidR="005C4D9B">
              <w:rPr>
                <w:rFonts w:hint="cs"/>
                <w:i/>
                <w:iCs/>
                <w:rtl/>
              </w:rPr>
              <w:t>بمهاراتهم. و</w:t>
            </w:r>
            <w:r w:rsidR="005C3293">
              <w:rPr>
                <w:rFonts w:hint="cs"/>
                <w:i/>
                <w:iCs/>
                <w:rtl/>
              </w:rPr>
              <w:t>قيمت الأكاديميات المدربين لتق</w:t>
            </w:r>
            <w:r w:rsidR="00AC7016">
              <w:rPr>
                <w:rFonts w:hint="cs"/>
                <w:i/>
                <w:iCs/>
                <w:rtl/>
              </w:rPr>
              <w:t>دير</w:t>
            </w:r>
            <w:r w:rsidR="005C3293">
              <w:rPr>
                <w:rFonts w:hint="cs"/>
                <w:i/>
                <w:iCs/>
                <w:rtl/>
              </w:rPr>
              <w:t xml:space="preserve"> مهاراتهم على التدريب.</w:t>
            </w:r>
          </w:p>
        </w:tc>
      </w:tr>
      <w:tr w:rsidR="005C3293" w:rsidTr="005C3293">
        <w:trPr>
          <w:cantSplit/>
        </w:trPr>
        <w:tc>
          <w:tcPr>
            <w:tcW w:w="9571" w:type="dxa"/>
          </w:tcPr>
          <w:p w:rsidR="005C3293" w:rsidRPr="005C3293" w:rsidRDefault="00A24E9A" w:rsidP="002E770C">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5C3293">
              <w:rPr>
                <w:rFonts w:hint="cs"/>
                <w:b/>
                <w:bCs/>
                <w:i/>
                <w:iCs/>
                <w:rtl/>
              </w:rPr>
              <w:t>7:</w:t>
            </w:r>
            <w:r w:rsidR="005C3293" w:rsidRPr="005C3293">
              <w:rPr>
                <w:i/>
                <w:iCs/>
                <w:rtl/>
              </w:rPr>
              <w:tab/>
            </w:r>
            <w:r w:rsidR="00B940B5">
              <w:rPr>
                <w:rFonts w:hint="cs"/>
                <w:i/>
                <w:iCs/>
                <w:rtl/>
              </w:rPr>
              <w:t>استكمل أربعة من منسقي الأكاديمية الوطنية تدريبهم على إدارة مرا</w:t>
            </w:r>
            <w:r w:rsidR="005C4D9B">
              <w:rPr>
                <w:rFonts w:hint="cs"/>
                <w:i/>
                <w:iCs/>
                <w:rtl/>
              </w:rPr>
              <w:t xml:space="preserve">كز التدريب التي </w:t>
            </w:r>
            <w:r w:rsidR="002E770C">
              <w:rPr>
                <w:rFonts w:hint="cs"/>
                <w:i/>
                <w:iCs/>
                <w:rtl/>
              </w:rPr>
              <w:t>تبلغ نسبتها 67 في المائة من العدد الإجمالي</w:t>
            </w:r>
            <w:r w:rsidR="005C4D9B">
              <w:rPr>
                <w:rFonts w:hint="cs"/>
                <w:i/>
                <w:iCs/>
                <w:rtl/>
              </w:rPr>
              <w:t xml:space="preserve"> المتوقع</w:t>
            </w:r>
            <w:r w:rsidR="00B940B5">
              <w:rPr>
                <w:rFonts w:hint="cs"/>
                <w:i/>
                <w:iCs/>
                <w:rtl/>
              </w:rPr>
              <w:t xml:space="preserve"> خلال المشروع.</w:t>
            </w:r>
          </w:p>
        </w:tc>
      </w:tr>
      <w:tr w:rsidR="005C3293" w:rsidTr="005C3293">
        <w:trPr>
          <w:cantSplit/>
        </w:trPr>
        <w:tc>
          <w:tcPr>
            <w:tcW w:w="9571" w:type="dxa"/>
          </w:tcPr>
          <w:p w:rsidR="005C3293" w:rsidRPr="00B940B5" w:rsidRDefault="00A24E9A" w:rsidP="00916C82">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B940B5">
              <w:rPr>
                <w:rFonts w:hint="cs"/>
                <w:b/>
                <w:bCs/>
                <w:i/>
                <w:iCs/>
                <w:rtl/>
              </w:rPr>
              <w:t>8:</w:t>
            </w:r>
            <w:r w:rsidR="00B940B5">
              <w:rPr>
                <w:i/>
                <w:iCs/>
                <w:rtl/>
              </w:rPr>
              <w:tab/>
            </w:r>
            <w:r w:rsidR="00B940B5">
              <w:rPr>
                <w:rFonts w:hint="cs"/>
                <w:i/>
                <w:iCs/>
                <w:rtl/>
              </w:rPr>
              <w:t xml:space="preserve">لا </w:t>
            </w:r>
            <w:r w:rsidR="00264401">
              <w:rPr>
                <w:rFonts w:hint="cs"/>
                <w:i/>
                <w:iCs/>
                <w:rtl/>
              </w:rPr>
              <w:t>يوجد أي مشرف</w:t>
            </w:r>
            <w:r w:rsidR="00B940B5">
              <w:rPr>
                <w:rFonts w:hint="cs"/>
                <w:i/>
                <w:iCs/>
                <w:rtl/>
              </w:rPr>
              <w:t xml:space="preserve"> لصفحة الويكي التي تستضيف المواد التدريبية الموضوعة خلال المرحلة الثانية من المشروع ولم تُطلق الصفحة بعد (رغم أنها متاحة على موقع الويبو الإلكتروني). وع</w:t>
            </w:r>
            <w:r w:rsidR="005C4D9B">
              <w:rPr>
                <w:rFonts w:hint="cs"/>
                <w:i/>
                <w:iCs/>
                <w:rtl/>
              </w:rPr>
              <w:t>رقل ذلك نشر المواد الموضوعة لصال</w:t>
            </w:r>
            <w:r w:rsidR="00B940B5">
              <w:rPr>
                <w:rFonts w:hint="cs"/>
                <w:i/>
                <w:iCs/>
                <w:rtl/>
              </w:rPr>
              <w:t>ح بلدان أخرى ترمي إلى إنشاء مراكز تدريب على الملكية الفكرية.</w:t>
            </w:r>
          </w:p>
        </w:tc>
      </w:tr>
      <w:tr w:rsidR="00B940B5" w:rsidTr="005C3293">
        <w:trPr>
          <w:cantSplit/>
        </w:trPr>
        <w:tc>
          <w:tcPr>
            <w:tcW w:w="9571" w:type="dxa"/>
          </w:tcPr>
          <w:p w:rsidR="00B940B5" w:rsidRPr="00B940B5" w:rsidRDefault="00A24E9A" w:rsidP="00916C82">
            <w:pPr>
              <w:pStyle w:val="NormalParaAR"/>
              <w:spacing w:after="0"/>
              <w:rPr>
                <w:i/>
                <w:iCs/>
                <w:rtl/>
              </w:rPr>
            </w:pPr>
            <w:r>
              <w:rPr>
                <w:rFonts w:hint="cs"/>
                <w:b/>
                <w:bCs/>
                <w:i/>
                <w:iCs/>
                <w:rtl/>
              </w:rPr>
              <w:t>النتيجة</w:t>
            </w:r>
            <w:r>
              <w:rPr>
                <w:b/>
                <w:bCs/>
                <w:i/>
                <w:iCs/>
                <w:rtl/>
              </w:rPr>
              <w:t> </w:t>
            </w:r>
            <w:r>
              <w:rPr>
                <w:rFonts w:hint="cs"/>
                <w:b/>
                <w:bCs/>
                <w:i/>
                <w:iCs/>
                <w:rtl/>
              </w:rPr>
              <w:t>الرئيسية</w:t>
            </w:r>
            <w:r>
              <w:rPr>
                <w:b/>
                <w:bCs/>
                <w:i/>
                <w:iCs/>
                <w:rtl/>
              </w:rPr>
              <w:t> </w:t>
            </w:r>
            <w:r w:rsidR="00B940B5">
              <w:rPr>
                <w:rFonts w:hint="cs"/>
                <w:b/>
                <w:bCs/>
                <w:i/>
                <w:iCs/>
                <w:rtl/>
              </w:rPr>
              <w:t>9:</w:t>
            </w:r>
            <w:r w:rsidR="00B940B5">
              <w:rPr>
                <w:i/>
                <w:iCs/>
                <w:rtl/>
              </w:rPr>
              <w:tab/>
            </w:r>
            <w:r w:rsidR="00B940B5">
              <w:rPr>
                <w:rFonts w:hint="cs"/>
                <w:i/>
                <w:iCs/>
                <w:rtl/>
              </w:rPr>
              <w:t>لم تُوضع أية مبادئ توجيهية بشأن الخطوات والمسارات الهامة اللازمة لإنشاء مؤ</w:t>
            </w:r>
            <w:r w:rsidR="005C4D9B">
              <w:rPr>
                <w:rFonts w:hint="cs"/>
                <w:i/>
                <w:iCs/>
                <w:rtl/>
              </w:rPr>
              <w:t>سسة تدريب على الملكية الفكرية خلال الإطار الزمني للمشروع</w:t>
            </w:r>
            <w:r w:rsidR="00B940B5">
              <w:rPr>
                <w:rFonts w:hint="cs"/>
                <w:i/>
                <w:iCs/>
                <w:rtl/>
              </w:rPr>
              <w:t>.</w:t>
            </w:r>
          </w:p>
        </w:tc>
      </w:tr>
    </w:tbl>
    <w:p w:rsidR="001932D8" w:rsidRDefault="00B940B5" w:rsidP="00966BF2">
      <w:pPr>
        <w:pStyle w:val="NormalParaAR"/>
        <w:keepNext/>
        <w:spacing w:before="240"/>
        <w:rPr>
          <w:rtl/>
        </w:rPr>
      </w:pPr>
      <w:r>
        <w:rPr>
          <w:rFonts w:hint="cs"/>
          <w:rtl/>
        </w:rPr>
        <w:t xml:space="preserve">تحقيقاً </w:t>
      </w:r>
      <w:r w:rsidR="00655EF7">
        <w:rPr>
          <w:rFonts w:hint="cs"/>
          <w:rtl/>
        </w:rPr>
        <w:t>لأهداف المشروع، وضُع عدد من الأنشطة الرئيسية التالية:</w:t>
      </w:r>
    </w:p>
    <w:p w:rsidR="005C4D9B" w:rsidRDefault="00A84152" w:rsidP="00916C82">
      <w:pPr>
        <w:pStyle w:val="NormalParaAR"/>
        <w:keepNext/>
        <w:numPr>
          <w:ilvl w:val="0"/>
          <w:numId w:val="3"/>
        </w:numPr>
        <w:spacing w:after="0"/>
        <w:ind w:left="714" w:hanging="357"/>
      </w:pPr>
      <w:r>
        <w:rPr>
          <w:rFonts w:hint="cs"/>
          <w:rtl/>
        </w:rPr>
        <w:t>تنفيذ برامج تدريب المدربين؛</w:t>
      </w:r>
    </w:p>
    <w:p w:rsidR="00A84152" w:rsidRDefault="00A84152" w:rsidP="00916C82">
      <w:pPr>
        <w:pStyle w:val="NormalParaAR"/>
        <w:keepNext/>
        <w:numPr>
          <w:ilvl w:val="0"/>
          <w:numId w:val="3"/>
        </w:numPr>
        <w:spacing w:after="0"/>
        <w:ind w:left="714" w:hanging="357"/>
      </w:pPr>
      <w:r w:rsidRPr="00A84152">
        <w:rPr>
          <w:rtl/>
        </w:rPr>
        <w:t>تنفيذ برامج تدريب المنسقين الأكاديميين</w:t>
      </w:r>
      <w:r>
        <w:rPr>
          <w:rFonts w:hint="cs"/>
          <w:rtl/>
        </w:rPr>
        <w:t>؛</w:t>
      </w:r>
    </w:p>
    <w:p w:rsidR="00A84152" w:rsidRDefault="00A84152" w:rsidP="00916C82">
      <w:pPr>
        <w:pStyle w:val="NormalParaAR"/>
        <w:keepNext/>
        <w:numPr>
          <w:ilvl w:val="0"/>
          <w:numId w:val="3"/>
        </w:numPr>
        <w:spacing w:after="0"/>
        <w:ind w:left="714" w:hanging="357"/>
      </w:pPr>
      <w:r w:rsidRPr="00A84152">
        <w:rPr>
          <w:rtl/>
        </w:rPr>
        <w:t>دعم إعداد مقررات دراسية</w:t>
      </w:r>
      <w:r>
        <w:rPr>
          <w:rFonts w:hint="cs"/>
          <w:rtl/>
        </w:rPr>
        <w:t>؛</w:t>
      </w:r>
    </w:p>
    <w:p w:rsidR="00A84152" w:rsidRDefault="00A84152" w:rsidP="00916C82">
      <w:pPr>
        <w:pStyle w:val="NormalParaAR"/>
        <w:numPr>
          <w:ilvl w:val="0"/>
          <w:numId w:val="3"/>
        </w:numPr>
        <w:ind w:left="714" w:hanging="357"/>
      </w:pPr>
      <w:r w:rsidRPr="00A84152">
        <w:rPr>
          <w:rtl/>
        </w:rPr>
        <w:t>تقديم المساعدة لإنشاء مكتبة خاصة بمؤلفات الملكية الفكرية</w:t>
      </w:r>
      <w:r>
        <w:rPr>
          <w:rFonts w:hint="cs"/>
          <w:rtl/>
        </w:rPr>
        <w:t>.</w:t>
      </w:r>
    </w:p>
    <w:p w:rsidR="00A84152" w:rsidRDefault="00E00F58" w:rsidP="00394DCA">
      <w:pPr>
        <w:pStyle w:val="NormalParaAR"/>
        <w:spacing w:before="240"/>
        <w:rPr>
          <w:rtl/>
        </w:rPr>
      </w:pPr>
      <w:r>
        <w:rPr>
          <w:rFonts w:hint="cs"/>
          <w:rtl/>
        </w:rPr>
        <w:t xml:space="preserve">وتباينت النتائج في كل من مجالات </w:t>
      </w:r>
      <w:r w:rsidR="005B3DD9">
        <w:rPr>
          <w:rFonts w:hint="cs"/>
          <w:rtl/>
        </w:rPr>
        <w:t>النشاط</w:t>
      </w:r>
      <w:r>
        <w:rPr>
          <w:rFonts w:hint="cs"/>
          <w:rtl/>
        </w:rPr>
        <w:t xml:space="preserve"> إذ اضطلعت بعض البلدان بجميع الأنشطة ولم </w:t>
      </w:r>
      <w:r w:rsidR="005B3DD9">
        <w:rPr>
          <w:rFonts w:hint="cs"/>
          <w:rtl/>
        </w:rPr>
        <w:t>يحقق البعض الآخر</w:t>
      </w:r>
      <w:r>
        <w:rPr>
          <w:rFonts w:hint="cs"/>
          <w:rtl/>
        </w:rPr>
        <w:t xml:space="preserve"> إلا </w:t>
      </w:r>
      <w:r w:rsidR="005B3DD9">
        <w:rPr>
          <w:rFonts w:hint="cs"/>
          <w:rtl/>
        </w:rPr>
        <w:t xml:space="preserve">نجاحاً محدوداً </w:t>
      </w:r>
      <w:r>
        <w:rPr>
          <w:rFonts w:hint="cs"/>
          <w:rtl/>
        </w:rPr>
        <w:t>(</w:t>
      </w:r>
      <w:r w:rsidR="005B3DD9">
        <w:rPr>
          <w:rFonts w:hint="cs"/>
          <w:rtl/>
        </w:rPr>
        <w:t>يعزى</w:t>
      </w:r>
      <w:r w:rsidR="00B85A9C">
        <w:rPr>
          <w:rFonts w:hint="eastAsia"/>
          <w:rtl/>
        </w:rPr>
        <w:t> </w:t>
      </w:r>
      <w:r w:rsidR="005B3DD9">
        <w:rPr>
          <w:rFonts w:hint="cs"/>
          <w:rtl/>
        </w:rPr>
        <w:t xml:space="preserve">ذلك </w:t>
      </w:r>
      <w:r>
        <w:rPr>
          <w:rFonts w:hint="cs"/>
          <w:rtl/>
        </w:rPr>
        <w:t>غالباً</w:t>
      </w:r>
      <w:r w:rsidR="005B3DD9">
        <w:rPr>
          <w:rFonts w:hint="cs"/>
          <w:rtl/>
        </w:rPr>
        <w:t xml:space="preserve"> إلى</w:t>
      </w:r>
      <w:r>
        <w:rPr>
          <w:rFonts w:hint="cs"/>
          <w:rtl/>
        </w:rPr>
        <w:t xml:space="preserve"> عوامل خارجة عن سيطرة المشروع). واستكملت خمسة من البلدان الستة المدعومة برامج تدريب المدربين مما أدى إلى اعتماد </w:t>
      </w:r>
      <w:r w:rsidR="002E770C">
        <w:rPr>
          <w:rFonts w:hint="cs"/>
          <w:rtl/>
        </w:rPr>
        <w:t xml:space="preserve">86 </w:t>
      </w:r>
      <w:r>
        <w:rPr>
          <w:rFonts w:hint="cs"/>
          <w:rtl/>
        </w:rPr>
        <w:t>مدرباً قي</w:t>
      </w:r>
      <w:r w:rsidR="005B3DD9">
        <w:rPr>
          <w:rFonts w:hint="cs"/>
          <w:rtl/>
        </w:rPr>
        <w:t>َّ</w:t>
      </w:r>
      <w:r>
        <w:rPr>
          <w:rFonts w:hint="cs"/>
          <w:rtl/>
        </w:rPr>
        <w:t xml:space="preserve">متهم مراكز التدريب ذاتها </w:t>
      </w:r>
      <w:r w:rsidR="00B85A9C">
        <w:rPr>
          <w:rFonts w:hint="cs"/>
          <w:rtl/>
        </w:rPr>
        <w:t xml:space="preserve">وخلصت إلى </w:t>
      </w:r>
      <w:r>
        <w:rPr>
          <w:rFonts w:hint="cs"/>
          <w:rtl/>
        </w:rPr>
        <w:t xml:space="preserve">أنهم أصبحوا قادرين على تقديم </w:t>
      </w:r>
      <w:r w:rsidR="005B3DD9">
        <w:rPr>
          <w:rFonts w:hint="cs"/>
          <w:rtl/>
        </w:rPr>
        <w:t>ال</w:t>
      </w:r>
      <w:r>
        <w:rPr>
          <w:rFonts w:hint="cs"/>
          <w:rtl/>
        </w:rPr>
        <w:t xml:space="preserve">تدريب على قضايا متصلة بالملكية الفكرية. واضطُلع بتدريب المنسقين الأكاديميين في جميع البلدان المشاركة في المشروع رغم أن الشهادات لن تُقدم إلا في أربعة بلدان. </w:t>
      </w:r>
      <w:r w:rsidR="002E770C">
        <w:rPr>
          <w:rFonts w:hint="cs"/>
          <w:rtl/>
        </w:rPr>
        <w:t xml:space="preserve">والتُمس من </w:t>
      </w:r>
      <w:r>
        <w:rPr>
          <w:rFonts w:hint="cs"/>
          <w:rtl/>
        </w:rPr>
        <w:t xml:space="preserve">الويبو </w:t>
      </w:r>
      <w:r w:rsidR="002E770C">
        <w:rPr>
          <w:rFonts w:hint="cs"/>
          <w:rtl/>
        </w:rPr>
        <w:t>تقديم ال</w:t>
      </w:r>
      <w:r>
        <w:rPr>
          <w:rFonts w:hint="cs"/>
          <w:rtl/>
        </w:rPr>
        <w:t xml:space="preserve">دعم </w:t>
      </w:r>
      <w:r w:rsidR="00394DCA">
        <w:rPr>
          <w:rFonts w:hint="cs"/>
          <w:rtl/>
        </w:rPr>
        <w:t>من أجل</w:t>
      </w:r>
      <w:r w:rsidR="002E770C">
        <w:rPr>
          <w:rFonts w:hint="cs"/>
          <w:rtl/>
        </w:rPr>
        <w:t xml:space="preserve"> </w:t>
      </w:r>
      <w:r>
        <w:rPr>
          <w:rFonts w:hint="cs"/>
          <w:rtl/>
        </w:rPr>
        <w:t>إعداد مقررات دراسية في كولومبيا والجمهورية الدومينيكية تتماشى مع الأنشطة المزمعة ولكن في بيرو يضع المدربون والأكاديمية المقررات الدراسية</w:t>
      </w:r>
      <w:r w:rsidR="00B85A9C">
        <w:rPr>
          <w:rFonts w:hint="cs"/>
          <w:rtl/>
        </w:rPr>
        <w:t xml:space="preserve"> بأنفسهم</w:t>
      </w:r>
      <w:r>
        <w:rPr>
          <w:rFonts w:hint="cs"/>
          <w:rtl/>
        </w:rPr>
        <w:t>. وشهدت مصر وتونس تأخيرات ولم يُستهل العمل بعد في إثيوبيا.</w:t>
      </w:r>
    </w:p>
    <w:p w:rsidR="00E00F58" w:rsidRDefault="00FA227E" w:rsidP="00B85A9C">
      <w:pPr>
        <w:pStyle w:val="NormalParaAR"/>
        <w:spacing w:before="240"/>
        <w:rPr>
          <w:rtl/>
        </w:rPr>
      </w:pPr>
      <w:r>
        <w:rPr>
          <w:rFonts w:hint="cs"/>
          <w:rtl/>
        </w:rPr>
        <w:t>وكان دعم إنشاء مكتبة في كل من مراكز التدريب جارياً في كل من البلدان الستة في حدود الإطار الزمني للمشروع ولكن لا يزال كل بلد في طور شراء المزيد من المواد المرجعية ولذلك فإن هذا النشاط سيتجاوز مدة المشروع. ويقدم بل</w:t>
      </w:r>
      <w:r w:rsidR="00B85A9C">
        <w:rPr>
          <w:rFonts w:hint="cs"/>
          <w:rtl/>
        </w:rPr>
        <w:t>َ</w:t>
      </w:r>
      <w:r>
        <w:rPr>
          <w:rFonts w:hint="cs"/>
          <w:rtl/>
        </w:rPr>
        <w:t>دان من البلدان الستة (كولومبي</w:t>
      </w:r>
      <w:r>
        <w:rPr>
          <w:rFonts w:hint="eastAsia"/>
          <w:rtl/>
        </w:rPr>
        <w:t>ا</w:t>
      </w:r>
      <w:r w:rsidR="00B85A9C">
        <w:rPr>
          <w:rFonts w:hint="eastAsia"/>
          <w:rtl/>
        </w:rPr>
        <w:t> </w:t>
      </w:r>
      <w:r>
        <w:rPr>
          <w:rFonts w:hint="cs"/>
          <w:rtl/>
        </w:rPr>
        <w:t>والجمهورية الدومينيكية) ما لا يقل عن برنامجي تدريب منتظمين على الملكية الفكرية خلافاً للبلدان الأربعة الأخرى.</w:t>
      </w:r>
    </w:p>
    <w:p w:rsidR="00FA227E" w:rsidRDefault="00FA227E" w:rsidP="002E770C">
      <w:pPr>
        <w:pStyle w:val="NormalParaAR"/>
        <w:spacing w:before="240"/>
        <w:rPr>
          <w:rtl/>
        </w:rPr>
      </w:pPr>
      <w:r>
        <w:rPr>
          <w:rFonts w:hint="cs"/>
          <w:rtl/>
        </w:rPr>
        <w:t xml:space="preserve">ومن ثم تختلف فعالية دعم الويبو </w:t>
      </w:r>
      <w:r w:rsidR="00367997">
        <w:rPr>
          <w:rFonts w:hint="cs"/>
          <w:rtl/>
        </w:rPr>
        <w:t>في المساعدة على إنشاء مركز تدريب</w:t>
      </w:r>
      <w:r>
        <w:rPr>
          <w:rFonts w:hint="cs"/>
          <w:rtl/>
        </w:rPr>
        <w:t xml:space="preserve"> </w:t>
      </w:r>
      <w:r w:rsidR="00367997">
        <w:rPr>
          <w:rFonts w:hint="cs"/>
          <w:rtl/>
        </w:rPr>
        <w:t>ذاتي الاستدامة</w:t>
      </w:r>
      <w:r>
        <w:rPr>
          <w:rFonts w:hint="cs"/>
          <w:rtl/>
        </w:rPr>
        <w:t xml:space="preserve"> في كل من البلدان الستة باختلاف المواقع. ويفيد تقييم أكاديمية الويبو نفسها بأن المراكز </w:t>
      </w:r>
      <w:r w:rsidR="00B85A9C">
        <w:rPr>
          <w:rFonts w:hint="cs"/>
          <w:rtl/>
        </w:rPr>
        <w:t>المستدامة</w:t>
      </w:r>
      <w:r>
        <w:rPr>
          <w:rFonts w:hint="cs"/>
          <w:rtl/>
        </w:rPr>
        <w:t xml:space="preserve"> تقع في كولومبيا والجمهورية الدومينيكية </w:t>
      </w:r>
      <w:r w:rsidR="002E770C">
        <w:rPr>
          <w:rFonts w:hint="cs"/>
          <w:rtl/>
        </w:rPr>
        <w:t xml:space="preserve">وبيرو </w:t>
      </w:r>
      <w:r>
        <w:rPr>
          <w:rFonts w:hint="cs"/>
          <w:rtl/>
        </w:rPr>
        <w:t>و</w:t>
      </w:r>
      <w:r w:rsidR="00B85A9C">
        <w:rPr>
          <w:rFonts w:hint="cs"/>
          <w:rtl/>
        </w:rPr>
        <w:t xml:space="preserve">أنها تتقدم نحو </w:t>
      </w:r>
      <w:r w:rsidR="00B85A9C">
        <w:rPr>
          <w:rFonts w:hint="cs"/>
          <w:rtl/>
        </w:rPr>
        <w:lastRenderedPageBreak/>
        <w:t>الاستدامة</w:t>
      </w:r>
      <w:r>
        <w:rPr>
          <w:rFonts w:hint="cs"/>
          <w:rtl/>
        </w:rPr>
        <w:t xml:space="preserve"> في ومصر </w:t>
      </w:r>
      <w:r w:rsidR="002E770C">
        <w:rPr>
          <w:rFonts w:hint="cs"/>
          <w:rtl/>
        </w:rPr>
        <w:t>و</w:t>
      </w:r>
      <w:r>
        <w:rPr>
          <w:rFonts w:hint="cs"/>
          <w:rtl/>
        </w:rPr>
        <w:t>إثيوبيا</w:t>
      </w:r>
      <w:r w:rsidR="002E770C" w:rsidRPr="002E770C">
        <w:rPr>
          <w:rFonts w:hint="cs"/>
          <w:rtl/>
        </w:rPr>
        <w:t xml:space="preserve"> </w:t>
      </w:r>
      <w:r w:rsidR="002E770C">
        <w:rPr>
          <w:rFonts w:hint="cs"/>
          <w:rtl/>
        </w:rPr>
        <w:t>وتونس</w:t>
      </w:r>
      <w:r>
        <w:rPr>
          <w:rFonts w:hint="cs"/>
          <w:rtl/>
        </w:rPr>
        <w:t xml:space="preserve">. وإن الافتقار لمؤشرات نتائج تتيح قياس </w:t>
      </w:r>
      <w:r w:rsidR="00367997">
        <w:rPr>
          <w:rFonts w:hint="cs"/>
          <w:rtl/>
        </w:rPr>
        <w:t>ذاتية الاستدامة</w:t>
      </w:r>
      <w:r>
        <w:rPr>
          <w:rFonts w:hint="cs"/>
          <w:rtl/>
        </w:rPr>
        <w:t xml:space="preserve"> منعت هذا التقييم من إجراء تق</w:t>
      </w:r>
      <w:r w:rsidR="00B85A9C">
        <w:rPr>
          <w:rFonts w:hint="cs"/>
          <w:rtl/>
        </w:rPr>
        <w:t>ييم</w:t>
      </w:r>
      <w:r>
        <w:rPr>
          <w:rFonts w:hint="cs"/>
          <w:rtl/>
        </w:rPr>
        <w:t xml:space="preserve"> واضح </w:t>
      </w:r>
      <w:r w:rsidR="00B85A9C">
        <w:rPr>
          <w:rFonts w:hint="cs"/>
          <w:rtl/>
        </w:rPr>
        <w:t>لهذه المسألة</w:t>
      </w:r>
      <w:r>
        <w:rPr>
          <w:rFonts w:hint="cs"/>
          <w:rtl/>
        </w:rPr>
        <w:t>.</w:t>
      </w:r>
    </w:p>
    <w:p w:rsidR="002E770C" w:rsidRDefault="002E770C" w:rsidP="0027382B">
      <w:pPr>
        <w:pStyle w:val="NormalParaAR"/>
        <w:spacing w:before="240"/>
        <w:rPr>
          <w:rtl/>
        </w:rPr>
      </w:pPr>
      <w:r>
        <w:rPr>
          <w:rFonts w:hint="cs"/>
          <w:rtl/>
        </w:rPr>
        <w:t xml:space="preserve">وحقق المشروع بعض النتائج الإيجابية للغاية. فقد حصل 484 8 شخصاً إجمالاً على شهادات تدريب من </w:t>
      </w:r>
      <w:r w:rsidR="0027382B">
        <w:rPr>
          <w:rFonts w:hint="cs"/>
          <w:rtl/>
        </w:rPr>
        <w:t>71 مدرباً من أصل 86 مدرباً حاصلاً على شهادات تدريب من خمسة مديري أكاديميات دربهم المشروع.</w:t>
      </w:r>
      <w:r>
        <w:rPr>
          <w:rFonts w:hint="cs"/>
          <w:rtl/>
        </w:rPr>
        <w:t xml:space="preserve"> </w:t>
      </w:r>
      <w:r w:rsidR="0027382B">
        <w:rPr>
          <w:rFonts w:hint="cs"/>
          <w:rtl/>
        </w:rPr>
        <w:t>وبلغت نسبة النساء المُدرَبات زهاء 60.5 في المائة. ناهيك عن أن نماذج التدريب على آخر تطورات جدول أعمال الويبو بشأن التنمية وأساليب التدريس جمعت في صفحة على الإنترنت متاحة لعامة الجمهور، كما أُعِد ما مجموعه ستة برامج تدريب منتظمة في مجال الملكية الفكرية.</w:t>
      </w:r>
    </w:p>
    <w:p w:rsidR="00FA227E" w:rsidRPr="002A6C26" w:rsidRDefault="00FA227E" w:rsidP="00FA227E">
      <w:pPr>
        <w:pStyle w:val="NumberedParaAR"/>
        <w:keepNext/>
        <w:numPr>
          <w:ilvl w:val="0"/>
          <w:numId w:val="0"/>
        </w:numPr>
        <w:rPr>
          <w:b/>
          <w:bCs/>
          <w:i/>
          <w:iCs/>
          <w:sz w:val="40"/>
          <w:szCs w:val="40"/>
          <w:rtl/>
        </w:rPr>
      </w:pPr>
      <w:r w:rsidRPr="002A6C26">
        <w:rPr>
          <w:rFonts w:hint="cs"/>
          <w:b/>
          <w:bCs/>
          <w:i/>
          <w:iCs/>
          <w:sz w:val="40"/>
          <w:szCs w:val="40"/>
          <w:rtl/>
        </w:rPr>
        <w:t>الاستدامة</w:t>
      </w:r>
    </w:p>
    <w:tbl>
      <w:tblPr>
        <w:tblStyle w:val="TableGrid"/>
        <w:bidiVisual/>
        <w:tblW w:w="0" w:type="auto"/>
        <w:tblLook w:val="04A0" w:firstRow="1" w:lastRow="0" w:firstColumn="1" w:lastColumn="0" w:noHBand="0" w:noVBand="1"/>
      </w:tblPr>
      <w:tblGrid>
        <w:gridCol w:w="9571"/>
      </w:tblGrid>
      <w:tr w:rsidR="00FA227E" w:rsidTr="00FA227E">
        <w:tc>
          <w:tcPr>
            <w:tcW w:w="9571" w:type="dxa"/>
          </w:tcPr>
          <w:p w:rsidR="00FA227E" w:rsidRPr="00FA227E" w:rsidRDefault="00FA227E" w:rsidP="00916C82">
            <w:pPr>
              <w:pStyle w:val="NormalParaAR"/>
              <w:spacing w:after="0"/>
              <w:rPr>
                <w:i/>
                <w:iCs/>
                <w:rtl/>
              </w:rPr>
            </w:pPr>
            <w:r>
              <w:rPr>
                <w:rFonts w:hint="cs"/>
                <w:b/>
                <w:bCs/>
                <w:i/>
                <w:iCs/>
                <w:rtl/>
              </w:rPr>
              <w:t>النتيجة الرئيسية 10:</w:t>
            </w:r>
            <w:r>
              <w:rPr>
                <w:b/>
                <w:bCs/>
                <w:i/>
                <w:iCs/>
                <w:rtl/>
              </w:rPr>
              <w:tab/>
            </w:r>
            <w:r>
              <w:rPr>
                <w:rFonts w:hint="cs"/>
                <w:i/>
                <w:iCs/>
                <w:rtl/>
              </w:rPr>
              <w:t xml:space="preserve">ترد </w:t>
            </w:r>
            <w:r w:rsidR="00B85A9C">
              <w:rPr>
                <w:rFonts w:hint="cs"/>
                <w:i/>
                <w:iCs/>
                <w:rtl/>
              </w:rPr>
              <w:t xml:space="preserve">مؤشرات </w:t>
            </w:r>
            <w:r>
              <w:rPr>
                <w:rFonts w:hint="cs"/>
                <w:i/>
                <w:iCs/>
                <w:rtl/>
              </w:rPr>
              <w:t>محدودة في وثائق المشروع لقياس الاستدامة. ونظراً إلى وضع تنفيذ مختلف مراكز التدريب فإن الحكم على استدامة كل مركز حكم سابق لأوانه.</w:t>
            </w:r>
          </w:p>
        </w:tc>
      </w:tr>
    </w:tbl>
    <w:p w:rsidR="00FA227E" w:rsidRDefault="00FA227E" w:rsidP="00367997">
      <w:pPr>
        <w:pStyle w:val="NormalParaAR"/>
        <w:spacing w:before="240"/>
        <w:rPr>
          <w:rtl/>
        </w:rPr>
      </w:pPr>
      <w:r>
        <w:rPr>
          <w:rFonts w:hint="cs"/>
          <w:rtl/>
        </w:rPr>
        <w:t xml:space="preserve">من الأهداف الرئيسية للمشروع إنشاء مراكز تدريب </w:t>
      </w:r>
      <w:r w:rsidR="00367997">
        <w:rPr>
          <w:rFonts w:hint="cs"/>
          <w:rtl/>
        </w:rPr>
        <w:t>ذاتية الاستدامة</w:t>
      </w:r>
      <w:r>
        <w:rPr>
          <w:rFonts w:hint="cs"/>
          <w:rtl/>
        </w:rPr>
        <w:t xml:space="preserve"> لدى توقف دعم الويبو. </w:t>
      </w:r>
      <w:r w:rsidR="002A6C26">
        <w:rPr>
          <w:rFonts w:hint="cs"/>
          <w:rtl/>
        </w:rPr>
        <w:t>ولكن لا توجد معايير واضحة يستند إليها قياس استدامة المراكز فضلاً عن أن إجراء هذا التقييم سابق لأوانه (بخاصة في البلدان التي تواجه تأخيرات في التنفيذ).</w:t>
      </w:r>
    </w:p>
    <w:p w:rsidR="002A6C26" w:rsidRDefault="002A6C26" w:rsidP="00B85A9C">
      <w:pPr>
        <w:pStyle w:val="NormalParaAR"/>
        <w:spacing w:before="240"/>
        <w:rPr>
          <w:rtl/>
        </w:rPr>
      </w:pPr>
      <w:r>
        <w:rPr>
          <w:rFonts w:hint="cs"/>
          <w:rtl/>
        </w:rPr>
        <w:t>ولكن إدراج تقديم المساعدة إلى الأكاديميات الوطنية للملكية الفكرية مؤخراً في ميزانية الويبو العادية</w:t>
      </w:r>
      <w:r w:rsidR="0030564B">
        <w:rPr>
          <w:rFonts w:hint="cs"/>
          <w:rtl/>
        </w:rPr>
        <w:t xml:space="preserve"> </w:t>
      </w:r>
      <w:r>
        <w:rPr>
          <w:rFonts w:hint="cs"/>
          <w:rtl/>
        </w:rPr>
        <w:t xml:space="preserve">من شأنه أن يتيح </w:t>
      </w:r>
      <w:r w:rsidR="00B85A9C">
        <w:rPr>
          <w:rFonts w:hint="cs"/>
          <w:rtl/>
        </w:rPr>
        <w:t>المزيد من المرونة في الأطر الزمنية مقارنة</w:t>
      </w:r>
      <w:r>
        <w:rPr>
          <w:rFonts w:hint="cs"/>
          <w:rtl/>
        </w:rPr>
        <w:t xml:space="preserve"> </w:t>
      </w:r>
      <w:r w:rsidR="00B85A9C">
        <w:rPr>
          <w:rFonts w:hint="cs"/>
          <w:rtl/>
        </w:rPr>
        <w:t>ب</w:t>
      </w:r>
      <w:r>
        <w:rPr>
          <w:rFonts w:hint="cs"/>
          <w:rtl/>
        </w:rPr>
        <w:t xml:space="preserve">المشروع الحالي وأن يتيح كذلك للبلدان الستة الرائدة تلقي المزيد من المساعدة من الويبو إذا </w:t>
      </w:r>
      <w:r w:rsidR="00B85A9C">
        <w:rPr>
          <w:rFonts w:hint="cs"/>
          <w:rtl/>
        </w:rPr>
        <w:t>ظلت هناك</w:t>
      </w:r>
      <w:r>
        <w:rPr>
          <w:rFonts w:hint="cs"/>
          <w:rtl/>
        </w:rPr>
        <w:t xml:space="preserve"> حاجة إلى وجود تعاون مالي في المستقبل</w:t>
      </w:r>
      <w:r w:rsidR="00B85A9C">
        <w:rPr>
          <w:rFonts w:hint="cs"/>
          <w:rtl/>
        </w:rPr>
        <w:t>،</w:t>
      </w:r>
      <w:r>
        <w:rPr>
          <w:rFonts w:hint="cs"/>
          <w:rtl/>
        </w:rPr>
        <w:t xml:space="preserve"> وقد يدعم ذلك استدامة مراكز التدريب.</w:t>
      </w:r>
    </w:p>
    <w:p w:rsidR="002A6C26" w:rsidRPr="002A6C26" w:rsidRDefault="002A6C26" w:rsidP="002A6C26">
      <w:pPr>
        <w:pStyle w:val="NumberedParaAR"/>
        <w:keepNext/>
        <w:numPr>
          <w:ilvl w:val="0"/>
          <w:numId w:val="0"/>
        </w:numPr>
        <w:rPr>
          <w:b/>
          <w:bCs/>
          <w:sz w:val="40"/>
          <w:szCs w:val="40"/>
          <w:rtl/>
        </w:rPr>
      </w:pPr>
      <w:r w:rsidRPr="002A6C26">
        <w:rPr>
          <w:rFonts w:hint="cs"/>
          <w:b/>
          <w:bCs/>
          <w:sz w:val="40"/>
          <w:szCs w:val="40"/>
          <w:rtl/>
        </w:rPr>
        <w:t>التوصيات</w:t>
      </w:r>
    </w:p>
    <w:p w:rsidR="00FA227E" w:rsidRDefault="00F42A4B" w:rsidP="00966BF2">
      <w:pPr>
        <w:pStyle w:val="NormalParaAR"/>
        <w:keepNext/>
        <w:spacing w:before="240"/>
        <w:rPr>
          <w:rtl/>
        </w:rPr>
      </w:pPr>
      <w:r>
        <w:rPr>
          <w:rFonts w:hint="cs"/>
          <w:rtl/>
        </w:rPr>
        <w:t>استجابةً للنتائج الرئيسية لهذا التقييم، يُقترح العمل بالتوصيات الست التالية في المستقبل.</w:t>
      </w:r>
    </w:p>
    <w:p w:rsidR="00F42A4B" w:rsidRDefault="00F42A4B" w:rsidP="00F42A4B">
      <w:pPr>
        <w:pStyle w:val="NumberedParaAR"/>
        <w:keepNext/>
        <w:numPr>
          <w:ilvl w:val="0"/>
          <w:numId w:val="0"/>
        </w:numPr>
        <w:rPr>
          <w:b/>
          <w:bCs/>
          <w:i/>
          <w:iCs/>
          <w:sz w:val="40"/>
          <w:szCs w:val="40"/>
          <w:rtl/>
        </w:rPr>
      </w:pPr>
      <w:r w:rsidRPr="00F42A4B">
        <w:rPr>
          <w:rFonts w:hint="cs"/>
          <w:b/>
          <w:bCs/>
          <w:i/>
          <w:iCs/>
          <w:sz w:val="40"/>
          <w:szCs w:val="40"/>
          <w:rtl/>
        </w:rPr>
        <w:t>ألف</w:t>
      </w:r>
      <w:r w:rsidRPr="00F42A4B">
        <w:rPr>
          <w:rFonts w:hint="cs"/>
          <w:b/>
          <w:bCs/>
          <w:i/>
          <w:iCs/>
          <w:sz w:val="40"/>
          <w:szCs w:val="40"/>
          <w:rtl/>
        </w:rPr>
        <w:tab/>
        <w:t xml:space="preserve">تصميم المشروع </w:t>
      </w:r>
      <w:r w:rsidR="00264401" w:rsidRPr="00F42A4B">
        <w:rPr>
          <w:rFonts w:hint="cs"/>
          <w:b/>
          <w:bCs/>
          <w:i/>
          <w:iCs/>
          <w:sz w:val="40"/>
          <w:szCs w:val="40"/>
          <w:rtl/>
        </w:rPr>
        <w:t>وإدارته</w:t>
      </w:r>
    </w:p>
    <w:p w:rsidR="00F42A4B" w:rsidRDefault="00F42A4B" w:rsidP="00F42A4B">
      <w:pPr>
        <w:pStyle w:val="NumberedParaAR"/>
        <w:keepNext/>
        <w:numPr>
          <w:ilvl w:val="0"/>
          <w:numId w:val="0"/>
        </w:numPr>
        <w:rPr>
          <w:b/>
          <w:bCs/>
          <w:u w:val="single"/>
          <w:rtl/>
        </w:rPr>
      </w:pPr>
      <w:r w:rsidRPr="00F42A4B">
        <w:rPr>
          <w:rFonts w:hint="cs"/>
          <w:b/>
          <w:bCs/>
          <w:u w:val="single"/>
          <w:rtl/>
        </w:rPr>
        <w:t>التوصية 1</w:t>
      </w:r>
    </w:p>
    <w:p w:rsidR="00F42A4B" w:rsidRDefault="00F42A4B" w:rsidP="00F42A4B">
      <w:pPr>
        <w:pStyle w:val="NumberedParaAR"/>
        <w:keepNext/>
        <w:numPr>
          <w:ilvl w:val="0"/>
          <w:numId w:val="0"/>
        </w:numPr>
        <w:rPr>
          <w:rtl/>
        </w:rPr>
      </w:pPr>
      <w:r w:rsidRPr="00F42A4B">
        <w:rPr>
          <w:rFonts w:hint="cs"/>
          <w:rtl/>
        </w:rPr>
        <w:t>(</w:t>
      </w:r>
      <w:r>
        <w:rPr>
          <w:rFonts w:hint="cs"/>
          <w:rtl/>
        </w:rPr>
        <w:t>خاصة ب</w:t>
      </w:r>
      <w:r w:rsidRPr="00F42A4B">
        <w:rPr>
          <w:rFonts w:hint="cs"/>
          <w:rtl/>
        </w:rPr>
        <w:t>النتيجة الرئيسية 1)</w:t>
      </w:r>
    </w:p>
    <w:p w:rsidR="00F42A4B" w:rsidRDefault="00F42A4B" w:rsidP="0027382B">
      <w:pPr>
        <w:pStyle w:val="NumberedParaAR"/>
        <w:numPr>
          <w:ilvl w:val="0"/>
          <w:numId w:val="0"/>
        </w:numPr>
        <w:rPr>
          <w:rtl/>
        </w:rPr>
      </w:pPr>
      <w:r>
        <w:rPr>
          <w:rFonts w:hint="cs"/>
          <w:rtl/>
        </w:rPr>
        <w:t>ينبغي للويبو أن تنظر</w:t>
      </w:r>
      <w:r w:rsidR="004062F1">
        <w:rPr>
          <w:rFonts w:hint="cs"/>
          <w:rtl/>
        </w:rPr>
        <w:t>، عقب عمليات تقييم المشروع،</w:t>
      </w:r>
      <w:r>
        <w:rPr>
          <w:rFonts w:hint="cs"/>
          <w:rtl/>
        </w:rPr>
        <w:t xml:space="preserve"> في وضع خطط عمل أو خطط إدارة للاستجابة لكل </w:t>
      </w:r>
      <w:r w:rsidR="0027382B">
        <w:rPr>
          <w:rFonts w:hint="cs"/>
          <w:rtl/>
        </w:rPr>
        <w:t xml:space="preserve">توصية </w:t>
      </w:r>
      <w:r>
        <w:rPr>
          <w:rFonts w:hint="cs"/>
          <w:rtl/>
        </w:rPr>
        <w:t xml:space="preserve">من توصيات التقييم. وستتيح هذه الخطط اتباع نهج موثق يفسر قبول الويبو لتوصيات معينة دون غيرها؛ وتعين شخصاً بعينه أو فريقاً </w:t>
      </w:r>
      <w:r w:rsidR="00B85A9C">
        <w:rPr>
          <w:rFonts w:hint="cs"/>
          <w:rtl/>
        </w:rPr>
        <w:t xml:space="preserve">يكون </w:t>
      </w:r>
      <w:r>
        <w:rPr>
          <w:rFonts w:hint="cs"/>
          <w:rtl/>
        </w:rPr>
        <w:t>مسؤولاً عن متابعة كل توصية؛ ومن شأنها أن تشجع تحديد</w:t>
      </w:r>
      <w:r w:rsidR="00B85A9C">
        <w:rPr>
          <w:rFonts w:hint="cs"/>
          <w:rtl/>
        </w:rPr>
        <w:t xml:space="preserve"> أجل</w:t>
      </w:r>
      <w:r>
        <w:rPr>
          <w:rFonts w:hint="cs"/>
          <w:rtl/>
        </w:rPr>
        <w:t xml:space="preserve"> لتنفيذ التوصية.</w:t>
      </w:r>
    </w:p>
    <w:p w:rsidR="00F42A4B" w:rsidRDefault="00F42A4B" w:rsidP="00F42A4B">
      <w:pPr>
        <w:pStyle w:val="NumberedParaAR"/>
        <w:keepNext/>
        <w:numPr>
          <w:ilvl w:val="0"/>
          <w:numId w:val="0"/>
        </w:numPr>
        <w:rPr>
          <w:b/>
          <w:bCs/>
          <w:u w:val="single"/>
          <w:rtl/>
        </w:rPr>
      </w:pPr>
      <w:r w:rsidRPr="00F42A4B">
        <w:rPr>
          <w:rFonts w:hint="cs"/>
          <w:b/>
          <w:bCs/>
          <w:u w:val="single"/>
          <w:rtl/>
        </w:rPr>
        <w:t>التوصية 2</w:t>
      </w:r>
    </w:p>
    <w:p w:rsidR="00F42A4B" w:rsidRDefault="00F42A4B" w:rsidP="00F42A4B">
      <w:pPr>
        <w:pStyle w:val="NumberedParaAR"/>
        <w:keepNext/>
        <w:numPr>
          <w:ilvl w:val="0"/>
          <w:numId w:val="0"/>
        </w:numPr>
        <w:rPr>
          <w:rtl/>
        </w:rPr>
      </w:pPr>
      <w:r>
        <w:rPr>
          <w:rFonts w:hint="cs"/>
          <w:rtl/>
        </w:rPr>
        <w:t>(خاصة بالنتيجة الرئيسية 3)</w:t>
      </w:r>
    </w:p>
    <w:p w:rsidR="00F42A4B" w:rsidRPr="00F42A4B" w:rsidRDefault="00F42A4B" w:rsidP="00966BF2">
      <w:pPr>
        <w:pStyle w:val="NumberedParaAR"/>
        <w:numPr>
          <w:ilvl w:val="0"/>
          <w:numId w:val="0"/>
        </w:numPr>
        <w:rPr>
          <w:rtl/>
        </w:rPr>
      </w:pPr>
      <w:r>
        <w:rPr>
          <w:rFonts w:hint="cs"/>
          <w:rtl/>
        </w:rPr>
        <w:t>فيما يخص المشروعات المماثلة المقبلة، سواء أكانت ممولة بوصفها مشروعاً خاصاً أو من خلال ميزانية الويبو العادية، ينبغي تعزيز دور ال</w:t>
      </w:r>
      <w:r w:rsidR="00F74CC8">
        <w:rPr>
          <w:rFonts w:hint="cs"/>
          <w:rtl/>
        </w:rPr>
        <w:t xml:space="preserve">مكاتب الإقليمية في جميع مراحل المشروع. ويمكن تقديم الآراء في مراحل إعداد المشروع </w:t>
      </w:r>
      <w:r w:rsidR="00B85A9C">
        <w:rPr>
          <w:rFonts w:hint="cs"/>
          <w:rtl/>
        </w:rPr>
        <w:t>لحشد الالتزام الذي من شأنه أن</w:t>
      </w:r>
      <w:r w:rsidR="00F74CC8">
        <w:rPr>
          <w:rFonts w:hint="cs"/>
          <w:rtl/>
        </w:rPr>
        <w:t xml:space="preserve"> يساعد كذلك </w:t>
      </w:r>
      <w:r w:rsidR="004062F1">
        <w:rPr>
          <w:rFonts w:hint="cs"/>
          <w:rtl/>
        </w:rPr>
        <w:t>في</w:t>
      </w:r>
      <w:r w:rsidR="00F74CC8">
        <w:rPr>
          <w:rFonts w:hint="cs"/>
          <w:rtl/>
        </w:rPr>
        <w:t xml:space="preserve"> ضمان الاستدامة. </w:t>
      </w:r>
      <w:r w:rsidR="004062F1">
        <w:rPr>
          <w:rFonts w:hint="cs"/>
          <w:rtl/>
        </w:rPr>
        <w:t>و</w:t>
      </w:r>
      <w:r w:rsidR="00F74CC8">
        <w:rPr>
          <w:rFonts w:hint="cs"/>
          <w:rtl/>
        </w:rPr>
        <w:t xml:space="preserve">المكاتب </w:t>
      </w:r>
      <w:r w:rsidR="00B85A9C">
        <w:rPr>
          <w:rFonts w:hint="cs"/>
          <w:rtl/>
        </w:rPr>
        <w:t>تتمتع ب</w:t>
      </w:r>
      <w:r w:rsidR="00F74CC8">
        <w:rPr>
          <w:rFonts w:hint="cs"/>
          <w:rtl/>
        </w:rPr>
        <w:t xml:space="preserve">وضع يتيح لها إسداء المشورة بشأن الموقع الأمثل لأكاديمية ناشئة </w:t>
      </w:r>
      <w:r w:rsidR="00F74CC8">
        <w:rPr>
          <w:rFonts w:hint="cs"/>
          <w:rtl/>
        </w:rPr>
        <w:lastRenderedPageBreak/>
        <w:t>(في</w:t>
      </w:r>
      <w:r w:rsidR="00966BF2">
        <w:rPr>
          <w:rFonts w:hint="eastAsia"/>
          <w:rtl/>
        </w:rPr>
        <w:t> </w:t>
      </w:r>
      <w:r w:rsidR="00F74CC8">
        <w:rPr>
          <w:rFonts w:hint="cs"/>
          <w:rtl/>
        </w:rPr>
        <w:t>المكتب الوطني للملكية الفكرية أم في وزارة حكومية معنية مثلاً) فضلاً عن إسداء النصح بشأن هياكل الإدارة على الصعيد الوطني. وتتمتع المكاتب كذلك بوضع يتيح لها دعم إدراج مراكز التدريب في استراتيجياتها الوطنية للملكية ا</w:t>
      </w:r>
      <w:r w:rsidR="00F35F90">
        <w:rPr>
          <w:rFonts w:hint="cs"/>
          <w:rtl/>
        </w:rPr>
        <w:t>لفكرية.</w:t>
      </w:r>
    </w:p>
    <w:p w:rsidR="00F42A4B" w:rsidRDefault="00F42A4B" w:rsidP="00F42A4B">
      <w:pPr>
        <w:pStyle w:val="NumberedParaAR"/>
        <w:keepNext/>
        <w:numPr>
          <w:ilvl w:val="0"/>
          <w:numId w:val="0"/>
        </w:numPr>
        <w:rPr>
          <w:b/>
          <w:bCs/>
          <w:i/>
          <w:iCs/>
          <w:sz w:val="40"/>
          <w:szCs w:val="40"/>
          <w:rtl/>
        </w:rPr>
      </w:pPr>
      <w:r w:rsidRPr="00F42A4B">
        <w:rPr>
          <w:rFonts w:hint="cs"/>
          <w:b/>
          <w:bCs/>
          <w:i/>
          <w:iCs/>
          <w:sz w:val="40"/>
          <w:szCs w:val="40"/>
          <w:rtl/>
        </w:rPr>
        <w:t>باء</w:t>
      </w:r>
      <w:r w:rsidRPr="00F42A4B">
        <w:rPr>
          <w:rFonts w:hint="cs"/>
          <w:b/>
          <w:bCs/>
          <w:i/>
          <w:iCs/>
          <w:sz w:val="40"/>
          <w:szCs w:val="40"/>
          <w:rtl/>
        </w:rPr>
        <w:tab/>
        <w:t>الفعالية</w:t>
      </w:r>
    </w:p>
    <w:p w:rsidR="00F42A4B" w:rsidRDefault="00F35F90" w:rsidP="00F35F90">
      <w:pPr>
        <w:pStyle w:val="NumberedParaAR"/>
        <w:keepNext/>
        <w:numPr>
          <w:ilvl w:val="0"/>
          <w:numId w:val="0"/>
        </w:numPr>
        <w:rPr>
          <w:b/>
          <w:bCs/>
          <w:u w:val="single"/>
          <w:rtl/>
        </w:rPr>
      </w:pPr>
      <w:r>
        <w:rPr>
          <w:rFonts w:hint="cs"/>
          <w:b/>
          <w:bCs/>
          <w:u w:val="single"/>
          <w:rtl/>
        </w:rPr>
        <w:t>التوصية 3</w:t>
      </w:r>
    </w:p>
    <w:p w:rsidR="00F35F90" w:rsidRDefault="00F35F90" w:rsidP="00F35F90">
      <w:pPr>
        <w:pStyle w:val="NumberedParaAR"/>
        <w:keepNext/>
        <w:numPr>
          <w:ilvl w:val="0"/>
          <w:numId w:val="0"/>
        </w:numPr>
        <w:rPr>
          <w:rtl/>
        </w:rPr>
      </w:pPr>
      <w:r w:rsidRPr="00F35F90">
        <w:rPr>
          <w:rFonts w:hint="cs"/>
          <w:rtl/>
        </w:rPr>
        <w:t xml:space="preserve">(خاصة </w:t>
      </w:r>
      <w:r>
        <w:rPr>
          <w:rFonts w:hint="cs"/>
          <w:rtl/>
        </w:rPr>
        <w:t>بالنتيجتين الرئيسيتين 5 و10)</w:t>
      </w:r>
    </w:p>
    <w:p w:rsidR="00F35F90" w:rsidRDefault="00F35F90" w:rsidP="004062F1">
      <w:pPr>
        <w:pStyle w:val="NumberedParaAR"/>
        <w:numPr>
          <w:ilvl w:val="0"/>
          <w:numId w:val="0"/>
        </w:numPr>
        <w:rPr>
          <w:rtl/>
        </w:rPr>
      </w:pPr>
      <w:r>
        <w:rPr>
          <w:rFonts w:hint="cs"/>
          <w:rtl/>
        </w:rPr>
        <w:t>ينبغي</w:t>
      </w:r>
      <w:r w:rsidR="004062F1">
        <w:rPr>
          <w:rFonts w:hint="cs"/>
          <w:rtl/>
        </w:rPr>
        <w:t>،</w:t>
      </w:r>
      <w:r w:rsidR="004062F1" w:rsidRPr="004062F1">
        <w:rPr>
          <w:rFonts w:hint="cs"/>
          <w:rtl/>
        </w:rPr>
        <w:t xml:space="preserve"> </w:t>
      </w:r>
      <w:r w:rsidR="004062F1">
        <w:rPr>
          <w:rFonts w:hint="cs"/>
          <w:rtl/>
        </w:rPr>
        <w:t>بالتنسيق بين أكاديمية الويبو والمكاتب الإقليمية،</w:t>
      </w:r>
      <w:r>
        <w:rPr>
          <w:rFonts w:hint="cs"/>
          <w:rtl/>
        </w:rPr>
        <w:t xml:space="preserve"> وضع مؤشرات قياس للاستدامة الذاتية لمراكز التدريب المنشأة وبخاصة في ضوء</w:t>
      </w:r>
      <w:r w:rsidR="004062F1">
        <w:rPr>
          <w:rFonts w:hint="cs"/>
          <w:rtl/>
        </w:rPr>
        <w:t xml:space="preserve"> اندراج </w:t>
      </w:r>
      <w:r>
        <w:rPr>
          <w:rFonts w:hint="cs"/>
          <w:rtl/>
        </w:rPr>
        <w:t>هذا النش</w:t>
      </w:r>
      <w:r w:rsidR="004062F1">
        <w:rPr>
          <w:rFonts w:hint="cs"/>
          <w:rtl/>
        </w:rPr>
        <w:t>ا</w:t>
      </w:r>
      <w:r>
        <w:rPr>
          <w:rFonts w:hint="cs"/>
          <w:rtl/>
        </w:rPr>
        <w:t xml:space="preserve">ط </w:t>
      </w:r>
      <w:r w:rsidR="004062F1">
        <w:rPr>
          <w:rFonts w:hint="cs"/>
          <w:rtl/>
        </w:rPr>
        <w:t>في</w:t>
      </w:r>
      <w:r>
        <w:rPr>
          <w:rFonts w:hint="cs"/>
          <w:rtl/>
        </w:rPr>
        <w:t xml:space="preserve"> ميزانية الويبو</w:t>
      </w:r>
      <w:r w:rsidR="004062F1">
        <w:rPr>
          <w:rFonts w:hint="cs"/>
          <w:rtl/>
        </w:rPr>
        <w:t xml:space="preserve"> كجزء منتظم</w:t>
      </w:r>
      <w:r>
        <w:rPr>
          <w:rFonts w:hint="cs"/>
          <w:rtl/>
        </w:rPr>
        <w:t>.</w:t>
      </w:r>
    </w:p>
    <w:p w:rsidR="00F35F90" w:rsidRDefault="00F35F90" w:rsidP="004062F1">
      <w:pPr>
        <w:pStyle w:val="NumberedParaAR"/>
        <w:numPr>
          <w:ilvl w:val="0"/>
          <w:numId w:val="0"/>
        </w:numPr>
        <w:rPr>
          <w:rtl/>
        </w:rPr>
      </w:pPr>
      <w:r>
        <w:rPr>
          <w:rFonts w:hint="cs"/>
          <w:rtl/>
        </w:rPr>
        <w:t>وينبغي للمؤشرات أن تكون دقيقة وقابلة للقياس وقابلة للتحقيق ومحدودة زمنياً وينبغي أن تركز على كل من النواتج والنتائج.</w:t>
      </w:r>
    </w:p>
    <w:p w:rsidR="00F35F90" w:rsidRDefault="00F35F90" w:rsidP="00F35F90">
      <w:pPr>
        <w:pStyle w:val="NumberedParaAR"/>
        <w:keepNext/>
        <w:numPr>
          <w:ilvl w:val="0"/>
          <w:numId w:val="0"/>
        </w:numPr>
        <w:rPr>
          <w:b/>
          <w:bCs/>
          <w:u w:val="single"/>
          <w:rtl/>
        </w:rPr>
      </w:pPr>
      <w:r w:rsidRPr="00F35F90">
        <w:rPr>
          <w:rFonts w:hint="cs"/>
          <w:b/>
          <w:bCs/>
          <w:u w:val="single"/>
          <w:rtl/>
        </w:rPr>
        <w:t>التوصية 4</w:t>
      </w:r>
    </w:p>
    <w:p w:rsidR="00F35F90" w:rsidRDefault="00F35F90" w:rsidP="00F35F90">
      <w:pPr>
        <w:pStyle w:val="NumberedParaAR"/>
        <w:keepNext/>
        <w:numPr>
          <w:ilvl w:val="0"/>
          <w:numId w:val="0"/>
        </w:numPr>
        <w:rPr>
          <w:rtl/>
        </w:rPr>
      </w:pPr>
      <w:r>
        <w:rPr>
          <w:rFonts w:hint="cs"/>
          <w:rtl/>
        </w:rPr>
        <w:t>(خاصة بالنتيجة الرئيسية 6)</w:t>
      </w:r>
    </w:p>
    <w:p w:rsidR="00F35F90" w:rsidRDefault="00F35F90" w:rsidP="00966BF2">
      <w:pPr>
        <w:pStyle w:val="NumberedParaAR"/>
        <w:numPr>
          <w:ilvl w:val="0"/>
          <w:numId w:val="0"/>
        </w:numPr>
        <w:rPr>
          <w:rtl/>
        </w:rPr>
      </w:pPr>
      <w:r>
        <w:rPr>
          <w:rFonts w:hint="cs"/>
          <w:rtl/>
        </w:rPr>
        <w:t xml:space="preserve">دعماً لمراكز التدريب الحديثة المنشأ، ينبغي لأكاديمية الويبو أن تضع بالتنسيق مع المكتب الإقليمي المعني صيغة تقييم </w:t>
      </w:r>
      <w:r w:rsidR="00264401">
        <w:rPr>
          <w:rFonts w:hint="cs"/>
          <w:rtl/>
        </w:rPr>
        <w:t>ترسل إلى المراكز كي تكيفها</w:t>
      </w:r>
      <w:r w:rsidR="004062F1">
        <w:rPr>
          <w:rFonts w:hint="cs"/>
          <w:rtl/>
        </w:rPr>
        <w:t xml:space="preserve"> وتستخدمها في تقييم المدرٍب</w:t>
      </w:r>
      <w:r w:rsidR="00264401">
        <w:rPr>
          <w:rFonts w:hint="cs"/>
          <w:rtl/>
        </w:rPr>
        <w:t>ين المدرَبين من حيث كفاية مهاراتهم وقدرتهم على تقديم التدريب في المستقبل. إذ</w:t>
      </w:r>
      <w:r w:rsidR="00966BF2">
        <w:rPr>
          <w:rFonts w:hint="eastAsia"/>
          <w:rtl/>
        </w:rPr>
        <w:t> </w:t>
      </w:r>
      <w:r w:rsidR="00264401">
        <w:rPr>
          <w:rFonts w:hint="cs"/>
          <w:rtl/>
        </w:rPr>
        <w:t>سيضمن ذلك التزام</w:t>
      </w:r>
      <w:r w:rsidR="004062F1">
        <w:rPr>
          <w:rFonts w:hint="cs"/>
          <w:rtl/>
        </w:rPr>
        <w:t xml:space="preserve"> الويبو </w:t>
      </w:r>
      <w:r w:rsidR="00264401">
        <w:rPr>
          <w:rFonts w:hint="cs"/>
          <w:rtl/>
        </w:rPr>
        <w:t>بعد استكمال التدريب. ويمكن الاستعانة بالاستشاريين المستقلين</w:t>
      </w:r>
      <w:r w:rsidR="004062F1">
        <w:rPr>
          <w:rFonts w:hint="cs"/>
          <w:rtl/>
        </w:rPr>
        <w:t>،</w:t>
      </w:r>
      <w:r w:rsidR="00264401">
        <w:rPr>
          <w:rFonts w:hint="cs"/>
          <w:rtl/>
        </w:rPr>
        <w:t xml:space="preserve"> الذين</w:t>
      </w:r>
      <w:r w:rsidR="004062F1">
        <w:rPr>
          <w:rFonts w:hint="cs"/>
          <w:rtl/>
        </w:rPr>
        <w:t xml:space="preserve"> ساهموا في وضع المشاريع،</w:t>
      </w:r>
      <w:r w:rsidR="00264401">
        <w:rPr>
          <w:rFonts w:hint="cs"/>
          <w:rtl/>
        </w:rPr>
        <w:t xml:space="preserve"> في إجراء تقييمات مستقلة للمدرَبين بغية التأكد من أن وحدات التدريب ونموذج التدريب المعتمدين يحققان الأهداف من حيث بناء موارد بشرية قادرة على استحداث برامج تدريب على الملكية الفكرية وتقديمها.</w:t>
      </w:r>
    </w:p>
    <w:p w:rsidR="00264401" w:rsidRDefault="00264401" w:rsidP="004062F1">
      <w:pPr>
        <w:pStyle w:val="NumberedParaAR"/>
        <w:numPr>
          <w:ilvl w:val="0"/>
          <w:numId w:val="0"/>
        </w:numPr>
        <w:rPr>
          <w:rtl/>
        </w:rPr>
      </w:pPr>
      <w:r>
        <w:rPr>
          <w:rFonts w:hint="cs"/>
          <w:rtl/>
        </w:rPr>
        <w:t>وإضافة إلى ذلك، ينبغي لتصميم المشا</w:t>
      </w:r>
      <w:r w:rsidR="004062F1">
        <w:rPr>
          <w:rFonts w:hint="cs"/>
          <w:rtl/>
        </w:rPr>
        <w:t>ريع المقبلة أن تتضمن خطة عن سبل</w:t>
      </w:r>
      <w:r>
        <w:rPr>
          <w:rFonts w:hint="cs"/>
          <w:rtl/>
        </w:rPr>
        <w:t xml:space="preserve"> استخدام المدرِبين المدرَبين مهاراتهم، سواء أكان ذلك على الصعيد القطري أم الدولي، لضمان </w:t>
      </w:r>
      <w:r w:rsidR="004062F1">
        <w:rPr>
          <w:rFonts w:hint="cs"/>
          <w:rtl/>
        </w:rPr>
        <w:t xml:space="preserve">جدوى </w:t>
      </w:r>
      <w:r>
        <w:rPr>
          <w:rFonts w:hint="cs"/>
          <w:rtl/>
        </w:rPr>
        <w:t>التدريب</w:t>
      </w:r>
      <w:r w:rsidR="004062F1">
        <w:rPr>
          <w:rFonts w:hint="cs"/>
          <w:rtl/>
        </w:rPr>
        <w:t xml:space="preserve"> وفائدته واستخدامه</w:t>
      </w:r>
      <w:r>
        <w:rPr>
          <w:rFonts w:hint="cs"/>
          <w:rtl/>
        </w:rPr>
        <w:t>. ويتطلب ذلك العنصر من تصميم المشروع إسهام المكاتب الإقليمية للويبو بآرائها نظراً إلى فهمها الواسع للسياقات والفرص الوطنية والإقليمية والدولية.</w:t>
      </w:r>
    </w:p>
    <w:p w:rsidR="00F35F90" w:rsidRDefault="00F35F90" w:rsidP="00F35F90">
      <w:pPr>
        <w:pStyle w:val="NumberedParaAR"/>
        <w:keepNext/>
        <w:numPr>
          <w:ilvl w:val="0"/>
          <w:numId w:val="0"/>
        </w:numPr>
        <w:rPr>
          <w:b/>
          <w:bCs/>
          <w:u w:val="single"/>
          <w:rtl/>
        </w:rPr>
      </w:pPr>
      <w:r w:rsidRPr="00F35F90">
        <w:rPr>
          <w:rFonts w:hint="cs"/>
          <w:b/>
          <w:bCs/>
          <w:u w:val="single"/>
          <w:rtl/>
        </w:rPr>
        <w:t>التوصية 5</w:t>
      </w:r>
    </w:p>
    <w:p w:rsidR="00F35F90" w:rsidRDefault="00F35F90" w:rsidP="00F35F90">
      <w:pPr>
        <w:pStyle w:val="NumberedParaAR"/>
        <w:keepNext/>
        <w:numPr>
          <w:ilvl w:val="0"/>
          <w:numId w:val="0"/>
        </w:numPr>
        <w:rPr>
          <w:rtl/>
        </w:rPr>
      </w:pPr>
      <w:r>
        <w:rPr>
          <w:rFonts w:hint="cs"/>
          <w:rtl/>
        </w:rPr>
        <w:t>(خاصة بالنتيجة الرئيسية 8)</w:t>
      </w:r>
    </w:p>
    <w:p w:rsidR="00F35F90" w:rsidRDefault="00264401" w:rsidP="004062F1">
      <w:pPr>
        <w:pStyle w:val="NumberedParaAR"/>
        <w:numPr>
          <w:ilvl w:val="0"/>
          <w:numId w:val="0"/>
        </w:numPr>
        <w:rPr>
          <w:rtl/>
        </w:rPr>
      </w:pPr>
      <w:r>
        <w:rPr>
          <w:rFonts w:hint="cs"/>
          <w:rtl/>
        </w:rPr>
        <w:t xml:space="preserve">ينبغي للويبو أن تطلق مشروع صفحة الويكي رسمياً وأن تروجه </w:t>
      </w:r>
      <w:r w:rsidR="004062F1">
        <w:rPr>
          <w:rFonts w:hint="cs"/>
          <w:rtl/>
        </w:rPr>
        <w:t>في صفوف</w:t>
      </w:r>
      <w:r>
        <w:rPr>
          <w:rFonts w:hint="cs"/>
          <w:rtl/>
        </w:rPr>
        <w:t xml:space="preserve"> الدول الأعضاء.</w:t>
      </w:r>
    </w:p>
    <w:p w:rsidR="00264401" w:rsidRDefault="00264401" w:rsidP="004062F1">
      <w:pPr>
        <w:pStyle w:val="NumberedParaAR"/>
        <w:numPr>
          <w:ilvl w:val="0"/>
          <w:numId w:val="0"/>
        </w:numPr>
        <w:rPr>
          <w:rtl/>
        </w:rPr>
      </w:pPr>
      <w:r>
        <w:rPr>
          <w:rFonts w:hint="cs"/>
          <w:rtl/>
        </w:rPr>
        <w:t xml:space="preserve">وينبغي تحديد مشرف لصفحة الويكي كي يزكي ويراقب المناقشات والإسهامات </w:t>
      </w:r>
      <w:r w:rsidR="004062F1">
        <w:rPr>
          <w:rFonts w:hint="cs"/>
          <w:rtl/>
        </w:rPr>
        <w:t>المتعلقة</w:t>
      </w:r>
      <w:r>
        <w:rPr>
          <w:rFonts w:hint="cs"/>
          <w:rtl/>
        </w:rPr>
        <w:t xml:space="preserve"> بإنشاء مؤسسات تدريب على الملكية الفكرية و</w:t>
      </w:r>
      <w:r w:rsidR="004062F1">
        <w:rPr>
          <w:rFonts w:hint="cs"/>
          <w:rtl/>
        </w:rPr>
        <w:t>ما يقدَّم فيها من تدريب.</w:t>
      </w:r>
    </w:p>
    <w:p w:rsidR="00264401" w:rsidRPr="00264401" w:rsidRDefault="00264401" w:rsidP="00264401">
      <w:pPr>
        <w:pStyle w:val="NumberedParaAR"/>
        <w:keepNext/>
        <w:numPr>
          <w:ilvl w:val="0"/>
          <w:numId w:val="0"/>
        </w:numPr>
        <w:rPr>
          <w:b/>
          <w:bCs/>
          <w:u w:val="single"/>
          <w:rtl/>
        </w:rPr>
      </w:pPr>
      <w:r>
        <w:rPr>
          <w:rFonts w:hint="cs"/>
          <w:b/>
          <w:bCs/>
          <w:u w:val="single"/>
          <w:rtl/>
        </w:rPr>
        <w:t>التوصية 6</w:t>
      </w:r>
    </w:p>
    <w:p w:rsidR="00264401" w:rsidRDefault="00264401" w:rsidP="00264401">
      <w:pPr>
        <w:pStyle w:val="NumberedParaAR"/>
        <w:keepNext/>
        <w:numPr>
          <w:ilvl w:val="0"/>
          <w:numId w:val="0"/>
        </w:numPr>
        <w:rPr>
          <w:rtl/>
        </w:rPr>
      </w:pPr>
      <w:r>
        <w:rPr>
          <w:rFonts w:hint="cs"/>
          <w:rtl/>
        </w:rPr>
        <w:t>(خاصة بالنتيجة الرئيسية 9)</w:t>
      </w:r>
    </w:p>
    <w:p w:rsidR="00FC354D" w:rsidRDefault="00FC354D" w:rsidP="0027382B">
      <w:pPr>
        <w:pStyle w:val="NumberedParaAR"/>
        <w:numPr>
          <w:ilvl w:val="0"/>
          <w:numId w:val="0"/>
        </w:numPr>
        <w:rPr>
          <w:rtl/>
        </w:rPr>
      </w:pPr>
      <w:r>
        <w:rPr>
          <w:rFonts w:hint="cs"/>
          <w:rtl/>
        </w:rPr>
        <w:t xml:space="preserve">ينبغي لفريق المشروع أن </w:t>
      </w:r>
      <w:r w:rsidR="0027382B">
        <w:rPr>
          <w:rFonts w:hint="cs"/>
          <w:rtl/>
        </w:rPr>
        <w:t xml:space="preserve">ينتهي </w:t>
      </w:r>
      <w:r>
        <w:rPr>
          <w:rFonts w:hint="cs"/>
          <w:rtl/>
        </w:rPr>
        <w:t>بسرعة وبالتنسيق الوثيق مع المكاتب الإقليمية م</w:t>
      </w:r>
      <w:r w:rsidR="0027382B">
        <w:rPr>
          <w:rFonts w:hint="cs"/>
          <w:rtl/>
        </w:rPr>
        <w:t>ن إعداد م</w:t>
      </w:r>
      <w:r>
        <w:rPr>
          <w:rFonts w:hint="cs"/>
          <w:rtl/>
        </w:rPr>
        <w:t xml:space="preserve">جموعة المبادئ التوجيهية </w:t>
      </w:r>
      <w:r w:rsidR="0027382B">
        <w:rPr>
          <w:rFonts w:hint="cs"/>
          <w:rtl/>
        </w:rPr>
        <w:t xml:space="preserve">الجاري في الوقت الراهن </w:t>
      </w:r>
      <w:r>
        <w:rPr>
          <w:rFonts w:hint="cs"/>
          <w:rtl/>
        </w:rPr>
        <w:t>بشأن المسارات اللازمة لإنشاء مركز تدريب مستدام على الملكية الفكرية.</w:t>
      </w:r>
      <w:r w:rsidR="00916C82">
        <w:rPr>
          <w:rFonts w:hint="cs"/>
          <w:rtl/>
        </w:rPr>
        <w:t xml:space="preserve"> </w:t>
      </w:r>
      <w:r>
        <w:rPr>
          <w:rFonts w:hint="cs"/>
          <w:rtl/>
        </w:rPr>
        <w:t>وينبغي استحداث المبادئ التوجيهية بالتزامن مع خطة نشر لها وترويجها في صفوف الدول الأعضاء.</w:t>
      </w:r>
    </w:p>
    <w:p w:rsidR="00FC354D" w:rsidRDefault="00FC354D" w:rsidP="00916C82">
      <w:pPr>
        <w:pStyle w:val="NumberedParaAR"/>
        <w:keepNext/>
        <w:numPr>
          <w:ilvl w:val="0"/>
          <w:numId w:val="0"/>
        </w:numPr>
        <w:rPr>
          <w:b/>
          <w:bCs/>
          <w:rtl/>
        </w:rPr>
      </w:pPr>
      <w:r w:rsidRPr="00FC354D">
        <w:rPr>
          <w:rFonts w:hint="cs"/>
          <w:b/>
          <w:bCs/>
          <w:rtl/>
        </w:rPr>
        <w:lastRenderedPageBreak/>
        <w:t>المختصرات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93"/>
        <w:gridCol w:w="6845"/>
      </w:tblGrid>
      <w:tr w:rsidR="004062F1" w:rsidRPr="004062F1" w:rsidTr="004062F1">
        <w:tc>
          <w:tcPr>
            <w:tcW w:w="882" w:type="dxa"/>
          </w:tcPr>
          <w:p w:rsidR="004062F1" w:rsidRPr="004062F1" w:rsidRDefault="004062F1" w:rsidP="00FC354D">
            <w:pPr>
              <w:pStyle w:val="ListParagraph"/>
              <w:ind w:left="0"/>
              <w:rPr>
                <w:rFonts w:ascii="Arabic Typesetting" w:hAnsi="Arabic Typesetting" w:cs="Arabic Typesetting"/>
                <w:sz w:val="36"/>
                <w:szCs w:val="36"/>
              </w:rPr>
            </w:pPr>
            <w:r w:rsidRPr="004062F1">
              <w:rPr>
                <w:rFonts w:ascii="Arabic Typesetting" w:hAnsi="Arabic Typesetting" w:cs="Arabic Typesetting"/>
                <w:sz w:val="36"/>
                <w:szCs w:val="36"/>
              </w:rPr>
              <w:t>CDIP</w:t>
            </w:r>
          </w:p>
        </w:tc>
        <w:tc>
          <w:tcPr>
            <w:tcW w:w="1093" w:type="dxa"/>
          </w:tcPr>
          <w:p w:rsidR="004062F1" w:rsidRPr="004062F1" w:rsidRDefault="004062F1" w:rsidP="00FC354D">
            <w:pPr>
              <w:pStyle w:val="ListParagraph"/>
              <w:bidi/>
              <w:ind w:left="0"/>
              <w:rPr>
                <w:rFonts w:ascii="Arabic Typesetting" w:hAnsi="Arabic Typesetting" w:cs="Arabic Typesetting"/>
                <w:sz w:val="36"/>
                <w:szCs w:val="36"/>
                <w:rtl/>
              </w:rPr>
            </w:pPr>
          </w:p>
        </w:tc>
        <w:tc>
          <w:tcPr>
            <w:tcW w:w="6845" w:type="dxa"/>
          </w:tcPr>
          <w:p w:rsidR="004062F1" w:rsidRPr="004062F1" w:rsidRDefault="004062F1" w:rsidP="00FC354D">
            <w:pPr>
              <w:pStyle w:val="ListParagraph"/>
              <w:bidi/>
              <w:ind w:left="0"/>
              <w:rPr>
                <w:rFonts w:ascii="Arabic Typesetting" w:hAnsi="Arabic Typesetting" w:cs="Arabic Typesetting"/>
                <w:sz w:val="36"/>
                <w:szCs w:val="36"/>
              </w:rPr>
            </w:pPr>
            <w:r w:rsidRPr="004062F1">
              <w:rPr>
                <w:rFonts w:ascii="Arabic Typesetting" w:hAnsi="Arabic Typesetting" w:cs="Arabic Typesetting"/>
                <w:sz w:val="36"/>
                <w:szCs w:val="36"/>
                <w:rtl/>
              </w:rPr>
              <w:t>اللجنة المعنية بالتنمية والملكية الفكرية</w:t>
            </w:r>
          </w:p>
        </w:tc>
      </w:tr>
      <w:tr w:rsidR="004062F1" w:rsidRPr="004062F1" w:rsidTr="004062F1">
        <w:tc>
          <w:tcPr>
            <w:tcW w:w="882" w:type="dxa"/>
          </w:tcPr>
          <w:p w:rsidR="004062F1" w:rsidRPr="004062F1" w:rsidRDefault="004062F1" w:rsidP="00FC354D">
            <w:pPr>
              <w:pStyle w:val="ListParagraph"/>
              <w:ind w:left="0"/>
              <w:rPr>
                <w:rFonts w:ascii="Arabic Typesetting" w:hAnsi="Arabic Typesetting" w:cs="Arabic Typesetting"/>
                <w:sz w:val="36"/>
                <w:szCs w:val="36"/>
              </w:rPr>
            </w:pPr>
            <w:r w:rsidRPr="004062F1">
              <w:rPr>
                <w:rFonts w:ascii="Arabic Typesetting" w:hAnsi="Arabic Typesetting" w:cs="Arabic Typesetting"/>
                <w:sz w:val="36"/>
                <w:szCs w:val="36"/>
              </w:rPr>
              <w:t>DA</w:t>
            </w:r>
          </w:p>
        </w:tc>
        <w:tc>
          <w:tcPr>
            <w:tcW w:w="1093" w:type="dxa"/>
          </w:tcPr>
          <w:p w:rsidR="004062F1" w:rsidRPr="004062F1" w:rsidRDefault="004062F1" w:rsidP="00FC354D">
            <w:pPr>
              <w:pStyle w:val="ListParagraph"/>
              <w:bidi/>
              <w:ind w:left="0"/>
              <w:rPr>
                <w:rFonts w:ascii="Arabic Typesetting" w:hAnsi="Arabic Typesetting" w:cs="Arabic Typesetting"/>
                <w:sz w:val="36"/>
                <w:szCs w:val="36"/>
                <w:rtl/>
              </w:rPr>
            </w:pPr>
          </w:p>
        </w:tc>
        <w:tc>
          <w:tcPr>
            <w:tcW w:w="6845" w:type="dxa"/>
          </w:tcPr>
          <w:p w:rsidR="004062F1" w:rsidRPr="004062F1" w:rsidRDefault="004062F1" w:rsidP="00FC354D">
            <w:pPr>
              <w:pStyle w:val="ListParagraph"/>
              <w:bidi/>
              <w:ind w:left="0"/>
              <w:rPr>
                <w:rFonts w:ascii="Arabic Typesetting" w:hAnsi="Arabic Typesetting" w:cs="Arabic Typesetting"/>
                <w:b/>
                <w:sz w:val="36"/>
                <w:szCs w:val="36"/>
              </w:rPr>
            </w:pPr>
            <w:r w:rsidRPr="004062F1">
              <w:rPr>
                <w:rFonts w:ascii="Arabic Typesetting" w:hAnsi="Arabic Typesetting" w:cs="Arabic Typesetting"/>
                <w:sz w:val="36"/>
                <w:szCs w:val="36"/>
                <w:rtl/>
              </w:rPr>
              <w:t>جدول أعمال التنمية</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r w:rsidRPr="004062F1">
              <w:rPr>
                <w:rFonts w:ascii="Arabic Typesetting" w:hAnsi="Arabic Typesetting" w:cs="Arabic Typesetting"/>
                <w:sz w:val="36"/>
                <w:szCs w:val="36"/>
              </w:rPr>
              <w:t>IP</w:t>
            </w:r>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Pr>
            </w:pPr>
            <w:r w:rsidRPr="004062F1">
              <w:rPr>
                <w:rFonts w:ascii="Arabic Typesetting" w:hAnsi="Arabic Typesetting" w:cs="Arabic Typesetting"/>
                <w:sz w:val="36"/>
                <w:szCs w:val="36"/>
                <w:rtl/>
              </w:rPr>
              <w:t>الملكية الفكرية</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r w:rsidRPr="004062F1">
              <w:rPr>
                <w:rFonts w:ascii="Arabic Typesetting" w:hAnsi="Arabic Typesetting" w:cs="Arabic Typesetting"/>
                <w:sz w:val="36"/>
                <w:szCs w:val="36"/>
              </w:rPr>
              <w:t>LAC</w:t>
            </w:r>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Pr>
            </w:pPr>
            <w:r w:rsidRPr="004062F1">
              <w:rPr>
                <w:rFonts w:ascii="Arabic Typesetting" w:hAnsi="Arabic Typesetting" w:cs="Arabic Typesetting"/>
                <w:sz w:val="36"/>
                <w:szCs w:val="36"/>
                <w:rtl/>
              </w:rPr>
              <w:t>أمريكا اللاتينية والكاريبي</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r w:rsidRPr="004062F1">
              <w:rPr>
                <w:rFonts w:ascii="Arabic Typesetting" w:hAnsi="Arabic Typesetting" w:cs="Arabic Typesetting"/>
                <w:sz w:val="36"/>
                <w:szCs w:val="36"/>
              </w:rPr>
              <w:t>LDC</w:t>
            </w:r>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Pr>
            </w:pPr>
            <w:r w:rsidRPr="004062F1">
              <w:rPr>
                <w:rFonts w:ascii="Arabic Typesetting" w:hAnsi="Arabic Typesetting" w:cs="Arabic Typesetting"/>
                <w:sz w:val="36"/>
                <w:szCs w:val="36"/>
                <w:rtl/>
              </w:rPr>
              <w:t>أقل البلدان نمواً</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proofErr w:type="spellStart"/>
            <w:r w:rsidRPr="004062F1">
              <w:rPr>
                <w:rFonts w:ascii="Arabic Typesetting" w:hAnsi="Arabic Typesetting" w:cs="Arabic Typesetting"/>
                <w:sz w:val="36"/>
                <w:szCs w:val="36"/>
              </w:rPr>
              <w:t>ToR</w:t>
            </w:r>
            <w:proofErr w:type="spellEnd"/>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Pr>
            </w:pPr>
            <w:r w:rsidRPr="004062F1">
              <w:rPr>
                <w:rFonts w:ascii="Arabic Typesetting" w:hAnsi="Arabic Typesetting" w:cs="Arabic Typesetting"/>
                <w:sz w:val="36"/>
                <w:szCs w:val="36"/>
                <w:rtl/>
              </w:rPr>
              <w:t>الاختصاصات</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proofErr w:type="spellStart"/>
            <w:r w:rsidRPr="004062F1">
              <w:rPr>
                <w:rFonts w:ascii="Arabic Typesetting" w:hAnsi="Arabic Typesetting" w:cs="Arabic Typesetting"/>
                <w:sz w:val="36"/>
                <w:szCs w:val="36"/>
              </w:rPr>
              <w:t>ToT</w:t>
            </w:r>
            <w:proofErr w:type="spellEnd"/>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Pr>
            </w:pPr>
            <w:r w:rsidRPr="004062F1">
              <w:rPr>
                <w:rFonts w:ascii="Arabic Typesetting" w:hAnsi="Arabic Typesetting" w:cs="Arabic Typesetting"/>
                <w:sz w:val="36"/>
                <w:szCs w:val="36"/>
                <w:rtl/>
              </w:rPr>
              <w:t>تدريب المدربين</w:t>
            </w:r>
          </w:p>
        </w:tc>
      </w:tr>
      <w:tr w:rsidR="004062F1" w:rsidRPr="004062F1" w:rsidTr="004062F1">
        <w:tc>
          <w:tcPr>
            <w:tcW w:w="882" w:type="dxa"/>
          </w:tcPr>
          <w:p w:rsidR="004062F1" w:rsidRPr="004062F1" w:rsidRDefault="004062F1" w:rsidP="00FC354D">
            <w:pPr>
              <w:rPr>
                <w:rFonts w:ascii="Arabic Typesetting" w:hAnsi="Arabic Typesetting" w:cs="Arabic Typesetting"/>
                <w:sz w:val="36"/>
                <w:szCs w:val="36"/>
              </w:rPr>
            </w:pPr>
            <w:r w:rsidRPr="004062F1">
              <w:rPr>
                <w:rFonts w:ascii="Arabic Typesetting" w:hAnsi="Arabic Typesetting" w:cs="Arabic Typesetting"/>
                <w:sz w:val="36"/>
                <w:szCs w:val="36"/>
              </w:rPr>
              <w:t>WIPO</w:t>
            </w:r>
          </w:p>
        </w:tc>
        <w:tc>
          <w:tcPr>
            <w:tcW w:w="1093" w:type="dxa"/>
          </w:tcPr>
          <w:p w:rsidR="004062F1" w:rsidRPr="004062F1" w:rsidRDefault="004062F1" w:rsidP="00FC354D">
            <w:pPr>
              <w:bidi/>
              <w:rPr>
                <w:rFonts w:ascii="Arabic Typesetting" w:hAnsi="Arabic Typesetting" w:cs="Arabic Typesetting"/>
                <w:sz w:val="36"/>
                <w:szCs w:val="36"/>
                <w:rtl/>
              </w:rPr>
            </w:pPr>
          </w:p>
        </w:tc>
        <w:tc>
          <w:tcPr>
            <w:tcW w:w="6845" w:type="dxa"/>
          </w:tcPr>
          <w:p w:rsidR="004062F1" w:rsidRPr="004062F1" w:rsidRDefault="004062F1" w:rsidP="00FC354D">
            <w:pPr>
              <w:bidi/>
              <w:rPr>
                <w:rFonts w:ascii="Arabic Typesetting" w:hAnsi="Arabic Typesetting" w:cs="Arabic Typesetting"/>
                <w:sz w:val="36"/>
                <w:szCs w:val="36"/>
                <w:rtl/>
              </w:rPr>
            </w:pPr>
            <w:r w:rsidRPr="004062F1">
              <w:rPr>
                <w:rFonts w:ascii="Arabic Typesetting" w:hAnsi="Arabic Typesetting" w:cs="Arabic Typesetting"/>
                <w:sz w:val="36"/>
                <w:szCs w:val="36"/>
                <w:rtl/>
              </w:rPr>
              <w:t>المنظمة العالمية للملكية الفكرية</w:t>
            </w:r>
          </w:p>
        </w:tc>
      </w:tr>
    </w:tbl>
    <w:p w:rsidR="00FC354D" w:rsidRPr="00FC354D" w:rsidRDefault="00FC354D" w:rsidP="00FC354D">
      <w:pPr>
        <w:pStyle w:val="EndofDocumentAR"/>
        <w:rPr>
          <w:rtl/>
        </w:rPr>
      </w:pPr>
      <w:r>
        <w:rPr>
          <w:rFonts w:hint="cs"/>
          <w:rtl/>
        </w:rPr>
        <w:t>[نهاية المرفق والوثيقة]</w:t>
      </w:r>
    </w:p>
    <w:sectPr w:rsidR="00FC354D" w:rsidRPr="00FC354D" w:rsidSect="009E0A1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61" w:rsidRDefault="00D14D61">
      <w:r>
        <w:separator/>
      </w:r>
    </w:p>
  </w:endnote>
  <w:endnote w:type="continuationSeparator" w:id="0">
    <w:p w:rsidR="00D14D61" w:rsidRDefault="00D1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61" w:rsidRDefault="00D14D61" w:rsidP="009622BF">
      <w:pPr>
        <w:bidi/>
      </w:pPr>
      <w:bookmarkStart w:id="0" w:name="OLE_LINK1"/>
      <w:bookmarkStart w:id="1" w:name="OLE_LINK2"/>
      <w:r>
        <w:separator/>
      </w:r>
      <w:bookmarkEnd w:id="0"/>
      <w:bookmarkEnd w:id="1"/>
    </w:p>
  </w:footnote>
  <w:footnote w:type="continuationSeparator" w:id="0">
    <w:p w:rsidR="00D14D61" w:rsidRDefault="00D14D6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A375CD">
      <w:t>4</w:t>
    </w:r>
    <w:r w:rsidR="00B940B5">
      <w:t>/4</w:t>
    </w:r>
  </w:p>
  <w:p w:rsidR="001C130D" w:rsidRDefault="001C130D" w:rsidP="00D61541">
    <w:r>
      <w:fldChar w:fldCharType="begin"/>
    </w:r>
    <w:r>
      <w:instrText xml:space="preserve"> PAGE  \* MERGEFORMAT </w:instrText>
    </w:r>
    <w:r>
      <w:fldChar w:fldCharType="separate"/>
    </w:r>
    <w:r w:rsidR="00A24E9A">
      <w:rPr>
        <w:noProof/>
      </w:rPr>
      <w:t>3</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9A" w:rsidRDefault="00A24E9A" w:rsidP="005804FC">
    <w:pPr>
      <w:rPr>
        <w:rtl/>
      </w:rPr>
    </w:pPr>
    <w:r>
      <w:rPr>
        <w:lang w:val="fr-CH"/>
      </w:rPr>
      <w:t>CDIP</w:t>
    </w:r>
    <w:r>
      <w:t>/14/4</w:t>
    </w:r>
  </w:p>
  <w:p w:rsidR="00A24E9A" w:rsidRDefault="00A24E9A" w:rsidP="005804FC">
    <w:r>
      <w:t>Annex</w:t>
    </w:r>
  </w:p>
  <w:p w:rsidR="00A24E9A" w:rsidRDefault="00A24E9A" w:rsidP="00A24E9A">
    <w:r>
      <w:fldChar w:fldCharType="begin"/>
    </w:r>
    <w:r>
      <w:instrText xml:space="preserve"> PAGE  \* MERGEFORMAT </w:instrText>
    </w:r>
    <w:r>
      <w:fldChar w:fldCharType="separate"/>
    </w:r>
    <w:r w:rsidR="009D4625">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9A" w:rsidRDefault="00A24E9A" w:rsidP="00A24E9A">
    <w:pPr>
      <w:rPr>
        <w:rtl/>
      </w:rPr>
    </w:pPr>
    <w:r>
      <w:rPr>
        <w:lang w:val="fr-CH"/>
      </w:rPr>
      <w:t>CDIP</w:t>
    </w:r>
    <w:r>
      <w:t>/14/4</w:t>
    </w:r>
  </w:p>
  <w:p w:rsidR="00A24E9A" w:rsidRDefault="00A24E9A" w:rsidP="00A24E9A">
    <w:pPr>
      <w:rPr>
        <w:rtl/>
      </w:rPr>
    </w:pPr>
    <w:r>
      <w:t>ANNEX</w:t>
    </w:r>
  </w:p>
  <w:p w:rsidR="000A7C8F" w:rsidRPr="00A24E9A" w:rsidRDefault="00A24E9A" w:rsidP="00A24E9A">
    <w:pPr>
      <w:bidi/>
      <w:jc w:val="right"/>
      <w:rPr>
        <w:rFonts w:ascii="Arabic Typesetting" w:hAnsi="Arabic Typesetting" w:cs="Arabic Typesetting"/>
        <w:sz w:val="36"/>
        <w:szCs w:val="36"/>
      </w:rPr>
    </w:pPr>
    <w:r w:rsidRPr="00A24E9A">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AC9"/>
    <w:multiLevelType w:val="hybridMultilevel"/>
    <w:tmpl w:val="BF501044"/>
    <w:lvl w:ilvl="0" w:tplc="67AA3C12">
      <w:start w:val="5"/>
      <w:numFmt w:val="bullet"/>
      <w:lvlText w:val="-"/>
      <w:lvlJc w:val="left"/>
      <w:pPr>
        <w:ind w:left="720" w:hanging="360"/>
      </w:pPr>
      <w:rPr>
        <w:rFonts w:ascii="Calibri" w:eastAsiaTheme="minorHAnsi" w:hAnsi="Calibri" w:cstheme="minorBidi" w:hint="default"/>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AE103FBC"/>
    <w:lvl w:ilvl="0" w:tplc="99E21DE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B6E3A"/>
    <w:multiLevelType w:val="hybridMultilevel"/>
    <w:tmpl w:val="D0B8B6A0"/>
    <w:lvl w:ilvl="0" w:tplc="7A58ED20">
      <w:start w:val="5"/>
      <w:numFmt w:val="bullet"/>
      <w:lvlText w:val="-"/>
      <w:lvlJc w:val="left"/>
      <w:pPr>
        <w:ind w:left="720" w:hanging="360"/>
      </w:pPr>
      <w:rPr>
        <w:rFonts w:ascii="Calibri" w:eastAsiaTheme="minorHAnsi" w:hAnsi="Calibri"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871207"/>
    <w:multiLevelType w:val="hybridMultilevel"/>
    <w:tmpl w:val="F3848F5C"/>
    <w:lvl w:ilvl="0" w:tplc="67AA3C12">
      <w:start w:val="5"/>
      <w:numFmt w:val="bullet"/>
      <w:lvlText w:val="-"/>
      <w:lvlJc w:val="left"/>
      <w:pPr>
        <w:ind w:left="720" w:hanging="360"/>
      </w:pPr>
      <w:rPr>
        <w:rFonts w:ascii="Calibri" w:eastAsiaTheme="minorHAnsi" w:hAnsi="Calibri" w:cstheme="minorBidi" w:hint="default"/>
        <w:sz w:val="24"/>
        <w:szCs w:val="24"/>
        <w:lang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A"/>
    <w:rsid w:val="00002CBE"/>
    <w:rsid w:val="00003232"/>
    <w:rsid w:val="000033DA"/>
    <w:rsid w:val="0000579F"/>
    <w:rsid w:val="000074D1"/>
    <w:rsid w:val="000076BD"/>
    <w:rsid w:val="00010481"/>
    <w:rsid w:val="00010671"/>
    <w:rsid w:val="000114E2"/>
    <w:rsid w:val="00013347"/>
    <w:rsid w:val="00013D73"/>
    <w:rsid w:val="000142E1"/>
    <w:rsid w:val="0001461E"/>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5F4"/>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8F"/>
    <w:rsid w:val="000B0BB4"/>
    <w:rsid w:val="000B1045"/>
    <w:rsid w:val="000B1BAE"/>
    <w:rsid w:val="000B1C25"/>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D8"/>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179"/>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01"/>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DB2"/>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401"/>
    <w:rsid w:val="0026520E"/>
    <w:rsid w:val="00266486"/>
    <w:rsid w:val="00266B0A"/>
    <w:rsid w:val="00266C61"/>
    <w:rsid w:val="0026749A"/>
    <w:rsid w:val="00270E72"/>
    <w:rsid w:val="0027167E"/>
    <w:rsid w:val="00271F24"/>
    <w:rsid w:val="00272503"/>
    <w:rsid w:val="00272F3A"/>
    <w:rsid w:val="002736FD"/>
    <w:rsid w:val="0027382B"/>
    <w:rsid w:val="00273941"/>
    <w:rsid w:val="00273D91"/>
    <w:rsid w:val="002743E2"/>
    <w:rsid w:val="0027447E"/>
    <w:rsid w:val="0027520A"/>
    <w:rsid w:val="00275419"/>
    <w:rsid w:val="00275A2D"/>
    <w:rsid w:val="00276279"/>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26"/>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70C"/>
    <w:rsid w:val="002E7A2A"/>
    <w:rsid w:val="002E7F16"/>
    <w:rsid w:val="002F1425"/>
    <w:rsid w:val="002F2EC8"/>
    <w:rsid w:val="002F4CE2"/>
    <w:rsid w:val="002F5F6A"/>
    <w:rsid w:val="002F60A4"/>
    <w:rsid w:val="002F6B0C"/>
    <w:rsid w:val="002F77FC"/>
    <w:rsid w:val="003004A6"/>
    <w:rsid w:val="0030129C"/>
    <w:rsid w:val="003013E2"/>
    <w:rsid w:val="00301F87"/>
    <w:rsid w:val="00301FE4"/>
    <w:rsid w:val="00303E3A"/>
    <w:rsid w:val="00305417"/>
    <w:rsid w:val="0030564B"/>
    <w:rsid w:val="00306127"/>
    <w:rsid w:val="0030641B"/>
    <w:rsid w:val="003067C8"/>
    <w:rsid w:val="00311453"/>
    <w:rsid w:val="003114C9"/>
    <w:rsid w:val="0031229D"/>
    <w:rsid w:val="00314E12"/>
    <w:rsid w:val="003166A5"/>
    <w:rsid w:val="00316C8C"/>
    <w:rsid w:val="003174C2"/>
    <w:rsid w:val="00317CE4"/>
    <w:rsid w:val="00317D26"/>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4BA"/>
    <w:rsid w:val="003637B6"/>
    <w:rsid w:val="00363F89"/>
    <w:rsid w:val="00363FB0"/>
    <w:rsid w:val="003646D6"/>
    <w:rsid w:val="00364FC6"/>
    <w:rsid w:val="0036541D"/>
    <w:rsid w:val="00367997"/>
    <w:rsid w:val="00370504"/>
    <w:rsid w:val="00371814"/>
    <w:rsid w:val="00372BAE"/>
    <w:rsid w:val="00372EE9"/>
    <w:rsid w:val="00373F07"/>
    <w:rsid w:val="00374A60"/>
    <w:rsid w:val="00375181"/>
    <w:rsid w:val="003764C0"/>
    <w:rsid w:val="003767A4"/>
    <w:rsid w:val="003774F6"/>
    <w:rsid w:val="003779B7"/>
    <w:rsid w:val="003818B3"/>
    <w:rsid w:val="0038356A"/>
    <w:rsid w:val="0038382F"/>
    <w:rsid w:val="00383AE4"/>
    <w:rsid w:val="0038443F"/>
    <w:rsid w:val="00385427"/>
    <w:rsid w:val="00387542"/>
    <w:rsid w:val="00387C6B"/>
    <w:rsid w:val="00390F67"/>
    <w:rsid w:val="00390FC0"/>
    <w:rsid w:val="003911B2"/>
    <w:rsid w:val="00391AFE"/>
    <w:rsid w:val="00392705"/>
    <w:rsid w:val="0039283A"/>
    <w:rsid w:val="00393A79"/>
    <w:rsid w:val="0039419C"/>
    <w:rsid w:val="00394DCA"/>
    <w:rsid w:val="00395987"/>
    <w:rsid w:val="00396375"/>
    <w:rsid w:val="00396801"/>
    <w:rsid w:val="00396E82"/>
    <w:rsid w:val="003A07FF"/>
    <w:rsid w:val="003A146E"/>
    <w:rsid w:val="003A26CD"/>
    <w:rsid w:val="003A37F7"/>
    <w:rsid w:val="003A44FC"/>
    <w:rsid w:val="003A54E9"/>
    <w:rsid w:val="003A5E7C"/>
    <w:rsid w:val="003A78C7"/>
    <w:rsid w:val="003A7E9A"/>
    <w:rsid w:val="003B15FE"/>
    <w:rsid w:val="003B1C41"/>
    <w:rsid w:val="003B46AD"/>
    <w:rsid w:val="003B5C96"/>
    <w:rsid w:val="003B65FB"/>
    <w:rsid w:val="003B6A26"/>
    <w:rsid w:val="003C0D75"/>
    <w:rsid w:val="003C218D"/>
    <w:rsid w:val="003C3D89"/>
    <w:rsid w:val="003C3EE2"/>
    <w:rsid w:val="003C4224"/>
    <w:rsid w:val="003C426D"/>
    <w:rsid w:val="003C4877"/>
    <w:rsid w:val="003C4B42"/>
    <w:rsid w:val="003C4E91"/>
    <w:rsid w:val="003C5394"/>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2F1"/>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016"/>
    <w:rsid w:val="00497356"/>
    <w:rsid w:val="004A076F"/>
    <w:rsid w:val="004A1DC1"/>
    <w:rsid w:val="004A31A2"/>
    <w:rsid w:val="004A48A7"/>
    <w:rsid w:val="004A655D"/>
    <w:rsid w:val="004B01B1"/>
    <w:rsid w:val="004B08D1"/>
    <w:rsid w:val="004B0CB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9E1"/>
    <w:rsid w:val="005B2A9A"/>
    <w:rsid w:val="005B37D9"/>
    <w:rsid w:val="005B3DD9"/>
    <w:rsid w:val="005B445B"/>
    <w:rsid w:val="005B474E"/>
    <w:rsid w:val="005B489A"/>
    <w:rsid w:val="005B63A6"/>
    <w:rsid w:val="005B64D1"/>
    <w:rsid w:val="005B6A88"/>
    <w:rsid w:val="005B6E05"/>
    <w:rsid w:val="005B7F42"/>
    <w:rsid w:val="005C1D45"/>
    <w:rsid w:val="005C3293"/>
    <w:rsid w:val="005C3C9B"/>
    <w:rsid w:val="005C42AB"/>
    <w:rsid w:val="005C45C0"/>
    <w:rsid w:val="005C4D9B"/>
    <w:rsid w:val="005C5335"/>
    <w:rsid w:val="005C5D7B"/>
    <w:rsid w:val="005C5E29"/>
    <w:rsid w:val="005C6474"/>
    <w:rsid w:val="005C6A68"/>
    <w:rsid w:val="005D0AE3"/>
    <w:rsid w:val="005D1103"/>
    <w:rsid w:val="005D276D"/>
    <w:rsid w:val="005D5912"/>
    <w:rsid w:val="005D794C"/>
    <w:rsid w:val="005D7A9F"/>
    <w:rsid w:val="005D7AA2"/>
    <w:rsid w:val="005E0516"/>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EF7"/>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352A"/>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414"/>
    <w:rsid w:val="00745BA4"/>
    <w:rsid w:val="00745E8A"/>
    <w:rsid w:val="007462E8"/>
    <w:rsid w:val="00746F2D"/>
    <w:rsid w:val="0074734F"/>
    <w:rsid w:val="00750177"/>
    <w:rsid w:val="0075057F"/>
    <w:rsid w:val="0075066D"/>
    <w:rsid w:val="00752AEC"/>
    <w:rsid w:val="00752FBA"/>
    <w:rsid w:val="00753324"/>
    <w:rsid w:val="007534E2"/>
    <w:rsid w:val="0075458D"/>
    <w:rsid w:val="007554A9"/>
    <w:rsid w:val="007556F5"/>
    <w:rsid w:val="00757105"/>
    <w:rsid w:val="00757B82"/>
    <w:rsid w:val="0076281A"/>
    <w:rsid w:val="00762ADE"/>
    <w:rsid w:val="0076365D"/>
    <w:rsid w:val="007642DC"/>
    <w:rsid w:val="007654E0"/>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273"/>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82C"/>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E24"/>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8F79CF"/>
    <w:rsid w:val="00900959"/>
    <w:rsid w:val="00901900"/>
    <w:rsid w:val="00901B7A"/>
    <w:rsid w:val="00901EE8"/>
    <w:rsid w:val="00901F6C"/>
    <w:rsid w:val="0090266B"/>
    <w:rsid w:val="00902F06"/>
    <w:rsid w:val="009035DB"/>
    <w:rsid w:val="00904671"/>
    <w:rsid w:val="00905BC5"/>
    <w:rsid w:val="009061DB"/>
    <w:rsid w:val="009064AA"/>
    <w:rsid w:val="00912257"/>
    <w:rsid w:val="00913495"/>
    <w:rsid w:val="00913874"/>
    <w:rsid w:val="009163CC"/>
    <w:rsid w:val="0091674C"/>
    <w:rsid w:val="00916862"/>
    <w:rsid w:val="00916B2A"/>
    <w:rsid w:val="00916C82"/>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BF2"/>
    <w:rsid w:val="00967278"/>
    <w:rsid w:val="00971568"/>
    <w:rsid w:val="009728F2"/>
    <w:rsid w:val="00972BEF"/>
    <w:rsid w:val="00973BCF"/>
    <w:rsid w:val="009744BC"/>
    <w:rsid w:val="00974E60"/>
    <w:rsid w:val="0097553B"/>
    <w:rsid w:val="00975896"/>
    <w:rsid w:val="00975DF1"/>
    <w:rsid w:val="00976AFE"/>
    <w:rsid w:val="0098170F"/>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625"/>
    <w:rsid w:val="009D4724"/>
    <w:rsid w:val="009D4B2F"/>
    <w:rsid w:val="009D4C1B"/>
    <w:rsid w:val="009D500A"/>
    <w:rsid w:val="009D5159"/>
    <w:rsid w:val="009D5EA5"/>
    <w:rsid w:val="009D64DA"/>
    <w:rsid w:val="009D6BEA"/>
    <w:rsid w:val="009D76A3"/>
    <w:rsid w:val="009E09F5"/>
    <w:rsid w:val="009E0A1B"/>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1FF9"/>
    <w:rsid w:val="00A06D32"/>
    <w:rsid w:val="00A07545"/>
    <w:rsid w:val="00A13947"/>
    <w:rsid w:val="00A13E2B"/>
    <w:rsid w:val="00A1562A"/>
    <w:rsid w:val="00A15901"/>
    <w:rsid w:val="00A1618E"/>
    <w:rsid w:val="00A161A1"/>
    <w:rsid w:val="00A20562"/>
    <w:rsid w:val="00A20F75"/>
    <w:rsid w:val="00A212B1"/>
    <w:rsid w:val="00A24E9A"/>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152"/>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016"/>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2EC1"/>
    <w:rsid w:val="00B23016"/>
    <w:rsid w:val="00B23771"/>
    <w:rsid w:val="00B24EA8"/>
    <w:rsid w:val="00B26625"/>
    <w:rsid w:val="00B26A5A"/>
    <w:rsid w:val="00B2713B"/>
    <w:rsid w:val="00B2769B"/>
    <w:rsid w:val="00B307D2"/>
    <w:rsid w:val="00B3398B"/>
    <w:rsid w:val="00B33B1E"/>
    <w:rsid w:val="00B362D9"/>
    <w:rsid w:val="00B36782"/>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A9C"/>
    <w:rsid w:val="00B85B06"/>
    <w:rsid w:val="00B90558"/>
    <w:rsid w:val="00B92958"/>
    <w:rsid w:val="00B93957"/>
    <w:rsid w:val="00B9404A"/>
    <w:rsid w:val="00B940B5"/>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B7B"/>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D61"/>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0F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58A"/>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D28"/>
    <w:rsid w:val="00DB364F"/>
    <w:rsid w:val="00DB39E7"/>
    <w:rsid w:val="00DB3B3E"/>
    <w:rsid w:val="00DB71DB"/>
    <w:rsid w:val="00DB71E1"/>
    <w:rsid w:val="00DB7B0F"/>
    <w:rsid w:val="00DB7CB3"/>
    <w:rsid w:val="00DC0D57"/>
    <w:rsid w:val="00DC0E39"/>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0F58"/>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63F"/>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A44"/>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F90"/>
    <w:rsid w:val="00F37CFD"/>
    <w:rsid w:val="00F37D33"/>
    <w:rsid w:val="00F40178"/>
    <w:rsid w:val="00F40DB9"/>
    <w:rsid w:val="00F40ED1"/>
    <w:rsid w:val="00F415A3"/>
    <w:rsid w:val="00F41778"/>
    <w:rsid w:val="00F41B3E"/>
    <w:rsid w:val="00F421D1"/>
    <w:rsid w:val="00F42A4B"/>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CC8"/>
    <w:rsid w:val="00F75896"/>
    <w:rsid w:val="00F76666"/>
    <w:rsid w:val="00F76ECB"/>
    <w:rsid w:val="00F76EF7"/>
    <w:rsid w:val="00F776B7"/>
    <w:rsid w:val="00F77758"/>
    <w:rsid w:val="00F77BDB"/>
    <w:rsid w:val="00F8031F"/>
    <w:rsid w:val="00F80AA7"/>
    <w:rsid w:val="00F80C5C"/>
    <w:rsid w:val="00F818A5"/>
    <w:rsid w:val="00F8197C"/>
    <w:rsid w:val="00F8465D"/>
    <w:rsid w:val="00F848B3"/>
    <w:rsid w:val="00F85755"/>
    <w:rsid w:val="00F86A0B"/>
    <w:rsid w:val="00F87431"/>
    <w:rsid w:val="00F8765C"/>
    <w:rsid w:val="00F87A53"/>
    <w:rsid w:val="00F9031B"/>
    <w:rsid w:val="00F91DA4"/>
    <w:rsid w:val="00F92728"/>
    <w:rsid w:val="00F92DC2"/>
    <w:rsid w:val="00F937AF"/>
    <w:rsid w:val="00F94494"/>
    <w:rsid w:val="00F96483"/>
    <w:rsid w:val="00F9648C"/>
    <w:rsid w:val="00F96671"/>
    <w:rsid w:val="00F9680E"/>
    <w:rsid w:val="00F96E21"/>
    <w:rsid w:val="00FA00AF"/>
    <w:rsid w:val="00FA0A0A"/>
    <w:rsid w:val="00FA0C9D"/>
    <w:rsid w:val="00FA169B"/>
    <w:rsid w:val="00FA227E"/>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54D"/>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E9A"/>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B2A9A"/>
    <w:rPr>
      <w:rFonts w:ascii="Tahoma" w:hAnsi="Tahoma" w:cs="Tahoma"/>
      <w:sz w:val="16"/>
      <w:szCs w:val="16"/>
    </w:rPr>
  </w:style>
  <w:style w:type="character" w:customStyle="1" w:styleId="BalloonTextChar">
    <w:name w:val="Balloon Text Char"/>
    <w:basedOn w:val="DefaultParagraphFont"/>
    <w:link w:val="BalloonText"/>
    <w:rsid w:val="005B2A9A"/>
    <w:rPr>
      <w:rFonts w:ascii="Tahoma" w:hAnsi="Tahoma" w:cs="Tahoma"/>
      <w:sz w:val="16"/>
      <w:szCs w:val="16"/>
    </w:rPr>
  </w:style>
  <w:style w:type="paragraph" w:styleId="ListParagraph">
    <w:name w:val="List Paragraph"/>
    <w:basedOn w:val="Normal"/>
    <w:uiPriority w:val="34"/>
    <w:qFormat/>
    <w:rsid w:val="004B0CB1"/>
    <w:pPr>
      <w:ind w:left="720"/>
      <w:contextualSpacing/>
    </w:pPr>
    <w:rPr>
      <w:rFonts w:eastAsia="SimSun"/>
      <w:lang w:eastAsia="zh-CN"/>
    </w:rPr>
  </w:style>
  <w:style w:type="character" w:customStyle="1" w:styleId="Heading1Char">
    <w:name w:val="Heading 1 Char"/>
    <w:basedOn w:val="DefaultParagraphFont"/>
    <w:link w:val="Heading1"/>
    <w:uiPriority w:val="9"/>
    <w:rsid w:val="004B0CB1"/>
    <w:rPr>
      <w:rFonts w:ascii="Arial" w:eastAsia="SimSun" w:hAnsi="Arial" w:cs="Arial"/>
      <w:b/>
      <w:bCs/>
      <w:caps/>
      <w:kern w:val="32"/>
      <w:sz w:val="22"/>
      <w:szCs w:val="32"/>
    </w:rPr>
  </w:style>
  <w:style w:type="character" w:styleId="CommentReference">
    <w:name w:val="annotation reference"/>
    <w:basedOn w:val="DefaultParagraphFont"/>
    <w:rsid w:val="007A0273"/>
    <w:rPr>
      <w:sz w:val="16"/>
      <w:szCs w:val="16"/>
    </w:rPr>
  </w:style>
  <w:style w:type="paragraph" w:styleId="CommentSubject">
    <w:name w:val="annotation subject"/>
    <w:basedOn w:val="CommentText"/>
    <w:next w:val="CommentText"/>
    <w:link w:val="CommentSubjectChar"/>
    <w:rsid w:val="007A0273"/>
    <w:rPr>
      <w:b/>
      <w:bCs/>
      <w:sz w:val="20"/>
    </w:rPr>
  </w:style>
  <w:style w:type="character" w:customStyle="1" w:styleId="CommentTextChar">
    <w:name w:val="Comment Text Char"/>
    <w:basedOn w:val="DefaultParagraphFont"/>
    <w:link w:val="CommentText"/>
    <w:semiHidden/>
    <w:rsid w:val="007A0273"/>
    <w:rPr>
      <w:rFonts w:ascii="Arial" w:hAnsi="Arial" w:cs="Arial"/>
      <w:sz w:val="18"/>
    </w:rPr>
  </w:style>
  <w:style w:type="character" w:customStyle="1" w:styleId="CommentSubjectChar">
    <w:name w:val="Comment Subject Char"/>
    <w:basedOn w:val="CommentTextChar"/>
    <w:link w:val="CommentSubject"/>
    <w:rsid w:val="007A0273"/>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E9A"/>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B2A9A"/>
    <w:rPr>
      <w:rFonts w:ascii="Tahoma" w:hAnsi="Tahoma" w:cs="Tahoma"/>
      <w:sz w:val="16"/>
      <w:szCs w:val="16"/>
    </w:rPr>
  </w:style>
  <w:style w:type="character" w:customStyle="1" w:styleId="BalloonTextChar">
    <w:name w:val="Balloon Text Char"/>
    <w:basedOn w:val="DefaultParagraphFont"/>
    <w:link w:val="BalloonText"/>
    <w:rsid w:val="005B2A9A"/>
    <w:rPr>
      <w:rFonts w:ascii="Tahoma" w:hAnsi="Tahoma" w:cs="Tahoma"/>
      <w:sz w:val="16"/>
      <w:szCs w:val="16"/>
    </w:rPr>
  </w:style>
  <w:style w:type="paragraph" w:styleId="ListParagraph">
    <w:name w:val="List Paragraph"/>
    <w:basedOn w:val="Normal"/>
    <w:uiPriority w:val="34"/>
    <w:qFormat/>
    <w:rsid w:val="004B0CB1"/>
    <w:pPr>
      <w:ind w:left="720"/>
      <w:contextualSpacing/>
    </w:pPr>
    <w:rPr>
      <w:rFonts w:eastAsia="SimSun"/>
      <w:lang w:eastAsia="zh-CN"/>
    </w:rPr>
  </w:style>
  <w:style w:type="character" w:customStyle="1" w:styleId="Heading1Char">
    <w:name w:val="Heading 1 Char"/>
    <w:basedOn w:val="DefaultParagraphFont"/>
    <w:link w:val="Heading1"/>
    <w:uiPriority w:val="9"/>
    <w:rsid w:val="004B0CB1"/>
    <w:rPr>
      <w:rFonts w:ascii="Arial" w:eastAsia="SimSun" w:hAnsi="Arial" w:cs="Arial"/>
      <w:b/>
      <w:bCs/>
      <w:caps/>
      <w:kern w:val="32"/>
      <w:sz w:val="22"/>
      <w:szCs w:val="32"/>
    </w:rPr>
  </w:style>
  <w:style w:type="character" w:styleId="CommentReference">
    <w:name w:val="annotation reference"/>
    <w:basedOn w:val="DefaultParagraphFont"/>
    <w:rsid w:val="007A0273"/>
    <w:rPr>
      <w:sz w:val="16"/>
      <w:szCs w:val="16"/>
    </w:rPr>
  </w:style>
  <w:style w:type="paragraph" w:styleId="CommentSubject">
    <w:name w:val="annotation subject"/>
    <w:basedOn w:val="CommentText"/>
    <w:next w:val="CommentText"/>
    <w:link w:val="CommentSubjectChar"/>
    <w:rsid w:val="007A0273"/>
    <w:rPr>
      <w:b/>
      <w:bCs/>
      <w:sz w:val="20"/>
    </w:rPr>
  </w:style>
  <w:style w:type="character" w:customStyle="1" w:styleId="CommentTextChar">
    <w:name w:val="Comment Text Char"/>
    <w:basedOn w:val="DefaultParagraphFont"/>
    <w:link w:val="CommentText"/>
    <w:semiHidden/>
    <w:rsid w:val="007A0273"/>
    <w:rPr>
      <w:rFonts w:ascii="Arial" w:hAnsi="Arial" w:cs="Arial"/>
      <w:sz w:val="18"/>
    </w:rPr>
  </w:style>
  <w:style w:type="character" w:customStyle="1" w:styleId="CommentSubjectChar">
    <w:name w:val="Comment Subject Char"/>
    <w:basedOn w:val="CommentTextChar"/>
    <w:link w:val="CommentSubject"/>
    <w:rsid w:val="007A0273"/>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D31B-681E-47D1-876E-4143CA4E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2073</Words>
  <Characters>11072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CDIP/14/4 (Arabic)</vt:lpstr>
    </vt:vector>
  </TitlesOfParts>
  <Company>World Intellectual Property Organization</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CDIP/14/4 (Arabic)</dc:title>
  <dc:creator>AHMIDOUCH Noureddine</dc:creator>
  <cp:lastModifiedBy>SHOUSHA Sally</cp:lastModifiedBy>
  <cp:revision>2</cp:revision>
  <cp:lastPrinted>2014-10-14T08:30:00Z</cp:lastPrinted>
  <dcterms:created xsi:type="dcterms:W3CDTF">2014-10-14T12:59:00Z</dcterms:created>
  <dcterms:modified xsi:type="dcterms:W3CDTF">2014-10-14T12:59:00Z</dcterms:modified>
</cp:coreProperties>
</file>