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2A3B98">
            <w:pPr>
              <w:pStyle w:val="DocumentCodeAR"/>
              <w:bidi/>
              <w:rPr>
                <w:rtl/>
              </w:rPr>
            </w:pPr>
            <w:r>
              <w:t>CDIP</w:t>
            </w:r>
            <w:r w:rsidR="00100F97">
              <w:t>/</w:t>
            </w:r>
            <w:r w:rsidR="00A871F4">
              <w:t>1</w:t>
            </w:r>
            <w:r w:rsidR="005804FC">
              <w:t>3</w:t>
            </w:r>
            <w:r w:rsidR="00B6101C" w:rsidRPr="00B6101C">
              <w:t>/</w:t>
            </w:r>
            <w:r w:rsidR="002A3B98">
              <w:t>INF/2</w:t>
            </w:r>
          </w:p>
        </w:tc>
      </w:tr>
      <w:tr w:rsidR="001667B6" w:rsidRPr="00582A90" w:rsidTr="00582A90">
        <w:tc>
          <w:tcPr>
            <w:tcW w:w="9571" w:type="dxa"/>
            <w:gridSpan w:val="3"/>
            <w:shd w:val="clear" w:color="auto" w:fill="auto"/>
          </w:tcPr>
          <w:p w:rsidR="001667B6" w:rsidRPr="00B6101C" w:rsidRDefault="00B6101C" w:rsidP="002A3B98">
            <w:pPr>
              <w:pStyle w:val="DocumentLanguageAR"/>
              <w:bidi/>
              <w:rPr>
                <w:rtl/>
              </w:rPr>
            </w:pPr>
            <w:r w:rsidRPr="00B6101C">
              <w:rPr>
                <w:rFonts w:hint="cs"/>
                <w:rtl/>
              </w:rPr>
              <w:t xml:space="preserve">الأصل: </w:t>
            </w:r>
            <w:proofErr w:type="gramStart"/>
            <w:r w:rsidR="002A3B98">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2A3B98">
            <w:pPr>
              <w:pStyle w:val="DocumentDateAR"/>
              <w:bidi/>
              <w:rPr>
                <w:rtl/>
              </w:rPr>
            </w:pPr>
            <w:r w:rsidRPr="00B6101C">
              <w:rPr>
                <w:rFonts w:hint="cs"/>
                <w:rtl/>
              </w:rPr>
              <w:t xml:space="preserve">التاريخ: </w:t>
            </w:r>
            <w:r w:rsidR="002A3B98">
              <w:rPr>
                <w:rFonts w:hint="cs"/>
                <w:rtl/>
              </w:rPr>
              <w:t>12</w:t>
            </w:r>
            <w:r w:rsidRPr="00B6101C">
              <w:rPr>
                <w:rFonts w:hint="cs"/>
                <w:rtl/>
              </w:rPr>
              <w:t xml:space="preserve"> </w:t>
            </w:r>
            <w:proofErr w:type="gramStart"/>
            <w:r w:rsidR="002A3B98">
              <w:rPr>
                <w:rFonts w:hint="cs"/>
                <w:rtl/>
              </w:rPr>
              <w:t>فبراير</w:t>
            </w:r>
            <w:proofErr w:type="gramEnd"/>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13888" w:rsidP="005C35EC">
      <w:pPr>
        <w:pStyle w:val="DocumentTitleAR"/>
        <w:bidi/>
        <w:rPr>
          <w:rtl/>
        </w:rPr>
      </w:pPr>
      <w:r>
        <w:rPr>
          <w:rFonts w:hint="cs"/>
          <w:rtl/>
        </w:rPr>
        <w:t>موجز الدراسة القطرية المتعلقة بالابتكار والملكية الفكرية والاقتصاد غير الرسمي: طب الأعشا</w:t>
      </w:r>
      <w:r w:rsidR="005C35EC">
        <w:rPr>
          <w:rFonts w:hint="cs"/>
          <w:rtl/>
        </w:rPr>
        <w:t>ب</w:t>
      </w:r>
      <w:r>
        <w:rPr>
          <w:rFonts w:hint="cs"/>
          <w:rtl/>
        </w:rPr>
        <w:t xml:space="preserve"> الطبية في غانا</w:t>
      </w:r>
    </w:p>
    <w:p w:rsidR="00D61541" w:rsidRPr="006706E2" w:rsidRDefault="00D61541" w:rsidP="006706E2">
      <w:pPr>
        <w:pStyle w:val="PreparedbyAR"/>
        <w:bidi/>
        <w:rPr>
          <w:w w:val="96"/>
          <w:rtl/>
        </w:rPr>
      </w:pPr>
      <w:r w:rsidRPr="006706E2">
        <w:rPr>
          <w:rFonts w:hint="cs"/>
          <w:w w:val="96"/>
          <w:rtl/>
        </w:rPr>
        <w:t>من إعداد</w:t>
      </w:r>
      <w:r w:rsidR="00C13888" w:rsidRPr="006706E2">
        <w:rPr>
          <w:rFonts w:hint="cs"/>
          <w:w w:val="96"/>
          <w:rtl/>
        </w:rPr>
        <w:t xml:space="preserve"> </w:t>
      </w:r>
      <w:r w:rsidR="00C13888" w:rsidRPr="006706E2">
        <w:rPr>
          <w:color w:val="000000"/>
          <w:w w:val="96"/>
          <w:rtl/>
        </w:rPr>
        <w:t xml:space="preserve">الدكتور جورج </w:t>
      </w:r>
      <w:proofErr w:type="spellStart"/>
      <w:r w:rsidR="00C13888" w:rsidRPr="006706E2">
        <w:rPr>
          <w:color w:val="000000"/>
          <w:w w:val="96"/>
          <w:rtl/>
        </w:rPr>
        <w:t>أووسو</w:t>
      </w:r>
      <w:proofErr w:type="spellEnd"/>
      <w:r w:rsidR="00C13888" w:rsidRPr="006706E2">
        <w:rPr>
          <w:color w:val="000000"/>
          <w:w w:val="96"/>
          <w:rtl/>
        </w:rPr>
        <w:t xml:space="preserve"> </w:t>
      </w:r>
      <w:proofErr w:type="spellStart"/>
      <w:r w:rsidR="00C13888" w:rsidRPr="006706E2">
        <w:rPr>
          <w:color w:val="000000"/>
          <w:w w:val="96"/>
          <w:rtl/>
        </w:rPr>
        <w:t>ايسيغبي</w:t>
      </w:r>
      <w:proofErr w:type="spellEnd"/>
      <w:r w:rsidR="00C13888" w:rsidRPr="006706E2">
        <w:rPr>
          <w:color w:val="000000"/>
          <w:w w:val="96"/>
          <w:rtl/>
        </w:rPr>
        <w:t>، مدير معهد أبحاث سياسات العلوم والتكنولوجيا (</w:t>
      </w:r>
      <w:r w:rsidR="00C13888" w:rsidRPr="006706E2">
        <w:rPr>
          <w:color w:val="000000"/>
          <w:w w:val="96"/>
        </w:rPr>
        <w:t>STEPRI</w:t>
      </w:r>
      <w:r w:rsidR="00C13888" w:rsidRPr="006706E2">
        <w:rPr>
          <w:color w:val="000000"/>
          <w:w w:val="96"/>
          <w:rtl/>
          <w:lang w:bidi="ar-EG"/>
        </w:rPr>
        <w:t xml:space="preserve">)، </w:t>
      </w:r>
      <w:r w:rsidR="00C13888" w:rsidRPr="006706E2">
        <w:rPr>
          <w:color w:val="000000"/>
          <w:w w:val="96"/>
          <w:rtl/>
        </w:rPr>
        <w:t>مجلس البحوث</w:t>
      </w:r>
      <w:r w:rsidR="00223D88" w:rsidRPr="006706E2">
        <w:rPr>
          <w:rFonts w:hint="cs"/>
          <w:color w:val="000000"/>
          <w:w w:val="96"/>
          <w:rtl/>
        </w:rPr>
        <w:t> </w:t>
      </w:r>
      <w:r w:rsidR="00C13888" w:rsidRPr="006706E2">
        <w:rPr>
          <w:color w:val="000000"/>
          <w:w w:val="96"/>
          <w:rtl/>
        </w:rPr>
        <w:t>العلمية والصناعية (</w:t>
      </w:r>
      <w:r w:rsidR="00C13888" w:rsidRPr="006706E2">
        <w:rPr>
          <w:color w:val="000000"/>
          <w:w w:val="96"/>
        </w:rPr>
        <w:t>CSIR</w:t>
      </w:r>
      <w:r w:rsidR="00C13888" w:rsidRPr="006706E2">
        <w:rPr>
          <w:color w:val="000000"/>
          <w:w w:val="96"/>
          <w:rtl/>
          <w:lang w:bidi="ar-EG"/>
        </w:rPr>
        <w:t>) في غانا</w:t>
      </w:r>
      <w:r w:rsidR="005C35EC" w:rsidRPr="006706E2">
        <w:rPr>
          <w:rFonts w:hint="cs"/>
          <w:color w:val="000000"/>
          <w:w w:val="96"/>
          <w:rtl/>
          <w:lang w:bidi="ar-EG"/>
        </w:rPr>
        <w:t>؛</w:t>
      </w:r>
      <w:r w:rsidR="00C13888" w:rsidRPr="006706E2">
        <w:rPr>
          <w:color w:val="000000"/>
          <w:w w:val="96"/>
          <w:rtl/>
          <w:lang w:bidi="ar-EG"/>
        </w:rPr>
        <w:t xml:space="preserve"> السيد/ </w:t>
      </w:r>
      <w:r w:rsidR="00C13888" w:rsidRPr="006706E2">
        <w:rPr>
          <w:color w:val="000000"/>
          <w:w w:val="96"/>
          <w:rtl/>
        </w:rPr>
        <w:t xml:space="preserve">ستيفن عوني، عالم وباحث، </w:t>
      </w:r>
      <w:r w:rsidR="00C13888" w:rsidRPr="006706E2">
        <w:rPr>
          <w:color w:val="000000"/>
          <w:w w:val="96"/>
        </w:rPr>
        <w:t>CSIR-STEPRI</w:t>
      </w:r>
      <w:r w:rsidR="00C13888" w:rsidRPr="006706E2">
        <w:rPr>
          <w:color w:val="000000"/>
          <w:w w:val="96"/>
          <w:rtl/>
          <w:lang w:bidi="ar-EG"/>
        </w:rPr>
        <w:t>، غانا</w:t>
      </w:r>
      <w:r w:rsidR="005C35EC" w:rsidRPr="006706E2">
        <w:rPr>
          <w:rFonts w:hint="cs"/>
          <w:color w:val="000000"/>
          <w:w w:val="96"/>
          <w:rtl/>
          <w:lang w:bidi="ar-EG"/>
        </w:rPr>
        <w:t>؛</w:t>
      </w:r>
      <w:r w:rsidR="00C13888" w:rsidRPr="006706E2">
        <w:rPr>
          <w:color w:val="000000"/>
          <w:w w:val="96"/>
          <w:rtl/>
          <w:lang w:bidi="ar-EG"/>
        </w:rPr>
        <w:t xml:space="preserve"> السيد/ </w:t>
      </w:r>
      <w:r w:rsidR="00C13888" w:rsidRPr="006706E2">
        <w:rPr>
          <w:color w:val="000000"/>
          <w:w w:val="96"/>
          <w:rtl/>
        </w:rPr>
        <w:t xml:space="preserve">إيفان تته </w:t>
      </w:r>
      <w:proofErr w:type="spellStart"/>
      <w:r w:rsidR="00C13888" w:rsidRPr="006706E2">
        <w:rPr>
          <w:color w:val="000000"/>
          <w:w w:val="96"/>
          <w:rtl/>
        </w:rPr>
        <w:t>ايسيغبي</w:t>
      </w:r>
      <w:proofErr w:type="spellEnd"/>
      <w:r w:rsidR="00C13888" w:rsidRPr="006706E2">
        <w:rPr>
          <w:color w:val="000000"/>
          <w:w w:val="96"/>
          <w:rtl/>
        </w:rPr>
        <w:t>،</w:t>
      </w:r>
      <w:r w:rsidR="00223D88" w:rsidRPr="006706E2">
        <w:rPr>
          <w:color w:val="000000"/>
          <w:w w:val="96"/>
          <w:rtl/>
          <w:lang w:bidi="ar-EG"/>
        </w:rPr>
        <w:t xml:space="preserve"> مس</w:t>
      </w:r>
      <w:r w:rsidR="00223D88" w:rsidRPr="006706E2">
        <w:rPr>
          <w:rFonts w:hint="cs"/>
          <w:color w:val="000000"/>
          <w:w w:val="96"/>
          <w:rtl/>
          <w:lang w:bidi="ar-EG"/>
        </w:rPr>
        <w:t>ؤ</w:t>
      </w:r>
      <w:r w:rsidR="00C13888" w:rsidRPr="006706E2">
        <w:rPr>
          <w:color w:val="000000"/>
          <w:w w:val="96"/>
          <w:rtl/>
          <w:lang w:bidi="ar-EG"/>
        </w:rPr>
        <w:t>ول نظام المعلومات الطبية، أمانة الكنيسة ا</w:t>
      </w:r>
      <w:r w:rsidR="00223D88" w:rsidRPr="006706E2">
        <w:rPr>
          <w:color w:val="000000"/>
          <w:w w:val="96"/>
          <w:rtl/>
          <w:lang w:bidi="ar-EG"/>
        </w:rPr>
        <w:t>لكاثوليكية الوطنية (الجناح المس</w:t>
      </w:r>
      <w:r w:rsidR="00223D88" w:rsidRPr="006706E2">
        <w:rPr>
          <w:rFonts w:hint="cs"/>
          <w:color w:val="000000"/>
          <w:w w:val="96"/>
          <w:rtl/>
          <w:lang w:bidi="ar-EG"/>
        </w:rPr>
        <w:t>ؤ</w:t>
      </w:r>
      <w:r w:rsidR="00C13888" w:rsidRPr="006706E2">
        <w:rPr>
          <w:color w:val="000000"/>
          <w:w w:val="96"/>
          <w:rtl/>
          <w:lang w:bidi="ar-EG"/>
        </w:rPr>
        <w:t>ول عن التنمية) في غانا</w:t>
      </w:r>
      <w:r w:rsidR="005C35EC" w:rsidRPr="006706E2">
        <w:rPr>
          <w:rFonts w:hint="cs"/>
          <w:color w:val="000000"/>
          <w:w w:val="96"/>
          <w:rtl/>
          <w:lang w:bidi="ar-EG"/>
        </w:rPr>
        <w:t>؛</w:t>
      </w:r>
      <w:r w:rsidR="00C13888" w:rsidRPr="006706E2">
        <w:rPr>
          <w:color w:val="000000"/>
          <w:w w:val="96"/>
          <w:rtl/>
          <w:lang w:bidi="ar-EG"/>
        </w:rPr>
        <w:t xml:space="preserve"> السيدة/ </w:t>
      </w:r>
      <w:proofErr w:type="spellStart"/>
      <w:r w:rsidR="00C13888" w:rsidRPr="006706E2">
        <w:rPr>
          <w:color w:val="000000"/>
          <w:w w:val="96"/>
          <w:rtl/>
        </w:rPr>
        <w:t>مافيس</w:t>
      </w:r>
      <w:proofErr w:type="spellEnd"/>
      <w:r w:rsidR="00C13888" w:rsidRPr="006706E2">
        <w:rPr>
          <w:color w:val="000000"/>
          <w:w w:val="96"/>
          <w:rtl/>
        </w:rPr>
        <w:t xml:space="preserve"> </w:t>
      </w:r>
      <w:proofErr w:type="spellStart"/>
      <w:r w:rsidR="00C13888" w:rsidRPr="006706E2">
        <w:rPr>
          <w:color w:val="000000"/>
          <w:w w:val="96"/>
          <w:rtl/>
        </w:rPr>
        <w:t>أكوفوبيا</w:t>
      </w:r>
      <w:proofErr w:type="spellEnd"/>
      <w:r w:rsidR="00C13888" w:rsidRPr="006706E2">
        <w:rPr>
          <w:color w:val="000000"/>
          <w:w w:val="96"/>
          <w:rtl/>
        </w:rPr>
        <w:t xml:space="preserve">، عالمة وباحثة، </w:t>
      </w:r>
      <w:r w:rsidR="00C13888" w:rsidRPr="006706E2">
        <w:rPr>
          <w:color w:val="000000"/>
          <w:w w:val="96"/>
        </w:rPr>
        <w:t>CSIR-STEPRI</w:t>
      </w:r>
      <w:r w:rsidR="00C13888" w:rsidRPr="006706E2">
        <w:rPr>
          <w:color w:val="000000"/>
          <w:w w:val="96"/>
          <w:rtl/>
          <w:lang w:bidi="ar-EG"/>
        </w:rPr>
        <w:t>، غانا</w:t>
      </w:r>
      <w:r w:rsidR="005C35EC" w:rsidRPr="006706E2">
        <w:rPr>
          <w:rFonts w:hint="cs"/>
          <w:color w:val="000000"/>
          <w:w w:val="96"/>
          <w:rtl/>
          <w:lang w:bidi="ar-EG"/>
        </w:rPr>
        <w:t>؛</w:t>
      </w:r>
      <w:r w:rsidR="00C13888" w:rsidRPr="006706E2">
        <w:rPr>
          <w:color w:val="000000"/>
          <w:w w:val="96"/>
          <w:rtl/>
          <w:lang w:bidi="ar-EG"/>
        </w:rPr>
        <w:t xml:space="preserve"> السيدة/ </w:t>
      </w:r>
      <w:r w:rsidR="00C13888" w:rsidRPr="006706E2">
        <w:rPr>
          <w:color w:val="000000"/>
          <w:w w:val="96"/>
          <w:rtl/>
        </w:rPr>
        <w:t xml:space="preserve">بابا ميكا، عالمة وباحثة، </w:t>
      </w:r>
      <w:r w:rsidR="00C13888" w:rsidRPr="006706E2">
        <w:rPr>
          <w:color w:val="000000"/>
          <w:w w:val="96"/>
        </w:rPr>
        <w:t>CSIR-STEPRI</w:t>
      </w:r>
      <w:r w:rsidR="00223D88" w:rsidRPr="006706E2">
        <w:rPr>
          <w:color w:val="000000"/>
          <w:w w:val="96"/>
          <w:rtl/>
        </w:rPr>
        <w:t>، غانا</w:t>
      </w:r>
      <w:r w:rsidR="00C13888" w:rsidRPr="006706E2">
        <w:rPr>
          <w:rStyle w:val="FootnoteReference"/>
          <w:color w:val="000000"/>
          <w:w w:val="96"/>
          <w:sz w:val="36"/>
          <w:szCs w:val="36"/>
          <w:rtl/>
        </w:rPr>
        <w:footnoteReference w:id="1"/>
      </w:r>
    </w:p>
    <w:p w:rsidR="00C13888" w:rsidRPr="00C13888" w:rsidRDefault="002A3B98" w:rsidP="00D16DDC">
      <w:pPr>
        <w:pStyle w:val="NumberedParaAR"/>
      </w:pPr>
      <w:r>
        <w:rPr>
          <w:rFonts w:hint="cs"/>
          <w:rtl/>
        </w:rPr>
        <w:t xml:space="preserve"> </w:t>
      </w:r>
      <w:r w:rsidR="00C13888">
        <w:rPr>
          <w:rFonts w:hint="cs"/>
          <w:rtl/>
        </w:rPr>
        <w:t xml:space="preserve">يحتوي </w:t>
      </w:r>
      <w:r w:rsidR="00C13888" w:rsidRPr="00201D0F">
        <w:rPr>
          <w:color w:val="000000"/>
          <w:rtl/>
        </w:rPr>
        <w:t xml:space="preserve">مرفق هذه الوثيقة على ملخص الدراسة المعنية بالابتكار والملكية الفكرية والاقتصاد غير الرسمي في غانا، المُضطلع بها في إطار مشروع </w:t>
      </w:r>
      <w:bookmarkStart w:id="2" w:name="_GoBack"/>
      <w:bookmarkEnd w:id="2"/>
      <w:r w:rsidR="00C13888" w:rsidRPr="00201D0F">
        <w:rPr>
          <w:color w:val="000000"/>
          <w:rtl/>
        </w:rPr>
        <w:t>الملكية الفكرية</w:t>
      </w:r>
      <w:r w:rsidR="00B46AE5">
        <w:rPr>
          <w:rFonts w:hint="cs"/>
          <w:color w:val="000000"/>
          <w:rtl/>
        </w:rPr>
        <w:t xml:space="preserve"> </w:t>
      </w:r>
      <w:r w:rsidR="00C13888" w:rsidRPr="00201D0F">
        <w:rPr>
          <w:color w:val="000000"/>
          <w:rtl/>
        </w:rPr>
        <w:t>والاقتصاد غير الرسمي (</w:t>
      </w:r>
      <w:r w:rsidR="00C13888" w:rsidRPr="00201D0F">
        <w:rPr>
          <w:color w:val="000000"/>
        </w:rPr>
        <w:t>CDIP/8/3</w:t>
      </w:r>
      <w:r w:rsidR="00C13888" w:rsidRPr="00201D0F">
        <w:rPr>
          <w:color w:val="000000"/>
          <w:rtl/>
        </w:rPr>
        <w:t>) التي وافقت علي</w:t>
      </w:r>
      <w:r w:rsidR="00B46AE5">
        <w:rPr>
          <w:rFonts w:hint="cs"/>
          <w:color w:val="000000"/>
          <w:rtl/>
        </w:rPr>
        <w:t>ه</w:t>
      </w:r>
      <w:r w:rsidR="00C13888" w:rsidRPr="00201D0F">
        <w:rPr>
          <w:color w:val="000000"/>
          <w:rtl/>
        </w:rPr>
        <w:t xml:space="preserve"> اللجنة المعنية بالتنمية والملكية الفكرية (</w:t>
      </w:r>
      <w:r w:rsidR="00C13888" w:rsidRPr="00201D0F">
        <w:rPr>
          <w:color w:val="000000"/>
        </w:rPr>
        <w:t>CDIP</w:t>
      </w:r>
      <w:r w:rsidR="00C13888" w:rsidRPr="00201D0F">
        <w:rPr>
          <w:color w:val="000000"/>
          <w:rtl/>
        </w:rPr>
        <w:t>) في</w:t>
      </w:r>
      <w:r w:rsidR="00C13888" w:rsidRPr="00201D0F">
        <w:rPr>
          <w:color w:val="000000"/>
          <w:rtl/>
          <w:lang w:bidi="ar-EG"/>
        </w:rPr>
        <w:t xml:space="preserve"> </w:t>
      </w:r>
      <w:r w:rsidR="00C13888" w:rsidRPr="00201D0F">
        <w:rPr>
          <w:color w:val="000000"/>
          <w:rtl/>
        </w:rPr>
        <w:t>دورتها الثامنة المنعقدة في نوفمبر 2011</w:t>
      </w:r>
      <w:r w:rsidR="00C13888">
        <w:rPr>
          <w:rFonts w:hint="cs"/>
          <w:color w:val="000000"/>
          <w:rtl/>
        </w:rPr>
        <w:t>.</w:t>
      </w:r>
    </w:p>
    <w:p w:rsidR="00C13888" w:rsidRPr="00223D88" w:rsidRDefault="00C13888" w:rsidP="00C13888">
      <w:pPr>
        <w:pStyle w:val="NumberedParaAR"/>
        <w:ind w:left="5527"/>
        <w:rPr>
          <w:i/>
          <w:iCs/>
        </w:rPr>
      </w:pPr>
      <w:r w:rsidRPr="00223D88">
        <w:rPr>
          <w:rFonts w:hint="cs"/>
          <w:i/>
          <w:iCs/>
          <w:rtl/>
        </w:rPr>
        <w:t xml:space="preserve">إن اللجنة </w:t>
      </w:r>
      <w:r w:rsidRPr="00223D88">
        <w:rPr>
          <w:i/>
          <w:iCs/>
          <w:color w:val="000000"/>
          <w:rtl/>
        </w:rPr>
        <w:t>مدعوة إلى الإحاطة علما بالمعلومات الواردة في مرفق هذه الوثيقة</w:t>
      </w:r>
      <w:r w:rsidRPr="00223D88">
        <w:rPr>
          <w:rFonts w:hint="cs"/>
          <w:i/>
          <w:iCs/>
          <w:rtl/>
        </w:rPr>
        <w:t>.</w:t>
      </w:r>
    </w:p>
    <w:p w:rsidR="00223D88" w:rsidRDefault="002A3B98" w:rsidP="002A3B98">
      <w:pPr>
        <w:pStyle w:val="EndofDocumentAR"/>
        <w:rPr>
          <w:rtl/>
        </w:rPr>
        <w:sectPr w:rsidR="00223D88" w:rsidSect="002A3B98">
          <w:headerReference w:type="default" r:id="rId10"/>
          <w:pgSz w:w="11907" w:h="16840" w:code="9"/>
          <w:pgMar w:top="567" w:right="1418" w:bottom="1418" w:left="1134" w:header="510" w:footer="1021" w:gutter="0"/>
          <w:pgNumType w:start="1"/>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2A3B98" w:rsidRPr="00223D88" w:rsidRDefault="00C13888" w:rsidP="005078DD">
      <w:pPr>
        <w:pStyle w:val="NormalParaAR"/>
        <w:rPr>
          <w:b/>
          <w:bCs/>
          <w:rtl/>
        </w:rPr>
      </w:pPr>
      <w:r w:rsidRPr="00223D88">
        <w:rPr>
          <w:rFonts w:hint="cs"/>
          <w:b/>
          <w:bCs/>
          <w:rtl/>
        </w:rPr>
        <w:lastRenderedPageBreak/>
        <w:t>المقدمة</w:t>
      </w:r>
    </w:p>
    <w:p w:rsidR="00C13888" w:rsidRDefault="00C13888" w:rsidP="00223D88">
      <w:pPr>
        <w:pStyle w:val="NormalParaAR"/>
        <w:rPr>
          <w:color w:val="000000"/>
          <w:rtl/>
          <w:lang w:bidi="ar-EG"/>
        </w:rPr>
      </w:pPr>
      <w:proofErr w:type="gramStart"/>
      <w:r>
        <w:rPr>
          <w:rFonts w:hint="cs"/>
          <w:rtl/>
        </w:rPr>
        <w:t>يحظى</w:t>
      </w:r>
      <w:proofErr w:type="gramEnd"/>
      <w:r>
        <w:rPr>
          <w:rFonts w:hint="cs"/>
          <w:rtl/>
        </w:rPr>
        <w:t xml:space="preserve"> </w:t>
      </w:r>
      <w:r w:rsidRPr="00201D0F">
        <w:rPr>
          <w:color w:val="000000"/>
          <w:rtl/>
        </w:rPr>
        <w:t>طب الأعشاب التقليدية بأهمية في نظام تقديم الرعاية الصحية في غانا</w:t>
      </w:r>
      <w:r w:rsidR="005078DD">
        <w:rPr>
          <w:rFonts w:hint="cs"/>
          <w:color w:val="000000"/>
          <w:rtl/>
        </w:rPr>
        <w:t>،</w:t>
      </w:r>
      <w:r w:rsidRPr="00201D0F">
        <w:rPr>
          <w:color w:val="000000"/>
          <w:rtl/>
        </w:rPr>
        <w:t xml:space="preserve"> كما هو الحال في معظم البلدان الأفريقية. </w:t>
      </w:r>
      <w:r w:rsidR="00223D88">
        <w:rPr>
          <w:rFonts w:hint="cs"/>
          <w:color w:val="000000"/>
          <w:rtl/>
        </w:rPr>
        <w:t>و</w:t>
      </w:r>
      <w:r w:rsidR="005078DD">
        <w:rPr>
          <w:rFonts w:hint="cs"/>
          <w:color w:val="000000"/>
          <w:rtl/>
        </w:rPr>
        <w:t xml:space="preserve">يواجه </w:t>
      </w:r>
      <w:r w:rsidRPr="00201D0F">
        <w:rPr>
          <w:color w:val="000000"/>
          <w:rtl/>
        </w:rPr>
        <w:t>السكان الذين يعيشون في المناطق المهمشة من البلاد صعوبة الحصول على الرعاية الصحية من حيث بُعد المسافة</w:t>
      </w:r>
      <w:r w:rsidR="00223D88">
        <w:rPr>
          <w:rFonts w:hint="cs"/>
          <w:rtl/>
        </w:rPr>
        <w:t> </w:t>
      </w:r>
      <w:r w:rsidRPr="00201D0F">
        <w:rPr>
          <w:color w:val="000000"/>
          <w:rtl/>
        </w:rPr>
        <w:t xml:space="preserve">والتكلفة. </w:t>
      </w:r>
      <w:proofErr w:type="gramStart"/>
      <w:r w:rsidR="00223D88">
        <w:rPr>
          <w:rFonts w:hint="cs"/>
          <w:color w:val="000000"/>
          <w:rtl/>
        </w:rPr>
        <w:t>و</w:t>
      </w:r>
      <w:r w:rsidRPr="00201D0F">
        <w:rPr>
          <w:color w:val="000000"/>
          <w:rtl/>
        </w:rPr>
        <w:t>تصل</w:t>
      </w:r>
      <w:proofErr w:type="gramEnd"/>
      <w:r w:rsidRPr="00201D0F">
        <w:rPr>
          <w:color w:val="000000"/>
          <w:rtl/>
        </w:rPr>
        <w:t xml:space="preserve"> قيمة النسبة المقدَّرة لممارسي الطب التقليدي</w:t>
      </w:r>
      <w:r w:rsidRPr="00201D0F">
        <w:rPr>
          <w:color w:val="000000"/>
          <w:rtl/>
          <w:lang w:bidi="ar-EG"/>
        </w:rPr>
        <w:t xml:space="preserve"> (</w:t>
      </w:r>
      <w:r w:rsidRPr="00201D0F">
        <w:rPr>
          <w:color w:val="000000"/>
          <w:lang w:bidi="ar-EG"/>
        </w:rPr>
        <w:t>TMP</w:t>
      </w:r>
      <w:r w:rsidRPr="00201D0F">
        <w:rPr>
          <w:color w:val="000000"/>
          <w:rtl/>
          <w:lang w:bidi="ar-EG"/>
        </w:rPr>
        <w:t xml:space="preserve">) في غانا إلى </w:t>
      </w:r>
      <w:r w:rsidR="005078DD">
        <w:rPr>
          <w:rFonts w:hint="cs"/>
          <w:color w:val="000000"/>
          <w:rtl/>
          <w:lang w:bidi="ar-EG"/>
        </w:rPr>
        <w:t>عدد</w:t>
      </w:r>
      <w:r w:rsidRPr="00201D0F">
        <w:rPr>
          <w:color w:val="000000"/>
          <w:rtl/>
          <w:lang w:bidi="ar-EG"/>
        </w:rPr>
        <w:t xml:space="preserve"> السكان حوالي</w:t>
      </w:r>
      <w:r w:rsidR="005078DD">
        <w:rPr>
          <w:rFonts w:hint="cs"/>
          <w:color w:val="000000"/>
          <w:rtl/>
          <w:lang w:bidi="ar-EG"/>
        </w:rPr>
        <w:t xml:space="preserve"> 1</w:t>
      </w:r>
      <w:r w:rsidRPr="00201D0F">
        <w:rPr>
          <w:color w:val="000000"/>
          <w:rtl/>
          <w:lang w:bidi="ar-EG"/>
        </w:rPr>
        <w:t>: 400 مقابل 1: 12000 وهي نسبة ممارسي الطب المبني على أسس علمية إلى عدد السكان (</w:t>
      </w:r>
      <w:r w:rsidRPr="00201D0F">
        <w:rPr>
          <w:color w:val="000000"/>
          <w:rtl/>
        </w:rPr>
        <w:t>معهد أبحاث سياسات العلوم والتكنولوجيا</w:t>
      </w:r>
      <w:r w:rsidRPr="00201D0F">
        <w:rPr>
          <w:color w:val="000000"/>
          <w:rtl/>
          <w:lang w:bidi="ar-EG"/>
        </w:rPr>
        <w:t xml:space="preserve">، 2007). وبالتالي، يمثل ممارسو الطب التقليدي عنصراً </w:t>
      </w:r>
      <w:proofErr w:type="gramStart"/>
      <w:r w:rsidRPr="00201D0F">
        <w:rPr>
          <w:color w:val="000000"/>
          <w:rtl/>
          <w:lang w:bidi="ar-EG"/>
        </w:rPr>
        <w:t>هاماً</w:t>
      </w:r>
      <w:proofErr w:type="gramEnd"/>
      <w:r w:rsidRPr="00201D0F">
        <w:rPr>
          <w:color w:val="000000"/>
          <w:rtl/>
          <w:lang w:bidi="ar-EG"/>
        </w:rPr>
        <w:t xml:space="preserve"> في مجال توفير نظام الرعاية الصحية في غانا</w:t>
      </w:r>
      <w:r>
        <w:rPr>
          <w:rFonts w:hint="cs"/>
          <w:color w:val="000000"/>
          <w:rtl/>
          <w:lang w:bidi="ar-EG"/>
        </w:rPr>
        <w:t>.</w:t>
      </w:r>
    </w:p>
    <w:p w:rsidR="00C13888" w:rsidRDefault="005078DD" w:rsidP="00223D88">
      <w:pPr>
        <w:pStyle w:val="NormalParaAR"/>
        <w:rPr>
          <w:color w:val="000000"/>
          <w:rtl/>
        </w:rPr>
      </w:pPr>
      <w:r>
        <w:rPr>
          <w:rFonts w:hint="cs"/>
          <w:rtl/>
          <w:lang w:bidi="ar-EG"/>
        </w:rPr>
        <w:t>و</w:t>
      </w:r>
      <w:r w:rsidR="00C13888">
        <w:rPr>
          <w:rFonts w:hint="cs"/>
          <w:rtl/>
        </w:rPr>
        <w:t xml:space="preserve">مع ذلك، </w:t>
      </w:r>
      <w:r w:rsidR="00C13888" w:rsidRPr="00201D0F">
        <w:rPr>
          <w:color w:val="000000"/>
          <w:rtl/>
        </w:rPr>
        <w:t>تعتبر ممارسة الطب التقليدي في الأساس جزءاً من الاقتصاد غير الرسمي (</w:t>
      </w:r>
      <w:r w:rsidR="00C13888" w:rsidRPr="00201D0F">
        <w:rPr>
          <w:color w:val="000000"/>
          <w:lang w:bidi="ar-EG"/>
        </w:rPr>
        <w:t>IE</w:t>
      </w:r>
      <w:r w:rsidR="00C13888" w:rsidRPr="00201D0F">
        <w:rPr>
          <w:color w:val="000000"/>
          <w:rtl/>
          <w:lang w:bidi="ar-EG"/>
        </w:rPr>
        <w:t xml:space="preserve">). </w:t>
      </w:r>
      <w:proofErr w:type="gramStart"/>
      <w:r w:rsidR="00C13888" w:rsidRPr="00201D0F">
        <w:rPr>
          <w:color w:val="000000"/>
          <w:rtl/>
          <w:lang w:bidi="ar-EG"/>
        </w:rPr>
        <w:t>ويكمن</w:t>
      </w:r>
      <w:proofErr w:type="gramEnd"/>
      <w:r w:rsidR="00C13888" w:rsidRPr="00201D0F">
        <w:rPr>
          <w:color w:val="000000"/>
          <w:rtl/>
          <w:lang w:bidi="ar-EG"/>
        </w:rPr>
        <w:t xml:space="preserve"> التحدي في كيفية صياغة </w:t>
      </w:r>
      <w:r w:rsidR="00C13888" w:rsidRPr="00201D0F">
        <w:rPr>
          <w:color w:val="000000"/>
          <w:rtl/>
        </w:rPr>
        <w:t>سياسات وبرامج لاستغلال الطابع غير الرسمي وضمان النهوض بالطب التقليدي من خلال الابتكار، وفي إطار نظام</w:t>
      </w:r>
      <w:r>
        <w:rPr>
          <w:rFonts w:hint="cs"/>
          <w:color w:val="000000"/>
          <w:rtl/>
        </w:rPr>
        <w:t xml:space="preserve"> للملكية الفكرية </w:t>
      </w:r>
      <w:r>
        <w:rPr>
          <w:color w:val="000000"/>
          <w:rtl/>
        </w:rPr>
        <w:t>مُيَّسر وم</w:t>
      </w:r>
      <w:r>
        <w:rPr>
          <w:rFonts w:hint="cs"/>
          <w:color w:val="000000"/>
          <w:rtl/>
        </w:rPr>
        <w:t>تن</w:t>
      </w:r>
      <w:r w:rsidR="00C13888" w:rsidRPr="00201D0F">
        <w:rPr>
          <w:color w:val="000000"/>
          <w:rtl/>
        </w:rPr>
        <w:t>اسب</w:t>
      </w:r>
      <w:r>
        <w:rPr>
          <w:rFonts w:hint="cs"/>
          <w:color w:val="000000"/>
          <w:rtl/>
        </w:rPr>
        <w:t xml:space="preserve">. </w:t>
      </w:r>
      <w:r w:rsidR="00223D88">
        <w:rPr>
          <w:rFonts w:hint="cs"/>
          <w:color w:val="000000"/>
          <w:rtl/>
        </w:rPr>
        <w:t>و</w:t>
      </w:r>
      <w:r w:rsidR="00C13888" w:rsidRPr="00201D0F">
        <w:rPr>
          <w:color w:val="000000"/>
          <w:rtl/>
          <w:lang w:bidi="ar-EG"/>
        </w:rPr>
        <w:t xml:space="preserve">تنحصر أهداف غانا المحددة في هذا السياق في: </w:t>
      </w:r>
      <w:r w:rsidR="00223D88">
        <w:rPr>
          <w:rFonts w:hint="cs"/>
          <w:color w:val="000000"/>
          <w:rtl/>
          <w:lang w:bidi="ar-EG"/>
        </w:rPr>
        <w:t>"1"</w:t>
      </w:r>
      <w:r w:rsidR="00C13888" w:rsidRPr="00201D0F">
        <w:rPr>
          <w:color w:val="000000"/>
          <w:rtl/>
          <w:lang w:bidi="ar-EG"/>
        </w:rPr>
        <w:t xml:space="preserve"> </w:t>
      </w:r>
      <w:r w:rsidR="00C13888" w:rsidRPr="00201D0F">
        <w:rPr>
          <w:color w:val="000000"/>
          <w:rtl/>
        </w:rPr>
        <w:t xml:space="preserve">إجراء تقييم للسياسات والإطار المؤسسي لممارسة الطب التقليدي بغية تحديد الضوابط؛ </w:t>
      </w:r>
      <w:r w:rsidR="00223D88">
        <w:rPr>
          <w:rFonts w:hint="cs"/>
          <w:color w:val="000000"/>
          <w:rtl/>
        </w:rPr>
        <w:t>"2"</w:t>
      </w:r>
      <w:r w:rsidR="00C13888" w:rsidRPr="00201D0F">
        <w:rPr>
          <w:color w:val="000000"/>
          <w:rtl/>
        </w:rPr>
        <w:t xml:space="preserve"> </w:t>
      </w:r>
      <w:r w:rsidR="00223D88">
        <w:rPr>
          <w:rFonts w:hint="cs"/>
          <w:color w:val="000000"/>
          <w:rtl/>
        </w:rPr>
        <w:t>و</w:t>
      </w:r>
      <w:r w:rsidR="00C13888" w:rsidRPr="00201D0F">
        <w:rPr>
          <w:color w:val="000000"/>
          <w:rtl/>
        </w:rPr>
        <w:t xml:space="preserve">تقييم مدى تنفيذ السياسات المتعلقة بالطب التقليدي؛ </w:t>
      </w:r>
      <w:r w:rsidR="00223D88">
        <w:rPr>
          <w:rFonts w:hint="cs"/>
          <w:color w:val="000000"/>
          <w:rtl/>
        </w:rPr>
        <w:t>"3"</w:t>
      </w:r>
      <w:r w:rsidR="00C13888" w:rsidRPr="00201D0F">
        <w:rPr>
          <w:color w:val="000000"/>
          <w:rtl/>
        </w:rPr>
        <w:t xml:space="preserve"> </w:t>
      </w:r>
      <w:r w:rsidR="00223D88">
        <w:rPr>
          <w:rFonts w:hint="cs"/>
          <w:color w:val="000000"/>
          <w:rtl/>
        </w:rPr>
        <w:t>و</w:t>
      </w:r>
      <w:r w:rsidR="00C13888" w:rsidRPr="00201D0F">
        <w:rPr>
          <w:color w:val="000000"/>
          <w:rtl/>
        </w:rPr>
        <w:t xml:space="preserve">تحليل الابتكار في الطب التقليدي من حيث المنتجات </w:t>
      </w:r>
      <w:r w:rsidR="00223D88">
        <w:rPr>
          <w:color w:val="000000"/>
          <w:rtl/>
        </w:rPr>
        <w:t xml:space="preserve">وأنشطة الشركات ومراحل الإنتاج؛ </w:t>
      </w:r>
      <w:r w:rsidR="00223D88">
        <w:rPr>
          <w:rFonts w:hint="cs"/>
          <w:color w:val="000000"/>
          <w:rtl/>
        </w:rPr>
        <w:t>"4"</w:t>
      </w:r>
      <w:r w:rsidR="00C13888" w:rsidRPr="00201D0F">
        <w:rPr>
          <w:color w:val="000000"/>
          <w:rtl/>
        </w:rPr>
        <w:t xml:space="preserve"> </w:t>
      </w:r>
      <w:r w:rsidR="00223D88">
        <w:rPr>
          <w:rFonts w:hint="cs"/>
          <w:color w:val="000000"/>
          <w:rtl/>
        </w:rPr>
        <w:t>و</w:t>
      </w:r>
      <w:r w:rsidR="00C13888" w:rsidRPr="00201D0F">
        <w:rPr>
          <w:color w:val="000000"/>
          <w:rtl/>
        </w:rPr>
        <w:t>تقييم طبيعة نظام الملكية الفكرية للطب التقليدي والخيارات المتاحة للارتقاء بالمستوى</w:t>
      </w:r>
      <w:r w:rsidR="00C13888">
        <w:rPr>
          <w:rFonts w:hint="cs"/>
          <w:color w:val="000000"/>
          <w:rtl/>
        </w:rPr>
        <w:t>.</w:t>
      </w:r>
    </w:p>
    <w:p w:rsidR="00C13888" w:rsidRPr="00223D88" w:rsidRDefault="00C13888" w:rsidP="00C13888">
      <w:pPr>
        <w:pStyle w:val="NormalParaAR"/>
        <w:keepNext/>
        <w:rPr>
          <w:b/>
          <w:bCs/>
          <w:rtl/>
        </w:rPr>
      </w:pPr>
      <w:proofErr w:type="gramStart"/>
      <w:r w:rsidRPr="00223D88">
        <w:rPr>
          <w:rFonts w:hint="cs"/>
          <w:b/>
          <w:bCs/>
          <w:rtl/>
        </w:rPr>
        <w:t>المنهجية</w:t>
      </w:r>
      <w:proofErr w:type="gramEnd"/>
      <w:r w:rsidRPr="00223D88">
        <w:rPr>
          <w:rFonts w:hint="cs"/>
          <w:b/>
          <w:bCs/>
          <w:rtl/>
        </w:rPr>
        <w:t xml:space="preserve"> المستخدمة</w:t>
      </w:r>
    </w:p>
    <w:p w:rsidR="00C13888" w:rsidRDefault="00C13888" w:rsidP="00C13888">
      <w:pPr>
        <w:pStyle w:val="NormalParaAR"/>
        <w:rPr>
          <w:rtl/>
        </w:rPr>
      </w:pPr>
      <w:r>
        <w:rPr>
          <w:rFonts w:hint="cs"/>
          <w:rtl/>
        </w:rPr>
        <w:t xml:space="preserve">أُعدت </w:t>
      </w:r>
      <w:r w:rsidRPr="00201D0F">
        <w:rPr>
          <w:color w:val="000000"/>
          <w:rtl/>
        </w:rPr>
        <w:t>المنهجية المستخدمة في تلك الدراسة بما يتواءم مع المنهجية الموحدة المتبعة في شأن دراسات الحالة التي تنفذها الويبو في بلدان أفريقية مختارة والتي أُعدت في ورشة عمل عُقِدّت في مدينة بريتوريا في نوفمبر 2012</w:t>
      </w:r>
      <w:r w:rsidRPr="00201D0F">
        <w:rPr>
          <w:rStyle w:val="FootnoteReference"/>
          <w:color w:val="000000"/>
          <w:sz w:val="36"/>
          <w:szCs w:val="36"/>
          <w:rtl/>
        </w:rPr>
        <w:footnoteReference w:id="2"/>
      </w:r>
      <w:r w:rsidRPr="00201D0F">
        <w:rPr>
          <w:color w:val="000000"/>
          <w:rtl/>
        </w:rPr>
        <w:t xml:space="preserve">. </w:t>
      </w:r>
      <w:r w:rsidR="00AC577B">
        <w:rPr>
          <w:rFonts w:hint="cs"/>
          <w:color w:val="000000"/>
          <w:rtl/>
        </w:rPr>
        <w:t>و</w:t>
      </w:r>
      <w:r w:rsidRPr="00201D0F">
        <w:rPr>
          <w:color w:val="000000"/>
          <w:rtl/>
        </w:rPr>
        <w:t>تحددت المؤسسات الرئيسة المشاركة، ومن بينها وزارة الصحة ومديرية الطب التقليدي والبديل (</w:t>
      </w:r>
      <w:r w:rsidRPr="00201D0F">
        <w:rPr>
          <w:color w:val="000000"/>
        </w:rPr>
        <w:t>TAMD</w:t>
      </w:r>
      <w:r w:rsidRPr="00201D0F">
        <w:rPr>
          <w:color w:val="000000"/>
          <w:rtl/>
          <w:lang w:bidi="ar-EG"/>
        </w:rPr>
        <w:t xml:space="preserve">) ومجلس ممارسات الطب التقليدي، </w:t>
      </w:r>
      <w:r w:rsidR="00AC577B">
        <w:rPr>
          <w:color w:val="000000"/>
          <w:rtl/>
        </w:rPr>
        <w:t>وهي الكيانات المس</w:t>
      </w:r>
      <w:r w:rsidR="00AC577B">
        <w:rPr>
          <w:rFonts w:hint="cs"/>
          <w:color w:val="000000"/>
          <w:rtl/>
        </w:rPr>
        <w:t>ؤ</w:t>
      </w:r>
      <w:r w:rsidRPr="00201D0F">
        <w:rPr>
          <w:color w:val="000000"/>
          <w:rtl/>
        </w:rPr>
        <w:t>ولة عن صياغة السياسات والتخطيط والرقابة على ممارسات الطب التقليدي. كما تم أيضا تحديد مؤسسات المعرفة مثل مركز البحوث العلمية للأعشاب الطبية (</w:t>
      </w:r>
      <w:r w:rsidRPr="00201D0F">
        <w:rPr>
          <w:color w:val="000000"/>
          <w:lang w:bidi="ar-EG"/>
        </w:rPr>
        <w:t>CSRPM</w:t>
      </w:r>
      <w:r w:rsidRPr="00201D0F">
        <w:rPr>
          <w:color w:val="000000"/>
          <w:rtl/>
          <w:lang w:bidi="ar-EG"/>
        </w:rPr>
        <w:t xml:space="preserve">) وجامعة </w:t>
      </w:r>
      <w:proofErr w:type="spellStart"/>
      <w:r w:rsidRPr="00201D0F">
        <w:rPr>
          <w:color w:val="000000"/>
          <w:rtl/>
        </w:rPr>
        <w:t>كوامي</w:t>
      </w:r>
      <w:proofErr w:type="spellEnd"/>
      <w:r w:rsidRPr="00201D0F">
        <w:rPr>
          <w:color w:val="000000"/>
          <w:rtl/>
        </w:rPr>
        <w:t xml:space="preserve"> </w:t>
      </w:r>
      <w:proofErr w:type="spellStart"/>
      <w:r w:rsidRPr="00201D0F">
        <w:rPr>
          <w:color w:val="000000"/>
          <w:rtl/>
        </w:rPr>
        <w:t>نكروما</w:t>
      </w:r>
      <w:proofErr w:type="spellEnd"/>
      <w:r w:rsidRPr="00201D0F">
        <w:rPr>
          <w:color w:val="000000"/>
          <w:rtl/>
        </w:rPr>
        <w:t xml:space="preserve"> للعلوم والتكنولوجيا (</w:t>
      </w:r>
      <w:r w:rsidRPr="00201D0F">
        <w:rPr>
          <w:color w:val="000000"/>
          <w:lang w:bidi="ar-EG"/>
        </w:rPr>
        <w:t>KNUST</w:t>
      </w:r>
      <w:r w:rsidRPr="00201D0F">
        <w:rPr>
          <w:color w:val="000000"/>
          <w:rtl/>
        </w:rPr>
        <w:t>) جنبا إلى جنب مع مؤسسات رقابية وغيرها من المؤسسات</w:t>
      </w:r>
      <w:r w:rsidRPr="00201D0F">
        <w:rPr>
          <w:color w:val="000000"/>
          <w:rtl/>
          <w:lang w:bidi="ar-EG"/>
        </w:rPr>
        <w:t xml:space="preserve"> الأخرى</w:t>
      </w:r>
      <w:r w:rsidRPr="00201D0F">
        <w:rPr>
          <w:color w:val="000000"/>
          <w:rtl/>
        </w:rPr>
        <w:t xml:space="preserve"> مثل الهيئة العامة للغذاء والدواء (</w:t>
      </w:r>
      <w:r w:rsidRPr="00201D0F">
        <w:rPr>
          <w:color w:val="000000"/>
        </w:rPr>
        <w:t>FDA</w:t>
      </w:r>
      <w:r w:rsidRPr="00201D0F">
        <w:rPr>
          <w:color w:val="000000"/>
          <w:rtl/>
          <w:lang w:bidi="ar-EG"/>
        </w:rPr>
        <w:t>)</w:t>
      </w:r>
      <w:r w:rsidRPr="00201D0F">
        <w:rPr>
          <w:color w:val="000000"/>
          <w:rtl/>
        </w:rPr>
        <w:t xml:space="preserve"> و</w:t>
      </w:r>
      <w:r w:rsidRPr="00201D0F">
        <w:rPr>
          <w:color w:val="000000"/>
          <w:rtl/>
          <w:lang w:bidi="ar-EG"/>
        </w:rPr>
        <w:t>إدارة المسجل العام (</w:t>
      </w:r>
      <w:r w:rsidRPr="00201D0F">
        <w:rPr>
          <w:color w:val="000000"/>
          <w:lang w:bidi="ar-EG"/>
        </w:rPr>
        <w:t>RGD</w:t>
      </w:r>
      <w:r w:rsidRPr="00201D0F">
        <w:rPr>
          <w:color w:val="000000"/>
          <w:rtl/>
          <w:lang w:bidi="ar-EG"/>
        </w:rPr>
        <w:t xml:space="preserve">). </w:t>
      </w:r>
      <w:r w:rsidR="00AC577B">
        <w:rPr>
          <w:rFonts w:hint="cs"/>
          <w:color w:val="000000"/>
          <w:rtl/>
          <w:lang w:bidi="ar-EG"/>
        </w:rPr>
        <w:t>و</w:t>
      </w:r>
      <w:r w:rsidR="00AC577B">
        <w:rPr>
          <w:color w:val="000000"/>
          <w:rtl/>
          <w:lang w:bidi="ar-EG"/>
        </w:rPr>
        <w:t>ا</w:t>
      </w:r>
      <w:r w:rsidRPr="00201D0F">
        <w:rPr>
          <w:color w:val="000000"/>
          <w:rtl/>
          <w:lang w:bidi="ar-EG"/>
        </w:rPr>
        <w:t>ست</w:t>
      </w:r>
      <w:r w:rsidR="00AC577B">
        <w:rPr>
          <w:rFonts w:hint="cs"/>
          <w:color w:val="000000"/>
          <w:rtl/>
          <w:lang w:bidi="ar-EG"/>
        </w:rPr>
        <w:t>ُ</w:t>
      </w:r>
      <w:r w:rsidRPr="00201D0F">
        <w:rPr>
          <w:color w:val="000000"/>
          <w:rtl/>
          <w:lang w:bidi="ar-EG"/>
        </w:rPr>
        <w:t xml:space="preserve">خدم </w:t>
      </w:r>
      <w:r w:rsidRPr="00201D0F">
        <w:rPr>
          <w:color w:val="000000"/>
          <w:rtl/>
        </w:rPr>
        <w:t xml:space="preserve">دليل مقابلة لإجراء مقابلات </w:t>
      </w:r>
      <w:proofErr w:type="spellStart"/>
      <w:r w:rsidRPr="00201D0F">
        <w:rPr>
          <w:color w:val="000000"/>
          <w:rtl/>
        </w:rPr>
        <w:t>استرشادية</w:t>
      </w:r>
      <w:proofErr w:type="spellEnd"/>
      <w:r w:rsidRPr="00201D0F">
        <w:rPr>
          <w:color w:val="000000"/>
          <w:rtl/>
        </w:rPr>
        <w:t xml:space="preserve"> </w:t>
      </w:r>
      <w:proofErr w:type="gramStart"/>
      <w:r w:rsidRPr="00201D0F">
        <w:rPr>
          <w:color w:val="000000"/>
          <w:rtl/>
        </w:rPr>
        <w:t>داخل</w:t>
      </w:r>
      <w:proofErr w:type="gramEnd"/>
      <w:r w:rsidRPr="00201D0F">
        <w:rPr>
          <w:color w:val="000000"/>
          <w:rtl/>
        </w:rPr>
        <w:t xml:space="preserve"> تلك المؤسسات</w:t>
      </w:r>
      <w:r>
        <w:rPr>
          <w:rFonts w:hint="cs"/>
          <w:rtl/>
        </w:rPr>
        <w:t>.</w:t>
      </w:r>
    </w:p>
    <w:p w:rsidR="00C13888" w:rsidRDefault="00C13888" w:rsidP="005078DD">
      <w:pPr>
        <w:pStyle w:val="NormalParaAR"/>
        <w:rPr>
          <w:rtl/>
        </w:rPr>
      </w:pPr>
      <w:r>
        <w:rPr>
          <w:rFonts w:hint="cs"/>
          <w:rtl/>
        </w:rPr>
        <w:t xml:space="preserve">ومع ذلك، </w:t>
      </w:r>
      <w:r w:rsidRPr="00201D0F">
        <w:rPr>
          <w:color w:val="000000"/>
          <w:rtl/>
        </w:rPr>
        <w:t>انصب التركيز الرئيسي على ممارسي الطب التقليدي (</w:t>
      </w:r>
      <w:r w:rsidRPr="00201D0F">
        <w:rPr>
          <w:color w:val="000000"/>
        </w:rPr>
        <w:t>TMPs</w:t>
      </w:r>
      <w:r w:rsidRPr="00201D0F">
        <w:rPr>
          <w:color w:val="000000"/>
          <w:rtl/>
          <w:lang w:bidi="ar-EG"/>
        </w:rPr>
        <w:t xml:space="preserve">). </w:t>
      </w:r>
      <w:r w:rsidR="00AC577B">
        <w:rPr>
          <w:rFonts w:hint="cs"/>
          <w:color w:val="000000"/>
          <w:rtl/>
          <w:lang w:bidi="ar-EG"/>
        </w:rPr>
        <w:t>و</w:t>
      </w:r>
      <w:r w:rsidR="00AC577B">
        <w:rPr>
          <w:color w:val="000000"/>
          <w:rtl/>
        </w:rPr>
        <w:t>ا</w:t>
      </w:r>
      <w:r w:rsidRPr="00201D0F">
        <w:rPr>
          <w:color w:val="000000"/>
          <w:rtl/>
        </w:rPr>
        <w:t>ختيرت عينة قوامها 107 ممارساً للطب التقليدي</w:t>
      </w:r>
      <w:r w:rsidR="005078DD">
        <w:rPr>
          <w:rFonts w:hint="cs"/>
          <w:color w:val="000000"/>
          <w:rtl/>
        </w:rPr>
        <w:t xml:space="preserve"> </w:t>
      </w:r>
      <w:r w:rsidRPr="00201D0F">
        <w:rPr>
          <w:color w:val="000000"/>
          <w:rtl/>
        </w:rPr>
        <w:t xml:space="preserve">لإجراء </w:t>
      </w:r>
      <w:r w:rsidRPr="00201D0F">
        <w:rPr>
          <w:color w:val="000000"/>
          <w:rtl/>
          <w:lang w:bidi="ar-EG"/>
        </w:rPr>
        <w:t>الدراسة الاستقصائية</w:t>
      </w:r>
      <w:r w:rsidRPr="00201D0F">
        <w:rPr>
          <w:color w:val="000000"/>
          <w:rtl/>
        </w:rPr>
        <w:t xml:space="preserve">. </w:t>
      </w:r>
      <w:r w:rsidR="00AC577B">
        <w:rPr>
          <w:rFonts w:hint="cs"/>
          <w:color w:val="000000"/>
          <w:rtl/>
        </w:rPr>
        <w:t>و</w:t>
      </w:r>
      <w:r w:rsidRPr="00201D0F">
        <w:rPr>
          <w:color w:val="000000"/>
          <w:rtl/>
        </w:rPr>
        <w:t>عُقدت مقابلات ومناقشات بالمجموع</w:t>
      </w:r>
      <w:r w:rsidR="005078DD">
        <w:rPr>
          <w:rFonts w:hint="cs"/>
          <w:color w:val="000000"/>
          <w:rtl/>
        </w:rPr>
        <w:t xml:space="preserve">ات مع التركيز </w:t>
      </w:r>
      <w:r w:rsidRPr="00201D0F">
        <w:rPr>
          <w:color w:val="000000"/>
          <w:rtl/>
        </w:rPr>
        <w:t xml:space="preserve">على موضوعات محددة بغرض جمع البيانات من ممارسي الطب التقليدي فيما يتعلق بمزاولة المهنة والتحديات التي يواجهونها وآثار السياسة العامة وحماية حقوق الملكية الفكرية. </w:t>
      </w:r>
      <w:proofErr w:type="gramStart"/>
      <w:r w:rsidR="00AC577B">
        <w:rPr>
          <w:rFonts w:hint="cs"/>
          <w:color w:val="000000"/>
          <w:rtl/>
        </w:rPr>
        <w:t>و</w:t>
      </w:r>
      <w:r w:rsidR="00AC577B">
        <w:rPr>
          <w:color w:val="000000"/>
          <w:rtl/>
        </w:rPr>
        <w:t>ا</w:t>
      </w:r>
      <w:r w:rsidRPr="00201D0F">
        <w:rPr>
          <w:color w:val="000000"/>
          <w:rtl/>
        </w:rPr>
        <w:t>ست</w:t>
      </w:r>
      <w:r w:rsidR="00AC577B">
        <w:rPr>
          <w:rFonts w:hint="cs"/>
          <w:color w:val="000000"/>
          <w:rtl/>
        </w:rPr>
        <w:t>ُ</w:t>
      </w:r>
      <w:r w:rsidRPr="00201D0F">
        <w:rPr>
          <w:color w:val="000000"/>
          <w:rtl/>
        </w:rPr>
        <w:t>خدم</w:t>
      </w:r>
      <w:proofErr w:type="gramEnd"/>
      <w:r w:rsidRPr="00201D0F">
        <w:rPr>
          <w:color w:val="000000"/>
          <w:rtl/>
        </w:rPr>
        <w:t xml:space="preserve"> استبيان شبه مُنظَّم يتضمن أسئلة ذات نهاية مغلقة (تحتاج إلى إجابات بسيطة ومحددة) وأخرى ذات نهايات مفتوحة (ليس لها إجابات محددة) في إجراء الدراسة الاستقصائية</w:t>
      </w:r>
      <w:r>
        <w:rPr>
          <w:rFonts w:hint="cs"/>
          <w:rtl/>
        </w:rPr>
        <w:t>.</w:t>
      </w:r>
    </w:p>
    <w:p w:rsidR="00C13888" w:rsidRPr="00AC577B" w:rsidRDefault="00C13888" w:rsidP="0002216C">
      <w:pPr>
        <w:pStyle w:val="NormalParaAR"/>
        <w:keepNext/>
        <w:rPr>
          <w:b/>
          <w:bCs/>
          <w:rtl/>
        </w:rPr>
      </w:pPr>
      <w:r w:rsidRPr="00AC577B">
        <w:rPr>
          <w:rFonts w:hint="cs"/>
          <w:b/>
          <w:bCs/>
          <w:rtl/>
        </w:rPr>
        <w:t>نتائج الدراسة</w:t>
      </w:r>
    </w:p>
    <w:p w:rsidR="00C13888" w:rsidRDefault="00C13888" w:rsidP="00AC577B">
      <w:pPr>
        <w:pStyle w:val="NormalParaAR"/>
        <w:rPr>
          <w:rtl/>
        </w:rPr>
      </w:pPr>
      <w:r>
        <w:rPr>
          <w:rFonts w:hint="cs"/>
          <w:rtl/>
        </w:rPr>
        <w:t xml:space="preserve">ظهرت </w:t>
      </w:r>
      <w:r w:rsidRPr="00201D0F">
        <w:rPr>
          <w:color w:val="000000"/>
          <w:rtl/>
        </w:rPr>
        <w:t xml:space="preserve">نتائج عديدة من الدراسة في غانا. وفيما يلي بعض النقاط البارزة الرئيسية: </w:t>
      </w:r>
      <w:r w:rsidR="009569E2">
        <w:rPr>
          <w:rFonts w:hint="cs"/>
          <w:i/>
          <w:iCs/>
          <w:color w:val="000000"/>
          <w:rtl/>
          <w:lang w:bidi="ar-EG"/>
        </w:rPr>
        <w:t>في سياق عدم الالتزام بالطابع الرسمي</w:t>
      </w:r>
      <w:r w:rsidRPr="00201D0F">
        <w:rPr>
          <w:color w:val="000000"/>
          <w:rtl/>
        </w:rPr>
        <w:t>: تم تقييم مستوى</w:t>
      </w:r>
      <w:r w:rsidRPr="00201D0F">
        <w:rPr>
          <w:color w:val="000000"/>
          <w:rtl/>
          <w:lang w:bidi="ar-EG"/>
        </w:rPr>
        <w:t xml:space="preserve"> </w:t>
      </w:r>
      <w:r w:rsidR="009569E2">
        <w:rPr>
          <w:rFonts w:hint="cs"/>
          <w:color w:val="000000"/>
          <w:rtl/>
          <w:lang w:bidi="ar-EG"/>
        </w:rPr>
        <w:t>الالتزام بالطابع</w:t>
      </w:r>
      <w:r w:rsidRPr="00201D0F">
        <w:rPr>
          <w:color w:val="000000"/>
          <w:rtl/>
          <w:lang w:bidi="ar-EG"/>
        </w:rPr>
        <w:t xml:space="preserve"> الرسمي فيما بين المبحوثين في هذه الدراسة </w:t>
      </w:r>
      <w:r w:rsidRPr="00201D0F">
        <w:rPr>
          <w:color w:val="000000"/>
          <w:rtl/>
        </w:rPr>
        <w:t>استناداً إلى ثلاثة معايير رئيسية على النحو التالي:</w:t>
      </w:r>
      <w:r w:rsidR="00AC577B">
        <w:rPr>
          <w:rFonts w:hint="cs"/>
          <w:color w:val="000000"/>
          <w:rtl/>
        </w:rPr>
        <w:t xml:space="preserve"> "1"</w:t>
      </w:r>
      <w:r w:rsidRPr="00201D0F">
        <w:rPr>
          <w:color w:val="000000"/>
          <w:rtl/>
        </w:rPr>
        <w:t xml:space="preserve"> تسجيل وقيد ممارس الطب التقليدي، </w:t>
      </w:r>
      <w:r w:rsidR="00AC577B">
        <w:rPr>
          <w:rFonts w:hint="cs"/>
          <w:color w:val="000000"/>
          <w:rtl/>
        </w:rPr>
        <w:t>"2"</w:t>
      </w:r>
      <w:r w:rsidRPr="00201D0F">
        <w:rPr>
          <w:color w:val="000000"/>
          <w:rtl/>
        </w:rPr>
        <w:t xml:space="preserve"> </w:t>
      </w:r>
      <w:r w:rsidR="00AC577B">
        <w:rPr>
          <w:rFonts w:hint="cs"/>
          <w:color w:val="000000"/>
          <w:rtl/>
        </w:rPr>
        <w:t>و</w:t>
      </w:r>
      <w:r w:rsidRPr="00201D0F">
        <w:rPr>
          <w:color w:val="000000"/>
          <w:rtl/>
        </w:rPr>
        <w:t>المعاملات مع المصارف وتحديداً إبرام تعاقدات خا</w:t>
      </w:r>
      <w:r w:rsidR="00AC577B">
        <w:rPr>
          <w:color w:val="000000"/>
          <w:rtl/>
        </w:rPr>
        <w:t xml:space="preserve">صة بالقروض والتسهيلات البنكية، </w:t>
      </w:r>
      <w:r w:rsidR="00AC577B">
        <w:rPr>
          <w:rFonts w:hint="cs"/>
          <w:color w:val="000000"/>
          <w:rtl/>
        </w:rPr>
        <w:t>"3"</w:t>
      </w:r>
      <w:r w:rsidRPr="00201D0F">
        <w:rPr>
          <w:color w:val="000000"/>
          <w:rtl/>
        </w:rPr>
        <w:t xml:space="preserve"> </w:t>
      </w:r>
      <w:r w:rsidR="00AC577B">
        <w:rPr>
          <w:rFonts w:hint="cs"/>
          <w:color w:val="000000"/>
          <w:rtl/>
        </w:rPr>
        <w:t>و</w:t>
      </w:r>
      <w:r w:rsidRPr="00201D0F">
        <w:rPr>
          <w:color w:val="000000"/>
          <w:rtl/>
        </w:rPr>
        <w:t xml:space="preserve">المساهمة في أنظمة الضمان الاجتماعي. </w:t>
      </w:r>
      <w:proofErr w:type="gramStart"/>
      <w:r w:rsidR="00AC577B">
        <w:rPr>
          <w:rFonts w:hint="cs"/>
          <w:color w:val="000000"/>
          <w:rtl/>
        </w:rPr>
        <w:t>و</w:t>
      </w:r>
      <w:r w:rsidRPr="00201D0F">
        <w:rPr>
          <w:color w:val="000000"/>
          <w:rtl/>
        </w:rPr>
        <w:t>ألزم</w:t>
      </w:r>
      <w:proofErr w:type="gramEnd"/>
      <w:r w:rsidRPr="00201D0F">
        <w:rPr>
          <w:color w:val="000000"/>
          <w:rtl/>
        </w:rPr>
        <w:t xml:space="preserve"> قانون الطب التقليدي رقم 595 لسنة 2000 جميع ممارسي الطب التقليدي العاملين في غانا، سواء كانت الممارسة رسمية أو غير رسمية، بالتسجيل في قوائم "مجلس ممارسة </w:t>
      </w:r>
      <w:r w:rsidRPr="00201D0F">
        <w:rPr>
          <w:color w:val="000000"/>
          <w:rtl/>
        </w:rPr>
        <w:lastRenderedPageBreak/>
        <w:t xml:space="preserve">الطب التقليدي". </w:t>
      </w:r>
      <w:r w:rsidR="00AC577B">
        <w:rPr>
          <w:rFonts w:hint="cs"/>
          <w:color w:val="000000"/>
          <w:rtl/>
        </w:rPr>
        <w:t>و</w:t>
      </w:r>
      <w:r w:rsidRPr="00201D0F">
        <w:rPr>
          <w:color w:val="000000"/>
          <w:rtl/>
        </w:rPr>
        <w:t>بلغت نسبة غير المسجلين، سواء مع المجلس أو مع أي مؤسسة أو جمعية أخرى مثيلة حوالي 33</w:t>
      </w:r>
      <w:r w:rsidR="00AC577B">
        <w:rPr>
          <w:rFonts w:hint="cs"/>
          <w:color w:val="000000"/>
          <w:rtl/>
        </w:rPr>
        <w:t xml:space="preserve"> بالمائة</w:t>
      </w:r>
      <w:r w:rsidRPr="00201D0F">
        <w:rPr>
          <w:color w:val="000000"/>
          <w:rtl/>
        </w:rPr>
        <w:t xml:space="preserve"> من العينة </w:t>
      </w:r>
      <w:proofErr w:type="spellStart"/>
      <w:r w:rsidRPr="00201D0F">
        <w:rPr>
          <w:color w:val="000000"/>
          <w:rtl/>
        </w:rPr>
        <w:t>المبحوثة</w:t>
      </w:r>
      <w:proofErr w:type="spellEnd"/>
      <w:r w:rsidRPr="00201D0F">
        <w:rPr>
          <w:color w:val="000000"/>
          <w:rtl/>
        </w:rPr>
        <w:t>، كما بلغت نسبة من لم يتعاقد للحصول على تسهيلات من أي بنك حوالي 83</w:t>
      </w:r>
      <w:r w:rsidR="00AC577B">
        <w:rPr>
          <w:rFonts w:hint="cs"/>
          <w:color w:val="000000"/>
          <w:rtl/>
        </w:rPr>
        <w:t xml:space="preserve"> بالمائة</w:t>
      </w:r>
      <w:r w:rsidRPr="00201D0F">
        <w:rPr>
          <w:color w:val="000000"/>
          <w:rtl/>
        </w:rPr>
        <w:t>، وبلغت نسبة من لم يسدد أقساط الضمان الاجتماعي عن أنفسهم أو عن موظفيهم حوالي 69</w:t>
      </w:r>
      <w:r w:rsidR="00AC577B">
        <w:rPr>
          <w:rFonts w:hint="cs"/>
          <w:color w:val="000000"/>
          <w:rtl/>
        </w:rPr>
        <w:t xml:space="preserve"> بالمائة</w:t>
      </w:r>
      <w:r w:rsidRPr="00201D0F">
        <w:rPr>
          <w:color w:val="000000"/>
          <w:rtl/>
        </w:rPr>
        <w:t>. ولذلك يبدو أنه وعلى الرغم من مستوى التسجيل المرتفع نسبيا (67</w:t>
      </w:r>
      <w:r w:rsidR="00AC577B">
        <w:rPr>
          <w:rFonts w:hint="cs"/>
          <w:color w:val="000000"/>
          <w:rtl/>
        </w:rPr>
        <w:t xml:space="preserve"> بالمائة</w:t>
      </w:r>
      <w:r w:rsidRPr="00201D0F">
        <w:rPr>
          <w:color w:val="000000"/>
          <w:rtl/>
        </w:rPr>
        <w:t>) بين ممارسي الطب التقليدي اتساقا مع المتطلبات القانونية لمزاولة المهنة، إلا أن ممارستهم كانت تميل إلى أن تكون غير رسمية بصورة أكبر من كونها رسمية بالنظر إلى معايير أخرى</w:t>
      </w:r>
      <w:r>
        <w:rPr>
          <w:rFonts w:hint="cs"/>
          <w:rtl/>
        </w:rPr>
        <w:t>.</w:t>
      </w:r>
    </w:p>
    <w:p w:rsidR="00C13888" w:rsidRDefault="00C13888" w:rsidP="00AC577B">
      <w:pPr>
        <w:pStyle w:val="NormalParaAR"/>
        <w:rPr>
          <w:color w:val="000000"/>
          <w:rtl/>
        </w:rPr>
      </w:pPr>
      <w:proofErr w:type="gramStart"/>
      <w:r w:rsidRPr="00C13888">
        <w:rPr>
          <w:rFonts w:hint="cs"/>
          <w:i/>
          <w:iCs/>
          <w:rtl/>
        </w:rPr>
        <w:t>تسويق</w:t>
      </w:r>
      <w:proofErr w:type="gramEnd"/>
      <w:r w:rsidRPr="00C13888">
        <w:rPr>
          <w:rFonts w:hint="cs"/>
          <w:i/>
          <w:iCs/>
          <w:rtl/>
        </w:rPr>
        <w:t xml:space="preserve"> المنتجات العشبية</w:t>
      </w:r>
      <w:r>
        <w:rPr>
          <w:rFonts w:hint="cs"/>
          <w:rtl/>
        </w:rPr>
        <w:t xml:space="preserve">: </w:t>
      </w:r>
      <w:r w:rsidRPr="00201D0F">
        <w:rPr>
          <w:color w:val="000000"/>
          <w:rtl/>
        </w:rPr>
        <w:t xml:space="preserve">يوضح </w:t>
      </w:r>
      <w:r w:rsidR="009569E2">
        <w:rPr>
          <w:rFonts w:hint="cs"/>
          <w:color w:val="000000"/>
          <w:rtl/>
        </w:rPr>
        <w:t>النظام المتبع في</w:t>
      </w:r>
      <w:r w:rsidRPr="00201D0F">
        <w:rPr>
          <w:color w:val="000000"/>
          <w:rtl/>
        </w:rPr>
        <w:t xml:space="preserve"> تسويق المنتجات العشبية التقليدية بصورة أشمل </w:t>
      </w:r>
      <w:r w:rsidRPr="00201D0F">
        <w:rPr>
          <w:color w:val="000000"/>
          <w:rtl/>
          <w:lang w:bidi="ar-EG"/>
        </w:rPr>
        <w:t xml:space="preserve">الطابع غير الرسمي فضلا عن </w:t>
      </w:r>
      <w:r w:rsidRPr="00201D0F">
        <w:rPr>
          <w:color w:val="000000"/>
          <w:rtl/>
        </w:rPr>
        <w:t>علاقاته بالقطاع الرسمي</w:t>
      </w:r>
      <w:r w:rsidR="009569E2">
        <w:rPr>
          <w:rFonts w:hint="cs"/>
          <w:color w:val="000000"/>
          <w:rtl/>
        </w:rPr>
        <w:t xml:space="preserve">. </w:t>
      </w:r>
      <w:proofErr w:type="gramStart"/>
      <w:r w:rsidR="00AC577B">
        <w:rPr>
          <w:rFonts w:hint="cs"/>
          <w:color w:val="000000"/>
          <w:rtl/>
        </w:rPr>
        <w:t>و</w:t>
      </w:r>
      <w:r w:rsidR="009569E2">
        <w:rPr>
          <w:rFonts w:hint="cs"/>
          <w:color w:val="000000"/>
          <w:rtl/>
        </w:rPr>
        <w:t>يُدير</w:t>
      </w:r>
      <w:proofErr w:type="gramEnd"/>
      <w:r w:rsidRPr="00201D0F">
        <w:rPr>
          <w:color w:val="000000"/>
          <w:rtl/>
        </w:rPr>
        <w:t xml:space="preserve"> معظم ممارسي الطب التقليدي – 62</w:t>
      </w:r>
      <w:r w:rsidR="00AC577B">
        <w:rPr>
          <w:rFonts w:hint="cs"/>
          <w:color w:val="000000"/>
          <w:rtl/>
        </w:rPr>
        <w:t xml:space="preserve"> بالمائة</w:t>
      </w:r>
      <w:r w:rsidRPr="00201D0F">
        <w:rPr>
          <w:color w:val="000000"/>
          <w:rtl/>
        </w:rPr>
        <w:t xml:space="preserve"> من المستطلعة آراؤهم – بأنفسهم متاجر المنتجات العشبية الخاصة بهم، وبعضها لا يتعدى سوى بعض الطاولات المنصوبة لعرض المنتجات. </w:t>
      </w:r>
      <w:r w:rsidR="009569E2">
        <w:rPr>
          <w:rFonts w:hint="cs"/>
          <w:color w:val="000000"/>
          <w:rtl/>
        </w:rPr>
        <w:t>و</w:t>
      </w:r>
      <w:r w:rsidRPr="00201D0F">
        <w:rPr>
          <w:color w:val="000000"/>
          <w:rtl/>
        </w:rPr>
        <w:t xml:space="preserve">على المستوى المحلي، </w:t>
      </w:r>
      <w:r w:rsidR="009569E2">
        <w:rPr>
          <w:rFonts w:hint="cs"/>
          <w:color w:val="000000"/>
          <w:rtl/>
        </w:rPr>
        <w:t>تُباع تلك</w:t>
      </w:r>
      <w:r w:rsidRPr="00201D0F">
        <w:rPr>
          <w:color w:val="000000"/>
          <w:rtl/>
        </w:rPr>
        <w:t xml:space="preserve"> المنتجات </w:t>
      </w:r>
      <w:r w:rsidR="009569E2">
        <w:rPr>
          <w:rFonts w:hint="cs"/>
          <w:color w:val="000000"/>
          <w:rtl/>
        </w:rPr>
        <w:t xml:space="preserve">في </w:t>
      </w:r>
      <w:r w:rsidRPr="00201D0F">
        <w:rPr>
          <w:color w:val="000000"/>
          <w:rtl/>
        </w:rPr>
        <w:t>الأسواق وفي محطات الشاحنات، أو مباشرةً للمستهلكين من خلال</w:t>
      </w:r>
      <w:r w:rsidRPr="00201D0F">
        <w:rPr>
          <w:color w:val="000000"/>
          <w:rtl/>
          <w:lang w:bidi="ar-EG"/>
        </w:rPr>
        <w:t xml:space="preserve"> الباعة الجائلين. </w:t>
      </w:r>
      <w:proofErr w:type="gramStart"/>
      <w:r w:rsidRPr="00201D0F">
        <w:rPr>
          <w:color w:val="000000"/>
          <w:rtl/>
        </w:rPr>
        <w:t>وما</w:t>
      </w:r>
      <w:proofErr w:type="gramEnd"/>
      <w:r w:rsidRPr="00201D0F">
        <w:rPr>
          <w:color w:val="000000"/>
          <w:rtl/>
        </w:rPr>
        <w:t xml:space="preserve"> زالت تُباع بعض من هذه المنتجات في محلات المواد الكيميائية والمستشفيات والعيادات. ومن المثير للاهتمام، إفادة حوالي 9</w:t>
      </w:r>
      <w:r w:rsidR="00AC577B">
        <w:rPr>
          <w:rFonts w:hint="cs"/>
          <w:color w:val="000000"/>
          <w:rtl/>
        </w:rPr>
        <w:t>,</w:t>
      </w:r>
      <w:r w:rsidRPr="00201D0F">
        <w:rPr>
          <w:color w:val="000000"/>
          <w:rtl/>
        </w:rPr>
        <w:t>7</w:t>
      </w:r>
      <w:r w:rsidR="00AC577B">
        <w:rPr>
          <w:rFonts w:hint="cs"/>
          <w:color w:val="000000"/>
          <w:rtl/>
        </w:rPr>
        <w:t xml:space="preserve"> بالمائة</w:t>
      </w:r>
      <w:r w:rsidRPr="00201D0F">
        <w:rPr>
          <w:color w:val="000000"/>
          <w:rtl/>
        </w:rPr>
        <w:t xml:space="preserve"> من العينة </w:t>
      </w:r>
      <w:proofErr w:type="spellStart"/>
      <w:r w:rsidR="009569E2">
        <w:rPr>
          <w:rFonts w:hint="cs"/>
          <w:color w:val="000000"/>
          <w:rtl/>
        </w:rPr>
        <w:t>المبحوثة</w:t>
      </w:r>
      <w:proofErr w:type="spellEnd"/>
      <w:r w:rsidR="009569E2">
        <w:rPr>
          <w:rFonts w:hint="cs"/>
          <w:color w:val="000000"/>
          <w:rtl/>
        </w:rPr>
        <w:t xml:space="preserve"> </w:t>
      </w:r>
      <w:r w:rsidRPr="00201D0F">
        <w:rPr>
          <w:color w:val="000000"/>
          <w:rtl/>
        </w:rPr>
        <w:t>بتصدير منتجاتهم أساساً إلى البلدان المجاورة، مما يعطي مؤشراً على إمكانية تصدير أدوية الأعشاب التقليدية للخارج</w:t>
      </w:r>
      <w:r>
        <w:rPr>
          <w:rFonts w:hint="cs"/>
          <w:color w:val="000000"/>
          <w:rtl/>
        </w:rPr>
        <w:t>.</w:t>
      </w:r>
    </w:p>
    <w:p w:rsidR="00C13888" w:rsidRDefault="00C13888" w:rsidP="00AC577B">
      <w:pPr>
        <w:pStyle w:val="NormalParaAR"/>
        <w:rPr>
          <w:color w:val="000000"/>
          <w:rtl/>
        </w:rPr>
      </w:pPr>
      <w:r w:rsidRPr="00C13888">
        <w:rPr>
          <w:rFonts w:hint="cs"/>
          <w:i/>
          <w:iCs/>
          <w:color w:val="000000"/>
          <w:rtl/>
        </w:rPr>
        <w:t>التدريب</w:t>
      </w:r>
      <w:r>
        <w:rPr>
          <w:rFonts w:hint="cs"/>
          <w:color w:val="000000"/>
          <w:rtl/>
        </w:rPr>
        <w:t xml:space="preserve">: </w:t>
      </w:r>
      <w:r w:rsidRPr="00201D0F">
        <w:rPr>
          <w:color w:val="000000"/>
          <w:rtl/>
        </w:rPr>
        <w:t>فيما يتعلق بموضوع التدريب واكتساب المعرفة، اكتسب 55</w:t>
      </w:r>
      <w:r w:rsidR="00AC577B">
        <w:rPr>
          <w:rFonts w:hint="cs"/>
          <w:color w:val="000000"/>
          <w:rtl/>
        </w:rPr>
        <w:t xml:space="preserve"> بالمائة</w:t>
      </w:r>
      <w:r w:rsidRPr="00201D0F">
        <w:rPr>
          <w:color w:val="000000"/>
          <w:rtl/>
        </w:rPr>
        <w:t xml:space="preserve"> من ممارسي الطب التقليدي المبحوثين المهارة من خلال مراقبة آبائهم أو أفراد آخرين من الأسرة أثناء الممارسة العائلية للنشاط، و35</w:t>
      </w:r>
      <w:r w:rsidR="00AC577B">
        <w:rPr>
          <w:rFonts w:hint="cs"/>
          <w:color w:val="000000"/>
          <w:rtl/>
        </w:rPr>
        <w:t xml:space="preserve"> بالمائة</w:t>
      </w:r>
      <w:r w:rsidRPr="00201D0F">
        <w:rPr>
          <w:color w:val="000000"/>
          <w:rtl/>
        </w:rPr>
        <w:t xml:space="preserve"> من خلال التلمذة الصناعية</w:t>
      </w:r>
      <w:r w:rsidRPr="00201D0F">
        <w:rPr>
          <w:color w:val="000000"/>
          <w:rtl/>
          <w:lang w:bidi="ar-EG"/>
        </w:rPr>
        <w:t xml:space="preserve">، وأدَّعى </w:t>
      </w:r>
      <w:r w:rsidRPr="00201D0F">
        <w:rPr>
          <w:color w:val="000000"/>
          <w:rtl/>
        </w:rPr>
        <w:t>حوالي 10</w:t>
      </w:r>
      <w:r w:rsidR="00AC577B">
        <w:rPr>
          <w:rFonts w:hint="cs"/>
          <w:color w:val="000000"/>
          <w:rtl/>
        </w:rPr>
        <w:t xml:space="preserve"> بالمائة</w:t>
      </w:r>
      <w:r w:rsidRPr="00201D0F">
        <w:rPr>
          <w:color w:val="000000"/>
          <w:rtl/>
        </w:rPr>
        <w:t xml:space="preserve"> ممارستهم للطب التقليدي تنفيذاً لنداء إلهي اختصهم بشفاء بعض الأمراض. </w:t>
      </w:r>
      <w:r w:rsidR="00AC577B">
        <w:rPr>
          <w:rFonts w:hint="cs"/>
          <w:color w:val="000000"/>
          <w:rtl/>
        </w:rPr>
        <w:t>و</w:t>
      </w:r>
      <w:r w:rsidRPr="00201D0F">
        <w:rPr>
          <w:color w:val="000000"/>
          <w:rtl/>
        </w:rPr>
        <w:t>تكمن النقطة الأساسية في الحاجة إلى الارتقاء النسبي في المعارف والمهارات لتحسين مستوى الممارسة</w:t>
      </w:r>
      <w:r>
        <w:rPr>
          <w:rFonts w:hint="cs"/>
          <w:color w:val="000000"/>
          <w:rtl/>
        </w:rPr>
        <w:t>.</w:t>
      </w:r>
    </w:p>
    <w:p w:rsidR="00C13888" w:rsidRDefault="00C13888" w:rsidP="00AC577B">
      <w:pPr>
        <w:pStyle w:val="NormalParaAR"/>
        <w:rPr>
          <w:color w:val="000000"/>
          <w:rtl/>
        </w:rPr>
      </w:pPr>
      <w:proofErr w:type="gramStart"/>
      <w:r w:rsidRPr="00C13888">
        <w:rPr>
          <w:rFonts w:hint="cs"/>
          <w:i/>
          <w:iCs/>
          <w:color w:val="000000"/>
          <w:rtl/>
        </w:rPr>
        <w:t>الامتثال</w:t>
      </w:r>
      <w:proofErr w:type="gramEnd"/>
      <w:r w:rsidRPr="00C13888">
        <w:rPr>
          <w:rFonts w:hint="cs"/>
          <w:i/>
          <w:iCs/>
          <w:color w:val="000000"/>
          <w:rtl/>
        </w:rPr>
        <w:t xml:space="preserve"> للوائح</w:t>
      </w:r>
      <w:r>
        <w:rPr>
          <w:rFonts w:hint="cs"/>
          <w:color w:val="000000"/>
          <w:rtl/>
        </w:rPr>
        <w:t xml:space="preserve">: </w:t>
      </w:r>
      <w:r w:rsidRPr="00201D0F">
        <w:rPr>
          <w:color w:val="000000"/>
          <w:rtl/>
        </w:rPr>
        <w:t>وفقا للقانون، يتعين تسجيل منتجات الطب التقليدي، مثلها في ذلك مثل كافة المنتجات الدوائية، في سجلات الهيئة العامة للأغذية والعقاقير (</w:t>
      </w:r>
      <w:r w:rsidRPr="00201D0F">
        <w:rPr>
          <w:color w:val="000000"/>
        </w:rPr>
        <w:t>FDA</w:t>
      </w:r>
      <w:r w:rsidRPr="00201D0F">
        <w:rPr>
          <w:color w:val="000000"/>
          <w:rtl/>
        </w:rPr>
        <w:t xml:space="preserve">). </w:t>
      </w:r>
      <w:r w:rsidR="00AC577B">
        <w:rPr>
          <w:rFonts w:hint="cs"/>
          <w:color w:val="000000"/>
          <w:rtl/>
        </w:rPr>
        <w:t>و</w:t>
      </w:r>
      <w:r w:rsidRPr="00201D0F">
        <w:rPr>
          <w:color w:val="000000"/>
          <w:rtl/>
        </w:rPr>
        <w:t xml:space="preserve">تختبر الهيئة سلامة تلك </w:t>
      </w:r>
      <w:proofErr w:type="gramStart"/>
      <w:r w:rsidRPr="00201D0F">
        <w:rPr>
          <w:color w:val="000000"/>
          <w:rtl/>
        </w:rPr>
        <w:t>المنتجات</w:t>
      </w:r>
      <w:proofErr w:type="gramEnd"/>
      <w:r w:rsidRPr="00201D0F">
        <w:rPr>
          <w:color w:val="000000"/>
          <w:rtl/>
        </w:rPr>
        <w:t xml:space="preserve"> وتق</w:t>
      </w:r>
      <w:r w:rsidR="009569E2">
        <w:rPr>
          <w:rFonts w:hint="cs"/>
          <w:color w:val="000000"/>
          <w:rtl/>
        </w:rPr>
        <w:t>ِّ</w:t>
      </w:r>
      <w:r w:rsidRPr="00201D0F">
        <w:rPr>
          <w:color w:val="000000"/>
          <w:rtl/>
        </w:rPr>
        <w:t xml:space="preserve">ر صلاحيتها وجودتها قبل الموافقة على التسجيل. </w:t>
      </w:r>
      <w:r w:rsidR="00AC577B">
        <w:rPr>
          <w:rFonts w:hint="cs"/>
          <w:color w:val="000000"/>
          <w:rtl/>
        </w:rPr>
        <w:t>و</w:t>
      </w:r>
      <w:r w:rsidRPr="00201D0F">
        <w:rPr>
          <w:color w:val="000000"/>
          <w:rtl/>
        </w:rPr>
        <w:t>في هذه الدراسة، أفاد 52</w:t>
      </w:r>
      <w:r w:rsidR="00AC577B">
        <w:rPr>
          <w:rFonts w:hint="cs"/>
          <w:color w:val="000000"/>
          <w:rtl/>
        </w:rPr>
        <w:t xml:space="preserve"> بالمائة</w:t>
      </w:r>
      <w:r w:rsidRPr="00201D0F">
        <w:rPr>
          <w:color w:val="000000"/>
          <w:rtl/>
        </w:rPr>
        <w:t xml:space="preserve"> من </w:t>
      </w:r>
      <w:proofErr w:type="spellStart"/>
      <w:r w:rsidRPr="00201D0F">
        <w:rPr>
          <w:color w:val="000000"/>
          <w:rtl/>
        </w:rPr>
        <w:t>المبحوثين</w:t>
      </w:r>
      <w:proofErr w:type="spellEnd"/>
      <w:r w:rsidRPr="00201D0F">
        <w:rPr>
          <w:color w:val="000000"/>
          <w:rtl/>
        </w:rPr>
        <w:t xml:space="preserve"> بتسجيل منتج واحد على الأقل من منتجاتهم في قوائم الهيئة العامة للأغذية والعقاقير و/أو "هيئة المعايير في غانا" (</w:t>
      </w:r>
      <w:r w:rsidRPr="00201D0F">
        <w:rPr>
          <w:color w:val="000000"/>
        </w:rPr>
        <w:t>GSA</w:t>
      </w:r>
      <w:r w:rsidRPr="00201D0F">
        <w:rPr>
          <w:color w:val="000000"/>
          <w:rtl/>
          <w:lang w:bidi="ar-EG"/>
        </w:rPr>
        <w:t xml:space="preserve">) أو </w:t>
      </w:r>
      <w:r w:rsidRPr="00201D0F">
        <w:rPr>
          <w:color w:val="000000"/>
          <w:rtl/>
        </w:rPr>
        <w:t>تم اختبار المنتج في مركز البحوث العلمية للأعشاب الطبية (</w:t>
      </w:r>
      <w:r w:rsidRPr="00201D0F">
        <w:rPr>
          <w:color w:val="000000"/>
        </w:rPr>
        <w:t>CSRPM</w:t>
      </w:r>
      <w:r w:rsidRPr="00201D0F">
        <w:rPr>
          <w:color w:val="000000"/>
          <w:rtl/>
          <w:lang w:bidi="ar-EG"/>
        </w:rPr>
        <w:t xml:space="preserve">). </w:t>
      </w:r>
      <w:r w:rsidR="00AC577B">
        <w:rPr>
          <w:rFonts w:hint="cs"/>
          <w:color w:val="000000"/>
          <w:rtl/>
          <w:lang w:bidi="ar-EG"/>
        </w:rPr>
        <w:t>و</w:t>
      </w:r>
      <w:r w:rsidRPr="00201D0F">
        <w:rPr>
          <w:color w:val="000000"/>
          <w:rtl/>
        </w:rPr>
        <w:t xml:space="preserve">أورد من لم يسجل أي من منتجاته بعض الأسباب التي حالت دون </w:t>
      </w:r>
      <w:r w:rsidR="00072BC4">
        <w:rPr>
          <w:rFonts w:hint="cs"/>
          <w:color w:val="000000"/>
          <w:rtl/>
        </w:rPr>
        <w:t>التسجيل</w:t>
      </w:r>
      <w:r w:rsidRPr="00201D0F">
        <w:rPr>
          <w:color w:val="000000"/>
          <w:rtl/>
        </w:rPr>
        <w:t xml:space="preserve"> مث</w:t>
      </w:r>
      <w:r w:rsidR="009569E2">
        <w:rPr>
          <w:rFonts w:hint="cs"/>
          <w:color w:val="000000"/>
          <w:rtl/>
        </w:rPr>
        <w:t xml:space="preserve">ل: </w:t>
      </w:r>
      <w:r w:rsidRPr="00201D0F">
        <w:rPr>
          <w:color w:val="000000"/>
          <w:rtl/>
        </w:rPr>
        <w:t xml:space="preserve">الطبيعة المُرْهِقة لإجراءات التسجيل والارتفاع الكبير لرسوم التسجيل. </w:t>
      </w:r>
      <w:proofErr w:type="gramStart"/>
      <w:r w:rsidRPr="00201D0F">
        <w:rPr>
          <w:color w:val="000000"/>
          <w:rtl/>
        </w:rPr>
        <w:t>ومع</w:t>
      </w:r>
      <w:proofErr w:type="gramEnd"/>
      <w:r w:rsidRPr="00201D0F">
        <w:rPr>
          <w:color w:val="000000"/>
          <w:rtl/>
        </w:rPr>
        <w:t xml:space="preserve"> ذلك، فمن الجدير بالذكر أنه قد تلاحظ قدرة بعض ممارسي الطب التقليدي على الامتثال للوائح على نحو فعَّال. </w:t>
      </w:r>
      <w:r w:rsidR="00AC577B">
        <w:rPr>
          <w:rFonts w:hint="cs"/>
          <w:color w:val="000000"/>
          <w:rtl/>
        </w:rPr>
        <w:t>و</w:t>
      </w:r>
      <w:r w:rsidRPr="00201D0F">
        <w:rPr>
          <w:color w:val="000000"/>
          <w:rtl/>
        </w:rPr>
        <w:t>ي</w:t>
      </w:r>
      <w:r w:rsidR="009569E2">
        <w:rPr>
          <w:rFonts w:hint="cs"/>
          <w:color w:val="000000"/>
          <w:rtl/>
        </w:rPr>
        <w:t>َ</w:t>
      </w:r>
      <w:r w:rsidRPr="00201D0F">
        <w:rPr>
          <w:color w:val="000000"/>
          <w:rtl/>
        </w:rPr>
        <w:t>ص</w:t>
      </w:r>
      <w:r w:rsidR="009569E2">
        <w:rPr>
          <w:rFonts w:hint="cs"/>
          <w:color w:val="000000"/>
          <w:rtl/>
        </w:rPr>
        <w:t>ُ</w:t>
      </w:r>
      <w:r w:rsidRPr="00201D0F">
        <w:rPr>
          <w:color w:val="000000"/>
          <w:rtl/>
        </w:rPr>
        <w:t xml:space="preserve">ب الامتثال للأنظمة الوطنية في مصلحة تحسين نوعية </w:t>
      </w:r>
      <w:proofErr w:type="gramStart"/>
      <w:r w:rsidRPr="00201D0F">
        <w:rPr>
          <w:color w:val="000000"/>
          <w:rtl/>
        </w:rPr>
        <w:t>منتجات</w:t>
      </w:r>
      <w:proofErr w:type="gramEnd"/>
      <w:r w:rsidRPr="00201D0F">
        <w:rPr>
          <w:color w:val="000000"/>
          <w:rtl/>
        </w:rPr>
        <w:t xml:space="preserve"> ا</w:t>
      </w:r>
      <w:r w:rsidR="00AC577B">
        <w:rPr>
          <w:color w:val="000000"/>
          <w:rtl/>
        </w:rPr>
        <w:t>لأعشاب الطبية وتعزيز درجة تقب</w:t>
      </w:r>
      <w:r w:rsidR="00AC577B">
        <w:rPr>
          <w:rFonts w:hint="cs"/>
          <w:color w:val="000000"/>
          <w:rtl/>
        </w:rPr>
        <w:t>ُ</w:t>
      </w:r>
      <w:r w:rsidRPr="00201D0F">
        <w:rPr>
          <w:color w:val="000000"/>
          <w:rtl/>
        </w:rPr>
        <w:t>لها وارتفاع فعّاليتها للمستهلكين. ومع ذلك، ظهرت الحاجة لمعالجة الشواغل الخاصة بإجراءات الامتثال للوائح</w:t>
      </w:r>
      <w:r>
        <w:rPr>
          <w:rFonts w:hint="cs"/>
          <w:color w:val="000000"/>
          <w:rtl/>
        </w:rPr>
        <w:t>.</w:t>
      </w:r>
    </w:p>
    <w:p w:rsidR="00C13888" w:rsidRDefault="00C13888" w:rsidP="00E711AC">
      <w:pPr>
        <w:pStyle w:val="NormalParaAR"/>
        <w:rPr>
          <w:color w:val="000000"/>
          <w:rtl/>
        </w:rPr>
      </w:pPr>
      <w:proofErr w:type="gramStart"/>
      <w:r w:rsidRPr="00C13888">
        <w:rPr>
          <w:rFonts w:hint="cs"/>
          <w:i/>
          <w:iCs/>
          <w:color w:val="000000"/>
          <w:rtl/>
        </w:rPr>
        <w:t>الابتكارات</w:t>
      </w:r>
      <w:proofErr w:type="gramEnd"/>
      <w:r>
        <w:rPr>
          <w:rFonts w:hint="cs"/>
          <w:color w:val="000000"/>
          <w:rtl/>
        </w:rPr>
        <w:t xml:space="preserve">: </w:t>
      </w:r>
      <w:r w:rsidRPr="00201D0F">
        <w:rPr>
          <w:color w:val="000000"/>
          <w:rtl/>
        </w:rPr>
        <w:t xml:space="preserve">ينتج ممارسو الطب التقليدي عدداً من الابتكارات في مجال المنتجات والتعبئة والتغليف وفي مراحل العملية الإنتاجية وفي التسويق وفي سبل تقديم الرعاية الصحية. </w:t>
      </w:r>
      <w:r w:rsidR="00AC577B">
        <w:rPr>
          <w:rFonts w:hint="cs"/>
          <w:color w:val="000000"/>
          <w:rtl/>
        </w:rPr>
        <w:t>و</w:t>
      </w:r>
      <w:r w:rsidRPr="00201D0F">
        <w:rPr>
          <w:color w:val="000000"/>
          <w:rtl/>
        </w:rPr>
        <w:t xml:space="preserve">تشتمل تلك المنتجات على حبوب وأقراص وكبسولات وكريمات معبأة داخل أنابيب ومنتجات مرَّكبة </w:t>
      </w:r>
      <w:r w:rsidR="009569E2">
        <w:rPr>
          <w:rFonts w:hint="cs"/>
          <w:color w:val="000000"/>
          <w:rtl/>
        </w:rPr>
        <w:t xml:space="preserve">من عدة عناصر </w:t>
      </w:r>
      <w:r w:rsidRPr="00201D0F">
        <w:rPr>
          <w:color w:val="000000"/>
          <w:rtl/>
        </w:rPr>
        <w:t xml:space="preserve">داخل زجاجات لإطالة فترة صلاحية المنتج بصورة مشابهة للأدوية المتعلقة بالمعالجة الإخلافِيّة. وهناك أيضا مجموعة من المنتجات الصحية، مثل أكياس الشاي </w:t>
      </w:r>
      <w:proofErr w:type="gramStart"/>
      <w:r w:rsidRPr="00201D0F">
        <w:rPr>
          <w:color w:val="000000"/>
          <w:rtl/>
        </w:rPr>
        <w:t>والمشروبات</w:t>
      </w:r>
      <w:proofErr w:type="gramEnd"/>
      <w:r w:rsidRPr="00201D0F">
        <w:rPr>
          <w:color w:val="000000"/>
          <w:rtl/>
        </w:rPr>
        <w:t xml:space="preserve">. وبصرف النظر عن الابتكارات في المنتج، فهناك أيضا الابتكارات في مراحل الإنتاج وعمليات التشغيل. فعلى سبيل المثال، اقتنى ممارسو الطب التقليدي، ولا سيما أولئك الذين يعملون </w:t>
      </w:r>
      <w:r w:rsidR="00E711AC">
        <w:rPr>
          <w:rFonts w:hint="cs"/>
          <w:color w:val="000000"/>
          <w:rtl/>
        </w:rPr>
        <w:t>على</w:t>
      </w:r>
      <w:r w:rsidR="00AC577B">
        <w:rPr>
          <w:color w:val="000000"/>
          <w:rtl/>
        </w:rPr>
        <w:t xml:space="preserve"> مستوى مُح</w:t>
      </w:r>
      <w:r w:rsidRPr="00201D0F">
        <w:rPr>
          <w:color w:val="000000"/>
          <w:rtl/>
        </w:rPr>
        <w:t>س</w:t>
      </w:r>
      <w:r w:rsidR="00AC577B">
        <w:rPr>
          <w:rFonts w:hint="cs"/>
          <w:color w:val="000000"/>
          <w:rtl/>
        </w:rPr>
        <w:t>َّ</w:t>
      </w:r>
      <w:r w:rsidRPr="00201D0F">
        <w:rPr>
          <w:color w:val="000000"/>
          <w:rtl/>
        </w:rPr>
        <w:t xml:space="preserve">ن إلى نحو ما، مجموعة متنوعة من المعدات الحديثة لزيادة الإنتاج وتحسين الجودة. وفي الواقع، يشهد قطاع الطب التقليدي حالياً </w:t>
      </w:r>
      <w:proofErr w:type="gramStart"/>
      <w:r w:rsidRPr="00201D0F">
        <w:rPr>
          <w:color w:val="000000"/>
          <w:rtl/>
        </w:rPr>
        <w:t>تحولاً</w:t>
      </w:r>
      <w:proofErr w:type="gramEnd"/>
      <w:r w:rsidRPr="00201D0F">
        <w:rPr>
          <w:color w:val="000000"/>
          <w:rtl/>
        </w:rPr>
        <w:t xml:space="preserve"> إيجابيا بفضل الابتكارات المتنوعة في غانا</w:t>
      </w:r>
      <w:r>
        <w:rPr>
          <w:rFonts w:hint="cs"/>
          <w:color w:val="000000"/>
          <w:rtl/>
        </w:rPr>
        <w:t xml:space="preserve">. </w:t>
      </w:r>
    </w:p>
    <w:p w:rsidR="00C13888" w:rsidRDefault="00C13888" w:rsidP="00C13888">
      <w:pPr>
        <w:pStyle w:val="NormalParaAR"/>
        <w:rPr>
          <w:color w:val="000000"/>
          <w:rtl/>
        </w:rPr>
      </w:pPr>
      <w:r w:rsidRPr="00E711AC">
        <w:rPr>
          <w:rFonts w:hint="cs"/>
          <w:i/>
          <w:iCs/>
          <w:color w:val="000000"/>
          <w:rtl/>
        </w:rPr>
        <w:t>المنافسة كحافز للابتكار</w:t>
      </w:r>
      <w:r>
        <w:rPr>
          <w:rFonts w:hint="cs"/>
          <w:color w:val="000000"/>
          <w:rtl/>
        </w:rPr>
        <w:t xml:space="preserve">: </w:t>
      </w:r>
      <w:r w:rsidRPr="00201D0F">
        <w:rPr>
          <w:color w:val="000000"/>
          <w:rtl/>
        </w:rPr>
        <w:t xml:space="preserve">تعتبر المنافسة محركاً رئيسياً للابتكار في سياق ممارسة الطب التقليدي. فهناك المنافسة داخل مزاولة المهنة ذاتها، مع ما يشهده ممارسو الطب التقليدي من النتائج التي يتحصل عليها الآخرون، والعزم على تحقيق مستويات ونتائج مشابهة لهم أو التفوق عليهم. </w:t>
      </w:r>
      <w:proofErr w:type="gramStart"/>
      <w:r w:rsidRPr="00201D0F">
        <w:rPr>
          <w:color w:val="000000"/>
          <w:rtl/>
        </w:rPr>
        <w:t>كما</w:t>
      </w:r>
      <w:proofErr w:type="gramEnd"/>
      <w:r w:rsidRPr="00201D0F">
        <w:rPr>
          <w:color w:val="000000"/>
          <w:rtl/>
        </w:rPr>
        <w:t xml:space="preserve"> أن هناك منافسة أيضا مع المنتجات المستوردة خصوصا من الصين والهند </w:t>
      </w:r>
      <w:r w:rsidR="00874B6B">
        <w:rPr>
          <w:color w:val="000000"/>
          <w:rtl/>
        </w:rPr>
        <w:lastRenderedPageBreak/>
        <w:t>وكوريا</w:t>
      </w:r>
      <w:r w:rsidR="00874B6B">
        <w:rPr>
          <w:rFonts w:hint="cs"/>
          <w:color w:val="000000"/>
          <w:rtl/>
        </w:rPr>
        <w:t>،</w:t>
      </w:r>
      <w:r w:rsidRPr="00201D0F">
        <w:rPr>
          <w:color w:val="000000"/>
          <w:rtl/>
        </w:rPr>
        <w:t xml:space="preserve"> فضلا عن بعض المنتجات الصحية الطبيعية التي ترد من الولايات المتحدة الأمريكية وجنوب أفريقيا. وعموما، تعد المنافسة السوقية حافزا </w:t>
      </w:r>
      <w:proofErr w:type="gramStart"/>
      <w:r w:rsidRPr="00201D0F">
        <w:rPr>
          <w:color w:val="000000"/>
          <w:rtl/>
        </w:rPr>
        <w:t>قويا</w:t>
      </w:r>
      <w:proofErr w:type="gramEnd"/>
      <w:r w:rsidRPr="00201D0F">
        <w:rPr>
          <w:color w:val="000000"/>
          <w:rtl/>
        </w:rPr>
        <w:t xml:space="preserve"> للابتكار</w:t>
      </w:r>
      <w:r>
        <w:rPr>
          <w:rFonts w:hint="cs"/>
          <w:color w:val="000000"/>
          <w:rtl/>
        </w:rPr>
        <w:t>.</w:t>
      </w:r>
    </w:p>
    <w:p w:rsidR="00C13888" w:rsidRDefault="00C13888" w:rsidP="00874B6B">
      <w:pPr>
        <w:pStyle w:val="NormalParaAR"/>
        <w:rPr>
          <w:color w:val="000000"/>
          <w:rtl/>
        </w:rPr>
      </w:pPr>
      <w:r w:rsidRPr="00C13888">
        <w:rPr>
          <w:rFonts w:hint="cs"/>
          <w:i/>
          <w:iCs/>
          <w:color w:val="000000"/>
          <w:rtl/>
        </w:rPr>
        <w:t>آثار السياسات العامة</w:t>
      </w:r>
      <w:r>
        <w:rPr>
          <w:rFonts w:hint="cs"/>
          <w:color w:val="000000"/>
          <w:rtl/>
        </w:rPr>
        <w:t xml:space="preserve">: </w:t>
      </w:r>
      <w:r w:rsidRPr="00201D0F">
        <w:rPr>
          <w:color w:val="000000"/>
          <w:rtl/>
        </w:rPr>
        <w:t xml:space="preserve">يتصف أسلوب صياغة السياسات وتنفيذها في مجال الطب التقليدي في غانا بالإيجابية في غالب الأمر. </w:t>
      </w:r>
      <w:r w:rsidR="00874B6B">
        <w:rPr>
          <w:rFonts w:hint="cs"/>
          <w:color w:val="000000"/>
          <w:rtl/>
        </w:rPr>
        <w:t>و</w:t>
      </w:r>
      <w:r w:rsidRPr="00201D0F">
        <w:rPr>
          <w:color w:val="000000"/>
          <w:rtl/>
        </w:rPr>
        <w:t xml:space="preserve">عزَّزت السياسات العامة الاعتراف بالطب التقليدي وبذلت جهوداً في سياق تيسير </w:t>
      </w:r>
      <w:proofErr w:type="gramStart"/>
      <w:r w:rsidRPr="00201D0F">
        <w:rPr>
          <w:color w:val="000000"/>
          <w:rtl/>
        </w:rPr>
        <w:t>نقل</w:t>
      </w:r>
      <w:proofErr w:type="gramEnd"/>
      <w:r w:rsidRPr="00201D0F">
        <w:rPr>
          <w:color w:val="000000"/>
          <w:rtl/>
        </w:rPr>
        <w:t xml:space="preserve"> المعارف والابتكار. </w:t>
      </w:r>
      <w:r w:rsidR="00874B6B">
        <w:rPr>
          <w:rFonts w:hint="cs"/>
          <w:color w:val="000000"/>
          <w:rtl/>
        </w:rPr>
        <w:t>و</w:t>
      </w:r>
      <w:r w:rsidRPr="00201D0F">
        <w:rPr>
          <w:color w:val="000000"/>
          <w:rtl/>
        </w:rPr>
        <w:t xml:space="preserve">تتضمن وثائق السياسة العامة: السياسة الخاصة بتطوير الطب </w:t>
      </w:r>
      <w:r w:rsidR="00874B6B">
        <w:rPr>
          <w:color w:val="000000"/>
          <w:rtl/>
        </w:rPr>
        <w:t>التقليدي (2003)، وثيقة الخطة ال</w:t>
      </w:r>
      <w:r w:rsidR="00874B6B">
        <w:rPr>
          <w:rFonts w:hint="cs"/>
          <w:color w:val="000000"/>
          <w:rtl/>
        </w:rPr>
        <w:t>ا</w:t>
      </w:r>
      <w:r w:rsidRPr="00201D0F">
        <w:rPr>
          <w:color w:val="000000"/>
          <w:rtl/>
        </w:rPr>
        <w:t xml:space="preserve">ستراتيجية لتطوير الطب التقليدي (2005-2009) ووثيقة مدونة الأخلاقيات ومعايير الممارسة 2006 (مترجمة إلى ثلاث لغات محلية). وتمشيا مع سياسة الحكومة، أُنشئت في بعض المستشفيات عيادات للعلاج بالأعشاب لتقديم خدمات لأولئك الذين يفضلون هذه العلاجات. والأهم من ذلك هو إدراج الطب التقليدي </w:t>
      </w:r>
      <w:proofErr w:type="gramStart"/>
      <w:r w:rsidRPr="00201D0F">
        <w:rPr>
          <w:color w:val="000000"/>
          <w:rtl/>
        </w:rPr>
        <w:t>على</w:t>
      </w:r>
      <w:proofErr w:type="gramEnd"/>
      <w:r w:rsidRPr="00201D0F">
        <w:rPr>
          <w:color w:val="000000"/>
          <w:rtl/>
        </w:rPr>
        <w:t xml:space="preserve"> "قائمة الأدوية الأساسية" لوزارة الصحة. وقد أفاد عدد قليل من </w:t>
      </w:r>
      <w:proofErr w:type="spellStart"/>
      <w:r w:rsidRPr="00201D0F">
        <w:rPr>
          <w:color w:val="000000"/>
          <w:rtl/>
        </w:rPr>
        <w:t>المبحوثين</w:t>
      </w:r>
      <w:proofErr w:type="spellEnd"/>
      <w:r w:rsidRPr="00201D0F">
        <w:rPr>
          <w:color w:val="000000"/>
          <w:rtl/>
        </w:rPr>
        <w:t xml:space="preserve"> (16</w:t>
      </w:r>
      <w:r w:rsidR="00874B6B">
        <w:rPr>
          <w:rFonts w:hint="cs"/>
          <w:color w:val="000000"/>
          <w:rtl/>
        </w:rPr>
        <w:t xml:space="preserve"> بالمائة</w:t>
      </w:r>
      <w:r w:rsidRPr="00201D0F">
        <w:rPr>
          <w:color w:val="000000"/>
          <w:rtl/>
        </w:rPr>
        <w:t xml:space="preserve">) عن </w:t>
      </w:r>
      <w:r w:rsidR="00931906">
        <w:rPr>
          <w:rFonts w:hint="cs"/>
          <w:color w:val="000000"/>
          <w:rtl/>
        </w:rPr>
        <w:t>تسجيل</w:t>
      </w:r>
      <w:r w:rsidRPr="00201D0F">
        <w:rPr>
          <w:color w:val="000000"/>
          <w:rtl/>
        </w:rPr>
        <w:t xml:space="preserve"> منتجاتهم ضمن هذه القائمة. </w:t>
      </w:r>
      <w:proofErr w:type="gramStart"/>
      <w:r w:rsidR="00874B6B">
        <w:rPr>
          <w:rFonts w:hint="cs"/>
          <w:color w:val="000000"/>
          <w:rtl/>
        </w:rPr>
        <w:t>و</w:t>
      </w:r>
      <w:r w:rsidRPr="00201D0F">
        <w:rPr>
          <w:color w:val="000000"/>
          <w:rtl/>
        </w:rPr>
        <w:t>يمثل</w:t>
      </w:r>
      <w:proofErr w:type="gramEnd"/>
      <w:r w:rsidRPr="00201D0F">
        <w:rPr>
          <w:color w:val="000000"/>
          <w:rtl/>
        </w:rPr>
        <w:t xml:space="preserve"> هذا اعترافاً قوياً بممارسة الطب التقليدي، وهو ما يجب الحفاظ علي استدامته</w:t>
      </w:r>
      <w:r>
        <w:rPr>
          <w:rFonts w:hint="cs"/>
          <w:color w:val="000000"/>
          <w:rtl/>
        </w:rPr>
        <w:t>.</w:t>
      </w:r>
    </w:p>
    <w:p w:rsidR="00C13888" w:rsidRDefault="00C13888" w:rsidP="00931906">
      <w:pPr>
        <w:pStyle w:val="NormalParaAR"/>
        <w:rPr>
          <w:color w:val="000000"/>
          <w:rtl/>
        </w:rPr>
      </w:pPr>
      <w:r w:rsidRPr="00C13888">
        <w:rPr>
          <w:rFonts w:hint="cs"/>
          <w:i/>
          <w:iCs/>
          <w:color w:val="000000"/>
          <w:rtl/>
        </w:rPr>
        <w:t>حماية الملكية الفكرية</w:t>
      </w:r>
      <w:r>
        <w:rPr>
          <w:rFonts w:hint="cs"/>
          <w:color w:val="000000"/>
          <w:rtl/>
        </w:rPr>
        <w:t xml:space="preserve">: </w:t>
      </w:r>
      <w:r w:rsidRPr="00201D0F">
        <w:rPr>
          <w:color w:val="000000"/>
          <w:rtl/>
        </w:rPr>
        <w:t>تعد "إدارة المسجل العام" (</w:t>
      </w:r>
      <w:r w:rsidRPr="00201D0F">
        <w:rPr>
          <w:color w:val="000000"/>
        </w:rPr>
        <w:t>RGD</w:t>
      </w:r>
      <w:r w:rsidR="00874B6B">
        <w:rPr>
          <w:color w:val="000000"/>
          <w:rtl/>
        </w:rPr>
        <w:t>) هي المس</w:t>
      </w:r>
      <w:r w:rsidR="00874B6B">
        <w:rPr>
          <w:rFonts w:hint="cs"/>
          <w:color w:val="000000"/>
          <w:rtl/>
        </w:rPr>
        <w:t>ؤ</w:t>
      </w:r>
      <w:r w:rsidRPr="00201D0F">
        <w:rPr>
          <w:color w:val="000000"/>
          <w:rtl/>
        </w:rPr>
        <w:t>ولة عن إدارة الملكية الصناعية مع إيلاء العناية الواجبة تجاه، على سبيل المثال، قانون العلامات التجارية</w:t>
      </w:r>
      <w:r w:rsidR="00931906">
        <w:rPr>
          <w:rFonts w:hint="cs"/>
          <w:color w:val="000000"/>
          <w:rtl/>
        </w:rPr>
        <w:t xml:space="preserve"> لسنة </w:t>
      </w:r>
      <w:r w:rsidRPr="00201D0F">
        <w:rPr>
          <w:color w:val="000000"/>
          <w:rtl/>
        </w:rPr>
        <w:t>2004 (القانون رقم 664)، وقانون التصاميم الصناعية</w:t>
      </w:r>
      <w:r w:rsidR="00931906">
        <w:rPr>
          <w:rFonts w:hint="cs"/>
          <w:color w:val="000000"/>
          <w:rtl/>
        </w:rPr>
        <w:t xml:space="preserve"> لسنة</w:t>
      </w:r>
      <w:r w:rsidR="00874B6B">
        <w:rPr>
          <w:rFonts w:hint="cs"/>
          <w:color w:val="000000"/>
          <w:rtl/>
        </w:rPr>
        <w:t xml:space="preserve"> </w:t>
      </w:r>
      <w:r w:rsidRPr="00201D0F">
        <w:rPr>
          <w:color w:val="000000"/>
          <w:rtl/>
        </w:rPr>
        <w:t>2003 (القانون رقم 660)، وقانون براءات الاختراع</w:t>
      </w:r>
      <w:r w:rsidR="00931906">
        <w:rPr>
          <w:rFonts w:hint="cs"/>
          <w:color w:val="000000"/>
          <w:rtl/>
        </w:rPr>
        <w:t xml:space="preserve"> لسنة </w:t>
      </w:r>
      <w:r w:rsidRPr="00201D0F">
        <w:rPr>
          <w:color w:val="000000"/>
          <w:rtl/>
        </w:rPr>
        <w:t xml:space="preserve">2003 (القانون رقم 657) والصك التشريعي 1616. </w:t>
      </w:r>
      <w:r w:rsidR="00874B6B">
        <w:rPr>
          <w:rFonts w:hint="cs"/>
          <w:color w:val="000000"/>
          <w:rtl/>
        </w:rPr>
        <w:t>و</w:t>
      </w:r>
      <w:r w:rsidRPr="00201D0F">
        <w:rPr>
          <w:color w:val="000000"/>
          <w:rtl/>
        </w:rPr>
        <w:t>تضطلع إدارة المسجل العام بمهام تل</w:t>
      </w:r>
      <w:r w:rsidR="00931906">
        <w:rPr>
          <w:rFonts w:hint="cs"/>
          <w:color w:val="000000"/>
          <w:rtl/>
        </w:rPr>
        <w:t>ِّ</w:t>
      </w:r>
      <w:r w:rsidRPr="00201D0F">
        <w:rPr>
          <w:color w:val="000000"/>
          <w:rtl/>
        </w:rPr>
        <w:t xml:space="preserve">قي طلبات الحصول على حقوق الملكية الصناعية ذات الصلة، والانتهاء من إجراءات منح الملكية الصناعية حال الاستحقاق. </w:t>
      </w:r>
      <w:proofErr w:type="gramStart"/>
      <w:r w:rsidRPr="00201D0F">
        <w:rPr>
          <w:color w:val="000000"/>
          <w:rtl/>
        </w:rPr>
        <w:t>وما</w:t>
      </w:r>
      <w:proofErr w:type="gramEnd"/>
      <w:r w:rsidRPr="00201D0F">
        <w:rPr>
          <w:color w:val="000000"/>
          <w:rtl/>
        </w:rPr>
        <w:t xml:space="preserve"> أظهرته "دراسة" غانا بشدة، هو اللجوء الواضح </w:t>
      </w:r>
      <w:r w:rsidRPr="00201D0F">
        <w:rPr>
          <w:color w:val="000000"/>
          <w:rtl/>
          <w:lang w:bidi="ar-EG"/>
        </w:rPr>
        <w:t>إلى ا</w:t>
      </w:r>
      <w:r w:rsidRPr="00201D0F">
        <w:rPr>
          <w:color w:val="000000"/>
          <w:rtl/>
        </w:rPr>
        <w:t xml:space="preserve">لمعايير الاجتماعية لحماية الملكية الفكرية بدلاً من الاستعانة بآليات الملكية الصناعية الحديثة. </w:t>
      </w:r>
      <w:r w:rsidR="00874B6B">
        <w:rPr>
          <w:rFonts w:hint="cs"/>
          <w:color w:val="000000"/>
          <w:rtl/>
        </w:rPr>
        <w:t>و</w:t>
      </w:r>
      <w:r w:rsidRPr="00201D0F">
        <w:rPr>
          <w:color w:val="000000"/>
          <w:rtl/>
        </w:rPr>
        <w:t xml:space="preserve">اعتمد ممارسو الطب التقليدي، </w:t>
      </w:r>
      <w:proofErr w:type="gramStart"/>
      <w:r w:rsidRPr="00201D0F">
        <w:rPr>
          <w:color w:val="000000"/>
          <w:rtl/>
        </w:rPr>
        <w:t>المبحوثين</w:t>
      </w:r>
      <w:proofErr w:type="gramEnd"/>
      <w:r w:rsidRPr="00201D0F">
        <w:rPr>
          <w:color w:val="000000"/>
          <w:rtl/>
        </w:rPr>
        <w:t xml:space="preserve"> في الدراسة الميدانية، على السرية في المقام الأول لحماية ابتكاراتهم. </w:t>
      </w:r>
      <w:r w:rsidRPr="00201D0F">
        <w:rPr>
          <w:color w:val="000000"/>
          <w:rtl/>
          <w:lang w:bidi="ar-EG"/>
        </w:rPr>
        <w:t xml:space="preserve">وقد ظهرت بوضوح </w:t>
      </w:r>
      <w:proofErr w:type="gramStart"/>
      <w:r w:rsidRPr="00201D0F">
        <w:rPr>
          <w:color w:val="000000"/>
          <w:rtl/>
          <w:lang w:bidi="ar-EG"/>
        </w:rPr>
        <w:t>الحاجة</w:t>
      </w:r>
      <w:proofErr w:type="gramEnd"/>
      <w:r w:rsidRPr="00201D0F">
        <w:rPr>
          <w:color w:val="000000"/>
          <w:rtl/>
          <w:lang w:bidi="ar-EG"/>
        </w:rPr>
        <w:t xml:space="preserve"> إلى </w:t>
      </w:r>
      <w:r w:rsidRPr="00201D0F">
        <w:rPr>
          <w:color w:val="000000"/>
          <w:rtl/>
        </w:rPr>
        <w:t>تحسين الإطار القانوني والمؤسسي لحماية الملكية الفكرية.</w:t>
      </w:r>
      <w:r w:rsidRPr="00201D0F">
        <w:rPr>
          <w:color w:val="000000"/>
          <w:rtl/>
          <w:lang w:bidi="ar-EG"/>
        </w:rPr>
        <w:t xml:space="preserve"> و</w:t>
      </w:r>
      <w:r w:rsidRPr="00201D0F">
        <w:rPr>
          <w:color w:val="000000"/>
          <w:rtl/>
        </w:rPr>
        <w:t xml:space="preserve">على سبيل المثال، يعتبر تسجيل براءات الاختراع هو الخيار المثالي لحماية الملكية الفكرية </w:t>
      </w:r>
      <w:proofErr w:type="gramStart"/>
      <w:r w:rsidRPr="00201D0F">
        <w:rPr>
          <w:color w:val="000000"/>
          <w:rtl/>
        </w:rPr>
        <w:t>في</w:t>
      </w:r>
      <w:proofErr w:type="gramEnd"/>
      <w:r w:rsidRPr="00201D0F">
        <w:rPr>
          <w:color w:val="000000"/>
          <w:rtl/>
        </w:rPr>
        <w:t xml:space="preserve"> غالب الأمر. </w:t>
      </w:r>
      <w:proofErr w:type="gramStart"/>
      <w:r w:rsidRPr="00201D0F">
        <w:rPr>
          <w:color w:val="000000"/>
          <w:rtl/>
        </w:rPr>
        <w:t>ولكن</w:t>
      </w:r>
      <w:proofErr w:type="gramEnd"/>
      <w:r w:rsidRPr="00201D0F">
        <w:rPr>
          <w:color w:val="000000"/>
          <w:rtl/>
        </w:rPr>
        <w:t xml:space="preserve">، وببساطة، لا يقوى ممارسو الطب التقليدي على تحمل أعباء الوفاء بمعايير تسجيل براءات الاختراع، حيث يتعين أن يفي المنتج بشرط الجدَّة، وعدم درجه ضمن حالات التقنية الصناعية السابقة، كما يتعين الوفاء بشرط قابلية التطبيق صناعياً. </w:t>
      </w:r>
      <w:proofErr w:type="gramStart"/>
      <w:r w:rsidRPr="00201D0F">
        <w:rPr>
          <w:color w:val="000000"/>
          <w:rtl/>
        </w:rPr>
        <w:t>ولذلك</w:t>
      </w:r>
      <w:proofErr w:type="gramEnd"/>
      <w:r w:rsidRPr="00201D0F">
        <w:rPr>
          <w:color w:val="000000"/>
          <w:rtl/>
        </w:rPr>
        <w:t xml:space="preserve"> ينبغي الاستمرار في بذل الجهود الرامية إلى وضع نظام مناسب أو نظام قانوني خاص لتيسير منح حقوق لأصحاب الملكية الفكرية في مجال الطب التقليد</w:t>
      </w:r>
      <w:r>
        <w:rPr>
          <w:rFonts w:hint="cs"/>
          <w:color w:val="000000"/>
          <w:rtl/>
        </w:rPr>
        <w:t>ي.</w:t>
      </w:r>
    </w:p>
    <w:p w:rsidR="00C13888" w:rsidRDefault="00C13888" w:rsidP="00874B6B">
      <w:pPr>
        <w:pStyle w:val="NormalParaAR"/>
        <w:rPr>
          <w:color w:val="000000"/>
          <w:rtl/>
        </w:rPr>
      </w:pPr>
      <w:r w:rsidRPr="00C13888">
        <w:rPr>
          <w:rFonts w:hint="cs"/>
          <w:i/>
          <w:iCs/>
          <w:color w:val="000000"/>
          <w:rtl/>
        </w:rPr>
        <w:t>وضع برنامج وطني لتشجيع الابتكار</w:t>
      </w:r>
      <w:r>
        <w:rPr>
          <w:rFonts w:hint="cs"/>
          <w:color w:val="000000"/>
          <w:rtl/>
        </w:rPr>
        <w:t xml:space="preserve">: </w:t>
      </w:r>
      <w:r w:rsidRPr="00201D0F">
        <w:rPr>
          <w:color w:val="000000"/>
          <w:rtl/>
        </w:rPr>
        <w:t>ينصب جوهر التوصية 34 من جدول أعمال الويبو للتنمية على إجراء دراسات حالة لمساعدة البلدان الأعضاء على وضع برامج وطنية لتشجيع الابتكار في الاقتصاد غير الرسمي، وتعظيم الآثار وخصوصاً فيما</w:t>
      </w:r>
      <w:r w:rsidR="00874B6B">
        <w:rPr>
          <w:rFonts w:hint="cs"/>
          <w:color w:val="000000"/>
          <w:rtl/>
        </w:rPr>
        <w:t> </w:t>
      </w:r>
      <w:r w:rsidRPr="00201D0F">
        <w:rPr>
          <w:color w:val="000000"/>
          <w:rtl/>
        </w:rPr>
        <w:t xml:space="preserve">يتعلق بخلق فرص العمل. </w:t>
      </w:r>
      <w:r w:rsidR="00874B6B">
        <w:rPr>
          <w:rFonts w:hint="cs"/>
          <w:color w:val="000000"/>
          <w:rtl/>
        </w:rPr>
        <w:t>و</w:t>
      </w:r>
      <w:r w:rsidRPr="00201D0F">
        <w:rPr>
          <w:color w:val="000000"/>
          <w:rtl/>
        </w:rPr>
        <w:t xml:space="preserve">أولاً، ينبغي وضع سياسة وطنية صريحة للاقتصاد غير الرسمي توفر نهجاً شاملاً لتنمية القطاع غير الرسمي. </w:t>
      </w:r>
      <w:r w:rsidR="00874B6B">
        <w:rPr>
          <w:rFonts w:hint="cs"/>
          <w:color w:val="000000"/>
          <w:rtl/>
        </w:rPr>
        <w:t>و</w:t>
      </w:r>
      <w:r w:rsidRPr="00201D0F">
        <w:rPr>
          <w:color w:val="000000"/>
          <w:rtl/>
        </w:rPr>
        <w:t>ينبغي أن تحدد هذه السياسة، من بين أشياء أخرى، مبادئ تطوير</w:t>
      </w:r>
      <w:r w:rsidRPr="00201D0F">
        <w:rPr>
          <w:color w:val="000000"/>
          <w:rtl/>
          <w:lang w:bidi="ar-EG"/>
        </w:rPr>
        <w:t xml:space="preserve"> الاقتصاد غير الرسمي وغايات وأهداف آليات التنمية. </w:t>
      </w:r>
      <w:r w:rsidR="00874B6B">
        <w:rPr>
          <w:rFonts w:hint="cs"/>
          <w:color w:val="000000"/>
          <w:rtl/>
          <w:lang w:bidi="ar-EG"/>
        </w:rPr>
        <w:t>و</w:t>
      </w:r>
      <w:r w:rsidRPr="00201D0F">
        <w:rPr>
          <w:color w:val="000000"/>
          <w:rtl/>
        </w:rPr>
        <w:t xml:space="preserve">يمكن أن توفر الوثيقة التي تتضمن هذه السياسة مزيدا من الزخم للنهوض بممارسة الطب التقليدي في غانا، وأيضا للنشاط التشغيلي لممارسي الطب التقليدي في القطاع غير الرسمي. </w:t>
      </w:r>
      <w:r w:rsidR="00874B6B">
        <w:rPr>
          <w:rFonts w:hint="cs"/>
          <w:color w:val="000000"/>
          <w:rtl/>
        </w:rPr>
        <w:t>و</w:t>
      </w:r>
      <w:r w:rsidRPr="00201D0F">
        <w:rPr>
          <w:color w:val="000000"/>
          <w:rtl/>
        </w:rPr>
        <w:t xml:space="preserve">ثانيا، لا تتضمن سياسات الاقتصاد غير الرسمي الحالية إشارة صريحة إلى الابتكار. فما تزال السياسات الوطنية للابتكار خاضعة لأفكار البحث والتطوير من المنظور المؤسسي مع الاكتفاء بإشارة </w:t>
      </w:r>
      <w:r w:rsidR="00931906">
        <w:rPr>
          <w:rFonts w:hint="cs"/>
          <w:color w:val="000000"/>
          <w:rtl/>
        </w:rPr>
        <w:t>خاطفة</w:t>
      </w:r>
      <w:r w:rsidRPr="00201D0F">
        <w:rPr>
          <w:color w:val="000000"/>
          <w:rtl/>
        </w:rPr>
        <w:t xml:space="preserve"> إلى الابتكار في الاقتصاد غير الرسمي. </w:t>
      </w:r>
      <w:r w:rsidR="00874B6B">
        <w:rPr>
          <w:rFonts w:hint="cs"/>
          <w:color w:val="000000"/>
          <w:rtl/>
        </w:rPr>
        <w:t>و</w:t>
      </w:r>
      <w:r w:rsidRPr="00201D0F">
        <w:rPr>
          <w:color w:val="000000"/>
          <w:rtl/>
        </w:rPr>
        <w:t xml:space="preserve">تدعو هذه الحالة إلى وضع استراتيجيات شاملة لضمان توفر علاقات </w:t>
      </w:r>
      <w:r w:rsidR="00931906">
        <w:rPr>
          <w:rFonts w:hint="cs"/>
          <w:color w:val="000000"/>
          <w:rtl/>
        </w:rPr>
        <w:t>وروابط</w:t>
      </w:r>
      <w:r w:rsidRPr="00201D0F">
        <w:rPr>
          <w:color w:val="000000"/>
          <w:rtl/>
        </w:rPr>
        <w:t xml:space="preserve"> قوية بين منظومة العلم والتكنولوجيا الحديثة ونظام الطب التقليدي</w:t>
      </w:r>
      <w:r>
        <w:rPr>
          <w:rFonts w:hint="cs"/>
          <w:color w:val="000000"/>
          <w:rtl/>
        </w:rPr>
        <w:t>.</w:t>
      </w:r>
    </w:p>
    <w:p w:rsidR="00C13888" w:rsidRPr="00874B6B" w:rsidRDefault="00C13888" w:rsidP="00C13888">
      <w:pPr>
        <w:pStyle w:val="NormalParaAR"/>
        <w:keepNext/>
        <w:rPr>
          <w:color w:val="000000"/>
          <w:rtl/>
        </w:rPr>
      </w:pPr>
      <w:r w:rsidRPr="00874B6B">
        <w:rPr>
          <w:rFonts w:hint="cs"/>
          <w:b/>
          <w:bCs/>
          <w:color w:val="000000"/>
          <w:rtl/>
        </w:rPr>
        <w:t>الخلاصة</w:t>
      </w:r>
      <w:r w:rsidRPr="00874B6B">
        <w:rPr>
          <w:rFonts w:hint="cs"/>
          <w:color w:val="000000"/>
          <w:rtl/>
        </w:rPr>
        <w:t>:</w:t>
      </w:r>
    </w:p>
    <w:p w:rsidR="00C13888" w:rsidRDefault="00C13888" w:rsidP="00931906">
      <w:pPr>
        <w:pStyle w:val="NormalParaAR"/>
        <w:rPr>
          <w:color w:val="000000"/>
          <w:rtl/>
        </w:rPr>
      </w:pPr>
      <w:r>
        <w:rPr>
          <w:rFonts w:hint="cs"/>
          <w:color w:val="000000"/>
          <w:rtl/>
        </w:rPr>
        <w:t xml:space="preserve">تؤكد </w:t>
      </w:r>
      <w:r w:rsidRPr="00201D0F">
        <w:rPr>
          <w:color w:val="000000"/>
          <w:rtl/>
        </w:rPr>
        <w:t xml:space="preserve">دراسة الحالة هذه الرأي القائل بأن ممارسي الطب التقليدي يمارسون نشاطهم في الاقتصاد غير الرسمي بشكل طبيعي، وهم في الغالب أصحاب مشاريع صغيرة أو متناهية في الصغر. </w:t>
      </w:r>
      <w:r w:rsidR="00874B6B">
        <w:rPr>
          <w:rFonts w:hint="cs"/>
          <w:color w:val="000000"/>
          <w:rtl/>
        </w:rPr>
        <w:t>و</w:t>
      </w:r>
      <w:r w:rsidRPr="00201D0F">
        <w:rPr>
          <w:color w:val="000000"/>
          <w:rtl/>
        </w:rPr>
        <w:t xml:space="preserve">تكمن السمة الهامة حول الطابع غير الرسمي لممارسة الطب التقليدي في أن هناك علاقة أو سلسلة متصلة الحلقات بين غير الرسمي والرسمي، وتعمل من خلال تلك العلاقة كافة </w:t>
      </w:r>
      <w:r w:rsidRPr="00201D0F">
        <w:rPr>
          <w:color w:val="000000"/>
          <w:rtl/>
        </w:rPr>
        <w:lastRenderedPageBreak/>
        <w:t>مستويات المشاريع على اختلاف حجمها من متناهية الصغر إلى صغيرة إلى متوسطة وكبيرة - انظر المعلومات الأساسية للإطار التصوري لهذا المشروع (دي بيير وآخرون، 2013)</w:t>
      </w:r>
      <w:r w:rsidRPr="00201D0F">
        <w:rPr>
          <w:rStyle w:val="FootnoteReference"/>
          <w:color w:val="000000"/>
          <w:sz w:val="36"/>
          <w:szCs w:val="36"/>
          <w:rtl/>
        </w:rPr>
        <w:footnoteReference w:id="3"/>
      </w:r>
      <w:r w:rsidRPr="00201D0F">
        <w:rPr>
          <w:color w:val="000000"/>
          <w:rtl/>
        </w:rPr>
        <w:t xml:space="preserve">. </w:t>
      </w:r>
      <w:proofErr w:type="gramStart"/>
      <w:r w:rsidR="00874B6B">
        <w:rPr>
          <w:rFonts w:hint="cs"/>
          <w:color w:val="000000"/>
          <w:rtl/>
        </w:rPr>
        <w:t>و</w:t>
      </w:r>
      <w:r w:rsidRPr="00201D0F">
        <w:rPr>
          <w:color w:val="000000"/>
          <w:rtl/>
        </w:rPr>
        <w:t>تُبيِّن</w:t>
      </w:r>
      <w:proofErr w:type="gramEnd"/>
      <w:r w:rsidRPr="00201D0F">
        <w:rPr>
          <w:color w:val="000000"/>
          <w:rtl/>
        </w:rPr>
        <w:t xml:space="preserve"> دراسة الحالة في غانا إمكانية </w:t>
      </w:r>
      <w:r w:rsidR="00931906">
        <w:rPr>
          <w:rFonts w:hint="cs"/>
          <w:color w:val="000000"/>
          <w:rtl/>
        </w:rPr>
        <w:t>وضع</w:t>
      </w:r>
      <w:r w:rsidRPr="00201D0F">
        <w:rPr>
          <w:color w:val="000000"/>
          <w:rtl/>
        </w:rPr>
        <w:t xml:space="preserve"> تدابير لسياسات عامة لتعزيز القدرة التنافسية وتشجيع التوسع استناداً إلى الابتكارات المقدمة من ممارسي الطب التقليدي. </w:t>
      </w:r>
      <w:proofErr w:type="gramStart"/>
      <w:r w:rsidRPr="00201D0F">
        <w:rPr>
          <w:color w:val="000000"/>
          <w:rtl/>
        </w:rPr>
        <w:t>وعموما</w:t>
      </w:r>
      <w:proofErr w:type="gramEnd"/>
      <w:r w:rsidRPr="00201D0F">
        <w:rPr>
          <w:color w:val="000000"/>
          <w:rtl/>
        </w:rPr>
        <w:t xml:space="preserve">، تشكل كل من المنافسة السوقية والسياسة والتشريعات واللوائح دوافع هامة للابتكار. </w:t>
      </w:r>
      <w:proofErr w:type="gramStart"/>
      <w:r w:rsidRPr="00201D0F">
        <w:rPr>
          <w:color w:val="000000"/>
          <w:rtl/>
        </w:rPr>
        <w:t>كما</w:t>
      </w:r>
      <w:proofErr w:type="gramEnd"/>
      <w:r w:rsidRPr="00201D0F">
        <w:rPr>
          <w:color w:val="000000"/>
          <w:rtl/>
        </w:rPr>
        <w:t xml:space="preserve"> توفر الابتكارات في المنتج ومراحل وعمليات التشغيل فرصاً </w:t>
      </w:r>
      <w:r w:rsidR="00931906">
        <w:rPr>
          <w:rFonts w:hint="cs"/>
          <w:color w:val="000000"/>
          <w:rtl/>
        </w:rPr>
        <w:t>للتدخل السياسي بإيجابية</w:t>
      </w:r>
      <w:r w:rsidRPr="00201D0F">
        <w:rPr>
          <w:color w:val="000000"/>
          <w:rtl/>
        </w:rPr>
        <w:t xml:space="preserve"> بغية تحقيق المزيد من الدعم للنهوض بالطب التقليدي. </w:t>
      </w:r>
      <w:proofErr w:type="gramStart"/>
      <w:r w:rsidRPr="00201D0F">
        <w:rPr>
          <w:color w:val="000000"/>
          <w:rtl/>
        </w:rPr>
        <w:t>ومع</w:t>
      </w:r>
      <w:proofErr w:type="gramEnd"/>
      <w:r w:rsidRPr="00201D0F">
        <w:rPr>
          <w:color w:val="000000"/>
          <w:rtl/>
        </w:rPr>
        <w:t xml:space="preserve"> ذلك، يكمن التحدي في وضع إطار تنظيمي لممارسة الطب التقليدي </w:t>
      </w:r>
      <w:r w:rsidR="00931906">
        <w:rPr>
          <w:rFonts w:hint="cs"/>
          <w:color w:val="000000"/>
          <w:rtl/>
        </w:rPr>
        <w:t xml:space="preserve">مع عدم إغفال توفير </w:t>
      </w:r>
      <w:r w:rsidRPr="00201D0F">
        <w:rPr>
          <w:color w:val="000000"/>
          <w:rtl/>
        </w:rPr>
        <w:t>مساحة للممارس في القطاع غي</w:t>
      </w:r>
      <w:r w:rsidR="00874B6B">
        <w:rPr>
          <w:color w:val="000000"/>
          <w:rtl/>
        </w:rPr>
        <w:t>ر الرسمي للقيام بعمل يدر من ورا</w:t>
      </w:r>
      <w:r w:rsidR="00874B6B">
        <w:rPr>
          <w:rFonts w:hint="cs"/>
          <w:color w:val="000000"/>
          <w:rtl/>
        </w:rPr>
        <w:t>ئ</w:t>
      </w:r>
      <w:r w:rsidRPr="00201D0F">
        <w:rPr>
          <w:color w:val="000000"/>
          <w:rtl/>
        </w:rPr>
        <w:t>ه دخلاً</w:t>
      </w:r>
      <w:r>
        <w:rPr>
          <w:rFonts w:hint="cs"/>
          <w:color w:val="000000"/>
          <w:rtl/>
        </w:rPr>
        <w:t>.</w:t>
      </w:r>
    </w:p>
    <w:p w:rsidR="002A3B98" w:rsidRDefault="00C13888" w:rsidP="008D3EDF">
      <w:pPr>
        <w:pStyle w:val="EndofDocumentAR"/>
        <w:rPr>
          <w:rtl/>
        </w:rPr>
      </w:pPr>
      <w:r>
        <w:rPr>
          <w:rFonts w:hint="cs"/>
          <w:rtl/>
        </w:rPr>
        <w:t xml:space="preserve">[نهاية </w:t>
      </w:r>
      <w:r w:rsidR="00874B6B" w:rsidRPr="008D3EDF">
        <w:rPr>
          <w:rFonts w:hint="cs"/>
          <w:rtl/>
        </w:rPr>
        <w:t>المرفق</w:t>
      </w:r>
      <w:r>
        <w:rPr>
          <w:rFonts w:hint="cs"/>
          <w:rtl/>
        </w:rPr>
        <w:t xml:space="preserve"> </w:t>
      </w:r>
      <w:proofErr w:type="gramStart"/>
      <w:r>
        <w:rPr>
          <w:rFonts w:hint="cs"/>
          <w:rtl/>
        </w:rPr>
        <w:t>والوثيقة</w:t>
      </w:r>
      <w:proofErr w:type="gramEnd"/>
      <w:r>
        <w:rPr>
          <w:rFonts w:hint="cs"/>
          <w:rtl/>
        </w:rPr>
        <w:t>]</w:t>
      </w:r>
    </w:p>
    <w:p w:rsidR="002A3B98" w:rsidRDefault="002A3B98" w:rsidP="002A3B98">
      <w:pPr>
        <w:pStyle w:val="NumberedParaAR"/>
        <w:numPr>
          <w:ilvl w:val="0"/>
          <w:numId w:val="0"/>
        </w:numPr>
        <w:rPr>
          <w:rtl/>
        </w:rPr>
      </w:pPr>
    </w:p>
    <w:p w:rsidR="002A3B98" w:rsidRDefault="002A3B98" w:rsidP="002A3B98">
      <w:pPr>
        <w:pStyle w:val="NumberedParaAR"/>
        <w:numPr>
          <w:ilvl w:val="0"/>
          <w:numId w:val="0"/>
        </w:numPr>
        <w:rPr>
          <w:rtl/>
        </w:rPr>
      </w:pPr>
    </w:p>
    <w:p w:rsidR="002A3B98" w:rsidRPr="002A3B98" w:rsidRDefault="002A3B98" w:rsidP="002A3B98">
      <w:pPr>
        <w:pStyle w:val="NumberedParaAR"/>
        <w:numPr>
          <w:ilvl w:val="0"/>
          <w:numId w:val="0"/>
        </w:numPr>
        <w:rPr>
          <w:rtl/>
        </w:rPr>
      </w:pPr>
    </w:p>
    <w:sectPr w:rsidR="002A3B98" w:rsidRPr="002A3B98" w:rsidSect="002A3B98">
      <w:headerReference w:type="first" r:id="rId11"/>
      <w:foot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22" w:rsidRDefault="00D20D22">
      <w:r>
        <w:separator/>
      </w:r>
    </w:p>
  </w:endnote>
  <w:endnote w:type="continuationSeparator" w:id="0">
    <w:p w:rsidR="00D20D22" w:rsidRDefault="00D2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88" w:rsidRDefault="00223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22" w:rsidRDefault="00D20D22" w:rsidP="009622BF">
      <w:pPr>
        <w:bidi/>
      </w:pPr>
      <w:bookmarkStart w:id="0" w:name="OLE_LINK1"/>
      <w:bookmarkStart w:id="1" w:name="OLE_LINK2"/>
      <w:r>
        <w:separator/>
      </w:r>
      <w:bookmarkEnd w:id="0"/>
      <w:bookmarkEnd w:id="1"/>
    </w:p>
  </w:footnote>
  <w:footnote w:type="continuationSeparator" w:id="0">
    <w:p w:rsidR="00D20D22" w:rsidRDefault="00D20D22" w:rsidP="009622BF">
      <w:pPr>
        <w:bidi/>
      </w:pPr>
      <w:r>
        <w:separator/>
      </w:r>
    </w:p>
  </w:footnote>
  <w:footnote w:id="1">
    <w:p w:rsidR="00C13888" w:rsidRPr="00201D0F" w:rsidRDefault="00C13888" w:rsidP="00756840">
      <w:pPr>
        <w:pStyle w:val="FootnoteText"/>
        <w:rPr>
          <w:rtl/>
          <w:lang w:bidi="ar-EG"/>
        </w:rPr>
      </w:pPr>
      <w:r>
        <w:rPr>
          <w:rStyle w:val="FootnoteReference"/>
        </w:rPr>
        <w:footnoteRef/>
      </w:r>
      <w:r>
        <w:rPr>
          <w:rFonts w:hint="cs"/>
          <w:rtl/>
          <w:lang w:bidi="ar-EG"/>
        </w:rPr>
        <w:tab/>
      </w:r>
      <w:r w:rsidRPr="00201D0F">
        <w:rPr>
          <w:rtl/>
          <w:lang w:bidi="ar-EG"/>
        </w:rPr>
        <w:t>لا تُعَبِّر الآراء الواردة في هذه الدراسة إلا عن رأي كاتبيها فقط ولا تُعَبِّر بالضرورة عن آراء أمانة الويبو أو أي من الدول الأعضاء فيها.</w:t>
      </w:r>
    </w:p>
  </w:footnote>
  <w:footnote w:id="2">
    <w:p w:rsidR="00C13888" w:rsidRPr="00201D0F" w:rsidRDefault="00C13888" w:rsidP="00A62644">
      <w:pPr>
        <w:pStyle w:val="FootnoteText"/>
        <w:rPr>
          <w:rtl/>
          <w:lang w:bidi="ar-EG"/>
        </w:rPr>
      </w:pPr>
      <w:r>
        <w:rPr>
          <w:rStyle w:val="FootnoteReference"/>
        </w:rPr>
        <w:footnoteRef/>
      </w:r>
      <w:r>
        <w:rPr>
          <w:rFonts w:hint="cs"/>
          <w:rtl/>
          <w:lang w:bidi="ar-EG"/>
        </w:rPr>
        <w:tab/>
      </w:r>
      <w:r w:rsidR="00A62644">
        <w:rPr>
          <w:rtl/>
          <w:lang w:bidi="ar-EG"/>
        </w:rPr>
        <w:t>يمكن ا</w:t>
      </w:r>
      <w:r w:rsidR="00A62644">
        <w:rPr>
          <w:rFonts w:hint="cs"/>
          <w:rtl/>
        </w:rPr>
        <w:t>لا</w:t>
      </w:r>
      <w:r w:rsidRPr="00201D0F">
        <w:rPr>
          <w:rtl/>
          <w:lang w:bidi="ar-EG"/>
        </w:rPr>
        <w:t xml:space="preserve">طلاع على معلومات </w:t>
      </w:r>
      <w:r w:rsidR="00AC577B">
        <w:rPr>
          <w:rtl/>
          <w:lang w:bidi="ar-EG"/>
        </w:rPr>
        <w:t>عن ورشة العمل هذه على الرابط ال</w:t>
      </w:r>
      <w:r w:rsidR="00AC577B">
        <w:rPr>
          <w:rFonts w:hint="cs"/>
          <w:rtl/>
          <w:lang w:bidi="ar-EG"/>
        </w:rPr>
        <w:t>إ</w:t>
      </w:r>
      <w:r w:rsidRPr="00201D0F">
        <w:rPr>
          <w:rtl/>
          <w:lang w:bidi="ar-EG"/>
        </w:rPr>
        <w:t xml:space="preserve">لكتروني: </w:t>
      </w:r>
      <w:hyperlink r:id="rId1" w:history="1">
        <w:r w:rsidRPr="00AC577B">
          <w:rPr>
            <w:rStyle w:val="Hyperlink"/>
            <w:u w:val="none"/>
            <w:lang w:bidi="ar-EG"/>
          </w:rPr>
          <w:t>http://www.wipo.int/meetings/en/details.jsp?meeting_id=28084</w:t>
        </w:r>
      </w:hyperlink>
      <w:r w:rsidRPr="00201D0F">
        <w:rPr>
          <w:rtl/>
          <w:lang w:bidi="ar-EG"/>
        </w:rPr>
        <w:t xml:space="preserve">. </w:t>
      </w:r>
    </w:p>
  </w:footnote>
  <w:footnote w:id="3">
    <w:p w:rsidR="00C13888" w:rsidRPr="00201D0F" w:rsidRDefault="00C13888" w:rsidP="005335C3">
      <w:pPr>
        <w:pStyle w:val="FootnoteText"/>
        <w:rPr>
          <w:rtl/>
          <w:lang w:bidi="ar-EG"/>
        </w:rPr>
      </w:pPr>
      <w:r>
        <w:rPr>
          <w:rStyle w:val="FootnoteReference"/>
        </w:rPr>
        <w:footnoteRef/>
      </w:r>
      <w:r>
        <w:rPr>
          <w:rFonts w:hint="cs"/>
          <w:rtl/>
          <w:lang w:bidi="ar-EG"/>
        </w:rPr>
        <w:tab/>
      </w:r>
      <w:r w:rsidRPr="00201D0F">
        <w:rPr>
          <w:rtl/>
          <w:lang w:bidi="ar-EG"/>
        </w:rPr>
        <w:t xml:space="preserve">دراسة </w:t>
      </w:r>
      <w:r w:rsidR="00931906">
        <w:rPr>
          <w:rFonts w:hint="cs"/>
          <w:rtl/>
          <w:lang w:bidi="ar-EG"/>
        </w:rPr>
        <w:t>تصورية</w:t>
      </w:r>
      <w:r w:rsidRPr="00201D0F">
        <w:rPr>
          <w:rtl/>
          <w:lang w:bidi="ar-EG"/>
        </w:rPr>
        <w:t xml:space="preserve"> بشأن الابتكار والملكية الفكرية والاقتصاد غير الرسمي (</w:t>
      </w:r>
      <w:r w:rsidRPr="00201D0F">
        <w:rPr>
          <w:lang w:bidi="ar-EG"/>
        </w:rPr>
        <w:t>CDIP/11/INF/5</w:t>
      </w:r>
      <w:r w:rsidRPr="00201D0F">
        <w:rPr>
          <w:rtl/>
          <w:lang w:bidi="ar-EG"/>
        </w:rPr>
        <w:t xml:space="preserve">) المُقدَّمة إلى الدورة الحادية عشر للجنة التنمية، ومتاحة على الرابط: </w:t>
      </w:r>
      <w:hyperlink r:id="rId2" w:history="1">
        <w:r w:rsidRPr="00874B6B">
          <w:rPr>
            <w:rStyle w:val="Hyperlink"/>
            <w:u w:val="none"/>
            <w:lang w:bidi="ar-EG"/>
          </w:rPr>
          <w:t>http://www.wipo.int/export/sites/www/econ_stat/en/economics/pdf/wp10.pdf</w:t>
        </w:r>
      </w:hyperlink>
      <w:r w:rsidRPr="00201D0F">
        <w:rPr>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98" w:rsidRDefault="002A3B98">
    <w:pPr>
      <w:pStyle w:val="Header"/>
    </w:pPr>
    <w:r>
      <w:t>CDIP/13/INF/2</w:t>
    </w:r>
  </w:p>
  <w:p w:rsidR="002A3B98" w:rsidRDefault="002A3B98">
    <w:pPr>
      <w:pStyle w:val="Header"/>
    </w:pPr>
    <w:r>
      <w:t>Annex</w:t>
    </w:r>
  </w:p>
  <w:p w:rsidR="002A3B98" w:rsidRDefault="00D16DDC">
    <w:pPr>
      <w:pStyle w:val="Header"/>
    </w:pPr>
    <w:sdt>
      <w:sdtPr>
        <w:id w:val="-1289733499"/>
        <w:docPartObj>
          <w:docPartGallery w:val="Page Numbers (Top of Page)"/>
          <w:docPartUnique/>
        </w:docPartObj>
      </w:sdtPr>
      <w:sdtEndPr>
        <w:rPr>
          <w:noProof/>
        </w:rPr>
      </w:sdtEndPr>
      <w:sdtContent>
        <w:r w:rsidR="009D3A6A">
          <w:fldChar w:fldCharType="begin"/>
        </w:r>
        <w:r w:rsidR="002A3B98">
          <w:instrText xml:space="preserve"> PAGE   \* MERGEFORMAT </w:instrText>
        </w:r>
        <w:r w:rsidR="009D3A6A">
          <w:fldChar w:fldCharType="separate"/>
        </w:r>
        <w:r>
          <w:rPr>
            <w:noProof/>
          </w:rPr>
          <w:t>4</w:t>
        </w:r>
        <w:r w:rsidR="009D3A6A">
          <w:rPr>
            <w:noProof/>
          </w:rPr>
          <w:fldChar w:fldCharType="end"/>
        </w:r>
      </w:sdtContent>
    </w:sdt>
  </w:p>
  <w:p w:rsidR="002A3B98" w:rsidRDefault="002A3B9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88" w:rsidRDefault="00223D88" w:rsidP="002A3B98">
    <w:pPr>
      <w:pStyle w:val="Header"/>
    </w:pPr>
    <w:r>
      <w:t>CDIP/13/INF/2</w:t>
    </w:r>
  </w:p>
  <w:p w:rsidR="00223D88" w:rsidRDefault="00223D88" w:rsidP="002A3B98">
    <w:pPr>
      <w:pStyle w:val="Header"/>
    </w:pPr>
    <w:r>
      <w:t>ANNEX</w:t>
    </w:r>
  </w:p>
  <w:p w:rsidR="00223D88" w:rsidRPr="002A3B98" w:rsidRDefault="00223D88" w:rsidP="002A3B98">
    <w:pPr>
      <w:pStyle w:val="Header"/>
      <w:rPr>
        <w:rFonts w:ascii="Arabic Typesetting" w:hAnsi="Arabic Typesetting" w:cs="Arabic Typesetting"/>
        <w:sz w:val="36"/>
        <w:szCs w:val="36"/>
        <w:rtl/>
      </w:rPr>
    </w:pPr>
    <w:r w:rsidRPr="002A3B98">
      <w:rPr>
        <w:rFonts w:ascii="Arabic Typesetting" w:hAnsi="Arabic Typesetting" w:cs="Arabic Typesetting"/>
        <w:sz w:val="36"/>
        <w:szCs w:val="36"/>
        <w:rtl/>
      </w:rPr>
      <w:t>المرفق</w:t>
    </w:r>
  </w:p>
  <w:p w:rsidR="00223D88" w:rsidRDefault="00223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2A3B9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16C"/>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2BC4"/>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3D88"/>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B98"/>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115"/>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567"/>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8DD"/>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5C3"/>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5EC"/>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6E2"/>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7C8"/>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840"/>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B6B"/>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3EDF"/>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906"/>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9E2"/>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A6A"/>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644"/>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77B"/>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AE5"/>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888"/>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02FC"/>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DDC"/>
    <w:rsid w:val="00D20D22"/>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1AC"/>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7C8"/>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7C8"/>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paragraph" w:styleId="BalloonText">
    <w:name w:val="Balloon Text"/>
    <w:basedOn w:val="Normal"/>
    <w:link w:val="BalloonTextChar"/>
    <w:rsid w:val="00C13888"/>
    <w:rPr>
      <w:rFonts w:ascii="Tahoma" w:hAnsi="Tahoma" w:cs="Tahoma"/>
      <w:sz w:val="16"/>
      <w:szCs w:val="16"/>
    </w:rPr>
  </w:style>
  <w:style w:type="character" w:customStyle="1" w:styleId="BalloonTextChar">
    <w:name w:val="Balloon Text Char"/>
    <w:basedOn w:val="DefaultParagraphFont"/>
    <w:link w:val="BalloonText"/>
    <w:rsid w:val="00C13888"/>
    <w:rPr>
      <w:rFonts w:ascii="Tahoma" w:hAnsi="Tahoma" w:cs="Tahoma"/>
      <w:sz w:val="16"/>
      <w:szCs w:val="16"/>
    </w:rPr>
  </w:style>
  <w:style w:type="character" w:customStyle="1" w:styleId="FootnoteTextChar">
    <w:name w:val="Footnote Text Char"/>
    <w:basedOn w:val="DefaultParagraphFont"/>
    <w:link w:val="FootnoteText"/>
    <w:uiPriority w:val="99"/>
    <w:semiHidden/>
    <w:rsid w:val="00C13888"/>
    <w:rPr>
      <w:rFonts w:ascii="Arabic Typesetting" w:hAnsi="Arabic Typesetting" w:cs="Arabic Typesetting"/>
      <w:sz w:val="28"/>
      <w:szCs w:val="28"/>
    </w:rPr>
  </w:style>
  <w:style w:type="character" w:styleId="Hyperlink">
    <w:name w:val="Hyperlink"/>
    <w:uiPriority w:val="99"/>
    <w:unhideWhenUsed/>
    <w:rsid w:val="00C138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econ_stat/en/economics/pdf/wp10.pdf" TargetMode="External"/><Relationship Id="rId1" Type="http://schemas.openxmlformats.org/officeDocument/2006/relationships/hyperlink" Target="http://www.wipo.int/meetings/en/details.jsp?meeting_id=28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8DF2-1C56-4ACE-9A32-EC485188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1851</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IBRAHIM Ammar</cp:lastModifiedBy>
  <cp:revision>16</cp:revision>
  <cp:lastPrinted>2014-02-28T13:30:00Z</cp:lastPrinted>
  <dcterms:created xsi:type="dcterms:W3CDTF">2014-02-26T20:11:00Z</dcterms:created>
  <dcterms:modified xsi:type="dcterms:W3CDTF">2014-03-03T09:05:00Z</dcterms:modified>
</cp:coreProperties>
</file>