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582A90" w:rsidTr="00582A90">
        <w:tc>
          <w:tcPr>
            <w:tcW w:w="4843" w:type="dxa"/>
            <w:tcBorders>
              <w:bottom w:val="single" w:sz="4" w:space="0" w:color="auto"/>
            </w:tcBorders>
            <w:shd w:val="clear" w:color="auto" w:fill="auto"/>
          </w:tcPr>
          <w:p w:rsidR="001667B6" w:rsidRPr="00582A90" w:rsidRDefault="001667B6" w:rsidP="00582A90">
            <w:pPr>
              <w:bidi/>
              <w:rPr>
                <w:rFonts w:ascii="Arabic Typesetting" w:hAnsi="Arabic Typesetting" w:cs="Arabic Typesetting"/>
                <w:sz w:val="36"/>
                <w:szCs w:val="36"/>
                <w:rtl/>
                <w:lang w:bidi="ar-EG"/>
              </w:rPr>
            </w:pPr>
          </w:p>
        </w:tc>
        <w:tc>
          <w:tcPr>
            <w:tcW w:w="4223" w:type="dxa"/>
            <w:tcBorders>
              <w:bottom w:val="single" w:sz="4" w:space="0" w:color="auto"/>
            </w:tcBorders>
            <w:shd w:val="clear" w:color="auto" w:fill="auto"/>
          </w:tcPr>
          <w:p w:rsidR="001667B6" w:rsidRPr="00582A90" w:rsidRDefault="0039283A" w:rsidP="00582A90">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582A90" w:rsidRDefault="001667B6" w:rsidP="001667B6">
            <w:pPr>
              <w:rPr>
                <w:b/>
                <w:bCs/>
                <w:sz w:val="40"/>
                <w:szCs w:val="40"/>
              </w:rPr>
            </w:pPr>
            <w:r w:rsidRPr="00582A90">
              <w:rPr>
                <w:b/>
                <w:bCs/>
                <w:sz w:val="40"/>
                <w:szCs w:val="40"/>
              </w:rPr>
              <w:t>A</w:t>
            </w:r>
          </w:p>
        </w:tc>
      </w:tr>
      <w:tr w:rsidR="001667B6" w:rsidRPr="00582A90" w:rsidTr="00582A90">
        <w:trPr>
          <w:trHeight w:val="333"/>
        </w:trPr>
        <w:tc>
          <w:tcPr>
            <w:tcW w:w="9571" w:type="dxa"/>
            <w:gridSpan w:val="3"/>
            <w:tcBorders>
              <w:top w:val="single" w:sz="4" w:space="0" w:color="auto"/>
            </w:tcBorders>
            <w:shd w:val="clear" w:color="auto" w:fill="auto"/>
            <w:vAlign w:val="bottom"/>
          </w:tcPr>
          <w:p w:rsidR="00B6101C" w:rsidRPr="00B6101C" w:rsidRDefault="00470628" w:rsidP="007579EC">
            <w:pPr>
              <w:pStyle w:val="DocumentCodeAR"/>
              <w:bidi/>
              <w:rPr>
                <w:rtl/>
              </w:rPr>
            </w:pPr>
            <w:r>
              <w:t>CDIP</w:t>
            </w:r>
            <w:r w:rsidR="00100F97">
              <w:t>/</w:t>
            </w:r>
            <w:r w:rsidR="00A871F4">
              <w:t>1</w:t>
            </w:r>
            <w:r w:rsidR="005804FC">
              <w:t>3</w:t>
            </w:r>
            <w:r w:rsidR="005F0C7C">
              <w:t>/</w:t>
            </w:r>
            <w:r w:rsidR="007579EC">
              <w:t>7</w:t>
            </w:r>
          </w:p>
        </w:tc>
      </w:tr>
      <w:tr w:rsidR="001667B6" w:rsidRPr="00582A90" w:rsidTr="00582A90">
        <w:tc>
          <w:tcPr>
            <w:tcW w:w="9571" w:type="dxa"/>
            <w:gridSpan w:val="3"/>
            <w:shd w:val="clear" w:color="auto" w:fill="auto"/>
          </w:tcPr>
          <w:p w:rsidR="001667B6" w:rsidRPr="00B6101C" w:rsidRDefault="00B6101C" w:rsidP="002A3B98">
            <w:pPr>
              <w:pStyle w:val="DocumentLanguageAR"/>
              <w:bidi/>
              <w:rPr>
                <w:rtl/>
              </w:rPr>
            </w:pPr>
            <w:r w:rsidRPr="00B6101C">
              <w:rPr>
                <w:rFonts w:hint="cs"/>
                <w:rtl/>
              </w:rPr>
              <w:t xml:space="preserve">الأصل: </w:t>
            </w:r>
            <w:r w:rsidR="002A3B98">
              <w:rPr>
                <w:rFonts w:hint="cs"/>
                <w:rtl/>
              </w:rPr>
              <w:t>بالإنكليزية</w:t>
            </w:r>
          </w:p>
        </w:tc>
      </w:tr>
      <w:tr w:rsidR="001667B6" w:rsidRPr="00582A90" w:rsidTr="00582A90">
        <w:tc>
          <w:tcPr>
            <w:tcW w:w="9571" w:type="dxa"/>
            <w:gridSpan w:val="3"/>
            <w:shd w:val="clear" w:color="auto" w:fill="auto"/>
          </w:tcPr>
          <w:p w:rsidR="001667B6" w:rsidRPr="00B6101C" w:rsidRDefault="00B6101C" w:rsidP="006C16D0">
            <w:pPr>
              <w:pStyle w:val="DocumentDateAR"/>
              <w:bidi/>
              <w:rPr>
                <w:rtl/>
              </w:rPr>
            </w:pPr>
            <w:r w:rsidRPr="00B6101C">
              <w:rPr>
                <w:rFonts w:hint="cs"/>
                <w:rtl/>
              </w:rPr>
              <w:t xml:space="preserve">التاريخ: </w:t>
            </w:r>
            <w:r w:rsidR="006C16D0">
              <w:rPr>
                <w:rFonts w:hint="cs"/>
                <w:rtl/>
              </w:rPr>
              <w:t>12</w:t>
            </w:r>
            <w:r w:rsidRPr="00B6101C">
              <w:rPr>
                <w:rFonts w:hint="cs"/>
                <w:rtl/>
              </w:rPr>
              <w:t xml:space="preserve"> </w:t>
            </w:r>
            <w:r w:rsidR="005F0C7C">
              <w:rPr>
                <w:rFonts w:hint="cs"/>
                <w:rtl/>
              </w:rPr>
              <w:t>مارس</w:t>
            </w:r>
            <w:r w:rsidRPr="00B6101C">
              <w:rPr>
                <w:rFonts w:hint="cs"/>
                <w:rtl/>
              </w:rPr>
              <w:t xml:space="preserve"> </w:t>
            </w:r>
            <w:r w:rsidR="005804FC">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100F97" w:rsidP="00470628">
      <w:pPr>
        <w:pStyle w:val="MeetingTitleAR"/>
        <w:bidi/>
        <w:ind w:right="550"/>
        <w:rPr>
          <w:rtl/>
        </w:rPr>
      </w:pPr>
      <w:r w:rsidRPr="00100F97">
        <w:rPr>
          <w:rtl/>
        </w:rPr>
        <w:t xml:space="preserve">اللجنة </w:t>
      </w:r>
      <w:r w:rsidR="00470628">
        <w:rPr>
          <w:rFonts w:hint="cs"/>
          <w:rtl/>
        </w:rPr>
        <w:t>المعنية بالتنمية والملكية الفكرية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5804FC">
      <w:pPr>
        <w:pStyle w:val="MeetingSessionAR"/>
        <w:bidi/>
        <w:rPr>
          <w:rFonts w:ascii="Cambria Math" w:hAnsi="Cambria Math"/>
          <w:rtl/>
        </w:rPr>
      </w:pPr>
      <w:r w:rsidRPr="00783D11">
        <w:rPr>
          <w:rFonts w:ascii="Cambria Math" w:hAnsi="Cambria Math"/>
          <w:rtl/>
        </w:rPr>
        <w:t xml:space="preserve">الدورة </w:t>
      </w:r>
      <w:r w:rsidR="005804FC">
        <w:rPr>
          <w:rFonts w:ascii="Cambria Math" w:hAnsi="Cambria Math" w:hint="cs"/>
          <w:rtl/>
        </w:rPr>
        <w:t>الثالثة</w:t>
      </w:r>
      <w:r w:rsidR="00796CF7">
        <w:rPr>
          <w:rFonts w:ascii="Cambria Math" w:hAnsi="Cambria Math" w:hint="cs"/>
          <w:rtl/>
        </w:rPr>
        <w:t xml:space="preserve"> عشرة</w:t>
      </w:r>
    </w:p>
    <w:p w:rsidR="00D61541" w:rsidRPr="00D61541" w:rsidRDefault="00D61541" w:rsidP="005804FC">
      <w:pPr>
        <w:pStyle w:val="MeetingDatesAR"/>
        <w:bidi/>
        <w:rPr>
          <w:rtl/>
        </w:rPr>
      </w:pPr>
      <w:r w:rsidRPr="00D61541">
        <w:rPr>
          <w:rFonts w:hint="cs"/>
          <w:rtl/>
        </w:rPr>
        <w:t xml:space="preserve">جنيف، من </w:t>
      </w:r>
      <w:r w:rsidR="005804FC">
        <w:rPr>
          <w:rFonts w:hint="cs"/>
          <w:rtl/>
        </w:rPr>
        <w:t>19</w:t>
      </w:r>
      <w:r w:rsidR="00100F97">
        <w:rPr>
          <w:rFonts w:hint="cs"/>
          <w:rtl/>
        </w:rPr>
        <w:t xml:space="preserve"> إلى </w:t>
      </w:r>
      <w:r w:rsidR="005804FC">
        <w:rPr>
          <w:rFonts w:hint="cs"/>
          <w:rtl/>
        </w:rPr>
        <w:t>23</w:t>
      </w:r>
      <w:r w:rsidR="00783D11">
        <w:rPr>
          <w:rFonts w:hint="cs"/>
          <w:rtl/>
        </w:rPr>
        <w:t xml:space="preserve"> </w:t>
      </w:r>
      <w:r w:rsidR="005804FC">
        <w:rPr>
          <w:rFonts w:hint="cs"/>
          <w:rtl/>
        </w:rPr>
        <w:t>مايو</w:t>
      </w:r>
      <w:r w:rsidR="00AE2328">
        <w:rPr>
          <w:rFonts w:hint="cs"/>
          <w:rtl/>
        </w:rPr>
        <w:t xml:space="preserve"> </w:t>
      </w:r>
      <w:r w:rsidR="005804FC">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6C16D0" w:rsidP="00FB7EC9">
      <w:pPr>
        <w:pStyle w:val="DocumentTitleAR"/>
        <w:bidi/>
        <w:rPr>
          <w:rtl/>
        </w:rPr>
      </w:pPr>
      <w:r w:rsidRPr="006C16D0">
        <w:rPr>
          <w:rtl/>
        </w:rPr>
        <w:t>مشروع البراءات والملك العام: تقرير التقييم الذاتي</w:t>
      </w:r>
    </w:p>
    <w:p w:rsidR="00D61541" w:rsidRDefault="006C16D0" w:rsidP="00A87C9D">
      <w:pPr>
        <w:pStyle w:val="PreparedbyAR"/>
        <w:bidi/>
        <w:rPr>
          <w:rtl/>
        </w:rPr>
      </w:pPr>
      <w:r w:rsidRPr="006C16D0">
        <w:rPr>
          <w:rtl/>
        </w:rPr>
        <w:t>من إعداد الأمانة</w:t>
      </w:r>
      <w:r w:rsidR="00060B41">
        <w:rPr>
          <w:rFonts w:hint="cs"/>
          <w:rtl/>
        </w:rPr>
        <w:t xml:space="preserve"> </w:t>
      </w:r>
    </w:p>
    <w:p w:rsidR="002A3B98" w:rsidRDefault="006C16D0" w:rsidP="00C3673E">
      <w:pPr>
        <w:pStyle w:val="NumberedParaAR"/>
      </w:pPr>
      <w:r w:rsidRPr="006C16D0">
        <w:rPr>
          <w:rtl/>
        </w:rPr>
        <w:t xml:space="preserve">يقتضي مشروع البراءات والملك العام </w:t>
      </w:r>
      <w:r w:rsidR="00C3673E">
        <w:rPr>
          <w:rtl/>
        </w:rPr>
        <w:t>–</w:t>
      </w:r>
      <w:r w:rsidRPr="006C16D0">
        <w:rPr>
          <w:rtl/>
        </w:rPr>
        <w:t xml:space="preserve"> حسبما</w:t>
      </w:r>
      <w:r w:rsidR="00C3673E">
        <w:rPr>
          <w:rFonts w:hint="cs"/>
          <w:rtl/>
        </w:rPr>
        <w:t xml:space="preserve"> </w:t>
      </w:r>
      <w:r w:rsidRPr="006C16D0">
        <w:rPr>
          <w:rtl/>
        </w:rPr>
        <w:t>هو منصوص عليه في وثيقة المشروع (</w:t>
      </w:r>
      <w:r w:rsidRPr="006C16D0">
        <w:t>CDIP/7/5 Rev</w:t>
      </w:r>
      <w:r w:rsidR="00C3673E">
        <w:t>.</w:t>
      </w:r>
      <w:r w:rsidRPr="006C16D0">
        <w:rPr>
          <w:rtl/>
        </w:rPr>
        <w:t xml:space="preserve">) </w:t>
      </w:r>
      <w:r w:rsidR="00C3673E">
        <w:rPr>
          <w:rtl/>
        </w:rPr>
        <w:t>–</w:t>
      </w:r>
      <w:r w:rsidRPr="006C16D0">
        <w:rPr>
          <w:rtl/>
        </w:rPr>
        <w:t xml:space="preserve"> </w:t>
      </w:r>
      <w:proofErr w:type="gramStart"/>
      <w:r w:rsidRPr="006C16D0">
        <w:rPr>
          <w:rtl/>
        </w:rPr>
        <w:t>أن</w:t>
      </w:r>
      <w:proofErr w:type="gramEnd"/>
      <w:r w:rsidRPr="006C16D0">
        <w:rPr>
          <w:rtl/>
        </w:rPr>
        <w:t xml:space="preserve"> يرد في تقرير التقييم الذاتي النهائي وصفٌ لنتائج المشروع الرئيسية وتقييمٌ نهائيٌّ لإنجازاته.</w:t>
      </w:r>
    </w:p>
    <w:p w:rsidR="006C16D0" w:rsidRDefault="006C16D0" w:rsidP="006C16D0">
      <w:pPr>
        <w:pStyle w:val="NumberedParaAR"/>
      </w:pPr>
      <w:r w:rsidRPr="006C16D0">
        <w:rPr>
          <w:rtl/>
        </w:rPr>
        <w:t>ولذلك يحتوي مرفق هذه الوثيقة على تقرير التقييم الذاتي المذكور آنفاً.</w:t>
      </w:r>
    </w:p>
    <w:p w:rsidR="00A87C9D" w:rsidRPr="00060B41" w:rsidRDefault="006C16D0" w:rsidP="009D0C8D">
      <w:pPr>
        <w:pStyle w:val="DecisionParaAR"/>
        <w:rPr>
          <w:rtl/>
        </w:rPr>
      </w:pPr>
      <w:r w:rsidRPr="006C16D0">
        <w:rPr>
          <w:rtl/>
        </w:rPr>
        <w:t>واللجنة مدعوةٌ إلى الإحاطة علماً بالمعلومات الواردة في مرفق هذه الوثيقة.</w:t>
      </w:r>
    </w:p>
    <w:p w:rsidR="009D0C8D" w:rsidRDefault="009D0C8D" w:rsidP="00A87C9D">
      <w:pPr>
        <w:pStyle w:val="EndofDocumentAR"/>
      </w:pPr>
    </w:p>
    <w:p w:rsidR="008C6700" w:rsidRDefault="00A87C9D" w:rsidP="00A87C9D">
      <w:pPr>
        <w:pStyle w:val="EndofDocumentAR"/>
        <w:rPr>
          <w:rtl/>
        </w:rPr>
        <w:sectPr w:rsidR="008C6700" w:rsidSect="002A3B98">
          <w:headerReference w:type="default" r:id="rId10"/>
          <w:pgSz w:w="11907" w:h="16840" w:code="9"/>
          <w:pgMar w:top="567" w:right="1418" w:bottom="1418" w:left="1134" w:header="510" w:footer="1021" w:gutter="0"/>
          <w:pgNumType w:start="1"/>
          <w:cols w:space="720"/>
          <w:titlePg/>
          <w:docGrid w:linePitch="299"/>
        </w:sectPr>
      </w:pPr>
      <w:r>
        <w:rPr>
          <w:rFonts w:hint="cs"/>
          <w:rtl/>
        </w:rPr>
        <w:t xml:space="preserve">[يلي ذلك </w:t>
      </w:r>
      <w:proofErr w:type="gramStart"/>
      <w:r>
        <w:rPr>
          <w:rFonts w:hint="cs"/>
          <w:rtl/>
        </w:rPr>
        <w:t>المرفق</w:t>
      </w:r>
      <w:proofErr w:type="gramEnd"/>
      <w:r>
        <w:rPr>
          <w:rFonts w:hint="cs"/>
          <w:rtl/>
        </w:rPr>
        <w:t>]</w:t>
      </w:r>
    </w:p>
    <w:tbl>
      <w:tblPr>
        <w:tblStyle w:val="TableGrid"/>
        <w:bidiVisual/>
        <w:tblW w:w="0" w:type="auto"/>
        <w:jc w:val="center"/>
        <w:tblLook w:val="04A0" w:firstRow="1" w:lastRow="0" w:firstColumn="1" w:lastColumn="0" w:noHBand="0" w:noVBand="1"/>
      </w:tblPr>
      <w:tblGrid>
        <w:gridCol w:w="2662"/>
        <w:gridCol w:w="6909"/>
      </w:tblGrid>
      <w:tr w:rsidR="00A34E80" w:rsidTr="009D0C8D">
        <w:trPr>
          <w:jc w:val="center"/>
        </w:trPr>
        <w:tc>
          <w:tcPr>
            <w:tcW w:w="9571" w:type="dxa"/>
            <w:gridSpan w:val="2"/>
          </w:tcPr>
          <w:p w:rsidR="00A34E80" w:rsidRDefault="00A34E80" w:rsidP="002A3B98">
            <w:pPr>
              <w:pStyle w:val="NumberedParaAR"/>
              <w:numPr>
                <w:ilvl w:val="0"/>
                <w:numId w:val="0"/>
              </w:numPr>
              <w:rPr>
                <w:rtl/>
                <w:lang w:bidi="ar-EG"/>
              </w:rPr>
            </w:pPr>
            <w:proofErr w:type="gramStart"/>
            <w:r w:rsidRPr="00C3673E">
              <w:rPr>
                <w:sz w:val="40"/>
                <w:szCs w:val="40"/>
                <w:rtl/>
                <w:lang w:bidi="ar-EG"/>
              </w:rPr>
              <w:lastRenderedPageBreak/>
              <w:t>التقييم</w:t>
            </w:r>
            <w:proofErr w:type="gramEnd"/>
            <w:r w:rsidRPr="00C3673E">
              <w:rPr>
                <w:sz w:val="40"/>
                <w:szCs w:val="40"/>
                <w:rtl/>
                <w:lang w:bidi="ar-EG"/>
              </w:rPr>
              <w:t xml:space="preserve"> الذاتي للمشروع</w:t>
            </w:r>
          </w:p>
        </w:tc>
      </w:tr>
      <w:tr w:rsidR="00A34E80" w:rsidTr="008C6700">
        <w:trPr>
          <w:jc w:val="center"/>
        </w:trPr>
        <w:tc>
          <w:tcPr>
            <w:tcW w:w="2662" w:type="dxa"/>
          </w:tcPr>
          <w:p w:rsidR="00A34E80" w:rsidRPr="00A34E80" w:rsidRDefault="00A34E80" w:rsidP="002A3B98">
            <w:pPr>
              <w:pStyle w:val="NumberedParaAR"/>
              <w:numPr>
                <w:ilvl w:val="0"/>
                <w:numId w:val="0"/>
              </w:numPr>
              <w:rPr>
                <w:u w:val="single"/>
                <w:rtl/>
                <w:lang w:bidi="ar-EG"/>
              </w:rPr>
            </w:pPr>
            <w:r w:rsidRPr="00A34E80">
              <w:rPr>
                <w:u w:val="single"/>
                <w:rtl/>
                <w:lang w:bidi="ar-EG"/>
              </w:rPr>
              <w:t>رمز المشروع</w:t>
            </w:r>
          </w:p>
        </w:tc>
        <w:tc>
          <w:tcPr>
            <w:tcW w:w="6909" w:type="dxa"/>
          </w:tcPr>
          <w:p w:rsidR="00A34E80" w:rsidRDefault="00A34E80" w:rsidP="002A3B98">
            <w:pPr>
              <w:pStyle w:val="NumberedParaAR"/>
              <w:numPr>
                <w:ilvl w:val="0"/>
                <w:numId w:val="0"/>
              </w:numPr>
              <w:rPr>
                <w:rtl/>
                <w:lang w:bidi="ar-EG"/>
              </w:rPr>
            </w:pPr>
            <w:r w:rsidRPr="00A34E80">
              <w:rPr>
                <w:lang w:bidi="ar-EG"/>
              </w:rPr>
              <w:t>DA_16_20_02</w:t>
            </w:r>
          </w:p>
        </w:tc>
      </w:tr>
      <w:tr w:rsidR="00A34E80" w:rsidTr="008C6700">
        <w:trPr>
          <w:jc w:val="center"/>
        </w:trPr>
        <w:tc>
          <w:tcPr>
            <w:tcW w:w="2662" w:type="dxa"/>
          </w:tcPr>
          <w:p w:rsidR="00A34E80" w:rsidRPr="00A34E80" w:rsidRDefault="00A34E80" w:rsidP="002A3B98">
            <w:pPr>
              <w:pStyle w:val="NumberedParaAR"/>
              <w:numPr>
                <w:ilvl w:val="0"/>
                <w:numId w:val="0"/>
              </w:numPr>
              <w:rPr>
                <w:u w:val="single"/>
                <w:rtl/>
                <w:lang w:bidi="ar-EG"/>
              </w:rPr>
            </w:pPr>
            <w:r w:rsidRPr="00A34E80">
              <w:rPr>
                <w:u w:val="single"/>
                <w:rtl/>
                <w:lang w:bidi="ar-EG"/>
              </w:rPr>
              <w:t>العنوان</w:t>
            </w:r>
          </w:p>
        </w:tc>
        <w:tc>
          <w:tcPr>
            <w:tcW w:w="6909" w:type="dxa"/>
          </w:tcPr>
          <w:p w:rsidR="00A34E80" w:rsidRDefault="00A34E80" w:rsidP="002A3B98">
            <w:pPr>
              <w:pStyle w:val="NumberedParaAR"/>
              <w:numPr>
                <w:ilvl w:val="0"/>
                <w:numId w:val="0"/>
              </w:numPr>
              <w:rPr>
                <w:rtl/>
                <w:lang w:bidi="ar-EG"/>
              </w:rPr>
            </w:pPr>
            <w:r w:rsidRPr="00A34E80">
              <w:rPr>
                <w:rtl/>
                <w:lang w:bidi="ar-EG"/>
              </w:rPr>
              <w:t>البراءات والملك العام</w:t>
            </w:r>
          </w:p>
        </w:tc>
      </w:tr>
      <w:tr w:rsidR="00A34E80" w:rsidTr="008C6700">
        <w:trPr>
          <w:jc w:val="center"/>
        </w:trPr>
        <w:tc>
          <w:tcPr>
            <w:tcW w:w="2662" w:type="dxa"/>
          </w:tcPr>
          <w:p w:rsidR="00A34E80" w:rsidRPr="00700F08" w:rsidRDefault="00A34E80" w:rsidP="00A34E80">
            <w:pPr>
              <w:pStyle w:val="NumberedParaAR"/>
              <w:numPr>
                <w:ilvl w:val="0"/>
                <w:numId w:val="0"/>
              </w:numPr>
              <w:rPr>
                <w:u w:val="single"/>
                <w:rtl/>
                <w:lang w:bidi="ar-EG"/>
              </w:rPr>
            </w:pPr>
            <w:r w:rsidRPr="00700F08">
              <w:rPr>
                <w:u w:val="single"/>
                <w:rtl/>
                <w:lang w:bidi="ar-EG"/>
              </w:rPr>
              <w:t>توصي</w:t>
            </w:r>
            <w:r w:rsidRPr="00700F08">
              <w:rPr>
                <w:rFonts w:hint="cs"/>
                <w:u w:val="single"/>
                <w:rtl/>
                <w:lang w:bidi="ar-EG"/>
              </w:rPr>
              <w:t>ة</w:t>
            </w:r>
            <w:r w:rsidRPr="00700F08">
              <w:rPr>
                <w:u w:val="single"/>
                <w:rtl/>
                <w:lang w:bidi="ar-EG"/>
              </w:rPr>
              <w:t xml:space="preserve"> جدول أعمال التنمية</w:t>
            </w:r>
          </w:p>
        </w:tc>
        <w:tc>
          <w:tcPr>
            <w:tcW w:w="6909" w:type="dxa"/>
          </w:tcPr>
          <w:p w:rsidR="00A34E80" w:rsidRDefault="00A34E80" w:rsidP="00A34E80">
            <w:pPr>
              <w:pStyle w:val="NumberedParaAR"/>
              <w:numPr>
                <w:ilvl w:val="0"/>
                <w:numId w:val="0"/>
              </w:numPr>
              <w:rPr>
                <w:rtl/>
                <w:lang w:bidi="ar-EG"/>
              </w:rPr>
            </w:pPr>
            <w:r w:rsidRPr="00A34E80">
              <w:rPr>
                <w:i/>
                <w:iCs/>
                <w:rtl/>
                <w:lang w:bidi="ar-EG"/>
              </w:rPr>
              <w:t>التوصية 16:</w:t>
            </w:r>
            <w:r w:rsidRPr="00A34E80">
              <w:rPr>
                <w:rtl/>
                <w:lang w:bidi="ar-EG"/>
              </w:rPr>
              <w:t xml:space="preserve"> أخذ حماية الملك العام بعين الاعتبار عند وضع القواعد والمعايير في سياق الويبو والتعمق في تحليل </w:t>
            </w:r>
            <w:proofErr w:type="spellStart"/>
            <w:r w:rsidRPr="00A34E80">
              <w:rPr>
                <w:rtl/>
                <w:lang w:bidi="ar-EG"/>
              </w:rPr>
              <w:t>الاستتباعات</w:t>
            </w:r>
            <w:proofErr w:type="spellEnd"/>
            <w:r w:rsidRPr="00A34E80">
              <w:rPr>
                <w:rtl/>
                <w:lang w:bidi="ar-EG"/>
              </w:rPr>
              <w:t xml:space="preserve"> والمنافع الناتجة عن ملك عام غزير ومفتوح.</w:t>
            </w:r>
          </w:p>
          <w:p w:rsidR="00A34E80" w:rsidRDefault="00A34E80" w:rsidP="00A34E80">
            <w:pPr>
              <w:pStyle w:val="NumberedParaAR"/>
              <w:numPr>
                <w:ilvl w:val="0"/>
                <w:numId w:val="0"/>
              </w:numPr>
              <w:rPr>
                <w:rtl/>
                <w:lang w:bidi="ar-EG"/>
              </w:rPr>
            </w:pPr>
            <w:r w:rsidRPr="00A34E80">
              <w:rPr>
                <w:i/>
                <w:iCs/>
                <w:rtl/>
                <w:lang w:bidi="ar-EG"/>
              </w:rPr>
              <w:t>التوصية 20:</w:t>
            </w:r>
            <w:r w:rsidRPr="00A34E80">
              <w:rPr>
                <w:rtl/>
                <w:lang w:bidi="ar-EG"/>
              </w:rPr>
              <w:t xml:space="preserve"> النهوض بأنشطة وضع القواعد والمعايير المرتبطة بالملكية الفكرية والداعمة لملك عام متين في الدول الأعضاء في الويبو، بما في ذلك إمكانية إعداد مبادئ توجيهية بإمكانها أن تساعد الدول الأعضاء المهتمة بالموضوع على تحديد المواد التي آلت إلى الملك العام وفقا لأنظمتها القانونية.</w:t>
            </w:r>
          </w:p>
        </w:tc>
      </w:tr>
      <w:tr w:rsidR="00A34E80" w:rsidTr="008C6700">
        <w:trPr>
          <w:jc w:val="center"/>
        </w:trPr>
        <w:tc>
          <w:tcPr>
            <w:tcW w:w="2662" w:type="dxa"/>
          </w:tcPr>
          <w:p w:rsidR="00A34E80" w:rsidRPr="00700F08" w:rsidRDefault="00700F08" w:rsidP="002A3B98">
            <w:pPr>
              <w:pStyle w:val="NumberedParaAR"/>
              <w:numPr>
                <w:ilvl w:val="0"/>
                <w:numId w:val="0"/>
              </w:numPr>
              <w:rPr>
                <w:u w:val="single"/>
                <w:rtl/>
                <w:lang w:bidi="ar-EG"/>
              </w:rPr>
            </w:pPr>
            <w:r w:rsidRPr="00700F08">
              <w:rPr>
                <w:u w:val="single"/>
                <w:rtl/>
                <w:lang w:bidi="ar-EG"/>
              </w:rPr>
              <w:t>ميزانية المشروع</w:t>
            </w:r>
          </w:p>
        </w:tc>
        <w:tc>
          <w:tcPr>
            <w:tcW w:w="6909" w:type="dxa"/>
          </w:tcPr>
          <w:p w:rsidR="00A34E80" w:rsidRDefault="00700F08" w:rsidP="002A3B98">
            <w:pPr>
              <w:pStyle w:val="NumberedParaAR"/>
              <w:numPr>
                <w:ilvl w:val="0"/>
                <w:numId w:val="0"/>
              </w:numPr>
              <w:rPr>
                <w:rtl/>
                <w:lang w:bidi="ar-EG"/>
              </w:rPr>
            </w:pPr>
            <w:r w:rsidRPr="00700F08">
              <w:rPr>
                <w:rtl/>
                <w:lang w:bidi="ar-EG"/>
              </w:rPr>
              <w:t xml:space="preserve">تكاليف خلاف الموظفين: </w:t>
            </w:r>
            <w:r w:rsidR="003024D7" w:rsidRPr="003024D7">
              <w:rPr>
                <w:rtl/>
                <w:lang w:bidi="ar-EG"/>
              </w:rPr>
              <w:t>000 50</w:t>
            </w:r>
            <w:r w:rsidRPr="00700F08">
              <w:rPr>
                <w:rtl/>
                <w:lang w:bidi="ar-EG"/>
              </w:rPr>
              <w:t xml:space="preserve"> فرنك سويسري</w:t>
            </w:r>
          </w:p>
        </w:tc>
      </w:tr>
      <w:tr w:rsidR="00A34E80" w:rsidTr="008C6700">
        <w:trPr>
          <w:jc w:val="center"/>
        </w:trPr>
        <w:tc>
          <w:tcPr>
            <w:tcW w:w="2662" w:type="dxa"/>
          </w:tcPr>
          <w:p w:rsidR="00A34E80" w:rsidRPr="00700F08" w:rsidRDefault="00700F08" w:rsidP="002A3B98">
            <w:pPr>
              <w:pStyle w:val="NumberedParaAR"/>
              <w:numPr>
                <w:ilvl w:val="0"/>
                <w:numId w:val="0"/>
              </w:numPr>
              <w:rPr>
                <w:u w:val="single"/>
                <w:rtl/>
                <w:lang w:bidi="ar-EG"/>
              </w:rPr>
            </w:pPr>
            <w:r w:rsidRPr="00700F08">
              <w:rPr>
                <w:u w:val="single"/>
                <w:rtl/>
                <w:lang w:bidi="ar-EG"/>
              </w:rPr>
              <w:t>تاريخ بدء المشروع</w:t>
            </w:r>
          </w:p>
        </w:tc>
        <w:tc>
          <w:tcPr>
            <w:tcW w:w="6909" w:type="dxa"/>
          </w:tcPr>
          <w:p w:rsidR="00A34E80" w:rsidRDefault="00700F08" w:rsidP="002A3B98">
            <w:pPr>
              <w:pStyle w:val="NumberedParaAR"/>
              <w:numPr>
                <w:ilvl w:val="0"/>
                <w:numId w:val="0"/>
              </w:numPr>
              <w:rPr>
                <w:rtl/>
                <w:lang w:bidi="ar-EG"/>
              </w:rPr>
            </w:pPr>
            <w:r w:rsidRPr="00700F08">
              <w:rPr>
                <w:rtl/>
                <w:lang w:bidi="ar-EG"/>
              </w:rPr>
              <w:t>1 يناير 2012</w:t>
            </w:r>
          </w:p>
        </w:tc>
      </w:tr>
      <w:tr w:rsidR="00A34E80" w:rsidTr="008C6700">
        <w:trPr>
          <w:jc w:val="center"/>
        </w:trPr>
        <w:tc>
          <w:tcPr>
            <w:tcW w:w="2662" w:type="dxa"/>
          </w:tcPr>
          <w:p w:rsidR="00A34E80" w:rsidRPr="00700F08" w:rsidRDefault="00700F08" w:rsidP="002A3B98">
            <w:pPr>
              <w:pStyle w:val="NumberedParaAR"/>
              <w:numPr>
                <w:ilvl w:val="0"/>
                <w:numId w:val="0"/>
              </w:numPr>
              <w:rPr>
                <w:u w:val="single"/>
                <w:rtl/>
                <w:lang w:bidi="ar-EG"/>
              </w:rPr>
            </w:pPr>
            <w:r w:rsidRPr="00700F08">
              <w:rPr>
                <w:u w:val="single"/>
                <w:rtl/>
                <w:lang w:bidi="ar-EG"/>
              </w:rPr>
              <w:t>مدة المشروع</w:t>
            </w:r>
          </w:p>
        </w:tc>
        <w:tc>
          <w:tcPr>
            <w:tcW w:w="6909" w:type="dxa"/>
          </w:tcPr>
          <w:p w:rsidR="00A34E80" w:rsidRDefault="00700F08" w:rsidP="002A3B98">
            <w:pPr>
              <w:pStyle w:val="NumberedParaAR"/>
              <w:numPr>
                <w:ilvl w:val="0"/>
                <w:numId w:val="0"/>
              </w:numPr>
              <w:rPr>
                <w:rtl/>
                <w:lang w:bidi="ar-EG"/>
              </w:rPr>
            </w:pPr>
            <w:r w:rsidRPr="00700F08">
              <w:rPr>
                <w:rtl/>
                <w:lang w:bidi="ar-EG"/>
              </w:rPr>
              <w:t>15 شهراً</w:t>
            </w:r>
          </w:p>
        </w:tc>
      </w:tr>
      <w:tr w:rsidR="00A34E80" w:rsidTr="008C6700">
        <w:trPr>
          <w:jc w:val="center"/>
        </w:trPr>
        <w:tc>
          <w:tcPr>
            <w:tcW w:w="2662" w:type="dxa"/>
          </w:tcPr>
          <w:p w:rsidR="00A34E80" w:rsidRPr="00700F08" w:rsidRDefault="00700F08" w:rsidP="002A3B98">
            <w:pPr>
              <w:pStyle w:val="NumberedParaAR"/>
              <w:numPr>
                <w:ilvl w:val="0"/>
                <w:numId w:val="0"/>
              </w:numPr>
              <w:rPr>
                <w:u w:val="single"/>
                <w:rtl/>
                <w:lang w:bidi="ar-EG"/>
              </w:rPr>
            </w:pPr>
            <w:r w:rsidRPr="00700F08">
              <w:rPr>
                <w:u w:val="single"/>
                <w:rtl/>
                <w:lang w:bidi="ar-EG"/>
              </w:rPr>
              <w:t>قطاعات الويبو الرئيسية المعنية والصلة ببرامج الويبو</w:t>
            </w:r>
          </w:p>
        </w:tc>
        <w:tc>
          <w:tcPr>
            <w:tcW w:w="6909" w:type="dxa"/>
          </w:tcPr>
          <w:p w:rsidR="00A34E80" w:rsidRDefault="00700F08" w:rsidP="002A3B98">
            <w:pPr>
              <w:pStyle w:val="NumberedParaAR"/>
              <w:numPr>
                <w:ilvl w:val="0"/>
                <w:numId w:val="0"/>
              </w:numPr>
              <w:rPr>
                <w:rtl/>
                <w:lang w:bidi="ar-EG"/>
              </w:rPr>
            </w:pPr>
            <w:r w:rsidRPr="00700F08">
              <w:rPr>
                <w:rtl/>
                <w:lang w:bidi="ar-EG"/>
              </w:rPr>
              <w:t>قطاع الابتكار والتكنولوجيا (البرنامج 1)</w:t>
            </w:r>
          </w:p>
          <w:p w:rsidR="00700F08" w:rsidRDefault="00700F08" w:rsidP="002A3B98">
            <w:pPr>
              <w:pStyle w:val="NumberedParaAR"/>
              <w:numPr>
                <w:ilvl w:val="0"/>
                <w:numId w:val="0"/>
              </w:numPr>
              <w:rPr>
                <w:rtl/>
                <w:lang w:bidi="ar-EG"/>
              </w:rPr>
            </w:pPr>
            <w:r w:rsidRPr="00700F08">
              <w:rPr>
                <w:rtl/>
                <w:lang w:bidi="ar-EG"/>
              </w:rPr>
              <w:t>الصلة بالبرامج الأخرى: البرامج 8 و9 و10 و16</w:t>
            </w:r>
          </w:p>
        </w:tc>
      </w:tr>
      <w:tr w:rsidR="00A34E80" w:rsidTr="008C6700">
        <w:trPr>
          <w:jc w:val="center"/>
        </w:trPr>
        <w:tc>
          <w:tcPr>
            <w:tcW w:w="2662" w:type="dxa"/>
          </w:tcPr>
          <w:p w:rsidR="00A34E80" w:rsidRPr="00700F08" w:rsidRDefault="00700F08" w:rsidP="002A3B98">
            <w:pPr>
              <w:pStyle w:val="NumberedParaAR"/>
              <w:numPr>
                <w:ilvl w:val="0"/>
                <w:numId w:val="0"/>
              </w:numPr>
              <w:rPr>
                <w:u w:val="single"/>
                <w:rtl/>
                <w:lang w:bidi="ar-EG"/>
              </w:rPr>
            </w:pPr>
            <w:r w:rsidRPr="00700F08">
              <w:rPr>
                <w:u w:val="single"/>
                <w:rtl/>
                <w:lang w:bidi="ar-EG"/>
              </w:rPr>
              <w:t>وصف مقتضب للمشروع</w:t>
            </w:r>
          </w:p>
        </w:tc>
        <w:tc>
          <w:tcPr>
            <w:tcW w:w="6909" w:type="dxa"/>
          </w:tcPr>
          <w:p w:rsidR="00700F08" w:rsidRDefault="00700F08" w:rsidP="005D7167">
            <w:pPr>
              <w:pStyle w:val="NumberedParaAR"/>
              <w:numPr>
                <w:ilvl w:val="0"/>
                <w:numId w:val="0"/>
              </w:numPr>
              <w:rPr>
                <w:rtl/>
                <w:lang w:bidi="ar-EG"/>
              </w:rPr>
            </w:pPr>
            <w:r w:rsidRPr="00700F08">
              <w:rPr>
                <w:rtl/>
                <w:lang w:bidi="ar-EG"/>
              </w:rPr>
              <w:t xml:space="preserve">يرد في الوثيقة </w:t>
            </w:r>
            <w:r w:rsidRPr="00700F08">
              <w:rPr>
                <w:lang w:bidi="ar-EG"/>
              </w:rPr>
              <w:t>CDIP/7/5 Rev</w:t>
            </w:r>
            <w:r w:rsidR="005D7167">
              <w:rPr>
                <w:lang w:bidi="ar-EG"/>
              </w:rPr>
              <w:t>.</w:t>
            </w:r>
            <w:r w:rsidRPr="00700F08">
              <w:rPr>
                <w:rtl/>
                <w:lang w:bidi="ar-EG"/>
              </w:rPr>
              <w:t xml:space="preserve"> وصفٌ لمشروع البراءات والملك العام. ويفحص ويستكشف المشروعُ العنصرين التاليين المتعلقين بالبراءات والملك العام:</w:t>
            </w:r>
            <w:r w:rsidR="005D7167">
              <w:rPr>
                <w:rFonts w:hint="cs"/>
                <w:rtl/>
                <w:lang w:bidi="ar-EG"/>
              </w:rPr>
              <w:t xml:space="preserve"> </w:t>
            </w:r>
            <w:r w:rsidRPr="00700F08">
              <w:rPr>
                <w:rtl/>
                <w:lang w:bidi="ar-EG"/>
              </w:rPr>
              <w:t xml:space="preserve">(1) الدور المهم للملك العام الغني والميسّر، (2) ووقع ممارسات بعض الشركات في مجال البراءات على الملك العام. وسيستكمل نتائج الدراسة الخاصة بالبراءات والملك العام المنجزة في إطار المشروع </w:t>
            </w:r>
            <w:r w:rsidRPr="00700F08">
              <w:rPr>
                <w:lang w:bidi="ar-EG"/>
              </w:rPr>
              <w:t>DA_16_20_01</w:t>
            </w:r>
            <w:r w:rsidRPr="00700F08">
              <w:rPr>
                <w:rtl/>
                <w:lang w:bidi="ar-EG"/>
              </w:rPr>
              <w:t>، وسيخطو خطوةً إضافيةً نحو المضي قدماً في تنفيذ التوصيتين 16 و20.</w:t>
            </w:r>
          </w:p>
        </w:tc>
      </w:tr>
      <w:tr w:rsidR="00A34E80" w:rsidTr="008C6700">
        <w:trPr>
          <w:jc w:val="center"/>
        </w:trPr>
        <w:tc>
          <w:tcPr>
            <w:tcW w:w="2662" w:type="dxa"/>
          </w:tcPr>
          <w:p w:rsidR="00A34E80" w:rsidRPr="00700F08" w:rsidRDefault="00700F08" w:rsidP="002A3B98">
            <w:pPr>
              <w:pStyle w:val="NumberedParaAR"/>
              <w:numPr>
                <w:ilvl w:val="0"/>
                <w:numId w:val="0"/>
              </w:numPr>
              <w:rPr>
                <w:u w:val="single"/>
                <w:rtl/>
                <w:lang w:bidi="ar-EG"/>
              </w:rPr>
            </w:pPr>
            <w:r w:rsidRPr="00700F08">
              <w:rPr>
                <w:u w:val="single"/>
                <w:rtl/>
                <w:lang w:bidi="ar-EG"/>
              </w:rPr>
              <w:t>المسؤول عن المشروع</w:t>
            </w:r>
          </w:p>
        </w:tc>
        <w:tc>
          <w:tcPr>
            <w:tcW w:w="6909" w:type="dxa"/>
          </w:tcPr>
          <w:p w:rsidR="00A34E80" w:rsidRDefault="00700F08" w:rsidP="002A3B98">
            <w:pPr>
              <w:pStyle w:val="NumberedParaAR"/>
              <w:numPr>
                <w:ilvl w:val="0"/>
                <w:numId w:val="0"/>
              </w:numPr>
              <w:rPr>
                <w:rtl/>
                <w:lang w:bidi="ar-EG"/>
              </w:rPr>
            </w:pPr>
            <w:r w:rsidRPr="00700F08">
              <w:rPr>
                <w:rtl/>
                <w:lang w:bidi="ar-EG"/>
              </w:rPr>
              <w:t>السيد ماركو أليمان</w:t>
            </w:r>
          </w:p>
        </w:tc>
      </w:tr>
      <w:tr w:rsidR="00A34E80" w:rsidTr="008C6700">
        <w:trPr>
          <w:jc w:val="center"/>
        </w:trPr>
        <w:tc>
          <w:tcPr>
            <w:tcW w:w="2662" w:type="dxa"/>
          </w:tcPr>
          <w:p w:rsidR="00A34E80" w:rsidRDefault="00700F08" w:rsidP="002A3B98">
            <w:pPr>
              <w:pStyle w:val="NumberedParaAR"/>
              <w:numPr>
                <w:ilvl w:val="0"/>
                <w:numId w:val="0"/>
              </w:numPr>
              <w:rPr>
                <w:rtl/>
                <w:lang w:bidi="ar-EG"/>
              </w:rPr>
            </w:pPr>
            <w:r w:rsidRPr="00700F08">
              <w:rPr>
                <w:u w:val="single"/>
                <w:rtl/>
                <w:lang w:bidi="ar-EG"/>
              </w:rPr>
              <w:t>الصلة بالنتائج المرتقبة في وثيقة البرنامج والميزانية للفترة 2012/</w:t>
            </w:r>
            <w:r w:rsidRPr="005D7167">
              <w:rPr>
                <w:u w:val="single"/>
                <w:rtl/>
                <w:lang w:bidi="ar-EG"/>
              </w:rPr>
              <w:t>2013</w:t>
            </w:r>
          </w:p>
        </w:tc>
        <w:tc>
          <w:tcPr>
            <w:tcW w:w="6909" w:type="dxa"/>
          </w:tcPr>
          <w:p w:rsidR="00A34E80" w:rsidRPr="00700F08" w:rsidRDefault="00700F08" w:rsidP="00700F08">
            <w:pPr>
              <w:pStyle w:val="NumberedParaAR"/>
              <w:numPr>
                <w:ilvl w:val="0"/>
                <w:numId w:val="0"/>
              </w:numPr>
              <w:rPr>
                <w:i/>
                <w:iCs/>
                <w:rtl/>
                <w:lang w:bidi="ar-EG"/>
              </w:rPr>
            </w:pPr>
            <w:r w:rsidRPr="00700F08">
              <w:rPr>
                <w:i/>
                <w:iCs/>
                <w:rtl/>
                <w:lang w:bidi="ar-EG"/>
              </w:rPr>
              <w:t>النتيجة المرتقبة سابعاً.1</w:t>
            </w:r>
            <w:r>
              <w:rPr>
                <w:i/>
                <w:iCs/>
                <w:rtl/>
                <w:lang w:bidi="ar-EG"/>
              </w:rPr>
              <w:br/>
            </w:r>
            <w:r>
              <w:rPr>
                <w:rtl/>
                <w:lang w:bidi="ar-EG"/>
              </w:rPr>
              <w:t>فهم معمق لدى واضعي السياسات للعلاقة بين التحديات العالمية والابتكار والملكية الفكرية كأساس لتحسين صناعة القرارات الخاصة بالسياسات.</w:t>
            </w:r>
          </w:p>
        </w:tc>
      </w:tr>
      <w:tr w:rsidR="00A34E80" w:rsidTr="008C6700">
        <w:trPr>
          <w:jc w:val="center"/>
        </w:trPr>
        <w:tc>
          <w:tcPr>
            <w:tcW w:w="2662" w:type="dxa"/>
          </w:tcPr>
          <w:p w:rsidR="00A34E80" w:rsidRPr="00700F08" w:rsidRDefault="00700F08" w:rsidP="002A3B98">
            <w:pPr>
              <w:pStyle w:val="NumberedParaAR"/>
              <w:numPr>
                <w:ilvl w:val="0"/>
                <w:numId w:val="0"/>
              </w:numPr>
              <w:rPr>
                <w:u w:val="single"/>
                <w:rtl/>
                <w:lang w:bidi="ar-EG"/>
              </w:rPr>
            </w:pPr>
            <w:r w:rsidRPr="00700F08">
              <w:rPr>
                <w:u w:val="single"/>
                <w:rtl/>
                <w:lang w:bidi="ar-EG"/>
              </w:rPr>
              <w:t>نظرة عامة على تنفيذ المشروع</w:t>
            </w:r>
          </w:p>
        </w:tc>
        <w:tc>
          <w:tcPr>
            <w:tcW w:w="6909" w:type="dxa"/>
          </w:tcPr>
          <w:p w:rsidR="00A34E80" w:rsidRDefault="00700F08" w:rsidP="002A3B98">
            <w:pPr>
              <w:pStyle w:val="NumberedParaAR"/>
              <w:numPr>
                <w:ilvl w:val="0"/>
                <w:numId w:val="0"/>
              </w:numPr>
              <w:rPr>
                <w:rtl/>
                <w:lang w:bidi="ar-EG"/>
              </w:rPr>
            </w:pPr>
            <w:r w:rsidRPr="00700F08">
              <w:rPr>
                <w:rtl/>
                <w:lang w:bidi="ar-EG"/>
              </w:rPr>
              <w:t>يرد في الملحق الثاني لهذا التقرير ملخصٌ لنتائج التقييم الذاتي بناءً على نواتج المشروع الرئيسية.</w:t>
            </w:r>
          </w:p>
          <w:p w:rsidR="009D0C8D" w:rsidRDefault="009D0C8D" w:rsidP="009D0C8D">
            <w:pPr>
              <w:pStyle w:val="NumberedParaAR"/>
              <w:keepNext/>
              <w:numPr>
                <w:ilvl w:val="0"/>
                <w:numId w:val="0"/>
              </w:numPr>
              <w:rPr>
                <w:i/>
                <w:iCs/>
                <w:lang w:bidi="ar-EG"/>
              </w:rPr>
            </w:pPr>
          </w:p>
          <w:p w:rsidR="009D0C8D" w:rsidRPr="009D0C8D" w:rsidRDefault="00700F08" w:rsidP="009D0C8D">
            <w:pPr>
              <w:pStyle w:val="NumberedParaAR"/>
              <w:keepNext/>
              <w:numPr>
                <w:ilvl w:val="0"/>
                <w:numId w:val="0"/>
              </w:numPr>
              <w:rPr>
                <w:i/>
                <w:iCs/>
                <w:lang w:val="es-ES_tradnl" w:bidi="ar-EG"/>
              </w:rPr>
            </w:pPr>
            <w:r w:rsidRPr="00700F08">
              <w:rPr>
                <w:i/>
                <w:iCs/>
                <w:rtl/>
                <w:lang w:bidi="ar-EG"/>
              </w:rPr>
              <w:lastRenderedPageBreak/>
              <w:t>المداولات</w:t>
            </w:r>
          </w:p>
          <w:p w:rsidR="00700F08" w:rsidRDefault="00700F08" w:rsidP="009D0C8D">
            <w:pPr>
              <w:pStyle w:val="NumberedParaAR"/>
              <w:keepNext/>
              <w:numPr>
                <w:ilvl w:val="0"/>
                <w:numId w:val="0"/>
              </w:numPr>
              <w:rPr>
                <w:rtl/>
                <w:lang w:bidi="ar-EG"/>
              </w:rPr>
            </w:pPr>
            <w:r w:rsidRPr="00700F08">
              <w:rPr>
                <w:rtl/>
                <w:lang w:bidi="ar-EG"/>
              </w:rPr>
              <w:t>تألّف المشروعُ، كما هو موضح في وثيقة المشروع، من دراسة على المستوى الجزئي عن البراءات والملك العام، وقد حلَّلت تلك الدراسة، على وجه الخصوص، الوقع الناجم عن ممارسات بعض الشركات في مجال البراءات على الملك العام والدور المهم لملك عام غني ومتاح دون قيود.</w:t>
            </w:r>
          </w:p>
          <w:p w:rsidR="00700F08" w:rsidRDefault="00700F08" w:rsidP="009D0C8D">
            <w:pPr>
              <w:pStyle w:val="NumberedParaAR"/>
              <w:numPr>
                <w:ilvl w:val="0"/>
                <w:numId w:val="0"/>
              </w:numPr>
              <w:rPr>
                <w:rtl/>
                <w:lang w:bidi="ar-EG"/>
              </w:rPr>
            </w:pPr>
            <w:r w:rsidRPr="00700F08">
              <w:rPr>
                <w:rtl/>
                <w:lang w:bidi="ar-EG"/>
              </w:rPr>
              <w:t>ومن ثمَّ أعدَّ فريقٌ من الخبراء دراسةً بعنوان "دراسة عن البراءات والملك العام (</w:t>
            </w:r>
            <w:r w:rsidR="009D0C8D">
              <w:rPr>
                <w:rFonts w:hint="cs"/>
                <w:rtl/>
                <w:lang w:bidi="ar-EG"/>
              </w:rPr>
              <w:t>ثانيا</w:t>
            </w:r>
            <w:r w:rsidRPr="00700F08">
              <w:rPr>
                <w:rtl/>
                <w:lang w:bidi="ar-EG"/>
              </w:rPr>
              <w:t xml:space="preserve">)" (الوثيقة </w:t>
            </w:r>
            <w:r w:rsidRPr="00700F08">
              <w:rPr>
                <w:lang w:bidi="ar-EG"/>
              </w:rPr>
              <w:t>CDIP/12/INF/2 REV</w:t>
            </w:r>
            <w:r w:rsidR="008E0CEA">
              <w:rPr>
                <w:lang w:bidi="ar-EG"/>
              </w:rPr>
              <w:t>.</w:t>
            </w:r>
            <w:r w:rsidRPr="00700F08">
              <w:rPr>
                <w:rtl/>
                <w:lang w:bidi="ar-EG"/>
              </w:rPr>
              <w:t xml:space="preserve">)، وهؤلاء الخبراء هم: البروفيسور جيمس ج. كونلي، أستاذ إكلينيكيّ في التكنولوجيا، معهد </w:t>
            </w:r>
            <w:proofErr w:type="spellStart"/>
            <w:r w:rsidRPr="00700F08">
              <w:rPr>
                <w:rtl/>
                <w:lang w:bidi="ar-EG"/>
              </w:rPr>
              <w:t>كيلوغ</w:t>
            </w:r>
            <w:proofErr w:type="spellEnd"/>
            <w:r w:rsidRPr="00700F08">
              <w:rPr>
                <w:rtl/>
                <w:lang w:bidi="ar-EG"/>
              </w:rPr>
              <w:t xml:space="preserve"> للإدارة، جامعة </w:t>
            </w:r>
            <w:proofErr w:type="spellStart"/>
            <w:r w:rsidRPr="00700F08">
              <w:rPr>
                <w:rtl/>
                <w:lang w:bidi="ar-EG"/>
              </w:rPr>
              <w:t>نورثوسترن</w:t>
            </w:r>
            <w:proofErr w:type="spellEnd"/>
            <w:r w:rsidRPr="00700F08">
              <w:rPr>
                <w:rtl/>
                <w:lang w:bidi="ar-EG"/>
              </w:rPr>
              <w:t xml:space="preserve">، الولايات المتحدة الأمريكية </w:t>
            </w:r>
            <w:r w:rsidR="008E0CEA">
              <w:rPr>
                <w:rtl/>
                <w:lang w:bidi="ar-EG"/>
              </w:rPr>
              <w:t>–</w:t>
            </w:r>
            <w:r w:rsidRPr="00700F08">
              <w:rPr>
                <w:rtl/>
                <w:lang w:bidi="ar-EG"/>
              </w:rPr>
              <w:t xml:space="preserve"> والسيد</w:t>
            </w:r>
            <w:r w:rsidR="008E0CEA">
              <w:rPr>
                <w:rFonts w:hint="cs"/>
                <w:rtl/>
                <w:lang w:bidi="ar-EG"/>
              </w:rPr>
              <w:t xml:space="preserve"> </w:t>
            </w:r>
            <w:r w:rsidRPr="00700F08">
              <w:rPr>
                <w:rtl/>
                <w:lang w:bidi="ar-EG"/>
              </w:rPr>
              <w:t xml:space="preserve">بيتر م. بيكان، المتقدم لنيل درجة الدكتوراه، رئيس إدارة التكنولوجيا والابتكار، معهد </w:t>
            </w:r>
            <w:proofErr w:type="spellStart"/>
            <w:r w:rsidRPr="00700F08">
              <w:rPr>
                <w:rtl/>
                <w:lang w:bidi="ar-EG"/>
              </w:rPr>
              <w:t>أوتو</w:t>
            </w:r>
            <w:proofErr w:type="spellEnd"/>
            <w:r w:rsidRPr="00700F08">
              <w:rPr>
                <w:rtl/>
                <w:lang w:bidi="ar-EG"/>
              </w:rPr>
              <w:t xml:space="preserve"> </w:t>
            </w:r>
            <w:proofErr w:type="spellStart"/>
            <w:r w:rsidRPr="00700F08">
              <w:rPr>
                <w:rtl/>
                <w:lang w:bidi="ar-EG"/>
              </w:rPr>
              <w:t>بيشام</w:t>
            </w:r>
            <w:proofErr w:type="spellEnd"/>
            <w:r w:rsidRPr="00700F08">
              <w:rPr>
                <w:rtl/>
                <w:lang w:bidi="ar-EG"/>
              </w:rPr>
              <w:t xml:space="preserve"> للدراسات الإدارية، ألمانيا </w:t>
            </w:r>
            <w:r w:rsidR="008E0CEA">
              <w:rPr>
                <w:rtl/>
                <w:lang w:bidi="ar-EG"/>
              </w:rPr>
              <w:t>–</w:t>
            </w:r>
            <w:r w:rsidRPr="00700F08">
              <w:rPr>
                <w:rtl/>
                <w:lang w:bidi="ar-EG"/>
              </w:rPr>
              <w:t xml:space="preserve"> والدكتور نيل </w:t>
            </w:r>
            <w:proofErr w:type="spellStart"/>
            <w:r w:rsidRPr="00700F08">
              <w:rPr>
                <w:rtl/>
                <w:lang w:bidi="ar-EG"/>
              </w:rPr>
              <w:t>ويلكوف</w:t>
            </w:r>
            <w:proofErr w:type="spellEnd"/>
            <w:r w:rsidRPr="00700F08">
              <w:rPr>
                <w:rtl/>
                <w:lang w:bidi="ar-EG"/>
              </w:rPr>
              <w:t xml:space="preserve">، شركة إيال </w:t>
            </w:r>
            <w:proofErr w:type="spellStart"/>
            <w:r w:rsidRPr="00700F08">
              <w:rPr>
                <w:rtl/>
                <w:lang w:bidi="ar-EG"/>
              </w:rPr>
              <w:t>بريسلر</w:t>
            </w:r>
            <w:proofErr w:type="spellEnd"/>
            <w:r w:rsidRPr="00700F08">
              <w:rPr>
                <w:rtl/>
                <w:lang w:bidi="ar-EG"/>
              </w:rPr>
              <w:t xml:space="preserve"> وشركاه، </w:t>
            </w:r>
            <w:proofErr w:type="spellStart"/>
            <w:r w:rsidRPr="00700F08">
              <w:rPr>
                <w:rtl/>
                <w:lang w:bidi="ar-EG"/>
              </w:rPr>
              <w:t>رمات</w:t>
            </w:r>
            <w:proofErr w:type="spellEnd"/>
            <w:r w:rsidRPr="00700F08">
              <w:rPr>
                <w:rtl/>
                <w:lang w:bidi="ar-EG"/>
              </w:rPr>
              <w:t xml:space="preserve"> غان، إسرائيل. وعُرِضت الدراسةُ على الدورة الثانية عشرة للجنة المعنية بالتنمية والملكية الفكرية، التي عُقدت في جنيف في الفترة من 18 إلى 21 نوفمبر 2013.</w:t>
            </w:r>
          </w:p>
          <w:p w:rsidR="00700F08" w:rsidRDefault="00700F08" w:rsidP="00594113">
            <w:pPr>
              <w:pStyle w:val="NumberedParaAR"/>
              <w:numPr>
                <w:ilvl w:val="0"/>
                <w:numId w:val="0"/>
              </w:numPr>
              <w:rPr>
                <w:rtl/>
                <w:lang w:bidi="ar-EG"/>
              </w:rPr>
            </w:pPr>
            <w:r w:rsidRPr="00700F08">
              <w:rPr>
                <w:rtl/>
                <w:lang w:bidi="ar-EG"/>
              </w:rPr>
              <w:t>واستندت الدراسةُ إلى النتائج التي توصلت إليها دراسة البراءات والملك العام (</w:t>
            </w:r>
            <w:r w:rsidR="00594113">
              <w:rPr>
                <w:rFonts w:hint="cs"/>
                <w:rtl/>
                <w:lang w:bidi="ar-EG"/>
              </w:rPr>
              <w:t>أولا</w:t>
            </w:r>
            <w:r w:rsidRPr="00700F08">
              <w:rPr>
                <w:rtl/>
                <w:lang w:bidi="ar-EG"/>
              </w:rPr>
              <w:t xml:space="preserve">) (الوثيقة </w:t>
            </w:r>
            <w:r w:rsidRPr="00700F08">
              <w:rPr>
                <w:lang w:bidi="ar-EG"/>
              </w:rPr>
              <w:t>CDIP/8/INF/3 REV</w:t>
            </w:r>
            <w:r w:rsidR="008E0CEA">
              <w:rPr>
                <w:lang w:bidi="ar-EG"/>
              </w:rPr>
              <w:t>.</w:t>
            </w:r>
            <w:r w:rsidRPr="00700F08">
              <w:rPr>
                <w:rtl/>
                <w:lang w:bidi="ar-EG"/>
              </w:rPr>
              <w:t xml:space="preserve">)، وقُسِّمت إلى ثلاثة أجزاء. عرض الجزءُ الأول نموذجاً تكاملياً تصورياً سعى إلى شرح العلاقة بين البراءات والملك العام. وركزت الدراسةُ في الجزء الثاني على أنشطة ما يُسمَّى "الكيانات غير المنتجة" وعلى كيفية تأثير نماذج الأعمال التجارية الخاصة بكل منها في الملك العام. ووصف الجزءُ الثالث على نطاق أوسع ممارسات الكيانات فيما يخص البراءات، ونَظَر في الأثر المحتمل لإدارة البراءات على الملك العام. ويرد في الملحق الأول لهذا التقرير ملخصٌ مقتضب للدراسة. ويمكن الاطلاع على الدراسة في العنوان الإلكتروني التالي: </w:t>
            </w:r>
            <w:hyperlink r:id="rId11" w:history="1">
              <w:r w:rsidRPr="00594113">
                <w:rPr>
                  <w:rStyle w:val="Hyperlink"/>
                  <w:u w:val="none"/>
                  <w:lang w:bidi="ar-EG"/>
                </w:rPr>
                <w:t>http://www.wipo.int/meetings/en/doc_details.jsp?doc_id=253106</w:t>
              </w:r>
            </w:hyperlink>
          </w:p>
          <w:p w:rsidR="00700F08" w:rsidRDefault="00700F08" w:rsidP="008E0CEA">
            <w:pPr>
              <w:pStyle w:val="NumberedParaAR"/>
              <w:numPr>
                <w:ilvl w:val="0"/>
                <w:numId w:val="0"/>
              </w:numPr>
              <w:rPr>
                <w:lang w:bidi="ar-EG"/>
              </w:rPr>
            </w:pPr>
            <w:r w:rsidRPr="00700F08">
              <w:rPr>
                <w:rtl/>
                <w:lang w:bidi="ar-EG"/>
              </w:rPr>
              <w:t xml:space="preserve">وأُلحِقت بالدراسة تعليقاتُ أعضاء اللجنة ومراقبيها بلغتها الأصلية (الوثيقة </w:t>
            </w:r>
            <w:r w:rsidRPr="00700F08">
              <w:rPr>
                <w:lang w:bidi="ar-EG"/>
              </w:rPr>
              <w:t>CDIP/12/INF/2 REV.ADD</w:t>
            </w:r>
            <w:r w:rsidR="008E0CEA">
              <w:rPr>
                <w:lang w:bidi="ar-EG"/>
              </w:rPr>
              <w:t>.</w:t>
            </w:r>
            <w:r w:rsidRPr="00700F08">
              <w:rPr>
                <w:rtl/>
                <w:lang w:bidi="ar-EG"/>
              </w:rPr>
              <w:t>)، طبقاً لوثيقة المشروع.</w:t>
            </w:r>
          </w:p>
          <w:p w:rsidR="00700F08" w:rsidRPr="00700F08" w:rsidRDefault="00700F08" w:rsidP="002A3B98">
            <w:pPr>
              <w:pStyle w:val="NumberedParaAR"/>
              <w:numPr>
                <w:ilvl w:val="0"/>
                <w:numId w:val="0"/>
              </w:numPr>
              <w:rPr>
                <w:i/>
                <w:iCs/>
                <w:rtl/>
                <w:lang w:bidi="ar-EG"/>
              </w:rPr>
            </w:pPr>
            <w:r w:rsidRPr="00700F08">
              <w:rPr>
                <w:i/>
                <w:iCs/>
                <w:rtl/>
                <w:lang w:bidi="ar-EG"/>
              </w:rPr>
              <w:t>إدارة محتوى المشروع</w:t>
            </w:r>
          </w:p>
          <w:p w:rsidR="00700F08" w:rsidRDefault="00700F08" w:rsidP="008E0CEA">
            <w:pPr>
              <w:pStyle w:val="NumberedParaAR"/>
              <w:numPr>
                <w:ilvl w:val="0"/>
                <w:numId w:val="0"/>
              </w:numPr>
              <w:rPr>
                <w:rtl/>
                <w:lang w:bidi="ar-EG"/>
              </w:rPr>
            </w:pPr>
            <w:r w:rsidRPr="00700F08">
              <w:rPr>
                <w:rtl/>
                <w:lang w:bidi="ar-EG"/>
              </w:rPr>
              <w:t>أُعِدت المواصفات المطلوبة للدراسة وفقاً لوثيقة المشروع. وتناولت الدراسةُ المحتويات التي طُلبت في المواصفات. واستُخدِمت عملية "البوابات المرحلية" من أجل ضمان توافق محتويات الدراسة النهائية مع المواصفات المطلوبة.</w:t>
            </w:r>
          </w:p>
          <w:p w:rsidR="00700F08" w:rsidRPr="00700F08" w:rsidRDefault="00700F08" w:rsidP="002A3B98">
            <w:pPr>
              <w:pStyle w:val="NumberedParaAR"/>
              <w:numPr>
                <w:ilvl w:val="0"/>
                <w:numId w:val="0"/>
              </w:numPr>
              <w:rPr>
                <w:i/>
                <w:iCs/>
                <w:rtl/>
                <w:lang w:bidi="ar-EG"/>
              </w:rPr>
            </w:pPr>
            <w:r w:rsidRPr="00700F08">
              <w:rPr>
                <w:i/>
                <w:iCs/>
                <w:rtl/>
                <w:lang w:bidi="ar-EG"/>
              </w:rPr>
              <w:t>الجدول الزمني للمشروع</w:t>
            </w:r>
          </w:p>
          <w:p w:rsidR="00700F08" w:rsidRPr="00594113" w:rsidRDefault="0076142F" w:rsidP="002A3B98">
            <w:pPr>
              <w:pStyle w:val="NumberedParaAR"/>
              <w:numPr>
                <w:ilvl w:val="0"/>
                <w:numId w:val="0"/>
              </w:numPr>
              <w:rPr>
                <w:w w:val="90"/>
                <w:rtl/>
                <w:lang w:bidi="ar-EG"/>
              </w:rPr>
            </w:pPr>
            <w:r w:rsidRPr="00594113">
              <w:rPr>
                <w:w w:val="90"/>
                <w:rtl/>
                <w:lang w:bidi="ar-EG"/>
              </w:rPr>
              <w:t>تأخر وضع الدراسة في صيغتها النهائية لخمسة أشهر بسبب فترة الإعداد الأطول التي طلبها المؤلفون نظراً لتعقُّد الموضوع. بيد أن الدراسة النهائية نُشرت قبل الدورة الثانية عشرة للجنة بكثير (أي قبل الدورة بأكثر من شهرين)، مما أتاح للدول الأعضاء متسعاً من الوقت لمراجعة الدراسة.</w:t>
            </w:r>
          </w:p>
          <w:p w:rsidR="0076142F" w:rsidRPr="0076142F" w:rsidRDefault="0076142F" w:rsidP="008E0CEA">
            <w:pPr>
              <w:pStyle w:val="NumberedParaAR"/>
              <w:keepNext/>
              <w:numPr>
                <w:ilvl w:val="0"/>
                <w:numId w:val="0"/>
              </w:numPr>
              <w:rPr>
                <w:i/>
                <w:iCs/>
                <w:rtl/>
                <w:lang w:bidi="ar-EG"/>
              </w:rPr>
            </w:pPr>
            <w:r w:rsidRPr="0076142F">
              <w:rPr>
                <w:i/>
                <w:iCs/>
                <w:rtl/>
                <w:lang w:bidi="ar-EG"/>
              </w:rPr>
              <w:lastRenderedPageBreak/>
              <w:t>استخدام الميزانية</w:t>
            </w:r>
          </w:p>
          <w:p w:rsidR="0076142F" w:rsidRPr="00700F08" w:rsidRDefault="0076142F" w:rsidP="00594113">
            <w:pPr>
              <w:pStyle w:val="NumberedParaAR"/>
              <w:numPr>
                <w:ilvl w:val="0"/>
                <w:numId w:val="0"/>
              </w:numPr>
              <w:rPr>
                <w:rtl/>
                <w:lang w:bidi="ar-EG"/>
              </w:rPr>
            </w:pPr>
            <w:r w:rsidRPr="0076142F">
              <w:rPr>
                <w:rtl/>
                <w:lang w:bidi="ar-EG"/>
              </w:rPr>
              <w:t xml:space="preserve">معدل استخدام الميزانية </w:t>
            </w:r>
            <w:proofErr w:type="gramStart"/>
            <w:r w:rsidRPr="0076142F">
              <w:rPr>
                <w:rtl/>
                <w:lang w:bidi="ar-EG"/>
              </w:rPr>
              <w:t>هو</w:t>
            </w:r>
            <w:proofErr w:type="gramEnd"/>
            <w:r w:rsidRPr="0076142F">
              <w:rPr>
                <w:rtl/>
                <w:lang w:bidi="ar-EG"/>
              </w:rPr>
              <w:t xml:space="preserve"> 84</w:t>
            </w:r>
            <w:r w:rsidR="00594113">
              <w:rPr>
                <w:rFonts w:hint="cs"/>
                <w:rtl/>
                <w:lang w:bidi="ar-EG"/>
              </w:rPr>
              <w:t xml:space="preserve"> بالمائة</w:t>
            </w:r>
            <w:r w:rsidRPr="0076142F">
              <w:rPr>
                <w:rtl/>
                <w:lang w:bidi="ar-EG"/>
              </w:rPr>
              <w:t xml:space="preserve">. </w:t>
            </w:r>
            <w:r w:rsidR="008E0CEA">
              <w:rPr>
                <w:rFonts w:hint="cs"/>
                <w:rtl/>
                <w:lang w:bidi="ar-EG"/>
              </w:rPr>
              <w:t>و</w:t>
            </w:r>
            <w:r w:rsidRPr="0076142F">
              <w:rPr>
                <w:rtl/>
                <w:lang w:bidi="ar-EG"/>
              </w:rPr>
              <w:t>كانت تكلفة سفر أحد الخبراء لعرض الدراسة في دورة اللجنة أقل مما كان متوقعاً، لأن أحد المؤلفين المشاركين حلَّ محلَّ المؤلف الرئيسي بسبب تعذر حضوره.</w:t>
            </w:r>
          </w:p>
        </w:tc>
      </w:tr>
      <w:tr w:rsidR="00A34E80" w:rsidTr="008C6700">
        <w:trPr>
          <w:jc w:val="center"/>
        </w:trPr>
        <w:tc>
          <w:tcPr>
            <w:tcW w:w="2662" w:type="dxa"/>
          </w:tcPr>
          <w:p w:rsidR="00A34E80" w:rsidRPr="004736DA" w:rsidRDefault="004736DA" w:rsidP="002A3B98">
            <w:pPr>
              <w:pStyle w:val="NumberedParaAR"/>
              <w:numPr>
                <w:ilvl w:val="0"/>
                <w:numId w:val="0"/>
              </w:numPr>
              <w:rPr>
                <w:u w:val="single"/>
                <w:rtl/>
                <w:lang w:bidi="ar-EG"/>
              </w:rPr>
            </w:pPr>
            <w:r w:rsidRPr="004736DA">
              <w:rPr>
                <w:u w:val="single"/>
                <w:rtl/>
                <w:lang w:bidi="ar-EG"/>
              </w:rPr>
              <w:lastRenderedPageBreak/>
              <w:t>أثر المشروع والدروس الرئيسية المستفادة</w:t>
            </w:r>
          </w:p>
        </w:tc>
        <w:tc>
          <w:tcPr>
            <w:tcW w:w="6909" w:type="dxa"/>
          </w:tcPr>
          <w:p w:rsidR="00A34E80" w:rsidRDefault="004736DA" w:rsidP="002A3B98">
            <w:pPr>
              <w:pStyle w:val="NumberedParaAR"/>
              <w:numPr>
                <w:ilvl w:val="0"/>
                <w:numId w:val="0"/>
              </w:numPr>
              <w:rPr>
                <w:lang w:bidi="ar-EG"/>
              </w:rPr>
            </w:pPr>
            <w:r w:rsidRPr="004736DA">
              <w:rPr>
                <w:rtl/>
                <w:lang w:bidi="ar-EG"/>
              </w:rPr>
              <w:t>نظَّمت الأمانةُ حدثاً جانبياً خلال الدورة الثانية عشرة للجنة دعماً لهدف المشروع. وعرض الدراسةَ أحدُ المشاركين في تأليفها. وحضر نحو 30 مشاركاً الحدثَ الجانبي. ونظراً لضيق الوقت المتاح خلال الجلسة العامة للجنة، رُئِيَ أن الحدث الجانبي يمنح المؤلفين فرصةً لإبلاغ الدول الأعضاء على نحو أفضل بالنتائج التي توصلت إليها هذه الدراسة المُعقدة تقنياً. وعلاوة على ذلك، سهَّل الحوارَ بين المؤلفين وأعضاء اللجنة ومراقبيها الذين كانوا مهتمين بهذا الموضوع.</w:t>
            </w:r>
          </w:p>
          <w:p w:rsidR="004736DA" w:rsidRDefault="004736DA" w:rsidP="00594113">
            <w:pPr>
              <w:pStyle w:val="NumberedParaAR"/>
              <w:numPr>
                <w:ilvl w:val="0"/>
                <w:numId w:val="0"/>
              </w:numPr>
              <w:rPr>
                <w:rtl/>
                <w:lang w:bidi="ar-EG"/>
              </w:rPr>
            </w:pPr>
            <w:r>
              <w:rPr>
                <w:rtl/>
                <w:lang w:bidi="ar-EG"/>
              </w:rPr>
              <w:t xml:space="preserve">والآراء والتعقيبات التي وردت بشأن الدراسة خلال الحدث الجانبي وخلال مناقشات الجلسة العامة </w:t>
            </w:r>
            <w:r w:rsidR="00274885">
              <w:rPr>
                <w:rtl/>
                <w:lang w:bidi="ar-EG"/>
              </w:rPr>
              <w:t>كانت</w:t>
            </w:r>
            <w:r w:rsidR="00274885">
              <w:rPr>
                <w:rFonts w:hint="cs"/>
                <w:rtl/>
                <w:lang w:bidi="ar-EG"/>
              </w:rPr>
              <w:t xml:space="preserve"> </w:t>
            </w:r>
            <w:r>
              <w:rPr>
                <w:rtl/>
                <w:lang w:bidi="ar-EG"/>
              </w:rPr>
              <w:t>إيجابيةً إلى حد كبير. وأقرَّت إحدى الدول الأعضاء بالاستنتاج الذي خلصت إليه الدراسة والذي مفاده أن العلاقة الشاملة بين البراءات والابتكار وملك عام</w:t>
            </w:r>
            <w:r w:rsidR="00594113">
              <w:rPr>
                <w:rFonts w:hint="cs"/>
                <w:rtl/>
                <w:lang w:bidi="ar-EG"/>
              </w:rPr>
              <w:t> </w:t>
            </w:r>
            <w:r>
              <w:rPr>
                <w:rtl/>
                <w:lang w:bidi="ar-EG"/>
              </w:rPr>
              <w:t xml:space="preserve">ثري متاح دون قيود علاقةٌ معقّدةٌ ودقيقةٌ، وأعربت عن اعتقادها أن الدراسة مفيدةٌ في فهم كيفية تأثر الملك العام بشتى الجهات الفاعلة والعوامل. </w:t>
            </w:r>
            <w:proofErr w:type="gramStart"/>
            <w:r>
              <w:rPr>
                <w:rtl/>
                <w:lang w:bidi="ar-EG"/>
              </w:rPr>
              <w:t>إلا</w:t>
            </w:r>
            <w:proofErr w:type="gramEnd"/>
            <w:r>
              <w:rPr>
                <w:rtl/>
                <w:lang w:bidi="ar-EG"/>
              </w:rPr>
              <w:t xml:space="preserve"> أن إحدى المنظمات غير</w:t>
            </w:r>
            <w:r w:rsidR="00594113">
              <w:rPr>
                <w:rFonts w:hint="cs"/>
                <w:rtl/>
                <w:lang w:bidi="ar-EG"/>
              </w:rPr>
              <w:t> </w:t>
            </w:r>
            <w:r>
              <w:rPr>
                <w:rtl/>
                <w:lang w:bidi="ar-EG"/>
              </w:rPr>
              <w:t>الحكومية ذكرت أن البلدان النامية لا تستطيع استغلال الاختراعات التي توجد في الملك العام في ولايتها القضائية استغلالاً فعالاً نظراً لافتقار تلك البلدان إلى القاعدة التكنولوجية.</w:t>
            </w:r>
          </w:p>
          <w:p w:rsidR="004736DA" w:rsidRDefault="004736DA" w:rsidP="00274885">
            <w:pPr>
              <w:pStyle w:val="NumberedParaAR"/>
              <w:numPr>
                <w:ilvl w:val="0"/>
                <w:numId w:val="0"/>
              </w:numPr>
              <w:rPr>
                <w:rtl/>
                <w:lang w:bidi="ar-EG"/>
              </w:rPr>
            </w:pPr>
            <w:r>
              <w:rPr>
                <w:rtl/>
                <w:lang w:bidi="ar-EG"/>
              </w:rPr>
              <w:t>ورغم عدم إشارة أي من الدول الأعضاء، لا صراحةً ولا ضمناً، إلى أن الدراسة لا تلبي الهدف المتمثل في تعزيز فهم القضايا، تجدر الإشارة إلى أن كمية الآراء التي وردت من الدول الأعضاء تعقيباً على الدراسة عندما عُرضت على اللجنة قد لا تكون كافيةً لإجراء أي تقدير ذي مغزى من الناحية الإحصائية. وعلاوة على ذلك، قد تكون الدراسة قد أسهمت في تحسين فهم المسألة، إلا أنه لا يمكن اختبار استنتاجات الدراسة إلا من خلال استخدام الدول الأعضاء لنتائجها عملياً.</w:t>
            </w:r>
          </w:p>
        </w:tc>
      </w:tr>
    </w:tbl>
    <w:p w:rsidR="00060B41" w:rsidRDefault="00060B41" w:rsidP="002A3B98">
      <w:pPr>
        <w:pStyle w:val="NumberedParaAR"/>
        <w:numPr>
          <w:ilvl w:val="0"/>
          <w:numId w:val="0"/>
        </w:numPr>
        <w:rPr>
          <w:rtl/>
        </w:rPr>
      </w:pPr>
    </w:p>
    <w:p w:rsidR="00594113" w:rsidRDefault="00176A50" w:rsidP="00594113">
      <w:pPr>
        <w:pStyle w:val="NumberedParaAR"/>
        <w:numPr>
          <w:ilvl w:val="0"/>
          <w:numId w:val="0"/>
        </w:numPr>
        <w:ind w:left="5527"/>
        <w:rPr>
          <w:rtl/>
        </w:rPr>
        <w:sectPr w:rsidR="00594113" w:rsidSect="002A3B98">
          <w:headerReference w:type="default" r:id="rId12"/>
          <w:footerReference w:type="default" r:id="rId13"/>
          <w:headerReference w:type="first" r:id="rId14"/>
          <w:footerReference w:type="first" r:id="rId15"/>
          <w:pgSz w:w="11907" w:h="16840" w:code="9"/>
          <w:pgMar w:top="567" w:right="1418" w:bottom="1418" w:left="1134" w:header="510" w:footer="1021" w:gutter="0"/>
          <w:pgNumType w:start="1"/>
          <w:cols w:space="720"/>
          <w:titlePg/>
          <w:docGrid w:linePitch="299"/>
        </w:sectPr>
      </w:pPr>
      <w:r w:rsidRPr="00176A50">
        <w:rPr>
          <w:rtl/>
        </w:rPr>
        <w:t xml:space="preserve">[يلي ذلك </w:t>
      </w:r>
      <w:proofErr w:type="gramStart"/>
      <w:r w:rsidR="00594113">
        <w:rPr>
          <w:rFonts w:hint="cs"/>
          <w:rtl/>
        </w:rPr>
        <w:t>الملحق</w:t>
      </w:r>
      <w:proofErr w:type="gramEnd"/>
      <w:r w:rsidR="00594113">
        <w:rPr>
          <w:rtl/>
        </w:rPr>
        <w:t xml:space="preserve"> الأول]</w:t>
      </w:r>
    </w:p>
    <w:p w:rsidR="00176A50" w:rsidRDefault="00176A50">
      <w:pPr>
        <w:rPr>
          <w:rFonts w:ascii="Arabic Typesetting" w:hAnsi="Arabic Typesetting" w:cs="Arabic Typesetting"/>
          <w:sz w:val="36"/>
          <w:szCs w:val="36"/>
        </w:rPr>
      </w:pPr>
    </w:p>
    <w:p w:rsidR="00176A50" w:rsidRPr="00176A50" w:rsidRDefault="00176A50" w:rsidP="00176A50">
      <w:pPr>
        <w:pStyle w:val="NumberedParaAR"/>
        <w:keepNext/>
        <w:numPr>
          <w:ilvl w:val="0"/>
          <w:numId w:val="0"/>
        </w:numPr>
        <w:jc w:val="center"/>
        <w:rPr>
          <w:sz w:val="40"/>
          <w:szCs w:val="40"/>
          <w:lang w:bidi="ar-EG"/>
        </w:rPr>
      </w:pPr>
      <w:proofErr w:type="gramStart"/>
      <w:r w:rsidRPr="00176A50">
        <w:rPr>
          <w:sz w:val="40"/>
          <w:szCs w:val="40"/>
          <w:rtl/>
          <w:lang w:bidi="ar-EG"/>
        </w:rPr>
        <w:t>الملحق</w:t>
      </w:r>
      <w:proofErr w:type="gramEnd"/>
      <w:r w:rsidRPr="00176A50">
        <w:rPr>
          <w:sz w:val="40"/>
          <w:szCs w:val="40"/>
          <w:rtl/>
          <w:lang w:bidi="ar-EG"/>
        </w:rPr>
        <w:t xml:space="preserve"> الأول</w:t>
      </w:r>
    </w:p>
    <w:p w:rsidR="00176A50" w:rsidRPr="00A72AE4" w:rsidRDefault="00176A50" w:rsidP="009B1582">
      <w:pPr>
        <w:pStyle w:val="NumberedParaAR"/>
        <w:keepNext/>
        <w:numPr>
          <w:ilvl w:val="0"/>
          <w:numId w:val="0"/>
        </w:numPr>
        <w:jc w:val="center"/>
        <w:rPr>
          <w:sz w:val="40"/>
          <w:szCs w:val="40"/>
          <w:lang w:bidi="ar-EG"/>
        </w:rPr>
      </w:pPr>
      <w:r w:rsidRPr="00A72AE4">
        <w:rPr>
          <w:sz w:val="40"/>
          <w:szCs w:val="40"/>
          <w:rtl/>
          <w:lang w:bidi="ar-EG"/>
        </w:rPr>
        <w:t>ملخص دراسة البراءات والملك العام (</w:t>
      </w:r>
      <w:r w:rsidR="009B1582" w:rsidRPr="00A72AE4">
        <w:rPr>
          <w:rFonts w:hint="cs"/>
          <w:sz w:val="40"/>
          <w:szCs w:val="40"/>
          <w:rtl/>
          <w:lang w:bidi="ar-EG"/>
        </w:rPr>
        <w:t>ثانيا</w:t>
      </w:r>
      <w:r w:rsidRPr="00A72AE4">
        <w:rPr>
          <w:sz w:val="40"/>
          <w:szCs w:val="40"/>
          <w:rtl/>
          <w:lang w:bidi="ar-EG"/>
        </w:rPr>
        <w:t>)</w:t>
      </w:r>
    </w:p>
    <w:p w:rsidR="00176A50" w:rsidRDefault="00176A50" w:rsidP="009B1582">
      <w:pPr>
        <w:pStyle w:val="NumberedParaAR"/>
        <w:numPr>
          <w:ilvl w:val="0"/>
          <w:numId w:val="0"/>
        </w:numPr>
        <w:rPr>
          <w:rtl/>
          <w:lang w:bidi="ar-EG"/>
        </w:rPr>
      </w:pPr>
      <w:r>
        <w:rPr>
          <w:rtl/>
          <w:lang w:bidi="ar-EG"/>
        </w:rPr>
        <w:t>استناداً إلى النتائج التي توصلت إليها دراسة البراءات والملك العام (</w:t>
      </w:r>
      <w:r w:rsidR="009B1582">
        <w:rPr>
          <w:rFonts w:hint="cs"/>
          <w:rtl/>
          <w:lang w:bidi="ar-EG"/>
        </w:rPr>
        <w:t>أولا</w:t>
      </w:r>
      <w:r>
        <w:rPr>
          <w:rtl/>
          <w:lang w:bidi="ar-EG"/>
        </w:rPr>
        <w:t>)، قدَّمت دراسةُ البراءات والملك العام (</w:t>
      </w:r>
      <w:r w:rsidR="009B1582">
        <w:rPr>
          <w:rFonts w:hint="cs"/>
          <w:rtl/>
          <w:lang w:bidi="ar-EG"/>
        </w:rPr>
        <w:t>ثانيا</w:t>
      </w:r>
      <w:r>
        <w:rPr>
          <w:rtl/>
          <w:lang w:bidi="ar-EG"/>
        </w:rPr>
        <w:t xml:space="preserve">) إسهاماً إضافياً ورؤى جديدة للمناقشة الخاصة بالبراءات والملك العام. ففي الجزء الأول من الدراسة، على وجه الخصوص، وضع المؤلفون نموذجاً تكاملياً تصورياً سعى إلى شرح العلاقة بين البراءات والملك العام في أثناء انتظار الحصول على براءة الاختراع وبعد انتهاء صلاحيتها. وأوضح المؤلفون أن الملك العام يتألف من كلٍّ من مكون قانوني ومكون واقعي، وأن الإسهام المحتمل لنظام البراءات في الملك العام لا يكون عندما تنتهي صلاحية براءة مسجلة بعد انتهاء أجلها القانوني الكامل فحسب، بل يكون أيضاً قبل انتهاء تلك المدة. وشُرِحت تلك </w:t>
      </w:r>
      <w:proofErr w:type="spellStart"/>
      <w:r>
        <w:rPr>
          <w:rtl/>
          <w:lang w:bidi="ar-EG"/>
        </w:rPr>
        <w:t>الديناميات</w:t>
      </w:r>
      <w:proofErr w:type="spellEnd"/>
      <w:r>
        <w:rPr>
          <w:rtl/>
          <w:lang w:bidi="ar-EG"/>
        </w:rPr>
        <w:t xml:space="preserve"> في سلسلة من التمثيلات البيانية والرسومية، إضافةً إلى نص توضيحي، دعماً لنموذج المؤلفين </w:t>
      </w:r>
      <w:proofErr w:type="spellStart"/>
      <w:r>
        <w:rPr>
          <w:rtl/>
          <w:lang w:bidi="ar-EG"/>
        </w:rPr>
        <w:t>الاكتشافي</w:t>
      </w:r>
      <w:proofErr w:type="spellEnd"/>
      <w:r>
        <w:rPr>
          <w:rtl/>
          <w:lang w:bidi="ar-EG"/>
        </w:rPr>
        <w:t>. ونُوقِشت أيضاً إمكانية مراجحة براءات الاختراع في المِلك العام من قبل بلدان لا</w:t>
      </w:r>
      <w:r w:rsidR="009B1582">
        <w:rPr>
          <w:rFonts w:hint="cs"/>
          <w:rtl/>
          <w:lang w:bidi="ar-EG"/>
        </w:rPr>
        <w:t> </w:t>
      </w:r>
      <w:r>
        <w:rPr>
          <w:rtl/>
          <w:lang w:bidi="ar-EG"/>
        </w:rPr>
        <w:t xml:space="preserve">تتقيد بحقوق البراءات، وإمكانية مساهمة هذه </w:t>
      </w:r>
      <w:proofErr w:type="spellStart"/>
      <w:r>
        <w:rPr>
          <w:rtl/>
          <w:lang w:bidi="ar-EG"/>
        </w:rPr>
        <w:t>المراجحة</w:t>
      </w:r>
      <w:proofErr w:type="spellEnd"/>
      <w:r>
        <w:rPr>
          <w:rtl/>
          <w:lang w:bidi="ar-EG"/>
        </w:rPr>
        <w:t xml:space="preserve"> في الابتكار الوطني، لا سيما في البلدان النامية.</w:t>
      </w:r>
    </w:p>
    <w:p w:rsidR="00176A50" w:rsidRDefault="00176A50" w:rsidP="00176A50">
      <w:pPr>
        <w:pStyle w:val="NumberedParaAR"/>
        <w:numPr>
          <w:ilvl w:val="0"/>
          <w:numId w:val="0"/>
        </w:numPr>
        <w:rPr>
          <w:rtl/>
          <w:lang w:bidi="ar-EG"/>
        </w:rPr>
      </w:pPr>
      <w:r w:rsidRPr="00176A50">
        <w:rPr>
          <w:rtl/>
          <w:lang w:bidi="ar-EG"/>
        </w:rPr>
        <w:t>وفي الجزء الثاني، ركزت الدراسةُ على أنشطة شتى الكيانات غير المنتجة فيما يتعلق بمساهمة نماذج الأعمال التجارية الخاصة بكل منها في الملك العام. وحلَّل المؤلفون الفئات التالية، على وجه الخصوص، من الكيانات غير المنتجة المح</w:t>
      </w:r>
      <w:r w:rsidR="009B1582">
        <w:rPr>
          <w:rtl/>
          <w:lang w:bidi="ar-EG"/>
        </w:rPr>
        <w:t>تملة: "1" كيانات إعمال البراءات</w:t>
      </w:r>
      <w:r w:rsidR="009B1582">
        <w:rPr>
          <w:rFonts w:hint="cs"/>
          <w:rtl/>
          <w:lang w:bidi="ar-EG"/>
        </w:rPr>
        <w:t>؛</w:t>
      </w:r>
      <w:r w:rsidR="009B1582">
        <w:rPr>
          <w:rtl/>
          <w:lang w:bidi="ar-EG"/>
        </w:rPr>
        <w:t xml:space="preserve"> "2" وشركات تجميع البراءات</w:t>
      </w:r>
      <w:r w:rsidR="009B1582">
        <w:rPr>
          <w:rFonts w:hint="cs"/>
          <w:rtl/>
          <w:lang w:bidi="ar-EG"/>
        </w:rPr>
        <w:t>؛</w:t>
      </w:r>
      <w:r w:rsidRPr="00176A50">
        <w:rPr>
          <w:rtl/>
          <w:lang w:bidi="ar-EG"/>
        </w:rPr>
        <w:t xml:space="preserve"> "3" والكيانات غير المُنافِسة</w:t>
      </w:r>
      <w:r w:rsidR="009B1582">
        <w:rPr>
          <w:rFonts w:hint="cs"/>
          <w:rtl/>
          <w:lang w:bidi="ar-EG"/>
        </w:rPr>
        <w:t>؛</w:t>
      </w:r>
      <w:r w:rsidR="009B1582">
        <w:rPr>
          <w:rtl/>
          <w:lang w:bidi="ar-EG"/>
        </w:rPr>
        <w:t xml:space="preserve"> "4" ووسطاء البراءات</w:t>
      </w:r>
      <w:r w:rsidR="009B1582">
        <w:rPr>
          <w:rFonts w:hint="cs"/>
          <w:rtl/>
          <w:lang w:bidi="ar-EG"/>
        </w:rPr>
        <w:t>؛</w:t>
      </w:r>
      <w:r w:rsidRPr="00176A50">
        <w:rPr>
          <w:rtl/>
          <w:lang w:bidi="ar-EG"/>
        </w:rPr>
        <w:t xml:space="preserve"> "5" والجامعات والمؤسسات البحثية. واقترحت الدراسةُ تمثيلاً خطياً في شكل متسلسلتين بيانيتين توضحان مساهمة كل نوع من الكيانات في الملك العام ونزوع كل كيان بوصفه صاحب البراءة إلى إنفاذ حقوقه.</w:t>
      </w:r>
    </w:p>
    <w:p w:rsidR="00176A50" w:rsidRDefault="00176A50" w:rsidP="00D35C0F">
      <w:pPr>
        <w:pStyle w:val="NumberedParaAR"/>
        <w:numPr>
          <w:ilvl w:val="0"/>
          <w:numId w:val="0"/>
        </w:numPr>
        <w:rPr>
          <w:rtl/>
          <w:lang w:bidi="ar-EG"/>
        </w:rPr>
      </w:pPr>
      <w:r w:rsidRPr="00176A50">
        <w:rPr>
          <w:rtl/>
          <w:lang w:bidi="ar-EG"/>
        </w:rPr>
        <w:t>ووصف الجزءُ الثالث على نطاق أوسع ممارسات الكيانات فيما يخص البراءات، ونَظَر في الأثر المحتمل لإدارة البراءات على الملك العام. ونظر في استراتيجيات براءات الاختراع و</w:t>
      </w:r>
      <w:r w:rsidR="00D35C0F">
        <w:rPr>
          <w:rFonts w:hint="cs"/>
          <w:rtl/>
          <w:lang w:bidi="ar-EG"/>
        </w:rPr>
        <w:t xml:space="preserve">في </w:t>
      </w:r>
      <w:r w:rsidRPr="00176A50">
        <w:rPr>
          <w:rtl/>
          <w:lang w:bidi="ar-EG"/>
        </w:rPr>
        <w:t xml:space="preserve">تنفيذ تلك الاستراتيجيات على أرض الواقع. وإضافةً إلى ذلك، بحث هذا الجزء كيف يمكن للأنشطة التي تقوم بها الجهات الفاعلة المعنية بالبراءات أن تساهم في ملك عام ثري متاح دون قيود. وركَّز الجزء الثالث بصفة خاصة على منح البراءات وعملية الابتكار، ووفقاً لذلك حُلِّلت القضايا التالية: التحسينات </w:t>
      </w:r>
      <w:proofErr w:type="spellStart"/>
      <w:r w:rsidRPr="00176A50">
        <w:rPr>
          <w:rtl/>
          <w:lang w:bidi="ar-EG"/>
        </w:rPr>
        <w:t>التزايدية</w:t>
      </w:r>
      <w:proofErr w:type="spellEnd"/>
      <w:r w:rsidRPr="00176A50">
        <w:rPr>
          <w:rtl/>
          <w:lang w:bidi="ar-EG"/>
        </w:rPr>
        <w:t xml:space="preserve"> وشجرة الإفراج عن المعارف اللاحقة، وتسجيل البراءات الدفاعية والهجومية، والطلبات المخفية، والبراءات الغائصة، وتحسينات نطاق البراءات. وعلاوة على ذلك، ناقشت الدراسةُ البراءات المجانية والابتكار المفتوح، وتلت ذلك مناقشةٌ بشأن ممارسة من ممارسات إدارة البراءات تُسمى "التجدد المستمر للبراءات" مع التركيز بوجه خاص على تطوير سوق الأدوية </w:t>
      </w:r>
      <w:proofErr w:type="spellStart"/>
      <w:r w:rsidRPr="00176A50">
        <w:rPr>
          <w:rtl/>
          <w:lang w:bidi="ar-EG"/>
        </w:rPr>
        <w:t>الجنيسة</w:t>
      </w:r>
      <w:proofErr w:type="spellEnd"/>
      <w:r w:rsidRPr="00176A50">
        <w:rPr>
          <w:rtl/>
          <w:lang w:bidi="ar-EG"/>
        </w:rPr>
        <w:t xml:space="preserve"> بإصدار قانون </w:t>
      </w:r>
      <w:proofErr w:type="spellStart"/>
      <w:r w:rsidRPr="00176A50">
        <w:rPr>
          <w:rtl/>
          <w:lang w:bidi="ar-EG"/>
        </w:rPr>
        <w:t>هاتش</w:t>
      </w:r>
      <w:proofErr w:type="spellEnd"/>
      <w:r w:rsidRPr="00176A50">
        <w:rPr>
          <w:rtl/>
          <w:lang w:bidi="ar-EG"/>
        </w:rPr>
        <w:t xml:space="preserve"> </w:t>
      </w:r>
      <w:proofErr w:type="spellStart"/>
      <w:r w:rsidRPr="00176A50">
        <w:rPr>
          <w:rtl/>
          <w:lang w:bidi="ar-EG"/>
        </w:rPr>
        <w:t>واكسمان</w:t>
      </w:r>
      <w:proofErr w:type="spellEnd"/>
      <w:r w:rsidRPr="00176A50">
        <w:rPr>
          <w:rtl/>
          <w:lang w:bidi="ar-EG"/>
        </w:rPr>
        <w:t xml:space="preserve"> في عام 1984 في الولايات المتحدة الأمريكية.</w:t>
      </w:r>
    </w:p>
    <w:p w:rsidR="00176A50" w:rsidRDefault="00176A50" w:rsidP="00176A50">
      <w:pPr>
        <w:pStyle w:val="NumberedParaAR"/>
        <w:numPr>
          <w:ilvl w:val="0"/>
          <w:numId w:val="0"/>
        </w:numPr>
        <w:rPr>
          <w:rtl/>
          <w:lang w:bidi="ar-EG"/>
        </w:rPr>
      </w:pPr>
      <w:r w:rsidRPr="00176A50">
        <w:rPr>
          <w:rtl/>
          <w:lang w:bidi="ar-EG"/>
        </w:rPr>
        <w:t>وفي الختام، أشارت الدراسةُ إلى أنَّ العلاقة بين براءات الاختراع والابتكار ووجود ملك عام ثري يمكن الوصول إليه دون قيود علاقةٌ مُعقَّدة ودقيقة. ولم يُطلِق المؤلفون حكماً عاماً على تلك العلاقة، ولكنهم وضعوا تصوراً لنموذج اكتشافي يمكن أن يسهم إسهاماً كبيراً في تعزيز فهم هذه المسألة.</w:t>
      </w:r>
    </w:p>
    <w:p w:rsidR="00176A50" w:rsidRDefault="00176A50" w:rsidP="00034422">
      <w:pPr>
        <w:pStyle w:val="EndofDocumentAR"/>
        <w:rPr>
          <w:rtl/>
          <w:lang w:bidi="ar-EG"/>
        </w:rPr>
      </w:pPr>
      <w:r w:rsidRPr="00176A50">
        <w:rPr>
          <w:rtl/>
          <w:lang w:bidi="ar-EG"/>
        </w:rPr>
        <w:t xml:space="preserve">[يلي ذلك </w:t>
      </w:r>
      <w:proofErr w:type="gramStart"/>
      <w:r w:rsidR="009B1582">
        <w:rPr>
          <w:rFonts w:hint="cs"/>
          <w:rtl/>
          <w:lang w:bidi="ar-EG"/>
        </w:rPr>
        <w:t>الملحق</w:t>
      </w:r>
      <w:proofErr w:type="gramEnd"/>
      <w:r w:rsidRPr="00176A50">
        <w:rPr>
          <w:rtl/>
          <w:lang w:bidi="ar-EG"/>
        </w:rPr>
        <w:t xml:space="preserve"> الثاني]</w:t>
      </w:r>
    </w:p>
    <w:p w:rsidR="00176A50" w:rsidRDefault="00176A50">
      <w:pPr>
        <w:rPr>
          <w:rFonts w:ascii="Arabic Typesetting" w:hAnsi="Arabic Typesetting" w:cs="Arabic Typesetting"/>
          <w:sz w:val="36"/>
          <w:szCs w:val="36"/>
        </w:rPr>
      </w:pPr>
      <w:r>
        <w:rPr>
          <w:rtl/>
        </w:rPr>
        <w:br w:type="page"/>
      </w:r>
    </w:p>
    <w:p w:rsidR="002A3B98" w:rsidRPr="007E024D" w:rsidRDefault="00B676F7" w:rsidP="007E024D">
      <w:pPr>
        <w:pStyle w:val="NumberedParaAR"/>
        <w:keepNext/>
        <w:numPr>
          <w:ilvl w:val="0"/>
          <w:numId w:val="0"/>
        </w:numPr>
        <w:jc w:val="center"/>
        <w:rPr>
          <w:sz w:val="40"/>
          <w:szCs w:val="40"/>
          <w:rtl/>
          <w:lang w:bidi="ar-EG"/>
        </w:rPr>
      </w:pPr>
      <w:r w:rsidRPr="007E024D">
        <w:rPr>
          <w:sz w:val="40"/>
          <w:szCs w:val="40"/>
          <w:rtl/>
        </w:rPr>
        <w:lastRenderedPageBreak/>
        <w:t>الملحق الثاني</w:t>
      </w:r>
    </w:p>
    <w:p w:rsidR="00B676F7" w:rsidRDefault="00B676F7" w:rsidP="007E024D">
      <w:pPr>
        <w:pStyle w:val="NumberedParaAR"/>
        <w:keepNext/>
        <w:numPr>
          <w:ilvl w:val="0"/>
          <w:numId w:val="0"/>
        </w:numPr>
        <w:jc w:val="center"/>
        <w:rPr>
          <w:rtl/>
          <w:lang w:bidi="ar-EG"/>
        </w:rPr>
      </w:pPr>
      <w:r w:rsidRPr="007E024D">
        <w:rPr>
          <w:sz w:val="40"/>
          <w:szCs w:val="40"/>
          <w:rtl/>
          <w:lang w:bidi="ar-EG"/>
        </w:rPr>
        <w:t>نتائج التقييم بناءً على نواتج المشروع الرئيسية</w:t>
      </w:r>
    </w:p>
    <w:tbl>
      <w:tblPr>
        <w:tblStyle w:val="TableGrid"/>
        <w:bidiVisual/>
        <w:tblW w:w="0" w:type="auto"/>
        <w:tblLook w:val="04A0" w:firstRow="1" w:lastRow="0" w:firstColumn="1" w:lastColumn="0" w:noHBand="0" w:noVBand="1"/>
      </w:tblPr>
      <w:tblGrid>
        <w:gridCol w:w="2659"/>
        <w:gridCol w:w="2835"/>
        <w:gridCol w:w="4077"/>
      </w:tblGrid>
      <w:tr w:rsidR="007E024D" w:rsidTr="00F07748">
        <w:tc>
          <w:tcPr>
            <w:tcW w:w="2659" w:type="dxa"/>
          </w:tcPr>
          <w:p w:rsidR="007E024D" w:rsidRPr="007E024D" w:rsidRDefault="007E024D" w:rsidP="002A3B98">
            <w:pPr>
              <w:pStyle w:val="NumberedParaAR"/>
              <w:numPr>
                <w:ilvl w:val="0"/>
                <w:numId w:val="0"/>
              </w:numPr>
              <w:rPr>
                <w:u w:val="single"/>
                <w:rtl/>
                <w:lang w:bidi="ar-EG"/>
              </w:rPr>
            </w:pPr>
            <w:r w:rsidRPr="007E024D">
              <w:rPr>
                <w:u w:val="single"/>
                <w:rtl/>
                <w:lang w:bidi="ar-EG"/>
              </w:rPr>
              <w:t xml:space="preserve">نواتج </w:t>
            </w:r>
            <w:proofErr w:type="gramStart"/>
            <w:r w:rsidRPr="007E024D">
              <w:rPr>
                <w:u w:val="single"/>
                <w:rtl/>
                <w:lang w:bidi="ar-EG"/>
              </w:rPr>
              <w:t>المشروع</w:t>
            </w:r>
            <w:r w:rsidRPr="00034422">
              <w:rPr>
                <w:rStyle w:val="FootnoteReference"/>
                <w:sz w:val="36"/>
                <w:szCs w:val="36"/>
                <w:u w:val="single"/>
                <w:rtl/>
                <w:lang w:bidi="ar-EG"/>
              </w:rPr>
              <w:footnoteReference w:id="1"/>
            </w:r>
            <w:r w:rsidRPr="007E024D">
              <w:rPr>
                <w:u w:val="single"/>
                <w:rtl/>
                <w:lang w:bidi="ar-EG"/>
              </w:rPr>
              <w:br/>
              <w:t>(النتيجة</w:t>
            </w:r>
            <w:proofErr w:type="gramEnd"/>
            <w:r w:rsidRPr="007E024D">
              <w:rPr>
                <w:u w:val="single"/>
                <w:rtl/>
                <w:lang w:bidi="ar-EG"/>
              </w:rPr>
              <w:t xml:space="preserve"> المرتقبة)</w:t>
            </w:r>
          </w:p>
        </w:tc>
        <w:tc>
          <w:tcPr>
            <w:tcW w:w="2835" w:type="dxa"/>
          </w:tcPr>
          <w:p w:rsidR="007E024D" w:rsidRPr="007E024D" w:rsidRDefault="007E024D" w:rsidP="002A3B98">
            <w:pPr>
              <w:pStyle w:val="NumberedParaAR"/>
              <w:numPr>
                <w:ilvl w:val="0"/>
                <w:numId w:val="0"/>
              </w:numPr>
              <w:rPr>
                <w:u w:val="single"/>
                <w:rtl/>
                <w:lang w:bidi="ar-EG"/>
              </w:rPr>
            </w:pPr>
            <w:r w:rsidRPr="007E024D">
              <w:rPr>
                <w:u w:val="single"/>
                <w:rtl/>
                <w:lang w:bidi="ar-EG"/>
              </w:rPr>
              <w:t>مؤشرات التنفيذ الناجح</w:t>
            </w:r>
            <w:r w:rsidRPr="007E024D">
              <w:rPr>
                <w:u w:val="single"/>
                <w:rtl/>
                <w:lang w:bidi="ar-EG"/>
              </w:rPr>
              <w:br/>
              <w:t>(مؤشرات النواتج)</w:t>
            </w:r>
          </w:p>
        </w:tc>
        <w:tc>
          <w:tcPr>
            <w:tcW w:w="4077" w:type="dxa"/>
          </w:tcPr>
          <w:p w:rsidR="007E024D" w:rsidRPr="007E024D" w:rsidRDefault="007E024D" w:rsidP="007E024D">
            <w:pPr>
              <w:pStyle w:val="NumberedParaAR"/>
              <w:numPr>
                <w:ilvl w:val="0"/>
                <w:numId w:val="0"/>
              </w:numPr>
              <w:jc w:val="center"/>
              <w:rPr>
                <w:u w:val="single"/>
                <w:rtl/>
                <w:lang w:bidi="ar-EG"/>
              </w:rPr>
            </w:pPr>
            <w:r w:rsidRPr="007E024D">
              <w:rPr>
                <w:u w:val="single"/>
                <w:rtl/>
                <w:lang w:bidi="ar-EG"/>
              </w:rPr>
              <w:t>نتائج التقييم</w:t>
            </w:r>
          </w:p>
        </w:tc>
      </w:tr>
      <w:tr w:rsidR="007E024D" w:rsidTr="00F07748">
        <w:tc>
          <w:tcPr>
            <w:tcW w:w="2659" w:type="dxa"/>
            <w:vMerge w:val="restart"/>
          </w:tcPr>
          <w:p w:rsidR="007E024D" w:rsidRDefault="007E024D" w:rsidP="002A3B98">
            <w:pPr>
              <w:pStyle w:val="NumberedParaAR"/>
              <w:numPr>
                <w:ilvl w:val="0"/>
                <w:numId w:val="0"/>
              </w:numPr>
              <w:rPr>
                <w:rtl/>
                <w:lang w:bidi="ar-EG"/>
              </w:rPr>
            </w:pPr>
            <w:r w:rsidRPr="007E024D">
              <w:rPr>
                <w:rtl/>
                <w:lang w:bidi="ar-EG"/>
              </w:rPr>
              <w:t>دراسة بشأن البراءات والملك العام على المستوى الجزئي</w:t>
            </w:r>
          </w:p>
        </w:tc>
        <w:tc>
          <w:tcPr>
            <w:tcW w:w="2835" w:type="dxa"/>
          </w:tcPr>
          <w:p w:rsidR="007E024D" w:rsidRDefault="007E024D" w:rsidP="002A3B98">
            <w:pPr>
              <w:pStyle w:val="NumberedParaAR"/>
              <w:numPr>
                <w:ilvl w:val="0"/>
                <w:numId w:val="0"/>
              </w:numPr>
              <w:rPr>
                <w:rtl/>
                <w:lang w:bidi="ar-EG"/>
              </w:rPr>
            </w:pPr>
            <w:r w:rsidRPr="007E024D">
              <w:rPr>
                <w:rtl/>
                <w:lang w:bidi="ar-EG"/>
              </w:rPr>
              <w:t>استكمال الدراسة في غضون الجدول الزمني المُحدَّد وبالجودة المطلوبة في المواصفا</w:t>
            </w:r>
            <w:r w:rsidR="00006529">
              <w:rPr>
                <w:rtl/>
                <w:lang w:bidi="ar-EG"/>
              </w:rPr>
              <w:t>ت من أجل عرض الدراسة على اللجنة</w:t>
            </w:r>
          </w:p>
        </w:tc>
        <w:tc>
          <w:tcPr>
            <w:tcW w:w="4077" w:type="dxa"/>
          </w:tcPr>
          <w:p w:rsidR="007E024D" w:rsidRDefault="007E024D" w:rsidP="002A3B98">
            <w:pPr>
              <w:pStyle w:val="NumberedParaAR"/>
              <w:numPr>
                <w:ilvl w:val="0"/>
                <w:numId w:val="0"/>
              </w:numPr>
              <w:rPr>
                <w:rtl/>
                <w:lang w:bidi="ar-EG"/>
              </w:rPr>
            </w:pPr>
            <w:r w:rsidRPr="007E024D">
              <w:rPr>
                <w:rtl/>
                <w:lang w:bidi="ar-EG"/>
              </w:rPr>
              <w:t xml:space="preserve">استكمل خبراء خارجيون الدراسةَ بالجودة المطلوبة في المواصفات، وعُرضت على الدورة الثانية عشرة للجنة. </w:t>
            </w:r>
            <w:r w:rsidR="00006529">
              <w:rPr>
                <w:rFonts w:hint="cs"/>
                <w:rtl/>
                <w:lang w:bidi="ar-EG"/>
              </w:rPr>
              <w:t xml:space="preserve">وقد </w:t>
            </w:r>
            <w:r w:rsidRPr="007E024D">
              <w:rPr>
                <w:rtl/>
                <w:lang w:bidi="ar-EG"/>
              </w:rPr>
              <w:t>تأخَّر استكمال الدراسة لمدة خمسة أشهر بسبب فترة الإعداد الأطول التي طلبها الخبراء.</w:t>
            </w:r>
          </w:p>
        </w:tc>
      </w:tr>
      <w:tr w:rsidR="007E024D" w:rsidTr="00F07748">
        <w:tc>
          <w:tcPr>
            <w:tcW w:w="2659" w:type="dxa"/>
            <w:vMerge/>
          </w:tcPr>
          <w:p w:rsidR="007E024D" w:rsidRDefault="007E024D" w:rsidP="002A3B98">
            <w:pPr>
              <w:pStyle w:val="NumberedParaAR"/>
              <w:numPr>
                <w:ilvl w:val="0"/>
                <w:numId w:val="0"/>
              </w:numPr>
              <w:rPr>
                <w:rtl/>
                <w:lang w:bidi="ar-EG"/>
              </w:rPr>
            </w:pPr>
          </w:p>
        </w:tc>
        <w:tc>
          <w:tcPr>
            <w:tcW w:w="2835" w:type="dxa"/>
          </w:tcPr>
          <w:p w:rsidR="007E024D" w:rsidRDefault="007E024D" w:rsidP="00006529">
            <w:pPr>
              <w:pStyle w:val="NumberedParaAR"/>
              <w:numPr>
                <w:ilvl w:val="0"/>
                <w:numId w:val="0"/>
              </w:numPr>
              <w:rPr>
                <w:rtl/>
                <w:lang w:bidi="ar-EG"/>
              </w:rPr>
            </w:pPr>
            <w:r w:rsidRPr="007E024D">
              <w:rPr>
                <w:rtl/>
                <w:lang w:bidi="ar-EG"/>
              </w:rPr>
              <w:t>تعقيبات الدول الأعضاء على الدراسة حينما عُرضت على اللجنة</w:t>
            </w:r>
          </w:p>
        </w:tc>
        <w:tc>
          <w:tcPr>
            <w:tcW w:w="4077" w:type="dxa"/>
          </w:tcPr>
          <w:p w:rsidR="007E024D" w:rsidRDefault="007E024D" w:rsidP="00006529">
            <w:pPr>
              <w:pStyle w:val="NumberedParaAR"/>
              <w:numPr>
                <w:ilvl w:val="0"/>
                <w:numId w:val="0"/>
              </w:numPr>
              <w:rPr>
                <w:rtl/>
                <w:lang w:bidi="ar-EG"/>
              </w:rPr>
            </w:pPr>
            <w:r w:rsidRPr="007E024D">
              <w:rPr>
                <w:rtl/>
                <w:lang w:bidi="ar-EG"/>
              </w:rPr>
              <w:t xml:space="preserve">التعقيبات التي وردت </w:t>
            </w:r>
            <w:r w:rsidR="00006529">
              <w:rPr>
                <w:rFonts w:hint="cs"/>
                <w:rtl/>
                <w:lang w:bidi="ar-EG"/>
              </w:rPr>
              <w:t>على</w:t>
            </w:r>
            <w:r w:rsidRPr="007E024D">
              <w:rPr>
                <w:rtl/>
                <w:lang w:bidi="ar-EG"/>
              </w:rPr>
              <w:t xml:space="preserve"> الدراسة خلال الحدث الجانبي الذي نُظِّم على هامش الدورة الثانية عشرة للجنة وكذلك خلال مناقشات الجلسة العامة كانت إيجابيةً إلى حد كبير. ولكن كمية الآراء التي وردت من الدول الأعضاء تعقيباً على الدراسة عندما عُرضت على اللجنة قد لا تكون كافيةً لإجراء أي تقدير ذي مغزى من الناحية الإحصائية.</w:t>
            </w:r>
          </w:p>
        </w:tc>
      </w:tr>
    </w:tbl>
    <w:p w:rsidR="00B676F7" w:rsidRDefault="00B676F7" w:rsidP="002A3B98">
      <w:pPr>
        <w:pStyle w:val="NumberedParaAR"/>
        <w:numPr>
          <w:ilvl w:val="0"/>
          <w:numId w:val="0"/>
        </w:numPr>
        <w:rPr>
          <w:rtl/>
          <w:lang w:bidi="ar-EG"/>
        </w:rPr>
      </w:pPr>
    </w:p>
    <w:tbl>
      <w:tblPr>
        <w:tblStyle w:val="TableGrid"/>
        <w:bidiVisual/>
        <w:tblW w:w="0" w:type="auto"/>
        <w:tblLook w:val="04A0" w:firstRow="1" w:lastRow="0" w:firstColumn="1" w:lastColumn="0" w:noHBand="0" w:noVBand="1"/>
      </w:tblPr>
      <w:tblGrid>
        <w:gridCol w:w="2659"/>
        <w:gridCol w:w="2835"/>
        <w:gridCol w:w="4077"/>
      </w:tblGrid>
      <w:tr w:rsidR="007E024D" w:rsidTr="00F07748">
        <w:tc>
          <w:tcPr>
            <w:tcW w:w="2659" w:type="dxa"/>
          </w:tcPr>
          <w:p w:rsidR="007E024D" w:rsidRPr="007E024D" w:rsidRDefault="007E024D" w:rsidP="002A3B98">
            <w:pPr>
              <w:pStyle w:val="NumberedParaAR"/>
              <w:numPr>
                <w:ilvl w:val="0"/>
                <w:numId w:val="0"/>
              </w:numPr>
              <w:rPr>
                <w:u w:val="single"/>
                <w:rtl/>
                <w:lang w:bidi="ar-EG"/>
              </w:rPr>
            </w:pPr>
            <w:r>
              <w:rPr>
                <w:rFonts w:hint="cs"/>
                <w:u w:val="single"/>
                <w:rtl/>
                <w:lang w:bidi="ar-EG"/>
              </w:rPr>
              <w:t xml:space="preserve">هدف (أو </w:t>
            </w:r>
            <w:r w:rsidRPr="007E024D">
              <w:rPr>
                <w:u w:val="single"/>
                <w:rtl/>
                <w:lang w:bidi="ar-EG"/>
              </w:rPr>
              <w:t>أهداف</w:t>
            </w:r>
            <w:r>
              <w:rPr>
                <w:rFonts w:hint="cs"/>
                <w:u w:val="single"/>
                <w:rtl/>
                <w:lang w:bidi="ar-EG"/>
              </w:rPr>
              <w:t>)</w:t>
            </w:r>
            <w:r w:rsidRPr="007E024D">
              <w:rPr>
                <w:u w:val="single"/>
                <w:rtl/>
                <w:lang w:bidi="ar-EG"/>
              </w:rPr>
              <w:t xml:space="preserve"> المشروع</w:t>
            </w:r>
          </w:p>
        </w:tc>
        <w:tc>
          <w:tcPr>
            <w:tcW w:w="2835" w:type="dxa"/>
          </w:tcPr>
          <w:p w:rsidR="007E024D" w:rsidRPr="00695218" w:rsidRDefault="00695218" w:rsidP="002A3B98">
            <w:pPr>
              <w:pStyle w:val="NumberedParaAR"/>
              <w:numPr>
                <w:ilvl w:val="0"/>
                <w:numId w:val="0"/>
              </w:numPr>
              <w:rPr>
                <w:u w:val="single"/>
                <w:rtl/>
                <w:lang w:bidi="ar-EG"/>
              </w:rPr>
            </w:pPr>
            <w:r w:rsidRPr="00695218">
              <w:rPr>
                <w:u w:val="single"/>
                <w:rtl/>
                <w:lang w:bidi="ar-EG"/>
              </w:rPr>
              <w:t>مؤشرات التنفيذ الناجح</w:t>
            </w:r>
            <w:r w:rsidRPr="00695218">
              <w:rPr>
                <w:u w:val="single"/>
                <w:rtl/>
                <w:lang w:bidi="ar-EG"/>
              </w:rPr>
              <w:br/>
              <w:t>(مؤشرات النواتج)</w:t>
            </w:r>
          </w:p>
        </w:tc>
        <w:tc>
          <w:tcPr>
            <w:tcW w:w="4077" w:type="dxa"/>
          </w:tcPr>
          <w:p w:rsidR="007E024D" w:rsidRPr="00F07748" w:rsidRDefault="00695218" w:rsidP="00695218">
            <w:pPr>
              <w:pStyle w:val="NumberedParaAR"/>
              <w:numPr>
                <w:ilvl w:val="0"/>
                <w:numId w:val="0"/>
              </w:numPr>
              <w:jc w:val="center"/>
              <w:rPr>
                <w:u w:val="single"/>
                <w:rtl/>
                <w:lang w:bidi="ar-EG"/>
              </w:rPr>
            </w:pPr>
            <w:r w:rsidRPr="00F07748">
              <w:rPr>
                <w:u w:val="single"/>
                <w:rtl/>
                <w:lang w:bidi="ar-EG"/>
              </w:rPr>
              <w:t>نتائج التقييم</w:t>
            </w:r>
          </w:p>
        </w:tc>
      </w:tr>
      <w:tr w:rsidR="007E024D" w:rsidTr="00F07748">
        <w:tc>
          <w:tcPr>
            <w:tcW w:w="2659" w:type="dxa"/>
          </w:tcPr>
          <w:p w:rsidR="007E024D" w:rsidRDefault="00695218" w:rsidP="002A3B98">
            <w:pPr>
              <w:pStyle w:val="NumberedParaAR"/>
              <w:numPr>
                <w:ilvl w:val="0"/>
                <w:numId w:val="0"/>
              </w:numPr>
              <w:rPr>
                <w:rtl/>
                <w:lang w:bidi="ar-EG"/>
              </w:rPr>
            </w:pPr>
            <w:r w:rsidRPr="00695218">
              <w:rPr>
                <w:rtl/>
                <w:lang w:bidi="ar-EG"/>
              </w:rPr>
              <w:t>فهم معزز لوقع ممارسات بعض الشركات في مجال البراءات على الملك العام والدور المهم لملك عام غني وميسر</w:t>
            </w:r>
          </w:p>
        </w:tc>
        <w:tc>
          <w:tcPr>
            <w:tcW w:w="2835" w:type="dxa"/>
          </w:tcPr>
          <w:p w:rsidR="007E024D" w:rsidRDefault="00695218" w:rsidP="00006529">
            <w:pPr>
              <w:pStyle w:val="NumberedParaAR"/>
              <w:numPr>
                <w:ilvl w:val="0"/>
                <w:numId w:val="0"/>
              </w:numPr>
              <w:rPr>
                <w:rtl/>
                <w:lang w:bidi="ar-EG"/>
              </w:rPr>
            </w:pPr>
            <w:r w:rsidRPr="00695218">
              <w:rPr>
                <w:rtl/>
                <w:lang w:bidi="ar-EG"/>
              </w:rPr>
              <w:t>تعقيبات الدول الأعضاء على مدى استجابة نواتج المشروع لشواغلها</w:t>
            </w:r>
          </w:p>
        </w:tc>
        <w:tc>
          <w:tcPr>
            <w:tcW w:w="4077" w:type="dxa"/>
          </w:tcPr>
          <w:p w:rsidR="007E024D" w:rsidRDefault="00695218" w:rsidP="002A3B98">
            <w:pPr>
              <w:pStyle w:val="NumberedParaAR"/>
              <w:numPr>
                <w:ilvl w:val="0"/>
                <w:numId w:val="0"/>
              </w:numPr>
              <w:rPr>
                <w:rtl/>
                <w:lang w:bidi="ar-EG"/>
              </w:rPr>
            </w:pPr>
            <w:r w:rsidRPr="00695218">
              <w:rPr>
                <w:rtl/>
                <w:lang w:bidi="ar-EG"/>
              </w:rPr>
              <w:t>أقرَّت إحدى الدول الأعضاء، على وجه الخصوص، بالاستنتاج الذي خلصت إليه الدراسة والذي مفاده أن العلاقة الشاملة بين البراءات والابتكار وملك عام غني يمكن النفاذ إليه بحرية علاقةٌ معقّدةٌ ودقيقةٌ، وأعربت عن اعتقادها أن الدراسة مفيدةٌ في فهم كيفية تأثر الملك العام بشتى الجهات الفاعلة والعوامل.</w:t>
            </w:r>
          </w:p>
        </w:tc>
      </w:tr>
    </w:tbl>
    <w:p w:rsidR="002A3B98" w:rsidRPr="00006529" w:rsidRDefault="002A3B98" w:rsidP="002A3B98">
      <w:pPr>
        <w:pStyle w:val="NumberedParaAR"/>
        <w:numPr>
          <w:ilvl w:val="0"/>
          <w:numId w:val="0"/>
        </w:numPr>
        <w:rPr>
          <w:rtl/>
        </w:rPr>
      </w:pPr>
    </w:p>
    <w:p w:rsidR="002A3B98" w:rsidRPr="002A3B98" w:rsidRDefault="005A4AFF" w:rsidP="00695218">
      <w:pPr>
        <w:pStyle w:val="EndofDocumentAR"/>
        <w:rPr>
          <w:rtl/>
        </w:rPr>
      </w:pPr>
      <w:r>
        <w:rPr>
          <w:rFonts w:hint="cs"/>
          <w:rtl/>
        </w:rPr>
        <w:t xml:space="preserve">[نهاية </w:t>
      </w:r>
      <w:r w:rsidR="00B7653E">
        <w:rPr>
          <w:rFonts w:hint="cs"/>
          <w:rtl/>
        </w:rPr>
        <w:t xml:space="preserve">الملحق </w:t>
      </w:r>
      <w:r w:rsidR="00695218">
        <w:rPr>
          <w:rFonts w:hint="cs"/>
          <w:rtl/>
        </w:rPr>
        <w:t>الثاني</w:t>
      </w:r>
      <w:r>
        <w:rPr>
          <w:rFonts w:hint="cs"/>
          <w:rtl/>
        </w:rPr>
        <w:t xml:space="preserve"> والوثيقة]</w:t>
      </w:r>
    </w:p>
    <w:sectPr w:rsidR="002A3B98" w:rsidRPr="002A3B98" w:rsidSect="002A3B98">
      <w:headerReference w:type="default" r:id="rId16"/>
      <w:headerReference w:type="first" r:id="rId17"/>
      <w:footerReference w:type="first" r:id="rId18"/>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DDD" w:rsidRDefault="00EF5DDD">
      <w:r>
        <w:separator/>
      </w:r>
    </w:p>
  </w:endnote>
  <w:endnote w:type="continuationSeparator" w:id="0">
    <w:p w:rsidR="00EF5DDD" w:rsidRDefault="00EF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582" w:rsidRDefault="009B15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582" w:rsidRDefault="009B15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582" w:rsidRDefault="009B15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DDD" w:rsidRDefault="00EF5DDD" w:rsidP="009622BF">
      <w:pPr>
        <w:bidi/>
      </w:pPr>
      <w:bookmarkStart w:id="0" w:name="OLE_LINK1"/>
      <w:bookmarkStart w:id="1" w:name="OLE_LINK2"/>
      <w:r>
        <w:separator/>
      </w:r>
      <w:bookmarkEnd w:id="0"/>
      <w:bookmarkEnd w:id="1"/>
    </w:p>
  </w:footnote>
  <w:footnote w:type="continuationSeparator" w:id="0">
    <w:p w:rsidR="00EF5DDD" w:rsidRDefault="00EF5DDD" w:rsidP="009622BF">
      <w:pPr>
        <w:bidi/>
      </w:pPr>
      <w:r>
        <w:separator/>
      </w:r>
    </w:p>
  </w:footnote>
  <w:footnote w:id="1">
    <w:p w:rsidR="007E024D" w:rsidRDefault="007E024D" w:rsidP="00A72AE4">
      <w:pPr>
        <w:pStyle w:val="FootnoteText"/>
        <w:rPr>
          <w:rtl/>
          <w:lang w:bidi="ar-EG"/>
        </w:rPr>
      </w:pPr>
      <w:r>
        <w:rPr>
          <w:rStyle w:val="FootnoteReference"/>
        </w:rPr>
        <w:footnoteRef/>
      </w:r>
      <w:bookmarkStart w:id="2" w:name="_GoBack"/>
      <w:bookmarkEnd w:id="2"/>
      <w:r w:rsidR="00A72AE4">
        <w:rPr>
          <w:lang w:bidi="ar-EG"/>
        </w:rPr>
        <w:tab/>
      </w:r>
      <w:r w:rsidR="00A72AE4">
        <w:rPr>
          <w:rFonts w:hint="cs"/>
          <w:rtl/>
        </w:rPr>
        <w:t>ح</w:t>
      </w:r>
      <w:r w:rsidR="00F07748" w:rsidRPr="00F07748">
        <w:rPr>
          <w:rtl/>
          <w:lang w:bidi="ar-EG"/>
        </w:rPr>
        <w:t xml:space="preserve">سب وثيقة المشروع الأصلية، القسم </w:t>
      </w:r>
      <w:r w:rsidR="00034422">
        <w:rPr>
          <w:rFonts w:hint="cs"/>
          <w:rtl/>
          <w:lang w:bidi="ar-EG"/>
        </w:rPr>
        <w:t>2.3</w:t>
      </w:r>
      <w:r w:rsidR="00F07748" w:rsidRPr="00F07748">
        <w:rPr>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B98" w:rsidRPr="00060B41" w:rsidRDefault="002A3B98" w:rsidP="008354BC">
    <w:pPr>
      <w:pStyle w:val="Header"/>
      <w:rPr>
        <w:sz w:val="24"/>
        <w:szCs w:val="24"/>
      </w:rPr>
    </w:pPr>
    <w:r w:rsidRPr="00060B41">
      <w:rPr>
        <w:sz w:val="24"/>
        <w:szCs w:val="24"/>
      </w:rPr>
      <w:t>CDIP/13/</w:t>
    </w:r>
    <w:r w:rsidR="008354BC">
      <w:rPr>
        <w:sz w:val="24"/>
        <w:szCs w:val="24"/>
      </w:rPr>
      <w:t>INF/4</w:t>
    </w:r>
  </w:p>
  <w:p w:rsidR="002A3B98" w:rsidRDefault="00E4501D">
    <w:pPr>
      <w:pStyle w:val="Header"/>
    </w:pPr>
    <w:sdt>
      <w:sdtPr>
        <w:id w:val="-1289733499"/>
        <w:docPartObj>
          <w:docPartGallery w:val="Page Numbers (Top of Page)"/>
          <w:docPartUnique/>
        </w:docPartObj>
      </w:sdtPr>
      <w:sdtEndPr>
        <w:rPr>
          <w:noProof/>
        </w:rPr>
      </w:sdtEndPr>
      <w:sdtContent>
        <w:r w:rsidR="002A3B98">
          <w:fldChar w:fldCharType="begin"/>
        </w:r>
        <w:r w:rsidR="002A3B98">
          <w:instrText xml:space="preserve"> PAGE   \* MERGEFORMAT </w:instrText>
        </w:r>
        <w:r w:rsidR="002A3B98">
          <w:fldChar w:fldCharType="separate"/>
        </w:r>
        <w:r w:rsidR="002C5088">
          <w:rPr>
            <w:noProof/>
          </w:rPr>
          <w:t>2</w:t>
        </w:r>
        <w:r w:rsidR="002A3B98">
          <w:rPr>
            <w:noProof/>
          </w:rPr>
          <w:fldChar w:fldCharType="end"/>
        </w:r>
      </w:sdtContent>
    </w:sdt>
  </w:p>
  <w:p w:rsidR="002A3B98" w:rsidRDefault="002A3B98"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129" w:rsidRPr="00CA5129" w:rsidRDefault="00CA5129" w:rsidP="00CA5129">
    <w:pPr>
      <w:pStyle w:val="Header"/>
      <w:rPr>
        <w:rtl/>
      </w:rPr>
    </w:pPr>
    <w:r w:rsidRPr="00CA5129">
      <w:t>CDIP/13/7</w:t>
    </w:r>
  </w:p>
  <w:p w:rsidR="00CA5129" w:rsidRPr="00CA5129" w:rsidRDefault="00CA5129" w:rsidP="00CA5129">
    <w:pPr>
      <w:pStyle w:val="Header"/>
    </w:pPr>
    <w:r w:rsidRPr="00CA5129">
      <w:t>Annex</w:t>
    </w:r>
  </w:p>
  <w:p w:rsidR="00CA5129" w:rsidRDefault="00CA5129">
    <w:pPr>
      <w:pStyle w:val="Header"/>
    </w:pPr>
    <w:sdt>
      <w:sdtPr>
        <w:id w:val="-179359321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4501D">
          <w:rPr>
            <w:noProof/>
          </w:rPr>
          <w:t>3</w:t>
        </w:r>
        <w:r>
          <w:rPr>
            <w:noProof/>
          </w:rPr>
          <w:fldChar w:fldCharType="end"/>
        </w:r>
      </w:sdtContent>
    </w:sdt>
  </w:p>
  <w:p w:rsidR="002C5088" w:rsidRDefault="002C5088"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088" w:rsidRPr="005F0C7C" w:rsidRDefault="002C5088" w:rsidP="007579EC">
    <w:pPr>
      <w:pStyle w:val="Header"/>
      <w:rPr>
        <w:szCs w:val="22"/>
      </w:rPr>
    </w:pPr>
    <w:r w:rsidRPr="005F0C7C">
      <w:rPr>
        <w:szCs w:val="22"/>
      </w:rPr>
      <w:t>CDIP/13/</w:t>
    </w:r>
    <w:r w:rsidR="007579EC">
      <w:rPr>
        <w:szCs w:val="22"/>
      </w:rPr>
      <w:t>7</w:t>
    </w:r>
  </w:p>
  <w:p w:rsidR="002C5088" w:rsidRPr="009B1582" w:rsidRDefault="007E6663">
    <w:pPr>
      <w:pStyle w:val="Header"/>
    </w:pPr>
    <w:r>
      <w:t>ANNEX</w:t>
    </w:r>
  </w:p>
  <w:p w:rsidR="002C5088" w:rsidRPr="00CA5129" w:rsidRDefault="007E6663" w:rsidP="002C5088">
    <w:pPr>
      <w:pStyle w:val="Header"/>
      <w:bidi/>
      <w:jc w:val="right"/>
      <w:rPr>
        <w:rFonts w:ascii="Arabic Typesetting" w:hAnsi="Arabic Typesetting" w:cs="Arabic Typesetting"/>
        <w:sz w:val="36"/>
        <w:szCs w:val="36"/>
        <w:rtl/>
      </w:rPr>
    </w:pPr>
    <w:r w:rsidRPr="00CA5129">
      <w:rPr>
        <w:rFonts w:ascii="Arabic Typesetting" w:hAnsi="Arabic Typesetting" w:cs="Arabic Typesetting"/>
        <w:sz w:val="36"/>
        <w:szCs w:val="36"/>
        <w:rtl/>
      </w:rPr>
      <w:t>المرفق</w:t>
    </w:r>
  </w:p>
  <w:p w:rsidR="007E6663" w:rsidRPr="007E6663" w:rsidRDefault="007E6663" w:rsidP="007E6663">
    <w:pPr>
      <w:pStyle w:val="Header"/>
      <w:bidi/>
      <w:jc w:val="right"/>
      <w:rPr>
        <w:rFonts w:asciiTheme="minorBidi" w:hAnsiTheme="minorBidi" w:cstheme="minorBidi"/>
        <w:szCs w:val="22"/>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582" w:rsidRPr="009B1582" w:rsidRDefault="009B1582" w:rsidP="008C6700">
    <w:pPr>
      <w:pStyle w:val="Header"/>
      <w:rPr>
        <w:szCs w:val="22"/>
        <w:rtl/>
      </w:rPr>
    </w:pPr>
    <w:r w:rsidRPr="009B1582">
      <w:rPr>
        <w:szCs w:val="22"/>
      </w:rPr>
      <w:t>CDIP/13/</w:t>
    </w:r>
    <w:r w:rsidR="008C6700">
      <w:rPr>
        <w:szCs w:val="22"/>
      </w:rPr>
      <w:t>7</w:t>
    </w:r>
  </w:p>
  <w:p w:rsidR="009B1582" w:rsidRPr="009B1582" w:rsidRDefault="009B1582" w:rsidP="008354BC">
    <w:pPr>
      <w:pStyle w:val="Header"/>
      <w:rPr>
        <w:sz w:val="24"/>
        <w:szCs w:val="24"/>
      </w:rPr>
    </w:pPr>
    <w:r w:rsidRPr="009B1582">
      <w:rPr>
        <w:szCs w:val="22"/>
      </w:rPr>
      <w:t>APPENDIX II</w:t>
    </w:r>
  </w:p>
  <w:p w:rsidR="009B1582" w:rsidRPr="00CA5129" w:rsidRDefault="00E4501D" w:rsidP="009B1582">
    <w:pPr>
      <w:pStyle w:val="Header"/>
      <w:rPr>
        <w:rFonts w:ascii="Arabic Typesetting" w:hAnsi="Arabic Typesetting" w:cs="Arabic Typesetting"/>
        <w:sz w:val="36"/>
        <w:szCs w:val="36"/>
      </w:rPr>
    </w:pPr>
    <w:sdt>
      <w:sdtPr>
        <w:rPr>
          <w:rFonts w:ascii="Arabic Typesetting" w:hAnsi="Arabic Typesetting" w:cs="Arabic Typesetting"/>
          <w:sz w:val="36"/>
          <w:szCs w:val="36"/>
        </w:rPr>
        <w:id w:val="-1118062016"/>
        <w:docPartObj>
          <w:docPartGallery w:val="Page Numbers (Top of Page)"/>
          <w:docPartUnique/>
        </w:docPartObj>
      </w:sdtPr>
      <w:sdtEndPr>
        <w:rPr>
          <w:noProof/>
        </w:rPr>
      </w:sdtEndPr>
      <w:sdtContent>
        <w:proofErr w:type="gramStart"/>
        <w:r w:rsidR="009B1582" w:rsidRPr="00CA5129">
          <w:rPr>
            <w:rFonts w:ascii="Arabic Typesetting" w:hAnsi="Arabic Typesetting" w:cs="Arabic Typesetting"/>
            <w:sz w:val="36"/>
            <w:szCs w:val="36"/>
            <w:rtl/>
          </w:rPr>
          <w:t>الملحق</w:t>
        </w:r>
        <w:proofErr w:type="gramEnd"/>
        <w:r w:rsidR="009B1582" w:rsidRPr="00CA5129">
          <w:rPr>
            <w:rFonts w:ascii="Arabic Typesetting" w:hAnsi="Arabic Typesetting" w:cs="Arabic Typesetting"/>
            <w:sz w:val="36"/>
            <w:szCs w:val="36"/>
            <w:rtl/>
          </w:rPr>
          <w:t xml:space="preserve"> الثاني</w:t>
        </w:r>
      </w:sdtContent>
    </w:sdt>
  </w:p>
  <w:p w:rsidR="009B1582" w:rsidRDefault="009B1582"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582" w:rsidRPr="005F0C7C" w:rsidRDefault="009B1582" w:rsidP="007579EC">
    <w:pPr>
      <w:pStyle w:val="Header"/>
      <w:rPr>
        <w:szCs w:val="22"/>
      </w:rPr>
    </w:pPr>
    <w:r w:rsidRPr="005F0C7C">
      <w:rPr>
        <w:szCs w:val="22"/>
      </w:rPr>
      <w:t>CDIP/13/</w:t>
    </w:r>
    <w:r>
      <w:rPr>
        <w:szCs w:val="22"/>
      </w:rPr>
      <w:t>7</w:t>
    </w:r>
  </w:p>
  <w:p w:rsidR="009B1582" w:rsidRPr="009B1582" w:rsidRDefault="009B1582">
    <w:pPr>
      <w:pStyle w:val="Header"/>
    </w:pPr>
    <w:r>
      <w:t>APPENDIX I</w:t>
    </w:r>
  </w:p>
  <w:p w:rsidR="009B1582" w:rsidRPr="00CA5129" w:rsidRDefault="009B1582" w:rsidP="002C5088">
    <w:pPr>
      <w:pStyle w:val="Header"/>
      <w:bidi/>
      <w:jc w:val="right"/>
      <w:rPr>
        <w:rFonts w:ascii="Arabic Typesetting" w:hAnsi="Arabic Typesetting" w:cs="Arabic Typesetting"/>
        <w:sz w:val="36"/>
        <w:szCs w:val="36"/>
        <w:rtl/>
      </w:rPr>
    </w:pPr>
    <w:proofErr w:type="gramStart"/>
    <w:r w:rsidRPr="00CA5129">
      <w:rPr>
        <w:rFonts w:ascii="Arabic Typesetting" w:hAnsi="Arabic Typesetting" w:cs="Arabic Typesetting"/>
        <w:sz w:val="36"/>
        <w:szCs w:val="36"/>
        <w:rtl/>
      </w:rPr>
      <w:t>الملحق</w:t>
    </w:r>
    <w:proofErr w:type="gramEnd"/>
    <w:r w:rsidRPr="00CA5129">
      <w:rPr>
        <w:rFonts w:ascii="Arabic Typesetting" w:hAnsi="Arabic Typesetting" w:cs="Arabic Typesetting"/>
        <w:sz w:val="36"/>
        <w:szCs w:val="36"/>
        <w:rtl/>
      </w:rPr>
      <w:t xml:space="preserve"> الأول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B98"/>
    <w:rsid w:val="00002CBE"/>
    <w:rsid w:val="00003232"/>
    <w:rsid w:val="000033DA"/>
    <w:rsid w:val="0000579F"/>
    <w:rsid w:val="00006529"/>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4422"/>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0B41"/>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A50"/>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30D"/>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36F5"/>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2F4"/>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4885"/>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B98"/>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5088"/>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24D7"/>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67"/>
    <w:rsid w:val="00390FC0"/>
    <w:rsid w:val="003911B2"/>
    <w:rsid w:val="00391AFE"/>
    <w:rsid w:val="00392705"/>
    <w:rsid w:val="0039283A"/>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0AFE"/>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192A"/>
    <w:rsid w:val="00422A2A"/>
    <w:rsid w:val="00424BB4"/>
    <w:rsid w:val="004258CD"/>
    <w:rsid w:val="004261D2"/>
    <w:rsid w:val="004303D1"/>
    <w:rsid w:val="004335A8"/>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0628"/>
    <w:rsid w:val="00472043"/>
    <w:rsid w:val="00472F56"/>
    <w:rsid w:val="0047335E"/>
    <w:rsid w:val="004736DA"/>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2D25"/>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04FC"/>
    <w:rsid w:val="00581FF0"/>
    <w:rsid w:val="005825FC"/>
    <w:rsid w:val="00582A90"/>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4113"/>
    <w:rsid w:val="005955C0"/>
    <w:rsid w:val="00595B68"/>
    <w:rsid w:val="00595EAA"/>
    <w:rsid w:val="0059672B"/>
    <w:rsid w:val="005A0C60"/>
    <w:rsid w:val="005A255F"/>
    <w:rsid w:val="005A330E"/>
    <w:rsid w:val="005A4AFF"/>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167"/>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0C7C"/>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218"/>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16D0"/>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0F08"/>
    <w:rsid w:val="00705027"/>
    <w:rsid w:val="00706139"/>
    <w:rsid w:val="00710494"/>
    <w:rsid w:val="007117BD"/>
    <w:rsid w:val="0071361B"/>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9EC"/>
    <w:rsid w:val="00757B82"/>
    <w:rsid w:val="0076142F"/>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24D"/>
    <w:rsid w:val="007E09E2"/>
    <w:rsid w:val="007E0FF5"/>
    <w:rsid w:val="007E1012"/>
    <w:rsid w:val="007E17CD"/>
    <w:rsid w:val="007E24ED"/>
    <w:rsid w:val="007E374B"/>
    <w:rsid w:val="007E39DE"/>
    <w:rsid w:val="007E3F53"/>
    <w:rsid w:val="007E666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996"/>
    <w:rsid w:val="00831EAF"/>
    <w:rsid w:val="00832288"/>
    <w:rsid w:val="008326D6"/>
    <w:rsid w:val="008337EA"/>
    <w:rsid w:val="00833839"/>
    <w:rsid w:val="00833B4A"/>
    <w:rsid w:val="00833D15"/>
    <w:rsid w:val="008344C4"/>
    <w:rsid w:val="008348DA"/>
    <w:rsid w:val="008354BC"/>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6700"/>
    <w:rsid w:val="008C7736"/>
    <w:rsid w:val="008D0948"/>
    <w:rsid w:val="008D311C"/>
    <w:rsid w:val="008D31D2"/>
    <w:rsid w:val="008D3CC5"/>
    <w:rsid w:val="008D564A"/>
    <w:rsid w:val="008D5E47"/>
    <w:rsid w:val="008D7D8C"/>
    <w:rsid w:val="008E004E"/>
    <w:rsid w:val="008E04FB"/>
    <w:rsid w:val="008E0CEA"/>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1582"/>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C8D"/>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80"/>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1E5D"/>
    <w:rsid w:val="00A320BA"/>
    <w:rsid w:val="00A32283"/>
    <w:rsid w:val="00A32342"/>
    <w:rsid w:val="00A325EC"/>
    <w:rsid w:val="00A32B81"/>
    <w:rsid w:val="00A337E5"/>
    <w:rsid w:val="00A34E80"/>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AE4"/>
    <w:rsid w:val="00A72E48"/>
    <w:rsid w:val="00A7359C"/>
    <w:rsid w:val="00A73616"/>
    <w:rsid w:val="00A76648"/>
    <w:rsid w:val="00A76DF7"/>
    <w:rsid w:val="00A77523"/>
    <w:rsid w:val="00A83454"/>
    <w:rsid w:val="00A843FC"/>
    <w:rsid w:val="00A84DA5"/>
    <w:rsid w:val="00A85302"/>
    <w:rsid w:val="00A86119"/>
    <w:rsid w:val="00A8649F"/>
    <w:rsid w:val="00A86D25"/>
    <w:rsid w:val="00A871F4"/>
    <w:rsid w:val="00A877BD"/>
    <w:rsid w:val="00A8786B"/>
    <w:rsid w:val="00A87C9D"/>
    <w:rsid w:val="00A903F1"/>
    <w:rsid w:val="00A905CC"/>
    <w:rsid w:val="00A90974"/>
    <w:rsid w:val="00A9197E"/>
    <w:rsid w:val="00A92065"/>
    <w:rsid w:val="00A92184"/>
    <w:rsid w:val="00A9334F"/>
    <w:rsid w:val="00A93D6F"/>
    <w:rsid w:val="00A9614E"/>
    <w:rsid w:val="00A963B5"/>
    <w:rsid w:val="00A96FA8"/>
    <w:rsid w:val="00A97665"/>
    <w:rsid w:val="00AA0504"/>
    <w:rsid w:val="00AA0588"/>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676F7"/>
    <w:rsid w:val="00B70849"/>
    <w:rsid w:val="00B72C1C"/>
    <w:rsid w:val="00B73BB7"/>
    <w:rsid w:val="00B751C3"/>
    <w:rsid w:val="00B7653E"/>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5E50"/>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3E"/>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5C1D"/>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97C92"/>
    <w:rsid w:val="00CA0049"/>
    <w:rsid w:val="00CA0980"/>
    <w:rsid w:val="00CA2A98"/>
    <w:rsid w:val="00CA2BAE"/>
    <w:rsid w:val="00CA34BA"/>
    <w:rsid w:val="00CA4503"/>
    <w:rsid w:val="00CA5129"/>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161C"/>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3CE6"/>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5C0F"/>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3E6"/>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530"/>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1D"/>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5DDD"/>
    <w:rsid w:val="00EF657C"/>
    <w:rsid w:val="00F004D1"/>
    <w:rsid w:val="00F00C0D"/>
    <w:rsid w:val="00F0128B"/>
    <w:rsid w:val="00F02663"/>
    <w:rsid w:val="00F03369"/>
    <w:rsid w:val="00F04E62"/>
    <w:rsid w:val="00F050AA"/>
    <w:rsid w:val="00F05E6D"/>
    <w:rsid w:val="00F07748"/>
    <w:rsid w:val="00F11800"/>
    <w:rsid w:val="00F11B61"/>
    <w:rsid w:val="00F135D6"/>
    <w:rsid w:val="00F13922"/>
    <w:rsid w:val="00F13DBC"/>
    <w:rsid w:val="00F15FCF"/>
    <w:rsid w:val="00F16613"/>
    <w:rsid w:val="00F175B1"/>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0465"/>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656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2A3B98"/>
    <w:rPr>
      <w:rFonts w:ascii="Arial" w:hAnsi="Arial" w:cs="Arial"/>
      <w:sz w:val="22"/>
    </w:rPr>
  </w:style>
  <w:style w:type="character" w:styleId="Hyperlink">
    <w:name w:val="Hyperlink"/>
    <w:basedOn w:val="DefaultParagraphFont"/>
    <w:unhideWhenUsed/>
    <w:rsid w:val="00700F08"/>
    <w:rPr>
      <w:color w:val="0000FF" w:themeColor="hyperlink"/>
      <w:u w:val="single"/>
    </w:rPr>
  </w:style>
  <w:style w:type="paragraph" w:styleId="BalloonText">
    <w:name w:val="Balloon Text"/>
    <w:basedOn w:val="Normal"/>
    <w:link w:val="BalloonTextChar"/>
    <w:semiHidden/>
    <w:unhideWhenUsed/>
    <w:rsid w:val="009D0C8D"/>
    <w:rPr>
      <w:rFonts w:ascii="Tahoma" w:hAnsi="Tahoma" w:cs="Tahoma"/>
      <w:sz w:val="16"/>
      <w:szCs w:val="16"/>
    </w:rPr>
  </w:style>
  <w:style w:type="character" w:customStyle="1" w:styleId="BalloonTextChar">
    <w:name w:val="Balloon Text Char"/>
    <w:basedOn w:val="DefaultParagraphFont"/>
    <w:link w:val="BalloonText"/>
    <w:semiHidden/>
    <w:rsid w:val="009D0C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2A3B98"/>
    <w:rPr>
      <w:rFonts w:ascii="Arial" w:hAnsi="Arial" w:cs="Arial"/>
      <w:sz w:val="22"/>
    </w:rPr>
  </w:style>
  <w:style w:type="character" w:styleId="Hyperlink">
    <w:name w:val="Hyperlink"/>
    <w:basedOn w:val="DefaultParagraphFont"/>
    <w:unhideWhenUsed/>
    <w:rsid w:val="00700F08"/>
    <w:rPr>
      <w:color w:val="0000FF" w:themeColor="hyperlink"/>
      <w:u w:val="single"/>
    </w:rPr>
  </w:style>
  <w:style w:type="paragraph" w:styleId="BalloonText">
    <w:name w:val="Balloon Text"/>
    <w:basedOn w:val="Normal"/>
    <w:link w:val="BalloonTextChar"/>
    <w:semiHidden/>
    <w:unhideWhenUsed/>
    <w:rsid w:val="009D0C8D"/>
    <w:rPr>
      <w:rFonts w:ascii="Tahoma" w:hAnsi="Tahoma" w:cs="Tahoma"/>
      <w:sz w:val="16"/>
      <w:szCs w:val="16"/>
    </w:rPr>
  </w:style>
  <w:style w:type="character" w:customStyle="1" w:styleId="BalloonTextChar">
    <w:name w:val="Balloon Text Char"/>
    <w:basedOn w:val="DefaultParagraphFont"/>
    <w:link w:val="BalloonText"/>
    <w:semiHidden/>
    <w:rsid w:val="009D0C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meetings/en/doc_details.jsp?doc_id=253106"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13_AR%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3C8AD-F49E-41E9-8E3E-F12D3B858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CDIP_13_AR .dotx</Template>
  <TotalTime>91</TotalTime>
  <Pages>6</Pages>
  <Words>1566</Words>
  <Characters>8658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CDIP/12/-- (Arabic)</vt:lpstr>
    </vt:vector>
  </TitlesOfParts>
  <Company>World Intellectual Property Organization</Company>
  <LinksUpToDate>false</LinksUpToDate>
  <CharactersWithSpaces>10204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CDIP/12/-- (Arabic)</dc:title>
  <dc:creator>YOUSSEF Randa</dc:creator>
  <cp:lastModifiedBy>YOUSSEF Randa</cp:lastModifiedBy>
  <cp:revision>25</cp:revision>
  <cp:lastPrinted>2014-03-19T10:23:00Z</cp:lastPrinted>
  <dcterms:created xsi:type="dcterms:W3CDTF">2014-03-17T10:48:00Z</dcterms:created>
  <dcterms:modified xsi:type="dcterms:W3CDTF">2014-03-19T10:23:00Z</dcterms:modified>
</cp:coreProperties>
</file>