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095058"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095058">
            <w:pPr>
              <w:pStyle w:val="DocumentCodeAR"/>
              <w:bidi/>
              <w:rPr>
                <w:rtl/>
              </w:rPr>
            </w:pPr>
            <w:proofErr w:type="spellStart"/>
            <w:r>
              <w:t>CDIP</w:t>
            </w:r>
            <w:proofErr w:type="spellEnd"/>
            <w:r w:rsidR="00100F97">
              <w:t>/</w:t>
            </w:r>
            <w:r>
              <w:t>11</w:t>
            </w:r>
            <w:r w:rsidR="00B6101C" w:rsidRPr="00B6101C">
              <w:t>/</w:t>
            </w:r>
            <w:r w:rsidR="00095058">
              <w:t>7</w:t>
            </w:r>
          </w:p>
        </w:tc>
      </w:tr>
      <w:tr w:rsidR="001667B6" w:rsidRPr="00582A90" w:rsidTr="00582A90">
        <w:tc>
          <w:tcPr>
            <w:tcW w:w="9571" w:type="dxa"/>
            <w:gridSpan w:val="3"/>
            <w:shd w:val="clear" w:color="auto" w:fill="auto"/>
          </w:tcPr>
          <w:p w:rsidR="001667B6" w:rsidRPr="00B6101C" w:rsidRDefault="00B6101C" w:rsidP="00095058">
            <w:pPr>
              <w:pStyle w:val="DocumentLanguageAR"/>
              <w:bidi/>
              <w:rPr>
                <w:rtl/>
              </w:rPr>
            </w:pPr>
            <w:r w:rsidRPr="00B6101C">
              <w:rPr>
                <w:rFonts w:hint="cs"/>
                <w:rtl/>
              </w:rPr>
              <w:t xml:space="preserve">الأصل: </w:t>
            </w:r>
            <w:r w:rsidR="0009505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095058">
            <w:pPr>
              <w:pStyle w:val="DocumentDateAR"/>
              <w:bidi/>
              <w:rPr>
                <w:rtl/>
              </w:rPr>
            </w:pPr>
            <w:r w:rsidRPr="00B6101C">
              <w:rPr>
                <w:rFonts w:hint="cs"/>
                <w:rtl/>
              </w:rPr>
              <w:t xml:space="preserve">التاريخ: </w:t>
            </w:r>
            <w:r w:rsidR="00095058">
              <w:rPr>
                <w:rFonts w:hint="cs"/>
                <w:rtl/>
              </w:rPr>
              <w:t xml:space="preserve">10 أبريل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70628">
      <w:pPr>
        <w:pStyle w:val="MeetingSessionAR"/>
        <w:bidi/>
        <w:rPr>
          <w:rFonts w:ascii="Cambria Math" w:hAnsi="Cambria Math"/>
          <w:rtl/>
        </w:rPr>
      </w:pPr>
      <w:r w:rsidRPr="00783D11">
        <w:rPr>
          <w:rFonts w:ascii="Cambria Math" w:hAnsi="Cambria Math"/>
          <w:rtl/>
        </w:rPr>
        <w:t xml:space="preserve">الدورة </w:t>
      </w:r>
      <w:r w:rsidR="00470628">
        <w:rPr>
          <w:rFonts w:ascii="Cambria Math" w:hAnsi="Cambria Math" w:hint="cs"/>
          <w:rtl/>
        </w:rPr>
        <w:t>الحادية</w:t>
      </w:r>
      <w:r w:rsidR="00796CF7">
        <w:rPr>
          <w:rFonts w:ascii="Cambria Math" w:hAnsi="Cambria Math" w:hint="cs"/>
          <w:rtl/>
        </w:rPr>
        <w:t xml:space="preserve"> عشرة</w:t>
      </w:r>
    </w:p>
    <w:p w:rsidR="00D61541" w:rsidRPr="00D61541" w:rsidRDefault="00D61541" w:rsidP="00470628">
      <w:pPr>
        <w:pStyle w:val="MeetingDatesAR"/>
        <w:bidi/>
        <w:rPr>
          <w:rtl/>
        </w:rPr>
      </w:pPr>
      <w:r w:rsidRPr="00D61541">
        <w:rPr>
          <w:rFonts w:hint="cs"/>
          <w:rtl/>
        </w:rPr>
        <w:t xml:space="preserve">جنيف، من </w:t>
      </w:r>
      <w:r w:rsidR="00470628">
        <w:rPr>
          <w:rFonts w:hint="cs"/>
          <w:rtl/>
        </w:rPr>
        <w:t>13</w:t>
      </w:r>
      <w:r w:rsidR="00100F97">
        <w:rPr>
          <w:rFonts w:hint="cs"/>
          <w:rtl/>
        </w:rPr>
        <w:t xml:space="preserve"> إلى </w:t>
      </w:r>
      <w:r w:rsidR="00470628">
        <w:rPr>
          <w:rFonts w:hint="cs"/>
          <w:rtl/>
        </w:rPr>
        <w:t>17</w:t>
      </w:r>
      <w:r w:rsidR="00783D11">
        <w:rPr>
          <w:rFonts w:hint="cs"/>
          <w:rtl/>
        </w:rPr>
        <w:t xml:space="preserve"> </w:t>
      </w:r>
      <w:r w:rsidR="00470628">
        <w:rPr>
          <w:rFonts w:hint="cs"/>
          <w:rtl/>
        </w:rPr>
        <w:t>مايو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90EB2" w:rsidP="00BC0923">
      <w:pPr>
        <w:pStyle w:val="DocumentTitleAR"/>
        <w:bidi/>
        <w:rPr>
          <w:rtl/>
        </w:rPr>
      </w:pPr>
      <w:r>
        <w:rPr>
          <w:rFonts w:hint="cs"/>
          <w:rtl/>
        </w:rPr>
        <w:t xml:space="preserve">اقتراح مشروع </w:t>
      </w:r>
      <w:r w:rsidR="00B55413">
        <w:rPr>
          <w:rFonts w:hint="cs"/>
          <w:rtl/>
        </w:rPr>
        <w:t>من جمهورية كوريا حول الملكية الفكرية و</w:t>
      </w:r>
      <w:r w:rsidR="00F70B81">
        <w:rPr>
          <w:rFonts w:hint="cs"/>
          <w:rtl/>
        </w:rPr>
        <w:t xml:space="preserve">إبداع </w:t>
      </w:r>
      <w:r w:rsidR="00B55413">
        <w:rPr>
          <w:rFonts w:hint="cs"/>
          <w:rtl/>
        </w:rPr>
        <w:t>التصاميم لتطوير ال</w:t>
      </w:r>
      <w:r w:rsidR="00BC0923">
        <w:rPr>
          <w:rFonts w:hint="cs"/>
          <w:rtl/>
        </w:rPr>
        <w:t>أعمال</w:t>
      </w:r>
      <w:r w:rsidR="00B55413">
        <w:rPr>
          <w:rFonts w:hint="cs"/>
          <w:rtl/>
        </w:rPr>
        <w:t xml:space="preserve"> في البلدان النامية والبلدان الأقل نموا</w:t>
      </w:r>
    </w:p>
    <w:p w:rsidR="00D61541" w:rsidRPr="00D61541" w:rsidRDefault="00D61541" w:rsidP="00931859">
      <w:pPr>
        <w:pStyle w:val="PreparedbyAR"/>
        <w:bidi/>
        <w:rPr>
          <w:rtl/>
        </w:rPr>
      </w:pPr>
    </w:p>
    <w:p w:rsidR="001667B6" w:rsidRDefault="00B55413" w:rsidP="00113DB8">
      <w:pPr>
        <w:pStyle w:val="NumberedParaAR"/>
        <w:rPr>
          <w:rFonts w:hint="cs"/>
        </w:rPr>
      </w:pPr>
      <w:r>
        <w:rPr>
          <w:rFonts w:hint="cs"/>
          <w:rtl/>
        </w:rPr>
        <w:t>في تبليغ موجّه إلى الأمانة</w:t>
      </w:r>
      <w:r w:rsidR="00113DB8" w:rsidRPr="00113DB8">
        <w:rPr>
          <w:rFonts w:hint="cs"/>
          <w:rtl/>
        </w:rPr>
        <w:t xml:space="preserve"> </w:t>
      </w:r>
      <w:r w:rsidR="00113DB8">
        <w:rPr>
          <w:rFonts w:hint="cs"/>
          <w:rtl/>
        </w:rPr>
        <w:t>بتاريخ 2 أبريل 2013</w:t>
      </w:r>
      <w:r>
        <w:rPr>
          <w:rFonts w:hint="cs"/>
          <w:rtl/>
        </w:rPr>
        <w:t>، تقدّمت البعثة الدائمة لجمهورية كوريا باقتراح مشروع عنوانه: "الملكية الفكرية و</w:t>
      </w:r>
      <w:r w:rsidR="00F70B81">
        <w:rPr>
          <w:rFonts w:hint="cs"/>
          <w:rtl/>
        </w:rPr>
        <w:t>إبداع</w:t>
      </w:r>
      <w:r>
        <w:rPr>
          <w:rFonts w:hint="cs"/>
          <w:rtl/>
        </w:rPr>
        <w:t xml:space="preserve"> التصاميم لتطوير ال</w:t>
      </w:r>
      <w:r w:rsidR="00BC0923">
        <w:rPr>
          <w:rFonts w:hint="cs"/>
          <w:rtl/>
        </w:rPr>
        <w:t>أعمال</w:t>
      </w:r>
      <w:r>
        <w:rPr>
          <w:rFonts w:hint="cs"/>
          <w:rtl/>
        </w:rPr>
        <w:t xml:space="preserve"> في البلدان النامية والبلدان الأقل نموا"، كي تنظر فيه اللجنة في دورتها الحادية والعشرين.</w:t>
      </w:r>
    </w:p>
    <w:p w:rsidR="00B918E7" w:rsidRDefault="00B918E7" w:rsidP="00B918E7">
      <w:pPr>
        <w:pStyle w:val="NumberedParaAR"/>
        <w:rPr>
          <w:rtl/>
        </w:rPr>
      </w:pPr>
      <w:r>
        <w:rPr>
          <w:rFonts w:hint="cs"/>
          <w:rtl/>
        </w:rPr>
        <w:t>ويرد تبليغ جمهورية كوريا وملحقاته في مرفق هذه الوثيقة.</w:t>
      </w:r>
    </w:p>
    <w:p w:rsidR="00095058" w:rsidRDefault="00B918E7" w:rsidP="00B918E7">
      <w:pPr>
        <w:pStyle w:val="EndofDocumentAR"/>
        <w:rPr>
          <w:rtl/>
        </w:rPr>
      </w:pPr>
      <w:r>
        <w:rPr>
          <w:rFonts w:hint="cs"/>
          <w:rtl/>
        </w:rPr>
        <w:t>[يلي ذلك المرفق]</w:t>
      </w:r>
    </w:p>
    <w:p w:rsidR="00B918E7" w:rsidRDefault="00B918E7" w:rsidP="00CE161C">
      <w:pPr>
        <w:pStyle w:val="NormalParaAR"/>
        <w:rPr>
          <w:rFonts w:hint="cs"/>
          <w:rtl/>
        </w:rPr>
      </w:pPr>
    </w:p>
    <w:p w:rsidR="00B918E7" w:rsidRDefault="00B918E7" w:rsidP="00CE161C">
      <w:pPr>
        <w:pStyle w:val="NormalParaAR"/>
        <w:rPr>
          <w:rtl/>
        </w:rPr>
        <w:sectPr w:rsidR="00B918E7" w:rsidSect="00EB7752">
          <w:headerReference w:type="default" r:id="rId10"/>
          <w:pgSz w:w="11907" w:h="16840" w:code="9"/>
          <w:pgMar w:top="567" w:right="1418" w:bottom="1418" w:left="1134" w:header="510" w:footer="1021" w:gutter="0"/>
          <w:cols w:space="720"/>
          <w:titlePg/>
          <w:docGrid w:linePitch="299"/>
        </w:sectPr>
      </w:pPr>
    </w:p>
    <w:p w:rsidR="00B918E7" w:rsidRPr="00B918E7" w:rsidRDefault="00B918E7" w:rsidP="00113DB8">
      <w:pPr>
        <w:pStyle w:val="NormalParaAR"/>
        <w:rPr>
          <w:rFonts w:hint="cs"/>
          <w:rtl/>
          <w:lang w:val="fr-CH"/>
        </w:rPr>
      </w:pPr>
      <w:r>
        <w:rPr>
          <w:rFonts w:hint="cs"/>
          <w:rtl/>
          <w:lang w:val="fr-CH"/>
        </w:rPr>
        <w:lastRenderedPageBreak/>
        <w:t>[خطاب البعثة الدائمة لجمهورية كوريا بجنيف إلى أمانة الويبو]</w:t>
      </w:r>
    </w:p>
    <w:p w:rsidR="00B918E7" w:rsidRDefault="00B918E7" w:rsidP="00CE161C">
      <w:pPr>
        <w:pStyle w:val="NormalParaAR"/>
        <w:rPr>
          <w:rFonts w:hint="cs"/>
          <w:rtl/>
        </w:rPr>
      </w:pPr>
    </w:p>
    <w:p w:rsidR="00B918E7" w:rsidRDefault="00B918E7" w:rsidP="00CE161C">
      <w:pPr>
        <w:pStyle w:val="NormalParaAR"/>
        <w:rPr>
          <w:rFonts w:hint="cs"/>
          <w:rtl/>
        </w:rPr>
      </w:pPr>
      <w:r>
        <w:rPr>
          <w:rFonts w:hint="cs"/>
          <w:rtl/>
        </w:rPr>
        <w:tab/>
        <w:t>تهدي البعثة الدائمة لجمهورية كوريا لدى مكتب الأمم المتحدة وسائر المنظمات الدولية بجنيف أطيب تحياتها إلى أمانة المنظمة العالمية للملكية الفكرية (الويبو) وتتشرف بتوجيه هذه الرسالة بخصوص الدورة الحادية عشرة للجنة المعنية بالتنمية والملكية الفكرية المقرر انعقادها في جنيف من 13 إلى 17 مايو 2013.</w:t>
      </w:r>
    </w:p>
    <w:p w:rsidR="00B918E7" w:rsidRDefault="00B918E7" w:rsidP="00BC0923">
      <w:pPr>
        <w:pStyle w:val="NormalParaAR"/>
        <w:rPr>
          <w:rFonts w:hint="cs"/>
          <w:rtl/>
        </w:rPr>
      </w:pPr>
      <w:r>
        <w:rPr>
          <w:rFonts w:hint="cs"/>
          <w:rtl/>
        </w:rPr>
        <w:tab/>
        <w:t>وفي هذا الصدد، وسعيا إلى الإسهام في الجهود المبذولة لتنفيذ التوصيات الخمس والأربعين من جدول أعمال التنمية، ترغب البعثة الدائمة في التقدم باقتراح مشروع حول الملكية الفكرية و</w:t>
      </w:r>
      <w:r w:rsidR="00F70B81">
        <w:rPr>
          <w:rFonts w:hint="cs"/>
          <w:rtl/>
        </w:rPr>
        <w:t>إبداع</w:t>
      </w:r>
      <w:r>
        <w:rPr>
          <w:rFonts w:hint="cs"/>
          <w:rtl/>
        </w:rPr>
        <w:t xml:space="preserve"> التصاميم </w:t>
      </w:r>
      <w:r w:rsidR="00F70B81">
        <w:rPr>
          <w:rFonts w:hint="cs"/>
          <w:rtl/>
        </w:rPr>
        <w:t>لتطوير ال</w:t>
      </w:r>
      <w:r w:rsidR="00BC0923">
        <w:rPr>
          <w:rFonts w:hint="cs"/>
          <w:rtl/>
        </w:rPr>
        <w:t>أعمال</w:t>
      </w:r>
      <w:r w:rsidR="00F70B81">
        <w:rPr>
          <w:rFonts w:hint="cs"/>
          <w:rtl/>
        </w:rPr>
        <w:t xml:space="preserve"> في البلدان النامية والبلدان الأقل نموا، وتودّ أن يوزّع هذا الاقتراح كوثيقة رسمية تبحثها وتنظر فيها اللجنة بغرض اعتمادها في الدورة المذكورة للجنة. ويرد الاقتراح طيّ هذه الرسالة.</w:t>
      </w:r>
    </w:p>
    <w:p w:rsidR="00F70B81" w:rsidRDefault="00F70B81" w:rsidP="00F70B81">
      <w:pPr>
        <w:pStyle w:val="NormalParaAR"/>
        <w:rPr>
          <w:rFonts w:hint="cs"/>
          <w:rtl/>
        </w:rPr>
      </w:pPr>
      <w:r>
        <w:rPr>
          <w:rFonts w:hint="cs"/>
          <w:rtl/>
        </w:rPr>
        <w:tab/>
        <w:t>وتغتنم البعثة الدائمة لجمهورية كوريا لدى مكتب الأمم المتحدة وسائر المنظمات الدولية بجنيف هذه الفرصة كي تجدّد لأمانة المنظمة العالمية للملكية الفكرية أسمى عبارات التقدير.</w:t>
      </w:r>
    </w:p>
    <w:p w:rsidR="00B918E7" w:rsidRDefault="00B918E7" w:rsidP="00CE161C">
      <w:pPr>
        <w:pStyle w:val="NormalParaAR"/>
        <w:rPr>
          <w:rFonts w:hint="cs"/>
          <w:rtl/>
        </w:rPr>
      </w:pPr>
    </w:p>
    <w:p w:rsidR="00F70B81" w:rsidRDefault="00F70B81" w:rsidP="00461769">
      <w:pPr>
        <w:pStyle w:val="NormalParaAR"/>
        <w:rPr>
          <w:rFonts w:hint="cs"/>
          <w:rtl/>
        </w:rPr>
      </w:pPr>
      <w:r>
        <w:rPr>
          <w:rFonts w:hint="cs"/>
          <w:rtl/>
        </w:rPr>
        <w:t xml:space="preserve">حرّر </w:t>
      </w:r>
      <w:r w:rsidR="00461769">
        <w:rPr>
          <w:rFonts w:hint="cs"/>
          <w:rtl/>
        </w:rPr>
        <w:t>ب</w:t>
      </w:r>
      <w:r>
        <w:rPr>
          <w:rFonts w:hint="cs"/>
          <w:rtl/>
        </w:rPr>
        <w:t>جنيف</w:t>
      </w:r>
      <w:r w:rsidR="00461769">
        <w:rPr>
          <w:rFonts w:hint="cs"/>
          <w:rtl/>
        </w:rPr>
        <w:t xml:space="preserve"> في</w:t>
      </w:r>
      <w:r>
        <w:rPr>
          <w:rFonts w:hint="cs"/>
          <w:rtl/>
        </w:rPr>
        <w:t xml:space="preserve"> 2 أبريل 2013.</w:t>
      </w:r>
    </w:p>
    <w:p w:rsidR="00F70B81" w:rsidRDefault="00F70B81" w:rsidP="00CE161C">
      <w:pPr>
        <w:pStyle w:val="NormalParaAR"/>
        <w:rPr>
          <w:rFonts w:hint="cs"/>
          <w:rtl/>
        </w:rPr>
      </w:pPr>
    </w:p>
    <w:p w:rsidR="002E4F7F" w:rsidRDefault="002E4F7F" w:rsidP="00CE161C">
      <w:pPr>
        <w:pStyle w:val="NormalParaAR"/>
        <w:rPr>
          <w:rFonts w:hint="cs"/>
          <w:rtl/>
        </w:rPr>
      </w:pPr>
    </w:p>
    <w:p w:rsidR="00B918E7" w:rsidRDefault="00B918E7">
      <w:pPr>
        <w:rPr>
          <w:rFonts w:ascii="Arabic Typesetting" w:hAnsi="Arabic Typesetting" w:cs="Arabic Typesetting"/>
          <w:sz w:val="36"/>
          <w:szCs w:val="36"/>
          <w:rtl/>
        </w:rPr>
      </w:pPr>
      <w:r>
        <w:rPr>
          <w:rtl/>
        </w:rPr>
        <w:br w:type="page"/>
      </w:r>
    </w:p>
    <w:p w:rsidR="00B918E7" w:rsidRPr="00E27F14" w:rsidRDefault="00C538AA" w:rsidP="00E27F14">
      <w:pPr>
        <w:pStyle w:val="NormalParaAR"/>
        <w:spacing w:line="480" w:lineRule="exact"/>
        <w:jc w:val="center"/>
        <w:rPr>
          <w:rFonts w:hint="cs"/>
          <w:b/>
          <w:bCs/>
          <w:sz w:val="48"/>
          <w:szCs w:val="48"/>
          <w:rtl/>
          <w:lang w:val="fr-CH"/>
        </w:rPr>
      </w:pPr>
      <w:r w:rsidRPr="00E27F14">
        <w:rPr>
          <w:rFonts w:hint="cs"/>
          <w:b/>
          <w:bCs/>
          <w:sz w:val="48"/>
          <w:szCs w:val="48"/>
          <w:rtl/>
          <w:lang w:val="fr-CH"/>
        </w:rPr>
        <w:lastRenderedPageBreak/>
        <w:t>اقتراح مشروع</w:t>
      </w:r>
    </w:p>
    <w:p w:rsidR="00B918E7" w:rsidRDefault="00B918E7" w:rsidP="00CE161C">
      <w:pPr>
        <w:pStyle w:val="NormalParaAR"/>
        <w:rPr>
          <w:rFonts w:hint="cs"/>
          <w:rtl/>
        </w:rPr>
      </w:pPr>
    </w:p>
    <w:p w:rsidR="00C538AA" w:rsidRPr="00790EB2" w:rsidRDefault="00C538AA" w:rsidP="00C538AA">
      <w:pPr>
        <w:pStyle w:val="NormalParaAR"/>
        <w:jc w:val="center"/>
        <w:rPr>
          <w:rFonts w:hint="cs"/>
          <w:sz w:val="40"/>
          <w:szCs w:val="40"/>
          <w:rtl/>
        </w:rPr>
      </w:pPr>
      <w:r w:rsidRPr="00790EB2">
        <w:rPr>
          <w:rFonts w:hint="cs"/>
          <w:sz w:val="40"/>
          <w:szCs w:val="40"/>
          <w:rtl/>
        </w:rPr>
        <w:t>من إعداد جمهورية كوريا</w:t>
      </w:r>
    </w:p>
    <w:p w:rsidR="00B918E7" w:rsidRDefault="00B918E7" w:rsidP="00CE161C">
      <w:pPr>
        <w:pStyle w:val="NormalParaAR"/>
        <w:rPr>
          <w:rFonts w:hint="cs"/>
          <w:rtl/>
        </w:rPr>
      </w:pPr>
    </w:p>
    <w:p w:rsidR="00C538AA" w:rsidRPr="00790EB2" w:rsidRDefault="00C538AA" w:rsidP="00790EB2">
      <w:pPr>
        <w:pStyle w:val="NormalParaAR"/>
        <w:keepNext/>
        <w:spacing w:before="600" w:line="400" w:lineRule="exact"/>
        <w:rPr>
          <w:rFonts w:hint="cs"/>
          <w:b/>
          <w:bCs/>
          <w:sz w:val="40"/>
          <w:szCs w:val="40"/>
          <w:rtl/>
        </w:rPr>
      </w:pPr>
      <w:r w:rsidRPr="00790EB2">
        <w:rPr>
          <w:rFonts w:hint="cs"/>
          <w:b/>
          <w:bCs/>
          <w:sz w:val="40"/>
          <w:szCs w:val="40"/>
          <w:rtl/>
        </w:rPr>
        <w:t>1.</w:t>
      </w:r>
      <w:r w:rsidRPr="00790EB2">
        <w:rPr>
          <w:rFonts w:hint="cs"/>
          <w:b/>
          <w:bCs/>
          <w:sz w:val="40"/>
          <w:szCs w:val="40"/>
          <w:rtl/>
        </w:rPr>
        <w:tab/>
        <w:t>ملخّص</w:t>
      </w:r>
    </w:p>
    <w:p w:rsidR="00C538AA" w:rsidRDefault="00C538AA" w:rsidP="00790EB2">
      <w:pPr>
        <w:pStyle w:val="NormalParaAR"/>
        <w:keepNext/>
        <w:spacing w:before="240"/>
        <w:rPr>
          <w:rFonts w:hint="cs"/>
          <w:rtl/>
        </w:rPr>
      </w:pPr>
      <w:r w:rsidRPr="00C538AA">
        <w:rPr>
          <w:rFonts w:hint="cs"/>
          <w:b/>
          <w:bCs/>
          <w:rtl/>
        </w:rPr>
        <w:t>(1)</w:t>
      </w:r>
      <w:r w:rsidRPr="00C538AA">
        <w:rPr>
          <w:rFonts w:hint="cs"/>
          <w:b/>
          <w:bCs/>
          <w:rtl/>
        </w:rPr>
        <w:tab/>
        <w:t>رمز المشروع:</w:t>
      </w:r>
      <w:r>
        <w:rPr>
          <w:rFonts w:hint="cs"/>
          <w:rtl/>
        </w:rPr>
        <w:t xml:space="preserve"> 4 </w:t>
      </w:r>
      <w:r>
        <w:rPr>
          <w:rtl/>
        </w:rPr>
        <w:t>–</w:t>
      </w:r>
      <w:r>
        <w:rPr>
          <w:rFonts w:hint="cs"/>
          <w:rtl/>
        </w:rPr>
        <w:t xml:space="preserve"> 10</w:t>
      </w:r>
    </w:p>
    <w:p w:rsidR="00790EB2" w:rsidRDefault="00790EB2" w:rsidP="00790EB2">
      <w:pPr>
        <w:pStyle w:val="NormalParaAR"/>
        <w:spacing w:before="240"/>
        <w:rPr>
          <w:rFonts w:hint="cs"/>
          <w:rtl/>
        </w:rPr>
      </w:pPr>
    </w:p>
    <w:p w:rsidR="00C538AA" w:rsidRDefault="00C538AA" w:rsidP="00790EB2">
      <w:pPr>
        <w:pStyle w:val="NormalParaAR"/>
        <w:keepNext/>
        <w:spacing w:before="240"/>
        <w:rPr>
          <w:rFonts w:hint="cs"/>
          <w:b/>
          <w:bCs/>
          <w:rtl/>
        </w:rPr>
      </w:pPr>
      <w:r w:rsidRPr="00C538AA">
        <w:rPr>
          <w:rFonts w:hint="cs"/>
          <w:b/>
          <w:bCs/>
          <w:rtl/>
        </w:rPr>
        <w:t>(2)</w:t>
      </w:r>
      <w:r w:rsidRPr="00C538AA">
        <w:rPr>
          <w:rFonts w:hint="cs"/>
          <w:b/>
          <w:bCs/>
          <w:rtl/>
        </w:rPr>
        <w:tab/>
        <w:t>عنوان المشروع:</w:t>
      </w:r>
      <w:r w:rsidRPr="00790EB2">
        <w:rPr>
          <w:rFonts w:hint="cs"/>
          <w:b/>
          <w:bCs/>
          <w:rtl/>
        </w:rPr>
        <w:t xml:space="preserve"> الملكية الفكرية وإدارة التصاميم لتطوير الأعمال في البلدان النامية والبلدان الأقلّ نموّا.</w:t>
      </w:r>
    </w:p>
    <w:p w:rsidR="00790EB2" w:rsidRPr="00790EB2" w:rsidRDefault="00790EB2" w:rsidP="00790EB2">
      <w:pPr>
        <w:pStyle w:val="NormalParaAR"/>
        <w:spacing w:before="240"/>
        <w:rPr>
          <w:rFonts w:hint="cs"/>
          <w:b/>
          <w:bCs/>
          <w:rtl/>
        </w:rPr>
      </w:pPr>
    </w:p>
    <w:p w:rsidR="00C538AA" w:rsidRDefault="00C538AA" w:rsidP="00790EB2">
      <w:pPr>
        <w:pStyle w:val="NormalParaAR"/>
        <w:keepNext/>
        <w:spacing w:before="240"/>
        <w:rPr>
          <w:rFonts w:hint="cs"/>
          <w:b/>
          <w:bCs/>
          <w:rtl/>
        </w:rPr>
      </w:pPr>
      <w:r w:rsidRPr="00C538AA">
        <w:rPr>
          <w:rFonts w:hint="cs"/>
          <w:b/>
          <w:bCs/>
          <w:rtl/>
        </w:rPr>
        <w:t>(3)</w:t>
      </w:r>
      <w:r w:rsidRPr="00C538AA">
        <w:rPr>
          <w:rFonts w:hint="cs"/>
          <w:b/>
          <w:bCs/>
          <w:rtl/>
        </w:rPr>
        <w:tab/>
        <w:t>توصية (توصيات) جدول أعمال التنمية:</w:t>
      </w:r>
    </w:p>
    <w:p w:rsidR="00790EB2" w:rsidRPr="00C538AA" w:rsidRDefault="00790EB2" w:rsidP="00790EB2">
      <w:pPr>
        <w:pStyle w:val="NormalParaAR"/>
        <w:spacing w:before="240"/>
        <w:rPr>
          <w:rFonts w:hint="cs"/>
          <w:b/>
          <w:bCs/>
          <w:rtl/>
        </w:rPr>
      </w:pPr>
    </w:p>
    <w:p w:rsidR="00C538AA" w:rsidRPr="00C538AA" w:rsidRDefault="00C538AA" w:rsidP="00CE161C">
      <w:pPr>
        <w:pStyle w:val="NormalParaAR"/>
        <w:rPr>
          <w:rFonts w:hint="cs"/>
          <w:b/>
          <w:bCs/>
          <w:rtl/>
        </w:rPr>
      </w:pPr>
      <w:r w:rsidRPr="00C538AA">
        <w:rPr>
          <w:b/>
          <w:bCs/>
          <w:rtl/>
        </w:rPr>
        <w:t>الفئة ألف: المساعدة التقنية وتكوين الكفاءات</w:t>
      </w:r>
    </w:p>
    <w:p w:rsidR="00CE161C" w:rsidRDefault="00C538AA" w:rsidP="00CE161C">
      <w:pPr>
        <w:pStyle w:val="NormalParaAR"/>
        <w:rPr>
          <w:rFonts w:hint="cs"/>
          <w:rtl/>
          <w:lang w:val="fr-CH"/>
        </w:rPr>
      </w:pPr>
      <w:r>
        <w:rPr>
          <w:rFonts w:hint="cs"/>
          <w:u w:val="single"/>
          <w:rtl/>
          <w:lang w:val="fr-CH"/>
        </w:rPr>
        <w:t>التوصية رقم 4:</w:t>
      </w:r>
      <w:r w:rsidRPr="00C538AA">
        <w:rPr>
          <w:rFonts w:hint="cs"/>
          <w:rtl/>
          <w:lang w:val="fr-CH"/>
        </w:rPr>
        <w:t xml:space="preserve"> </w:t>
      </w:r>
      <w:r w:rsidRPr="00C538AA">
        <w:rPr>
          <w:rtl/>
          <w:lang w:val="fr-CH"/>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r>
        <w:rPr>
          <w:rFonts w:hint="cs"/>
          <w:rtl/>
          <w:lang w:val="fr-CH"/>
        </w:rPr>
        <w:t>.</w:t>
      </w:r>
    </w:p>
    <w:p w:rsidR="00847892" w:rsidRDefault="00847892" w:rsidP="00CE161C">
      <w:pPr>
        <w:pStyle w:val="NormalParaAR"/>
        <w:rPr>
          <w:rFonts w:hint="cs"/>
          <w:rtl/>
          <w:lang w:val="fr-CH"/>
        </w:rPr>
      </w:pPr>
      <w:r>
        <w:rPr>
          <w:rFonts w:hint="cs"/>
          <w:u w:val="single"/>
          <w:rtl/>
          <w:lang w:val="fr-CH"/>
        </w:rPr>
        <w:t>التوصية رقم 10:</w:t>
      </w:r>
      <w:r>
        <w:rPr>
          <w:rFonts w:hint="cs"/>
          <w:rtl/>
          <w:lang w:val="fr-CH"/>
        </w:rPr>
        <w:t xml:space="preserve"> </w:t>
      </w:r>
      <w:r w:rsidRPr="00847892">
        <w:rPr>
          <w:rtl/>
          <w:lang w:val="fr-CH"/>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847892" w:rsidRPr="00790EB2" w:rsidRDefault="00847892" w:rsidP="00790EB2">
      <w:pPr>
        <w:pStyle w:val="NormalParaAR"/>
        <w:keepNext/>
        <w:spacing w:before="240"/>
        <w:rPr>
          <w:rFonts w:hint="cs"/>
          <w:rtl/>
        </w:rPr>
      </w:pPr>
      <w:r w:rsidRPr="00790EB2">
        <w:rPr>
          <w:rFonts w:hint="cs"/>
          <w:b/>
          <w:bCs/>
          <w:rtl/>
        </w:rPr>
        <w:lastRenderedPageBreak/>
        <w:t>(4)</w:t>
      </w:r>
      <w:r w:rsidRPr="00790EB2">
        <w:rPr>
          <w:rFonts w:hint="cs"/>
          <w:b/>
          <w:bCs/>
          <w:rtl/>
        </w:rPr>
        <w:tab/>
        <w:t xml:space="preserve">مدة المشروع: </w:t>
      </w:r>
      <w:r w:rsidRPr="00790EB2">
        <w:rPr>
          <w:rFonts w:hint="cs"/>
          <w:rtl/>
        </w:rPr>
        <w:t>24 شهرا</w:t>
      </w:r>
    </w:p>
    <w:p w:rsidR="00847892" w:rsidRPr="00790EB2" w:rsidRDefault="00847892" w:rsidP="00790EB2">
      <w:pPr>
        <w:pStyle w:val="NormalParaAR"/>
        <w:keepNext/>
        <w:spacing w:before="240"/>
        <w:rPr>
          <w:rFonts w:hint="cs"/>
          <w:rtl/>
        </w:rPr>
      </w:pPr>
      <w:r w:rsidRPr="00790EB2">
        <w:rPr>
          <w:rFonts w:hint="cs"/>
          <w:b/>
          <w:bCs/>
          <w:rtl/>
        </w:rPr>
        <w:t>(5)</w:t>
      </w:r>
      <w:r w:rsidRPr="00790EB2">
        <w:rPr>
          <w:rFonts w:hint="cs"/>
          <w:b/>
          <w:bCs/>
          <w:rtl/>
        </w:rPr>
        <w:tab/>
        <w:t xml:space="preserve">ميزانية المشروع: </w:t>
      </w:r>
      <w:r w:rsidR="00EB2C24" w:rsidRPr="00790EB2">
        <w:rPr>
          <w:rFonts w:hint="cs"/>
          <w:rtl/>
        </w:rPr>
        <w:t>تحدَّد بالتشاور مع أمانة الويبو</w:t>
      </w:r>
    </w:p>
    <w:p w:rsidR="00EB2C24" w:rsidRPr="00790EB2" w:rsidRDefault="00EB2C24" w:rsidP="00790EB2">
      <w:pPr>
        <w:pStyle w:val="NormalParaAR"/>
        <w:keepNext/>
        <w:spacing w:before="600" w:line="400" w:lineRule="exact"/>
        <w:rPr>
          <w:rFonts w:hint="cs"/>
          <w:b/>
          <w:bCs/>
          <w:sz w:val="40"/>
          <w:szCs w:val="40"/>
          <w:rtl/>
        </w:rPr>
      </w:pPr>
      <w:r w:rsidRPr="00790EB2">
        <w:rPr>
          <w:rFonts w:hint="cs"/>
          <w:b/>
          <w:bCs/>
          <w:sz w:val="40"/>
          <w:szCs w:val="40"/>
          <w:rtl/>
        </w:rPr>
        <w:t>2.</w:t>
      </w:r>
      <w:r w:rsidRPr="00790EB2">
        <w:rPr>
          <w:rFonts w:hint="cs"/>
          <w:b/>
          <w:bCs/>
          <w:sz w:val="40"/>
          <w:szCs w:val="40"/>
          <w:rtl/>
        </w:rPr>
        <w:tab/>
        <w:t>وصف المشروع</w:t>
      </w:r>
    </w:p>
    <w:p w:rsidR="00847892" w:rsidRPr="00790EB2" w:rsidRDefault="00EB2C24" w:rsidP="00790EB2">
      <w:pPr>
        <w:pStyle w:val="NormalParaAR"/>
        <w:keepNext/>
        <w:spacing w:before="240"/>
        <w:rPr>
          <w:rFonts w:hint="cs"/>
          <w:b/>
          <w:bCs/>
          <w:rtl/>
        </w:rPr>
      </w:pPr>
      <w:r w:rsidRPr="00790EB2">
        <w:rPr>
          <w:rFonts w:hint="cs"/>
          <w:b/>
          <w:bCs/>
          <w:rtl/>
        </w:rPr>
        <w:t>(1)</w:t>
      </w:r>
      <w:r w:rsidRPr="00790EB2">
        <w:rPr>
          <w:rFonts w:hint="cs"/>
          <w:b/>
          <w:bCs/>
          <w:rtl/>
        </w:rPr>
        <w:tab/>
        <w:t>مقدمة</w:t>
      </w:r>
    </w:p>
    <w:p w:rsidR="00EB2C24" w:rsidRDefault="00064162" w:rsidP="00064162">
      <w:pPr>
        <w:pStyle w:val="NormalParaAR"/>
        <w:rPr>
          <w:rFonts w:hint="cs"/>
          <w:rtl/>
          <w:lang w:val="fr-CH"/>
        </w:rPr>
      </w:pPr>
      <w:r>
        <w:rPr>
          <w:rFonts w:hint="cs"/>
          <w:rtl/>
          <w:lang w:val="fr-CH"/>
        </w:rPr>
        <w:t xml:space="preserve">تحظى المنتجات بالرقي والاعتراف الدولي أكثر فأكثر بفضل سمات تصميمها. وفي الكثير من الحالات، تستفيد المنتجات من الاستخدام الاستراتيجي للتصميم كحقّ من حقوق الملكية الفكرية. وتساهم استراتيجية التصميم في رفع قيمة المنتج وتساعد على زيادة الطلب عليه في الأسواق وتزيد من الربح المالي الذي يحققه المنتج. ولكن البلدان النامية والبلدان الأقل نموا تواجه تحديات خاصة ومشتركة يرتبط كثيرها بالفعالية </w:t>
      </w:r>
      <w:r w:rsidR="00252156">
        <w:rPr>
          <w:lang w:val="fr-CH"/>
        </w:rPr>
        <w:t>,</w:t>
      </w:r>
      <w:r>
        <w:rPr>
          <w:rFonts w:hint="cs"/>
          <w:rtl/>
          <w:lang w:val="fr-CH"/>
        </w:rPr>
        <w:t>الوعي بالتصاميم وبإدارتها وحمايتها.</w:t>
      </w:r>
    </w:p>
    <w:p w:rsidR="00064162" w:rsidRDefault="00064162" w:rsidP="00064162">
      <w:pPr>
        <w:pStyle w:val="NormalParaAR"/>
        <w:rPr>
          <w:rFonts w:hint="cs"/>
          <w:rtl/>
          <w:lang w:val="fr-CH"/>
        </w:rPr>
      </w:pPr>
      <w:r>
        <w:rPr>
          <w:rFonts w:hint="cs"/>
          <w:rtl/>
          <w:lang w:val="fr-CH"/>
        </w:rPr>
        <w:t>وسيشمل اقتراح جمهورية كوريا تطوير الاستراتيجيات والمساعدة في كل المراحل من الطلب إلى التسجيل. وقد تكون تلك الاستراتيجيات عاملا رئيسيا في رفع القدرة على حماية حقوق التصاميم وإدارتها، والعمل في الوقت ذاته على إذكاء الوعي العام بالمسألة.</w:t>
      </w:r>
    </w:p>
    <w:p w:rsidR="00064162" w:rsidRPr="00790EB2" w:rsidRDefault="00064162" w:rsidP="00790EB2">
      <w:pPr>
        <w:pStyle w:val="NormalParaAR"/>
        <w:keepNext/>
        <w:spacing w:before="240"/>
        <w:rPr>
          <w:rFonts w:hint="cs"/>
          <w:b/>
          <w:bCs/>
          <w:rtl/>
        </w:rPr>
      </w:pPr>
      <w:r w:rsidRPr="00790EB2">
        <w:rPr>
          <w:rFonts w:hint="cs"/>
          <w:b/>
          <w:bCs/>
          <w:rtl/>
        </w:rPr>
        <w:t>(2)</w:t>
      </w:r>
      <w:r w:rsidRPr="00790EB2">
        <w:rPr>
          <w:rFonts w:hint="cs"/>
          <w:b/>
          <w:bCs/>
          <w:rtl/>
        </w:rPr>
        <w:tab/>
        <w:t>الأهداف</w:t>
      </w:r>
    </w:p>
    <w:p w:rsidR="00EB2C24" w:rsidRDefault="00064162" w:rsidP="00CE161C">
      <w:pPr>
        <w:pStyle w:val="NormalParaAR"/>
        <w:rPr>
          <w:rFonts w:hint="cs"/>
          <w:rtl/>
          <w:lang w:val="fr-CH"/>
        </w:rPr>
      </w:pPr>
      <w:r>
        <w:rPr>
          <w:rFonts w:hint="cs"/>
          <w:rtl/>
          <w:lang w:val="fr-CH"/>
        </w:rPr>
        <w:t>يهدف المشروع إلى التصدي للتوصيتين 4 و10 من جدول أعمال التنمية بغية تحقيق الأهداف التالية:</w:t>
      </w:r>
    </w:p>
    <w:p w:rsidR="00AF6A05" w:rsidRDefault="00BC0923" w:rsidP="000C22C8">
      <w:pPr>
        <w:pStyle w:val="NormalParaAR"/>
        <w:rPr>
          <w:rFonts w:hint="cs"/>
          <w:rtl/>
          <w:lang w:val="fr-CH"/>
        </w:rPr>
      </w:pPr>
      <w:r>
        <w:rPr>
          <w:rFonts w:hint="cs"/>
          <w:rtl/>
          <w:lang w:val="fr-CH"/>
        </w:rPr>
        <w:t>-</w:t>
      </w:r>
      <w:r>
        <w:rPr>
          <w:rFonts w:hint="cs"/>
          <w:rtl/>
          <w:lang w:val="fr-CH"/>
        </w:rPr>
        <w:tab/>
        <w:t xml:space="preserve">الإسهام في تطوير أعمال </w:t>
      </w:r>
      <w:r w:rsidR="000C22C8">
        <w:rPr>
          <w:rFonts w:hint="cs"/>
          <w:rtl/>
          <w:lang w:val="fr-CH"/>
        </w:rPr>
        <w:t>الشركات الصغيرة والمتوسطة بالتشجيع على الاستثمار في التصميم من خلال الانتفاع الاستراتيجي بحقوق الملكية الفكرية.</w:t>
      </w:r>
    </w:p>
    <w:p w:rsidR="000C22C8" w:rsidRDefault="000C22C8" w:rsidP="000C22C8">
      <w:pPr>
        <w:pStyle w:val="NormalParaAR"/>
        <w:rPr>
          <w:rFonts w:hint="cs"/>
          <w:rtl/>
          <w:lang w:val="fr-CH"/>
        </w:rPr>
      </w:pPr>
      <w:r>
        <w:rPr>
          <w:rFonts w:hint="cs"/>
          <w:rtl/>
          <w:lang w:val="fr-CH"/>
        </w:rPr>
        <w:t>-</w:t>
      </w:r>
      <w:r>
        <w:rPr>
          <w:rFonts w:hint="cs"/>
          <w:rtl/>
          <w:lang w:val="fr-CH"/>
        </w:rPr>
        <w:tab/>
        <w:t>إذكاء الوعي بوقع تصاميم المنتجات على تطوير أعمال الشركات الصغيرة والمتوسطة وأهمية دور مكاتب الملكية الفكرية في عملية تنفيذ هذا المشروع لفائدة تلك الشركات.</w:t>
      </w:r>
    </w:p>
    <w:p w:rsidR="007558E5" w:rsidRPr="00790EB2" w:rsidRDefault="007558E5" w:rsidP="00790EB2">
      <w:pPr>
        <w:pStyle w:val="NormalParaAR"/>
        <w:keepNext/>
        <w:spacing w:before="240"/>
        <w:rPr>
          <w:rFonts w:hint="cs"/>
          <w:b/>
          <w:bCs/>
          <w:rtl/>
        </w:rPr>
      </w:pPr>
      <w:r w:rsidRPr="00790EB2">
        <w:rPr>
          <w:rFonts w:hint="cs"/>
          <w:b/>
          <w:bCs/>
          <w:rtl/>
        </w:rPr>
        <w:t>(3)</w:t>
      </w:r>
      <w:r w:rsidRPr="00790EB2">
        <w:rPr>
          <w:rFonts w:hint="cs"/>
          <w:b/>
          <w:bCs/>
          <w:rtl/>
        </w:rPr>
        <w:tab/>
        <w:t>استراتيجية التنفيذ</w:t>
      </w:r>
    </w:p>
    <w:p w:rsidR="00AF6A05" w:rsidRDefault="007558E5" w:rsidP="00007C6C">
      <w:pPr>
        <w:pStyle w:val="NormalParaAR"/>
        <w:rPr>
          <w:rFonts w:hint="cs"/>
          <w:rtl/>
          <w:lang w:val="fr-CH"/>
        </w:rPr>
      </w:pPr>
      <w:r>
        <w:rPr>
          <w:rFonts w:hint="cs"/>
          <w:rtl/>
          <w:lang w:val="fr-CH"/>
        </w:rPr>
        <w:t xml:space="preserve">سينفّذ هذا المشروع في بلدين اثنين أو ثلاثة بلدان بغية تطوير استراتيجية تصاميم في كل بلد على حدة. وستُختار البلدان بالاستناد إلى شروط محدّدة منها ما يلي: وجود إطار قانوني لحماية التصاميم؛ والدعم والالتزام الحكومي؛ والمنتجات المحدّدة أو فئات المنتجات ذات </w:t>
      </w:r>
      <w:r w:rsidR="00007C6C">
        <w:rPr>
          <w:rFonts w:hint="cs"/>
          <w:rtl/>
          <w:lang w:val="fr-CH"/>
        </w:rPr>
        <w:t>س</w:t>
      </w:r>
      <w:r>
        <w:rPr>
          <w:rFonts w:hint="cs"/>
          <w:rtl/>
          <w:lang w:val="fr-CH"/>
        </w:rPr>
        <w:t>مات واضحة التعريف وفرص حمايتها بموجب حقوق الملكية الفكرية.</w:t>
      </w:r>
    </w:p>
    <w:p w:rsidR="00A53E65" w:rsidRDefault="00A53E65" w:rsidP="00CE161C">
      <w:pPr>
        <w:pStyle w:val="NormalParaAR"/>
        <w:rPr>
          <w:rFonts w:hint="cs"/>
          <w:rtl/>
          <w:lang w:val="fr-CH"/>
        </w:rPr>
      </w:pPr>
      <w:r>
        <w:rPr>
          <w:rFonts w:hint="cs"/>
          <w:rtl/>
          <w:lang w:val="fr-CH"/>
        </w:rPr>
        <w:t>وسيكون جزءا المشروع متكاملين لضمان الفعالية والاستدامة. وفيما يلي المهمات والأنشطة التي ستنفّذ بغرض تحقيق أهداف المشروع المذكورة أعلاه:</w:t>
      </w:r>
    </w:p>
    <w:p w:rsidR="00A53E65" w:rsidRDefault="004412F9" w:rsidP="00313148">
      <w:pPr>
        <w:pStyle w:val="NormalParaAR"/>
        <w:rPr>
          <w:rFonts w:hint="cs"/>
          <w:rtl/>
          <w:lang w:val="fr-CH"/>
        </w:rPr>
      </w:pPr>
      <w:r>
        <w:rPr>
          <w:rFonts w:hint="cs"/>
          <w:rtl/>
          <w:lang w:val="fr-CH"/>
        </w:rPr>
        <w:t>(أ)</w:t>
      </w:r>
      <w:r>
        <w:rPr>
          <w:rFonts w:hint="cs"/>
          <w:rtl/>
          <w:lang w:val="fr-CH"/>
        </w:rPr>
        <w:tab/>
        <w:t xml:space="preserve">تطوير استراتيجيات التصاميم: يمكن تحقيق هدف تطوير الأعمال من خلال وضع استراتيجيات لتأمين حقوق الملكية الفكرية للتصاميم. وسيحدّد في كل بلد منتجان اثنان على الأقل، يتمتعان بإمكانيات تصميم قوية بالنظر إلى خصائصهما الفريدة، وذلك </w:t>
      </w:r>
      <w:r w:rsidR="00313148">
        <w:rPr>
          <w:rFonts w:hint="cs"/>
          <w:rtl/>
          <w:lang w:val="fr-CH"/>
        </w:rPr>
        <w:t>ب</w:t>
      </w:r>
      <w:r>
        <w:rPr>
          <w:rFonts w:hint="cs"/>
          <w:rtl/>
          <w:lang w:val="fr-CH"/>
        </w:rPr>
        <w:t xml:space="preserve">التشاور مع </w:t>
      </w:r>
      <w:r w:rsidR="00313148">
        <w:rPr>
          <w:rFonts w:hint="cs"/>
          <w:rtl/>
          <w:lang w:val="fr-CH"/>
        </w:rPr>
        <w:t xml:space="preserve">السلطات </w:t>
      </w:r>
      <w:r>
        <w:rPr>
          <w:rFonts w:hint="cs"/>
          <w:rtl/>
          <w:lang w:val="fr-CH"/>
        </w:rPr>
        <w:t xml:space="preserve">المعنية. وستشمل استراتيجيات التصاميم </w:t>
      </w:r>
      <w:r w:rsidR="00A34322">
        <w:rPr>
          <w:rFonts w:hint="cs"/>
          <w:rtl/>
          <w:lang w:val="fr-CH"/>
        </w:rPr>
        <w:t xml:space="preserve">مشاطرة الأساليب الخاصة المعتمدة في تطوير تصميم المنتج وحمايته. </w:t>
      </w:r>
      <w:r w:rsidR="00491283">
        <w:rPr>
          <w:rFonts w:hint="cs"/>
          <w:rtl/>
          <w:lang w:val="fr-CH"/>
        </w:rPr>
        <w:t>ومن الممكن في هذه المرحلة تقديم المساعدة من أجل تأمين الحقوق مثل البحث في التصاميم السابقة والطلبات والتسجيلات.</w:t>
      </w:r>
    </w:p>
    <w:p w:rsidR="003B73A8" w:rsidRDefault="003B73A8" w:rsidP="00C548DB">
      <w:pPr>
        <w:pStyle w:val="NormalParaAR"/>
        <w:rPr>
          <w:rFonts w:hint="cs"/>
          <w:rtl/>
          <w:lang w:val="fr-CH"/>
        </w:rPr>
      </w:pPr>
      <w:r>
        <w:rPr>
          <w:rFonts w:hint="cs"/>
          <w:rtl/>
          <w:lang w:val="fr-CH"/>
        </w:rPr>
        <w:lastRenderedPageBreak/>
        <w:t>(ب)</w:t>
      </w:r>
      <w:r>
        <w:rPr>
          <w:rFonts w:hint="cs"/>
          <w:rtl/>
          <w:lang w:val="fr-CH"/>
        </w:rPr>
        <w:tab/>
        <w:t>إذكاء الوعي: يمكن تح</w:t>
      </w:r>
      <w:r w:rsidR="00C548DB">
        <w:rPr>
          <w:rFonts w:hint="cs"/>
          <w:rtl/>
          <w:lang w:val="fr-CH"/>
        </w:rPr>
        <w:t>قيق هدف إذكاء الوعي من خلال توثيق</w:t>
      </w:r>
      <w:r>
        <w:rPr>
          <w:rFonts w:hint="cs"/>
          <w:rtl/>
          <w:lang w:val="fr-CH"/>
        </w:rPr>
        <w:t xml:space="preserve"> الخبرات المكتسبة في مسار تنفيذ هذا المشروع ومشاطرة التجارب خلال المؤتمرات مع أصحاب المصالح المهتمين بدعم تطوير التصاميم. </w:t>
      </w:r>
      <w:r w:rsidR="00A84D36">
        <w:rPr>
          <w:rFonts w:hint="cs"/>
          <w:rtl/>
          <w:lang w:val="fr-CH"/>
        </w:rPr>
        <w:t>وستكون مكاتب الملكية الفكرية قادرة على تعزيز كفاءاتها لمساعدة الشركات الصغيرة والمتوسطة على تطوير استراتيجيات التصاميم من خ</w:t>
      </w:r>
      <w:bookmarkStart w:id="2" w:name="_GoBack"/>
      <w:bookmarkEnd w:id="2"/>
      <w:r w:rsidR="00A84D36">
        <w:rPr>
          <w:rFonts w:hint="cs"/>
          <w:rtl/>
          <w:lang w:val="fr-CH"/>
        </w:rPr>
        <w:t>لال مشارطة الخبرات.</w:t>
      </w:r>
    </w:p>
    <w:p w:rsidR="00A84D36" w:rsidRPr="00790EB2" w:rsidRDefault="00A84D36" w:rsidP="00790EB2">
      <w:pPr>
        <w:pStyle w:val="NormalParaAR"/>
        <w:keepNext/>
        <w:spacing w:before="600" w:line="400" w:lineRule="exact"/>
        <w:rPr>
          <w:rFonts w:hint="cs"/>
          <w:b/>
          <w:bCs/>
          <w:sz w:val="40"/>
          <w:szCs w:val="40"/>
          <w:rtl/>
        </w:rPr>
      </w:pPr>
      <w:r w:rsidRPr="00790EB2">
        <w:rPr>
          <w:rFonts w:hint="cs"/>
          <w:b/>
          <w:bCs/>
          <w:sz w:val="40"/>
          <w:szCs w:val="40"/>
          <w:rtl/>
        </w:rPr>
        <w:t>3.</w:t>
      </w:r>
      <w:r w:rsidRPr="00790EB2">
        <w:rPr>
          <w:rFonts w:hint="cs"/>
          <w:b/>
          <w:bCs/>
          <w:sz w:val="40"/>
          <w:szCs w:val="40"/>
          <w:rtl/>
        </w:rPr>
        <w:tab/>
        <w:t>الاستعراض والتقييم</w:t>
      </w:r>
    </w:p>
    <w:p w:rsidR="00A84D36" w:rsidRPr="00790EB2" w:rsidRDefault="00A84D36" w:rsidP="00790EB2">
      <w:pPr>
        <w:pStyle w:val="NormalParaAR"/>
        <w:keepNext/>
        <w:spacing w:before="240"/>
        <w:rPr>
          <w:rFonts w:hint="cs"/>
          <w:b/>
          <w:bCs/>
          <w:rtl/>
        </w:rPr>
      </w:pPr>
      <w:r w:rsidRPr="00790EB2">
        <w:rPr>
          <w:rFonts w:hint="cs"/>
          <w:b/>
          <w:bCs/>
          <w:rtl/>
        </w:rPr>
        <w:t>(1)</w:t>
      </w:r>
      <w:r w:rsidRPr="00790EB2">
        <w:rPr>
          <w:rFonts w:hint="cs"/>
          <w:b/>
          <w:bCs/>
          <w:rtl/>
        </w:rPr>
        <w:tab/>
        <w:t>توقيت استعراض المشروع</w:t>
      </w:r>
    </w:p>
    <w:p w:rsidR="00EB2C24" w:rsidRDefault="00A84D36" w:rsidP="00CE161C">
      <w:pPr>
        <w:pStyle w:val="NormalParaAR"/>
        <w:rPr>
          <w:rFonts w:hint="cs"/>
          <w:rtl/>
          <w:lang w:val="fr-CH"/>
        </w:rPr>
      </w:pPr>
      <w:r>
        <w:rPr>
          <w:rFonts w:hint="cs"/>
          <w:rtl/>
          <w:lang w:val="fr-CH"/>
        </w:rPr>
        <w:t>(أ)</w:t>
      </w:r>
      <w:r>
        <w:rPr>
          <w:rFonts w:hint="cs"/>
          <w:rtl/>
          <w:lang w:val="fr-CH"/>
        </w:rPr>
        <w:tab/>
        <w:t>إجراء استعراض مرحلي بعد عام من التنفيذ؛</w:t>
      </w:r>
    </w:p>
    <w:p w:rsidR="00A84D36" w:rsidRDefault="00A84D36" w:rsidP="00CE161C">
      <w:pPr>
        <w:pStyle w:val="NormalParaAR"/>
        <w:rPr>
          <w:rFonts w:hint="cs"/>
          <w:rtl/>
          <w:lang w:val="fr-CH"/>
        </w:rPr>
      </w:pPr>
      <w:r>
        <w:rPr>
          <w:rFonts w:hint="cs"/>
          <w:rtl/>
          <w:lang w:val="fr-CH"/>
        </w:rPr>
        <w:t>(2)</w:t>
      </w:r>
      <w:r>
        <w:rPr>
          <w:rFonts w:hint="cs"/>
          <w:rtl/>
          <w:lang w:val="fr-CH"/>
        </w:rPr>
        <w:tab/>
        <w:t>وإجراء تقييم بعد استكمال المشروع وفحص النتائج.</w:t>
      </w:r>
    </w:p>
    <w:p w:rsidR="00EB2C24" w:rsidRPr="00790EB2" w:rsidRDefault="00A84D36" w:rsidP="00790EB2">
      <w:pPr>
        <w:pStyle w:val="NormalParaAR"/>
        <w:keepNext/>
        <w:spacing w:before="240"/>
        <w:rPr>
          <w:rFonts w:hint="cs"/>
          <w:b/>
          <w:bCs/>
          <w:rtl/>
        </w:rPr>
      </w:pPr>
      <w:r w:rsidRPr="00790EB2">
        <w:rPr>
          <w:rFonts w:hint="cs"/>
          <w:b/>
          <w:bCs/>
          <w:rtl/>
        </w:rPr>
        <w:t>(2)</w:t>
      </w:r>
      <w:r w:rsidRPr="00790EB2">
        <w:rPr>
          <w:rFonts w:hint="cs"/>
          <w:b/>
          <w:bCs/>
          <w:rtl/>
        </w:rPr>
        <w:tab/>
        <w:t>التقييم الذاتي للمشروع</w:t>
      </w:r>
    </w:p>
    <w:p w:rsidR="00847892" w:rsidRDefault="00A84D36" w:rsidP="00CE161C">
      <w:pPr>
        <w:pStyle w:val="NormalParaAR"/>
        <w:rPr>
          <w:rFonts w:hint="cs"/>
          <w:rtl/>
          <w:lang w:val="fr-CH"/>
        </w:rPr>
      </w:pPr>
      <w:r>
        <w:rPr>
          <w:rFonts w:hint="cs"/>
          <w:rtl/>
          <w:lang w:val="fr-CH"/>
        </w:rPr>
        <w:t>يحدّد لاحقا بالتشاور مع أمانة الويبو.</w:t>
      </w:r>
    </w:p>
    <w:p w:rsidR="00790EB2" w:rsidRDefault="00790EB2" w:rsidP="00CE161C">
      <w:pPr>
        <w:pStyle w:val="NormalParaAR"/>
        <w:rPr>
          <w:rFonts w:hint="cs"/>
          <w:rtl/>
          <w:lang w:val="fr-CH"/>
        </w:rPr>
      </w:pPr>
    </w:p>
    <w:p w:rsidR="00790EB2" w:rsidRPr="00CE161C" w:rsidRDefault="00790EB2" w:rsidP="00790EB2">
      <w:pPr>
        <w:pStyle w:val="EndofDocumentAR"/>
        <w:rPr>
          <w:lang w:val="fr-CH"/>
        </w:rPr>
      </w:pPr>
      <w:r>
        <w:rPr>
          <w:rFonts w:hint="cs"/>
          <w:rtl/>
          <w:lang w:val="fr-CH"/>
        </w:rPr>
        <w:t>[نهاية المرفق والوثيقة]</w:t>
      </w:r>
    </w:p>
    <w:sectPr w:rsidR="00790EB2" w:rsidRPr="00CE161C" w:rsidSect="002026F5">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B8" w:rsidRDefault="00113DB8">
      <w:r>
        <w:separator/>
      </w:r>
    </w:p>
  </w:endnote>
  <w:endnote w:type="continuationSeparator" w:id="0">
    <w:p w:rsidR="00113DB8" w:rsidRDefault="0011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B8" w:rsidRDefault="00113DB8" w:rsidP="009622BF">
      <w:pPr>
        <w:bidi/>
      </w:pPr>
      <w:bookmarkStart w:id="0" w:name="OLE_LINK1"/>
      <w:bookmarkStart w:id="1" w:name="OLE_LINK2"/>
      <w:r>
        <w:separator/>
      </w:r>
      <w:bookmarkEnd w:id="0"/>
      <w:bookmarkEnd w:id="1"/>
    </w:p>
  </w:footnote>
  <w:footnote w:type="continuationSeparator" w:id="0">
    <w:p w:rsidR="00113DB8" w:rsidRDefault="00113DB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B8" w:rsidRDefault="00113DB8" w:rsidP="00095058">
    <w:proofErr w:type="spellStart"/>
    <w:r>
      <w:rPr>
        <w:lang w:val="fr-CH"/>
      </w:rPr>
      <w:t>CDIP</w:t>
    </w:r>
    <w:proofErr w:type="spellEnd"/>
    <w:r>
      <w:t>/11/7</w:t>
    </w:r>
  </w:p>
  <w:p w:rsidR="00113DB8" w:rsidRDefault="00113DB8" w:rsidP="00D61541">
    <w:r>
      <w:fldChar w:fldCharType="begin"/>
    </w:r>
    <w:r>
      <w:instrText xml:space="preserve"> PAGE  \* MERGEFORMAT </w:instrText>
    </w:r>
    <w:r>
      <w:fldChar w:fldCharType="separate"/>
    </w:r>
    <w:r w:rsidR="00044795">
      <w:rPr>
        <w:noProof/>
      </w:rPr>
      <w:t>4</w:t>
    </w:r>
    <w:r>
      <w:fldChar w:fldCharType="end"/>
    </w:r>
  </w:p>
  <w:p w:rsidR="00113DB8" w:rsidRDefault="00113DB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B8" w:rsidRDefault="00113DB8" w:rsidP="00095058">
    <w:proofErr w:type="spellStart"/>
    <w:r>
      <w:rPr>
        <w:lang w:val="fr-CH"/>
      </w:rPr>
      <w:t>CDIP</w:t>
    </w:r>
    <w:proofErr w:type="spellEnd"/>
    <w:r>
      <w:t>/11/7</w:t>
    </w:r>
  </w:p>
  <w:p w:rsidR="00113DB8" w:rsidRDefault="00113DB8" w:rsidP="00095058">
    <w:r>
      <w:t>Annex</w:t>
    </w:r>
  </w:p>
  <w:p w:rsidR="00113DB8" w:rsidRDefault="00113DB8" w:rsidP="00D61541">
    <w:r>
      <w:fldChar w:fldCharType="begin"/>
    </w:r>
    <w:r>
      <w:instrText xml:space="preserve"> PAGE  \* MERGEFORMAT </w:instrText>
    </w:r>
    <w:r>
      <w:fldChar w:fldCharType="separate"/>
    </w:r>
    <w:r w:rsidR="00044795">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B8" w:rsidRDefault="00113DB8" w:rsidP="00B918E7">
    <w:proofErr w:type="spellStart"/>
    <w:r>
      <w:rPr>
        <w:lang w:val="fr-CH"/>
      </w:rPr>
      <w:t>CDIP</w:t>
    </w:r>
    <w:proofErr w:type="spellEnd"/>
    <w:r>
      <w:t>/11/7</w:t>
    </w:r>
  </w:p>
  <w:p w:rsidR="00113DB8" w:rsidRDefault="00113DB8" w:rsidP="00B918E7">
    <w:r>
      <w:t>ANNEX</w:t>
    </w:r>
  </w:p>
  <w:p w:rsidR="00113DB8" w:rsidRPr="00B918E7" w:rsidRDefault="00113DB8" w:rsidP="00B918E7">
    <w:pPr>
      <w:rPr>
        <w:rFonts w:ascii="Arabic Typesetting" w:hAnsi="Arabic Typesetting" w:cs="Arabic Typesetting"/>
        <w:sz w:val="36"/>
        <w:szCs w:val="36"/>
      </w:rPr>
    </w:pPr>
    <w:r w:rsidRPr="00B918E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58"/>
    <w:rsid w:val="00002CBE"/>
    <w:rsid w:val="00003232"/>
    <w:rsid w:val="000033DA"/>
    <w:rsid w:val="0000579F"/>
    <w:rsid w:val="000074D1"/>
    <w:rsid w:val="000076BD"/>
    <w:rsid w:val="00007C6C"/>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795"/>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162"/>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058"/>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2C8"/>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3DB8"/>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6F5"/>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156"/>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F7F"/>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148"/>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3A8"/>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12F9"/>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283"/>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8E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EB2"/>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89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32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3E65"/>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36"/>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A05"/>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413"/>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8E7"/>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923"/>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8AA"/>
    <w:rsid w:val="00C548DB"/>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3EAC"/>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27F14"/>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C24"/>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B81"/>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3795-9CFF-4F59-82FD-C5D8BA46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CDIP_11_AR.dot</Template>
  <TotalTime>80</TotalTime>
  <Pages>5</Pages>
  <Words>773</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CDIP/11/7 (Arabic)</vt:lpstr>
    </vt:vector>
  </TitlesOfParts>
  <Company>World Intellectual Property Organization</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CDIP/11/7 (Arabic)</dc:title>
  <dc:subject>اقتراح مشروع من جمهورية كوريا حول الملكية الفكرية وإبداع التصاميم لتطوير الأعمال في البلدان النامية والبلدان الأقل نموا</dc:subject>
  <dc:creator/>
  <cp:lastModifiedBy>AHMIDOUCH Noureddine</cp:lastModifiedBy>
  <cp:revision>27</cp:revision>
  <cp:lastPrinted>2013-04-15T14:43:00Z</cp:lastPrinted>
  <dcterms:created xsi:type="dcterms:W3CDTF">2013-04-15T13:00:00Z</dcterms:created>
  <dcterms:modified xsi:type="dcterms:W3CDTF">2013-04-15T14:45:00Z</dcterms:modified>
</cp:coreProperties>
</file>