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C4" w:rsidRPr="00637787" w:rsidRDefault="007964C4" w:rsidP="007964C4">
      <w:pPr>
        <w:spacing w:after="120"/>
        <w:jc w:val="right"/>
        <w:rPr>
          <w:lang w:val="fr-FR"/>
        </w:rPr>
      </w:pPr>
      <w:bookmarkStart w:id="0" w:name="TitleOfDoc"/>
      <w:r w:rsidRPr="00637787">
        <w:rPr>
          <w:noProof/>
          <w:lang w:eastAsia="en-US"/>
        </w:rPr>
        <w:drawing>
          <wp:inline distT="0" distB="0" distL="0" distR="0" wp14:anchorId="65C636DD" wp14:editId="0033A2B7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C4" w:rsidRPr="00637787" w:rsidRDefault="007964C4" w:rsidP="007964C4">
      <w:pPr>
        <w:jc w:val="right"/>
        <w:rPr>
          <w:rFonts w:ascii="Arial Black" w:hAnsi="Arial Black"/>
          <w:caps/>
          <w:sz w:val="15"/>
          <w:lang w:val="fr-FR"/>
        </w:rPr>
      </w:pPr>
      <w:r w:rsidRPr="00637787">
        <w:rPr>
          <w:rFonts w:ascii="Arial Black" w:hAnsi="Arial Black"/>
          <w:caps/>
          <w:sz w:val="15"/>
          <w:lang w:val="fr-FR"/>
        </w:rPr>
        <w:t>MM/LD/WG/18/</w:t>
      </w:r>
      <w:bookmarkStart w:id="1" w:name="Code"/>
      <w:bookmarkEnd w:id="1"/>
      <w:r w:rsidRPr="00637787">
        <w:rPr>
          <w:rFonts w:ascii="Arial Black" w:hAnsi="Arial Black"/>
          <w:caps/>
          <w:sz w:val="15"/>
          <w:lang w:val="fr-FR"/>
        </w:rPr>
        <w:t>7</w:t>
      </w:r>
    </w:p>
    <w:p w:rsidR="007964C4" w:rsidRPr="00637787" w:rsidRDefault="007964C4" w:rsidP="007964C4">
      <w:pPr>
        <w:jc w:val="right"/>
        <w:rPr>
          <w:lang w:val="fr-FR"/>
        </w:rPr>
      </w:pPr>
      <w:r w:rsidRPr="00637787">
        <w:rPr>
          <w:rFonts w:ascii="Arial Black" w:hAnsi="Arial Black"/>
          <w:caps/>
          <w:sz w:val="15"/>
          <w:lang w:val="fr-FR"/>
        </w:rPr>
        <w:t>ORIGINAL</w:t>
      </w:r>
      <w:r w:rsidR="00E22BEA">
        <w:rPr>
          <w:rFonts w:ascii="Arial Black" w:hAnsi="Arial Black"/>
          <w:caps/>
          <w:sz w:val="15"/>
          <w:lang w:val="fr-FR"/>
        </w:rPr>
        <w:t> :</w:t>
      </w:r>
      <w:r w:rsidRPr="00637787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Pr="00637787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7964C4" w:rsidRPr="00637787" w:rsidRDefault="007964C4" w:rsidP="007964C4">
      <w:pPr>
        <w:spacing w:after="1200"/>
        <w:jc w:val="right"/>
        <w:rPr>
          <w:lang w:val="fr-FR"/>
        </w:rPr>
      </w:pPr>
      <w:r w:rsidRPr="00637787">
        <w:rPr>
          <w:rFonts w:ascii="Arial Black" w:hAnsi="Arial Black"/>
          <w:caps/>
          <w:sz w:val="15"/>
          <w:lang w:val="fr-FR"/>
        </w:rPr>
        <w:t>DATE</w:t>
      </w:r>
      <w:r w:rsidR="00E22BEA">
        <w:rPr>
          <w:rFonts w:ascii="Arial Black" w:hAnsi="Arial Black"/>
          <w:caps/>
          <w:sz w:val="15"/>
          <w:lang w:val="fr-FR"/>
        </w:rPr>
        <w:t> :</w:t>
      </w:r>
      <w:r w:rsidRPr="00637787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Pr="00637787">
        <w:rPr>
          <w:rFonts w:ascii="Arial Black" w:hAnsi="Arial Black"/>
          <w:caps/>
          <w:sz w:val="15"/>
          <w:lang w:val="fr-FR"/>
        </w:rPr>
        <w:t>13 août 2020</w:t>
      </w:r>
    </w:p>
    <w:bookmarkEnd w:id="3"/>
    <w:p w:rsidR="007964C4" w:rsidRPr="00637787" w:rsidRDefault="007964C4" w:rsidP="007964C4">
      <w:pPr>
        <w:pStyle w:val="Heading1"/>
        <w:spacing w:before="0" w:after="480"/>
        <w:rPr>
          <w:lang w:val="fr-FR"/>
        </w:rPr>
      </w:pPr>
      <w:r w:rsidRPr="00637787">
        <w:rPr>
          <w:caps w:val="0"/>
          <w:sz w:val="28"/>
          <w:szCs w:val="28"/>
          <w:lang w:val="fr-FR"/>
        </w:rPr>
        <w:t>Groupe de travail sur le développement juridique du système de</w:t>
      </w:r>
      <w:r w:rsidRPr="00637787">
        <w:rPr>
          <w:sz w:val="28"/>
          <w:szCs w:val="28"/>
          <w:lang w:val="fr-FR"/>
        </w:rPr>
        <w:t> </w:t>
      </w:r>
      <w:r w:rsidRPr="00637787">
        <w:rPr>
          <w:caps w:val="0"/>
          <w:sz w:val="28"/>
          <w:szCs w:val="28"/>
          <w:lang w:val="fr-FR"/>
        </w:rPr>
        <w:t>Madrid concernant l</w:t>
      </w:r>
      <w:r w:rsidR="00E22BEA">
        <w:rPr>
          <w:caps w:val="0"/>
          <w:sz w:val="28"/>
          <w:szCs w:val="28"/>
          <w:lang w:val="fr-FR"/>
        </w:rPr>
        <w:t>’</w:t>
      </w:r>
      <w:r w:rsidRPr="00637787">
        <w:rPr>
          <w:caps w:val="0"/>
          <w:sz w:val="28"/>
          <w:szCs w:val="28"/>
          <w:lang w:val="fr-FR"/>
        </w:rPr>
        <w:t>enregistrement international des marques</w:t>
      </w:r>
    </w:p>
    <w:p w:rsidR="007964C4" w:rsidRPr="00637787" w:rsidRDefault="007964C4" w:rsidP="007964C4">
      <w:pPr>
        <w:outlineLvl w:val="1"/>
        <w:rPr>
          <w:b/>
          <w:sz w:val="24"/>
          <w:szCs w:val="24"/>
          <w:lang w:val="fr-FR"/>
        </w:rPr>
      </w:pPr>
      <w:r w:rsidRPr="00637787">
        <w:rPr>
          <w:b/>
          <w:sz w:val="24"/>
          <w:szCs w:val="24"/>
          <w:lang w:val="fr-FR"/>
        </w:rPr>
        <w:t>Dix</w:t>
      </w:r>
      <w:r w:rsidR="00E22BEA">
        <w:rPr>
          <w:b/>
          <w:sz w:val="24"/>
          <w:szCs w:val="24"/>
          <w:lang w:val="fr-FR"/>
        </w:rPr>
        <w:t>-</w:t>
      </w:r>
      <w:r w:rsidRPr="00637787">
        <w:rPr>
          <w:b/>
          <w:sz w:val="24"/>
          <w:szCs w:val="24"/>
          <w:lang w:val="fr-FR"/>
        </w:rPr>
        <w:t>huit</w:t>
      </w:r>
      <w:r w:rsidR="00E22BEA">
        <w:rPr>
          <w:b/>
          <w:sz w:val="24"/>
          <w:szCs w:val="24"/>
          <w:lang w:val="fr-FR"/>
        </w:rPr>
        <w:t>ième session</w:t>
      </w:r>
    </w:p>
    <w:p w:rsidR="007964C4" w:rsidRPr="00637787" w:rsidRDefault="007964C4" w:rsidP="007964C4">
      <w:pPr>
        <w:spacing w:after="960"/>
        <w:outlineLvl w:val="1"/>
        <w:rPr>
          <w:b/>
          <w:sz w:val="24"/>
          <w:szCs w:val="24"/>
          <w:lang w:val="fr-FR"/>
        </w:rPr>
      </w:pPr>
      <w:r w:rsidRPr="00637787">
        <w:rPr>
          <w:b/>
          <w:sz w:val="24"/>
          <w:szCs w:val="24"/>
          <w:lang w:val="fr-FR"/>
        </w:rPr>
        <w:t>Genève, 12 – 1</w:t>
      </w:r>
      <w:r w:rsidR="00E22BEA" w:rsidRPr="00637787">
        <w:rPr>
          <w:b/>
          <w:sz w:val="24"/>
          <w:szCs w:val="24"/>
          <w:lang w:val="fr-FR"/>
        </w:rPr>
        <w:t>6</w:t>
      </w:r>
      <w:r w:rsidR="00E22BEA">
        <w:rPr>
          <w:b/>
          <w:sz w:val="24"/>
          <w:szCs w:val="24"/>
          <w:lang w:val="fr-FR"/>
        </w:rPr>
        <w:t> </w:t>
      </w:r>
      <w:r w:rsidR="00E22BEA" w:rsidRPr="00637787">
        <w:rPr>
          <w:b/>
          <w:sz w:val="24"/>
          <w:szCs w:val="24"/>
          <w:lang w:val="fr-FR"/>
        </w:rPr>
        <w:t>octobre</w:t>
      </w:r>
      <w:r w:rsidR="00E22BEA">
        <w:rPr>
          <w:b/>
          <w:sz w:val="24"/>
          <w:szCs w:val="24"/>
          <w:lang w:val="fr-FR"/>
        </w:rPr>
        <w:t> </w:t>
      </w:r>
      <w:r w:rsidR="00E22BEA" w:rsidRPr="00637787">
        <w:rPr>
          <w:b/>
          <w:sz w:val="24"/>
          <w:szCs w:val="24"/>
          <w:lang w:val="fr-FR"/>
        </w:rPr>
        <w:t>20</w:t>
      </w:r>
      <w:r w:rsidRPr="00637787">
        <w:rPr>
          <w:b/>
          <w:sz w:val="24"/>
          <w:szCs w:val="24"/>
          <w:lang w:val="fr-FR"/>
        </w:rPr>
        <w:t>20</w:t>
      </w:r>
    </w:p>
    <w:p w:rsidR="007964C4" w:rsidRPr="00637787" w:rsidRDefault="007964C4" w:rsidP="007964C4">
      <w:pPr>
        <w:spacing w:after="360"/>
        <w:rPr>
          <w:caps/>
          <w:sz w:val="24"/>
          <w:lang w:val="fr-FR"/>
        </w:rPr>
      </w:pPr>
      <w:r w:rsidRPr="00637787">
        <w:rPr>
          <w:caps/>
          <w:sz w:val="24"/>
          <w:lang w:val="fr-FR"/>
        </w:rPr>
        <w:t>D</w:t>
      </w:r>
      <w:r w:rsidR="00075A72">
        <w:rPr>
          <w:caps/>
          <w:sz w:val="24"/>
          <w:lang w:val="fr-FR"/>
        </w:rPr>
        <w:t>É</w:t>
      </w:r>
      <w:r w:rsidRPr="00637787">
        <w:rPr>
          <w:caps/>
          <w:sz w:val="24"/>
          <w:lang w:val="fr-FR"/>
        </w:rPr>
        <w:t>pendance</w:t>
      </w:r>
    </w:p>
    <w:p w:rsidR="007964C4" w:rsidRPr="00637787" w:rsidRDefault="00973707" w:rsidP="007964C4">
      <w:pPr>
        <w:spacing w:after="1040"/>
        <w:rPr>
          <w:i/>
          <w:lang w:val="fr-FR"/>
        </w:rPr>
      </w:pPr>
      <w:r>
        <w:rPr>
          <w:i/>
          <w:lang w:val="fr-FR"/>
        </w:rPr>
        <w:t xml:space="preserve">Document </w:t>
      </w:r>
      <w:r w:rsidR="007964C4" w:rsidRPr="00637787">
        <w:rPr>
          <w:i/>
          <w:lang w:val="fr-FR"/>
        </w:rPr>
        <w:t>é</w:t>
      </w:r>
      <w:r>
        <w:rPr>
          <w:i/>
          <w:lang w:val="fr-FR"/>
        </w:rPr>
        <w:t>tabli</w:t>
      </w:r>
      <w:bookmarkStart w:id="4" w:name="_GoBack"/>
      <w:bookmarkEnd w:id="4"/>
      <w:r w:rsidR="007964C4" w:rsidRPr="00637787">
        <w:rPr>
          <w:i/>
          <w:lang w:val="fr-FR"/>
        </w:rPr>
        <w:t xml:space="preserve"> par le Bureau international</w:t>
      </w:r>
    </w:p>
    <w:p w:rsidR="00412E85" w:rsidRPr="00637787" w:rsidRDefault="007964C4" w:rsidP="007964C4">
      <w:pPr>
        <w:pStyle w:val="Heading1"/>
        <w:rPr>
          <w:lang w:val="fr-FR"/>
        </w:rPr>
      </w:pPr>
      <w:bookmarkStart w:id="5" w:name="Prepared"/>
      <w:bookmarkEnd w:id="0"/>
      <w:r w:rsidRPr="00637787">
        <w:rPr>
          <w:lang w:val="fr-FR"/>
        </w:rPr>
        <w:t>Introduction</w:t>
      </w:r>
    </w:p>
    <w:p w:rsidR="00E22BEA" w:rsidRDefault="00296606" w:rsidP="007964C4">
      <w:pPr>
        <w:pStyle w:val="ONUMFS"/>
        <w:rPr>
          <w:lang w:val="fr-FR"/>
        </w:rPr>
      </w:pPr>
      <w:r w:rsidRPr="00637787">
        <w:rPr>
          <w:lang w:val="fr-FR"/>
        </w:rPr>
        <w:t>À sa dix</w:t>
      </w:r>
      <w:r w:rsidR="00E22BEA">
        <w:rPr>
          <w:lang w:val="fr-FR"/>
        </w:rPr>
        <w:t>-</w:t>
      </w:r>
      <w:r w:rsidRPr="00637787">
        <w:rPr>
          <w:lang w:val="fr-FR"/>
        </w:rPr>
        <w:t>sept</w:t>
      </w:r>
      <w:r w:rsidR="00E22BEA">
        <w:rPr>
          <w:lang w:val="fr-FR"/>
        </w:rPr>
        <w:t>ième session</w:t>
      </w:r>
      <w:r w:rsidRPr="00637787">
        <w:rPr>
          <w:lang w:val="fr-FR"/>
        </w:rPr>
        <w:t xml:space="preserve"> tenue à </w:t>
      </w:r>
      <w:r w:rsidR="00412E85" w:rsidRPr="00637787">
        <w:rPr>
          <w:lang w:val="fr-FR"/>
        </w:rPr>
        <w:t>Gen</w:t>
      </w:r>
      <w:r w:rsidRPr="00637787">
        <w:rPr>
          <w:lang w:val="fr-FR"/>
        </w:rPr>
        <w:t>ève du 22 au 26 juillet</w:t>
      </w:r>
      <w:r w:rsidR="00412E85" w:rsidRPr="00637787">
        <w:rPr>
          <w:lang w:val="fr-FR"/>
        </w:rPr>
        <w:t xml:space="preserve"> 2019, </w:t>
      </w:r>
      <w:r w:rsidRPr="00637787">
        <w:rPr>
          <w:lang w:val="fr-FR"/>
        </w:rPr>
        <w:t xml:space="preserve">le </w:t>
      </w:r>
      <w:r w:rsidR="00412E85" w:rsidRPr="00637787">
        <w:rPr>
          <w:lang w:val="fr-FR"/>
        </w:rPr>
        <w:t>Group</w:t>
      </w:r>
      <w:r w:rsidRPr="00637787">
        <w:rPr>
          <w:lang w:val="fr-FR"/>
        </w:rPr>
        <w:t xml:space="preserve">e de travail sur le développement juridique </w:t>
      </w:r>
      <w:r w:rsidR="00FF4BBC" w:rsidRPr="00637787">
        <w:rPr>
          <w:lang w:val="fr-FR"/>
        </w:rPr>
        <w:t xml:space="preserve">du système de </w:t>
      </w:r>
      <w:r w:rsidR="00412E85" w:rsidRPr="00637787">
        <w:rPr>
          <w:lang w:val="fr-FR"/>
        </w:rPr>
        <w:t xml:space="preserve">Madrid </w:t>
      </w:r>
      <w:r w:rsidR="00FF4BBC" w:rsidRPr="00637787">
        <w:rPr>
          <w:lang w:val="fr-FR"/>
        </w:rPr>
        <w:t>concernant l</w:t>
      </w:r>
      <w:r w:rsidR="00E22BEA">
        <w:rPr>
          <w:lang w:val="fr-FR"/>
        </w:rPr>
        <w:t>’</w:t>
      </w:r>
      <w:r w:rsidR="00FF4BBC" w:rsidRPr="00637787">
        <w:rPr>
          <w:lang w:val="fr-FR"/>
        </w:rPr>
        <w:t>enregistrement i</w:t>
      </w:r>
      <w:r w:rsidR="00412E85" w:rsidRPr="00637787">
        <w:rPr>
          <w:lang w:val="fr-FR"/>
        </w:rPr>
        <w:t xml:space="preserve">nternational </w:t>
      </w:r>
      <w:r w:rsidR="00FF4BBC" w:rsidRPr="00637787">
        <w:rPr>
          <w:lang w:val="fr-FR"/>
        </w:rPr>
        <w:t>des marques</w:t>
      </w:r>
      <w:r w:rsidR="00412E85" w:rsidRPr="00637787">
        <w:rPr>
          <w:lang w:val="fr-FR"/>
        </w:rPr>
        <w:t xml:space="preserve"> (</w:t>
      </w:r>
      <w:r w:rsidR="00FF4BBC" w:rsidRPr="00637787">
        <w:rPr>
          <w:lang w:val="fr-FR"/>
        </w:rPr>
        <w:t>ci</w:t>
      </w:r>
      <w:r w:rsidR="00E22BEA">
        <w:rPr>
          <w:lang w:val="fr-FR"/>
        </w:rPr>
        <w:t>-</w:t>
      </w:r>
      <w:r w:rsidR="00FF4BBC" w:rsidRPr="00637787">
        <w:rPr>
          <w:lang w:val="fr-FR"/>
        </w:rPr>
        <w:t xml:space="preserve">après dénommé </w:t>
      </w:r>
      <w:r w:rsidR="00412E85" w:rsidRPr="00637787">
        <w:rPr>
          <w:lang w:val="fr-FR"/>
        </w:rPr>
        <w:t>“</w:t>
      </w:r>
      <w:r w:rsidR="00FF4BBC" w:rsidRPr="00637787">
        <w:rPr>
          <w:lang w:val="fr-FR"/>
        </w:rPr>
        <w:t>groupe de travail</w:t>
      </w:r>
      <w:r w:rsidR="00412E85" w:rsidRPr="00637787">
        <w:rPr>
          <w:lang w:val="fr-FR"/>
        </w:rPr>
        <w:t xml:space="preserve">”) </w:t>
      </w:r>
      <w:r w:rsidR="00FF4BBC" w:rsidRPr="00637787">
        <w:rPr>
          <w:lang w:val="fr-FR"/>
        </w:rPr>
        <w:t xml:space="preserve">a examiné le </w:t>
      </w:r>
      <w:r w:rsidR="00E22BEA" w:rsidRPr="00637787">
        <w:rPr>
          <w:lang w:val="fr-FR"/>
        </w:rPr>
        <w:t>document</w:t>
      </w:r>
      <w:r w:rsidR="00E22BEA">
        <w:rPr>
          <w:lang w:val="fr-FR"/>
        </w:rPr>
        <w:t xml:space="preserve"> </w:t>
      </w:r>
      <w:r w:rsidR="00E22BEA" w:rsidRPr="00637787">
        <w:rPr>
          <w:lang w:val="fr-FR"/>
        </w:rPr>
        <w:t>MM</w:t>
      </w:r>
      <w:r w:rsidR="00412E85" w:rsidRPr="00637787">
        <w:rPr>
          <w:lang w:val="fr-FR"/>
        </w:rPr>
        <w:t>/LD/WG/17/6</w:t>
      </w:r>
      <w:r w:rsidR="00412E85" w:rsidRPr="00637787">
        <w:rPr>
          <w:rStyle w:val="FootnoteReference"/>
          <w:lang w:val="fr-FR"/>
        </w:rPr>
        <w:footnoteReference w:id="2"/>
      </w:r>
      <w:r w:rsidR="00412E85" w:rsidRPr="00637787">
        <w:rPr>
          <w:lang w:val="fr-FR"/>
        </w:rPr>
        <w:t xml:space="preserve">.  </w:t>
      </w:r>
      <w:r w:rsidR="00FF4BBC" w:rsidRPr="00637787">
        <w:rPr>
          <w:lang w:val="fr-FR"/>
        </w:rPr>
        <w:t>Ce</w:t>
      </w:r>
      <w:r w:rsidR="00E70DD0" w:rsidRPr="00637787">
        <w:rPr>
          <w:lang w:val="fr-FR"/>
        </w:rPr>
        <w:t xml:space="preserve"> </w:t>
      </w:r>
      <w:r w:rsidR="00412E85" w:rsidRPr="00637787">
        <w:rPr>
          <w:lang w:val="fr-FR"/>
        </w:rPr>
        <w:t>document d</w:t>
      </w:r>
      <w:r w:rsidR="00FF4BBC" w:rsidRPr="00637787">
        <w:rPr>
          <w:lang w:val="fr-FR"/>
        </w:rPr>
        <w:t>écrivait</w:t>
      </w:r>
      <w:r w:rsidR="00412E85" w:rsidRPr="00637787">
        <w:rPr>
          <w:lang w:val="fr-FR"/>
        </w:rPr>
        <w:t xml:space="preserve"> </w:t>
      </w:r>
      <w:r w:rsidR="00FF4BBC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histor</w:t>
      </w:r>
      <w:r w:rsidR="00FF4BBC" w:rsidRPr="00637787">
        <w:rPr>
          <w:lang w:val="fr-FR"/>
        </w:rPr>
        <w:t>ique de la dé</w:t>
      </w:r>
      <w:r w:rsidR="00412E85" w:rsidRPr="00637787">
        <w:rPr>
          <w:lang w:val="fr-FR"/>
        </w:rPr>
        <w:t>pend</w:t>
      </w:r>
      <w:r w:rsidR="00FF4BBC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FF4BBC"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FF4BBC" w:rsidRPr="00637787">
        <w:rPr>
          <w:lang w:val="fr-FR"/>
        </w:rPr>
        <w:t xml:space="preserve">résumait les précédentes </w:t>
      </w:r>
      <w:r w:rsidR="002138B2" w:rsidRPr="00637787">
        <w:rPr>
          <w:lang w:val="fr-FR"/>
        </w:rPr>
        <w:t xml:space="preserve">discussions </w:t>
      </w:r>
      <w:r w:rsidR="00FF4BBC" w:rsidRPr="00637787">
        <w:rPr>
          <w:lang w:val="fr-FR"/>
        </w:rPr>
        <w:t xml:space="preserve">du groupe de travail </w:t>
      </w:r>
      <w:r w:rsidR="00412E85" w:rsidRPr="00637787">
        <w:rPr>
          <w:lang w:val="fr-FR"/>
        </w:rPr>
        <w:t>concern</w:t>
      </w:r>
      <w:r w:rsidR="00FF4BBC" w:rsidRPr="00637787">
        <w:rPr>
          <w:lang w:val="fr-FR"/>
        </w:rPr>
        <w:t xml:space="preserve">ant le principe de </w:t>
      </w:r>
      <w:r w:rsidR="00E50333" w:rsidRPr="00637787">
        <w:rPr>
          <w:lang w:val="fr-FR"/>
        </w:rPr>
        <w:t xml:space="preserve">la </w:t>
      </w:r>
      <w:r w:rsidR="00412E85" w:rsidRPr="00637787">
        <w:rPr>
          <w:lang w:val="fr-FR"/>
        </w:rPr>
        <w:t>d</w:t>
      </w:r>
      <w:r w:rsidR="00FF4BBC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FF4BBC" w:rsidRPr="00637787">
        <w:rPr>
          <w:lang w:val="fr-FR"/>
        </w:rPr>
        <w:t>a</w:t>
      </w:r>
      <w:r w:rsidR="00412E85" w:rsidRPr="00637787">
        <w:rPr>
          <w:lang w:val="fr-FR"/>
        </w:rPr>
        <w:t xml:space="preserve">nce </w:t>
      </w:r>
      <w:r w:rsidR="00FF4BBC" w:rsidRPr="00637787">
        <w:rPr>
          <w:lang w:val="fr-FR"/>
        </w:rPr>
        <w:t xml:space="preserve">et énonçait les </w:t>
      </w:r>
      <w:r w:rsidR="00412E85" w:rsidRPr="00637787">
        <w:rPr>
          <w:lang w:val="fr-FR"/>
        </w:rPr>
        <w:t>possib</w:t>
      </w:r>
      <w:r w:rsidR="00FF4BBC" w:rsidRPr="00637787">
        <w:rPr>
          <w:lang w:val="fr-FR"/>
        </w:rPr>
        <w:t xml:space="preserve">ilités relatives à </w:t>
      </w:r>
      <w:r w:rsidR="00E50DA9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E50DA9" w:rsidRPr="00637787">
        <w:rPr>
          <w:lang w:val="fr-FR"/>
        </w:rPr>
        <w:t xml:space="preserve">avenir de la </w:t>
      </w:r>
      <w:r w:rsidR="00412E85" w:rsidRPr="00637787">
        <w:rPr>
          <w:lang w:val="fr-FR"/>
        </w:rPr>
        <w:t>d</w:t>
      </w:r>
      <w:r w:rsidR="00E50DA9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E50DA9" w:rsidRPr="00637787">
        <w:rPr>
          <w:lang w:val="fr-FR"/>
        </w:rPr>
        <w:t>a</w:t>
      </w:r>
      <w:r w:rsidR="00412E85" w:rsidRPr="00637787">
        <w:rPr>
          <w:lang w:val="fr-FR"/>
        </w:rPr>
        <w:t>n</w:t>
      </w:r>
      <w:r w:rsidR="00517715" w:rsidRPr="00637787">
        <w:rPr>
          <w:lang w:val="fr-FR"/>
        </w:rPr>
        <w:t>ce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E50DA9" w:rsidRPr="00637787">
        <w:rPr>
          <w:lang w:val="fr-FR"/>
        </w:rPr>
        <w:t xml:space="preserve"> groupe de travail n</w:t>
      </w:r>
      <w:r w:rsidR="00E22BEA">
        <w:rPr>
          <w:lang w:val="fr-FR"/>
        </w:rPr>
        <w:t>’</w:t>
      </w:r>
      <w:r w:rsidR="00E50DA9" w:rsidRPr="00637787">
        <w:rPr>
          <w:lang w:val="fr-FR"/>
        </w:rPr>
        <w:t xml:space="preserve">avait pas pu parvenir à un </w:t>
      </w:r>
      <w:r w:rsidR="00412E85" w:rsidRPr="00637787">
        <w:rPr>
          <w:lang w:val="fr-FR"/>
        </w:rPr>
        <w:t xml:space="preserve">consensus </w:t>
      </w:r>
      <w:r w:rsidR="00E50DA9" w:rsidRPr="00637787">
        <w:rPr>
          <w:lang w:val="fr-FR"/>
        </w:rPr>
        <w:t>sur lesdites possibilités</w:t>
      </w:r>
      <w:r w:rsidR="00412E85" w:rsidRPr="00637787">
        <w:rPr>
          <w:lang w:val="fr-FR"/>
        </w:rPr>
        <w:t>.</w:t>
      </w:r>
    </w:p>
    <w:p w:rsidR="00E22BEA" w:rsidRDefault="00E50DA9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Le </w:t>
      </w:r>
      <w:r w:rsidR="00B467A9" w:rsidRPr="00637787">
        <w:rPr>
          <w:lang w:val="fr-FR"/>
        </w:rPr>
        <w:t>pr</w:t>
      </w:r>
      <w:r w:rsidRPr="00637787">
        <w:rPr>
          <w:lang w:val="fr-FR"/>
        </w:rPr>
        <w:t>é</w:t>
      </w:r>
      <w:r w:rsidR="00B467A9" w:rsidRPr="00637787">
        <w:rPr>
          <w:lang w:val="fr-FR"/>
        </w:rPr>
        <w:t>sent</w:t>
      </w:r>
      <w:r w:rsidR="00412E85" w:rsidRPr="00637787">
        <w:rPr>
          <w:lang w:val="fr-FR"/>
        </w:rPr>
        <w:t xml:space="preserve"> document, </w:t>
      </w:r>
      <w:r w:rsidRPr="00637787">
        <w:rPr>
          <w:lang w:val="fr-FR"/>
        </w:rPr>
        <w:t>demandé par le g</w:t>
      </w:r>
      <w:r w:rsidR="00412E85" w:rsidRPr="00637787">
        <w:rPr>
          <w:lang w:val="fr-FR"/>
        </w:rPr>
        <w:t>roup</w:t>
      </w:r>
      <w:r w:rsidRPr="00637787">
        <w:rPr>
          <w:lang w:val="fr-FR"/>
        </w:rPr>
        <w:t xml:space="preserve">e de travail à sa précédente </w:t>
      </w:r>
      <w:r w:rsidR="00412E85" w:rsidRPr="00637787">
        <w:rPr>
          <w:lang w:val="fr-FR"/>
        </w:rPr>
        <w:t>session</w:t>
      </w:r>
      <w:r w:rsidR="00412E85" w:rsidRPr="00637787">
        <w:rPr>
          <w:rStyle w:val="FootnoteReference"/>
          <w:i/>
          <w:lang w:val="fr-FR"/>
        </w:rPr>
        <w:footnoteReference w:id="3"/>
      </w:r>
      <w:r w:rsidR="00412E85" w:rsidRPr="00637787">
        <w:rPr>
          <w:lang w:val="fr-FR"/>
        </w:rPr>
        <w:t xml:space="preserve">, </w:t>
      </w:r>
      <w:r w:rsidR="00FD0E29" w:rsidRPr="00637787">
        <w:rPr>
          <w:lang w:val="fr-FR"/>
        </w:rPr>
        <w:t xml:space="preserve">analyse de manière plus approfondie </w:t>
      </w:r>
      <w:r w:rsidRPr="00637787">
        <w:rPr>
          <w:lang w:val="fr-FR"/>
        </w:rPr>
        <w:t xml:space="preserve">la </w:t>
      </w:r>
      <w:r w:rsidR="00412E85" w:rsidRPr="00637787">
        <w:rPr>
          <w:lang w:val="fr-FR"/>
        </w:rPr>
        <w:t>r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 xml:space="preserve">duction </w:t>
      </w:r>
      <w:r w:rsidRPr="00637787">
        <w:rPr>
          <w:lang w:val="fr-FR"/>
        </w:rPr>
        <w:t xml:space="preserve">éventuelle de la période de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FD0E29" w:rsidRPr="00637787">
        <w:rPr>
          <w:lang w:val="fr-FR"/>
        </w:rPr>
        <w:t>de cinq à trois ans</w:t>
      </w:r>
      <w:r w:rsidR="00412E85" w:rsidRPr="00637787">
        <w:rPr>
          <w:lang w:val="fr-FR"/>
        </w:rPr>
        <w:t xml:space="preserve">, </w:t>
      </w:r>
      <w:r w:rsidR="00784235" w:rsidRPr="00637787">
        <w:rPr>
          <w:lang w:val="fr-FR"/>
        </w:rPr>
        <w:t xml:space="preserve">la limitation </w:t>
      </w:r>
      <w:r w:rsidR="00D85EDE" w:rsidRPr="00637787">
        <w:rPr>
          <w:lang w:val="fr-FR"/>
        </w:rPr>
        <w:t>d</w:t>
      </w:r>
      <w:r w:rsidR="00FD0E29" w:rsidRPr="00637787">
        <w:rPr>
          <w:lang w:val="fr-FR"/>
        </w:rPr>
        <w:t>es motifs de cessation des</w:t>
      </w:r>
      <w:r w:rsidR="00412E85" w:rsidRPr="00637787">
        <w:rPr>
          <w:lang w:val="fr-FR"/>
        </w:rPr>
        <w:t xml:space="preserve"> effet</w:t>
      </w:r>
      <w:r w:rsidR="00FD0E29" w:rsidRPr="00637787">
        <w:rPr>
          <w:lang w:val="fr-FR"/>
        </w:rPr>
        <w:t xml:space="preserve">s </w:t>
      </w:r>
      <w:r w:rsidR="008F2D64" w:rsidRPr="00637787">
        <w:rPr>
          <w:lang w:val="fr-FR"/>
        </w:rPr>
        <w:t>de la demande ou de l</w:t>
      </w:r>
      <w:r w:rsidR="00E22BEA">
        <w:rPr>
          <w:lang w:val="fr-FR"/>
        </w:rPr>
        <w:t>’</w:t>
      </w:r>
      <w:r w:rsidR="008F2D64" w:rsidRPr="00637787">
        <w:rPr>
          <w:lang w:val="fr-FR"/>
        </w:rPr>
        <w:t xml:space="preserve">enregistrement de </w:t>
      </w:r>
      <w:r w:rsidR="00412E85" w:rsidRPr="00637787">
        <w:rPr>
          <w:lang w:val="fr-FR"/>
        </w:rPr>
        <w:t>bas</w:t>
      </w:r>
      <w:r w:rsidR="008F2D64" w:rsidRPr="00637787">
        <w:rPr>
          <w:lang w:val="fr-FR"/>
        </w:rPr>
        <w:t>e</w:t>
      </w:r>
      <w:r w:rsidR="00412E85" w:rsidRPr="00637787">
        <w:rPr>
          <w:lang w:val="fr-FR"/>
        </w:rPr>
        <w:t xml:space="preserve"> (</w:t>
      </w:r>
      <w:r w:rsidR="00FD0E29" w:rsidRPr="00637787">
        <w:rPr>
          <w:lang w:val="fr-FR"/>
        </w:rPr>
        <w:t>ci</w:t>
      </w:r>
      <w:r w:rsidR="00E22BEA">
        <w:rPr>
          <w:lang w:val="fr-FR"/>
        </w:rPr>
        <w:t>-</w:t>
      </w:r>
      <w:r w:rsidR="00FD0E29" w:rsidRPr="00637787">
        <w:rPr>
          <w:lang w:val="fr-FR"/>
        </w:rPr>
        <w:t>après dénommé</w:t>
      </w:r>
      <w:r w:rsidR="00E9093A" w:rsidRPr="00637787">
        <w:rPr>
          <w:lang w:val="fr-FR"/>
        </w:rPr>
        <w:t>s</w:t>
      </w:r>
      <w:r w:rsidR="00FD0E29" w:rsidRPr="00637787">
        <w:rPr>
          <w:lang w:val="fr-FR"/>
        </w:rPr>
        <w:t xml:space="preserve"> </w:t>
      </w:r>
      <w:r w:rsidR="00412E85" w:rsidRPr="00637787">
        <w:rPr>
          <w:lang w:val="fr-FR"/>
        </w:rPr>
        <w:t>“</w:t>
      </w:r>
      <w:r w:rsidR="00FD0E29" w:rsidRPr="00637787">
        <w:rPr>
          <w:lang w:val="fr-FR"/>
        </w:rPr>
        <w:t xml:space="preserve">marque de </w:t>
      </w:r>
      <w:r w:rsidR="00412E85" w:rsidRPr="00637787">
        <w:rPr>
          <w:lang w:val="fr-FR"/>
        </w:rPr>
        <w:t>bas</w:t>
      </w:r>
      <w:r w:rsidR="00FD0E29" w:rsidRPr="00637787">
        <w:rPr>
          <w:lang w:val="fr-FR"/>
        </w:rPr>
        <w:t>e</w:t>
      </w:r>
      <w:r w:rsidR="00412E85" w:rsidRPr="00637787">
        <w:rPr>
          <w:lang w:val="fr-FR"/>
        </w:rPr>
        <w:t xml:space="preserve">”) </w:t>
      </w:r>
      <w:r w:rsidR="00FD0E29" w:rsidRPr="00637787">
        <w:rPr>
          <w:lang w:val="fr-FR"/>
        </w:rPr>
        <w:t>entraînant la radiation de l</w:t>
      </w:r>
      <w:r w:rsidR="00E22BEA">
        <w:rPr>
          <w:lang w:val="fr-FR"/>
        </w:rPr>
        <w:t>’</w:t>
      </w:r>
      <w:r w:rsidR="00FD0E29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international, a</w:t>
      </w:r>
      <w:r w:rsidR="00FD0E29" w:rsidRPr="00637787">
        <w:rPr>
          <w:lang w:val="fr-FR"/>
        </w:rPr>
        <w:t>insi que l</w:t>
      </w:r>
      <w:r w:rsidR="00E22BEA">
        <w:rPr>
          <w:lang w:val="fr-FR"/>
        </w:rPr>
        <w:t>’</w:t>
      </w:r>
      <w:r w:rsidR="00FD0E29" w:rsidRPr="00637787">
        <w:rPr>
          <w:lang w:val="fr-FR"/>
        </w:rPr>
        <w:t>é</w:t>
      </w:r>
      <w:r w:rsidR="00412E85" w:rsidRPr="00637787">
        <w:rPr>
          <w:lang w:val="fr-FR"/>
        </w:rPr>
        <w:t xml:space="preserve">limination </w:t>
      </w:r>
      <w:r w:rsidR="00FD0E29" w:rsidRPr="00637787">
        <w:rPr>
          <w:lang w:val="fr-FR"/>
        </w:rPr>
        <w:t>éventuelle de l</w:t>
      </w:r>
      <w:r w:rsidR="00E22BEA">
        <w:rPr>
          <w:lang w:val="fr-FR"/>
        </w:rPr>
        <w:t>’</w:t>
      </w:r>
      <w:r w:rsidR="00FD0E29" w:rsidRPr="00637787">
        <w:rPr>
          <w:lang w:val="fr-FR"/>
        </w:rPr>
        <w:t xml:space="preserve">effet </w:t>
      </w:r>
      <w:r w:rsidR="00412E85" w:rsidRPr="00637787">
        <w:rPr>
          <w:lang w:val="fr-FR"/>
        </w:rPr>
        <w:t>automati</w:t>
      </w:r>
      <w:r w:rsidR="00FD0E29" w:rsidRPr="00637787">
        <w:rPr>
          <w:lang w:val="fr-FR"/>
        </w:rPr>
        <w:t>que de la dé</w:t>
      </w:r>
      <w:r w:rsidR="00412E85" w:rsidRPr="00637787">
        <w:rPr>
          <w:lang w:val="fr-FR"/>
        </w:rPr>
        <w:t>pend</w:t>
      </w:r>
      <w:r w:rsidR="00FD0E29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FD0E29" w:rsidRPr="00637787">
        <w:rPr>
          <w:lang w:val="fr-FR"/>
        </w:rPr>
        <w:t>e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1"/>
        <w:rPr>
          <w:lang w:val="fr-FR"/>
        </w:rPr>
      </w:pPr>
      <w:r w:rsidRPr="00637787">
        <w:rPr>
          <w:lang w:val="fr-FR"/>
        </w:rPr>
        <w:lastRenderedPageBreak/>
        <w:t>Informations recueillies aupr</w:t>
      </w:r>
      <w:r w:rsidR="00075A72">
        <w:rPr>
          <w:lang w:val="fr-FR"/>
        </w:rPr>
        <w:t>È</w:t>
      </w:r>
      <w:r w:rsidRPr="00637787">
        <w:rPr>
          <w:lang w:val="fr-FR"/>
        </w:rPr>
        <w:t>s des utilisateurs concernant la d</w:t>
      </w:r>
      <w:r w:rsidR="00075A72">
        <w:rPr>
          <w:lang w:val="fr-FR"/>
        </w:rPr>
        <w:t>É</w:t>
      </w:r>
      <w:r w:rsidRPr="00637787">
        <w:rPr>
          <w:lang w:val="fr-FR"/>
        </w:rPr>
        <w:t>pendance</w:t>
      </w:r>
    </w:p>
    <w:p w:rsidR="00E22BEA" w:rsidRDefault="00FC29F5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Des études </w:t>
      </w:r>
      <w:r w:rsidR="00121A34" w:rsidRPr="00637787">
        <w:rPr>
          <w:lang w:val="fr-FR"/>
        </w:rPr>
        <w:t>portant s</w:t>
      </w:r>
      <w:r w:rsidRPr="00637787">
        <w:rPr>
          <w:lang w:val="fr-FR"/>
        </w:rPr>
        <w:t>ur 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exp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 xml:space="preserve">rience </w:t>
      </w:r>
      <w:r w:rsidRPr="00637787">
        <w:rPr>
          <w:lang w:val="fr-FR"/>
        </w:rPr>
        <w:t>de plusieurs parties c</w:t>
      </w:r>
      <w:r w:rsidR="00412E85" w:rsidRPr="00637787">
        <w:rPr>
          <w:lang w:val="fr-FR"/>
        </w:rPr>
        <w:t>ontract</w:t>
      </w:r>
      <w:r w:rsidR="002762B3" w:rsidRPr="00637787">
        <w:rPr>
          <w:lang w:val="fr-FR"/>
        </w:rPr>
        <w:t xml:space="preserve">antes </w:t>
      </w:r>
      <w:r w:rsidR="00121A34" w:rsidRPr="00637787">
        <w:rPr>
          <w:lang w:val="fr-FR"/>
        </w:rPr>
        <w:t xml:space="preserve">quand elles adhèrent </w:t>
      </w:r>
      <w:r w:rsidR="002762B3" w:rsidRPr="00637787">
        <w:rPr>
          <w:lang w:val="fr-FR"/>
        </w:rPr>
        <w:t xml:space="preserve">au </w:t>
      </w:r>
      <w:r w:rsidR="00412E85" w:rsidRPr="00637787">
        <w:rPr>
          <w:lang w:val="fr-FR"/>
        </w:rPr>
        <w:t>Protocol</w:t>
      </w:r>
      <w:r w:rsidR="002762B3" w:rsidRPr="00637787">
        <w:rPr>
          <w:lang w:val="fr-FR"/>
        </w:rPr>
        <w:t>e relatif à l</w:t>
      </w:r>
      <w:r w:rsidR="00E22BEA">
        <w:rPr>
          <w:lang w:val="fr-FR"/>
        </w:rPr>
        <w:t>’</w:t>
      </w:r>
      <w:r w:rsidR="001D3EF1">
        <w:rPr>
          <w:lang w:val="fr-FR"/>
        </w:rPr>
        <w:t>A</w:t>
      </w:r>
      <w:r w:rsidR="002762B3" w:rsidRPr="00637787">
        <w:rPr>
          <w:lang w:val="fr-FR"/>
        </w:rPr>
        <w:t xml:space="preserve">rrangement de </w:t>
      </w:r>
      <w:r w:rsidR="00412E85" w:rsidRPr="00637787">
        <w:rPr>
          <w:lang w:val="fr-FR"/>
        </w:rPr>
        <w:t xml:space="preserve">Madrid </w:t>
      </w:r>
      <w:r w:rsidR="002762B3" w:rsidRPr="00637787">
        <w:rPr>
          <w:lang w:val="fr-FR"/>
        </w:rPr>
        <w:t>c</w:t>
      </w:r>
      <w:r w:rsidR="00412E85" w:rsidRPr="00637787">
        <w:rPr>
          <w:lang w:val="fr-FR"/>
        </w:rPr>
        <w:t>oncern</w:t>
      </w:r>
      <w:r w:rsidR="002762B3" w:rsidRPr="00637787">
        <w:rPr>
          <w:lang w:val="fr-FR"/>
        </w:rPr>
        <w:t>ant l</w:t>
      </w:r>
      <w:r w:rsidR="00E22BEA">
        <w:rPr>
          <w:lang w:val="fr-FR"/>
        </w:rPr>
        <w:t>’</w:t>
      </w:r>
      <w:r w:rsidR="002762B3" w:rsidRPr="00637787">
        <w:rPr>
          <w:lang w:val="fr-FR"/>
        </w:rPr>
        <w:t>enregistrement i</w:t>
      </w:r>
      <w:r w:rsidR="00412E85" w:rsidRPr="00637787">
        <w:rPr>
          <w:lang w:val="fr-FR"/>
        </w:rPr>
        <w:t xml:space="preserve">nternational </w:t>
      </w:r>
      <w:r w:rsidR="002762B3" w:rsidRPr="00637787">
        <w:rPr>
          <w:lang w:val="fr-FR"/>
        </w:rPr>
        <w:t>des marques</w:t>
      </w:r>
      <w:r w:rsidR="00412E85" w:rsidRPr="00637787">
        <w:rPr>
          <w:lang w:val="fr-FR"/>
        </w:rPr>
        <w:t xml:space="preserve"> (</w:t>
      </w:r>
      <w:r w:rsidR="00DF381D" w:rsidRPr="00637787">
        <w:rPr>
          <w:lang w:val="fr-FR"/>
        </w:rPr>
        <w:t>ci</w:t>
      </w:r>
      <w:r w:rsidR="00E22BEA">
        <w:rPr>
          <w:lang w:val="fr-FR"/>
        </w:rPr>
        <w:t>-</w:t>
      </w:r>
      <w:r w:rsidR="00DF381D" w:rsidRPr="00637787">
        <w:rPr>
          <w:lang w:val="fr-FR"/>
        </w:rPr>
        <w:t>après dénommé</w:t>
      </w:r>
      <w:r w:rsidR="00412E85" w:rsidRPr="00637787">
        <w:rPr>
          <w:lang w:val="fr-FR"/>
        </w:rPr>
        <w:t xml:space="preserve"> “</w:t>
      </w:r>
      <w:r w:rsidR="00115C17" w:rsidRPr="00637787">
        <w:rPr>
          <w:lang w:val="fr-FR"/>
        </w:rPr>
        <w:t>P</w:t>
      </w:r>
      <w:r w:rsidR="00412E85" w:rsidRPr="00637787">
        <w:rPr>
          <w:lang w:val="fr-FR"/>
        </w:rPr>
        <w:t>rotocol</w:t>
      </w:r>
      <w:r w:rsidR="00DF381D" w:rsidRPr="00637787">
        <w:rPr>
          <w:lang w:val="fr-FR"/>
        </w:rPr>
        <w:t>e</w:t>
      </w:r>
      <w:r w:rsidR="00412E85" w:rsidRPr="00637787">
        <w:rPr>
          <w:lang w:val="fr-FR"/>
        </w:rPr>
        <w:t>”)</w:t>
      </w:r>
      <w:r w:rsidR="00412E85" w:rsidRPr="00637787">
        <w:rPr>
          <w:vertAlign w:val="superscript"/>
          <w:lang w:val="fr-FR"/>
        </w:rPr>
        <w:footnoteReference w:id="4"/>
      </w:r>
      <w:r w:rsidR="00412E85" w:rsidRPr="00637787">
        <w:rPr>
          <w:lang w:val="fr-FR"/>
        </w:rPr>
        <w:t xml:space="preserve"> </w:t>
      </w:r>
      <w:r w:rsidR="00DF381D" w:rsidRPr="00637787">
        <w:rPr>
          <w:lang w:val="fr-FR"/>
        </w:rPr>
        <w:t>ainsi qu</w:t>
      </w:r>
      <w:r w:rsidR="00E22BEA">
        <w:rPr>
          <w:lang w:val="fr-FR"/>
        </w:rPr>
        <w:t>’</w:t>
      </w:r>
      <w:r w:rsidR="00DF381D" w:rsidRPr="00637787">
        <w:rPr>
          <w:lang w:val="fr-FR"/>
        </w:rPr>
        <w:t>une étude menée par le Bureau i</w:t>
      </w:r>
      <w:r w:rsidR="00412E85" w:rsidRPr="00637787">
        <w:rPr>
          <w:lang w:val="fr-FR"/>
        </w:rPr>
        <w:t xml:space="preserve">nternational </w:t>
      </w:r>
      <w:r w:rsidR="00E22BEA" w:rsidRPr="00637787">
        <w:rPr>
          <w:lang w:val="fr-FR"/>
        </w:rPr>
        <w:t>en</w:t>
      </w:r>
      <w:r w:rsidR="00E22BEA">
        <w:rPr>
          <w:lang w:val="fr-FR"/>
        </w:rPr>
        <w:t> </w:t>
      </w:r>
      <w:r w:rsidR="00E22BEA" w:rsidRPr="00637787">
        <w:rPr>
          <w:lang w:val="fr-FR"/>
        </w:rPr>
        <w:t>2015</w:t>
      </w:r>
      <w:r w:rsidR="00412E85" w:rsidRPr="00637787">
        <w:rPr>
          <w:lang w:val="fr-FR"/>
        </w:rPr>
        <w:t xml:space="preserve"> </w:t>
      </w:r>
      <w:r w:rsidR="00F57B00" w:rsidRPr="00637787">
        <w:rPr>
          <w:lang w:val="fr-FR"/>
        </w:rPr>
        <w:t xml:space="preserve">consacrée au </w:t>
      </w:r>
      <w:r w:rsidR="00DF381D" w:rsidRPr="00637787">
        <w:rPr>
          <w:lang w:val="fr-FR"/>
        </w:rPr>
        <w:t xml:space="preserve">principe de </w:t>
      </w:r>
      <w:r w:rsidR="00E50333" w:rsidRPr="00637787">
        <w:rPr>
          <w:lang w:val="fr-FR"/>
        </w:rPr>
        <w:t xml:space="preserve">la </w:t>
      </w:r>
      <w:r w:rsidR="00DF381D" w:rsidRPr="00637787">
        <w:rPr>
          <w:lang w:val="fr-FR"/>
        </w:rPr>
        <w:t>dé</w:t>
      </w:r>
      <w:r w:rsidR="00412E85" w:rsidRPr="00637787">
        <w:rPr>
          <w:lang w:val="fr-FR"/>
        </w:rPr>
        <w:t>pend</w:t>
      </w:r>
      <w:r w:rsidR="00DF381D" w:rsidRPr="00637787">
        <w:rPr>
          <w:lang w:val="fr-FR"/>
        </w:rPr>
        <w:t>a</w:t>
      </w:r>
      <w:r w:rsidR="00412E85" w:rsidRPr="00637787">
        <w:rPr>
          <w:lang w:val="fr-FR"/>
        </w:rPr>
        <w:t>nce</w:t>
      </w:r>
      <w:r w:rsidR="00412E85" w:rsidRPr="00637787">
        <w:rPr>
          <w:vertAlign w:val="superscript"/>
          <w:lang w:val="fr-FR"/>
        </w:rPr>
        <w:footnoteReference w:id="5"/>
      </w:r>
      <w:r w:rsidR="00412E85" w:rsidRPr="00637787">
        <w:rPr>
          <w:lang w:val="fr-FR"/>
        </w:rPr>
        <w:t xml:space="preserve"> </w:t>
      </w:r>
      <w:r w:rsidR="00DF381D" w:rsidRPr="00637787">
        <w:rPr>
          <w:lang w:val="fr-FR"/>
        </w:rPr>
        <w:t xml:space="preserve">font apparaître que la plupart des titulaires de marques perçoivent la </w:t>
      </w:r>
      <w:r w:rsidR="00412E85" w:rsidRPr="00637787">
        <w:rPr>
          <w:lang w:val="fr-FR"/>
        </w:rPr>
        <w:t>d</w:t>
      </w:r>
      <w:r w:rsidR="00DF381D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DF381D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DF381D" w:rsidRPr="00637787">
        <w:rPr>
          <w:lang w:val="fr-FR"/>
        </w:rPr>
        <w:t xml:space="preserve">e comme un inconvénient du système de </w:t>
      </w:r>
      <w:r w:rsidR="00412E85" w:rsidRPr="00637787">
        <w:rPr>
          <w:lang w:val="fr-FR"/>
        </w:rPr>
        <w:t>Madr</w:t>
      </w:r>
      <w:r w:rsidR="00517715" w:rsidRPr="00637787">
        <w:rPr>
          <w:lang w:val="fr-FR"/>
        </w:rPr>
        <w:t>id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5F7EFD" w:rsidRPr="00637787">
        <w:rPr>
          <w:lang w:val="fr-FR"/>
        </w:rPr>
        <w:t>s échanges de l</w:t>
      </w:r>
      <w:r w:rsidR="00E22BEA">
        <w:rPr>
          <w:lang w:val="fr-FR"/>
        </w:rPr>
        <w:t>’</w:t>
      </w:r>
      <w:r w:rsidR="005F7EFD" w:rsidRPr="00637787">
        <w:rPr>
          <w:lang w:val="fr-FR"/>
        </w:rPr>
        <w:t xml:space="preserve">OMPI avec </w:t>
      </w:r>
      <w:r w:rsidR="00121A34" w:rsidRPr="00637787">
        <w:rPr>
          <w:lang w:val="fr-FR"/>
        </w:rPr>
        <w:t>l</w:t>
      </w:r>
      <w:r w:rsidR="005F7EFD" w:rsidRPr="00637787">
        <w:rPr>
          <w:lang w:val="fr-FR"/>
        </w:rPr>
        <w:t>es utilisateurs</w:t>
      </w:r>
      <w:r w:rsidR="00412E85" w:rsidRPr="00637787">
        <w:rPr>
          <w:lang w:val="fr-FR"/>
        </w:rPr>
        <w:t xml:space="preserve"> </w:t>
      </w:r>
      <w:r w:rsidR="005F7EFD" w:rsidRPr="00637787">
        <w:rPr>
          <w:lang w:val="fr-FR"/>
        </w:rPr>
        <w:t>au moyen de di</w:t>
      </w:r>
      <w:r w:rsidR="009F5E71" w:rsidRPr="00637787">
        <w:rPr>
          <w:lang w:val="fr-FR"/>
        </w:rPr>
        <w:t>fférents</w:t>
      </w:r>
      <w:r w:rsidR="005F7EFD" w:rsidRPr="00637787">
        <w:rPr>
          <w:lang w:val="fr-FR"/>
        </w:rPr>
        <w:t xml:space="preserve"> canaux</w:t>
      </w:r>
      <w:r w:rsidR="00F57B00" w:rsidRPr="00637787">
        <w:rPr>
          <w:lang w:val="fr-FR"/>
        </w:rPr>
        <w:t>,</w:t>
      </w:r>
      <w:r w:rsidR="005F7EFD" w:rsidRPr="00637787">
        <w:rPr>
          <w:lang w:val="fr-FR"/>
        </w:rPr>
        <w:t xml:space="preserve"> tels que des </w:t>
      </w:r>
      <w:r w:rsidR="004C6869">
        <w:rPr>
          <w:lang w:val="fr-FR"/>
        </w:rPr>
        <w:t>re</w:t>
      </w:r>
      <w:r w:rsidR="005F7EFD" w:rsidRPr="00637787">
        <w:rPr>
          <w:lang w:val="fr-FR"/>
        </w:rPr>
        <w:t>quêtes, des sé</w:t>
      </w:r>
      <w:r w:rsidR="00412E85" w:rsidRPr="00637787">
        <w:rPr>
          <w:lang w:val="fr-FR"/>
        </w:rPr>
        <w:t>mina</w:t>
      </w:r>
      <w:r w:rsidR="005F7EFD" w:rsidRPr="00637787">
        <w:rPr>
          <w:lang w:val="fr-FR"/>
        </w:rPr>
        <w:t>ires</w:t>
      </w:r>
      <w:r w:rsidR="00412E85" w:rsidRPr="00637787">
        <w:rPr>
          <w:lang w:val="fr-FR"/>
        </w:rPr>
        <w:t xml:space="preserve">, </w:t>
      </w:r>
      <w:r w:rsidR="005F7EFD" w:rsidRPr="00637787">
        <w:rPr>
          <w:lang w:val="fr-FR"/>
        </w:rPr>
        <w:t xml:space="preserve">des </w:t>
      </w:r>
      <w:r w:rsidR="00412E85" w:rsidRPr="00637787">
        <w:rPr>
          <w:lang w:val="fr-FR"/>
        </w:rPr>
        <w:t>webina</w:t>
      </w:r>
      <w:r w:rsidR="005F7EFD" w:rsidRPr="00637787">
        <w:rPr>
          <w:lang w:val="fr-FR"/>
        </w:rPr>
        <w:t xml:space="preserve">ires et des </w:t>
      </w:r>
      <w:r w:rsidR="0075492F" w:rsidRPr="00637787">
        <w:rPr>
          <w:lang w:val="fr-FR"/>
        </w:rPr>
        <w:t>rencontres d</w:t>
      </w:r>
      <w:r w:rsidR="00412E85" w:rsidRPr="00637787">
        <w:rPr>
          <w:lang w:val="fr-FR"/>
        </w:rPr>
        <w:t>irectes</w:t>
      </w:r>
      <w:r w:rsidR="0075492F" w:rsidRPr="00637787">
        <w:rPr>
          <w:lang w:val="fr-FR"/>
        </w:rPr>
        <w:t>,</w:t>
      </w:r>
      <w:r w:rsidR="00412E85" w:rsidRPr="00637787">
        <w:rPr>
          <w:lang w:val="fr-FR"/>
        </w:rPr>
        <w:t xml:space="preserve"> confirm</w:t>
      </w:r>
      <w:r w:rsidR="005F7EFD" w:rsidRPr="00637787">
        <w:rPr>
          <w:lang w:val="fr-FR"/>
        </w:rPr>
        <w:t>ent que des utilisateurs</w:t>
      </w:r>
      <w:r w:rsidR="009A3C44" w:rsidRPr="00637787">
        <w:rPr>
          <w:lang w:val="fr-FR"/>
        </w:rPr>
        <w:t xml:space="preserve">, parmi les membres fondateurs du système de </w:t>
      </w:r>
      <w:r w:rsidR="00412E85" w:rsidRPr="00637787">
        <w:rPr>
          <w:lang w:val="fr-FR"/>
        </w:rPr>
        <w:t xml:space="preserve">Madrid </w:t>
      </w:r>
      <w:r w:rsidR="009A3C44" w:rsidRPr="00637787">
        <w:rPr>
          <w:lang w:val="fr-FR"/>
        </w:rPr>
        <w:t xml:space="preserve">mais aussi </w:t>
      </w:r>
      <w:r w:rsidR="0075492F" w:rsidRPr="00637787">
        <w:rPr>
          <w:lang w:val="fr-FR"/>
        </w:rPr>
        <w:t xml:space="preserve">parmi </w:t>
      </w:r>
      <w:r w:rsidR="009A3C44" w:rsidRPr="00637787">
        <w:rPr>
          <w:lang w:val="fr-FR"/>
        </w:rPr>
        <w:t xml:space="preserve">les membres </w:t>
      </w:r>
      <w:r w:rsidR="0075492F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9A3C44" w:rsidRPr="00637787">
        <w:rPr>
          <w:lang w:val="fr-FR"/>
        </w:rPr>
        <w:t>ayant récemment</w:t>
      </w:r>
      <w:r w:rsidR="0075492F" w:rsidRPr="00637787">
        <w:rPr>
          <w:lang w:val="fr-FR"/>
        </w:rPr>
        <w:t xml:space="preserve"> rejoint</w:t>
      </w:r>
      <w:r w:rsidR="001C2293" w:rsidRPr="00637787">
        <w:rPr>
          <w:lang w:val="fr-FR"/>
        </w:rPr>
        <w:t>,</w:t>
      </w:r>
      <w:r w:rsidR="00412E85" w:rsidRPr="00637787">
        <w:rPr>
          <w:lang w:val="fr-FR"/>
        </w:rPr>
        <w:t xml:space="preserve"> </w:t>
      </w:r>
      <w:r w:rsidR="00C07EC5" w:rsidRPr="00637787">
        <w:rPr>
          <w:lang w:val="fr-FR"/>
        </w:rPr>
        <w:t xml:space="preserve">partagent </w:t>
      </w:r>
      <w:r w:rsidR="009A3C44" w:rsidRPr="00637787">
        <w:rPr>
          <w:lang w:val="fr-FR"/>
        </w:rPr>
        <w:t>cet avis</w:t>
      </w:r>
      <w:r w:rsidR="00412E85" w:rsidRPr="00637787">
        <w:rPr>
          <w:lang w:val="fr-FR"/>
        </w:rPr>
        <w:t>.</w:t>
      </w:r>
    </w:p>
    <w:p w:rsidR="001C2293" w:rsidRPr="00637787" w:rsidRDefault="009A3C44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Des titulaires de marques ont fait part des préoccupations suivantes </w:t>
      </w:r>
      <w:r w:rsidR="00412E85" w:rsidRPr="00637787">
        <w:rPr>
          <w:lang w:val="fr-FR"/>
        </w:rPr>
        <w:t>concern</w:t>
      </w:r>
      <w:r w:rsidRPr="00637787">
        <w:rPr>
          <w:lang w:val="fr-FR"/>
        </w:rPr>
        <w:t xml:space="preserve">ant le principe de </w:t>
      </w:r>
      <w:r w:rsidR="00E50333" w:rsidRPr="00637787">
        <w:rPr>
          <w:lang w:val="fr-FR"/>
        </w:rPr>
        <w:t xml:space="preserve">la </w:t>
      </w:r>
      <w:r w:rsidRPr="00637787">
        <w:rPr>
          <w:lang w:val="fr-FR"/>
        </w:rPr>
        <w:t>dé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nce</w:t>
      </w:r>
      <w:r w:rsidR="00E22BEA">
        <w:rPr>
          <w:lang w:val="fr-FR"/>
        </w:rPr>
        <w:t> :</w:t>
      </w:r>
    </w:p>
    <w:p w:rsidR="001C2293" w:rsidRPr="00637787" w:rsidRDefault="00DD7AA6" w:rsidP="007964C4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637787">
        <w:rPr>
          <w:lang w:val="fr-FR"/>
        </w:rPr>
        <w:t>manque de sécurité juridique</w:t>
      </w:r>
      <w:r w:rsidR="007964C4" w:rsidRPr="00637787">
        <w:rPr>
          <w:lang w:val="fr-FR"/>
        </w:rPr>
        <w:t>;</w:t>
      </w:r>
    </w:p>
    <w:p w:rsidR="001C2293" w:rsidRPr="00637787" w:rsidRDefault="00DD7AA6" w:rsidP="007964C4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637787">
        <w:rPr>
          <w:lang w:val="fr-FR"/>
        </w:rPr>
        <w:t>coûts supplémentaires</w:t>
      </w:r>
      <w:r w:rsidR="007964C4" w:rsidRPr="00637787">
        <w:rPr>
          <w:lang w:val="fr-FR"/>
        </w:rPr>
        <w:t>;</w:t>
      </w:r>
    </w:p>
    <w:p w:rsidR="001C2293" w:rsidRPr="00637787" w:rsidRDefault="00DD7AA6" w:rsidP="007964C4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637787">
        <w:rPr>
          <w:lang w:val="fr-FR"/>
        </w:rPr>
        <w:t>risque élevé de radiation de 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</w:t>
      </w:r>
      <w:r w:rsidR="001C2293" w:rsidRPr="00637787">
        <w:rPr>
          <w:lang w:val="fr-FR"/>
        </w:rPr>
        <w:t xml:space="preserve">international </w:t>
      </w:r>
      <w:r w:rsidR="00DF31AA" w:rsidRPr="00637787">
        <w:rPr>
          <w:lang w:val="fr-FR"/>
        </w:rPr>
        <w:t xml:space="preserve">pour </w:t>
      </w:r>
      <w:r w:rsidR="0066113B" w:rsidRPr="00637787">
        <w:rPr>
          <w:lang w:val="fr-FR"/>
        </w:rPr>
        <w:t>défaut d</w:t>
      </w:r>
      <w:r w:rsidR="00E22BEA">
        <w:rPr>
          <w:lang w:val="fr-FR"/>
        </w:rPr>
        <w:t>’</w:t>
      </w:r>
      <w:r w:rsidR="0066113B" w:rsidRPr="00637787">
        <w:rPr>
          <w:lang w:val="fr-FR"/>
        </w:rPr>
        <w:t>usage</w:t>
      </w:r>
      <w:r w:rsidRPr="00637787">
        <w:rPr>
          <w:lang w:val="fr-FR"/>
        </w:rPr>
        <w:t xml:space="preserve"> de la marque de base</w:t>
      </w:r>
      <w:r w:rsidR="007964C4" w:rsidRPr="00637787">
        <w:rPr>
          <w:lang w:val="fr-FR"/>
        </w:rPr>
        <w:t>;</w:t>
      </w:r>
    </w:p>
    <w:p w:rsidR="001C2293" w:rsidRPr="00637787" w:rsidRDefault="00734C2C" w:rsidP="007964C4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637787">
        <w:rPr>
          <w:lang w:val="fr-FR"/>
        </w:rPr>
        <w:t xml:space="preserve">la marque de base </w:t>
      </w:r>
      <w:r w:rsidR="00DD7AA6" w:rsidRPr="00637787">
        <w:rPr>
          <w:lang w:val="fr-FR"/>
        </w:rPr>
        <w:t>cess</w:t>
      </w:r>
      <w:r w:rsidRPr="00637787">
        <w:rPr>
          <w:lang w:val="fr-FR"/>
        </w:rPr>
        <w:t>e de produire s</w:t>
      </w:r>
      <w:r w:rsidR="00DD7AA6" w:rsidRPr="00637787">
        <w:rPr>
          <w:lang w:val="fr-FR"/>
        </w:rPr>
        <w:t xml:space="preserve">es effets pour des motifs pertinents sur le seul </w:t>
      </w:r>
      <w:r w:rsidR="00B26737" w:rsidRPr="00637787">
        <w:rPr>
          <w:lang w:val="fr-FR"/>
        </w:rPr>
        <w:t xml:space="preserve">marché </w:t>
      </w:r>
      <w:r w:rsidR="001B5143" w:rsidRPr="00637787">
        <w:rPr>
          <w:lang w:val="fr-FR"/>
        </w:rPr>
        <w:t>n</w:t>
      </w:r>
      <w:r w:rsidR="00114E63" w:rsidRPr="00637787">
        <w:rPr>
          <w:lang w:val="fr-FR"/>
        </w:rPr>
        <w:t>ational</w:t>
      </w:r>
      <w:r w:rsidR="008C338E">
        <w:rPr>
          <w:lang w:val="fr-FR"/>
        </w:rPr>
        <w:t xml:space="preserve"> ou régional</w:t>
      </w:r>
      <w:r w:rsidR="001C2293" w:rsidRPr="00637787">
        <w:rPr>
          <w:lang w:val="fr-FR"/>
        </w:rPr>
        <w:t xml:space="preserve">;  </w:t>
      </w:r>
      <w:r w:rsidRPr="00637787">
        <w:rPr>
          <w:lang w:val="fr-FR"/>
        </w:rPr>
        <w:t>et</w:t>
      </w:r>
    </w:p>
    <w:p w:rsidR="00412E85" w:rsidRPr="00637787" w:rsidRDefault="00734C2C" w:rsidP="007964C4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637787">
        <w:rPr>
          <w:lang w:val="fr-FR"/>
        </w:rPr>
        <w:t xml:space="preserve">la </w:t>
      </w:r>
      <w:r w:rsidR="001C2293" w:rsidRPr="00637787">
        <w:rPr>
          <w:lang w:val="fr-FR"/>
        </w:rPr>
        <w:t xml:space="preserve">transformation </w:t>
      </w:r>
      <w:r w:rsidRPr="00637787">
        <w:rPr>
          <w:lang w:val="fr-FR"/>
        </w:rPr>
        <w:t xml:space="preserve">est </w:t>
      </w:r>
      <w:r w:rsidR="00DD7AA6" w:rsidRPr="00637787">
        <w:rPr>
          <w:lang w:val="fr-FR"/>
        </w:rPr>
        <w:t>perçue comme un coût supplémentaire</w:t>
      </w:r>
      <w:r w:rsidR="007964C4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Manque de s</w:t>
      </w:r>
      <w:r w:rsidR="00075A72">
        <w:rPr>
          <w:lang w:val="fr-FR"/>
        </w:rPr>
        <w:t>É</w:t>
      </w:r>
      <w:r w:rsidRPr="00637787">
        <w:rPr>
          <w:lang w:val="fr-FR"/>
        </w:rPr>
        <w:t>curit</w:t>
      </w:r>
      <w:r w:rsidR="00075A72">
        <w:rPr>
          <w:lang w:val="fr-FR"/>
        </w:rPr>
        <w:t>É</w:t>
      </w:r>
      <w:r w:rsidRPr="00637787">
        <w:rPr>
          <w:lang w:val="fr-FR"/>
        </w:rPr>
        <w:t xml:space="preserve"> juridique</w:t>
      </w:r>
    </w:p>
    <w:p w:rsidR="00E22BEA" w:rsidRDefault="00B5676E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La période de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Pr="00637787">
        <w:rPr>
          <w:lang w:val="fr-FR"/>
        </w:rPr>
        <w:t xml:space="preserve">e engendre </w:t>
      </w:r>
      <w:r w:rsidR="006914A9" w:rsidRPr="00637787">
        <w:rPr>
          <w:lang w:val="fr-FR"/>
        </w:rPr>
        <w:t>de l</w:t>
      </w:r>
      <w:r w:rsidR="00E22BEA">
        <w:rPr>
          <w:lang w:val="fr-FR"/>
        </w:rPr>
        <w:t>’</w:t>
      </w:r>
      <w:r w:rsidRPr="00637787">
        <w:rPr>
          <w:lang w:val="fr-FR"/>
        </w:rPr>
        <w:t>i</w:t>
      </w:r>
      <w:r w:rsidR="00412E85" w:rsidRPr="00637787">
        <w:rPr>
          <w:lang w:val="fr-FR"/>
        </w:rPr>
        <w:t>ncerti</w:t>
      </w:r>
      <w:r w:rsidRPr="00637787">
        <w:rPr>
          <w:lang w:val="fr-FR"/>
        </w:rPr>
        <w:t xml:space="preserve">tude et crée un sentiment de vulnérabilité chez les titulaires car les </w:t>
      </w:r>
      <w:r w:rsidR="00412E85" w:rsidRPr="00637787">
        <w:rPr>
          <w:lang w:val="fr-FR"/>
        </w:rPr>
        <w:t xml:space="preserve">effets </w:t>
      </w:r>
      <w:r w:rsidRPr="00637787">
        <w:rPr>
          <w:lang w:val="fr-FR"/>
        </w:rPr>
        <w:t xml:space="preserve">de leurs enregistrements </w:t>
      </w:r>
      <w:r w:rsidR="00412E85" w:rsidRPr="00637787">
        <w:rPr>
          <w:lang w:val="fr-FR"/>
        </w:rPr>
        <w:t>internationa</w:t>
      </w:r>
      <w:r w:rsidRPr="00637787">
        <w:rPr>
          <w:lang w:val="fr-FR"/>
        </w:rPr>
        <w:t xml:space="preserve">ux </w:t>
      </w:r>
      <w:r w:rsidR="00665308" w:rsidRPr="00637787">
        <w:rPr>
          <w:lang w:val="fr-FR"/>
        </w:rPr>
        <w:t>sont susceptibles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être </w:t>
      </w:r>
      <w:r w:rsidR="006914A9" w:rsidRPr="00637787">
        <w:rPr>
          <w:lang w:val="fr-FR"/>
        </w:rPr>
        <w:t>contestés</w:t>
      </w:r>
      <w:r w:rsidRPr="00637787">
        <w:rPr>
          <w:lang w:val="fr-FR"/>
        </w:rPr>
        <w:t xml:space="preserve"> pendant toute </w:t>
      </w:r>
      <w:r w:rsidR="00412E85" w:rsidRPr="00637787">
        <w:rPr>
          <w:lang w:val="fr-FR"/>
        </w:rPr>
        <w:t>l</w:t>
      </w:r>
      <w:r w:rsidRPr="00637787">
        <w:rPr>
          <w:lang w:val="fr-FR"/>
        </w:rPr>
        <w:t xml:space="preserve">a période de dépendance, avec des conséquences </w:t>
      </w:r>
      <w:r w:rsidR="00412E85" w:rsidRPr="00637787">
        <w:rPr>
          <w:lang w:val="fr-FR"/>
        </w:rPr>
        <w:t>n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gative</w:t>
      </w:r>
      <w:r w:rsidRPr="00637787">
        <w:rPr>
          <w:lang w:val="fr-FR"/>
        </w:rPr>
        <w:t xml:space="preserve">s </w:t>
      </w:r>
      <w:r w:rsidR="006914A9" w:rsidRPr="00637787">
        <w:rPr>
          <w:lang w:val="fr-FR"/>
        </w:rPr>
        <w:t xml:space="preserve">dans </w:t>
      </w:r>
      <w:r w:rsidRPr="00637787">
        <w:rPr>
          <w:lang w:val="fr-FR"/>
        </w:rPr>
        <w:t>toutes les parties contractantes désignées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Co</w:t>
      </w:r>
      <w:r w:rsidR="00075A72">
        <w:rPr>
          <w:lang w:val="fr-FR"/>
        </w:rPr>
        <w:t>Û</w:t>
      </w:r>
      <w:r w:rsidRPr="00637787">
        <w:rPr>
          <w:lang w:val="fr-FR"/>
        </w:rPr>
        <w:t>ts supplé</w:t>
      </w:r>
      <w:r w:rsidR="00075A72">
        <w:rPr>
          <w:lang w:val="fr-FR"/>
        </w:rPr>
        <w:t>É</w:t>
      </w:r>
      <w:r w:rsidRPr="00637787">
        <w:rPr>
          <w:lang w:val="fr-FR"/>
        </w:rPr>
        <w:t>mentaires</w:t>
      </w:r>
    </w:p>
    <w:p w:rsidR="00E22BEA" w:rsidRDefault="001B5143" w:rsidP="007964C4">
      <w:pPr>
        <w:pStyle w:val="ONUMFS"/>
        <w:rPr>
          <w:lang w:val="fr-FR"/>
        </w:rPr>
      </w:pPr>
      <w:r w:rsidRPr="00637787">
        <w:rPr>
          <w:lang w:val="fr-FR"/>
        </w:rPr>
        <w:t>Les titulaires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Pr="00637787">
        <w:rPr>
          <w:lang w:val="fr-FR"/>
        </w:rPr>
        <w:t xml:space="preserve">ux sont tenus de </w:t>
      </w:r>
      <w:r w:rsidR="00412E85" w:rsidRPr="00637787">
        <w:rPr>
          <w:lang w:val="fr-FR"/>
        </w:rPr>
        <w:t>maint</w:t>
      </w:r>
      <w:r w:rsidR="00467D01" w:rsidRPr="00637787">
        <w:rPr>
          <w:lang w:val="fr-FR"/>
        </w:rPr>
        <w:t xml:space="preserve">enir </w:t>
      </w:r>
      <w:r w:rsidRPr="00637787">
        <w:rPr>
          <w:lang w:val="fr-FR"/>
        </w:rPr>
        <w:t>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de </w:t>
      </w:r>
      <w:r w:rsidR="00412E85" w:rsidRPr="00637787">
        <w:rPr>
          <w:lang w:val="fr-FR"/>
        </w:rPr>
        <w:t>bas</w:t>
      </w:r>
      <w:r w:rsidRPr="00637787">
        <w:rPr>
          <w:lang w:val="fr-FR"/>
        </w:rPr>
        <w:t>e pendant la période de dé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Pr="00637787">
        <w:rPr>
          <w:lang w:val="fr-FR"/>
        </w:rPr>
        <w:t xml:space="preserve">même si la marque ne </w:t>
      </w:r>
      <w:r w:rsidR="00665308" w:rsidRPr="00637787">
        <w:rPr>
          <w:lang w:val="fr-FR"/>
        </w:rPr>
        <w:t xml:space="preserve">présente </w:t>
      </w:r>
      <w:r w:rsidRPr="00637787">
        <w:rPr>
          <w:lang w:val="fr-FR"/>
        </w:rPr>
        <w:t xml:space="preserve">plus </w:t>
      </w:r>
      <w:r w:rsidR="00665308" w:rsidRPr="00637787">
        <w:rPr>
          <w:lang w:val="fr-FR"/>
        </w:rPr>
        <w:t>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intérêt pour eux sur leur </w:t>
      </w:r>
      <w:r w:rsidR="00412E85" w:rsidRPr="00637787">
        <w:rPr>
          <w:lang w:val="fr-FR"/>
        </w:rPr>
        <w:t>territo</w:t>
      </w:r>
      <w:r w:rsidR="0048436B" w:rsidRPr="00637787">
        <w:rPr>
          <w:lang w:val="fr-FR"/>
        </w:rPr>
        <w:t>ire national</w:t>
      </w:r>
      <w:r w:rsidR="00A72D38">
        <w:rPr>
          <w:lang w:val="fr-FR"/>
        </w:rPr>
        <w:t xml:space="preserve"> ou régional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lastRenderedPageBreak/>
        <w:t xml:space="preserve">Risque </w:t>
      </w:r>
      <w:r w:rsidR="00075A72">
        <w:rPr>
          <w:lang w:val="fr-FR"/>
        </w:rPr>
        <w:t>É</w:t>
      </w:r>
      <w:r w:rsidRPr="00637787">
        <w:rPr>
          <w:lang w:val="fr-FR"/>
        </w:rPr>
        <w:t>lev</w:t>
      </w:r>
      <w:r w:rsidR="00075A72">
        <w:rPr>
          <w:lang w:val="fr-FR"/>
        </w:rPr>
        <w:t>É</w:t>
      </w:r>
      <w:r w:rsidRPr="00637787">
        <w:rPr>
          <w:lang w:val="fr-FR"/>
        </w:rPr>
        <w:t xml:space="preserve"> de radiation de l</w:t>
      </w:r>
      <w:r w:rsidR="00E22BEA">
        <w:rPr>
          <w:lang w:val="fr-FR"/>
        </w:rPr>
        <w:t>’</w:t>
      </w:r>
      <w:r w:rsidRPr="00637787">
        <w:rPr>
          <w:lang w:val="fr-FR"/>
        </w:rPr>
        <w:t>enregistrement international pour d</w:t>
      </w:r>
      <w:r w:rsidR="00075A72">
        <w:rPr>
          <w:lang w:val="fr-FR"/>
        </w:rPr>
        <w:t>É</w:t>
      </w:r>
      <w:r w:rsidRPr="00637787">
        <w:rPr>
          <w:lang w:val="fr-FR"/>
        </w:rPr>
        <w:t>faut d</w:t>
      </w:r>
      <w:r w:rsidR="00E22BEA">
        <w:rPr>
          <w:lang w:val="fr-FR"/>
        </w:rPr>
        <w:t>’</w:t>
      </w:r>
      <w:r w:rsidRPr="00637787">
        <w:rPr>
          <w:lang w:val="fr-FR"/>
        </w:rPr>
        <w:t>usage de la marque de base</w:t>
      </w:r>
    </w:p>
    <w:p w:rsidR="00E22BEA" w:rsidRDefault="007E62FA" w:rsidP="008D2E69">
      <w:pPr>
        <w:pStyle w:val="ONUMFS"/>
        <w:rPr>
          <w:lang w:val="fr-FR"/>
        </w:rPr>
      </w:pPr>
      <w:r w:rsidRPr="00637787">
        <w:rPr>
          <w:lang w:val="fr-FR"/>
        </w:rPr>
        <w:t>L</w:t>
      </w:r>
      <w:r w:rsidR="00E51109" w:rsidRPr="00637787">
        <w:rPr>
          <w:lang w:val="fr-FR"/>
        </w:rPr>
        <w:t>e défaut d</w:t>
      </w:r>
      <w:r w:rsidR="00E22BEA">
        <w:rPr>
          <w:lang w:val="fr-FR"/>
        </w:rPr>
        <w:t>’</w:t>
      </w:r>
      <w:r w:rsidR="00E51109" w:rsidRPr="00637787">
        <w:rPr>
          <w:lang w:val="fr-FR"/>
        </w:rPr>
        <w:t xml:space="preserve">usage de </w:t>
      </w:r>
      <w:r w:rsidR="005E54E0" w:rsidRPr="00637787">
        <w:rPr>
          <w:lang w:val="fr-FR"/>
        </w:rPr>
        <w:t xml:space="preserve">la marque de </w:t>
      </w:r>
      <w:r w:rsidR="00412E85" w:rsidRPr="00637787">
        <w:rPr>
          <w:lang w:val="fr-FR"/>
        </w:rPr>
        <w:t>bas</w:t>
      </w:r>
      <w:r w:rsidR="005E54E0" w:rsidRPr="00637787">
        <w:rPr>
          <w:lang w:val="fr-FR"/>
        </w:rPr>
        <w:t>e sur le territoire de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5E54E0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5E54E0" w:rsidRPr="00637787">
        <w:rPr>
          <w:lang w:val="fr-FR"/>
        </w:rPr>
        <w:t xml:space="preserve">e pendant la période de </w:t>
      </w:r>
      <w:r w:rsidR="00412E85" w:rsidRPr="00637787">
        <w:rPr>
          <w:lang w:val="fr-FR"/>
        </w:rPr>
        <w:t>d</w:t>
      </w:r>
      <w:r w:rsidR="005E54E0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5E54E0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5E54E0" w:rsidRPr="00637787">
        <w:rPr>
          <w:lang w:val="fr-FR"/>
        </w:rPr>
        <w:t>e</w:t>
      </w:r>
      <w:r w:rsidR="00E51109" w:rsidRPr="00637787">
        <w:rPr>
          <w:lang w:val="fr-FR"/>
        </w:rPr>
        <w:t xml:space="preserve"> expose réellement </w:t>
      </w:r>
      <w:r w:rsidR="005E54E0" w:rsidRPr="00637787">
        <w:rPr>
          <w:lang w:val="fr-FR"/>
        </w:rPr>
        <w:t xml:space="preserve">le </w:t>
      </w:r>
      <w:r w:rsidR="00E51109" w:rsidRPr="00637787">
        <w:rPr>
          <w:lang w:val="fr-FR"/>
        </w:rPr>
        <w:t>titulaire à des actions de radiation engagées par des tie</w:t>
      </w:r>
      <w:r w:rsidR="00517715" w:rsidRPr="00637787">
        <w:rPr>
          <w:lang w:val="fr-FR"/>
        </w:rPr>
        <w:t>rs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Si</w:t>
      </w:r>
      <w:r w:rsidR="00E51109" w:rsidRPr="00637787">
        <w:rPr>
          <w:lang w:val="fr-FR"/>
        </w:rPr>
        <w:t xml:space="preserve"> ces tiers obtenaient gain de cause, c</w:t>
      </w:r>
      <w:r w:rsidR="00B03D2C" w:rsidRPr="00637787">
        <w:rPr>
          <w:lang w:val="fr-FR"/>
        </w:rPr>
        <w:t>es actions</w:t>
      </w:r>
      <w:r w:rsidR="00CF1D6B" w:rsidRPr="00637787">
        <w:rPr>
          <w:lang w:val="fr-FR"/>
        </w:rPr>
        <w:t xml:space="preserve"> </w:t>
      </w:r>
      <w:r w:rsidR="00884F07" w:rsidRPr="00637787">
        <w:rPr>
          <w:lang w:val="fr-FR"/>
        </w:rPr>
        <w:t xml:space="preserve">conduiraient à </w:t>
      </w:r>
      <w:r w:rsidR="00F6636A" w:rsidRPr="00637787">
        <w:rPr>
          <w:lang w:val="fr-FR"/>
        </w:rPr>
        <w:t>la cessation des effets de la marque de base</w:t>
      </w:r>
      <w:r w:rsidR="00884F07" w:rsidRPr="00637787">
        <w:rPr>
          <w:lang w:val="fr-FR"/>
        </w:rPr>
        <w:t xml:space="preserve">, entraînant </w:t>
      </w:r>
      <w:r w:rsidR="00CF1D6B" w:rsidRPr="00637787">
        <w:rPr>
          <w:lang w:val="fr-FR"/>
        </w:rPr>
        <w:t>la radiation de l</w:t>
      </w:r>
      <w:r w:rsidR="00E22BEA">
        <w:rPr>
          <w:lang w:val="fr-FR"/>
        </w:rPr>
        <w:t>’</w:t>
      </w:r>
      <w:r w:rsidR="00CF1D6B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</w:t>
      </w:r>
      <w:r w:rsidR="00517715" w:rsidRPr="00637787">
        <w:rPr>
          <w:lang w:val="fr-FR"/>
        </w:rPr>
        <w:t>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</w:t>
      </w:r>
      <w:r w:rsidR="00517715">
        <w:rPr>
          <w:lang w:val="fr-FR"/>
        </w:rPr>
        <w:t>’</w:t>
      </w:r>
      <w:r w:rsidR="00517715" w:rsidRPr="00637787">
        <w:rPr>
          <w:lang w:val="fr-FR"/>
        </w:rPr>
        <w:t>e</w:t>
      </w:r>
      <w:r w:rsidR="003B54F8" w:rsidRPr="00637787">
        <w:rPr>
          <w:lang w:val="fr-FR"/>
        </w:rPr>
        <w:t>st le cas</w:t>
      </w:r>
      <w:r w:rsidR="00AF1FEA" w:rsidRPr="00637787">
        <w:rPr>
          <w:lang w:val="fr-FR"/>
        </w:rPr>
        <w:t xml:space="preserve">, </w:t>
      </w:r>
      <w:r w:rsidR="00884F07" w:rsidRPr="00637787">
        <w:rPr>
          <w:lang w:val="fr-FR"/>
        </w:rPr>
        <w:t>par exemple</w:t>
      </w:r>
      <w:r w:rsidR="00412E85" w:rsidRPr="00637787">
        <w:rPr>
          <w:lang w:val="fr-FR"/>
        </w:rPr>
        <w:t xml:space="preserve">, </w:t>
      </w:r>
      <w:r w:rsidR="00884F07" w:rsidRPr="00637787">
        <w:rPr>
          <w:lang w:val="fr-FR"/>
        </w:rPr>
        <w:t xml:space="preserve">lorsque </w:t>
      </w:r>
      <w:r w:rsidR="003A26A1" w:rsidRPr="00637787">
        <w:rPr>
          <w:lang w:val="fr-FR"/>
        </w:rPr>
        <w:t xml:space="preserve">les caractères composant </w:t>
      </w:r>
      <w:r w:rsidR="00884F07" w:rsidRPr="00637787">
        <w:rPr>
          <w:lang w:val="fr-FR"/>
        </w:rPr>
        <w:t xml:space="preserve">la marque de </w:t>
      </w:r>
      <w:r w:rsidR="00412E85" w:rsidRPr="00637787">
        <w:rPr>
          <w:lang w:val="fr-FR"/>
        </w:rPr>
        <w:t>bas</w:t>
      </w:r>
      <w:r w:rsidR="00884F07" w:rsidRPr="00637787">
        <w:rPr>
          <w:lang w:val="fr-FR"/>
        </w:rPr>
        <w:t xml:space="preserve">e </w:t>
      </w:r>
      <w:r w:rsidR="003A26A1" w:rsidRPr="00637787">
        <w:rPr>
          <w:lang w:val="fr-FR"/>
        </w:rPr>
        <w:t>sont différents de ceux utilisés sur le marché national</w:t>
      </w:r>
      <w:r w:rsidR="008D2E69" w:rsidRPr="00FB56F5">
        <w:rPr>
          <w:lang w:val="fr-CH"/>
        </w:rPr>
        <w:t xml:space="preserve"> </w:t>
      </w:r>
      <w:r w:rsidR="008D2E69" w:rsidRPr="008D2E69">
        <w:rPr>
          <w:lang w:val="fr-FR"/>
        </w:rPr>
        <w:t>ou régional</w:t>
      </w:r>
      <w:r w:rsidR="003A26A1" w:rsidRPr="00637787">
        <w:rPr>
          <w:lang w:val="fr-FR"/>
        </w:rPr>
        <w:t xml:space="preserve">, </w:t>
      </w:r>
      <w:r w:rsidR="00AF1FEA" w:rsidRPr="00637787">
        <w:rPr>
          <w:lang w:val="fr-FR"/>
        </w:rPr>
        <w:t>la</w:t>
      </w:r>
      <w:r w:rsidR="003A26A1" w:rsidRPr="00637787">
        <w:rPr>
          <w:lang w:val="fr-FR"/>
        </w:rPr>
        <w:t xml:space="preserve"> marque étant </w:t>
      </w:r>
      <w:r w:rsidR="00E341DC" w:rsidRPr="00637787">
        <w:rPr>
          <w:lang w:val="fr-FR"/>
        </w:rPr>
        <w:t xml:space="preserve">uniquement </w:t>
      </w:r>
      <w:r w:rsidR="003A26A1" w:rsidRPr="00637787">
        <w:rPr>
          <w:lang w:val="fr-FR"/>
        </w:rPr>
        <w:t>destinée aux marchés d</w:t>
      </w:r>
      <w:r w:rsidR="00E22BEA">
        <w:rPr>
          <w:lang w:val="fr-FR"/>
        </w:rPr>
        <w:t>’</w:t>
      </w:r>
      <w:r w:rsidR="003A26A1" w:rsidRPr="00637787">
        <w:rPr>
          <w:lang w:val="fr-FR"/>
        </w:rPr>
        <w:t>exportati</w:t>
      </w:r>
      <w:r w:rsidR="00517715" w:rsidRPr="00637787">
        <w:rPr>
          <w:lang w:val="fr-FR"/>
        </w:rPr>
        <w:t>on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Si</w:t>
      </w:r>
      <w:r w:rsidR="001B703F" w:rsidRPr="00637787">
        <w:rPr>
          <w:lang w:val="fr-FR"/>
        </w:rPr>
        <w:t xml:space="preserve">, </w:t>
      </w:r>
      <w:r w:rsidR="00E341DC" w:rsidRPr="00637787">
        <w:rPr>
          <w:lang w:val="fr-FR"/>
        </w:rPr>
        <w:t>supposément</w:t>
      </w:r>
      <w:r w:rsidR="001B703F" w:rsidRPr="00637787">
        <w:rPr>
          <w:lang w:val="fr-FR"/>
        </w:rPr>
        <w:t>, cela concerne</w:t>
      </w:r>
      <w:r w:rsidR="00E341DC" w:rsidRPr="00637787">
        <w:rPr>
          <w:lang w:val="fr-FR"/>
        </w:rPr>
        <w:t xml:space="preserve"> surtout </w:t>
      </w:r>
      <w:r w:rsidR="002008BB" w:rsidRPr="00637787">
        <w:rPr>
          <w:lang w:val="fr-FR"/>
        </w:rPr>
        <w:t>d</w:t>
      </w:r>
      <w:r w:rsidR="00E341DC" w:rsidRPr="00637787">
        <w:rPr>
          <w:lang w:val="fr-FR"/>
        </w:rPr>
        <w:t xml:space="preserve">es titulaires de marques dans </w:t>
      </w:r>
      <w:r w:rsidR="00B9547B" w:rsidRPr="00637787">
        <w:rPr>
          <w:lang w:val="fr-FR"/>
        </w:rPr>
        <w:t>d</w:t>
      </w:r>
      <w:r w:rsidR="00E341DC" w:rsidRPr="00637787">
        <w:rPr>
          <w:lang w:val="fr-FR"/>
        </w:rPr>
        <w:t>es parties contractantes utilisant des caractères non latins</w:t>
      </w:r>
      <w:r w:rsidR="00412E85" w:rsidRPr="00637787">
        <w:rPr>
          <w:lang w:val="fr-FR"/>
        </w:rPr>
        <w:t xml:space="preserve">, </w:t>
      </w:r>
      <w:r w:rsidR="002008BB" w:rsidRPr="00637787">
        <w:rPr>
          <w:lang w:val="fr-FR"/>
        </w:rPr>
        <w:t>d</w:t>
      </w:r>
      <w:r w:rsidR="003A26A1" w:rsidRPr="00637787">
        <w:rPr>
          <w:lang w:val="fr-FR"/>
        </w:rPr>
        <w:t>es titulaires de marques de parties c</w:t>
      </w:r>
      <w:r w:rsidR="00412E85" w:rsidRPr="00637787">
        <w:rPr>
          <w:lang w:val="fr-FR"/>
        </w:rPr>
        <w:t>ontract</w:t>
      </w:r>
      <w:r w:rsidR="003A26A1" w:rsidRPr="00637787">
        <w:rPr>
          <w:lang w:val="fr-FR"/>
        </w:rPr>
        <w:t xml:space="preserve">antes utilisant des </w:t>
      </w:r>
      <w:r w:rsidR="00E341DC" w:rsidRPr="00637787">
        <w:rPr>
          <w:lang w:val="fr-FR"/>
        </w:rPr>
        <w:t>caractères l</w:t>
      </w:r>
      <w:r w:rsidR="00412E85" w:rsidRPr="00637787">
        <w:rPr>
          <w:lang w:val="fr-FR"/>
        </w:rPr>
        <w:t>atins</w:t>
      </w:r>
      <w:r w:rsidR="00E341DC" w:rsidRPr="00637787">
        <w:rPr>
          <w:lang w:val="fr-FR"/>
        </w:rPr>
        <w:t xml:space="preserve"> quand la marque de base est destinée à être utilisée sur des marchés utilisant des caractères non latins</w:t>
      </w:r>
      <w:r w:rsidR="001B703F" w:rsidRPr="00637787">
        <w:rPr>
          <w:lang w:val="fr-FR"/>
        </w:rPr>
        <w:t xml:space="preserve"> sont eux aussi affectés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La marque de base cesse de produire ses effets pour des motifs pertinents sur le seul march</w:t>
      </w:r>
      <w:r w:rsidR="00937515">
        <w:rPr>
          <w:lang w:val="fr-FR"/>
        </w:rPr>
        <w:t>É</w:t>
      </w:r>
      <w:r w:rsidRPr="00637787">
        <w:rPr>
          <w:lang w:val="fr-FR"/>
        </w:rPr>
        <w:t xml:space="preserve"> national</w:t>
      </w:r>
      <w:r w:rsidR="00210503">
        <w:rPr>
          <w:lang w:val="fr-FR"/>
        </w:rPr>
        <w:t xml:space="preserve"> ou RÉGional</w:t>
      </w:r>
    </w:p>
    <w:p w:rsidR="00E22BEA" w:rsidRDefault="00F6636A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La cessation des effets de la marque de base pendant la période de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>, d</w:t>
      </w:r>
      <w:r w:rsidR="008910EE" w:rsidRPr="00637787">
        <w:rPr>
          <w:lang w:val="fr-FR"/>
        </w:rPr>
        <w:t>é</w:t>
      </w:r>
      <w:r w:rsidR="00412E85" w:rsidRPr="00637787">
        <w:rPr>
          <w:lang w:val="fr-FR"/>
        </w:rPr>
        <w:t>cid</w:t>
      </w:r>
      <w:r w:rsidR="008910EE" w:rsidRPr="00637787">
        <w:rPr>
          <w:lang w:val="fr-FR"/>
        </w:rPr>
        <w:t>é</w:t>
      </w:r>
      <w:r w:rsidR="00412E85" w:rsidRPr="00637787">
        <w:rPr>
          <w:lang w:val="fr-FR"/>
        </w:rPr>
        <w:t xml:space="preserve">e </w:t>
      </w:r>
      <w:r w:rsidR="008910EE" w:rsidRPr="00637787">
        <w:rPr>
          <w:lang w:val="fr-FR"/>
        </w:rPr>
        <w:t xml:space="preserve">conformément </w:t>
      </w:r>
      <w:r w:rsidR="00B03D2C" w:rsidRPr="00637787">
        <w:rPr>
          <w:lang w:val="fr-FR"/>
        </w:rPr>
        <w:t xml:space="preserve">à la législation </w:t>
      </w:r>
      <w:r w:rsidR="00450341" w:rsidRPr="00637787">
        <w:rPr>
          <w:lang w:val="fr-FR"/>
        </w:rPr>
        <w:t xml:space="preserve">en vigueur </w:t>
      </w:r>
      <w:r w:rsidR="002B1AE1" w:rsidRPr="00637787">
        <w:rPr>
          <w:lang w:val="fr-FR"/>
        </w:rPr>
        <w:t>dans la partie c</w:t>
      </w:r>
      <w:r w:rsidR="00412E85" w:rsidRPr="00637787">
        <w:rPr>
          <w:lang w:val="fr-FR"/>
        </w:rPr>
        <w:t>ontract</w:t>
      </w:r>
      <w:r w:rsidR="002B1AE1" w:rsidRPr="00637787">
        <w:rPr>
          <w:lang w:val="fr-FR"/>
        </w:rPr>
        <w:t>ante de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2B1AE1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2B1AE1"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DD27C4" w:rsidRPr="00637787">
        <w:rPr>
          <w:lang w:val="fr-FR"/>
        </w:rPr>
        <w:t>entraîne</w:t>
      </w:r>
      <w:r w:rsidR="00EC2BB6" w:rsidRPr="00637787">
        <w:rPr>
          <w:lang w:val="fr-FR"/>
        </w:rPr>
        <w:t xml:space="preserve"> la radiation de l</w:t>
      </w:r>
      <w:r w:rsidR="00E22BEA">
        <w:rPr>
          <w:lang w:val="fr-FR"/>
        </w:rPr>
        <w:t>’</w:t>
      </w:r>
      <w:r w:rsidR="00EC2BB6" w:rsidRPr="00637787">
        <w:rPr>
          <w:lang w:val="fr-FR"/>
        </w:rPr>
        <w:t>enregistrement international</w:t>
      </w:r>
      <w:r w:rsidR="00412E85" w:rsidRPr="00637787">
        <w:rPr>
          <w:lang w:val="fr-FR"/>
        </w:rPr>
        <w:t xml:space="preserve"> </w:t>
      </w:r>
      <w:r w:rsidR="00EC2BB6" w:rsidRPr="00637787">
        <w:rPr>
          <w:lang w:val="fr-FR"/>
        </w:rPr>
        <w:t>dans toutes les parties contractantes désigné</w:t>
      </w:r>
      <w:r w:rsidR="00517715" w:rsidRPr="00637787">
        <w:rPr>
          <w:lang w:val="fr-FR"/>
        </w:rPr>
        <w:t>es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 xml:space="preserve">À </w:t>
      </w:r>
      <w:r w:rsidR="00EC2BB6" w:rsidRPr="00637787">
        <w:rPr>
          <w:lang w:val="fr-FR"/>
        </w:rPr>
        <w:t>cet égard</w:t>
      </w:r>
      <w:r w:rsidR="00412E85" w:rsidRPr="00637787">
        <w:rPr>
          <w:lang w:val="fr-FR"/>
        </w:rPr>
        <w:t xml:space="preserve">, </w:t>
      </w:r>
      <w:r w:rsidR="00EC2BB6" w:rsidRPr="00637787">
        <w:rPr>
          <w:lang w:val="fr-FR"/>
        </w:rPr>
        <w:t xml:space="preserve">lors de précédentes </w:t>
      </w:r>
      <w:r w:rsidR="00412E85" w:rsidRPr="00637787">
        <w:rPr>
          <w:lang w:val="fr-FR"/>
        </w:rPr>
        <w:t xml:space="preserve">sessions </w:t>
      </w:r>
      <w:r w:rsidR="00EC2BB6" w:rsidRPr="00637787">
        <w:rPr>
          <w:lang w:val="fr-FR"/>
        </w:rPr>
        <w:t>du g</w:t>
      </w:r>
      <w:r w:rsidR="00412E85" w:rsidRPr="00637787">
        <w:rPr>
          <w:lang w:val="fr-FR"/>
        </w:rPr>
        <w:t>roup</w:t>
      </w:r>
      <w:r w:rsidR="00EC2BB6" w:rsidRPr="00637787">
        <w:rPr>
          <w:lang w:val="fr-FR"/>
        </w:rPr>
        <w:t>e de travail</w:t>
      </w:r>
      <w:r w:rsidR="00412E85" w:rsidRPr="00637787">
        <w:rPr>
          <w:lang w:val="fr-FR"/>
        </w:rPr>
        <w:t xml:space="preserve">, </w:t>
      </w:r>
      <w:r w:rsidR="00913BDB" w:rsidRPr="00637787">
        <w:rPr>
          <w:lang w:val="fr-FR"/>
        </w:rPr>
        <w:t>des</w:t>
      </w:r>
      <w:r w:rsidR="00EC2BB6" w:rsidRPr="00637787">
        <w:rPr>
          <w:lang w:val="fr-FR"/>
        </w:rPr>
        <w:t xml:space="preserve"> </w:t>
      </w:r>
      <w:r w:rsidR="00412E85" w:rsidRPr="00637787">
        <w:rPr>
          <w:lang w:val="fr-FR"/>
        </w:rPr>
        <w:t>d</w:t>
      </w:r>
      <w:r w:rsidR="00EC2BB6" w:rsidRPr="00637787">
        <w:rPr>
          <w:lang w:val="fr-FR"/>
        </w:rPr>
        <w:t>é</w:t>
      </w:r>
      <w:r w:rsidR="00412E85" w:rsidRPr="00637787">
        <w:rPr>
          <w:lang w:val="fr-FR"/>
        </w:rPr>
        <w:t>l</w:t>
      </w:r>
      <w:r w:rsidR="00EC2BB6" w:rsidRPr="00637787">
        <w:rPr>
          <w:lang w:val="fr-FR"/>
        </w:rPr>
        <w:t>é</w:t>
      </w:r>
      <w:r w:rsidR="00412E85" w:rsidRPr="00637787">
        <w:rPr>
          <w:lang w:val="fr-FR"/>
        </w:rPr>
        <w:t xml:space="preserve">gations </w:t>
      </w:r>
      <w:r w:rsidR="00EC2BB6" w:rsidRPr="00637787">
        <w:rPr>
          <w:lang w:val="fr-FR"/>
        </w:rPr>
        <w:t xml:space="preserve">ont estimé que la </w:t>
      </w:r>
      <w:r w:rsidR="00412E85" w:rsidRPr="00637787">
        <w:rPr>
          <w:lang w:val="fr-FR"/>
        </w:rPr>
        <w:t>d</w:t>
      </w:r>
      <w:r w:rsidR="00EC2BB6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EC2BB6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EC2BB6" w:rsidRPr="00637787">
        <w:rPr>
          <w:lang w:val="fr-FR"/>
        </w:rPr>
        <w:t xml:space="preserve">e </w:t>
      </w:r>
      <w:r w:rsidR="002B1AE1" w:rsidRPr="00637787">
        <w:rPr>
          <w:lang w:val="fr-FR"/>
        </w:rPr>
        <w:t>n</w:t>
      </w:r>
      <w:r w:rsidR="00E22BEA">
        <w:rPr>
          <w:lang w:val="fr-FR"/>
        </w:rPr>
        <w:t>’</w:t>
      </w:r>
      <w:r w:rsidR="002B1AE1" w:rsidRPr="00637787">
        <w:rPr>
          <w:lang w:val="fr-FR"/>
        </w:rPr>
        <w:t>était peut</w:t>
      </w:r>
      <w:r w:rsidR="00E22BEA">
        <w:rPr>
          <w:lang w:val="fr-FR"/>
        </w:rPr>
        <w:t>-</w:t>
      </w:r>
      <w:r w:rsidR="002B1AE1" w:rsidRPr="00637787">
        <w:rPr>
          <w:lang w:val="fr-FR"/>
        </w:rPr>
        <w:t xml:space="preserve">être pas conforme </w:t>
      </w:r>
      <w:r w:rsidR="00EC2BB6" w:rsidRPr="00637787">
        <w:rPr>
          <w:lang w:val="fr-FR"/>
        </w:rPr>
        <w:t xml:space="preserve">à </w:t>
      </w:r>
      <w:r w:rsidR="00913BDB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913BDB" w:rsidRPr="00637787">
        <w:rPr>
          <w:lang w:val="fr-FR"/>
        </w:rPr>
        <w:t>a</w:t>
      </w:r>
      <w:r w:rsidR="00EC2BB6" w:rsidRPr="00637787">
        <w:rPr>
          <w:lang w:val="fr-FR"/>
        </w:rPr>
        <w:t>r</w:t>
      </w:r>
      <w:r w:rsidR="00412E85" w:rsidRPr="00637787">
        <w:rPr>
          <w:lang w:val="fr-FR"/>
        </w:rPr>
        <w:t>ticle</w:t>
      </w:r>
      <w:r w:rsidR="00E050FA" w:rsidRPr="00637787">
        <w:rPr>
          <w:lang w:val="fr-FR"/>
        </w:rPr>
        <w:t> </w:t>
      </w:r>
      <w:r w:rsidR="00412E85" w:rsidRPr="00637787">
        <w:rPr>
          <w:lang w:val="fr-FR"/>
        </w:rPr>
        <w:t>6</w:t>
      </w:r>
      <w:r w:rsidR="00913BDB" w:rsidRPr="00637787">
        <w:rPr>
          <w:lang w:val="fr-FR"/>
        </w:rPr>
        <w:t>.3)</w:t>
      </w:r>
      <w:r w:rsidR="00412E85" w:rsidRPr="00637787">
        <w:rPr>
          <w:lang w:val="fr-FR"/>
        </w:rPr>
        <w:t xml:space="preserve"> </w:t>
      </w:r>
      <w:r w:rsidR="00EC2BB6" w:rsidRPr="00637787">
        <w:rPr>
          <w:lang w:val="fr-FR"/>
        </w:rPr>
        <w:t xml:space="preserve">de la </w:t>
      </w:r>
      <w:r w:rsidR="00412E85" w:rsidRPr="00637787">
        <w:rPr>
          <w:lang w:val="fr-FR"/>
        </w:rPr>
        <w:t>Convention</w:t>
      </w:r>
      <w:r w:rsidR="00EC2BB6" w:rsidRPr="00637787">
        <w:rPr>
          <w:lang w:val="fr-FR"/>
        </w:rPr>
        <w:t xml:space="preserve"> de Par</w:t>
      </w:r>
      <w:r w:rsidR="00517715" w:rsidRPr="00637787">
        <w:rPr>
          <w:lang w:val="fr-FR"/>
        </w:rPr>
        <w:t>is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Ce</w:t>
      </w:r>
      <w:r w:rsidR="002B1AE1" w:rsidRPr="00637787">
        <w:rPr>
          <w:lang w:val="fr-FR"/>
        </w:rPr>
        <w:t>t a</w:t>
      </w:r>
      <w:r w:rsidR="00412E85" w:rsidRPr="00637787">
        <w:rPr>
          <w:lang w:val="fr-FR"/>
        </w:rPr>
        <w:t xml:space="preserve">rticle </w:t>
      </w:r>
      <w:r w:rsidR="00913BDB" w:rsidRPr="00637787">
        <w:rPr>
          <w:lang w:val="fr-FR"/>
        </w:rPr>
        <w:t>dispose</w:t>
      </w:r>
      <w:r w:rsidR="002B1AE1" w:rsidRPr="00637787">
        <w:rPr>
          <w:lang w:val="fr-FR"/>
        </w:rPr>
        <w:t xml:space="preserve"> qu</w:t>
      </w:r>
      <w:r w:rsidR="00E22BEA">
        <w:rPr>
          <w:lang w:val="fr-FR"/>
        </w:rPr>
        <w:t>’</w:t>
      </w:r>
      <w:r w:rsidR="002B1AE1" w:rsidRPr="00637787">
        <w:rPr>
          <w:lang w:val="fr-FR"/>
        </w:rPr>
        <w:t>une marque régulièrement enregistrée dans un pays de 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Union s</w:t>
      </w:r>
      <w:r w:rsidR="002B1AE1" w:rsidRPr="00637787">
        <w:rPr>
          <w:lang w:val="fr-FR"/>
        </w:rPr>
        <w:t>era</w:t>
      </w:r>
      <w:r w:rsidR="00412E85" w:rsidRPr="00637787">
        <w:rPr>
          <w:lang w:val="fr-FR"/>
        </w:rPr>
        <w:t xml:space="preserve"> </w:t>
      </w:r>
      <w:r w:rsidR="002B1AE1" w:rsidRPr="00637787">
        <w:rPr>
          <w:lang w:val="fr-FR"/>
        </w:rPr>
        <w:t xml:space="preserve">considérée comme </w:t>
      </w:r>
      <w:r w:rsidR="00412E85" w:rsidRPr="00637787">
        <w:rPr>
          <w:lang w:val="fr-FR"/>
        </w:rPr>
        <w:t>ind</w:t>
      </w:r>
      <w:r w:rsidR="002B1AE1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2B1AE1" w:rsidRPr="00637787">
        <w:rPr>
          <w:lang w:val="fr-FR"/>
        </w:rPr>
        <w:t>a</w:t>
      </w:r>
      <w:r w:rsidR="00412E85" w:rsidRPr="00637787">
        <w:rPr>
          <w:lang w:val="fr-FR"/>
        </w:rPr>
        <w:t>nt</w:t>
      </w:r>
      <w:r w:rsidR="002B1AE1" w:rsidRPr="00637787">
        <w:rPr>
          <w:lang w:val="fr-FR"/>
        </w:rPr>
        <w:t>e des marques enregistrées dans les autres pays de l</w:t>
      </w:r>
      <w:r w:rsidR="00E22BEA">
        <w:rPr>
          <w:lang w:val="fr-FR"/>
        </w:rPr>
        <w:t>’</w:t>
      </w:r>
      <w:r w:rsidR="002B1AE1" w:rsidRPr="00637787">
        <w:rPr>
          <w:lang w:val="fr-FR"/>
        </w:rPr>
        <w:t>Union</w:t>
      </w:r>
      <w:r w:rsidR="00412E85" w:rsidRPr="00637787">
        <w:rPr>
          <w:lang w:val="fr-FR"/>
        </w:rPr>
        <w:t xml:space="preserve">, </w:t>
      </w:r>
      <w:r w:rsidR="00E22BEA">
        <w:rPr>
          <w:lang w:val="fr-FR"/>
        </w:rPr>
        <w:t>y compris</w:t>
      </w:r>
      <w:r w:rsidR="002B1AE1" w:rsidRPr="00637787">
        <w:rPr>
          <w:lang w:val="fr-FR"/>
        </w:rPr>
        <w:t xml:space="preserve"> le pays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2B1AE1" w:rsidRPr="00637787">
        <w:rPr>
          <w:lang w:val="fr-FR"/>
        </w:rPr>
        <w:t>e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La transformation est perçue comme un co</w:t>
      </w:r>
      <w:r w:rsidR="0025698E">
        <w:rPr>
          <w:lang w:val="fr-FR"/>
        </w:rPr>
        <w:t>Û</w:t>
      </w:r>
      <w:r w:rsidRPr="00637787">
        <w:rPr>
          <w:lang w:val="fr-FR"/>
        </w:rPr>
        <w:t>t suppl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mentaire</w:t>
      </w:r>
    </w:p>
    <w:p w:rsidR="00E22BEA" w:rsidRDefault="00021DC0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Des utilisateurs </w:t>
      </w:r>
      <w:r w:rsidR="00C63222" w:rsidRPr="00637787">
        <w:rPr>
          <w:lang w:val="fr-FR"/>
        </w:rPr>
        <w:t xml:space="preserve">ont indiqué que </w:t>
      </w:r>
      <w:r w:rsidRPr="00637787">
        <w:rPr>
          <w:lang w:val="fr-FR"/>
        </w:rPr>
        <w:t xml:space="preserve">le processus de </w:t>
      </w:r>
      <w:r w:rsidR="00412E85" w:rsidRPr="00637787">
        <w:rPr>
          <w:lang w:val="fr-FR"/>
        </w:rPr>
        <w:t xml:space="preserve">transformation </w:t>
      </w:r>
      <w:r w:rsidR="00C63222" w:rsidRPr="00637787">
        <w:rPr>
          <w:lang w:val="fr-FR"/>
        </w:rPr>
        <w:t xml:space="preserve">était </w:t>
      </w:r>
      <w:r w:rsidR="00412E85" w:rsidRPr="00637787">
        <w:rPr>
          <w:lang w:val="fr-FR"/>
        </w:rPr>
        <w:t>compli</w:t>
      </w:r>
      <w:r w:rsidRPr="00637787">
        <w:rPr>
          <w:lang w:val="fr-FR"/>
        </w:rPr>
        <w:t>qué et son issue in</w:t>
      </w:r>
      <w:r w:rsidR="00412E85" w:rsidRPr="00637787">
        <w:rPr>
          <w:lang w:val="fr-FR"/>
        </w:rPr>
        <w:t>certain</w:t>
      </w:r>
      <w:r w:rsidRPr="00637787">
        <w:rPr>
          <w:lang w:val="fr-FR"/>
        </w:rPr>
        <w:t>e et</w:t>
      </w:r>
      <w:r w:rsidR="00412E85" w:rsidRPr="00637787">
        <w:rPr>
          <w:lang w:val="fr-FR"/>
        </w:rPr>
        <w:t xml:space="preserve"> </w:t>
      </w:r>
      <w:r w:rsidR="00404FD3" w:rsidRPr="00637787">
        <w:rPr>
          <w:lang w:val="fr-FR"/>
        </w:rPr>
        <w:t>que</w:t>
      </w:r>
      <w:r w:rsidR="00412E85" w:rsidRPr="00637787">
        <w:rPr>
          <w:lang w:val="fr-FR"/>
        </w:rPr>
        <w:t xml:space="preserve">, </w:t>
      </w:r>
      <w:r w:rsidR="00404FD3" w:rsidRPr="00637787">
        <w:rPr>
          <w:lang w:val="fr-FR"/>
        </w:rPr>
        <w:t>dans certains</w:t>
      </w:r>
      <w:r w:rsidR="00412E85" w:rsidRPr="00637787">
        <w:rPr>
          <w:lang w:val="fr-FR"/>
        </w:rPr>
        <w:t xml:space="preserve"> cas, i</w:t>
      </w:r>
      <w:r w:rsidR="00404FD3" w:rsidRPr="00637787">
        <w:rPr>
          <w:lang w:val="fr-FR"/>
        </w:rPr>
        <w:t xml:space="preserve">l serait plus </w:t>
      </w:r>
      <w:r w:rsidR="002D44CE" w:rsidRPr="00637787">
        <w:rPr>
          <w:lang w:val="fr-FR"/>
        </w:rPr>
        <w:t>facile</w:t>
      </w:r>
      <w:r w:rsidR="00404FD3" w:rsidRPr="00637787">
        <w:rPr>
          <w:lang w:val="fr-FR"/>
        </w:rPr>
        <w:t xml:space="preserve"> de </w:t>
      </w:r>
      <w:r w:rsidR="00412E85" w:rsidRPr="00637787">
        <w:rPr>
          <w:lang w:val="fr-FR"/>
        </w:rPr>
        <w:t>simpl</w:t>
      </w:r>
      <w:r w:rsidR="00404FD3" w:rsidRPr="00637787">
        <w:rPr>
          <w:lang w:val="fr-FR"/>
        </w:rPr>
        <w:t xml:space="preserve">ement déposer une nouvelle demande </w:t>
      </w:r>
      <w:r w:rsidR="00412E85" w:rsidRPr="00637787">
        <w:rPr>
          <w:lang w:val="fr-FR"/>
        </w:rPr>
        <w:t>national</w:t>
      </w:r>
      <w:r w:rsidR="00404FD3" w:rsidRPr="00637787">
        <w:rPr>
          <w:lang w:val="fr-FR"/>
        </w:rPr>
        <w:t xml:space="preserve">e ou </w:t>
      </w:r>
      <w:r w:rsidR="00412E85" w:rsidRPr="00637787">
        <w:rPr>
          <w:lang w:val="fr-FR"/>
        </w:rPr>
        <w:t>r</w:t>
      </w:r>
      <w:r w:rsidR="00404FD3" w:rsidRPr="00637787">
        <w:rPr>
          <w:lang w:val="fr-FR"/>
        </w:rPr>
        <w:t>é</w:t>
      </w:r>
      <w:r w:rsidR="00412E85" w:rsidRPr="00637787">
        <w:rPr>
          <w:lang w:val="fr-FR"/>
        </w:rPr>
        <w:t>gional</w:t>
      </w:r>
      <w:r w:rsidR="00404FD3" w:rsidRPr="00637787">
        <w:rPr>
          <w:lang w:val="fr-FR"/>
        </w:rPr>
        <w:t xml:space="preserve">e et de perdre </w:t>
      </w:r>
      <w:r w:rsidR="00C63222" w:rsidRPr="00637787">
        <w:rPr>
          <w:lang w:val="fr-FR"/>
        </w:rPr>
        <w:t>la date de dépôt antérieure de l</w:t>
      </w:r>
      <w:r w:rsidR="00E22BEA">
        <w:rPr>
          <w:lang w:val="fr-FR"/>
        </w:rPr>
        <w:t>’</w:t>
      </w:r>
      <w:r w:rsidR="00C63222" w:rsidRPr="00637787">
        <w:rPr>
          <w:lang w:val="fr-FR"/>
        </w:rPr>
        <w:t>enregistrement international</w:t>
      </w:r>
      <w:r w:rsidR="00412E85" w:rsidRPr="00637787">
        <w:rPr>
          <w:lang w:val="fr-FR"/>
        </w:rPr>
        <w:t>.</w:t>
      </w:r>
    </w:p>
    <w:p w:rsidR="00E22BEA" w:rsidRDefault="00404FD3" w:rsidP="007964C4">
      <w:pPr>
        <w:pStyle w:val="ONUMFS"/>
        <w:rPr>
          <w:lang w:val="fr-FR"/>
        </w:rPr>
      </w:pPr>
      <w:r w:rsidRPr="00637787">
        <w:rPr>
          <w:lang w:val="fr-FR"/>
        </w:rPr>
        <w:t>Des a</w:t>
      </w:r>
      <w:r w:rsidR="00412E85" w:rsidRPr="00637787">
        <w:rPr>
          <w:lang w:val="fr-FR"/>
        </w:rPr>
        <w:t xml:space="preserve">ssociations </w:t>
      </w:r>
      <w:r w:rsidRPr="00637787">
        <w:rPr>
          <w:lang w:val="fr-FR"/>
        </w:rPr>
        <w:t xml:space="preserve">de titulaires de marques et de </w:t>
      </w:r>
      <w:r w:rsidR="00412E85" w:rsidRPr="00637787">
        <w:rPr>
          <w:lang w:val="fr-FR"/>
        </w:rPr>
        <w:t>profession</w:t>
      </w:r>
      <w:r w:rsidR="00D17CE5" w:rsidRPr="00637787">
        <w:rPr>
          <w:lang w:val="fr-FR"/>
        </w:rPr>
        <w:t>ne</w:t>
      </w:r>
      <w:r w:rsidR="00412E85" w:rsidRPr="00637787">
        <w:rPr>
          <w:lang w:val="fr-FR"/>
        </w:rPr>
        <w:t xml:space="preserve">ls </w:t>
      </w:r>
      <w:r w:rsidR="00D17CE5" w:rsidRPr="00637787">
        <w:rPr>
          <w:lang w:val="fr-FR"/>
        </w:rPr>
        <w:t xml:space="preserve">des marques </w:t>
      </w:r>
      <w:r w:rsidR="00DD27C4" w:rsidRPr="00637787">
        <w:rPr>
          <w:lang w:val="fr-FR"/>
        </w:rPr>
        <w:t>partagent l</w:t>
      </w:r>
      <w:r w:rsidRPr="00637787">
        <w:rPr>
          <w:lang w:val="fr-FR"/>
        </w:rPr>
        <w:t xml:space="preserve">es préoccupations énumérées </w:t>
      </w:r>
      <w:r w:rsidR="0016279A" w:rsidRPr="00637787">
        <w:rPr>
          <w:lang w:val="fr-FR"/>
        </w:rPr>
        <w:t>précédemme</w:t>
      </w:r>
      <w:r w:rsidR="00517715" w:rsidRPr="00637787">
        <w:rPr>
          <w:lang w:val="fr-FR"/>
        </w:rPr>
        <w:t>nt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Pa</w:t>
      </w:r>
      <w:r w:rsidRPr="00637787">
        <w:rPr>
          <w:lang w:val="fr-FR"/>
        </w:rPr>
        <w:t>r exe</w:t>
      </w:r>
      <w:r w:rsidR="00412E85" w:rsidRPr="00637787">
        <w:rPr>
          <w:lang w:val="fr-FR"/>
        </w:rPr>
        <w:t xml:space="preserve">mple, </w:t>
      </w:r>
      <w:r w:rsidR="00D17CE5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D17CE5" w:rsidRPr="00637787">
        <w:rPr>
          <w:lang w:val="fr-FR"/>
        </w:rPr>
        <w:t>Association i</w:t>
      </w:r>
      <w:r w:rsidR="00412E85" w:rsidRPr="00637787">
        <w:rPr>
          <w:lang w:val="fr-FR"/>
        </w:rPr>
        <w:t>nternational</w:t>
      </w:r>
      <w:r w:rsidR="00D17CE5" w:rsidRPr="00637787">
        <w:rPr>
          <w:lang w:val="fr-FR"/>
        </w:rPr>
        <w:t xml:space="preserve">e pour les marques </w:t>
      </w:r>
      <w:r w:rsidR="00412E85" w:rsidRPr="00637787">
        <w:rPr>
          <w:lang w:val="fr-FR"/>
        </w:rPr>
        <w:t>(INTA) a indi</w:t>
      </w:r>
      <w:r w:rsidR="00D17CE5" w:rsidRPr="00637787">
        <w:rPr>
          <w:lang w:val="fr-FR"/>
        </w:rPr>
        <w:t xml:space="preserve">qué que </w:t>
      </w:r>
      <w:r w:rsidR="003057F2" w:rsidRPr="00637787">
        <w:rPr>
          <w:lang w:val="fr-FR"/>
        </w:rPr>
        <w:t>d</w:t>
      </w:r>
      <w:r w:rsidR="00D17CE5" w:rsidRPr="00637787">
        <w:rPr>
          <w:lang w:val="fr-FR"/>
        </w:rPr>
        <w:t xml:space="preserve">es titulaires de marques citent souvent la </w:t>
      </w:r>
      <w:r w:rsidR="00412E85" w:rsidRPr="00637787">
        <w:rPr>
          <w:lang w:val="fr-FR"/>
        </w:rPr>
        <w:t>d</w:t>
      </w:r>
      <w:r w:rsidR="00D17CE5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D17CE5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D17CE5" w:rsidRPr="00637787">
        <w:rPr>
          <w:lang w:val="fr-FR"/>
        </w:rPr>
        <w:t xml:space="preserve">e et la crainte </w:t>
      </w:r>
      <w:r w:rsidR="009040B8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9040B8" w:rsidRPr="00637787">
        <w:rPr>
          <w:lang w:val="fr-FR"/>
        </w:rPr>
        <w:t xml:space="preserve">actions en radiation </w:t>
      </w:r>
      <w:r w:rsidR="00412E85" w:rsidRPr="00637787">
        <w:rPr>
          <w:lang w:val="fr-FR"/>
        </w:rPr>
        <w:t>relati</w:t>
      </w:r>
      <w:r w:rsidR="002D44CE" w:rsidRPr="00637787">
        <w:rPr>
          <w:lang w:val="fr-FR"/>
        </w:rPr>
        <w:t>v</w:t>
      </w:r>
      <w:r w:rsidR="00D17CE5" w:rsidRPr="00637787">
        <w:rPr>
          <w:lang w:val="fr-FR"/>
        </w:rPr>
        <w:t xml:space="preserve">es à la marque de base </w:t>
      </w:r>
      <w:r w:rsidR="009040B8" w:rsidRPr="00637787">
        <w:rPr>
          <w:lang w:val="fr-FR"/>
        </w:rPr>
        <w:t xml:space="preserve">engagées par des tiers </w:t>
      </w:r>
      <w:r w:rsidR="00D17CE5" w:rsidRPr="00637787">
        <w:rPr>
          <w:lang w:val="fr-FR"/>
        </w:rPr>
        <w:t>comme des obstacles importants à l</w:t>
      </w:r>
      <w:r w:rsidR="00E22BEA">
        <w:rPr>
          <w:lang w:val="fr-FR"/>
        </w:rPr>
        <w:t>’</w:t>
      </w:r>
      <w:r w:rsidR="00D17CE5" w:rsidRPr="00637787">
        <w:rPr>
          <w:lang w:val="fr-FR"/>
        </w:rPr>
        <w:t xml:space="preserve">utilisation accrue du système de </w:t>
      </w:r>
      <w:r w:rsidR="00412E85" w:rsidRPr="00637787">
        <w:rPr>
          <w:lang w:val="fr-FR"/>
        </w:rPr>
        <w:t>Madrid</w:t>
      </w:r>
      <w:r w:rsidR="00412E85" w:rsidRPr="00637787">
        <w:rPr>
          <w:vertAlign w:val="superscript"/>
          <w:lang w:val="fr-FR"/>
        </w:rPr>
        <w:footnoteReference w:id="6"/>
      </w:r>
      <w:r w:rsidR="00412E85" w:rsidRPr="00637787">
        <w:rPr>
          <w:lang w:val="fr-FR"/>
        </w:rPr>
        <w:t xml:space="preserve">.  </w:t>
      </w:r>
      <w:r w:rsidR="006A4C59" w:rsidRPr="00637787">
        <w:rPr>
          <w:lang w:val="fr-FR"/>
        </w:rPr>
        <w:t xml:space="preserve">Selon </w:t>
      </w:r>
      <w:r w:rsidR="00E050FA" w:rsidRPr="00637787">
        <w:rPr>
          <w:lang w:val="fr-FR"/>
        </w:rPr>
        <w:t>MARQUES</w:t>
      </w:r>
      <w:r w:rsidR="006A4C59" w:rsidRPr="00637787">
        <w:rPr>
          <w:lang w:val="fr-FR"/>
        </w:rPr>
        <w:t> </w:t>
      </w:r>
      <w:r w:rsidR="005F1189" w:rsidRPr="00637787">
        <w:rPr>
          <w:lang w:val="fr-FR"/>
        </w:rPr>
        <w:t>–</w:t>
      </w:r>
      <w:r w:rsidR="00535658" w:rsidRPr="00637787">
        <w:rPr>
          <w:lang w:val="fr-FR"/>
        </w:rPr>
        <w:t> </w:t>
      </w:r>
      <w:r w:rsidR="005F1189" w:rsidRPr="00637787">
        <w:rPr>
          <w:lang w:val="fr-FR"/>
        </w:rPr>
        <w:t xml:space="preserve">Association </w:t>
      </w:r>
      <w:r w:rsidR="00D17CE5" w:rsidRPr="00637787">
        <w:rPr>
          <w:lang w:val="fr-FR"/>
        </w:rPr>
        <w:t>des propriétaires européens de marques de commerce</w:t>
      </w:r>
      <w:r w:rsidR="00E050FA" w:rsidRPr="00637787">
        <w:rPr>
          <w:lang w:val="fr-FR"/>
        </w:rPr>
        <w:t xml:space="preserve">, </w:t>
      </w:r>
      <w:r w:rsidR="00D17CE5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 xml:space="preserve">association </w:t>
      </w:r>
      <w:r w:rsidR="00D17CE5" w:rsidRPr="00637787">
        <w:rPr>
          <w:lang w:val="fr-FR"/>
        </w:rPr>
        <w:t xml:space="preserve">européenne </w:t>
      </w:r>
      <w:r w:rsidR="00412E85" w:rsidRPr="00637787">
        <w:rPr>
          <w:lang w:val="fr-FR"/>
        </w:rPr>
        <w:t>repr</w:t>
      </w:r>
      <w:r w:rsidR="00D17CE5" w:rsidRPr="00637787">
        <w:rPr>
          <w:lang w:val="fr-FR"/>
        </w:rPr>
        <w:t>é</w:t>
      </w:r>
      <w:r w:rsidR="00412E85" w:rsidRPr="00637787">
        <w:rPr>
          <w:lang w:val="fr-FR"/>
        </w:rPr>
        <w:t>sent</w:t>
      </w:r>
      <w:r w:rsidR="00D17CE5" w:rsidRPr="00637787">
        <w:rPr>
          <w:lang w:val="fr-FR"/>
        </w:rPr>
        <w:t xml:space="preserve">ant les </w:t>
      </w:r>
      <w:r w:rsidR="00412E85" w:rsidRPr="00637787">
        <w:rPr>
          <w:lang w:val="fr-FR"/>
        </w:rPr>
        <w:t>int</w:t>
      </w:r>
      <w:r w:rsidR="00D17CE5" w:rsidRPr="00637787">
        <w:rPr>
          <w:lang w:val="fr-FR"/>
        </w:rPr>
        <w:t>é</w:t>
      </w:r>
      <w:r w:rsidR="00412E85" w:rsidRPr="00637787">
        <w:rPr>
          <w:lang w:val="fr-FR"/>
        </w:rPr>
        <w:t>r</w:t>
      </w:r>
      <w:r w:rsidR="00D17CE5" w:rsidRPr="00637787">
        <w:rPr>
          <w:lang w:val="fr-FR"/>
        </w:rPr>
        <w:t xml:space="preserve">êts des </w:t>
      </w:r>
      <w:r w:rsidR="00C50DBD" w:rsidRPr="00637787">
        <w:rPr>
          <w:lang w:val="fr-FR"/>
        </w:rPr>
        <w:t>propriétaires de marque</w:t>
      </w:r>
      <w:r w:rsidR="00412E85" w:rsidRPr="00637787">
        <w:rPr>
          <w:lang w:val="fr-FR"/>
        </w:rPr>
        <w:t xml:space="preserve">s, </w:t>
      </w:r>
      <w:r w:rsidR="002D44CE" w:rsidRPr="00637787">
        <w:rPr>
          <w:lang w:val="fr-FR"/>
        </w:rPr>
        <w:t xml:space="preserve">de nombreux utilisateurs </w:t>
      </w:r>
      <w:r w:rsidR="002E2AA9" w:rsidRPr="00637787">
        <w:rPr>
          <w:lang w:val="fr-FR"/>
        </w:rPr>
        <w:t>ne connaiss</w:t>
      </w:r>
      <w:r w:rsidR="00BC683B" w:rsidRPr="00637787">
        <w:rPr>
          <w:lang w:val="fr-FR"/>
        </w:rPr>
        <w:t>e</w:t>
      </w:r>
      <w:r w:rsidR="002E2AA9" w:rsidRPr="00637787">
        <w:rPr>
          <w:lang w:val="fr-FR"/>
        </w:rPr>
        <w:t>nt pas l</w:t>
      </w:r>
      <w:r w:rsidR="00BC683B" w:rsidRPr="00637787">
        <w:rPr>
          <w:lang w:val="fr-FR"/>
        </w:rPr>
        <w:t>e principe de l</w:t>
      </w:r>
      <w:r w:rsidR="002E2AA9" w:rsidRPr="00637787">
        <w:rPr>
          <w:lang w:val="fr-FR"/>
        </w:rPr>
        <w:t>a dépendance</w:t>
      </w:r>
      <w:r w:rsidR="00BC683B" w:rsidRPr="00637787">
        <w:rPr>
          <w:lang w:val="fr-FR"/>
        </w:rPr>
        <w:t xml:space="preserve"> et </w:t>
      </w:r>
      <w:r w:rsidR="002E2AA9" w:rsidRPr="00637787">
        <w:rPr>
          <w:lang w:val="fr-FR"/>
        </w:rPr>
        <w:t xml:space="preserve">ignorent </w:t>
      </w:r>
      <w:r w:rsidR="00BC683B" w:rsidRPr="00637787">
        <w:rPr>
          <w:lang w:val="fr-FR"/>
        </w:rPr>
        <w:t xml:space="preserve">donc </w:t>
      </w:r>
      <w:r w:rsidR="002D44CE" w:rsidRPr="00637787">
        <w:rPr>
          <w:lang w:val="fr-FR"/>
        </w:rPr>
        <w:t>que la perte de la marque de base entraînera la radiation de l</w:t>
      </w:r>
      <w:r w:rsidR="00E22BEA">
        <w:rPr>
          <w:lang w:val="fr-FR"/>
        </w:rPr>
        <w:t>’</w:t>
      </w:r>
      <w:r w:rsidR="002D44CE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</w:t>
      </w:r>
      <w:r w:rsidR="00517715" w:rsidRPr="00637787">
        <w:rPr>
          <w:lang w:val="fr-FR"/>
        </w:rPr>
        <w:t>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La</w:t>
      </w:r>
      <w:r w:rsidR="002D44CE" w:rsidRPr="00637787">
        <w:rPr>
          <w:lang w:val="fr-FR"/>
        </w:rPr>
        <w:t xml:space="preserve"> plupart des utilisateurs </w:t>
      </w:r>
      <w:r w:rsidR="00A4203C" w:rsidRPr="00637787">
        <w:rPr>
          <w:lang w:val="fr-FR"/>
        </w:rPr>
        <w:t xml:space="preserve">connaissent encore moins </w:t>
      </w:r>
      <w:r w:rsidR="002E2AA9" w:rsidRPr="00637787">
        <w:rPr>
          <w:lang w:val="fr-FR"/>
        </w:rPr>
        <w:t xml:space="preserve">la </w:t>
      </w:r>
      <w:r w:rsidR="00412E85" w:rsidRPr="00637787">
        <w:rPr>
          <w:lang w:val="fr-FR"/>
        </w:rPr>
        <w:t>possibilit</w:t>
      </w:r>
      <w:r w:rsidR="002E2AA9" w:rsidRPr="00637787">
        <w:rPr>
          <w:lang w:val="fr-FR"/>
        </w:rPr>
        <w:t xml:space="preserve">é de </w:t>
      </w:r>
      <w:r w:rsidR="00412E85" w:rsidRPr="00637787">
        <w:rPr>
          <w:lang w:val="fr-FR"/>
        </w:rPr>
        <w:t xml:space="preserve">transformation </w:t>
      </w:r>
      <w:r w:rsidR="002E2AA9" w:rsidRPr="00637787">
        <w:rPr>
          <w:lang w:val="fr-FR"/>
        </w:rPr>
        <w:t xml:space="preserve">et le </w:t>
      </w:r>
      <w:r w:rsidR="00B01C38" w:rsidRPr="00637787">
        <w:rPr>
          <w:lang w:val="fr-FR"/>
        </w:rPr>
        <w:t>délai</w:t>
      </w:r>
      <w:r w:rsidR="00412E85" w:rsidRPr="00637787">
        <w:rPr>
          <w:lang w:val="fr-FR"/>
        </w:rPr>
        <w:t xml:space="preserve"> </w:t>
      </w:r>
      <w:r w:rsidR="00A4203C" w:rsidRPr="00637787">
        <w:rPr>
          <w:lang w:val="fr-FR"/>
        </w:rPr>
        <w:t xml:space="preserve">pour engager la </w:t>
      </w:r>
      <w:r w:rsidR="00412E85" w:rsidRPr="00637787">
        <w:rPr>
          <w:lang w:val="fr-FR"/>
        </w:rPr>
        <w:t>proc</w:t>
      </w:r>
      <w:r w:rsidR="00A4203C" w:rsidRPr="00637787">
        <w:rPr>
          <w:lang w:val="fr-FR"/>
        </w:rPr>
        <w:t>é</w:t>
      </w:r>
      <w:r w:rsidR="00412E85" w:rsidRPr="00637787">
        <w:rPr>
          <w:lang w:val="fr-FR"/>
        </w:rPr>
        <w:t xml:space="preserve">dure </w:t>
      </w:r>
      <w:r w:rsidR="00A4203C" w:rsidRPr="00637787">
        <w:rPr>
          <w:lang w:val="fr-FR"/>
        </w:rPr>
        <w:t>devant les o</w:t>
      </w:r>
      <w:r w:rsidR="00412E85" w:rsidRPr="00637787">
        <w:rPr>
          <w:lang w:val="fr-FR"/>
        </w:rPr>
        <w:t>ffices concern</w:t>
      </w:r>
      <w:r w:rsidR="00A4203C" w:rsidRPr="00637787">
        <w:rPr>
          <w:lang w:val="fr-FR"/>
        </w:rPr>
        <w:t>és</w:t>
      </w:r>
      <w:r w:rsidR="00412E85" w:rsidRPr="00637787">
        <w:rPr>
          <w:vertAlign w:val="superscript"/>
          <w:lang w:val="fr-FR"/>
        </w:rPr>
        <w:footnoteReference w:id="7"/>
      </w:r>
      <w:r w:rsidR="00E050FA" w:rsidRPr="00637787">
        <w:rPr>
          <w:lang w:val="fr-FR"/>
        </w:rPr>
        <w:t>.</w:t>
      </w:r>
    </w:p>
    <w:p w:rsidR="00E22BEA" w:rsidRDefault="002D44CE" w:rsidP="00FB56F5">
      <w:pPr>
        <w:pStyle w:val="ONUMFS"/>
        <w:keepLines/>
        <w:rPr>
          <w:lang w:val="fr-FR"/>
        </w:rPr>
      </w:pPr>
      <w:r w:rsidRPr="00637787">
        <w:rPr>
          <w:lang w:val="fr-FR"/>
        </w:rPr>
        <w:t>Quand le Bureau i</w:t>
      </w:r>
      <w:r w:rsidR="00412E85" w:rsidRPr="00637787">
        <w:rPr>
          <w:lang w:val="fr-FR"/>
        </w:rPr>
        <w:t xml:space="preserve">nternational </w:t>
      </w:r>
      <w:r w:rsidRPr="00637787">
        <w:rPr>
          <w:lang w:val="fr-FR"/>
        </w:rPr>
        <w:t xml:space="preserve">rencontre de nouveaux utilisateurs </w:t>
      </w:r>
      <w:r w:rsidR="00412E85" w:rsidRPr="00637787">
        <w:rPr>
          <w:lang w:val="fr-FR"/>
        </w:rPr>
        <w:t>potenti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ls, </w:t>
      </w:r>
      <w:r w:rsidRPr="00637787">
        <w:rPr>
          <w:lang w:val="fr-FR"/>
        </w:rPr>
        <w:t>par exe</w:t>
      </w:r>
      <w:r w:rsidR="00412E85" w:rsidRPr="00637787">
        <w:rPr>
          <w:lang w:val="fr-FR"/>
        </w:rPr>
        <w:t>mple</w:t>
      </w:r>
      <w:r w:rsidRPr="00637787">
        <w:rPr>
          <w:lang w:val="fr-FR"/>
        </w:rPr>
        <w:t xml:space="preserve"> après de nouvelles adhésions au </w:t>
      </w:r>
      <w:r w:rsidR="00115C17" w:rsidRPr="00637787">
        <w:rPr>
          <w:lang w:val="fr-FR"/>
        </w:rPr>
        <w:t>P</w:t>
      </w:r>
      <w:r w:rsidR="00412E85" w:rsidRPr="00637787">
        <w:rPr>
          <w:lang w:val="fr-FR"/>
        </w:rPr>
        <w:t>rotocol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1E63DE" w:rsidRPr="00637787">
        <w:rPr>
          <w:lang w:val="fr-FR"/>
        </w:rPr>
        <w:t>ceux</w:t>
      </w:r>
      <w:r w:rsidR="00E22BEA">
        <w:rPr>
          <w:lang w:val="fr-FR"/>
        </w:rPr>
        <w:t>-</w:t>
      </w:r>
      <w:r w:rsidR="001E63DE" w:rsidRPr="00637787">
        <w:rPr>
          <w:lang w:val="fr-FR"/>
        </w:rPr>
        <w:t xml:space="preserve">ci </w:t>
      </w:r>
      <w:r w:rsidR="00B9547B" w:rsidRPr="00637787">
        <w:rPr>
          <w:lang w:val="fr-FR"/>
        </w:rPr>
        <w:t xml:space="preserve">voient </w:t>
      </w:r>
      <w:r w:rsidR="00066F37" w:rsidRPr="00637787">
        <w:rPr>
          <w:lang w:val="fr-FR"/>
        </w:rPr>
        <w:t xml:space="preserve">souvent </w:t>
      </w:r>
      <w:r w:rsidR="001E63DE" w:rsidRPr="00637787">
        <w:rPr>
          <w:lang w:val="fr-FR"/>
        </w:rPr>
        <w:t xml:space="preserve">le principe de </w:t>
      </w:r>
      <w:r w:rsidR="00E50333" w:rsidRPr="00637787">
        <w:rPr>
          <w:lang w:val="fr-FR"/>
        </w:rPr>
        <w:t xml:space="preserve">la </w:t>
      </w:r>
      <w:r w:rsidR="001E63DE" w:rsidRPr="00637787">
        <w:rPr>
          <w:lang w:val="fr-FR"/>
        </w:rPr>
        <w:t xml:space="preserve">dépendance comme un inconvénient du système de </w:t>
      </w:r>
      <w:r w:rsidR="00412E85" w:rsidRPr="00637787">
        <w:rPr>
          <w:lang w:val="fr-FR"/>
        </w:rPr>
        <w:t>Madrid</w:t>
      </w:r>
      <w:r w:rsidR="001E63DE" w:rsidRPr="00637787">
        <w:rPr>
          <w:lang w:val="fr-FR"/>
        </w:rPr>
        <w:t>, susceptible d</w:t>
      </w:r>
      <w:r w:rsidR="00E22BEA">
        <w:rPr>
          <w:lang w:val="fr-FR"/>
        </w:rPr>
        <w:t>’</w:t>
      </w:r>
      <w:r w:rsidR="001E63DE" w:rsidRPr="00637787">
        <w:rPr>
          <w:lang w:val="fr-FR"/>
        </w:rPr>
        <w:t xml:space="preserve">amener les titulaires de marques à privilégier la voie </w:t>
      </w:r>
      <w:r w:rsidR="00412E85" w:rsidRPr="00637787">
        <w:rPr>
          <w:lang w:val="fr-FR"/>
        </w:rPr>
        <w:t>national</w:t>
      </w:r>
      <w:r w:rsidR="001E63DE" w:rsidRPr="00637787">
        <w:rPr>
          <w:lang w:val="fr-FR"/>
        </w:rPr>
        <w:t xml:space="preserve">e ou </w:t>
      </w:r>
      <w:r w:rsidR="00412E85" w:rsidRPr="00637787">
        <w:rPr>
          <w:lang w:val="fr-FR"/>
        </w:rPr>
        <w:t>r</w:t>
      </w:r>
      <w:r w:rsidR="001E63DE" w:rsidRPr="00637787">
        <w:rPr>
          <w:lang w:val="fr-FR"/>
        </w:rPr>
        <w:t>é</w:t>
      </w:r>
      <w:r w:rsidR="00412E85" w:rsidRPr="00637787">
        <w:rPr>
          <w:lang w:val="fr-FR"/>
        </w:rPr>
        <w:t xml:space="preserve">gionale </w:t>
      </w:r>
      <w:r w:rsidR="001E63DE" w:rsidRPr="00637787">
        <w:rPr>
          <w:lang w:val="fr-FR"/>
        </w:rPr>
        <w:t xml:space="preserve">pour </w:t>
      </w:r>
      <w:r w:rsidR="00412E85" w:rsidRPr="00637787">
        <w:rPr>
          <w:lang w:val="fr-FR"/>
        </w:rPr>
        <w:t>prot</w:t>
      </w:r>
      <w:r w:rsidR="001E63DE" w:rsidRPr="00637787">
        <w:rPr>
          <w:lang w:val="fr-FR"/>
        </w:rPr>
        <w:t xml:space="preserve">éger leurs </w:t>
      </w:r>
      <w:r w:rsidR="00B574B9" w:rsidRPr="00637787">
        <w:rPr>
          <w:lang w:val="fr-FR"/>
        </w:rPr>
        <w:t>marques</w:t>
      </w:r>
      <w:r w:rsidR="00412E85" w:rsidRPr="00637787">
        <w:rPr>
          <w:lang w:val="fr-FR"/>
        </w:rPr>
        <w:t>.</w:t>
      </w:r>
    </w:p>
    <w:p w:rsidR="00E22BEA" w:rsidRDefault="00805D93" w:rsidP="007964C4">
      <w:pPr>
        <w:pStyle w:val="ONUMFS"/>
        <w:rPr>
          <w:lang w:val="fr-FR"/>
        </w:rPr>
      </w:pPr>
      <w:r w:rsidRPr="00637787">
        <w:rPr>
          <w:lang w:val="fr-FR"/>
        </w:rPr>
        <w:t>Selon l</w:t>
      </w:r>
      <w:r w:rsidR="00066BEA" w:rsidRPr="00637787">
        <w:rPr>
          <w:lang w:val="fr-FR"/>
        </w:rPr>
        <w:t xml:space="preserve">e principal </w:t>
      </w:r>
      <w:r w:rsidR="00412E85" w:rsidRPr="00637787">
        <w:rPr>
          <w:lang w:val="fr-FR"/>
        </w:rPr>
        <w:t xml:space="preserve">argument </w:t>
      </w:r>
      <w:r w:rsidR="00066BEA" w:rsidRPr="00637787">
        <w:rPr>
          <w:lang w:val="fr-FR"/>
        </w:rPr>
        <w:t>e</w:t>
      </w:r>
      <w:r w:rsidR="00412E85" w:rsidRPr="00637787">
        <w:rPr>
          <w:lang w:val="fr-FR"/>
        </w:rPr>
        <w:t xml:space="preserve">n </w:t>
      </w:r>
      <w:r w:rsidRPr="00637787">
        <w:rPr>
          <w:lang w:val="fr-FR"/>
        </w:rPr>
        <w:t xml:space="preserve">sa </w:t>
      </w:r>
      <w:r w:rsidR="00412E85" w:rsidRPr="00637787">
        <w:rPr>
          <w:lang w:val="fr-FR"/>
        </w:rPr>
        <w:t>fav</w:t>
      </w:r>
      <w:r w:rsidR="00066BEA" w:rsidRPr="00637787">
        <w:rPr>
          <w:lang w:val="fr-FR"/>
        </w:rPr>
        <w:t>eur</w:t>
      </w:r>
      <w:r w:rsidR="00412E85" w:rsidRPr="00637787">
        <w:rPr>
          <w:lang w:val="fr-FR"/>
        </w:rPr>
        <w:t xml:space="preserve">, </w:t>
      </w:r>
      <w:r w:rsidR="00BE2433" w:rsidRPr="00637787">
        <w:rPr>
          <w:lang w:val="fr-FR"/>
        </w:rPr>
        <w:t xml:space="preserve">avancé par </w:t>
      </w:r>
      <w:r w:rsidR="00412E85" w:rsidRPr="00637787">
        <w:rPr>
          <w:lang w:val="fr-FR"/>
        </w:rPr>
        <w:t>certain</w:t>
      </w:r>
      <w:r w:rsidR="00BE2433" w:rsidRPr="00637787">
        <w:rPr>
          <w:lang w:val="fr-FR"/>
        </w:rPr>
        <w:t>es</w:t>
      </w:r>
      <w:r w:rsidR="00412E85" w:rsidRPr="00637787">
        <w:rPr>
          <w:lang w:val="fr-FR"/>
        </w:rPr>
        <w:t xml:space="preserve"> d</w:t>
      </w:r>
      <w:r w:rsidR="00BE2433" w:rsidRPr="00637787">
        <w:rPr>
          <w:lang w:val="fr-FR"/>
        </w:rPr>
        <w:t>é</w:t>
      </w:r>
      <w:r w:rsidR="00412E85" w:rsidRPr="00637787">
        <w:rPr>
          <w:lang w:val="fr-FR"/>
        </w:rPr>
        <w:t>l</w:t>
      </w:r>
      <w:r w:rsidR="00BE2433" w:rsidRPr="00637787">
        <w:rPr>
          <w:lang w:val="fr-FR"/>
        </w:rPr>
        <w:t>é</w:t>
      </w:r>
      <w:r w:rsidR="00412E85" w:rsidRPr="00637787">
        <w:rPr>
          <w:lang w:val="fr-FR"/>
        </w:rPr>
        <w:t xml:space="preserve">gations </w:t>
      </w:r>
      <w:r w:rsidR="00BE2433" w:rsidRPr="00637787">
        <w:rPr>
          <w:lang w:val="fr-FR"/>
        </w:rPr>
        <w:t xml:space="preserve">lors de précédentes </w:t>
      </w:r>
      <w:r w:rsidR="00412E85" w:rsidRPr="00637787">
        <w:rPr>
          <w:lang w:val="fr-FR"/>
        </w:rPr>
        <w:t xml:space="preserve">sessions </w:t>
      </w:r>
      <w:r w:rsidR="00BE2433" w:rsidRPr="00637787">
        <w:rPr>
          <w:lang w:val="fr-FR"/>
        </w:rPr>
        <w:t>du g</w:t>
      </w:r>
      <w:r w:rsidR="00412E85" w:rsidRPr="00637787">
        <w:rPr>
          <w:lang w:val="fr-FR"/>
        </w:rPr>
        <w:t>roup</w:t>
      </w:r>
      <w:r w:rsidR="00BE2433" w:rsidRPr="00637787">
        <w:rPr>
          <w:lang w:val="fr-FR"/>
        </w:rPr>
        <w:t>e de travail et partagé par certains utilisateurs ayant participé à l</w:t>
      </w:r>
      <w:r w:rsidR="00E22BEA">
        <w:rPr>
          <w:lang w:val="fr-FR"/>
        </w:rPr>
        <w:t>’</w:t>
      </w:r>
      <w:r w:rsidR="00BE2433" w:rsidRPr="00637787">
        <w:rPr>
          <w:lang w:val="fr-FR"/>
        </w:rPr>
        <w:t xml:space="preserve">enquête </w:t>
      </w:r>
      <w:r w:rsidR="0016279A" w:rsidRPr="00637787">
        <w:rPr>
          <w:lang w:val="fr-FR"/>
        </w:rPr>
        <w:t>sus</w:t>
      </w:r>
      <w:r w:rsidR="00412E85" w:rsidRPr="00637787">
        <w:rPr>
          <w:lang w:val="fr-FR"/>
        </w:rPr>
        <w:t>mention</w:t>
      </w:r>
      <w:r w:rsidR="00BE2433" w:rsidRPr="00637787">
        <w:rPr>
          <w:lang w:val="fr-FR"/>
        </w:rPr>
        <w:t>née</w:t>
      </w:r>
      <w:r w:rsidR="00412E85" w:rsidRPr="00637787">
        <w:rPr>
          <w:lang w:val="fr-FR"/>
        </w:rPr>
        <w:t xml:space="preserve">, </w:t>
      </w:r>
      <w:r w:rsidRPr="00637787">
        <w:rPr>
          <w:lang w:val="fr-FR"/>
        </w:rPr>
        <w:t xml:space="preserve">le maintien du principe de la dépendance fournit aux tiers un mécanisme de défense </w:t>
      </w:r>
      <w:r w:rsidR="00412E85" w:rsidRPr="00637787">
        <w:rPr>
          <w:lang w:val="fr-FR"/>
        </w:rPr>
        <w:t>eff</w:t>
      </w:r>
      <w:r w:rsidRPr="00637787">
        <w:rPr>
          <w:lang w:val="fr-FR"/>
        </w:rPr>
        <w:t xml:space="preserve">icace et </w:t>
      </w:r>
      <w:r w:rsidR="00412E85" w:rsidRPr="00637787">
        <w:rPr>
          <w:lang w:val="fr-FR"/>
        </w:rPr>
        <w:t>centrali</w:t>
      </w:r>
      <w:r w:rsidRPr="00637787">
        <w:rPr>
          <w:lang w:val="fr-FR"/>
        </w:rPr>
        <w:t>sé qu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ils peuvent utiliser pour </w:t>
      </w:r>
      <w:r w:rsidR="00412E85" w:rsidRPr="00637787">
        <w:rPr>
          <w:lang w:val="fr-FR"/>
        </w:rPr>
        <w:t>obt</w:t>
      </w:r>
      <w:r w:rsidRPr="00637787">
        <w:rPr>
          <w:lang w:val="fr-FR"/>
        </w:rPr>
        <w:t xml:space="preserve">enir la radiation de marques </w:t>
      </w:r>
      <w:r w:rsidR="00412E85" w:rsidRPr="00637787">
        <w:rPr>
          <w:lang w:val="fr-FR"/>
        </w:rPr>
        <w:t>prot</w:t>
      </w:r>
      <w:r w:rsidRPr="00637787">
        <w:rPr>
          <w:lang w:val="fr-FR"/>
        </w:rPr>
        <w:t xml:space="preserve">égées sur </w:t>
      </w:r>
      <w:r w:rsidR="00412E85" w:rsidRPr="00637787">
        <w:rPr>
          <w:lang w:val="fr-FR"/>
        </w:rPr>
        <w:t>diff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rent</w:t>
      </w:r>
      <w:r w:rsidRPr="00637787">
        <w:rPr>
          <w:lang w:val="fr-FR"/>
        </w:rPr>
        <w:t>s</w:t>
      </w:r>
      <w:r w:rsidR="00412E85" w:rsidRPr="00637787">
        <w:rPr>
          <w:lang w:val="fr-FR"/>
        </w:rPr>
        <w:t xml:space="preserve"> mar</w:t>
      </w:r>
      <w:r w:rsidRPr="00637787">
        <w:rPr>
          <w:lang w:val="fr-FR"/>
        </w:rPr>
        <w:t>ch</w:t>
      </w:r>
      <w:r w:rsidR="00517715" w:rsidRPr="00637787">
        <w:rPr>
          <w:lang w:val="fr-FR"/>
        </w:rPr>
        <w:t>és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Ce</w:t>
      </w:r>
      <w:r w:rsidRPr="00637787">
        <w:rPr>
          <w:lang w:val="fr-FR"/>
        </w:rPr>
        <w:t xml:space="preserve">s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l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gations e</w:t>
      </w:r>
      <w:r w:rsidRPr="00637787">
        <w:rPr>
          <w:lang w:val="fr-FR"/>
        </w:rPr>
        <w:t>stiment donc qu</w:t>
      </w:r>
      <w:r w:rsidR="00E22BEA">
        <w:rPr>
          <w:lang w:val="fr-FR"/>
        </w:rPr>
        <w:t>’</w:t>
      </w:r>
      <w:r w:rsidR="00BE2433" w:rsidRPr="00637787">
        <w:rPr>
          <w:lang w:val="fr-FR"/>
        </w:rPr>
        <w:t xml:space="preserve">en </w:t>
      </w:r>
      <w:r w:rsidR="00412E85" w:rsidRPr="00637787">
        <w:rPr>
          <w:lang w:val="fr-FR"/>
        </w:rPr>
        <w:t>pr</w:t>
      </w:r>
      <w:r w:rsidR="00BE2433" w:rsidRPr="00637787">
        <w:rPr>
          <w:lang w:val="fr-FR"/>
        </w:rPr>
        <w:t>é</w:t>
      </w:r>
      <w:r w:rsidR="00412E85" w:rsidRPr="00637787">
        <w:rPr>
          <w:lang w:val="fr-FR"/>
        </w:rPr>
        <w:t>serv</w:t>
      </w:r>
      <w:r w:rsidR="00BE2433" w:rsidRPr="00637787">
        <w:rPr>
          <w:lang w:val="fr-FR"/>
        </w:rPr>
        <w:t xml:space="preserve">ant la </w:t>
      </w:r>
      <w:r w:rsidR="00412E85" w:rsidRPr="00637787">
        <w:rPr>
          <w:lang w:val="fr-FR"/>
        </w:rPr>
        <w:t>d</w:t>
      </w:r>
      <w:r w:rsidR="00BE2433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BE2433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BE2433"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BE2433" w:rsidRPr="00637787">
        <w:rPr>
          <w:lang w:val="fr-FR"/>
        </w:rPr>
        <w:t xml:space="preserve">le système de </w:t>
      </w:r>
      <w:r w:rsidR="00412E85" w:rsidRPr="00637787">
        <w:rPr>
          <w:lang w:val="fr-FR"/>
        </w:rPr>
        <w:t>Madrid garant</w:t>
      </w:r>
      <w:r w:rsidR="00BE2433" w:rsidRPr="00637787">
        <w:rPr>
          <w:lang w:val="fr-FR"/>
        </w:rPr>
        <w:t xml:space="preserve">it un juste équilibre entre les </w:t>
      </w:r>
      <w:r w:rsidR="00412E85" w:rsidRPr="00637787">
        <w:rPr>
          <w:lang w:val="fr-FR"/>
        </w:rPr>
        <w:t>int</w:t>
      </w:r>
      <w:r w:rsidR="00BE2433" w:rsidRPr="00637787">
        <w:rPr>
          <w:lang w:val="fr-FR"/>
        </w:rPr>
        <w:t>é</w:t>
      </w:r>
      <w:r w:rsidR="00412E85" w:rsidRPr="00637787">
        <w:rPr>
          <w:lang w:val="fr-FR"/>
        </w:rPr>
        <w:t>r</w:t>
      </w:r>
      <w:r w:rsidR="00BE2433" w:rsidRPr="00637787">
        <w:rPr>
          <w:lang w:val="fr-FR"/>
        </w:rPr>
        <w:t>ê</w:t>
      </w:r>
      <w:r w:rsidR="00412E85" w:rsidRPr="00637787">
        <w:rPr>
          <w:lang w:val="fr-FR"/>
        </w:rPr>
        <w:t xml:space="preserve">ts </w:t>
      </w:r>
      <w:r w:rsidR="00BE2433" w:rsidRPr="00637787">
        <w:rPr>
          <w:lang w:val="fr-FR"/>
        </w:rPr>
        <w:t>des tiers et ceux des titulaires d</w:t>
      </w:r>
      <w:r w:rsidR="00E22BEA">
        <w:rPr>
          <w:lang w:val="fr-FR"/>
        </w:rPr>
        <w:t>’</w:t>
      </w:r>
      <w:r w:rsidR="00BE2433"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="00BE2433" w:rsidRPr="00637787">
        <w:rPr>
          <w:lang w:val="fr-FR"/>
        </w:rPr>
        <w:t>ux</w:t>
      </w:r>
      <w:r w:rsidR="00412E85" w:rsidRPr="00637787">
        <w:rPr>
          <w:lang w:val="fr-FR"/>
        </w:rPr>
        <w:t>.</w:t>
      </w:r>
    </w:p>
    <w:p w:rsidR="00E22BEA" w:rsidRDefault="00E50333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En réalité cependant, le principe de la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 xml:space="preserve">nce, </w:t>
      </w:r>
      <w:r w:rsidRPr="00637787">
        <w:rPr>
          <w:lang w:val="fr-FR"/>
        </w:rPr>
        <w:t>dans sa forme actuelle</w:t>
      </w:r>
      <w:r w:rsidR="00412E85" w:rsidRPr="00637787">
        <w:rPr>
          <w:lang w:val="fr-FR"/>
        </w:rPr>
        <w:t>, cr</w:t>
      </w:r>
      <w:r w:rsidRPr="00637787">
        <w:rPr>
          <w:lang w:val="fr-FR"/>
        </w:rPr>
        <w:t xml:space="preserve">ée un fort déséquilibre qui </w:t>
      </w:r>
      <w:r w:rsidR="00412E85" w:rsidRPr="00637787">
        <w:rPr>
          <w:lang w:val="fr-FR"/>
        </w:rPr>
        <w:t>favor</w:t>
      </w:r>
      <w:r w:rsidRPr="00637787">
        <w:rPr>
          <w:lang w:val="fr-FR"/>
        </w:rPr>
        <w:t>ise le</w:t>
      </w:r>
      <w:r w:rsidR="00412E85" w:rsidRPr="00637787">
        <w:rPr>
          <w:lang w:val="fr-FR"/>
        </w:rPr>
        <w:t>s int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r</w:t>
      </w:r>
      <w:r w:rsidRPr="00637787">
        <w:rPr>
          <w:lang w:val="fr-FR"/>
        </w:rPr>
        <w:t>êts des tiers au détriment des droits des titulair</w:t>
      </w:r>
      <w:r w:rsidR="00517715" w:rsidRPr="00637787">
        <w:rPr>
          <w:lang w:val="fr-FR"/>
        </w:rPr>
        <w:t>es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Il</w:t>
      </w:r>
      <w:r w:rsidR="00412E85" w:rsidRPr="00637787">
        <w:rPr>
          <w:lang w:val="fr-FR"/>
        </w:rPr>
        <w:t xml:space="preserve"> </w:t>
      </w:r>
      <w:r w:rsidRPr="00637787">
        <w:rPr>
          <w:lang w:val="fr-FR"/>
        </w:rPr>
        <w:t>s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appli</w:t>
      </w:r>
      <w:r w:rsidRPr="00637787">
        <w:rPr>
          <w:lang w:val="fr-FR"/>
        </w:rPr>
        <w:t xml:space="preserve">que même dans des </w:t>
      </w:r>
      <w:r w:rsidR="00412E85" w:rsidRPr="00637787">
        <w:rPr>
          <w:lang w:val="fr-FR"/>
        </w:rPr>
        <w:t xml:space="preserve">situations </w:t>
      </w:r>
      <w:r w:rsidRPr="00637787">
        <w:rPr>
          <w:lang w:val="fr-FR"/>
        </w:rPr>
        <w:t xml:space="preserve">autres que </w:t>
      </w:r>
      <w:r w:rsidR="00E70DD0" w:rsidRPr="00637787">
        <w:rPr>
          <w:lang w:val="fr-FR"/>
        </w:rPr>
        <w:t xml:space="preserve">celle où un tiers </w:t>
      </w:r>
      <w:r w:rsidRPr="00637787">
        <w:rPr>
          <w:lang w:val="fr-FR"/>
        </w:rPr>
        <w:t>prot</w:t>
      </w:r>
      <w:r w:rsidR="00E70DD0" w:rsidRPr="00637787">
        <w:rPr>
          <w:lang w:val="fr-FR"/>
        </w:rPr>
        <w:t xml:space="preserve">ège </w:t>
      </w:r>
      <w:r w:rsidRPr="00637787">
        <w:rPr>
          <w:lang w:val="fr-FR"/>
        </w:rPr>
        <w:t xml:space="preserve">ses droits </w:t>
      </w:r>
      <w:r w:rsidR="00E70DD0" w:rsidRPr="00637787">
        <w:rPr>
          <w:lang w:val="fr-FR"/>
        </w:rPr>
        <w:t xml:space="preserve">en contestant la marque de </w:t>
      </w:r>
      <w:r w:rsidR="00412E85" w:rsidRPr="00637787">
        <w:rPr>
          <w:lang w:val="fr-FR"/>
        </w:rPr>
        <w:t>bas</w:t>
      </w:r>
      <w:r w:rsidR="00E70DD0" w:rsidRPr="00637787">
        <w:rPr>
          <w:lang w:val="fr-FR"/>
        </w:rPr>
        <w:t>e</w:t>
      </w:r>
      <w:r w:rsidR="00412E85" w:rsidRPr="00637787">
        <w:rPr>
          <w:lang w:val="fr-FR"/>
        </w:rPr>
        <w:t>, a</w:t>
      </w:r>
      <w:r w:rsidR="00E70DD0" w:rsidRPr="00637787">
        <w:rPr>
          <w:lang w:val="fr-FR"/>
        </w:rPr>
        <w:t>insi que l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international, </w:t>
      </w:r>
      <w:r w:rsidR="00E70DD0" w:rsidRPr="00637787">
        <w:rPr>
          <w:lang w:val="fr-FR"/>
        </w:rPr>
        <w:t>e</w:t>
      </w:r>
      <w:r w:rsidR="00412E85" w:rsidRPr="00637787">
        <w:rPr>
          <w:lang w:val="fr-FR"/>
        </w:rPr>
        <w:t xml:space="preserve">n </w:t>
      </w:r>
      <w:r w:rsidR="00E70DD0" w:rsidRPr="00637787">
        <w:rPr>
          <w:lang w:val="fr-FR"/>
        </w:rPr>
        <w:t>invoquant des motifs c</w:t>
      </w:r>
      <w:r w:rsidR="00391C8B" w:rsidRPr="00637787">
        <w:rPr>
          <w:lang w:val="fr-FR"/>
        </w:rPr>
        <w:t>omme un</w:t>
      </w:r>
      <w:r w:rsidR="00E70DD0" w:rsidRPr="00637787">
        <w:rPr>
          <w:lang w:val="fr-FR"/>
        </w:rPr>
        <w:t xml:space="preserve"> risque </w:t>
      </w:r>
      <w:r w:rsidR="00391C8B" w:rsidRPr="00637787">
        <w:rPr>
          <w:lang w:val="fr-FR"/>
        </w:rPr>
        <w:t>de c</w:t>
      </w:r>
      <w:r w:rsidR="00412E85" w:rsidRPr="00637787">
        <w:rPr>
          <w:lang w:val="fr-FR"/>
        </w:rPr>
        <w:t>onfusion o</w:t>
      </w:r>
      <w:r w:rsidR="00391C8B" w:rsidRPr="00637787">
        <w:rPr>
          <w:lang w:val="fr-FR"/>
        </w:rPr>
        <w:t>u la mauvaise foi</w:t>
      </w:r>
      <w:r w:rsidR="00412E85" w:rsidRPr="00637787">
        <w:rPr>
          <w:lang w:val="fr-FR"/>
        </w:rPr>
        <w:t>.</w:t>
      </w:r>
    </w:p>
    <w:p w:rsidR="00E22BEA" w:rsidRDefault="00805D93" w:rsidP="007964C4">
      <w:pPr>
        <w:pStyle w:val="ONUMFS"/>
        <w:rPr>
          <w:lang w:val="fr-FR"/>
        </w:rPr>
      </w:pPr>
      <w:r w:rsidRPr="00637787">
        <w:rPr>
          <w:lang w:val="fr-FR"/>
        </w:rPr>
        <w:t>L</w:t>
      </w:r>
      <w:r w:rsidR="00391C8B" w:rsidRPr="00637787">
        <w:rPr>
          <w:lang w:val="fr-FR"/>
        </w:rPr>
        <w:t>es in</w:t>
      </w:r>
      <w:r w:rsidR="00412E85" w:rsidRPr="00637787">
        <w:rPr>
          <w:lang w:val="fr-FR"/>
        </w:rPr>
        <w:t>formation</w:t>
      </w:r>
      <w:r w:rsidR="00391C8B" w:rsidRPr="00637787">
        <w:rPr>
          <w:lang w:val="fr-FR"/>
        </w:rPr>
        <w:t xml:space="preserve">s sur les demandes </w:t>
      </w:r>
      <w:r w:rsidR="00E70DD0" w:rsidRPr="00637787">
        <w:rPr>
          <w:lang w:val="fr-FR"/>
        </w:rPr>
        <w:t xml:space="preserve">de radiation </w:t>
      </w:r>
      <w:r w:rsidR="000654A0" w:rsidRPr="00637787">
        <w:rPr>
          <w:lang w:val="fr-FR"/>
        </w:rPr>
        <w:t>en raison de la</w:t>
      </w:r>
      <w:r w:rsidR="00E70DD0" w:rsidRPr="00637787">
        <w:rPr>
          <w:lang w:val="fr-FR"/>
        </w:rPr>
        <w:t xml:space="preserve"> </w:t>
      </w:r>
      <w:r w:rsidR="00F6636A" w:rsidRPr="00637787">
        <w:rPr>
          <w:lang w:val="fr-FR"/>
        </w:rPr>
        <w:t xml:space="preserve">cessation des effets de la marque de </w:t>
      </w:r>
      <w:r w:rsidR="00412E85" w:rsidRPr="00637787">
        <w:rPr>
          <w:lang w:val="fr-FR"/>
        </w:rPr>
        <w:t>bas</w:t>
      </w:r>
      <w:r w:rsidR="00F6636A" w:rsidRPr="00637787">
        <w:rPr>
          <w:lang w:val="fr-FR"/>
        </w:rPr>
        <w:t>e</w:t>
      </w:r>
      <w:r w:rsidR="00412E85" w:rsidRPr="00637787">
        <w:rPr>
          <w:lang w:val="fr-FR"/>
        </w:rPr>
        <w:t xml:space="preserve"> </w:t>
      </w:r>
      <w:r w:rsidR="00391C8B" w:rsidRPr="00637787">
        <w:rPr>
          <w:lang w:val="fr-FR"/>
        </w:rPr>
        <w:t>montrent que ces demandes ne sont pas, pour la plupart</w:t>
      </w:r>
      <w:r w:rsidR="00412E85" w:rsidRPr="00637787">
        <w:rPr>
          <w:lang w:val="fr-FR"/>
        </w:rPr>
        <w:t xml:space="preserve">, </w:t>
      </w:r>
      <w:r w:rsidR="00391C8B" w:rsidRPr="00637787">
        <w:rPr>
          <w:lang w:val="fr-FR"/>
        </w:rPr>
        <w:t xml:space="preserve">le </w:t>
      </w:r>
      <w:r w:rsidR="00412E85" w:rsidRPr="00637787">
        <w:rPr>
          <w:lang w:val="fr-FR"/>
        </w:rPr>
        <w:t>r</w:t>
      </w:r>
      <w:r w:rsidR="00391C8B" w:rsidRPr="00637787">
        <w:rPr>
          <w:lang w:val="fr-FR"/>
        </w:rPr>
        <w:t>é</w:t>
      </w:r>
      <w:r w:rsidR="00412E85" w:rsidRPr="00637787">
        <w:rPr>
          <w:lang w:val="fr-FR"/>
        </w:rPr>
        <w:t>sult</w:t>
      </w:r>
      <w:r w:rsidR="00391C8B" w:rsidRPr="00637787">
        <w:rPr>
          <w:lang w:val="fr-FR"/>
        </w:rPr>
        <w:t>at d</w:t>
      </w:r>
      <w:r w:rsidR="00E22BEA">
        <w:rPr>
          <w:lang w:val="fr-FR"/>
        </w:rPr>
        <w:t>’</w:t>
      </w:r>
      <w:r w:rsidR="00391C8B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 xml:space="preserve">action </w:t>
      </w:r>
      <w:r w:rsidR="00413908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3908" w:rsidRPr="00637787">
        <w:rPr>
          <w:lang w:val="fr-FR"/>
        </w:rPr>
        <w:t xml:space="preserve">un tiers </w:t>
      </w:r>
      <w:r w:rsidR="00391C8B" w:rsidRPr="00637787">
        <w:rPr>
          <w:lang w:val="fr-FR"/>
        </w:rPr>
        <w:t>contre la marque de ba</w:t>
      </w:r>
      <w:r w:rsidR="00517715" w:rsidRPr="00637787">
        <w:rPr>
          <w:lang w:val="fr-FR"/>
        </w:rPr>
        <w:t>se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391C8B" w:rsidRPr="00637787">
        <w:rPr>
          <w:lang w:val="fr-FR"/>
        </w:rPr>
        <w:t xml:space="preserve"> g</w:t>
      </w:r>
      <w:r w:rsidR="00412E85" w:rsidRPr="00637787">
        <w:rPr>
          <w:lang w:val="fr-FR"/>
        </w:rPr>
        <w:t>roup</w:t>
      </w:r>
      <w:r w:rsidR="00391C8B" w:rsidRPr="00637787">
        <w:rPr>
          <w:lang w:val="fr-FR"/>
        </w:rPr>
        <w:t xml:space="preserve">e de travail </w:t>
      </w:r>
      <w:r w:rsidR="00CF2067" w:rsidRPr="00637787">
        <w:rPr>
          <w:lang w:val="fr-FR"/>
        </w:rPr>
        <w:t xml:space="preserve">a examiné ces </w:t>
      </w:r>
      <w:r w:rsidR="00412E85" w:rsidRPr="00637787">
        <w:rPr>
          <w:lang w:val="fr-FR"/>
        </w:rPr>
        <w:t>information</w:t>
      </w:r>
      <w:r w:rsidR="00CF2067" w:rsidRPr="00637787">
        <w:rPr>
          <w:lang w:val="fr-FR"/>
        </w:rPr>
        <w:t>s</w:t>
      </w:r>
      <w:r w:rsidR="00412E85" w:rsidRPr="00637787">
        <w:rPr>
          <w:lang w:val="fr-FR"/>
        </w:rPr>
        <w:t xml:space="preserve">, </w:t>
      </w:r>
      <w:r w:rsidR="00CF2067" w:rsidRPr="00637787">
        <w:rPr>
          <w:lang w:val="fr-FR"/>
        </w:rPr>
        <w:t xml:space="preserve">fournies par les </w:t>
      </w:r>
      <w:r w:rsidR="00E70DD0" w:rsidRPr="00637787">
        <w:rPr>
          <w:lang w:val="fr-FR"/>
        </w:rPr>
        <w:t>o</w:t>
      </w:r>
      <w:r w:rsidR="00412E85" w:rsidRPr="00637787">
        <w:rPr>
          <w:lang w:val="fr-FR"/>
        </w:rPr>
        <w:t xml:space="preserve">ffices </w:t>
      </w:r>
      <w:r w:rsidR="00CF2067" w:rsidRPr="00637787">
        <w:rPr>
          <w:lang w:val="fr-FR"/>
        </w:rPr>
        <w:t>des p</w:t>
      </w:r>
      <w:r w:rsidR="00412E85" w:rsidRPr="00637787">
        <w:rPr>
          <w:lang w:val="fr-FR"/>
        </w:rPr>
        <w:t>arties</w:t>
      </w:r>
      <w:r w:rsidR="00CF2067" w:rsidRPr="00637787">
        <w:rPr>
          <w:lang w:val="fr-FR"/>
        </w:rPr>
        <w:t xml:space="preserve"> contractantes</w:t>
      </w:r>
      <w:r w:rsidR="00412E85" w:rsidRPr="00637787">
        <w:rPr>
          <w:lang w:val="fr-FR"/>
        </w:rPr>
        <w:t xml:space="preserve">, </w:t>
      </w:r>
      <w:r w:rsidR="00CF2067" w:rsidRPr="00637787">
        <w:rPr>
          <w:lang w:val="fr-FR"/>
        </w:rPr>
        <w:t>à sa neuv</w:t>
      </w:r>
      <w:r w:rsidR="00E22BEA">
        <w:rPr>
          <w:lang w:val="fr-FR"/>
        </w:rPr>
        <w:t>ième session</w:t>
      </w:r>
      <w:r w:rsidR="00412E85" w:rsidRPr="00637787">
        <w:rPr>
          <w:vertAlign w:val="superscript"/>
          <w:lang w:val="fr-FR"/>
        </w:rPr>
        <w:footnoteReference w:id="8"/>
      </w:r>
      <w:r w:rsidR="00412E85" w:rsidRPr="00637787">
        <w:rPr>
          <w:lang w:val="fr-FR"/>
        </w:rPr>
        <w:t xml:space="preserve">.  </w:t>
      </w:r>
      <w:r w:rsidR="00CF2067" w:rsidRPr="00637787">
        <w:rPr>
          <w:lang w:val="fr-FR"/>
        </w:rPr>
        <w:t xml:space="preserve">Dans la plupart des </w:t>
      </w:r>
      <w:r w:rsidR="00412E85" w:rsidRPr="00637787">
        <w:rPr>
          <w:lang w:val="fr-FR"/>
        </w:rPr>
        <w:t xml:space="preserve">cas, </w:t>
      </w:r>
      <w:r w:rsidR="00CF2067" w:rsidRPr="00637787">
        <w:rPr>
          <w:lang w:val="fr-FR"/>
        </w:rPr>
        <w:t xml:space="preserve">les </w:t>
      </w:r>
      <w:r w:rsidR="00E70DD0" w:rsidRPr="00637787">
        <w:rPr>
          <w:lang w:val="fr-FR"/>
        </w:rPr>
        <w:t>o</w:t>
      </w:r>
      <w:r w:rsidR="00412E85" w:rsidRPr="00637787">
        <w:rPr>
          <w:lang w:val="fr-FR"/>
        </w:rPr>
        <w:t>ffices indi</w:t>
      </w:r>
      <w:r w:rsidR="00CF2067" w:rsidRPr="00637787">
        <w:rPr>
          <w:lang w:val="fr-FR"/>
        </w:rPr>
        <w:t xml:space="preserve">quaient que la </w:t>
      </w:r>
      <w:r w:rsidRPr="00637787">
        <w:rPr>
          <w:lang w:val="fr-FR"/>
        </w:rPr>
        <w:t xml:space="preserve">marque de base </w:t>
      </w:r>
      <w:r w:rsidR="00CF2067" w:rsidRPr="00637787">
        <w:rPr>
          <w:lang w:val="fr-FR"/>
        </w:rPr>
        <w:t>cessai</w:t>
      </w:r>
      <w:r w:rsidRPr="00637787">
        <w:rPr>
          <w:lang w:val="fr-FR"/>
        </w:rPr>
        <w:t>t de produire s</w:t>
      </w:r>
      <w:r w:rsidR="00CF2067" w:rsidRPr="00637787">
        <w:rPr>
          <w:lang w:val="fr-FR"/>
        </w:rPr>
        <w:t xml:space="preserve">es effets </w:t>
      </w:r>
      <w:r w:rsidRPr="00637787">
        <w:rPr>
          <w:lang w:val="fr-FR"/>
        </w:rPr>
        <w:t xml:space="preserve">en raison </w:t>
      </w:r>
      <w:r w:rsidR="00CF2067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 xml:space="preserve">objections </w:t>
      </w:r>
      <w:r w:rsidR="00CF2067" w:rsidRPr="00637787">
        <w:rPr>
          <w:lang w:val="fr-FR"/>
        </w:rPr>
        <w:t xml:space="preserve">soulevées </w:t>
      </w:r>
      <w:r w:rsidR="00E70DD0" w:rsidRPr="00637787">
        <w:rPr>
          <w:lang w:val="fr-FR"/>
        </w:rPr>
        <w:t xml:space="preserve">par </w:t>
      </w:r>
      <w:r w:rsidR="00CF2067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CF2067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CF2067" w:rsidRPr="00637787">
        <w:rPr>
          <w:lang w:val="fr-FR"/>
        </w:rPr>
        <w:t>e pendant le processus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exam</w:t>
      </w:r>
      <w:r w:rsidR="00CF2067" w:rsidRPr="00637787">
        <w:rPr>
          <w:lang w:val="fr-FR"/>
        </w:rPr>
        <w:t>e</w:t>
      </w:r>
      <w:r w:rsidR="00412E85" w:rsidRPr="00637787">
        <w:rPr>
          <w:lang w:val="fr-FR"/>
        </w:rPr>
        <w:t xml:space="preserve">n, </w:t>
      </w:r>
      <w:r w:rsidR="00CF2067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CF2067" w:rsidRPr="00637787">
        <w:rPr>
          <w:lang w:val="fr-FR"/>
        </w:rPr>
        <w:t xml:space="preserve">actions de tiers sans </w:t>
      </w:r>
      <w:r w:rsidR="00412E85" w:rsidRPr="00637787">
        <w:rPr>
          <w:lang w:val="fr-FR"/>
        </w:rPr>
        <w:t xml:space="preserve">intention </w:t>
      </w:r>
      <w:r w:rsidR="00BC46A3" w:rsidRPr="00637787">
        <w:rPr>
          <w:lang w:val="fr-FR"/>
        </w:rPr>
        <w:t>exprimée de contester l</w:t>
      </w:r>
      <w:r w:rsidR="00E22BEA">
        <w:rPr>
          <w:lang w:val="fr-FR"/>
        </w:rPr>
        <w:t>’</w:t>
      </w:r>
      <w:r w:rsidR="00BC46A3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 concern</w:t>
      </w:r>
      <w:r w:rsidR="00BC46A3" w:rsidRPr="00637787">
        <w:rPr>
          <w:lang w:val="fr-FR"/>
        </w:rPr>
        <w:t>é</w:t>
      </w:r>
      <w:r w:rsidR="00412E85" w:rsidRPr="00637787">
        <w:rPr>
          <w:lang w:val="fr-FR"/>
        </w:rPr>
        <w:t>, o</w:t>
      </w:r>
      <w:r w:rsidR="00131A83" w:rsidRPr="00637787">
        <w:rPr>
          <w:lang w:val="fr-FR"/>
        </w:rPr>
        <w:t>u d</w:t>
      </w:r>
      <w:r w:rsidR="00E22BEA">
        <w:rPr>
          <w:lang w:val="fr-FR"/>
        </w:rPr>
        <w:t>’</w:t>
      </w:r>
      <w:r w:rsidR="00131A83" w:rsidRPr="00637787">
        <w:rPr>
          <w:lang w:val="fr-FR"/>
        </w:rPr>
        <w:t>un défaut d</w:t>
      </w:r>
      <w:r w:rsidR="005110E2" w:rsidRPr="00637787">
        <w:rPr>
          <w:lang w:val="fr-FR"/>
        </w:rPr>
        <w:t xml:space="preserve">e poursuite </w:t>
      </w:r>
      <w:r w:rsidR="00F67914">
        <w:rPr>
          <w:lang w:val="fr-FR"/>
        </w:rPr>
        <w:t xml:space="preserve">de la procédure d’enregistrement </w:t>
      </w:r>
      <w:r w:rsidR="00131A83" w:rsidRPr="00637787">
        <w:rPr>
          <w:lang w:val="fr-FR"/>
        </w:rPr>
        <w:t>ou de maint</w:t>
      </w:r>
      <w:r w:rsidR="004C4CE4" w:rsidRPr="00637787">
        <w:rPr>
          <w:lang w:val="fr-FR"/>
        </w:rPr>
        <w:t>i</w:t>
      </w:r>
      <w:r w:rsidR="00131A83" w:rsidRPr="00637787">
        <w:rPr>
          <w:lang w:val="fr-FR"/>
        </w:rPr>
        <w:t>en</w:t>
      </w:r>
      <w:r w:rsidR="004C4CE4" w:rsidRPr="00637787">
        <w:rPr>
          <w:lang w:val="fr-FR"/>
        </w:rPr>
        <w:t xml:space="preserve"> en vigueur de</w:t>
      </w:r>
      <w:r w:rsidR="00131A83" w:rsidRPr="00637787">
        <w:rPr>
          <w:lang w:val="fr-FR"/>
        </w:rPr>
        <w:t xml:space="preserve"> la marque de base par le titulaire</w:t>
      </w:r>
      <w:r w:rsidR="00412E85" w:rsidRPr="00637787">
        <w:rPr>
          <w:lang w:val="fr-FR"/>
        </w:rPr>
        <w:t>.</w:t>
      </w:r>
    </w:p>
    <w:p w:rsidR="00E22BEA" w:rsidRDefault="0016279A" w:rsidP="007964C4">
      <w:pPr>
        <w:pStyle w:val="ONUMFS"/>
        <w:rPr>
          <w:lang w:val="fr-FR"/>
        </w:rPr>
      </w:pPr>
      <w:r w:rsidRPr="00637787">
        <w:rPr>
          <w:lang w:val="fr-FR"/>
        </w:rPr>
        <w:t>Au vu d</w:t>
      </w:r>
      <w:r w:rsidR="00BC46A3" w:rsidRPr="00637787">
        <w:rPr>
          <w:lang w:val="fr-FR"/>
        </w:rPr>
        <w:t>esdites</w:t>
      </w:r>
      <w:r w:rsidR="00412E85" w:rsidRPr="00637787">
        <w:rPr>
          <w:lang w:val="fr-FR"/>
        </w:rPr>
        <w:t xml:space="preserve"> information</w:t>
      </w:r>
      <w:r w:rsidR="00BC46A3" w:rsidRPr="00637787">
        <w:rPr>
          <w:lang w:val="fr-FR"/>
        </w:rPr>
        <w:t>s</w:t>
      </w:r>
      <w:r w:rsidRPr="00637787">
        <w:rPr>
          <w:lang w:val="fr-FR"/>
        </w:rPr>
        <w:t xml:space="preserve"> et d</w:t>
      </w:r>
      <w:r w:rsidR="00BC46A3" w:rsidRPr="00637787">
        <w:rPr>
          <w:lang w:val="fr-FR"/>
        </w:rPr>
        <w:t xml:space="preserve">es préoccupations </w:t>
      </w:r>
      <w:r w:rsidR="00E70DD0" w:rsidRPr="00637787">
        <w:rPr>
          <w:lang w:val="fr-FR"/>
        </w:rPr>
        <w:t>exprimées</w:t>
      </w:r>
      <w:r w:rsidR="00BC46A3" w:rsidRPr="00637787">
        <w:rPr>
          <w:lang w:val="fr-FR"/>
        </w:rPr>
        <w:t xml:space="preserve"> par les utilisateurs </w:t>
      </w:r>
      <w:r w:rsidRPr="00637787">
        <w:rPr>
          <w:lang w:val="fr-FR"/>
        </w:rPr>
        <w:t xml:space="preserve">susmentionnés, il apparaît clairement que le principe de la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 xml:space="preserve">nce, </w:t>
      </w:r>
      <w:r w:rsidRPr="00637787">
        <w:rPr>
          <w:lang w:val="fr-FR"/>
        </w:rPr>
        <w:t>s</w:t>
      </w:r>
      <w:r w:rsidR="00E22BEA">
        <w:rPr>
          <w:lang w:val="fr-FR"/>
        </w:rPr>
        <w:t>’</w:t>
      </w:r>
      <w:r w:rsidRPr="00637787">
        <w:rPr>
          <w:lang w:val="fr-FR"/>
        </w:rPr>
        <w:t>il dote les tiers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 mécanisme </w:t>
      </w:r>
      <w:r w:rsidR="00412E85" w:rsidRPr="00637787">
        <w:rPr>
          <w:lang w:val="fr-FR"/>
        </w:rPr>
        <w:t>eff</w:t>
      </w:r>
      <w:r w:rsidRPr="00637787">
        <w:rPr>
          <w:lang w:val="fr-FR"/>
        </w:rPr>
        <w:t xml:space="preserve">icace pour contester les </w:t>
      </w:r>
      <w:r w:rsidR="00412E85" w:rsidRPr="00637787">
        <w:rPr>
          <w:lang w:val="fr-FR"/>
        </w:rPr>
        <w:t xml:space="preserve">effets </w:t>
      </w:r>
      <w:r w:rsidRPr="00637787">
        <w:rPr>
          <w:lang w:val="fr-FR"/>
        </w:rPr>
        <w:t>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 enregistrement </w:t>
      </w:r>
      <w:r w:rsidR="00412E85" w:rsidRPr="00637787">
        <w:rPr>
          <w:lang w:val="fr-FR"/>
        </w:rPr>
        <w:t xml:space="preserve">international, </w:t>
      </w:r>
      <w:r w:rsidRPr="00637787">
        <w:rPr>
          <w:lang w:val="fr-FR"/>
        </w:rPr>
        <w:t xml:space="preserve">désavantage </w:t>
      </w:r>
      <w:r w:rsidR="00592D97" w:rsidRPr="00637787">
        <w:rPr>
          <w:lang w:val="fr-FR"/>
        </w:rPr>
        <w:t>leurs</w:t>
      </w:r>
      <w:r w:rsidRPr="00637787">
        <w:rPr>
          <w:lang w:val="fr-FR"/>
        </w:rPr>
        <w:t xml:space="preserve"> titulaires de manière </w:t>
      </w:r>
      <w:r w:rsidR="00412E85" w:rsidRPr="00637787">
        <w:rPr>
          <w:lang w:val="fr-FR"/>
        </w:rPr>
        <w:t>disproportion</w:t>
      </w:r>
      <w:r w:rsidRPr="00637787">
        <w:rPr>
          <w:lang w:val="fr-FR"/>
        </w:rPr>
        <w:t>n</w:t>
      </w:r>
      <w:r w:rsidR="00517715" w:rsidRPr="00637787">
        <w:rPr>
          <w:lang w:val="fr-FR"/>
        </w:rPr>
        <w:t>ée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CE7875" w:rsidRPr="00637787">
        <w:rPr>
          <w:lang w:val="fr-FR"/>
        </w:rPr>
        <w:t xml:space="preserve"> besoin de </w:t>
      </w:r>
      <w:r w:rsidR="001E5E78">
        <w:rPr>
          <w:lang w:val="fr-FR"/>
        </w:rPr>
        <w:t>sécurité</w:t>
      </w:r>
      <w:r w:rsidRPr="00637787">
        <w:rPr>
          <w:lang w:val="fr-FR"/>
        </w:rPr>
        <w:t xml:space="preserve"> juridique pour les titulaires de marques ayant </w:t>
      </w:r>
      <w:r w:rsidR="00412E85" w:rsidRPr="00637787">
        <w:rPr>
          <w:lang w:val="fr-FR"/>
        </w:rPr>
        <w:t>invest</w:t>
      </w:r>
      <w:r w:rsidRPr="00637787">
        <w:rPr>
          <w:lang w:val="fr-FR"/>
        </w:rPr>
        <w:t xml:space="preserve">i dans un enregistrement </w:t>
      </w:r>
      <w:r w:rsidR="00412E85" w:rsidRPr="00637787">
        <w:rPr>
          <w:lang w:val="fr-FR"/>
        </w:rPr>
        <w:t xml:space="preserve">international </w:t>
      </w:r>
      <w:r w:rsidRPr="00637787">
        <w:rPr>
          <w:lang w:val="fr-FR"/>
        </w:rPr>
        <w:t>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emporte sur les </w:t>
      </w:r>
      <w:r w:rsidR="00CE7875" w:rsidRPr="00637787">
        <w:rPr>
          <w:lang w:val="fr-FR"/>
        </w:rPr>
        <w:t xml:space="preserve">avantages </w:t>
      </w:r>
      <w:r w:rsidR="00592D97" w:rsidRPr="00637787">
        <w:rPr>
          <w:lang w:val="fr-FR"/>
        </w:rPr>
        <w:t xml:space="preserve">présumés </w:t>
      </w:r>
      <w:r w:rsidR="00CE7875" w:rsidRPr="00637787">
        <w:rPr>
          <w:lang w:val="fr-FR"/>
        </w:rPr>
        <w:t xml:space="preserve">de la </w:t>
      </w:r>
      <w:r w:rsidR="00412E85" w:rsidRPr="00637787">
        <w:rPr>
          <w:lang w:val="fr-FR"/>
        </w:rPr>
        <w:t>d</w:t>
      </w:r>
      <w:r w:rsidR="00CE7875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CE7875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CE7875" w:rsidRPr="00637787">
        <w:rPr>
          <w:lang w:val="fr-FR"/>
        </w:rPr>
        <w:t>e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1"/>
        <w:rPr>
          <w:lang w:val="fr-FR"/>
        </w:rPr>
      </w:pPr>
      <w:r w:rsidRPr="00637787">
        <w:rPr>
          <w:lang w:val="fr-FR"/>
        </w:rPr>
        <w:t>R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duction de la p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riode de d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 xml:space="preserve">pendance de cinq </w:t>
      </w:r>
      <w:r w:rsidR="0025698E">
        <w:rPr>
          <w:lang w:val="fr-FR"/>
        </w:rPr>
        <w:t>À</w:t>
      </w:r>
      <w:r w:rsidRPr="00637787">
        <w:rPr>
          <w:lang w:val="fr-FR"/>
        </w:rPr>
        <w:t xml:space="preserve"> trois</w:t>
      </w:r>
      <w:r w:rsidR="00517715">
        <w:rPr>
          <w:lang w:val="fr-FR"/>
        </w:rPr>
        <w:t> </w:t>
      </w:r>
      <w:r w:rsidRPr="00637787">
        <w:rPr>
          <w:lang w:val="fr-FR"/>
        </w:rPr>
        <w:t>ans</w:t>
      </w:r>
    </w:p>
    <w:p w:rsidR="00412E85" w:rsidRPr="00637787" w:rsidRDefault="00E7184E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Si aucun </w:t>
      </w:r>
      <w:r w:rsidR="00412E85" w:rsidRPr="00637787">
        <w:rPr>
          <w:lang w:val="fr-FR"/>
        </w:rPr>
        <w:t>consensus n</w:t>
      </w:r>
      <w:r w:rsidR="00E22BEA">
        <w:rPr>
          <w:lang w:val="fr-FR"/>
        </w:rPr>
        <w:t>’</w:t>
      </w:r>
      <w:r w:rsidR="00DC2CBD" w:rsidRPr="00637787">
        <w:rPr>
          <w:lang w:val="fr-FR"/>
        </w:rPr>
        <w:t>a été</w:t>
      </w:r>
      <w:r w:rsidRPr="00637787">
        <w:rPr>
          <w:lang w:val="fr-FR"/>
        </w:rPr>
        <w:t xml:space="preserve"> dégagé sur les </w:t>
      </w:r>
      <w:r w:rsidR="00B03A06" w:rsidRPr="00637787">
        <w:rPr>
          <w:lang w:val="fr-FR"/>
        </w:rPr>
        <w:t>possibilités</w:t>
      </w:r>
      <w:r w:rsidR="00412E85" w:rsidRPr="00637787">
        <w:rPr>
          <w:lang w:val="fr-FR"/>
        </w:rPr>
        <w:t xml:space="preserve"> d</w:t>
      </w:r>
      <w:r w:rsidRPr="00637787">
        <w:rPr>
          <w:lang w:val="fr-FR"/>
        </w:rPr>
        <w:t xml:space="preserve">écrites dans le </w:t>
      </w:r>
      <w:r w:rsidR="00E22BEA" w:rsidRPr="00637787">
        <w:rPr>
          <w:lang w:val="fr-FR"/>
        </w:rPr>
        <w:t>document</w:t>
      </w:r>
      <w:r w:rsidR="00E22BEA">
        <w:rPr>
          <w:lang w:val="fr-FR"/>
        </w:rPr>
        <w:t xml:space="preserve"> </w:t>
      </w:r>
      <w:r w:rsidR="00E22BEA" w:rsidRPr="00637787">
        <w:rPr>
          <w:lang w:val="fr-FR"/>
        </w:rPr>
        <w:t>MM</w:t>
      </w:r>
      <w:r w:rsidR="00412E85" w:rsidRPr="00637787">
        <w:rPr>
          <w:lang w:val="fr-FR"/>
        </w:rPr>
        <w:t xml:space="preserve">/LD/WG/17/6, </w:t>
      </w:r>
      <w:r w:rsidR="00E70DD0" w:rsidRPr="00637787">
        <w:rPr>
          <w:lang w:val="fr-FR"/>
        </w:rPr>
        <w:t xml:space="preserve">examinées à la précédente </w:t>
      </w:r>
      <w:r w:rsidR="00412E85" w:rsidRPr="00637787">
        <w:rPr>
          <w:lang w:val="fr-FR"/>
        </w:rPr>
        <w:t xml:space="preserve">session </w:t>
      </w:r>
      <w:r w:rsidR="00E70DD0" w:rsidRPr="00637787">
        <w:rPr>
          <w:lang w:val="fr-FR"/>
        </w:rPr>
        <w:t>du g</w:t>
      </w:r>
      <w:r w:rsidR="00412E85" w:rsidRPr="00637787">
        <w:rPr>
          <w:lang w:val="fr-FR"/>
        </w:rPr>
        <w:t>roup</w:t>
      </w:r>
      <w:r w:rsidR="00E70DD0" w:rsidRPr="00637787">
        <w:rPr>
          <w:lang w:val="fr-FR"/>
        </w:rPr>
        <w:t>e de travail</w:t>
      </w:r>
      <w:r w:rsidR="00412E85" w:rsidRPr="00637787">
        <w:rPr>
          <w:lang w:val="fr-FR"/>
        </w:rPr>
        <w:t xml:space="preserve">, </w:t>
      </w:r>
      <w:r w:rsidR="00E50A54" w:rsidRPr="00637787">
        <w:rPr>
          <w:lang w:val="fr-FR"/>
        </w:rPr>
        <w:t xml:space="preserve">un certain nombre de </w:t>
      </w:r>
      <w:r w:rsidR="00CE7875" w:rsidRPr="00637787">
        <w:rPr>
          <w:lang w:val="fr-FR"/>
        </w:rPr>
        <w:t>dé</w:t>
      </w:r>
      <w:r w:rsidR="00412E85" w:rsidRPr="00637787">
        <w:rPr>
          <w:lang w:val="fr-FR"/>
        </w:rPr>
        <w:t>l</w:t>
      </w:r>
      <w:r w:rsidR="00CE7875" w:rsidRPr="00637787">
        <w:rPr>
          <w:lang w:val="fr-FR"/>
        </w:rPr>
        <w:t>é</w:t>
      </w:r>
      <w:r w:rsidR="00412E85" w:rsidRPr="00637787">
        <w:rPr>
          <w:lang w:val="fr-FR"/>
        </w:rPr>
        <w:t xml:space="preserve">gations </w:t>
      </w:r>
      <w:r w:rsidR="00CE7875" w:rsidRPr="00637787">
        <w:rPr>
          <w:lang w:val="fr-FR"/>
        </w:rPr>
        <w:t>ont estimé qu</w:t>
      </w:r>
      <w:r w:rsidR="00E22BEA">
        <w:rPr>
          <w:lang w:val="fr-FR"/>
        </w:rPr>
        <w:t>’</w:t>
      </w:r>
      <w:r w:rsidR="00CE7875" w:rsidRPr="00637787">
        <w:rPr>
          <w:lang w:val="fr-FR"/>
        </w:rPr>
        <w:t xml:space="preserve">elles pourraient </w:t>
      </w:r>
      <w:r w:rsidR="00FD0A70" w:rsidRPr="00637787">
        <w:rPr>
          <w:lang w:val="fr-FR"/>
        </w:rPr>
        <w:t>appuyer</w:t>
      </w:r>
      <w:r w:rsidR="00CE7875" w:rsidRPr="00637787">
        <w:rPr>
          <w:lang w:val="fr-FR"/>
        </w:rPr>
        <w:t xml:space="preserve"> une éventuelle </w:t>
      </w:r>
      <w:r w:rsidR="00412E85" w:rsidRPr="00637787">
        <w:rPr>
          <w:lang w:val="fr-FR"/>
        </w:rPr>
        <w:t>r</w:t>
      </w:r>
      <w:r w:rsidR="00CE7875" w:rsidRPr="00637787">
        <w:rPr>
          <w:lang w:val="fr-FR"/>
        </w:rPr>
        <w:t>é</w:t>
      </w:r>
      <w:r w:rsidR="00412E85" w:rsidRPr="00637787">
        <w:rPr>
          <w:lang w:val="fr-FR"/>
        </w:rPr>
        <w:t xml:space="preserve">duction </w:t>
      </w:r>
      <w:r w:rsidR="00CE7875" w:rsidRPr="00637787">
        <w:rPr>
          <w:lang w:val="fr-FR"/>
        </w:rPr>
        <w:t>de la période de dé</w:t>
      </w:r>
      <w:r w:rsidR="00412E85" w:rsidRPr="00637787">
        <w:rPr>
          <w:lang w:val="fr-FR"/>
        </w:rPr>
        <w:t>pend</w:t>
      </w:r>
      <w:r w:rsidR="00CE7875" w:rsidRPr="00637787">
        <w:rPr>
          <w:lang w:val="fr-FR"/>
        </w:rPr>
        <w:t>ance, de cinq à trois</w:t>
      </w:r>
      <w:r w:rsidR="00255AE2">
        <w:rPr>
          <w:lang w:val="fr-FR"/>
        </w:rPr>
        <w:t> </w:t>
      </w:r>
      <w:r w:rsidR="00CE7875" w:rsidRPr="00637787">
        <w:rPr>
          <w:lang w:val="fr-FR"/>
        </w:rPr>
        <w:t>ans</w:t>
      </w:r>
      <w:r w:rsidR="00412E85" w:rsidRPr="00637787">
        <w:rPr>
          <w:lang w:val="fr-FR"/>
        </w:rPr>
        <w:t>.</w:t>
      </w:r>
    </w:p>
    <w:p w:rsidR="00E22BEA" w:rsidRDefault="00CE7875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Réduire la période de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Pr="00637787">
        <w:rPr>
          <w:lang w:val="fr-FR"/>
        </w:rPr>
        <w:t>e à trois</w:t>
      </w:r>
      <w:r w:rsidR="00255AE2">
        <w:rPr>
          <w:lang w:val="fr-FR"/>
        </w:rPr>
        <w:t> </w:t>
      </w:r>
      <w:r w:rsidRPr="00637787">
        <w:rPr>
          <w:lang w:val="fr-FR"/>
        </w:rPr>
        <w:t>ans</w:t>
      </w:r>
      <w:r w:rsidR="00412E85" w:rsidRPr="00637787">
        <w:rPr>
          <w:lang w:val="fr-FR"/>
        </w:rPr>
        <w:t xml:space="preserve"> </w:t>
      </w:r>
      <w:r w:rsidR="003C315C" w:rsidRPr="00637787">
        <w:rPr>
          <w:lang w:val="fr-FR"/>
        </w:rPr>
        <w:t xml:space="preserve">offrirait une </w:t>
      </w:r>
      <w:r w:rsidR="001E5E78">
        <w:rPr>
          <w:lang w:val="fr-FR"/>
        </w:rPr>
        <w:t>sécurité</w:t>
      </w:r>
      <w:r w:rsidR="003C315C" w:rsidRPr="00637787">
        <w:rPr>
          <w:lang w:val="fr-FR"/>
        </w:rPr>
        <w:t xml:space="preserve"> juridique accrue aux titulaires d</w:t>
      </w:r>
      <w:r w:rsidR="00E22BEA">
        <w:rPr>
          <w:lang w:val="fr-FR"/>
        </w:rPr>
        <w:t>’</w:t>
      </w:r>
      <w:r w:rsidR="003C315C"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="003C315C" w:rsidRPr="00637787">
        <w:rPr>
          <w:lang w:val="fr-FR"/>
        </w:rPr>
        <w:t>ux</w:t>
      </w:r>
      <w:r w:rsidR="00412E85" w:rsidRPr="00637787">
        <w:rPr>
          <w:lang w:val="fr-FR"/>
        </w:rPr>
        <w:t xml:space="preserve">, </w:t>
      </w:r>
      <w:r w:rsidRPr="00637787">
        <w:rPr>
          <w:lang w:val="fr-FR"/>
        </w:rPr>
        <w:t xml:space="preserve">sans </w:t>
      </w:r>
      <w:r w:rsidR="00412E85" w:rsidRPr="00637787">
        <w:rPr>
          <w:lang w:val="fr-FR"/>
        </w:rPr>
        <w:t>limit</w:t>
      </w:r>
      <w:r w:rsidRPr="00637787">
        <w:rPr>
          <w:lang w:val="fr-FR"/>
        </w:rPr>
        <w:t xml:space="preserve">er la </w:t>
      </w:r>
      <w:r w:rsidR="00412E85" w:rsidRPr="00637787">
        <w:rPr>
          <w:lang w:val="fr-FR"/>
        </w:rPr>
        <w:t>possibilit</w:t>
      </w:r>
      <w:r w:rsidRPr="00637787">
        <w:rPr>
          <w:lang w:val="fr-FR"/>
        </w:rPr>
        <w:t>é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 xml:space="preserve">actions </w:t>
      </w:r>
      <w:r w:rsidR="00C764C8" w:rsidRPr="00637787">
        <w:rPr>
          <w:lang w:val="fr-FR"/>
        </w:rPr>
        <w:t xml:space="preserve">de tiers pendant </w:t>
      </w:r>
      <w:r w:rsidR="000654A0" w:rsidRPr="00637787">
        <w:rPr>
          <w:lang w:val="fr-FR"/>
        </w:rPr>
        <w:t xml:space="preserve">cette </w:t>
      </w:r>
      <w:r w:rsidR="00C764C8" w:rsidRPr="00637787">
        <w:rPr>
          <w:lang w:val="fr-FR"/>
        </w:rPr>
        <w:t xml:space="preserve">période </w:t>
      </w:r>
      <w:r w:rsidR="000654A0" w:rsidRPr="00637787">
        <w:rPr>
          <w:lang w:val="fr-FR"/>
        </w:rPr>
        <w:t>r</w:t>
      </w:r>
      <w:r w:rsidR="00C764C8" w:rsidRPr="00637787">
        <w:rPr>
          <w:lang w:val="fr-FR"/>
        </w:rPr>
        <w:t>éduite</w:t>
      </w:r>
      <w:r w:rsidR="00412E85" w:rsidRPr="00637787">
        <w:rPr>
          <w:lang w:val="fr-FR"/>
        </w:rPr>
        <w:t>.</w:t>
      </w:r>
    </w:p>
    <w:p w:rsidR="00E22BEA" w:rsidRDefault="000A6CE2" w:rsidP="00FB56F5">
      <w:pPr>
        <w:pStyle w:val="ONUMFS"/>
        <w:keepLines/>
        <w:rPr>
          <w:lang w:val="fr-FR"/>
        </w:rPr>
      </w:pPr>
      <w:r w:rsidRPr="00637787">
        <w:rPr>
          <w:lang w:val="fr-FR"/>
        </w:rPr>
        <w:t>Toutefois</w:t>
      </w:r>
      <w:r w:rsidR="00C764C8" w:rsidRPr="00637787">
        <w:rPr>
          <w:lang w:val="fr-FR"/>
        </w:rPr>
        <w:t xml:space="preserve">, une telle </w:t>
      </w:r>
      <w:r w:rsidR="003C315C" w:rsidRPr="00637787">
        <w:rPr>
          <w:lang w:val="fr-FR"/>
        </w:rPr>
        <w:t>ré</w:t>
      </w:r>
      <w:r w:rsidR="00412E85" w:rsidRPr="00637787">
        <w:rPr>
          <w:lang w:val="fr-FR"/>
        </w:rPr>
        <w:t xml:space="preserve">duction </w:t>
      </w:r>
      <w:r w:rsidR="00DC2CBD" w:rsidRPr="00637787">
        <w:rPr>
          <w:lang w:val="fr-FR"/>
        </w:rPr>
        <w:t xml:space="preserve">ne corrigerait pas totalement les </w:t>
      </w:r>
      <w:r w:rsidR="00412E85" w:rsidRPr="00637787">
        <w:rPr>
          <w:lang w:val="fr-FR"/>
        </w:rPr>
        <w:t>vuln</w:t>
      </w:r>
      <w:r w:rsidR="003C315C" w:rsidRPr="00637787">
        <w:rPr>
          <w:lang w:val="fr-FR"/>
        </w:rPr>
        <w:t>é</w:t>
      </w:r>
      <w:r w:rsidR="00412E85" w:rsidRPr="00637787">
        <w:rPr>
          <w:lang w:val="fr-FR"/>
        </w:rPr>
        <w:t>rabilit</w:t>
      </w:r>
      <w:r w:rsidR="003C315C" w:rsidRPr="00637787">
        <w:rPr>
          <w:lang w:val="fr-FR"/>
        </w:rPr>
        <w:t>é</w:t>
      </w:r>
      <w:r w:rsidR="00DC2CBD" w:rsidRPr="00637787">
        <w:rPr>
          <w:lang w:val="fr-FR"/>
        </w:rPr>
        <w:t>s</w:t>
      </w:r>
      <w:r w:rsidR="003C315C" w:rsidRPr="00637787">
        <w:rPr>
          <w:lang w:val="fr-FR"/>
        </w:rPr>
        <w:t xml:space="preserve"> </w:t>
      </w:r>
      <w:r w:rsidR="00DC2CBD" w:rsidRPr="00637787">
        <w:rPr>
          <w:lang w:val="fr-FR"/>
        </w:rPr>
        <w:t>aux</w:t>
      </w:r>
      <w:r w:rsidR="003C315C" w:rsidRPr="00637787">
        <w:rPr>
          <w:lang w:val="fr-FR"/>
        </w:rPr>
        <w:t>quelle</w:t>
      </w:r>
      <w:r w:rsidR="00DC2CBD" w:rsidRPr="00637787">
        <w:rPr>
          <w:lang w:val="fr-FR"/>
        </w:rPr>
        <w:t>s</w:t>
      </w:r>
      <w:r w:rsidR="003C315C" w:rsidRPr="00637787">
        <w:rPr>
          <w:lang w:val="fr-FR"/>
        </w:rPr>
        <w:t xml:space="preserve"> les titulaires de marques sont confrontés </w:t>
      </w:r>
      <w:r w:rsidR="00DC2CBD" w:rsidRPr="00637787">
        <w:rPr>
          <w:lang w:val="fr-FR"/>
        </w:rPr>
        <w:t>quand i</w:t>
      </w:r>
      <w:r w:rsidR="003C315C" w:rsidRPr="00637787">
        <w:rPr>
          <w:lang w:val="fr-FR"/>
        </w:rPr>
        <w:t xml:space="preserve">ls protègent des marques composées de caractères </w:t>
      </w:r>
      <w:r w:rsidR="000654A0" w:rsidRPr="00637787">
        <w:rPr>
          <w:lang w:val="fr-FR"/>
        </w:rPr>
        <w:t xml:space="preserve">différents de </w:t>
      </w:r>
      <w:r w:rsidR="003C315C" w:rsidRPr="00637787">
        <w:rPr>
          <w:lang w:val="fr-FR"/>
        </w:rPr>
        <w:t xml:space="preserve">ceux utilisés </w:t>
      </w:r>
      <w:r w:rsidR="00DC2CBD" w:rsidRPr="00637787">
        <w:rPr>
          <w:lang w:val="fr-FR"/>
        </w:rPr>
        <w:t>sur</w:t>
      </w:r>
      <w:r w:rsidR="003C315C" w:rsidRPr="00637787">
        <w:rPr>
          <w:lang w:val="fr-FR"/>
        </w:rPr>
        <w:t xml:space="preserve"> le </w:t>
      </w:r>
      <w:r w:rsidR="00412E85" w:rsidRPr="00637787">
        <w:rPr>
          <w:lang w:val="fr-FR"/>
        </w:rPr>
        <w:t>territo</w:t>
      </w:r>
      <w:r w:rsidR="003C315C" w:rsidRPr="00637787">
        <w:rPr>
          <w:lang w:val="fr-FR"/>
        </w:rPr>
        <w:t xml:space="preserve">ire </w:t>
      </w:r>
      <w:r w:rsidR="001E185C" w:rsidRPr="00637787">
        <w:rPr>
          <w:lang w:val="fr-FR"/>
        </w:rPr>
        <w:t>nation</w:t>
      </w:r>
      <w:r w:rsidR="00517715" w:rsidRPr="00637787">
        <w:rPr>
          <w:lang w:val="fr-FR"/>
        </w:rPr>
        <w:t>al</w:t>
      </w:r>
      <w:r w:rsidR="002D2C31">
        <w:rPr>
          <w:lang w:val="fr-FR"/>
        </w:rPr>
        <w:t xml:space="preserve"> ou régional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La</w:t>
      </w:r>
      <w:r w:rsidR="003C315C" w:rsidRPr="00637787">
        <w:rPr>
          <w:lang w:val="fr-FR"/>
        </w:rPr>
        <w:t xml:space="preserve"> marque de </w:t>
      </w:r>
      <w:r w:rsidR="00412E85" w:rsidRPr="00637787">
        <w:rPr>
          <w:lang w:val="fr-FR"/>
        </w:rPr>
        <w:t>bas</w:t>
      </w:r>
      <w:r w:rsidR="003C315C" w:rsidRPr="00637787">
        <w:rPr>
          <w:lang w:val="fr-FR"/>
        </w:rPr>
        <w:t>e n</w:t>
      </w:r>
      <w:r w:rsidR="00E22BEA">
        <w:rPr>
          <w:lang w:val="fr-FR"/>
        </w:rPr>
        <w:t>’</w:t>
      </w:r>
      <w:r w:rsidR="003C315C" w:rsidRPr="00637787">
        <w:rPr>
          <w:lang w:val="fr-FR"/>
        </w:rPr>
        <w:t>étant pas susceptible d</w:t>
      </w:r>
      <w:r w:rsidR="00E22BEA">
        <w:rPr>
          <w:lang w:val="fr-FR"/>
        </w:rPr>
        <w:t>’</w:t>
      </w:r>
      <w:r w:rsidR="003C315C" w:rsidRPr="00637787">
        <w:rPr>
          <w:lang w:val="fr-FR"/>
        </w:rPr>
        <w:t xml:space="preserve">être utilisée sur le </w:t>
      </w:r>
      <w:r w:rsidR="00412E85" w:rsidRPr="00637787">
        <w:rPr>
          <w:lang w:val="fr-FR"/>
        </w:rPr>
        <w:t>territo</w:t>
      </w:r>
      <w:r w:rsidR="003C315C" w:rsidRPr="00637787">
        <w:rPr>
          <w:lang w:val="fr-FR"/>
        </w:rPr>
        <w:t>ire de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3C315C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3C315C"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3C315C" w:rsidRPr="00637787">
        <w:rPr>
          <w:lang w:val="fr-FR"/>
        </w:rPr>
        <w:t>le titulaire de la m</w:t>
      </w:r>
      <w:r w:rsidR="00412E85" w:rsidRPr="00637787">
        <w:rPr>
          <w:lang w:val="fr-FR"/>
        </w:rPr>
        <w:t>ar</w:t>
      </w:r>
      <w:r w:rsidR="003C315C" w:rsidRPr="00637787">
        <w:rPr>
          <w:lang w:val="fr-FR"/>
        </w:rPr>
        <w:t>que resterait exposé au risque d</w:t>
      </w:r>
      <w:r w:rsidR="00DC2CBD" w:rsidRPr="00637787">
        <w:rPr>
          <w:lang w:val="fr-FR"/>
        </w:rPr>
        <w:t>e radiation</w:t>
      </w:r>
      <w:r w:rsidR="003C315C" w:rsidRPr="00637787">
        <w:rPr>
          <w:lang w:val="fr-FR"/>
        </w:rPr>
        <w:t xml:space="preserve"> pour </w:t>
      </w:r>
      <w:r w:rsidR="0066113B" w:rsidRPr="00637787">
        <w:rPr>
          <w:lang w:val="fr-FR"/>
        </w:rPr>
        <w:t>défaut d</w:t>
      </w:r>
      <w:r w:rsidR="00E22BEA">
        <w:rPr>
          <w:lang w:val="fr-FR"/>
        </w:rPr>
        <w:t>’</w:t>
      </w:r>
      <w:r w:rsidR="0066113B" w:rsidRPr="00637787">
        <w:rPr>
          <w:lang w:val="fr-FR"/>
        </w:rPr>
        <w:t>usage</w:t>
      </w:r>
      <w:r w:rsidR="003C315C" w:rsidRPr="00637787">
        <w:rPr>
          <w:lang w:val="fr-FR"/>
        </w:rPr>
        <w:t>, mais pendant trois</w:t>
      </w:r>
      <w:r w:rsidR="00255AE2">
        <w:rPr>
          <w:lang w:val="fr-FR"/>
        </w:rPr>
        <w:t> </w:t>
      </w:r>
      <w:r w:rsidR="003C315C" w:rsidRPr="00637787">
        <w:rPr>
          <w:lang w:val="fr-FR"/>
        </w:rPr>
        <w:t>ans au lieu de cinq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1"/>
        <w:rPr>
          <w:lang w:val="fr-FR"/>
        </w:rPr>
      </w:pPr>
      <w:r w:rsidRPr="00637787">
        <w:rPr>
          <w:lang w:val="fr-FR"/>
        </w:rPr>
        <w:t>Limitation des motifs de radiation d</w:t>
      </w:r>
      <w:r w:rsidR="00E22BEA">
        <w:rPr>
          <w:lang w:val="fr-FR"/>
        </w:rPr>
        <w:t>’</w:t>
      </w:r>
      <w:r w:rsidRPr="00637787">
        <w:rPr>
          <w:lang w:val="fr-FR"/>
        </w:rPr>
        <w:t>un enregistrement international en raison de la cessation des effets de la marque de base</w:t>
      </w:r>
    </w:p>
    <w:p w:rsidR="00E22BEA" w:rsidRDefault="001E185C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La marque de </w:t>
      </w:r>
      <w:r w:rsidR="00412E85" w:rsidRPr="00637787">
        <w:rPr>
          <w:lang w:val="fr-FR"/>
        </w:rPr>
        <w:t>bas</w:t>
      </w:r>
      <w:r w:rsidRPr="00637787">
        <w:rPr>
          <w:lang w:val="fr-FR"/>
        </w:rPr>
        <w:t xml:space="preserve">e cesse de produire ses </w:t>
      </w:r>
      <w:r w:rsidR="00412E85" w:rsidRPr="00637787">
        <w:rPr>
          <w:lang w:val="fr-FR"/>
        </w:rPr>
        <w:t>effet</w:t>
      </w:r>
      <w:r w:rsidRPr="00637787">
        <w:rPr>
          <w:lang w:val="fr-FR"/>
        </w:rPr>
        <w:t>s</w:t>
      </w:r>
      <w:r w:rsidR="00412E85" w:rsidRPr="00637787">
        <w:rPr>
          <w:lang w:val="fr-FR"/>
        </w:rPr>
        <w:t xml:space="preserve"> </w:t>
      </w:r>
      <w:r w:rsidRPr="00637787">
        <w:rPr>
          <w:lang w:val="fr-FR"/>
        </w:rPr>
        <w:t>lorsqu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elle a expiré ou </w:t>
      </w:r>
      <w:r w:rsidR="0039771A" w:rsidRPr="00637787">
        <w:rPr>
          <w:lang w:val="fr-FR"/>
        </w:rPr>
        <w:t>qu</w:t>
      </w:r>
      <w:r w:rsidR="00E22BEA">
        <w:rPr>
          <w:lang w:val="fr-FR"/>
        </w:rPr>
        <w:t>’</w:t>
      </w:r>
      <w:r w:rsidR="0039771A" w:rsidRPr="00637787">
        <w:rPr>
          <w:lang w:val="fr-FR"/>
        </w:rPr>
        <w:t xml:space="preserve">elle </w:t>
      </w:r>
      <w:r w:rsidR="00FA6448" w:rsidRPr="00637787">
        <w:rPr>
          <w:lang w:val="fr-FR"/>
        </w:rPr>
        <w:t xml:space="preserve">a </w:t>
      </w:r>
      <w:r w:rsidRPr="00637787">
        <w:rPr>
          <w:lang w:val="fr-FR"/>
        </w:rPr>
        <w:t>fait l</w:t>
      </w:r>
      <w:r w:rsidR="00E22BEA">
        <w:rPr>
          <w:lang w:val="fr-FR"/>
        </w:rPr>
        <w:t>’</w:t>
      </w:r>
      <w:r w:rsidRPr="00637787">
        <w:rPr>
          <w:lang w:val="fr-FR"/>
        </w:rPr>
        <w:t>objet d</w:t>
      </w:r>
      <w:r w:rsidR="00E22BEA">
        <w:rPr>
          <w:lang w:val="fr-FR"/>
        </w:rPr>
        <w:t>’</w:t>
      </w:r>
      <w:r w:rsidRPr="00637787">
        <w:rPr>
          <w:lang w:val="fr-FR"/>
        </w:rPr>
        <w:t>un retrait</w:t>
      </w:r>
      <w:r w:rsidR="00FA6448" w:rsidRPr="00637787">
        <w:rPr>
          <w:lang w:val="fr-FR"/>
        </w:rPr>
        <w:t>, d</w:t>
      </w:r>
      <w:r w:rsidR="00E22BEA">
        <w:rPr>
          <w:lang w:val="fr-FR"/>
        </w:rPr>
        <w:t>’</w:t>
      </w:r>
      <w:r w:rsidR="00FA6448" w:rsidRPr="00637787">
        <w:rPr>
          <w:lang w:val="fr-FR"/>
        </w:rPr>
        <w:t>une renonciation ou d</w:t>
      </w:r>
      <w:r w:rsidR="00E22BEA">
        <w:rPr>
          <w:lang w:val="fr-FR"/>
        </w:rPr>
        <w:t>’</w:t>
      </w:r>
      <w:r w:rsidR="00FA6448" w:rsidRPr="00637787">
        <w:rPr>
          <w:lang w:val="fr-FR"/>
        </w:rPr>
        <w:t xml:space="preserve">une décision </w:t>
      </w:r>
      <w:r w:rsidR="00412E85" w:rsidRPr="00637787">
        <w:rPr>
          <w:lang w:val="fr-FR"/>
        </w:rPr>
        <w:t>final</w:t>
      </w:r>
      <w:r w:rsidR="00FA6448" w:rsidRPr="00637787">
        <w:rPr>
          <w:lang w:val="fr-FR"/>
        </w:rPr>
        <w:t>e de r</w:t>
      </w:r>
      <w:r w:rsidR="00412E85" w:rsidRPr="00637787">
        <w:rPr>
          <w:lang w:val="fr-FR"/>
        </w:rPr>
        <w:t xml:space="preserve">ejet, </w:t>
      </w:r>
      <w:r w:rsidR="00FA6448" w:rsidRPr="00637787">
        <w:rPr>
          <w:lang w:val="fr-FR"/>
        </w:rPr>
        <w:t xml:space="preserve">de </w:t>
      </w:r>
      <w:r w:rsidR="00412E85" w:rsidRPr="00637787">
        <w:rPr>
          <w:lang w:val="fr-FR"/>
        </w:rPr>
        <w:t>r</w:t>
      </w:r>
      <w:r w:rsidR="00FA6448" w:rsidRPr="00637787">
        <w:rPr>
          <w:lang w:val="fr-FR"/>
        </w:rPr>
        <w:t>é</w:t>
      </w:r>
      <w:r w:rsidR="00412E85" w:rsidRPr="00637787">
        <w:rPr>
          <w:lang w:val="fr-FR"/>
        </w:rPr>
        <w:t xml:space="preserve">vocation, </w:t>
      </w:r>
      <w:r w:rsidR="00FA6448" w:rsidRPr="00637787">
        <w:rPr>
          <w:lang w:val="fr-FR"/>
        </w:rPr>
        <w:t>de radiation ou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 xml:space="preserve">invalidation </w:t>
      </w:r>
      <w:r w:rsidR="00FA6448" w:rsidRPr="00637787">
        <w:rPr>
          <w:lang w:val="fr-FR"/>
        </w:rPr>
        <w:t>pendant la période de dép</w:t>
      </w:r>
      <w:r w:rsidR="00412E85" w:rsidRPr="00637787">
        <w:rPr>
          <w:lang w:val="fr-FR"/>
        </w:rPr>
        <w:t>end</w:t>
      </w:r>
      <w:r w:rsidR="00FA6448" w:rsidRPr="00637787">
        <w:rPr>
          <w:lang w:val="fr-FR"/>
        </w:rPr>
        <w:t>a</w:t>
      </w:r>
      <w:r w:rsidR="00412E85" w:rsidRPr="00637787">
        <w:rPr>
          <w:lang w:val="fr-FR"/>
        </w:rPr>
        <w:t>n</w:t>
      </w:r>
      <w:r w:rsidR="00517715" w:rsidRPr="00637787">
        <w:rPr>
          <w:lang w:val="fr-FR"/>
        </w:rPr>
        <w:t>ce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Il</w:t>
      </w:r>
      <w:r w:rsidR="006F2482" w:rsidRPr="00637787">
        <w:rPr>
          <w:lang w:val="fr-FR"/>
        </w:rPr>
        <w:t xml:space="preserve"> en va de même </w:t>
      </w:r>
      <w:r w:rsidR="00FA6448" w:rsidRPr="00637787">
        <w:rPr>
          <w:lang w:val="fr-FR"/>
        </w:rPr>
        <w:t>lorsqu</w:t>
      </w:r>
      <w:r w:rsidR="00E22BEA">
        <w:rPr>
          <w:lang w:val="fr-FR"/>
        </w:rPr>
        <w:t>’</w:t>
      </w:r>
      <w:r w:rsidR="00FA6448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d</w:t>
      </w:r>
      <w:r w:rsidR="00FA6448"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="00FA6448" w:rsidRPr="00637787">
        <w:rPr>
          <w:lang w:val="fr-FR"/>
        </w:rPr>
        <w:t xml:space="preserve">finale de </w:t>
      </w:r>
      <w:r w:rsidR="00412E85" w:rsidRPr="00637787">
        <w:rPr>
          <w:lang w:val="fr-FR"/>
        </w:rPr>
        <w:t xml:space="preserve">rejet, </w:t>
      </w:r>
      <w:r w:rsidR="00FA6448" w:rsidRPr="00637787">
        <w:rPr>
          <w:lang w:val="fr-FR"/>
        </w:rPr>
        <w:t xml:space="preserve">de </w:t>
      </w:r>
      <w:r w:rsidR="00412E85" w:rsidRPr="00637787">
        <w:rPr>
          <w:lang w:val="fr-FR"/>
        </w:rPr>
        <w:t>r</w:t>
      </w:r>
      <w:r w:rsidR="00FA6448" w:rsidRPr="00637787">
        <w:rPr>
          <w:lang w:val="fr-FR"/>
        </w:rPr>
        <w:t>é</w:t>
      </w:r>
      <w:r w:rsidR="00412E85" w:rsidRPr="00637787">
        <w:rPr>
          <w:lang w:val="fr-FR"/>
        </w:rPr>
        <w:t xml:space="preserve">vocation, </w:t>
      </w:r>
      <w:r w:rsidR="00FA6448" w:rsidRPr="00637787">
        <w:rPr>
          <w:lang w:val="fr-FR"/>
        </w:rPr>
        <w:t>de radiation ou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invalidation o</w:t>
      </w:r>
      <w:r w:rsidR="00FA6448" w:rsidRPr="00637787">
        <w:rPr>
          <w:lang w:val="fr-FR"/>
        </w:rPr>
        <w:t xml:space="preserve">u ordonnant le retrait de la marque de </w:t>
      </w:r>
      <w:r w:rsidR="00412E85" w:rsidRPr="00637787">
        <w:rPr>
          <w:lang w:val="fr-FR"/>
        </w:rPr>
        <w:t>bas</w:t>
      </w:r>
      <w:r w:rsidR="00FA6448" w:rsidRPr="00637787">
        <w:rPr>
          <w:lang w:val="fr-FR"/>
        </w:rPr>
        <w:t>e</w:t>
      </w:r>
      <w:r w:rsidR="00412E85" w:rsidRPr="00637787">
        <w:rPr>
          <w:lang w:val="fr-FR"/>
        </w:rPr>
        <w:t>, prononc</w:t>
      </w:r>
      <w:r w:rsidR="00A230C1" w:rsidRPr="00637787">
        <w:rPr>
          <w:lang w:val="fr-FR"/>
        </w:rPr>
        <w:t>ée après 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expir</w:t>
      </w:r>
      <w:r w:rsidR="00A230C1" w:rsidRPr="00637787">
        <w:rPr>
          <w:lang w:val="fr-FR"/>
        </w:rPr>
        <w:t xml:space="preserve">ation de la période de </w:t>
      </w:r>
      <w:r w:rsidR="00412E85" w:rsidRPr="00637787">
        <w:rPr>
          <w:lang w:val="fr-FR"/>
        </w:rPr>
        <w:t>d</w:t>
      </w:r>
      <w:r w:rsidR="00A230C1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A230C1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A230C1" w:rsidRPr="00637787">
        <w:rPr>
          <w:lang w:val="fr-FR"/>
        </w:rPr>
        <w:t>e</w:t>
      </w:r>
      <w:r w:rsidR="00412E85" w:rsidRPr="00637787">
        <w:rPr>
          <w:lang w:val="fr-FR"/>
        </w:rPr>
        <w:t>, r</w:t>
      </w:r>
      <w:r w:rsidR="00A230C1" w:rsidRPr="00637787">
        <w:rPr>
          <w:lang w:val="fr-FR"/>
        </w:rPr>
        <w:t>ésulte d</w:t>
      </w:r>
      <w:r w:rsidR="00E22BEA">
        <w:rPr>
          <w:lang w:val="fr-FR"/>
        </w:rPr>
        <w:t>’</w:t>
      </w:r>
      <w:r w:rsidR="00A230C1" w:rsidRPr="00637787">
        <w:rPr>
          <w:lang w:val="fr-FR"/>
        </w:rPr>
        <w:t>un recours</w:t>
      </w:r>
      <w:r w:rsidR="00412E85" w:rsidRPr="00637787">
        <w:rPr>
          <w:lang w:val="fr-FR"/>
        </w:rPr>
        <w:t xml:space="preserve">, </w:t>
      </w:r>
      <w:r w:rsidR="00A230C1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A230C1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action o</w:t>
      </w:r>
      <w:r w:rsidR="00A230C1" w:rsidRPr="00637787">
        <w:rPr>
          <w:lang w:val="fr-FR"/>
        </w:rPr>
        <w:t>u d</w:t>
      </w:r>
      <w:r w:rsidR="00E22BEA">
        <w:rPr>
          <w:lang w:val="fr-FR"/>
        </w:rPr>
        <w:t>’</w:t>
      </w:r>
      <w:r w:rsidR="00A230C1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 xml:space="preserve">opposition </w:t>
      </w:r>
      <w:r w:rsidR="00A230C1" w:rsidRPr="00637787">
        <w:rPr>
          <w:lang w:val="fr-FR"/>
        </w:rPr>
        <w:t xml:space="preserve">initiés pendant la période de </w:t>
      </w:r>
      <w:r w:rsidR="00412E85" w:rsidRPr="00637787">
        <w:rPr>
          <w:lang w:val="fr-FR"/>
        </w:rPr>
        <w:t>d</w:t>
      </w:r>
      <w:r w:rsidR="00A230C1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A230C1" w:rsidRPr="00637787">
        <w:rPr>
          <w:lang w:val="fr-FR"/>
        </w:rPr>
        <w:t>a</w:t>
      </w:r>
      <w:r w:rsidR="00412E85" w:rsidRPr="00637787">
        <w:rPr>
          <w:lang w:val="fr-FR"/>
        </w:rPr>
        <w:t>nce.</w:t>
      </w:r>
    </w:p>
    <w:p w:rsidR="00E22BEA" w:rsidRDefault="00A230C1" w:rsidP="007964C4">
      <w:pPr>
        <w:pStyle w:val="ONUMFS"/>
        <w:rPr>
          <w:lang w:val="fr-FR"/>
        </w:rPr>
      </w:pPr>
      <w:r w:rsidRPr="00637787">
        <w:rPr>
          <w:lang w:val="fr-FR"/>
        </w:rPr>
        <w:t>Il s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ensuit que les effets de la marque de base peuvent cesser </w:t>
      </w:r>
      <w:r w:rsidR="0039771A" w:rsidRPr="00637787">
        <w:rPr>
          <w:lang w:val="fr-FR"/>
        </w:rPr>
        <w:t xml:space="preserve">en raison </w:t>
      </w:r>
      <w:r w:rsidRPr="00637787">
        <w:rPr>
          <w:lang w:val="fr-FR"/>
        </w:rPr>
        <w:t>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Pr="00637787">
        <w:rPr>
          <w:lang w:val="fr-FR"/>
        </w:rPr>
        <w:t>du titulaire</w:t>
      </w:r>
      <w:r w:rsidR="00412E85" w:rsidRPr="00637787">
        <w:rPr>
          <w:lang w:val="fr-FR"/>
        </w:rPr>
        <w:t xml:space="preserve"> (</w:t>
      </w:r>
      <w:r w:rsidRPr="00637787">
        <w:rPr>
          <w:lang w:val="fr-FR"/>
        </w:rPr>
        <w:t xml:space="preserve">par </w:t>
      </w:r>
      <w:r w:rsidR="00412E85" w:rsidRPr="00637787">
        <w:rPr>
          <w:lang w:val="fr-FR"/>
        </w:rPr>
        <w:t>ex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mple, </w:t>
      </w:r>
      <w:r w:rsidR="00162FC6" w:rsidRPr="00637787">
        <w:rPr>
          <w:lang w:val="fr-FR"/>
        </w:rPr>
        <w:t>en raison d</w:t>
      </w:r>
      <w:r w:rsidR="00E22BEA">
        <w:rPr>
          <w:lang w:val="fr-FR"/>
        </w:rPr>
        <w:t>’</w:t>
      </w:r>
      <w:r w:rsidR="00162FC6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 xml:space="preserve">limitation </w:t>
      </w:r>
      <w:r w:rsidRPr="00637787">
        <w:rPr>
          <w:lang w:val="fr-FR"/>
        </w:rPr>
        <w:t xml:space="preserve">de la </w:t>
      </w:r>
      <w:r w:rsidR="00412E85" w:rsidRPr="00637787">
        <w:rPr>
          <w:lang w:val="fr-FR"/>
        </w:rPr>
        <w:t>list</w:t>
      </w:r>
      <w:r w:rsidRPr="00637787">
        <w:rPr>
          <w:lang w:val="fr-FR"/>
        </w:rPr>
        <w:t xml:space="preserve">e des </w:t>
      </w:r>
      <w:r w:rsidR="001B51BC">
        <w:rPr>
          <w:lang w:val="fr-FR"/>
        </w:rPr>
        <w:t>produits</w:t>
      </w:r>
      <w:r w:rsidRPr="00637787">
        <w:rPr>
          <w:lang w:val="fr-FR"/>
        </w:rPr>
        <w:t xml:space="preserve"> et </w:t>
      </w:r>
      <w:r w:rsidR="00412E85" w:rsidRPr="00637787">
        <w:rPr>
          <w:lang w:val="fr-FR"/>
        </w:rPr>
        <w:t>services) o</w:t>
      </w:r>
      <w:r w:rsidRPr="00637787">
        <w:rPr>
          <w:lang w:val="fr-FR"/>
        </w:rPr>
        <w:t>u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une autorité </w:t>
      </w:r>
      <w:r w:rsidR="00412E85" w:rsidRPr="00637787">
        <w:rPr>
          <w:lang w:val="fr-FR"/>
        </w:rPr>
        <w:t>comp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>tent</w:t>
      </w:r>
      <w:r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B9721E" w:rsidRPr="00637787">
        <w:rPr>
          <w:lang w:val="fr-FR"/>
        </w:rPr>
        <w:t>menant une action d</w:t>
      </w:r>
      <w:r w:rsidR="00E22BEA">
        <w:rPr>
          <w:lang w:val="fr-FR"/>
        </w:rPr>
        <w:t>’</w:t>
      </w:r>
      <w:r w:rsidR="00B9721E" w:rsidRPr="00637787">
        <w:rPr>
          <w:lang w:val="fr-FR"/>
        </w:rPr>
        <w:t>office</w:t>
      </w:r>
      <w:r w:rsidR="00412E85" w:rsidRPr="00637787">
        <w:rPr>
          <w:lang w:val="fr-FR"/>
        </w:rPr>
        <w:t xml:space="preserve"> o</w:t>
      </w:r>
      <w:r w:rsidRPr="00637787">
        <w:rPr>
          <w:lang w:val="fr-FR"/>
        </w:rPr>
        <w:t>u à la demande d</w:t>
      </w:r>
      <w:r w:rsidR="00E22BEA">
        <w:rPr>
          <w:lang w:val="fr-FR"/>
        </w:rPr>
        <w:t>’</w:t>
      </w:r>
      <w:r w:rsidRPr="00637787">
        <w:rPr>
          <w:lang w:val="fr-FR"/>
        </w:rPr>
        <w:t>un tiers</w:t>
      </w:r>
      <w:r w:rsidR="00412E85" w:rsidRPr="00637787">
        <w:rPr>
          <w:lang w:val="fr-FR"/>
        </w:rPr>
        <w:t xml:space="preserve"> (</w:t>
      </w:r>
      <w:r w:rsidRPr="00637787">
        <w:rPr>
          <w:lang w:val="fr-FR"/>
        </w:rPr>
        <w:t>par exe</w:t>
      </w:r>
      <w:r w:rsidR="00412E85" w:rsidRPr="00637787">
        <w:rPr>
          <w:lang w:val="fr-FR"/>
        </w:rPr>
        <w:t xml:space="preserve">mple, </w:t>
      </w:r>
      <w:r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d</w:t>
      </w:r>
      <w:r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Pr="00637787">
        <w:rPr>
          <w:lang w:val="fr-FR"/>
        </w:rPr>
        <w:t>de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D31DF1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D31DF1" w:rsidRPr="00637787">
        <w:rPr>
          <w:lang w:val="fr-FR"/>
        </w:rPr>
        <w:t xml:space="preserve">e suite à une </w:t>
      </w:r>
      <w:r w:rsidR="00412E85" w:rsidRPr="00637787">
        <w:rPr>
          <w:lang w:val="fr-FR"/>
        </w:rPr>
        <w:t>opposition).</w:t>
      </w:r>
    </w:p>
    <w:p w:rsidR="00E22BEA" w:rsidRDefault="009A75C0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Limiter la portée des motifs entraînant </w:t>
      </w:r>
      <w:r w:rsidR="00190078" w:rsidRPr="00637787">
        <w:rPr>
          <w:lang w:val="fr-FR"/>
        </w:rPr>
        <w:t>la radiation de l</w:t>
      </w:r>
      <w:r w:rsidR="00E22BEA">
        <w:rPr>
          <w:lang w:val="fr-FR"/>
        </w:rPr>
        <w:t>’</w:t>
      </w:r>
      <w:r w:rsidR="00190078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="007E63BA" w:rsidRPr="00637787">
        <w:rPr>
          <w:lang w:val="fr-FR"/>
        </w:rPr>
        <w:t>en raison d</w:t>
      </w:r>
      <w:r w:rsidRPr="00637787">
        <w:rPr>
          <w:lang w:val="fr-FR"/>
        </w:rPr>
        <w:t xml:space="preserve">e </w:t>
      </w:r>
      <w:r w:rsidR="007E63BA" w:rsidRPr="00637787">
        <w:rPr>
          <w:lang w:val="fr-FR"/>
        </w:rPr>
        <w:t xml:space="preserve">la </w:t>
      </w:r>
      <w:r w:rsidR="00F6636A" w:rsidRPr="00637787">
        <w:rPr>
          <w:lang w:val="fr-FR"/>
        </w:rPr>
        <w:t>cessation des effets de la marque de base</w:t>
      </w:r>
      <w:r w:rsidR="00412E85" w:rsidRPr="00637787">
        <w:rPr>
          <w:lang w:val="fr-FR"/>
        </w:rPr>
        <w:t xml:space="preserve"> </w:t>
      </w:r>
      <w:r w:rsidR="00190078" w:rsidRPr="00637787">
        <w:rPr>
          <w:lang w:val="fr-FR"/>
        </w:rPr>
        <w:t xml:space="preserve">renforcerait la </w:t>
      </w:r>
      <w:r w:rsidR="009C6692">
        <w:rPr>
          <w:lang w:val="fr-FR"/>
        </w:rPr>
        <w:t>sécurité</w:t>
      </w:r>
      <w:r w:rsidR="00190078" w:rsidRPr="00637787">
        <w:rPr>
          <w:lang w:val="fr-FR"/>
        </w:rPr>
        <w:t xml:space="preserve"> juridique pour les titulaires d</w:t>
      </w:r>
      <w:r w:rsidR="00E22BEA">
        <w:rPr>
          <w:lang w:val="fr-FR"/>
        </w:rPr>
        <w:t>’</w:t>
      </w:r>
      <w:r w:rsidR="00190078" w:rsidRPr="00637787">
        <w:rPr>
          <w:lang w:val="fr-FR"/>
        </w:rPr>
        <w:t>enregistrements</w:t>
      </w:r>
      <w:r w:rsidR="00412E85" w:rsidRPr="00637787">
        <w:rPr>
          <w:lang w:val="fr-FR"/>
        </w:rPr>
        <w:t xml:space="preserve"> internationa</w:t>
      </w:r>
      <w:r w:rsidR="00190078" w:rsidRPr="00637787">
        <w:rPr>
          <w:lang w:val="fr-FR"/>
        </w:rPr>
        <w:t xml:space="preserve">ux tout en préservant un juste équilibre </w:t>
      </w:r>
      <w:r w:rsidR="00412E85" w:rsidRPr="00637787">
        <w:rPr>
          <w:lang w:val="fr-FR"/>
        </w:rPr>
        <w:t>en</w:t>
      </w:r>
      <w:r w:rsidR="00190078" w:rsidRPr="00637787">
        <w:rPr>
          <w:lang w:val="fr-FR"/>
        </w:rPr>
        <w:t xml:space="preserve">tre les </w:t>
      </w:r>
      <w:r w:rsidR="00412E85" w:rsidRPr="00637787">
        <w:rPr>
          <w:lang w:val="fr-FR"/>
        </w:rPr>
        <w:t>int</w:t>
      </w:r>
      <w:r w:rsidR="00190078" w:rsidRPr="00637787">
        <w:rPr>
          <w:lang w:val="fr-FR"/>
        </w:rPr>
        <w:t>érêts des titulaires et ceux des tiers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Radiation en raison de la cessation des effets de la marque de base fond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e uniquement sur la mauvaise foi</w:t>
      </w:r>
    </w:p>
    <w:p w:rsidR="00E22BEA" w:rsidRDefault="004A3D29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Une première </w:t>
      </w:r>
      <w:r w:rsidR="00341470" w:rsidRPr="00637787">
        <w:rPr>
          <w:lang w:val="fr-FR"/>
        </w:rPr>
        <w:t>possibilité</w:t>
      </w:r>
      <w:r w:rsidR="00307937" w:rsidRPr="00637787">
        <w:rPr>
          <w:lang w:val="fr-FR"/>
        </w:rPr>
        <w:t xml:space="preserve"> </w:t>
      </w:r>
      <w:r w:rsidRPr="00637787">
        <w:rPr>
          <w:lang w:val="fr-FR"/>
        </w:rPr>
        <w:t xml:space="preserve">pourrait </w:t>
      </w:r>
      <w:r w:rsidR="00A4179C" w:rsidRPr="00637787">
        <w:rPr>
          <w:lang w:val="fr-FR"/>
        </w:rPr>
        <w:t>consister à ne radier l</w:t>
      </w:r>
      <w:r w:rsidR="00E22BEA">
        <w:rPr>
          <w:lang w:val="fr-FR"/>
        </w:rPr>
        <w:t>’</w:t>
      </w:r>
      <w:r w:rsidR="00A4179C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="00A4179C" w:rsidRPr="00637787">
        <w:rPr>
          <w:lang w:val="fr-FR"/>
        </w:rPr>
        <w:t xml:space="preserve">que si </w:t>
      </w:r>
      <w:r w:rsidR="00F6636A" w:rsidRPr="00637787">
        <w:rPr>
          <w:lang w:val="fr-FR"/>
        </w:rPr>
        <w:t xml:space="preserve">la </w:t>
      </w:r>
      <w:r w:rsidR="00412E85" w:rsidRPr="00637787">
        <w:rPr>
          <w:lang w:val="fr-FR"/>
        </w:rPr>
        <w:t>ces</w:t>
      </w:r>
      <w:r w:rsidR="00F6636A" w:rsidRPr="00637787">
        <w:rPr>
          <w:lang w:val="fr-FR"/>
        </w:rPr>
        <w:t>sation des effets de la marque de base</w:t>
      </w:r>
      <w:r w:rsidR="00412E85" w:rsidRPr="00637787">
        <w:rPr>
          <w:lang w:val="fr-FR"/>
        </w:rPr>
        <w:t xml:space="preserve"> prononc</w:t>
      </w:r>
      <w:r w:rsidR="00A4179C" w:rsidRPr="00637787">
        <w:rPr>
          <w:lang w:val="fr-FR"/>
        </w:rPr>
        <w:t xml:space="preserve">ée </w:t>
      </w:r>
      <w:r w:rsidR="004A20DF" w:rsidRPr="00637787">
        <w:rPr>
          <w:lang w:val="fr-FR"/>
        </w:rPr>
        <w:t>était fondée sur la mauvaise foi</w:t>
      </w:r>
      <w:r w:rsidR="00412E85" w:rsidRPr="00637787">
        <w:rPr>
          <w:lang w:val="fr-FR"/>
        </w:rPr>
        <w:t>;</w:t>
      </w:r>
      <w:r w:rsidR="00F73DD6" w:rsidRPr="00637787">
        <w:rPr>
          <w:lang w:val="fr-FR"/>
        </w:rPr>
        <w:t xml:space="preserve"> </w:t>
      </w:r>
      <w:r w:rsidR="00412E85" w:rsidRPr="00637787">
        <w:rPr>
          <w:lang w:val="fr-FR"/>
        </w:rPr>
        <w:t xml:space="preserve"> </w:t>
      </w:r>
      <w:r w:rsidR="004A20DF" w:rsidRPr="00637787">
        <w:rPr>
          <w:lang w:val="fr-FR"/>
        </w:rPr>
        <w:t>plus précisément</w:t>
      </w:r>
      <w:r w:rsidR="00412E85" w:rsidRPr="00637787">
        <w:rPr>
          <w:lang w:val="fr-FR"/>
        </w:rPr>
        <w:t xml:space="preserve">, </w:t>
      </w:r>
      <w:r w:rsidR="00A5550B" w:rsidRPr="00637787">
        <w:rPr>
          <w:lang w:val="fr-FR"/>
        </w:rPr>
        <w:t xml:space="preserve">si </w:t>
      </w:r>
      <w:r w:rsidR="004A20DF" w:rsidRPr="00637787">
        <w:rPr>
          <w:lang w:val="fr-FR"/>
        </w:rPr>
        <w:t xml:space="preserve">la </w:t>
      </w:r>
      <w:r w:rsidR="006D20DD" w:rsidRPr="00637787">
        <w:rPr>
          <w:lang w:val="fr-FR"/>
        </w:rPr>
        <w:t xml:space="preserve">demande de </w:t>
      </w:r>
      <w:r w:rsidR="00412E85" w:rsidRPr="00637787">
        <w:rPr>
          <w:lang w:val="fr-FR"/>
        </w:rPr>
        <w:t>bas</w:t>
      </w:r>
      <w:r w:rsidR="006D20DD" w:rsidRPr="00637787">
        <w:rPr>
          <w:lang w:val="fr-FR"/>
        </w:rPr>
        <w:t>e</w:t>
      </w:r>
      <w:r w:rsidR="00412E85" w:rsidRPr="00637787">
        <w:rPr>
          <w:lang w:val="fr-FR"/>
        </w:rPr>
        <w:t xml:space="preserve"> </w:t>
      </w:r>
      <w:r w:rsidR="004A20DF" w:rsidRPr="00637787">
        <w:rPr>
          <w:lang w:val="fr-FR"/>
        </w:rPr>
        <w:t>avait été déposée ou que l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 xml:space="preserve">enregistrement de </w:t>
      </w:r>
      <w:r w:rsidR="00412E85" w:rsidRPr="00637787">
        <w:rPr>
          <w:lang w:val="fr-FR"/>
        </w:rPr>
        <w:t>bas</w:t>
      </w:r>
      <w:r w:rsidR="004A20DF" w:rsidRPr="00637787">
        <w:rPr>
          <w:lang w:val="fr-FR"/>
        </w:rPr>
        <w:t xml:space="preserve">e avait été </w:t>
      </w:r>
      <w:r w:rsidR="00412E85" w:rsidRPr="00637787">
        <w:rPr>
          <w:lang w:val="fr-FR"/>
        </w:rPr>
        <w:t>obt</w:t>
      </w:r>
      <w:r w:rsidR="004A20DF" w:rsidRPr="00637787">
        <w:rPr>
          <w:lang w:val="fr-FR"/>
        </w:rPr>
        <w:t>enu de mauvaise f</w:t>
      </w:r>
      <w:r w:rsidR="00517715" w:rsidRPr="00637787">
        <w:rPr>
          <w:lang w:val="fr-FR"/>
        </w:rPr>
        <w:t>oi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Il</w:t>
      </w:r>
      <w:r w:rsidR="004A20DF" w:rsidRPr="00637787">
        <w:rPr>
          <w:lang w:val="fr-FR"/>
        </w:rPr>
        <w:t xml:space="preserve"> pourrait s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>agir</w:t>
      </w:r>
      <w:r w:rsidR="00412E85" w:rsidRPr="00637787">
        <w:rPr>
          <w:lang w:val="fr-FR"/>
        </w:rPr>
        <w:t xml:space="preserve">, </w:t>
      </w:r>
      <w:r w:rsidR="004A20DF" w:rsidRPr="00637787">
        <w:rPr>
          <w:lang w:val="fr-FR"/>
        </w:rPr>
        <w:t>par exe</w:t>
      </w:r>
      <w:r w:rsidR="00412E85" w:rsidRPr="00637787">
        <w:rPr>
          <w:lang w:val="fr-FR"/>
        </w:rPr>
        <w:t xml:space="preserve">mple, </w:t>
      </w:r>
      <w:r w:rsidR="004A20DF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d</w:t>
      </w:r>
      <w:r w:rsidR="004A20DF"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="004A20DF" w:rsidRPr="00637787">
        <w:rPr>
          <w:lang w:val="fr-FR"/>
        </w:rPr>
        <w:t>faisant suite à un examen d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>office par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4A20DF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4A20DF" w:rsidRPr="00637787">
        <w:rPr>
          <w:lang w:val="fr-FR"/>
        </w:rPr>
        <w:t>e</w:t>
      </w:r>
      <w:r w:rsidR="00412E85" w:rsidRPr="00637787">
        <w:rPr>
          <w:lang w:val="fr-FR"/>
        </w:rPr>
        <w:t xml:space="preserve"> o</w:t>
      </w:r>
      <w:r w:rsidR="004A20DF" w:rsidRPr="00637787">
        <w:rPr>
          <w:lang w:val="fr-FR"/>
        </w:rPr>
        <w:t>u d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 xml:space="preserve">une </w:t>
      </w:r>
      <w:r w:rsidR="00412E85" w:rsidRPr="00637787">
        <w:rPr>
          <w:lang w:val="fr-FR"/>
        </w:rPr>
        <w:t xml:space="preserve">action </w:t>
      </w:r>
      <w:r w:rsidR="00923CFC" w:rsidRPr="00637787">
        <w:rPr>
          <w:lang w:val="fr-FR"/>
        </w:rPr>
        <w:t xml:space="preserve">engagée par </w:t>
      </w:r>
      <w:r w:rsidR="004A20DF" w:rsidRPr="00637787">
        <w:rPr>
          <w:lang w:val="fr-FR"/>
        </w:rPr>
        <w:t xml:space="preserve">un tiers devant une autorité </w:t>
      </w:r>
      <w:r w:rsidR="00412E85" w:rsidRPr="00637787">
        <w:rPr>
          <w:lang w:val="fr-FR"/>
        </w:rPr>
        <w:t>comp</w:t>
      </w:r>
      <w:r w:rsidR="004A20DF" w:rsidRPr="00637787">
        <w:rPr>
          <w:lang w:val="fr-FR"/>
        </w:rPr>
        <w:t>ét</w:t>
      </w:r>
      <w:r w:rsidR="00412E85" w:rsidRPr="00637787">
        <w:rPr>
          <w:lang w:val="fr-FR"/>
        </w:rPr>
        <w:t>en</w:t>
      </w:r>
      <w:r w:rsidR="00517715" w:rsidRPr="00637787">
        <w:rPr>
          <w:lang w:val="fr-FR"/>
        </w:rPr>
        <w:t>te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Da</w:t>
      </w:r>
      <w:r w:rsidR="004A20DF" w:rsidRPr="00637787">
        <w:rPr>
          <w:lang w:val="fr-FR"/>
        </w:rPr>
        <w:t xml:space="preserve">ns ce </w:t>
      </w:r>
      <w:r w:rsidR="00412E85" w:rsidRPr="00637787">
        <w:rPr>
          <w:lang w:val="fr-FR"/>
        </w:rPr>
        <w:t xml:space="preserve">cas, </w:t>
      </w:r>
      <w:r w:rsidR="004A20DF" w:rsidRPr="00637787">
        <w:rPr>
          <w:lang w:val="fr-FR"/>
        </w:rPr>
        <w:t>la radiation de l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="004A20DF" w:rsidRPr="00637787">
        <w:rPr>
          <w:lang w:val="fr-FR"/>
        </w:rPr>
        <w:t xml:space="preserve">serait </w:t>
      </w:r>
      <w:r w:rsidR="00412E85" w:rsidRPr="00637787">
        <w:rPr>
          <w:lang w:val="fr-FR"/>
        </w:rPr>
        <w:t>justifi</w:t>
      </w:r>
      <w:r w:rsidR="004A20DF" w:rsidRPr="00637787">
        <w:rPr>
          <w:lang w:val="fr-FR"/>
        </w:rPr>
        <w:t>é</w:t>
      </w:r>
      <w:r w:rsidR="00412E85" w:rsidRPr="00637787">
        <w:rPr>
          <w:lang w:val="fr-FR"/>
        </w:rPr>
        <w:t xml:space="preserve">e </w:t>
      </w:r>
      <w:r w:rsidR="004A20DF" w:rsidRPr="00637787">
        <w:rPr>
          <w:lang w:val="fr-FR"/>
        </w:rPr>
        <w:t>par le comportement du titulai</w:t>
      </w:r>
      <w:r w:rsidR="00517715" w:rsidRPr="00637787">
        <w:rPr>
          <w:lang w:val="fr-FR"/>
        </w:rPr>
        <w:t>re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Lo</w:t>
      </w:r>
      <w:r w:rsidR="004A20DF" w:rsidRPr="00637787">
        <w:rPr>
          <w:lang w:val="fr-FR"/>
        </w:rPr>
        <w:t>rsqu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>il n</w:t>
      </w:r>
      <w:r w:rsidR="00E22BEA">
        <w:rPr>
          <w:lang w:val="fr-FR"/>
        </w:rPr>
        <w:t>’</w:t>
      </w:r>
      <w:r w:rsidR="004A20DF" w:rsidRPr="00637787">
        <w:rPr>
          <w:lang w:val="fr-FR"/>
        </w:rPr>
        <w:t xml:space="preserve">existe pas de </w:t>
      </w:r>
      <w:r w:rsidR="00AC6FD5" w:rsidRPr="00637787">
        <w:rPr>
          <w:lang w:val="fr-FR"/>
        </w:rPr>
        <w:t xml:space="preserve">définition </w:t>
      </w:r>
      <w:r w:rsidR="00412E85" w:rsidRPr="00637787">
        <w:rPr>
          <w:lang w:val="fr-FR"/>
        </w:rPr>
        <w:t xml:space="preserve">uniforme </w:t>
      </w:r>
      <w:r w:rsidR="004A20DF" w:rsidRPr="00637787">
        <w:rPr>
          <w:lang w:val="fr-FR"/>
        </w:rPr>
        <w:t xml:space="preserve">de la mauvaise foi et que ce </w:t>
      </w:r>
      <w:r w:rsidR="00AC6FD5" w:rsidRPr="00637787">
        <w:rPr>
          <w:lang w:val="fr-FR"/>
        </w:rPr>
        <w:t>principe</w:t>
      </w:r>
      <w:r w:rsidR="004A20DF" w:rsidRPr="00637787">
        <w:rPr>
          <w:lang w:val="fr-FR"/>
        </w:rPr>
        <w:t xml:space="preserve"> ne figure pas dans la législation nationale </w:t>
      </w:r>
      <w:r w:rsidR="00DF4915">
        <w:rPr>
          <w:lang w:val="fr-FR"/>
        </w:rPr>
        <w:t xml:space="preserve">ou régionale </w:t>
      </w:r>
      <w:r w:rsidR="004A20DF" w:rsidRPr="00637787">
        <w:rPr>
          <w:lang w:val="fr-FR"/>
        </w:rPr>
        <w:t>de toutes les parties c</w:t>
      </w:r>
      <w:r w:rsidR="00412E85" w:rsidRPr="00637787">
        <w:rPr>
          <w:lang w:val="fr-FR"/>
        </w:rPr>
        <w:t>ontract</w:t>
      </w:r>
      <w:r w:rsidR="004A20DF" w:rsidRPr="00637787">
        <w:rPr>
          <w:lang w:val="fr-FR"/>
        </w:rPr>
        <w:t>antes</w:t>
      </w:r>
      <w:r w:rsidR="00412E85" w:rsidRPr="00637787">
        <w:rPr>
          <w:lang w:val="fr-FR"/>
        </w:rPr>
        <w:t xml:space="preserve">, </w:t>
      </w:r>
      <w:r w:rsidR="004A20DF" w:rsidRPr="00637787">
        <w:rPr>
          <w:lang w:val="fr-FR"/>
        </w:rPr>
        <w:t>la partie c</w:t>
      </w:r>
      <w:r w:rsidR="00412E85" w:rsidRPr="00637787">
        <w:rPr>
          <w:lang w:val="fr-FR"/>
        </w:rPr>
        <w:t>ontract</w:t>
      </w:r>
      <w:r w:rsidR="004A20DF" w:rsidRPr="00637787">
        <w:rPr>
          <w:lang w:val="fr-FR"/>
        </w:rPr>
        <w:t xml:space="preserve">ante </w:t>
      </w:r>
      <w:r w:rsidR="00412E85" w:rsidRPr="00637787">
        <w:rPr>
          <w:lang w:val="fr-FR"/>
        </w:rPr>
        <w:t>concern</w:t>
      </w:r>
      <w:r w:rsidR="004A20DF" w:rsidRPr="00637787">
        <w:rPr>
          <w:lang w:val="fr-FR"/>
        </w:rPr>
        <w:t>é</w:t>
      </w:r>
      <w:r w:rsidR="00412E85" w:rsidRPr="00637787">
        <w:rPr>
          <w:lang w:val="fr-FR"/>
        </w:rPr>
        <w:t>e</w:t>
      </w:r>
      <w:r w:rsidR="004A20DF" w:rsidRPr="00637787">
        <w:rPr>
          <w:lang w:val="fr-FR"/>
        </w:rPr>
        <w:t xml:space="preserve"> serait libre de </w:t>
      </w:r>
      <w:r w:rsidR="00412E85" w:rsidRPr="00637787">
        <w:rPr>
          <w:lang w:val="fr-FR"/>
        </w:rPr>
        <w:t>d</w:t>
      </w:r>
      <w:r w:rsidR="004A20DF" w:rsidRPr="00637787">
        <w:rPr>
          <w:lang w:val="fr-FR"/>
        </w:rPr>
        <w:t>é</w:t>
      </w:r>
      <w:r w:rsidR="00412E85" w:rsidRPr="00637787">
        <w:rPr>
          <w:lang w:val="fr-FR"/>
        </w:rPr>
        <w:t>cide</w:t>
      </w:r>
      <w:r w:rsidR="004A20DF" w:rsidRPr="00637787">
        <w:rPr>
          <w:lang w:val="fr-FR"/>
        </w:rPr>
        <w:t>r</w:t>
      </w:r>
      <w:r w:rsidR="00412E85" w:rsidRPr="00637787">
        <w:rPr>
          <w:lang w:val="fr-FR"/>
        </w:rPr>
        <w:t xml:space="preserve">, </w:t>
      </w:r>
      <w:r w:rsidR="004A20DF" w:rsidRPr="00637787">
        <w:rPr>
          <w:lang w:val="fr-FR"/>
        </w:rPr>
        <w:t xml:space="preserve">conformément </w:t>
      </w:r>
      <w:r w:rsidR="00AC6FD5" w:rsidRPr="00637787">
        <w:rPr>
          <w:lang w:val="fr-FR"/>
        </w:rPr>
        <w:t>à la législation qui lui est a</w:t>
      </w:r>
      <w:r w:rsidR="00412E85" w:rsidRPr="00637787">
        <w:rPr>
          <w:lang w:val="fr-FR"/>
        </w:rPr>
        <w:t>pplicable</w:t>
      </w:r>
      <w:r w:rsidR="00AC6FD5" w:rsidRPr="00637787">
        <w:rPr>
          <w:lang w:val="fr-FR"/>
        </w:rPr>
        <w:t>,</w:t>
      </w:r>
      <w:r w:rsidR="00412E85" w:rsidRPr="00637787">
        <w:rPr>
          <w:lang w:val="fr-FR"/>
        </w:rPr>
        <w:t xml:space="preserve"> </w:t>
      </w:r>
      <w:r w:rsidR="004A20DF" w:rsidRPr="00637787">
        <w:rPr>
          <w:lang w:val="fr-FR"/>
        </w:rPr>
        <w:t>des éléments constitutifs de la mauvaise foi</w:t>
      </w:r>
      <w:r w:rsidR="00412E85" w:rsidRPr="00637787">
        <w:rPr>
          <w:lang w:val="fr-FR"/>
        </w:rPr>
        <w:t>.</w:t>
      </w:r>
    </w:p>
    <w:p w:rsidR="00E22BEA" w:rsidRDefault="0063488F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Sous réserve </w:t>
      </w:r>
      <w:r w:rsidR="00AC6FD5" w:rsidRPr="00637787">
        <w:rPr>
          <w:lang w:val="fr-FR"/>
        </w:rPr>
        <w:t>que le titulaire n</w:t>
      </w:r>
      <w:r w:rsidR="00E22BEA">
        <w:rPr>
          <w:lang w:val="fr-FR"/>
        </w:rPr>
        <w:t>’</w:t>
      </w:r>
      <w:r w:rsidR="00AC6FD5" w:rsidRPr="00637787">
        <w:rPr>
          <w:lang w:val="fr-FR"/>
        </w:rPr>
        <w:t>ait pas agi de mauvaise foi lors de l</w:t>
      </w:r>
      <w:r w:rsidR="00E22BEA">
        <w:rPr>
          <w:lang w:val="fr-FR"/>
        </w:rPr>
        <w:t>’</w:t>
      </w:r>
      <w:r w:rsidR="00AC6FD5" w:rsidRPr="00637787">
        <w:rPr>
          <w:lang w:val="fr-FR"/>
        </w:rPr>
        <w:t>établissement de la marque de base</w:t>
      </w:r>
      <w:r w:rsidRPr="00637787">
        <w:rPr>
          <w:lang w:val="fr-FR"/>
        </w:rPr>
        <w:t>, la cessation des effets de celle</w:t>
      </w:r>
      <w:r w:rsidR="00E22BEA">
        <w:rPr>
          <w:lang w:val="fr-FR"/>
        </w:rPr>
        <w:t>-</w:t>
      </w:r>
      <w:r w:rsidRPr="00637787">
        <w:rPr>
          <w:lang w:val="fr-FR"/>
        </w:rPr>
        <w:t>ci n</w:t>
      </w:r>
      <w:r w:rsidR="00E22BEA">
        <w:rPr>
          <w:lang w:val="fr-FR"/>
        </w:rPr>
        <w:t>’</w:t>
      </w:r>
      <w:r w:rsidRPr="00637787">
        <w:rPr>
          <w:lang w:val="fr-FR"/>
        </w:rPr>
        <w:t>aurait pas 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 xml:space="preserve">impact </w:t>
      </w:r>
      <w:r w:rsidRPr="00637787">
        <w:rPr>
          <w:lang w:val="fr-FR"/>
        </w:rPr>
        <w:t>sur 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</w:t>
      </w:r>
      <w:r w:rsidR="00517715" w:rsidRPr="00637787">
        <w:rPr>
          <w:lang w:val="fr-FR"/>
        </w:rPr>
        <w:t>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Pa</w:t>
      </w:r>
      <w:r w:rsidRPr="00637787">
        <w:rPr>
          <w:lang w:val="fr-FR"/>
        </w:rPr>
        <w:t>r exe</w:t>
      </w:r>
      <w:r w:rsidR="00412E85" w:rsidRPr="00637787">
        <w:rPr>
          <w:lang w:val="fr-FR"/>
        </w:rPr>
        <w:t xml:space="preserve">mple, </w:t>
      </w:r>
      <w:r w:rsidR="00F6636A" w:rsidRPr="00637787">
        <w:rPr>
          <w:lang w:val="fr-FR"/>
        </w:rPr>
        <w:t>la cessation des effets de la marque de base</w:t>
      </w:r>
      <w:r w:rsidR="00412E85" w:rsidRPr="00637787">
        <w:rPr>
          <w:lang w:val="fr-FR"/>
        </w:rPr>
        <w:t xml:space="preserve"> </w:t>
      </w:r>
      <w:r w:rsidR="001A7A3B" w:rsidRPr="00637787">
        <w:rPr>
          <w:lang w:val="fr-FR"/>
        </w:rPr>
        <w:t>en raison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 risque de </w:t>
      </w:r>
      <w:r w:rsidR="00412E85" w:rsidRPr="00637787">
        <w:rPr>
          <w:lang w:val="fr-FR"/>
        </w:rPr>
        <w:t xml:space="preserve">confusion </w:t>
      </w:r>
      <w:r w:rsidRPr="00637787">
        <w:rPr>
          <w:lang w:val="fr-FR"/>
        </w:rPr>
        <w:t>avec un droit antérieur d</w:t>
      </w:r>
      <w:r w:rsidR="00E22BEA">
        <w:rPr>
          <w:lang w:val="fr-FR"/>
        </w:rPr>
        <w:t>’</w:t>
      </w:r>
      <w:r w:rsidRPr="00637787">
        <w:rPr>
          <w:lang w:val="fr-FR"/>
        </w:rPr>
        <w:t>un tiers</w:t>
      </w:r>
      <w:r w:rsidR="0026443C" w:rsidRPr="00637787">
        <w:rPr>
          <w:lang w:val="fr-FR"/>
        </w:rPr>
        <w:t xml:space="preserve"> ou parce que la </w:t>
      </w:r>
      <w:r w:rsidR="00412E85" w:rsidRPr="00637787">
        <w:rPr>
          <w:lang w:val="fr-FR"/>
        </w:rPr>
        <w:t>mar</w:t>
      </w:r>
      <w:r w:rsidR="0026443C" w:rsidRPr="00637787">
        <w:rPr>
          <w:lang w:val="fr-FR"/>
        </w:rPr>
        <w:t xml:space="preserve">que est </w:t>
      </w:r>
      <w:r w:rsidR="00412E85" w:rsidRPr="00637787">
        <w:rPr>
          <w:lang w:val="fr-FR"/>
        </w:rPr>
        <w:t xml:space="preserve">descriptive </w:t>
      </w:r>
      <w:r w:rsidRPr="00637787">
        <w:rPr>
          <w:lang w:val="fr-FR"/>
        </w:rPr>
        <w:t>n</w:t>
      </w:r>
      <w:r w:rsidR="00E22BEA">
        <w:rPr>
          <w:lang w:val="fr-FR"/>
        </w:rPr>
        <w:t>’</w:t>
      </w:r>
      <w:r w:rsidRPr="00637787">
        <w:rPr>
          <w:lang w:val="fr-FR"/>
        </w:rPr>
        <w:t>aurait pas d</w:t>
      </w:r>
      <w:r w:rsidR="00E22BEA">
        <w:rPr>
          <w:lang w:val="fr-FR"/>
        </w:rPr>
        <w:t>’</w:t>
      </w:r>
      <w:r w:rsidRPr="00637787">
        <w:rPr>
          <w:lang w:val="fr-FR"/>
        </w:rPr>
        <w:t>incidence sur 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 e</w:t>
      </w:r>
      <w:r w:rsidRPr="00637787">
        <w:rPr>
          <w:lang w:val="fr-FR"/>
        </w:rPr>
        <w:t>n tant que t</w:t>
      </w:r>
      <w:r w:rsidR="00517715" w:rsidRPr="00637787">
        <w:rPr>
          <w:lang w:val="fr-FR"/>
        </w:rPr>
        <w:t>el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Ce</w:t>
      </w:r>
      <w:r w:rsidRPr="00637787">
        <w:rPr>
          <w:lang w:val="fr-FR"/>
        </w:rPr>
        <w:t xml:space="preserve">tte </w:t>
      </w:r>
      <w:r w:rsidR="00412E85" w:rsidRPr="00637787">
        <w:rPr>
          <w:lang w:val="fr-FR"/>
        </w:rPr>
        <w:t>option offr</w:t>
      </w:r>
      <w:r w:rsidRPr="00637787">
        <w:rPr>
          <w:lang w:val="fr-FR"/>
        </w:rPr>
        <w:t xml:space="preserve">irait une </w:t>
      </w:r>
      <w:r w:rsidR="00A572DC">
        <w:rPr>
          <w:lang w:val="fr-FR"/>
        </w:rPr>
        <w:t>sécurité</w:t>
      </w:r>
      <w:r w:rsidRPr="00637787">
        <w:rPr>
          <w:lang w:val="fr-FR"/>
        </w:rPr>
        <w:t xml:space="preserve"> juridique et une souplesse accrues aux titulaires en leur permettant de </w:t>
      </w:r>
      <w:r w:rsidR="00412E85" w:rsidRPr="00637787">
        <w:rPr>
          <w:lang w:val="fr-FR"/>
        </w:rPr>
        <w:t>cho</w:t>
      </w:r>
      <w:r w:rsidR="00EB6F52" w:rsidRPr="00637787">
        <w:rPr>
          <w:lang w:val="fr-FR"/>
        </w:rPr>
        <w:t xml:space="preserve">isir de maintenir </w:t>
      </w:r>
      <w:r w:rsidR="00D54F3B" w:rsidRPr="00637787">
        <w:rPr>
          <w:lang w:val="fr-FR"/>
        </w:rPr>
        <w:t xml:space="preserve">ou non </w:t>
      </w:r>
      <w:r w:rsidR="00EB6F52" w:rsidRPr="00637787">
        <w:rPr>
          <w:lang w:val="fr-FR"/>
        </w:rPr>
        <w:t xml:space="preserve">la marque de base </w:t>
      </w:r>
      <w:r w:rsidR="00D54F3B" w:rsidRPr="00637787">
        <w:rPr>
          <w:lang w:val="fr-FR"/>
        </w:rPr>
        <w:t xml:space="preserve">en vigueur </w:t>
      </w:r>
      <w:r w:rsidR="00EB6F52" w:rsidRPr="00637787">
        <w:rPr>
          <w:lang w:val="fr-FR"/>
        </w:rPr>
        <w:t>pendant la période de dé</w:t>
      </w:r>
      <w:r w:rsidR="00412E85" w:rsidRPr="00637787">
        <w:rPr>
          <w:lang w:val="fr-FR"/>
        </w:rPr>
        <w:t>pend</w:t>
      </w:r>
      <w:r w:rsidR="00EB6F52" w:rsidRPr="00637787">
        <w:rPr>
          <w:lang w:val="fr-FR"/>
        </w:rPr>
        <w:t>a</w:t>
      </w:r>
      <w:r w:rsidR="00412E85" w:rsidRPr="00637787">
        <w:rPr>
          <w:lang w:val="fr-FR"/>
        </w:rPr>
        <w:t xml:space="preserve">nce, </w:t>
      </w:r>
      <w:r w:rsidR="00EB6F52" w:rsidRPr="00637787">
        <w:rPr>
          <w:lang w:val="fr-FR"/>
        </w:rPr>
        <w:t xml:space="preserve">sans aucun </w:t>
      </w:r>
      <w:r w:rsidR="00412E85" w:rsidRPr="00637787">
        <w:rPr>
          <w:lang w:val="fr-FR"/>
        </w:rPr>
        <w:t xml:space="preserve">impact </w:t>
      </w:r>
      <w:r w:rsidR="00EB6F52" w:rsidRPr="00637787">
        <w:rPr>
          <w:lang w:val="fr-FR"/>
        </w:rPr>
        <w:t>sur l</w:t>
      </w:r>
      <w:r w:rsidR="00E22BEA">
        <w:rPr>
          <w:lang w:val="fr-FR"/>
        </w:rPr>
        <w:t>’</w:t>
      </w:r>
      <w:r w:rsidR="00EB6F52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international.</w:t>
      </w:r>
    </w:p>
    <w:p w:rsidR="00412E85" w:rsidRPr="00637787" w:rsidRDefault="007964C4" w:rsidP="007964C4">
      <w:pPr>
        <w:pStyle w:val="Heading2"/>
        <w:rPr>
          <w:lang w:val="fr-FR"/>
        </w:rPr>
      </w:pPr>
      <w:r w:rsidRPr="00637787">
        <w:rPr>
          <w:lang w:val="fr-FR"/>
        </w:rPr>
        <w:t>Radiation en raison de la cessation des effets de la marque de base fond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e uniquement sur des motifs limit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s</w:t>
      </w:r>
    </w:p>
    <w:p w:rsidR="00E22BEA" w:rsidRDefault="00095E25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Une </w:t>
      </w:r>
      <w:r w:rsidR="00412E85" w:rsidRPr="00637787">
        <w:rPr>
          <w:lang w:val="fr-FR"/>
        </w:rPr>
        <w:t>second</w:t>
      </w:r>
      <w:r w:rsidRPr="00637787">
        <w:rPr>
          <w:lang w:val="fr-FR"/>
        </w:rPr>
        <w:t xml:space="preserve">e </w:t>
      </w:r>
      <w:r w:rsidR="009D7F21" w:rsidRPr="00637787">
        <w:rPr>
          <w:lang w:val="fr-FR"/>
        </w:rPr>
        <w:t>possibilité</w:t>
      </w:r>
      <w:r w:rsidRPr="00637787">
        <w:rPr>
          <w:lang w:val="fr-FR"/>
        </w:rPr>
        <w:t xml:space="preserve"> consisterait à </w:t>
      </w:r>
      <w:r w:rsidR="00412E85" w:rsidRPr="00637787">
        <w:rPr>
          <w:lang w:val="fr-FR"/>
        </w:rPr>
        <w:t>limit</w:t>
      </w:r>
      <w:r w:rsidRPr="00637787">
        <w:rPr>
          <w:lang w:val="fr-FR"/>
        </w:rPr>
        <w:t>er le nombre de</w:t>
      </w:r>
      <w:r w:rsidR="002A0967" w:rsidRPr="00637787">
        <w:rPr>
          <w:lang w:val="fr-FR"/>
        </w:rPr>
        <w:t>s</w:t>
      </w:r>
      <w:r w:rsidRPr="00637787">
        <w:rPr>
          <w:lang w:val="fr-FR"/>
        </w:rPr>
        <w:t xml:space="preserve"> motifs qui entraîneraient la radiation 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 enregistrement </w:t>
      </w:r>
      <w:r w:rsidR="00412E85" w:rsidRPr="00637787">
        <w:rPr>
          <w:lang w:val="fr-FR"/>
        </w:rPr>
        <w:t>internation</w:t>
      </w:r>
      <w:r w:rsidR="00517715" w:rsidRPr="00637787">
        <w:rPr>
          <w:lang w:val="fr-FR"/>
        </w:rPr>
        <w:t>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Ou</w:t>
      </w:r>
      <w:r w:rsidRPr="00637787">
        <w:rPr>
          <w:lang w:val="fr-FR"/>
        </w:rPr>
        <w:t>tre la mauvaise foi</w:t>
      </w:r>
      <w:r w:rsidR="00412E85" w:rsidRPr="00637787">
        <w:rPr>
          <w:lang w:val="fr-FR"/>
        </w:rPr>
        <w:t xml:space="preserve">, </w:t>
      </w:r>
      <w:r w:rsidR="00307937" w:rsidRPr="00637787">
        <w:rPr>
          <w:lang w:val="fr-FR"/>
        </w:rPr>
        <w:t xml:space="preserve">ces motifs pourraient </w:t>
      </w:r>
      <w:r w:rsidR="00412E85" w:rsidRPr="00637787">
        <w:rPr>
          <w:lang w:val="fr-FR"/>
        </w:rPr>
        <w:t>inclu</w:t>
      </w:r>
      <w:r w:rsidR="00307937" w:rsidRPr="00637787">
        <w:rPr>
          <w:lang w:val="fr-FR"/>
        </w:rPr>
        <w:t>r</w:t>
      </w:r>
      <w:r w:rsidR="00412E85" w:rsidRPr="00637787">
        <w:rPr>
          <w:lang w:val="fr-FR"/>
        </w:rPr>
        <w:t xml:space="preserve">e </w:t>
      </w:r>
      <w:r w:rsidR="00307937" w:rsidRPr="00637787">
        <w:rPr>
          <w:lang w:val="fr-FR"/>
        </w:rPr>
        <w:t xml:space="preserve">toute </w:t>
      </w:r>
      <w:r w:rsidR="00412E85" w:rsidRPr="00637787">
        <w:rPr>
          <w:lang w:val="fr-FR"/>
        </w:rPr>
        <w:t>d</w:t>
      </w:r>
      <w:r w:rsidR="00307937"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="00307937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307937" w:rsidRPr="00637787">
        <w:rPr>
          <w:lang w:val="fr-FR"/>
        </w:rPr>
        <w:t xml:space="preserve">une autorité </w:t>
      </w:r>
      <w:r w:rsidR="00412E85" w:rsidRPr="00637787">
        <w:rPr>
          <w:lang w:val="fr-FR"/>
        </w:rPr>
        <w:t>comp</w:t>
      </w:r>
      <w:r w:rsidR="00307937" w:rsidRPr="00637787">
        <w:rPr>
          <w:lang w:val="fr-FR"/>
        </w:rPr>
        <w:t>é</w:t>
      </w:r>
      <w:r w:rsidR="00412E85" w:rsidRPr="00637787">
        <w:rPr>
          <w:lang w:val="fr-FR"/>
        </w:rPr>
        <w:t>tent</w:t>
      </w:r>
      <w:r w:rsidR="00307937" w:rsidRPr="00637787">
        <w:rPr>
          <w:lang w:val="fr-FR"/>
        </w:rPr>
        <w:t>e entraîn</w:t>
      </w:r>
      <w:r w:rsidR="00412E85" w:rsidRPr="00637787">
        <w:rPr>
          <w:lang w:val="fr-FR"/>
        </w:rPr>
        <w:t>a</w:t>
      </w:r>
      <w:r w:rsidR="00307937" w:rsidRPr="00637787">
        <w:rPr>
          <w:lang w:val="fr-FR"/>
        </w:rPr>
        <w:t xml:space="preserve">nt </w:t>
      </w:r>
      <w:r w:rsidR="00F6636A" w:rsidRPr="00637787">
        <w:rPr>
          <w:lang w:val="fr-FR"/>
        </w:rPr>
        <w:t>la cessation des effets de la marque de base</w:t>
      </w:r>
      <w:r w:rsidR="006B79C1" w:rsidRPr="00637787">
        <w:rPr>
          <w:lang w:val="fr-FR"/>
        </w:rPr>
        <w:t>,</w:t>
      </w:r>
      <w:r w:rsidR="00412E85" w:rsidRPr="00637787">
        <w:rPr>
          <w:lang w:val="fr-FR"/>
        </w:rPr>
        <w:t xml:space="preserve"> p</w:t>
      </w:r>
      <w:r w:rsidR="00307937" w:rsidRPr="00637787">
        <w:rPr>
          <w:lang w:val="fr-FR"/>
        </w:rPr>
        <w:t>our</w:t>
      </w:r>
      <w:r w:rsidR="00446E17" w:rsidRPr="00637787">
        <w:rPr>
          <w:lang w:val="fr-FR"/>
        </w:rPr>
        <w:t xml:space="preserve"> autant </w:t>
      </w:r>
      <w:r w:rsidR="00307937" w:rsidRPr="00637787">
        <w:rPr>
          <w:lang w:val="fr-FR"/>
        </w:rPr>
        <w:t>qu</w:t>
      </w:r>
      <w:r w:rsidR="00E22BEA">
        <w:rPr>
          <w:lang w:val="fr-FR"/>
        </w:rPr>
        <w:t>’</w:t>
      </w:r>
      <w:r w:rsidR="00307937" w:rsidRPr="00637787">
        <w:rPr>
          <w:lang w:val="fr-FR"/>
        </w:rPr>
        <w:t>elle découle d</w:t>
      </w:r>
      <w:r w:rsidR="00E22BEA">
        <w:rPr>
          <w:lang w:val="fr-FR"/>
        </w:rPr>
        <w:t>’</w:t>
      </w:r>
      <w:r w:rsidR="00307937" w:rsidRPr="00637787">
        <w:rPr>
          <w:lang w:val="fr-FR"/>
        </w:rPr>
        <w:t xml:space="preserve">une action </w:t>
      </w:r>
      <w:r w:rsidR="00413908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3908" w:rsidRPr="00637787">
        <w:rPr>
          <w:lang w:val="fr-FR"/>
        </w:rPr>
        <w:t xml:space="preserve">un </w:t>
      </w:r>
      <w:r w:rsidR="00307937" w:rsidRPr="00637787">
        <w:rPr>
          <w:lang w:val="fr-FR"/>
        </w:rPr>
        <w:t xml:space="preserve">tiers comme une </w:t>
      </w:r>
      <w:r w:rsidR="00412E85" w:rsidRPr="00637787">
        <w:rPr>
          <w:lang w:val="fr-FR"/>
        </w:rPr>
        <w:t xml:space="preserve">opposition, </w:t>
      </w:r>
      <w:r w:rsidR="00307937" w:rsidRPr="00637787">
        <w:rPr>
          <w:lang w:val="fr-FR"/>
        </w:rPr>
        <w:t xml:space="preserve">une radiation ou une </w:t>
      </w:r>
      <w:r w:rsidR="00412E85" w:rsidRPr="00637787">
        <w:rPr>
          <w:lang w:val="fr-FR"/>
        </w:rPr>
        <w:t>invalidation.</w:t>
      </w:r>
    </w:p>
    <w:p w:rsidR="00E22BEA" w:rsidRDefault="00B65FD3" w:rsidP="007964C4">
      <w:pPr>
        <w:pStyle w:val="ONUMFS"/>
        <w:rPr>
          <w:lang w:val="fr-FR"/>
        </w:rPr>
      </w:pPr>
      <w:r w:rsidRPr="00637787">
        <w:rPr>
          <w:lang w:val="fr-FR"/>
        </w:rPr>
        <w:t>P</w:t>
      </w:r>
      <w:r w:rsidR="00307937" w:rsidRPr="00637787">
        <w:rPr>
          <w:lang w:val="fr-FR"/>
        </w:rPr>
        <w:t xml:space="preserve">lus </w:t>
      </w:r>
      <w:r w:rsidR="00412E85" w:rsidRPr="00637787">
        <w:rPr>
          <w:lang w:val="fr-FR"/>
        </w:rPr>
        <w:t xml:space="preserve">favorable </w:t>
      </w:r>
      <w:r w:rsidR="00307937" w:rsidRPr="00637787">
        <w:rPr>
          <w:lang w:val="fr-FR"/>
        </w:rPr>
        <w:t>aux tiers</w:t>
      </w:r>
      <w:r w:rsidRPr="00637787">
        <w:rPr>
          <w:lang w:val="fr-FR"/>
        </w:rPr>
        <w:t xml:space="preserve">, cette </w:t>
      </w:r>
      <w:r w:rsidR="000E466D" w:rsidRPr="00637787">
        <w:rPr>
          <w:lang w:val="fr-FR"/>
        </w:rPr>
        <w:t>possibilité</w:t>
      </w:r>
      <w:r w:rsidR="00307937" w:rsidRPr="00637787">
        <w:rPr>
          <w:lang w:val="fr-FR"/>
        </w:rPr>
        <w:t xml:space="preserve"> resterait très avantageuse pour les titulaires d</w:t>
      </w:r>
      <w:r w:rsidR="00E22BEA">
        <w:rPr>
          <w:lang w:val="fr-FR"/>
        </w:rPr>
        <w:t>’</w:t>
      </w:r>
      <w:r w:rsidR="00307937"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="00307937" w:rsidRPr="00637787">
        <w:rPr>
          <w:lang w:val="fr-FR"/>
        </w:rPr>
        <w:t>ux</w:t>
      </w:r>
      <w:r w:rsidR="00412E85" w:rsidRPr="00637787">
        <w:rPr>
          <w:lang w:val="fr-FR"/>
        </w:rPr>
        <w:t xml:space="preserve">, </w:t>
      </w:r>
      <w:r w:rsidR="00307937" w:rsidRPr="00637787">
        <w:rPr>
          <w:lang w:val="fr-FR"/>
        </w:rPr>
        <w:t xml:space="preserve">par rapport à la </w:t>
      </w:r>
      <w:r w:rsidR="00412E85" w:rsidRPr="00637787">
        <w:rPr>
          <w:lang w:val="fr-FR"/>
        </w:rPr>
        <w:t>situation</w:t>
      </w:r>
      <w:r w:rsidR="00307937" w:rsidRPr="00637787">
        <w:rPr>
          <w:lang w:val="fr-FR"/>
        </w:rPr>
        <w:t xml:space="preserve"> actuel</w:t>
      </w:r>
      <w:r w:rsidR="00517715" w:rsidRPr="00637787">
        <w:rPr>
          <w:lang w:val="fr-FR"/>
        </w:rPr>
        <w:t>le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Lo</w:t>
      </w:r>
      <w:r w:rsidRPr="00637787">
        <w:rPr>
          <w:lang w:val="fr-FR"/>
        </w:rPr>
        <w:t>rsqu</w:t>
      </w:r>
      <w:r w:rsidR="00E22BEA">
        <w:rPr>
          <w:lang w:val="fr-FR"/>
        </w:rPr>
        <w:t>’</w:t>
      </w:r>
      <w:r w:rsidRPr="00637787">
        <w:rPr>
          <w:lang w:val="fr-FR"/>
        </w:rPr>
        <w:t>un titulaire a é</w:t>
      </w:r>
      <w:r w:rsidR="00412E85" w:rsidRPr="00637787">
        <w:rPr>
          <w:lang w:val="fr-FR"/>
        </w:rPr>
        <w:t>tabli</w:t>
      </w:r>
      <w:r w:rsidRPr="00637787">
        <w:rPr>
          <w:lang w:val="fr-FR"/>
        </w:rPr>
        <w:t xml:space="preserve"> la marque de </w:t>
      </w:r>
      <w:r w:rsidR="00412E85" w:rsidRPr="00637787">
        <w:rPr>
          <w:lang w:val="fr-FR"/>
        </w:rPr>
        <w:t>bas</w:t>
      </w:r>
      <w:r w:rsidRPr="00637787">
        <w:rPr>
          <w:lang w:val="fr-FR"/>
        </w:rPr>
        <w:t>e de bonne foi</w:t>
      </w:r>
      <w:r w:rsidR="00412E85" w:rsidRPr="00637787">
        <w:rPr>
          <w:lang w:val="fr-FR"/>
        </w:rPr>
        <w:t xml:space="preserve">, </w:t>
      </w:r>
      <w:r w:rsidRPr="00637787">
        <w:rPr>
          <w:lang w:val="fr-FR"/>
        </w:rPr>
        <w:t>l</w:t>
      </w:r>
      <w:r w:rsidR="00E22BEA">
        <w:rPr>
          <w:lang w:val="fr-FR"/>
        </w:rPr>
        <w:t>’</w:t>
      </w:r>
      <w:r w:rsidRPr="00637787">
        <w:rPr>
          <w:lang w:val="fr-FR"/>
        </w:rPr>
        <w:t>enregistrement i</w:t>
      </w:r>
      <w:r w:rsidR="00412E85" w:rsidRPr="00637787">
        <w:rPr>
          <w:lang w:val="fr-FR"/>
        </w:rPr>
        <w:t xml:space="preserve">nternational </w:t>
      </w:r>
      <w:r w:rsidRPr="00637787">
        <w:rPr>
          <w:lang w:val="fr-FR"/>
        </w:rPr>
        <w:t xml:space="preserve">ne serait radié que suite à une action </w:t>
      </w:r>
      <w:r w:rsidR="00413908" w:rsidRPr="00637787">
        <w:rPr>
          <w:lang w:val="fr-FR"/>
        </w:rPr>
        <w:t>d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un tiers </w:t>
      </w:r>
      <w:r w:rsidR="00355442" w:rsidRPr="00637787">
        <w:rPr>
          <w:lang w:val="fr-FR"/>
        </w:rPr>
        <w:t>ayant obtenu gain de cau</w:t>
      </w:r>
      <w:r w:rsidR="00517715" w:rsidRPr="00637787">
        <w:rPr>
          <w:lang w:val="fr-FR"/>
        </w:rPr>
        <w:t>se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23057D" w:rsidRPr="00637787">
        <w:rPr>
          <w:lang w:val="fr-FR"/>
        </w:rPr>
        <w:t xml:space="preserve"> constat par </w:t>
      </w:r>
      <w:r w:rsidR="00E70DD0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="00E70DD0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origin</w:t>
      </w:r>
      <w:r w:rsidR="00E70DD0" w:rsidRPr="00637787">
        <w:rPr>
          <w:lang w:val="fr-FR"/>
        </w:rPr>
        <w:t>e</w:t>
      </w:r>
      <w:r w:rsidR="00412E85" w:rsidRPr="00637787">
        <w:rPr>
          <w:lang w:val="fr-FR"/>
        </w:rPr>
        <w:t xml:space="preserve">, </w:t>
      </w:r>
      <w:r w:rsidR="00E70DD0" w:rsidRPr="00637787">
        <w:rPr>
          <w:lang w:val="fr-FR"/>
        </w:rPr>
        <w:t>dans son examen d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>office</w:t>
      </w:r>
      <w:r w:rsidR="00412E85" w:rsidRPr="00637787">
        <w:rPr>
          <w:lang w:val="fr-FR"/>
        </w:rPr>
        <w:t xml:space="preserve">, </w:t>
      </w:r>
      <w:r w:rsidR="00E70DD0" w:rsidRPr="00637787">
        <w:rPr>
          <w:lang w:val="fr-FR"/>
        </w:rPr>
        <w:t xml:space="preserve">que la marque de base est </w:t>
      </w:r>
      <w:r w:rsidR="00412E85" w:rsidRPr="00637787">
        <w:rPr>
          <w:lang w:val="fr-FR"/>
        </w:rPr>
        <w:t>descriptive o</w:t>
      </w:r>
      <w:r w:rsidR="00E70DD0" w:rsidRPr="00637787">
        <w:rPr>
          <w:lang w:val="fr-FR"/>
        </w:rPr>
        <w:t>u qu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>un droit antérieur empêche son en</w:t>
      </w:r>
      <w:r w:rsidR="00412E85" w:rsidRPr="00637787">
        <w:rPr>
          <w:lang w:val="fr-FR"/>
        </w:rPr>
        <w:t>registre</w:t>
      </w:r>
      <w:r w:rsidR="00E70DD0" w:rsidRPr="00637787">
        <w:rPr>
          <w:lang w:val="fr-FR"/>
        </w:rPr>
        <w:t>ment</w:t>
      </w:r>
      <w:r w:rsidR="006416B8" w:rsidRPr="00637787">
        <w:rPr>
          <w:lang w:val="fr-FR"/>
        </w:rPr>
        <w:t xml:space="preserve"> n</w:t>
      </w:r>
      <w:r w:rsidR="00E22BEA">
        <w:rPr>
          <w:lang w:val="fr-FR"/>
        </w:rPr>
        <w:t>’</w:t>
      </w:r>
      <w:r w:rsidR="006416B8" w:rsidRPr="00637787">
        <w:rPr>
          <w:lang w:val="fr-FR"/>
        </w:rPr>
        <w:t>entraînerait pas la radiation de l</w:t>
      </w:r>
      <w:r w:rsidR="00E22BEA">
        <w:rPr>
          <w:lang w:val="fr-FR"/>
        </w:rPr>
        <w:t>’</w:t>
      </w:r>
      <w:r w:rsidR="006416B8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</w:t>
      </w:r>
      <w:r w:rsidR="00517715" w:rsidRPr="00637787">
        <w:rPr>
          <w:lang w:val="fr-FR"/>
        </w:rPr>
        <w:t>al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To</w:t>
      </w:r>
      <w:r w:rsidR="00E70DD0" w:rsidRPr="00637787">
        <w:rPr>
          <w:lang w:val="fr-FR"/>
        </w:rPr>
        <w:t>utefois</w:t>
      </w:r>
      <w:r w:rsidR="00412E85" w:rsidRPr="00637787">
        <w:rPr>
          <w:lang w:val="fr-FR"/>
        </w:rPr>
        <w:t xml:space="preserve">, </w:t>
      </w:r>
      <w:r w:rsidR="00E70DD0" w:rsidRPr="00637787">
        <w:rPr>
          <w:lang w:val="fr-FR"/>
        </w:rPr>
        <w:t xml:space="preserve">lorsque cette </w:t>
      </w:r>
      <w:r w:rsidR="00412E85" w:rsidRPr="00637787">
        <w:rPr>
          <w:lang w:val="fr-FR"/>
        </w:rPr>
        <w:t>d</w:t>
      </w:r>
      <w:r w:rsidR="00E70DD0" w:rsidRPr="00637787">
        <w:rPr>
          <w:lang w:val="fr-FR"/>
        </w:rPr>
        <w:t>é</w:t>
      </w:r>
      <w:r w:rsidR="00412E85" w:rsidRPr="00637787">
        <w:rPr>
          <w:lang w:val="fr-FR"/>
        </w:rPr>
        <w:t xml:space="preserve">cision </w:t>
      </w:r>
      <w:r w:rsidR="0023057D" w:rsidRPr="00637787">
        <w:rPr>
          <w:lang w:val="fr-FR"/>
        </w:rPr>
        <w:t xml:space="preserve">serait </w:t>
      </w:r>
      <w:r w:rsidR="00E70DD0" w:rsidRPr="00637787">
        <w:rPr>
          <w:lang w:val="fr-FR"/>
        </w:rPr>
        <w:t xml:space="preserve">le </w:t>
      </w:r>
      <w:r w:rsidR="00412E85" w:rsidRPr="00637787">
        <w:rPr>
          <w:lang w:val="fr-FR"/>
        </w:rPr>
        <w:t>r</w:t>
      </w:r>
      <w:r w:rsidR="00E70DD0" w:rsidRPr="00637787">
        <w:rPr>
          <w:lang w:val="fr-FR"/>
        </w:rPr>
        <w:t>é</w:t>
      </w:r>
      <w:r w:rsidR="00412E85" w:rsidRPr="00637787">
        <w:rPr>
          <w:lang w:val="fr-FR"/>
        </w:rPr>
        <w:t>sult</w:t>
      </w:r>
      <w:r w:rsidR="00E70DD0" w:rsidRPr="00637787">
        <w:rPr>
          <w:lang w:val="fr-FR"/>
        </w:rPr>
        <w:t>at d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>un</w:t>
      </w:r>
      <w:r w:rsidR="00413908" w:rsidRPr="00637787">
        <w:rPr>
          <w:lang w:val="fr-FR"/>
        </w:rPr>
        <w:t>e</w:t>
      </w:r>
      <w:r w:rsidR="00E70DD0" w:rsidRPr="00637787">
        <w:rPr>
          <w:lang w:val="fr-FR"/>
        </w:rPr>
        <w:t xml:space="preserve"> action </w:t>
      </w:r>
      <w:r w:rsidR="00413908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>un tiers</w:t>
      </w:r>
      <w:r w:rsidR="00412E85" w:rsidRPr="00637787">
        <w:rPr>
          <w:lang w:val="fr-FR"/>
        </w:rPr>
        <w:t xml:space="preserve">, </w:t>
      </w:r>
      <w:r w:rsidR="00E70DD0" w:rsidRPr="00637787">
        <w:rPr>
          <w:lang w:val="fr-FR"/>
        </w:rPr>
        <w:t xml:space="preserve">elle </w:t>
      </w:r>
      <w:r w:rsidR="00412E85" w:rsidRPr="00637787">
        <w:rPr>
          <w:lang w:val="fr-FR"/>
        </w:rPr>
        <w:t>affect</w:t>
      </w:r>
      <w:r w:rsidR="00E70DD0" w:rsidRPr="00637787">
        <w:rPr>
          <w:lang w:val="fr-FR"/>
        </w:rPr>
        <w:t>e</w:t>
      </w:r>
      <w:r w:rsidR="0023057D" w:rsidRPr="00637787">
        <w:rPr>
          <w:lang w:val="fr-FR"/>
        </w:rPr>
        <w:t>rait</w:t>
      </w:r>
      <w:r w:rsidR="00E70DD0" w:rsidRPr="00637787">
        <w:rPr>
          <w:lang w:val="fr-FR"/>
        </w:rPr>
        <w:t xml:space="preserve"> l</w:t>
      </w:r>
      <w:r w:rsidR="00E22BEA">
        <w:rPr>
          <w:lang w:val="fr-FR"/>
        </w:rPr>
        <w:t>’</w:t>
      </w:r>
      <w:r w:rsidR="00E70DD0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 concer</w:t>
      </w:r>
      <w:r w:rsidR="00517715" w:rsidRPr="00637787">
        <w:rPr>
          <w:lang w:val="fr-FR"/>
        </w:rPr>
        <w:t>né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 xml:space="preserve">À </w:t>
      </w:r>
      <w:r w:rsidR="00355442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355442" w:rsidRPr="00637787">
        <w:rPr>
          <w:lang w:val="fr-FR"/>
        </w:rPr>
        <w:t xml:space="preserve">instar de la possibilité </w:t>
      </w:r>
      <w:r w:rsidR="00E70DD0" w:rsidRPr="00637787">
        <w:rPr>
          <w:lang w:val="fr-FR"/>
        </w:rPr>
        <w:t>précédemment décrite, celle</w:t>
      </w:r>
      <w:r w:rsidR="00E22BEA">
        <w:rPr>
          <w:lang w:val="fr-FR"/>
        </w:rPr>
        <w:t>-</w:t>
      </w:r>
      <w:r w:rsidR="00E70DD0" w:rsidRPr="00637787">
        <w:rPr>
          <w:lang w:val="fr-FR"/>
        </w:rPr>
        <w:t xml:space="preserve">ci </w:t>
      </w:r>
      <w:r w:rsidR="006416B8" w:rsidRPr="00637787">
        <w:rPr>
          <w:lang w:val="fr-FR"/>
        </w:rPr>
        <w:t xml:space="preserve">donnerait plus de souplesse au titulaire pour </w:t>
      </w:r>
      <w:r w:rsidR="00412E85" w:rsidRPr="00637787">
        <w:rPr>
          <w:lang w:val="fr-FR"/>
        </w:rPr>
        <w:t>mainten</w:t>
      </w:r>
      <w:r w:rsidR="00355442" w:rsidRPr="00637787">
        <w:rPr>
          <w:lang w:val="fr-FR"/>
        </w:rPr>
        <w:t>ir</w:t>
      </w:r>
      <w:r w:rsidR="006416B8" w:rsidRPr="00637787">
        <w:rPr>
          <w:lang w:val="fr-FR"/>
        </w:rPr>
        <w:t xml:space="preserve"> la marque de </w:t>
      </w:r>
      <w:r w:rsidR="00412E85" w:rsidRPr="00637787">
        <w:rPr>
          <w:lang w:val="fr-FR"/>
        </w:rPr>
        <w:t>bas</w:t>
      </w:r>
      <w:r w:rsidR="006416B8" w:rsidRPr="00637787">
        <w:rPr>
          <w:lang w:val="fr-FR"/>
        </w:rPr>
        <w:t>e</w:t>
      </w:r>
      <w:r w:rsidR="0023057D" w:rsidRPr="00637787">
        <w:rPr>
          <w:lang w:val="fr-FR"/>
        </w:rPr>
        <w:t xml:space="preserve"> en vigueur</w:t>
      </w:r>
      <w:r w:rsidR="00412E85" w:rsidRPr="00637787">
        <w:rPr>
          <w:lang w:val="fr-FR"/>
        </w:rPr>
        <w:t>.</w:t>
      </w:r>
    </w:p>
    <w:p w:rsidR="00412E85" w:rsidRPr="00637787" w:rsidRDefault="007964C4" w:rsidP="007964C4">
      <w:pPr>
        <w:pStyle w:val="Heading1"/>
        <w:rPr>
          <w:lang w:val="fr-FR"/>
        </w:rPr>
      </w:pPr>
      <w:r w:rsidRPr="00637787">
        <w:rPr>
          <w:lang w:val="fr-FR"/>
        </w:rPr>
        <w:t>Élimination de l</w:t>
      </w:r>
      <w:r w:rsidR="00E22BEA">
        <w:rPr>
          <w:lang w:val="fr-FR"/>
        </w:rPr>
        <w:t>’</w:t>
      </w:r>
      <w:r w:rsidRPr="00637787">
        <w:rPr>
          <w:lang w:val="fr-FR"/>
        </w:rPr>
        <w:t>effet automatique de la d</w:t>
      </w:r>
      <w:r w:rsidR="0025698E" w:rsidRPr="0025698E">
        <w:rPr>
          <w:lang w:val="fr-FR"/>
        </w:rPr>
        <w:t>É</w:t>
      </w:r>
      <w:r w:rsidRPr="00637787">
        <w:rPr>
          <w:lang w:val="fr-FR"/>
        </w:rPr>
        <w:t>pendance</w:t>
      </w:r>
    </w:p>
    <w:p w:rsidR="00F73DD6" w:rsidRPr="00637787" w:rsidRDefault="00413908" w:rsidP="007964C4">
      <w:pPr>
        <w:pStyle w:val="ONUMFS"/>
        <w:rPr>
          <w:lang w:val="fr-FR"/>
        </w:rPr>
      </w:pPr>
      <w:r w:rsidRPr="00637787">
        <w:rPr>
          <w:lang w:val="fr-FR"/>
        </w:rPr>
        <w:t>Actuellement</w:t>
      </w:r>
      <w:r w:rsidR="00412E85" w:rsidRPr="00637787">
        <w:rPr>
          <w:lang w:val="fr-FR"/>
        </w:rPr>
        <w:t xml:space="preserve">, </w:t>
      </w:r>
      <w:r w:rsidRPr="00637787">
        <w:rPr>
          <w:lang w:val="fr-FR"/>
        </w:rPr>
        <w:t>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Pr="00637787">
        <w:rPr>
          <w:lang w:val="fr-FR"/>
        </w:rPr>
        <w:t xml:space="preserve">est rendu </w:t>
      </w:r>
      <w:r w:rsidR="00412E85" w:rsidRPr="00637787">
        <w:rPr>
          <w:lang w:val="fr-FR"/>
        </w:rPr>
        <w:t>automati</w:t>
      </w:r>
      <w:r w:rsidRPr="00637787">
        <w:rPr>
          <w:lang w:val="fr-FR"/>
        </w:rPr>
        <w:t>quement inopérant dès lors que la marque de base cesse de produire ses effe</w:t>
      </w:r>
      <w:r w:rsidR="00517715" w:rsidRPr="00637787">
        <w:rPr>
          <w:lang w:val="fr-FR"/>
        </w:rPr>
        <w:t>ts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Si</w:t>
      </w:r>
      <w:r w:rsidRPr="00637787">
        <w:rPr>
          <w:lang w:val="fr-FR"/>
        </w:rPr>
        <w:t xml:space="preserve"> un tiers peut avoir intérêt à </w:t>
      </w:r>
      <w:r w:rsidR="00513614" w:rsidRPr="00637787">
        <w:rPr>
          <w:lang w:val="fr-FR"/>
        </w:rPr>
        <w:t>viser</w:t>
      </w:r>
      <w:r w:rsidRPr="00637787">
        <w:rPr>
          <w:lang w:val="fr-FR"/>
        </w:rPr>
        <w:t xml:space="preserve"> l</w:t>
      </w:r>
      <w:r w:rsidR="00E22BEA">
        <w:rPr>
          <w:lang w:val="fr-FR"/>
        </w:rPr>
        <w:t>’</w:t>
      </w:r>
      <w:r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international, </w:t>
      </w:r>
      <w:r w:rsidR="00513614" w:rsidRPr="00637787">
        <w:rPr>
          <w:lang w:val="fr-FR"/>
        </w:rPr>
        <w:t>ce dernier</w:t>
      </w:r>
      <w:r w:rsidR="00412E85" w:rsidRPr="00637787">
        <w:rPr>
          <w:lang w:val="fr-FR"/>
        </w:rPr>
        <w:t xml:space="preserve"> </w:t>
      </w:r>
      <w:r w:rsidR="001106AC" w:rsidRPr="00637787">
        <w:rPr>
          <w:lang w:val="fr-FR"/>
        </w:rPr>
        <w:t>serait également rendu inopérant</w:t>
      </w:r>
      <w:r w:rsidR="00513614" w:rsidRPr="00637787">
        <w:rPr>
          <w:lang w:val="fr-FR"/>
        </w:rPr>
        <w:t>, dans le cadre juridique actuel,</w:t>
      </w:r>
    </w:p>
    <w:p w:rsidR="00E22BEA" w:rsidRDefault="001106AC" w:rsidP="007964C4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637787">
        <w:rPr>
          <w:lang w:val="fr-FR"/>
        </w:rPr>
        <w:t xml:space="preserve">suite </w:t>
      </w:r>
      <w:r w:rsidR="00413908" w:rsidRPr="00637787">
        <w:rPr>
          <w:lang w:val="fr-FR"/>
        </w:rPr>
        <w:t>à l</w:t>
      </w:r>
      <w:r w:rsidR="00E22BEA">
        <w:rPr>
          <w:lang w:val="fr-FR"/>
        </w:rPr>
        <w:t>’</w:t>
      </w:r>
      <w:r w:rsidR="00412E85" w:rsidRPr="00637787">
        <w:rPr>
          <w:lang w:val="fr-FR"/>
        </w:rPr>
        <w:t>abandon</w:t>
      </w:r>
      <w:r w:rsidR="00413908" w:rsidRPr="00637787">
        <w:rPr>
          <w:lang w:val="fr-FR"/>
        </w:rPr>
        <w:t xml:space="preserve"> de la marque de base ou </w:t>
      </w:r>
      <w:r w:rsidRPr="00637787">
        <w:rPr>
          <w:lang w:val="fr-FR"/>
        </w:rPr>
        <w:t xml:space="preserve">à la </w:t>
      </w:r>
      <w:r w:rsidR="00413908" w:rsidRPr="00637787">
        <w:rPr>
          <w:lang w:val="fr-FR"/>
        </w:rPr>
        <w:t>renonc</w:t>
      </w:r>
      <w:r w:rsidRPr="00637787">
        <w:rPr>
          <w:lang w:val="fr-FR"/>
        </w:rPr>
        <w:t>iation</w:t>
      </w:r>
      <w:r w:rsidR="00413908" w:rsidRPr="00637787">
        <w:rPr>
          <w:lang w:val="fr-FR"/>
        </w:rPr>
        <w:t xml:space="preserve"> à celle</w:t>
      </w:r>
      <w:r w:rsidR="00E22BEA">
        <w:rPr>
          <w:lang w:val="fr-FR"/>
        </w:rPr>
        <w:t>-</w:t>
      </w:r>
      <w:r w:rsidR="00413908" w:rsidRPr="00637787">
        <w:rPr>
          <w:lang w:val="fr-FR"/>
        </w:rPr>
        <w:t xml:space="preserve">ci par </w:t>
      </w:r>
      <w:r w:rsidRPr="00637787">
        <w:rPr>
          <w:lang w:val="fr-FR"/>
        </w:rPr>
        <w:t xml:space="preserve">le </w:t>
      </w:r>
      <w:r w:rsidR="00E25000">
        <w:rPr>
          <w:lang w:val="fr-FR"/>
        </w:rPr>
        <w:t>déposant</w:t>
      </w:r>
      <w:r w:rsidRPr="00637787">
        <w:rPr>
          <w:lang w:val="fr-FR"/>
        </w:rPr>
        <w:t xml:space="preserve"> </w:t>
      </w:r>
      <w:r w:rsidR="00412E85" w:rsidRPr="00637787">
        <w:rPr>
          <w:lang w:val="fr-FR"/>
        </w:rPr>
        <w:t>o</w:t>
      </w:r>
      <w:r w:rsidR="00413908" w:rsidRPr="00637787">
        <w:rPr>
          <w:lang w:val="fr-FR"/>
        </w:rPr>
        <w:t xml:space="preserve">u le titulaire, pour une raison pertinente </w:t>
      </w:r>
      <w:r w:rsidRPr="00637787">
        <w:rPr>
          <w:lang w:val="fr-FR"/>
        </w:rPr>
        <w:t>sur le seul ter</w:t>
      </w:r>
      <w:r w:rsidR="00412E85" w:rsidRPr="00637787">
        <w:rPr>
          <w:lang w:val="fr-FR"/>
        </w:rPr>
        <w:t>rito</w:t>
      </w:r>
      <w:r w:rsidRPr="00637787">
        <w:rPr>
          <w:lang w:val="fr-FR"/>
        </w:rPr>
        <w:t>ire national</w:t>
      </w:r>
      <w:r w:rsidR="00186906">
        <w:rPr>
          <w:lang w:val="fr-FR"/>
        </w:rPr>
        <w:t xml:space="preserve"> ou régional</w:t>
      </w:r>
      <w:r w:rsidR="00412E85" w:rsidRPr="00637787">
        <w:rPr>
          <w:lang w:val="fr-FR"/>
        </w:rPr>
        <w:t>;</w:t>
      </w:r>
    </w:p>
    <w:p w:rsidR="00F73DD6" w:rsidRPr="00637787" w:rsidRDefault="00673204" w:rsidP="007964C4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637787">
        <w:rPr>
          <w:lang w:val="fr-FR"/>
        </w:rPr>
        <w:t xml:space="preserve">suite </w:t>
      </w:r>
      <w:r w:rsidR="00413908" w:rsidRPr="00637787">
        <w:rPr>
          <w:lang w:val="fr-FR"/>
        </w:rPr>
        <w:t>au rejet d</w:t>
      </w:r>
      <w:r w:rsidR="00E22BEA">
        <w:rPr>
          <w:lang w:val="fr-FR"/>
        </w:rPr>
        <w:t>’</w:t>
      </w:r>
      <w:r w:rsidR="00413908" w:rsidRPr="00637787">
        <w:rPr>
          <w:lang w:val="fr-FR"/>
        </w:rPr>
        <w:t xml:space="preserve">office de la </w:t>
      </w:r>
      <w:r w:rsidRPr="00637787">
        <w:rPr>
          <w:lang w:val="fr-FR"/>
        </w:rPr>
        <w:t xml:space="preserve">demande </w:t>
      </w:r>
      <w:r w:rsidR="00413908" w:rsidRPr="00637787">
        <w:rPr>
          <w:lang w:val="fr-FR"/>
        </w:rPr>
        <w:t xml:space="preserve">fondé sur des motifs </w:t>
      </w:r>
      <w:r w:rsidR="00412E85" w:rsidRPr="00637787">
        <w:rPr>
          <w:lang w:val="fr-FR"/>
        </w:rPr>
        <w:t>absolu</w:t>
      </w:r>
      <w:r w:rsidR="00413908" w:rsidRPr="00637787">
        <w:rPr>
          <w:lang w:val="fr-FR"/>
        </w:rPr>
        <w:t xml:space="preserve">s ou </w:t>
      </w:r>
      <w:r w:rsidR="00412E85" w:rsidRPr="00637787">
        <w:rPr>
          <w:lang w:val="fr-FR"/>
        </w:rPr>
        <w:t>relati</w:t>
      </w:r>
      <w:r w:rsidR="00413908" w:rsidRPr="00637787">
        <w:rPr>
          <w:lang w:val="fr-FR"/>
        </w:rPr>
        <w:t>fs</w:t>
      </w:r>
      <w:r w:rsidR="00412E85" w:rsidRPr="00637787">
        <w:rPr>
          <w:lang w:val="fr-FR"/>
        </w:rPr>
        <w:t xml:space="preserve"> applicable</w:t>
      </w:r>
      <w:r w:rsidRPr="00637787">
        <w:rPr>
          <w:lang w:val="fr-FR"/>
        </w:rPr>
        <w:t xml:space="preserve">s au seul </w:t>
      </w:r>
      <w:r w:rsidR="00412E85" w:rsidRPr="00637787">
        <w:rPr>
          <w:lang w:val="fr-FR"/>
        </w:rPr>
        <w:t>territo</w:t>
      </w:r>
      <w:r w:rsidRPr="00637787">
        <w:rPr>
          <w:lang w:val="fr-FR"/>
        </w:rPr>
        <w:t>ire national</w:t>
      </w:r>
      <w:r w:rsidR="00186906">
        <w:rPr>
          <w:lang w:val="fr-FR"/>
        </w:rPr>
        <w:t xml:space="preserve"> ou régional</w:t>
      </w:r>
      <w:r w:rsidR="00412E85" w:rsidRPr="00637787">
        <w:rPr>
          <w:lang w:val="fr-FR"/>
        </w:rPr>
        <w:t xml:space="preserve">; </w:t>
      </w:r>
      <w:r w:rsidRPr="00637787">
        <w:rPr>
          <w:lang w:val="fr-FR"/>
        </w:rPr>
        <w:t xml:space="preserve"> ou</w:t>
      </w:r>
    </w:p>
    <w:p w:rsidR="00E22BEA" w:rsidRDefault="00673204" w:rsidP="007964C4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637787">
        <w:rPr>
          <w:lang w:val="fr-FR"/>
        </w:rPr>
        <w:t xml:space="preserve">suite </w:t>
      </w:r>
      <w:r w:rsidR="00B066FB" w:rsidRPr="00637787">
        <w:rPr>
          <w:lang w:val="fr-FR"/>
        </w:rPr>
        <w:t>à une action d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>un tiers n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 xml:space="preserve">ayant aucun intérêt particulier à </w:t>
      </w:r>
      <w:r w:rsidR="00773AF5" w:rsidRPr="00637787">
        <w:rPr>
          <w:lang w:val="fr-FR"/>
        </w:rPr>
        <w:t>viser</w:t>
      </w:r>
      <w:r w:rsidR="00412E85" w:rsidRPr="00637787">
        <w:rPr>
          <w:lang w:val="fr-FR"/>
        </w:rPr>
        <w:t xml:space="preserve"> </w:t>
      </w:r>
      <w:r w:rsidR="00B066FB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="00B066FB" w:rsidRPr="00637787">
        <w:rPr>
          <w:lang w:val="fr-FR"/>
        </w:rPr>
        <w:t>en tant que tel ou les droits d</w:t>
      </w:r>
      <w:r w:rsidR="00FA1C99">
        <w:rPr>
          <w:lang w:val="fr-FR"/>
        </w:rPr>
        <w:t>ans</w:t>
      </w:r>
      <w:r w:rsidR="00B066FB" w:rsidRPr="00637787">
        <w:rPr>
          <w:lang w:val="fr-FR"/>
        </w:rPr>
        <w:t xml:space="preserve"> l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>une quelconque des parties c</w:t>
      </w:r>
      <w:r w:rsidR="00412E85" w:rsidRPr="00637787">
        <w:rPr>
          <w:lang w:val="fr-FR"/>
        </w:rPr>
        <w:t>ontract</w:t>
      </w:r>
      <w:r w:rsidR="00B066FB" w:rsidRPr="00637787">
        <w:rPr>
          <w:lang w:val="fr-FR"/>
        </w:rPr>
        <w:t>antes désignées</w:t>
      </w:r>
      <w:r w:rsidR="00412E85" w:rsidRPr="00637787">
        <w:rPr>
          <w:lang w:val="fr-FR"/>
        </w:rPr>
        <w:t>.</w:t>
      </w:r>
    </w:p>
    <w:p w:rsidR="00E22BEA" w:rsidRDefault="000D64D5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En vue </w:t>
      </w:r>
      <w:r w:rsidR="00E80AF0" w:rsidRPr="00637787">
        <w:rPr>
          <w:lang w:val="fr-FR"/>
        </w:rPr>
        <w:t>d</w:t>
      </w:r>
      <w:r w:rsidR="00E22BEA">
        <w:rPr>
          <w:lang w:val="fr-FR"/>
        </w:rPr>
        <w:t>’</w:t>
      </w:r>
      <w:r w:rsidR="00EB74C4" w:rsidRPr="00637787">
        <w:rPr>
          <w:lang w:val="fr-FR"/>
        </w:rPr>
        <w:t>un meilleur équilibre entre</w:t>
      </w:r>
      <w:r w:rsidR="00645860" w:rsidRPr="00637787">
        <w:rPr>
          <w:lang w:val="fr-FR"/>
        </w:rPr>
        <w:t xml:space="preserve"> les </w:t>
      </w:r>
      <w:r w:rsidR="00412E85" w:rsidRPr="00637787">
        <w:rPr>
          <w:lang w:val="fr-FR"/>
        </w:rPr>
        <w:t>int</w:t>
      </w:r>
      <w:r w:rsidR="00B066FB" w:rsidRPr="00637787">
        <w:rPr>
          <w:lang w:val="fr-FR"/>
        </w:rPr>
        <w:t>é</w:t>
      </w:r>
      <w:r w:rsidR="00412E85" w:rsidRPr="00637787">
        <w:rPr>
          <w:lang w:val="fr-FR"/>
        </w:rPr>
        <w:t>r</w:t>
      </w:r>
      <w:r w:rsidR="00B066FB" w:rsidRPr="00637787">
        <w:rPr>
          <w:lang w:val="fr-FR"/>
        </w:rPr>
        <w:t xml:space="preserve">êts des tiers </w:t>
      </w:r>
      <w:r w:rsidR="00412E85" w:rsidRPr="00637787">
        <w:rPr>
          <w:lang w:val="fr-FR"/>
        </w:rPr>
        <w:t>et</w:t>
      </w:r>
      <w:r w:rsidR="00B066FB" w:rsidRPr="00637787">
        <w:rPr>
          <w:lang w:val="fr-FR"/>
        </w:rPr>
        <w:t xml:space="preserve"> ceux des titulaires d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="00B066FB" w:rsidRPr="00637787">
        <w:rPr>
          <w:lang w:val="fr-FR"/>
        </w:rPr>
        <w:t>ux</w:t>
      </w:r>
      <w:r w:rsidR="00412E85" w:rsidRPr="00637787">
        <w:rPr>
          <w:lang w:val="fr-FR"/>
        </w:rPr>
        <w:t xml:space="preserve">, </w:t>
      </w:r>
      <w:r w:rsidR="00B066FB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 xml:space="preserve">effet </w:t>
      </w:r>
      <w:r w:rsidR="00412E85" w:rsidRPr="00637787">
        <w:rPr>
          <w:lang w:val="fr-FR"/>
        </w:rPr>
        <w:t>automati</w:t>
      </w:r>
      <w:r w:rsidR="00B066FB" w:rsidRPr="00637787">
        <w:rPr>
          <w:lang w:val="fr-FR"/>
        </w:rPr>
        <w:t xml:space="preserve">que de la </w:t>
      </w:r>
      <w:r w:rsidR="00412E85" w:rsidRPr="00637787">
        <w:rPr>
          <w:lang w:val="fr-FR"/>
        </w:rPr>
        <w:t>d</w:t>
      </w:r>
      <w:r w:rsidR="00B066FB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B066FB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B066FB" w:rsidRPr="00637787">
        <w:rPr>
          <w:lang w:val="fr-FR"/>
        </w:rPr>
        <w:t>e pourrait être é</w:t>
      </w:r>
      <w:r w:rsidR="00412E85" w:rsidRPr="00637787">
        <w:rPr>
          <w:lang w:val="fr-FR"/>
        </w:rPr>
        <w:t>limi</w:t>
      </w:r>
      <w:r w:rsidR="00517715" w:rsidRPr="00637787">
        <w:rPr>
          <w:lang w:val="fr-FR"/>
        </w:rPr>
        <w:t>né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Au</w:t>
      </w:r>
      <w:r w:rsidR="00EB74C4" w:rsidRPr="00637787">
        <w:rPr>
          <w:lang w:val="fr-FR"/>
        </w:rPr>
        <w:t xml:space="preserve">cune limitation ne serait apportée aux </w:t>
      </w:r>
      <w:r w:rsidR="00B066FB" w:rsidRPr="00637787">
        <w:rPr>
          <w:lang w:val="fr-FR"/>
        </w:rPr>
        <w:t xml:space="preserve">motifs pouvant conduire à la </w:t>
      </w:r>
      <w:r w:rsidR="00F6636A" w:rsidRPr="00637787">
        <w:rPr>
          <w:lang w:val="fr-FR"/>
        </w:rPr>
        <w:t>cessation des effets de la marque de base</w:t>
      </w:r>
      <w:r w:rsidR="00B066FB" w:rsidRPr="00637787">
        <w:rPr>
          <w:lang w:val="fr-FR"/>
        </w:rPr>
        <w:t xml:space="preserve"> et l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 </w:t>
      </w:r>
      <w:r w:rsidR="00B066FB" w:rsidRPr="00637787">
        <w:rPr>
          <w:lang w:val="fr-FR"/>
        </w:rPr>
        <w:t>ne pourrait être radié qu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>à la demande d</w:t>
      </w:r>
      <w:r w:rsidR="00E22BEA">
        <w:rPr>
          <w:lang w:val="fr-FR"/>
        </w:rPr>
        <w:t>’</w:t>
      </w:r>
      <w:r w:rsidR="00B066FB" w:rsidRPr="00637787">
        <w:rPr>
          <w:lang w:val="fr-FR"/>
        </w:rPr>
        <w:t>un tiers</w:t>
      </w:r>
      <w:r w:rsidR="00412E85" w:rsidRPr="00637787">
        <w:rPr>
          <w:lang w:val="fr-FR"/>
        </w:rPr>
        <w:t>.</w:t>
      </w:r>
    </w:p>
    <w:p w:rsidR="00FB56F5" w:rsidRDefault="00190078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Un tiers </w:t>
      </w:r>
      <w:r w:rsidR="00280D94" w:rsidRPr="00637787">
        <w:rPr>
          <w:lang w:val="fr-FR"/>
        </w:rPr>
        <w:t>se</w:t>
      </w:r>
      <w:r w:rsidRPr="00637787">
        <w:rPr>
          <w:lang w:val="fr-FR"/>
        </w:rPr>
        <w:t xml:space="preserve">rait </w:t>
      </w:r>
      <w:r w:rsidR="00280D94" w:rsidRPr="00637787">
        <w:rPr>
          <w:lang w:val="fr-FR"/>
        </w:rPr>
        <w:t>tenu</w:t>
      </w:r>
      <w:r w:rsidRPr="00637787">
        <w:rPr>
          <w:lang w:val="fr-FR"/>
        </w:rPr>
        <w:t xml:space="preserve"> de demander à l</w:t>
      </w:r>
      <w:r w:rsidR="00E22BEA">
        <w:rPr>
          <w:lang w:val="fr-FR"/>
        </w:rPr>
        <w:t>’</w:t>
      </w:r>
      <w:r w:rsidR="001E3175">
        <w:rPr>
          <w:lang w:val="fr-FR"/>
        </w:rPr>
        <w:t>O</w:t>
      </w:r>
      <w:r w:rsidR="00412E85" w:rsidRPr="00637787">
        <w:rPr>
          <w:lang w:val="fr-FR"/>
        </w:rPr>
        <w:t xml:space="preserve">ffice </w:t>
      </w:r>
      <w:r w:rsidRPr="00637787">
        <w:rPr>
          <w:lang w:val="fr-FR"/>
        </w:rPr>
        <w:t>d</w:t>
      </w:r>
      <w:r w:rsidR="00E22BEA">
        <w:rPr>
          <w:lang w:val="fr-FR"/>
        </w:rPr>
        <w:t>’</w:t>
      </w:r>
      <w:r w:rsidRPr="00637787">
        <w:rPr>
          <w:lang w:val="fr-FR"/>
        </w:rPr>
        <w:t>o</w:t>
      </w:r>
      <w:r w:rsidR="00412E85" w:rsidRPr="00637787">
        <w:rPr>
          <w:lang w:val="fr-FR"/>
        </w:rPr>
        <w:t>rigin</w:t>
      </w:r>
      <w:r w:rsidRPr="00637787">
        <w:rPr>
          <w:lang w:val="fr-FR"/>
        </w:rPr>
        <w:t xml:space="preserve">e </w:t>
      </w:r>
      <w:r w:rsidR="00AA0944">
        <w:rPr>
          <w:lang w:val="fr-FR"/>
        </w:rPr>
        <w:t>de notifier</w:t>
      </w:r>
      <w:r w:rsidRPr="00637787">
        <w:rPr>
          <w:lang w:val="fr-FR"/>
        </w:rPr>
        <w:t xml:space="preserve"> le Bureau i</w:t>
      </w:r>
      <w:r w:rsidR="00412E85" w:rsidRPr="00637787">
        <w:rPr>
          <w:lang w:val="fr-FR"/>
        </w:rPr>
        <w:t xml:space="preserve">nternational </w:t>
      </w:r>
      <w:r w:rsidRPr="00637787">
        <w:rPr>
          <w:lang w:val="fr-FR"/>
        </w:rPr>
        <w:t xml:space="preserve">de </w:t>
      </w:r>
      <w:r w:rsidR="00F6636A" w:rsidRPr="00637787">
        <w:rPr>
          <w:lang w:val="fr-FR"/>
        </w:rPr>
        <w:t>la cessation des effets de la marque de base</w:t>
      </w:r>
      <w:r w:rsidR="00412E85" w:rsidRPr="00637787">
        <w:rPr>
          <w:lang w:val="fr-FR"/>
        </w:rPr>
        <w:t xml:space="preserve"> </w:t>
      </w:r>
      <w:r w:rsidR="00CC7FD8" w:rsidRPr="00637787">
        <w:rPr>
          <w:lang w:val="fr-FR"/>
        </w:rPr>
        <w:t>et de demander la radiation de l</w:t>
      </w:r>
      <w:r w:rsidR="00E22BEA">
        <w:rPr>
          <w:lang w:val="fr-FR"/>
        </w:rPr>
        <w:t>’</w:t>
      </w:r>
      <w:r w:rsidR="00CC7FD8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>international concer</w:t>
      </w:r>
      <w:r w:rsidR="00517715" w:rsidRPr="00637787">
        <w:rPr>
          <w:lang w:val="fr-FR"/>
        </w:rPr>
        <w:t>né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Ce</w:t>
      </w:r>
      <w:r w:rsidR="00EB74C4" w:rsidRPr="00637787">
        <w:rPr>
          <w:lang w:val="fr-FR"/>
        </w:rPr>
        <w:t xml:space="preserve">tte </w:t>
      </w:r>
      <w:r w:rsidR="00280D94" w:rsidRPr="00637787">
        <w:rPr>
          <w:lang w:val="fr-FR"/>
        </w:rPr>
        <w:t xml:space="preserve">radiation </w:t>
      </w:r>
      <w:r w:rsidR="00B066FB" w:rsidRPr="00637787">
        <w:rPr>
          <w:lang w:val="fr-FR"/>
        </w:rPr>
        <w:t>n</w:t>
      </w:r>
      <w:r w:rsidR="00E22BEA">
        <w:rPr>
          <w:lang w:val="fr-FR"/>
        </w:rPr>
        <w:t>’</w:t>
      </w:r>
      <w:r w:rsidR="00280D94" w:rsidRPr="00637787">
        <w:rPr>
          <w:lang w:val="fr-FR"/>
        </w:rPr>
        <w:t xml:space="preserve">interviendrait </w:t>
      </w:r>
      <w:r w:rsidR="00B066FB" w:rsidRPr="00637787">
        <w:rPr>
          <w:lang w:val="fr-FR"/>
        </w:rPr>
        <w:t xml:space="preserve">que si </w:t>
      </w:r>
      <w:r w:rsidR="00280D94" w:rsidRPr="00637787">
        <w:rPr>
          <w:lang w:val="fr-FR"/>
        </w:rPr>
        <w:t xml:space="preserve">elle </w:t>
      </w:r>
      <w:r w:rsidR="00B066FB" w:rsidRPr="00637787">
        <w:rPr>
          <w:lang w:val="fr-FR"/>
        </w:rPr>
        <w:t>présente un réel intérêt pour un tie</w:t>
      </w:r>
      <w:r w:rsidR="00517715" w:rsidRPr="00637787">
        <w:rPr>
          <w:lang w:val="fr-FR"/>
        </w:rPr>
        <w:t>rs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Ce</w:t>
      </w:r>
      <w:r w:rsidR="00B066FB" w:rsidRPr="00637787">
        <w:rPr>
          <w:lang w:val="fr-FR"/>
        </w:rPr>
        <w:t xml:space="preserve">la voudrait dire aussi que les tiers ne perdraient pas un avantage tactique lors de la </w:t>
      </w:r>
      <w:r w:rsidR="00412E85" w:rsidRPr="00637787">
        <w:rPr>
          <w:lang w:val="fr-FR"/>
        </w:rPr>
        <w:t>n</w:t>
      </w:r>
      <w:r w:rsidR="00B066FB" w:rsidRPr="00637787">
        <w:rPr>
          <w:lang w:val="fr-FR"/>
        </w:rPr>
        <w:t>é</w:t>
      </w:r>
      <w:r w:rsidR="00412E85" w:rsidRPr="00637787">
        <w:rPr>
          <w:lang w:val="fr-FR"/>
        </w:rPr>
        <w:t>go</w:t>
      </w:r>
      <w:r w:rsidR="00B066FB" w:rsidRPr="00637787">
        <w:rPr>
          <w:lang w:val="fr-FR"/>
        </w:rPr>
        <w:t>c</w:t>
      </w:r>
      <w:r w:rsidR="00412E85" w:rsidRPr="00637787">
        <w:rPr>
          <w:lang w:val="fr-FR"/>
        </w:rPr>
        <w:t>iati</w:t>
      </w:r>
      <w:r w:rsidR="00B066FB" w:rsidRPr="00637787">
        <w:rPr>
          <w:lang w:val="fr-FR"/>
        </w:rPr>
        <w:t>on d</w:t>
      </w:r>
      <w:r w:rsidR="00E22BEA">
        <w:rPr>
          <w:lang w:val="fr-FR"/>
        </w:rPr>
        <w:t>’</w:t>
      </w:r>
      <w:r w:rsidR="00280D94" w:rsidRPr="00637787">
        <w:rPr>
          <w:lang w:val="fr-FR"/>
        </w:rPr>
        <w:t>éventuels accords de règlement</w:t>
      </w:r>
      <w:r w:rsidR="00412E85" w:rsidRPr="00637787">
        <w:rPr>
          <w:lang w:val="fr-FR"/>
        </w:rPr>
        <w:t>, c</w:t>
      </w:r>
      <w:r w:rsidR="00280D94" w:rsidRPr="00637787">
        <w:rPr>
          <w:lang w:val="fr-FR"/>
        </w:rPr>
        <w:t>e qui a été c</w:t>
      </w:r>
      <w:r w:rsidR="00412E85" w:rsidRPr="00637787">
        <w:rPr>
          <w:lang w:val="fr-FR"/>
        </w:rPr>
        <w:t>it</w:t>
      </w:r>
      <w:r w:rsidR="00B066FB" w:rsidRPr="00637787">
        <w:rPr>
          <w:lang w:val="fr-FR"/>
        </w:rPr>
        <w:t xml:space="preserve">é comme un facteur </w:t>
      </w:r>
      <w:r w:rsidR="00412E85" w:rsidRPr="00637787">
        <w:rPr>
          <w:lang w:val="fr-FR"/>
        </w:rPr>
        <w:t xml:space="preserve">important </w:t>
      </w:r>
      <w:r w:rsidR="00B066FB" w:rsidRPr="00637787">
        <w:rPr>
          <w:lang w:val="fr-FR"/>
        </w:rPr>
        <w:t xml:space="preserve">dans les </w:t>
      </w:r>
      <w:r w:rsidR="00412E85" w:rsidRPr="00637787">
        <w:rPr>
          <w:lang w:val="fr-FR"/>
        </w:rPr>
        <w:t>n</w:t>
      </w:r>
      <w:r w:rsidR="00B066FB" w:rsidRPr="00637787">
        <w:rPr>
          <w:lang w:val="fr-FR"/>
        </w:rPr>
        <w:t>é</w:t>
      </w:r>
      <w:r w:rsidR="00412E85" w:rsidRPr="00637787">
        <w:rPr>
          <w:lang w:val="fr-FR"/>
        </w:rPr>
        <w:t>go</w:t>
      </w:r>
      <w:r w:rsidR="00B066FB" w:rsidRPr="00637787">
        <w:rPr>
          <w:lang w:val="fr-FR"/>
        </w:rPr>
        <w:t>c</w:t>
      </w:r>
      <w:r w:rsidR="00412E85" w:rsidRPr="00637787">
        <w:rPr>
          <w:lang w:val="fr-FR"/>
        </w:rPr>
        <w:t>iations</w:t>
      </w:r>
      <w:r w:rsidR="00B066FB" w:rsidRPr="00637787">
        <w:rPr>
          <w:lang w:val="fr-FR"/>
        </w:rPr>
        <w:t xml:space="preserve"> et un </w:t>
      </w:r>
      <w:r w:rsidR="00EB74C4" w:rsidRPr="00637787">
        <w:rPr>
          <w:lang w:val="fr-FR"/>
        </w:rPr>
        <w:t xml:space="preserve">argument en faveur du </w:t>
      </w:r>
      <w:r w:rsidR="00B066FB" w:rsidRPr="00637787">
        <w:rPr>
          <w:lang w:val="fr-FR"/>
        </w:rPr>
        <w:t xml:space="preserve">maintien de la </w:t>
      </w:r>
      <w:r w:rsidR="00412E85" w:rsidRPr="00637787">
        <w:rPr>
          <w:lang w:val="fr-FR"/>
        </w:rPr>
        <w:t>d</w:t>
      </w:r>
      <w:r w:rsidR="00B066FB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B066FB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B066FB" w:rsidRPr="00637787">
        <w:rPr>
          <w:lang w:val="fr-FR"/>
        </w:rPr>
        <w:t>e</w:t>
      </w:r>
      <w:r w:rsidR="00412E85" w:rsidRPr="00637787">
        <w:rPr>
          <w:lang w:val="fr-FR"/>
        </w:rPr>
        <w:t>.</w:t>
      </w:r>
      <w:r w:rsidR="00FB56F5">
        <w:rPr>
          <w:lang w:val="fr-FR"/>
        </w:rPr>
        <w:t xml:space="preserve">  </w:t>
      </w:r>
      <w:r w:rsidR="00FB56F5">
        <w:rPr>
          <w:lang w:val="fr-FR"/>
        </w:rPr>
        <w:br w:type="page"/>
      </w:r>
    </w:p>
    <w:p w:rsidR="00412E85" w:rsidRPr="00637787" w:rsidRDefault="007964C4" w:rsidP="007964C4">
      <w:pPr>
        <w:pStyle w:val="Heading1"/>
        <w:rPr>
          <w:lang w:val="fr-FR"/>
        </w:rPr>
      </w:pPr>
      <w:r w:rsidRPr="00637787">
        <w:rPr>
          <w:lang w:val="fr-FR"/>
        </w:rPr>
        <w:t xml:space="preserve">Possible voie </w:t>
      </w:r>
      <w:r w:rsidR="0025698E">
        <w:rPr>
          <w:lang w:val="fr-FR"/>
        </w:rPr>
        <w:t>À</w:t>
      </w:r>
      <w:r w:rsidRPr="00637787">
        <w:rPr>
          <w:lang w:val="fr-FR"/>
        </w:rPr>
        <w:t xml:space="preserve"> suivre</w:t>
      </w:r>
    </w:p>
    <w:p w:rsidR="00E22BEA" w:rsidRDefault="00492B95" w:rsidP="007964C4">
      <w:pPr>
        <w:pStyle w:val="ONUMFS"/>
        <w:rPr>
          <w:lang w:val="fr-FR"/>
        </w:rPr>
      </w:pPr>
      <w:r w:rsidRPr="00637787">
        <w:rPr>
          <w:lang w:val="fr-FR"/>
        </w:rPr>
        <w:t xml:space="preserve">En </w:t>
      </w:r>
      <w:r w:rsidR="00510D02" w:rsidRPr="00637787">
        <w:rPr>
          <w:lang w:val="fr-FR"/>
        </w:rPr>
        <w:t>étudiant</w:t>
      </w:r>
      <w:r w:rsidRPr="00637787">
        <w:rPr>
          <w:lang w:val="fr-FR"/>
        </w:rPr>
        <w:t xml:space="preserve"> </w:t>
      </w:r>
      <w:r w:rsidR="000D64D5" w:rsidRPr="00637787">
        <w:rPr>
          <w:lang w:val="fr-FR"/>
        </w:rPr>
        <w:t>u</w:t>
      </w:r>
      <w:r w:rsidR="00202488" w:rsidRPr="00637787">
        <w:rPr>
          <w:lang w:val="fr-FR"/>
        </w:rPr>
        <w:t xml:space="preserve">ne </w:t>
      </w:r>
      <w:r w:rsidR="00412E85" w:rsidRPr="00637787">
        <w:rPr>
          <w:lang w:val="fr-FR"/>
        </w:rPr>
        <w:t>possible</w:t>
      </w:r>
      <w:r w:rsidR="00202488" w:rsidRPr="00637787">
        <w:rPr>
          <w:lang w:val="fr-FR"/>
        </w:rPr>
        <w:t xml:space="preserve"> voie à suivre</w:t>
      </w:r>
      <w:r w:rsidR="00412E85" w:rsidRPr="00637787">
        <w:rPr>
          <w:lang w:val="fr-FR"/>
        </w:rPr>
        <w:t xml:space="preserve">, </w:t>
      </w:r>
      <w:r w:rsidR="00E80AF0" w:rsidRPr="00637787">
        <w:rPr>
          <w:lang w:val="fr-FR"/>
        </w:rPr>
        <w:t xml:space="preserve">le groupe de travail pourrait </w:t>
      </w:r>
      <w:r w:rsidR="00510D02" w:rsidRPr="00637787">
        <w:rPr>
          <w:lang w:val="fr-FR"/>
        </w:rPr>
        <w:t>vouloir</w:t>
      </w:r>
      <w:r w:rsidR="00E80AF0" w:rsidRPr="00637787">
        <w:rPr>
          <w:lang w:val="fr-FR"/>
        </w:rPr>
        <w:t xml:space="preserve"> se concentrer sur la nécessité de trouver un juste équilibre entre les droits des titulaires d</w:t>
      </w:r>
      <w:r w:rsidR="00E22BEA">
        <w:rPr>
          <w:lang w:val="fr-FR"/>
        </w:rPr>
        <w:t>’</w:t>
      </w:r>
      <w:r w:rsidR="00E80AF0" w:rsidRPr="00637787">
        <w:rPr>
          <w:lang w:val="fr-FR"/>
        </w:rPr>
        <w:t xml:space="preserve">enregistrements </w:t>
      </w:r>
      <w:r w:rsidR="00412E85" w:rsidRPr="00637787">
        <w:rPr>
          <w:lang w:val="fr-FR"/>
        </w:rPr>
        <w:t>internationa</w:t>
      </w:r>
      <w:r w:rsidR="00E80AF0" w:rsidRPr="00637787">
        <w:rPr>
          <w:lang w:val="fr-FR"/>
        </w:rPr>
        <w:t>ux et ceux des tie</w:t>
      </w:r>
      <w:r w:rsidR="00517715" w:rsidRPr="00637787">
        <w:rPr>
          <w:lang w:val="fr-FR"/>
        </w:rPr>
        <w:t>rs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Le</w:t>
      </w:r>
      <w:r w:rsidR="00E80AF0" w:rsidRPr="00637787">
        <w:rPr>
          <w:lang w:val="fr-FR"/>
        </w:rPr>
        <w:t xml:space="preserve">s </w:t>
      </w:r>
      <w:r w:rsidR="00B03A06" w:rsidRPr="00637787">
        <w:rPr>
          <w:lang w:val="fr-FR"/>
        </w:rPr>
        <w:t>possibilités</w:t>
      </w:r>
      <w:r w:rsidR="00E80AF0" w:rsidRPr="00637787">
        <w:rPr>
          <w:lang w:val="fr-FR"/>
        </w:rPr>
        <w:t xml:space="preserve"> décrites ci</w:t>
      </w:r>
      <w:r w:rsidR="00E22BEA">
        <w:rPr>
          <w:lang w:val="fr-FR"/>
        </w:rPr>
        <w:t>-</w:t>
      </w:r>
      <w:r w:rsidR="00E80AF0" w:rsidRPr="00637787">
        <w:rPr>
          <w:lang w:val="fr-FR"/>
        </w:rPr>
        <w:t>dessus</w:t>
      </w:r>
      <w:r w:rsidR="00412E85" w:rsidRPr="00637787">
        <w:rPr>
          <w:lang w:val="fr-FR"/>
        </w:rPr>
        <w:t xml:space="preserve"> n</w:t>
      </w:r>
      <w:r w:rsidR="00E80AF0" w:rsidRPr="00637787">
        <w:rPr>
          <w:lang w:val="fr-FR"/>
        </w:rPr>
        <w:t>e sont pas incompatibl</w:t>
      </w:r>
      <w:r w:rsidR="00517715" w:rsidRPr="00637787">
        <w:rPr>
          <w:lang w:val="fr-FR"/>
        </w:rPr>
        <w:t>es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Pa</w:t>
      </w:r>
      <w:r w:rsidR="00E80AF0" w:rsidRPr="00637787">
        <w:rPr>
          <w:lang w:val="fr-FR"/>
        </w:rPr>
        <w:t>r exe</w:t>
      </w:r>
      <w:r w:rsidR="00412E85" w:rsidRPr="00637787">
        <w:rPr>
          <w:lang w:val="fr-FR"/>
        </w:rPr>
        <w:t xml:space="preserve">mple, </w:t>
      </w:r>
      <w:r w:rsidR="00E80AF0" w:rsidRPr="00637787">
        <w:rPr>
          <w:lang w:val="fr-FR"/>
        </w:rPr>
        <w:t>le groupe de travail pourrait e</w:t>
      </w:r>
      <w:r w:rsidR="00387ABD" w:rsidRPr="00637787">
        <w:rPr>
          <w:lang w:val="fr-FR"/>
        </w:rPr>
        <w:t>nvisager</w:t>
      </w:r>
      <w:r w:rsidR="00E80AF0" w:rsidRPr="00637787">
        <w:rPr>
          <w:lang w:val="fr-FR"/>
        </w:rPr>
        <w:t xml:space="preserve"> la </w:t>
      </w:r>
      <w:r w:rsidR="00412E85" w:rsidRPr="00637787">
        <w:rPr>
          <w:lang w:val="fr-FR"/>
        </w:rPr>
        <w:t>r</w:t>
      </w:r>
      <w:r w:rsidR="00E80AF0" w:rsidRPr="00637787">
        <w:rPr>
          <w:lang w:val="fr-FR"/>
        </w:rPr>
        <w:t>é</w:t>
      </w:r>
      <w:r w:rsidR="00412E85" w:rsidRPr="00637787">
        <w:rPr>
          <w:lang w:val="fr-FR"/>
        </w:rPr>
        <w:t xml:space="preserve">duction </w:t>
      </w:r>
      <w:r w:rsidR="00E80AF0" w:rsidRPr="00637787">
        <w:rPr>
          <w:lang w:val="fr-FR"/>
        </w:rPr>
        <w:t xml:space="preserve">de la période de </w:t>
      </w:r>
      <w:r w:rsidR="00412E85" w:rsidRPr="00637787">
        <w:rPr>
          <w:lang w:val="fr-FR"/>
        </w:rPr>
        <w:t>d</w:t>
      </w:r>
      <w:r w:rsidR="00E80AF0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E80AF0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E80AF0" w:rsidRPr="00637787">
        <w:rPr>
          <w:lang w:val="fr-FR"/>
        </w:rPr>
        <w:t xml:space="preserve">e et </w:t>
      </w:r>
      <w:r w:rsidR="00E27FC4">
        <w:rPr>
          <w:lang w:val="fr-FR"/>
        </w:rPr>
        <w:t xml:space="preserve">la limitation </w:t>
      </w:r>
      <w:r w:rsidR="00E80AF0" w:rsidRPr="00637787">
        <w:rPr>
          <w:lang w:val="fr-FR"/>
        </w:rPr>
        <w:t>des motifs pouvant entraîner la radiation de l</w:t>
      </w:r>
      <w:r w:rsidR="00E22BEA">
        <w:rPr>
          <w:lang w:val="fr-FR"/>
        </w:rPr>
        <w:t>’</w:t>
      </w:r>
      <w:r w:rsidR="00E80AF0" w:rsidRPr="00637787">
        <w:rPr>
          <w:lang w:val="fr-FR"/>
        </w:rPr>
        <w:t xml:space="preserve">enregistrement </w:t>
      </w:r>
      <w:r w:rsidR="00412E85" w:rsidRPr="00637787">
        <w:rPr>
          <w:lang w:val="fr-FR"/>
        </w:rPr>
        <w:t xml:space="preserve">international, </w:t>
      </w:r>
      <w:r w:rsidR="00D54F3B" w:rsidRPr="00637787">
        <w:rPr>
          <w:lang w:val="fr-FR"/>
        </w:rPr>
        <w:t xml:space="preserve">ainsi que </w:t>
      </w:r>
      <w:r w:rsidR="00E80AF0" w:rsidRPr="00637787">
        <w:rPr>
          <w:lang w:val="fr-FR"/>
        </w:rPr>
        <w:t>l</w:t>
      </w:r>
      <w:r w:rsidR="00E22BEA">
        <w:rPr>
          <w:lang w:val="fr-FR"/>
        </w:rPr>
        <w:t>’</w:t>
      </w:r>
      <w:r w:rsidR="00E80AF0" w:rsidRPr="00637787">
        <w:rPr>
          <w:lang w:val="fr-FR"/>
        </w:rPr>
        <w:t>é</w:t>
      </w:r>
      <w:r w:rsidR="00412E85" w:rsidRPr="00637787">
        <w:rPr>
          <w:lang w:val="fr-FR"/>
        </w:rPr>
        <w:t xml:space="preserve">limination </w:t>
      </w:r>
      <w:r w:rsidR="00E80AF0" w:rsidRPr="00637787">
        <w:rPr>
          <w:lang w:val="fr-FR"/>
        </w:rPr>
        <w:t>de l</w:t>
      </w:r>
      <w:r w:rsidR="00E22BEA">
        <w:rPr>
          <w:lang w:val="fr-FR"/>
        </w:rPr>
        <w:t>’</w:t>
      </w:r>
      <w:r w:rsidR="00E80AF0" w:rsidRPr="00637787">
        <w:rPr>
          <w:lang w:val="fr-FR"/>
        </w:rPr>
        <w:t xml:space="preserve">effet </w:t>
      </w:r>
      <w:r w:rsidR="00412E85" w:rsidRPr="00637787">
        <w:rPr>
          <w:lang w:val="fr-FR"/>
        </w:rPr>
        <w:t>automati</w:t>
      </w:r>
      <w:r w:rsidR="00E80AF0" w:rsidRPr="00637787">
        <w:rPr>
          <w:lang w:val="fr-FR"/>
        </w:rPr>
        <w:t xml:space="preserve">que de la </w:t>
      </w:r>
      <w:r w:rsidR="00412E85" w:rsidRPr="00637787">
        <w:rPr>
          <w:lang w:val="fr-FR"/>
        </w:rPr>
        <w:t>d</w:t>
      </w:r>
      <w:r w:rsidR="00E80AF0" w:rsidRPr="00637787">
        <w:rPr>
          <w:lang w:val="fr-FR"/>
        </w:rPr>
        <w:t>é</w:t>
      </w:r>
      <w:r w:rsidR="00412E85" w:rsidRPr="00637787">
        <w:rPr>
          <w:lang w:val="fr-FR"/>
        </w:rPr>
        <w:t>pend</w:t>
      </w:r>
      <w:r w:rsidR="00E80AF0" w:rsidRPr="00637787">
        <w:rPr>
          <w:lang w:val="fr-FR"/>
        </w:rPr>
        <w:t>a</w:t>
      </w:r>
      <w:r w:rsidR="00412E85" w:rsidRPr="00637787">
        <w:rPr>
          <w:lang w:val="fr-FR"/>
        </w:rPr>
        <w:t>nc</w:t>
      </w:r>
      <w:r w:rsidR="00E80AF0" w:rsidRPr="00637787">
        <w:rPr>
          <w:lang w:val="fr-FR"/>
        </w:rPr>
        <w:t>e</w:t>
      </w:r>
      <w:r w:rsidR="00412E85" w:rsidRPr="00637787">
        <w:rPr>
          <w:lang w:val="fr-FR"/>
        </w:rPr>
        <w:t>.</w:t>
      </w:r>
    </w:p>
    <w:p w:rsidR="00E22BEA" w:rsidRDefault="00412E85" w:rsidP="007964C4">
      <w:pPr>
        <w:pStyle w:val="ONUMFS"/>
        <w:rPr>
          <w:lang w:val="fr-FR"/>
        </w:rPr>
      </w:pPr>
      <w:r w:rsidRPr="00637787">
        <w:rPr>
          <w:lang w:val="fr-FR"/>
        </w:rPr>
        <w:t>S</w:t>
      </w:r>
      <w:r w:rsidR="00E80AF0" w:rsidRPr="00637787">
        <w:rPr>
          <w:lang w:val="fr-FR"/>
        </w:rPr>
        <w:t xml:space="preserve">i le groupe de travail convenait de </w:t>
      </w:r>
      <w:r w:rsidRPr="00637787">
        <w:rPr>
          <w:lang w:val="fr-FR"/>
        </w:rPr>
        <w:t>recomm</w:t>
      </w:r>
      <w:r w:rsidR="00E80AF0" w:rsidRPr="00637787">
        <w:rPr>
          <w:lang w:val="fr-FR"/>
        </w:rPr>
        <w:t>a</w:t>
      </w:r>
      <w:r w:rsidRPr="00637787">
        <w:rPr>
          <w:lang w:val="fr-FR"/>
        </w:rPr>
        <w:t>nd</w:t>
      </w:r>
      <w:r w:rsidR="00B40F7C" w:rsidRPr="00637787">
        <w:rPr>
          <w:lang w:val="fr-FR"/>
        </w:rPr>
        <w:t>er l</w:t>
      </w:r>
      <w:r w:rsidR="00E22BEA">
        <w:rPr>
          <w:lang w:val="fr-FR"/>
        </w:rPr>
        <w:t>’</w:t>
      </w:r>
      <w:r w:rsidR="00B40F7C" w:rsidRPr="00637787">
        <w:rPr>
          <w:lang w:val="fr-FR"/>
        </w:rPr>
        <w:t xml:space="preserve">une des </w:t>
      </w:r>
      <w:r w:rsidR="00B03A06" w:rsidRPr="00637787">
        <w:rPr>
          <w:lang w:val="fr-FR"/>
        </w:rPr>
        <w:t>possibilités</w:t>
      </w:r>
      <w:r w:rsidRPr="00637787">
        <w:rPr>
          <w:lang w:val="fr-FR"/>
        </w:rPr>
        <w:t xml:space="preserve"> d</w:t>
      </w:r>
      <w:r w:rsidR="00B40F7C" w:rsidRPr="00637787">
        <w:rPr>
          <w:lang w:val="fr-FR"/>
        </w:rPr>
        <w:t>é</w:t>
      </w:r>
      <w:r w:rsidRPr="00637787">
        <w:rPr>
          <w:lang w:val="fr-FR"/>
        </w:rPr>
        <w:t>cri</w:t>
      </w:r>
      <w:r w:rsidR="00B40F7C" w:rsidRPr="00637787">
        <w:rPr>
          <w:lang w:val="fr-FR"/>
        </w:rPr>
        <w:t xml:space="preserve">tes dans le </w:t>
      </w:r>
      <w:r w:rsidR="00F73DD6" w:rsidRPr="00637787">
        <w:rPr>
          <w:lang w:val="fr-FR"/>
        </w:rPr>
        <w:t>pr</w:t>
      </w:r>
      <w:r w:rsidR="00B40F7C" w:rsidRPr="00637787">
        <w:rPr>
          <w:lang w:val="fr-FR"/>
        </w:rPr>
        <w:t>é</w:t>
      </w:r>
      <w:r w:rsidR="00F73DD6" w:rsidRPr="00637787">
        <w:rPr>
          <w:lang w:val="fr-FR"/>
        </w:rPr>
        <w:t xml:space="preserve">sent </w:t>
      </w:r>
      <w:r w:rsidRPr="00637787">
        <w:rPr>
          <w:lang w:val="fr-FR"/>
        </w:rPr>
        <w:t>document – r</w:t>
      </w:r>
      <w:r w:rsidR="00B40F7C" w:rsidRPr="00637787">
        <w:rPr>
          <w:lang w:val="fr-FR"/>
        </w:rPr>
        <w:t>é</w:t>
      </w:r>
      <w:r w:rsidRPr="00637787">
        <w:rPr>
          <w:lang w:val="fr-FR"/>
        </w:rPr>
        <w:t xml:space="preserve">duction </w:t>
      </w:r>
      <w:r w:rsidR="00B40F7C" w:rsidRPr="00637787">
        <w:rPr>
          <w:lang w:val="fr-FR"/>
        </w:rPr>
        <w:t>de la période de dépendance</w:t>
      </w:r>
      <w:r w:rsidRPr="00637787">
        <w:rPr>
          <w:lang w:val="fr-FR"/>
        </w:rPr>
        <w:t xml:space="preserve">, </w:t>
      </w:r>
      <w:r w:rsidR="00B40F7C" w:rsidRPr="00637787">
        <w:rPr>
          <w:lang w:val="fr-FR"/>
        </w:rPr>
        <w:t>limitation des motifs ou é</w:t>
      </w:r>
      <w:r w:rsidRPr="00637787">
        <w:rPr>
          <w:lang w:val="fr-FR"/>
        </w:rPr>
        <w:t xml:space="preserve">limination </w:t>
      </w:r>
      <w:r w:rsidR="00B40F7C" w:rsidRPr="00637787">
        <w:rPr>
          <w:lang w:val="fr-FR"/>
        </w:rPr>
        <w:t>de l</w:t>
      </w:r>
      <w:r w:rsidR="00E22BEA">
        <w:rPr>
          <w:lang w:val="fr-FR"/>
        </w:rPr>
        <w:t>’</w:t>
      </w:r>
      <w:r w:rsidR="00B40F7C" w:rsidRPr="00637787">
        <w:rPr>
          <w:lang w:val="fr-FR"/>
        </w:rPr>
        <w:t xml:space="preserve">effet </w:t>
      </w:r>
      <w:r w:rsidRPr="00637787">
        <w:rPr>
          <w:lang w:val="fr-FR"/>
        </w:rPr>
        <w:t>automati</w:t>
      </w:r>
      <w:r w:rsidR="00B40F7C" w:rsidRPr="00637787">
        <w:rPr>
          <w:lang w:val="fr-FR"/>
        </w:rPr>
        <w:t xml:space="preserve">que de la </w:t>
      </w:r>
      <w:r w:rsidRPr="00637787">
        <w:rPr>
          <w:lang w:val="fr-FR"/>
        </w:rPr>
        <w:t>d</w:t>
      </w:r>
      <w:r w:rsidR="00B40F7C" w:rsidRPr="00637787">
        <w:rPr>
          <w:lang w:val="fr-FR"/>
        </w:rPr>
        <w:t>é</w:t>
      </w:r>
      <w:r w:rsidRPr="00637787">
        <w:rPr>
          <w:lang w:val="fr-FR"/>
        </w:rPr>
        <w:t>pend</w:t>
      </w:r>
      <w:r w:rsidR="00B40F7C" w:rsidRPr="00637787">
        <w:rPr>
          <w:lang w:val="fr-FR"/>
        </w:rPr>
        <w:t>a</w:t>
      </w:r>
      <w:r w:rsidRPr="00637787">
        <w:rPr>
          <w:lang w:val="fr-FR"/>
        </w:rPr>
        <w:t>nc</w:t>
      </w:r>
      <w:r w:rsidR="00B40F7C" w:rsidRPr="00637787">
        <w:rPr>
          <w:lang w:val="fr-FR"/>
        </w:rPr>
        <w:t>e</w:t>
      </w:r>
      <w:r w:rsidRPr="00637787">
        <w:rPr>
          <w:lang w:val="fr-FR"/>
        </w:rPr>
        <w:t xml:space="preserve"> – o</w:t>
      </w:r>
      <w:r w:rsidR="00B40F7C" w:rsidRPr="00637787">
        <w:rPr>
          <w:lang w:val="fr-FR"/>
        </w:rPr>
        <w:t xml:space="preserve">u une </w:t>
      </w:r>
      <w:r w:rsidRPr="00637787">
        <w:rPr>
          <w:lang w:val="fr-FR"/>
        </w:rPr>
        <w:t>combinai</w:t>
      </w:r>
      <w:r w:rsidR="00B40F7C" w:rsidRPr="00637787">
        <w:rPr>
          <w:lang w:val="fr-FR"/>
        </w:rPr>
        <w:t>s</w:t>
      </w:r>
      <w:r w:rsidRPr="00637787">
        <w:rPr>
          <w:lang w:val="fr-FR"/>
        </w:rPr>
        <w:t xml:space="preserve">on </w:t>
      </w:r>
      <w:r w:rsidR="00B40F7C" w:rsidRPr="00637787">
        <w:rPr>
          <w:lang w:val="fr-FR"/>
        </w:rPr>
        <w:t>de</w:t>
      </w:r>
      <w:r w:rsidR="00387ABD" w:rsidRPr="00637787">
        <w:rPr>
          <w:lang w:val="fr-FR"/>
        </w:rPr>
        <w:t xml:space="preserve"> celles</w:t>
      </w:r>
      <w:r w:rsidR="00E22BEA">
        <w:rPr>
          <w:lang w:val="fr-FR"/>
        </w:rPr>
        <w:t>-</w:t>
      </w:r>
      <w:r w:rsidR="00387ABD" w:rsidRPr="00637787">
        <w:rPr>
          <w:lang w:val="fr-FR"/>
        </w:rPr>
        <w:t>ci</w:t>
      </w:r>
      <w:r w:rsidRPr="00637787">
        <w:rPr>
          <w:lang w:val="fr-FR"/>
        </w:rPr>
        <w:t xml:space="preserve">, </w:t>
      </w:r>
      <w:r w:rsidR="00387ABD" w:rsidRPr="00637787">
        <w:rPr>
          <w:lang w:val="fr-FR"/>
        </w:rPr>
        <w:t>la</w:t>
      </w:r>
      <w:r w:rsidR="008138C0" w:rsidRPr="00637787">
        <w:rPr>
          <w:lang w:val="fr-FR"/>
        </w:rPr>
        <w:t xml:space="preserve"> modifica</w:t>
      </w:r>
      <w:r w:rsidR="00115C17" w:rsidRPr="00637787">
        <w:rPr>
          <w:lang w:val="fr-FR"/>
        </w:rPr>
        <w:t>tion co</w:t>
      </w:r>
      <w:r w:rsidRPr="00637787">
        <w:rPr>
          <w:lang w:val="fr-FR"/>
        </w:rPr>
        <w:t>rrespond</w:t>
      </w:r>
      <w:r w:rsidR="00202488" w:rsidRPr="00637787">
        <w:rPr>
          <w:lang w:val="fr-FR"/>
        </w:rPr>
        <w:t>ant</w:t>
      </w:r>
      <w:r w:rsidR="00115C17" w:rsidRPr="00637787">
        <w:rPr>
          <w:lang w:val="fr-FR"/>
        </w:rPr>
        <w:t>e</w:t>
      </w:r>
      <w:r w:rsidR="00202488" w:rsidRPr="00637787">
        <w:rPr>
          <w:lang w:val="fr-FR"/>
        </w:rPr>
        <w:t xml:space="preserve"> de l</w:t>
      </w:r>
      <w:r w:rsidR="00E22BEA">
        <w:rPr>
          <w:lang w:val="fr-FR"/>
        </w:rPr>
        <w:t>’</w:t>
      </w:r>
      <w:r w:rsidR="00202488" w:rsidRPr="00637787">
        <w:rPr>
          <w:lang w:val="fr-FR"/>
        </w:rPr>
        <w:t>a</w:t>
      </w:r>
      <w:r w:rsidRPr="00637787">
        <w:rPr>
          <w:lang w:val="fr-FR"/>
        </w:rPr>
        <w:t>rticle</w:t>
      </w:r>
      <w:r w:rsidR="00F73DD6" w:rsidRPr="00637787">
        <w:rPr>
          <w:lang w:val="fr-FR"/>
        </w:rPr>
        <w:t> </w:t>
      </w:r>
      <w:r w:rsidRPr="00637787">
        <w:rPr>
          <w:lang w:val="fr-FR"/>
        </w:rPr>
        <w:t xml:space="preserve">6 </w:t>
      </w:r>
      <w:r w:rsidR="00202488" w:rsidRPr="00637787">
        <w:rPr>
          <w:lang w:val="fr-FR"/>
        </w:rPr>
        <w:t xml:space="preserve">du </w:t>
      </w:r>
      <w:r w:rsidR="00115C17" w:rsidRPr="00637787">
        <w:rPr>
          <w:lang w:val="fr-FR"/>
        </w:rPr>
        <w:t>P</w:t>
      </w:r>
      <w:r w:rsidRPr="00637787">
        <w:rPr>
          <w:lang w:val="fr-FR"/>
        </w:rPr>
        <w:t>rotocol</w:t>
      </w:r>
      <w:r w:rsidR="00202488" w:rsidRPr="00637787">
        <w:rPr>
          <w:lang w:val="fr-FR"/>
        </w:rPr>
        <w:t xml:space="preserve">e nécessiterait </w:t>
      </w:r>
      <w:r w:rsidR="00115C17" w:rsidRPr="00637787">
        <w:rPr>
          <w:lang w:val="fr-FR"/>
        </w:rPr>
        <w:t>la convocation d</w:t>
      </w:r>
      <w:r w:rsidR="00E22BEA">
        <w:rPr>
          <w:lang w:val="fr-FR"/>
        </w:rPr>
        <w:t>’</w:t>
      </w:r>
      <w:r w:rsidR="00115C17" w:rsidRPr="00637787">
        <w:rPr>
          <w:lang w:val="fr-FR"/>
        </w:rPr>
        <w:t>une conférence d</w:t>
      </w:r>
      <w:r w:rsidRPr="00637787">
        <w:rPr>
          <w:lang w:val="fr-FR"/>
        </w:rPr>
        <w:t>iplomati</w:t>
      </w:r>
      <w:r w:rsidR="00115C17" w:rsidRPr="00637787">
        <w:rPr>
          <w:lang w:val="fr-FR"/>
        </w:rPr>
        <w:t>q</w:t>
      </w:r>
      <w:r w:rsidR="00517715" w:rsidRPr="00637787">
        <w:rPr>
          <w:lang w:val="fr-FR"/>
        </w:rPr>
        <w:t>ue</w:t>
      </w:r>
      <w:r w:rsidR="00517715">
        <w:rPr>
          <w:lang w:val="fr-FR"/>
        </w:rPr>
        <w:t xml:space="preserve">.  </w:t>
      </w:r>
      <w:r w:rsidR="00517715" w:rsidRPr="00637787">
        <w:rPr>
          <w:lang w:val="fr-FR"/>
        </w:rPr>
        <w:t>En</w:t>
      </w:r>
      <w:r w:rsidR="00D54F3B" w:rsidRPr="00637787">
        <w:rPr>
          <w:lang w:val="fr-FR"/>
        </w:rPr>
        <w:t xml:space="preserve"> outre</w:t>
      </w:r>
      <w:r w:rsidR="00115C17" w:rsidRPr="00637787">
        <w:rPr>
          <w:lang w:val="fr-FR"/>
        </w:rPr>
        <w:t xml:space="preserve">, </w:t>
      </w:r>
      <w:r w:rsidR="00FA3164" w:rsidRPr="00637787">
        <w:rPr>
          <w:lang w:val="fr-FR"/>
        </w:rPr>
        <w:t>cela pourrait aussi obliger l</w:t>
      </w:r>
      <w:r w:rsidR="00115C17" w:rsidRPr="00637787">
        <w:rPr>
          <w:lang w:val="fr-FR"/>
        </w:rPr>
        <w:t xml:space="preserve">es </w:t>
      </w:r>
      <w:r w:rsidR="001E05F9" w:rsidRPr="00637787">
        <w:rPr>
          <w:lang w:val="fr-FR"/>
        </w:rPr>
        <w:t>parties contr</w:t>
      </w:r>
      <w:r w:rsidRPr="00637787">
        <w:rPr>
          <w:lang w:val="fr-FR"/>
        </w:rPr>
        <w:t>act</w:t>
      </w:r>
      <w:r w:rsidR="001E05F9" w:rsidRPr="00637787">
        <w:rPr>
          <w:lang w:val="fr-FR"/>
        </w:rPr>
        <w:t xml:space="preserve">antes </w:t>
      </w:r>
      <w:r w:rsidR="00FA3164" w:rsidRPr="00637787">
        <w:rPr>
          <w:lang w:val="fr-FR"/>
        </w:rPr>
        <w:t>à</w:t>
      </w:r>
      <w:r w:rsidR="00980CD9" w:rsidRPr="00637787">
        <w:rPr>
          <w:lang w:val="fr-FR"/>
        </w:rPr>
        <w:t xml:space="preserve"> </w:t>
      </w:r>
      <w:r w:rsidR="001E05F9" w:rsidRPr="00637787">
        <w:rPr>
          <w:lang w:val="fr-FR"/>
        </w:rPr>
        <w:t xml:space="preserve">modifier leurs législations </w:t>
      </w:r>
      <w:r w:rsidRPr="00637787">
        <w:rPr>
          <w:lang w:val="fr-FR"/>
        </w:rPr>
        <w:t>applicables.</w:t>
      </w:r>
    </w:p>
    <w:p w:rsidR="00412E85" w:rsidRPr="00637787" w:rsidRDefault="00CF2067" w:rsidP="007964C4">
      <w:pPr>
        <w:pStyle w:val="ONUMFS"/>
        <w:tabs>
          <w:tab w:val="left" w:pos="6096"/>
        </w:tabs>
        <w:ind w:left="5533"/>
        <w:rPr>
          <w:i/>
          <w:lang w:val="fr-FR"/>
        </w:rPr>
      </w:pPr>
      <w:r w:rsidRPr="00637787">
        <w:rPr>
          <w:i/>
          <w:lang w:val="fr-FR"/>
        </w:rPr>
        <w:t>L</w:t>
      </w:r>
      <w:r w:rsidR="00412E85" w:rsidRPr="00637787">
        <w:rPr>
          <w:i/>
          <w:lang w:val="fr-FR"/>
        </w:rPr>
        <w:t xml:space="preserve">e </w:t>
      </w:r>
      <w:r w:rsidR="00D54F3B" w:rsidRPr="00637787">
        <w:rPr>
          <w:i/>
          <w:lang w:val="fr-FR"/>
        </w:rPr>
        <w:t>g</w:t>
      </w:r>
      <w:r w:rsidR="00412E85" w:rsidRPr="00637787">
        <w:rPr>
          <w:i/>
          <w:lang w:val="fr-FR"/>
        </w:rPr>
        <w:t>roup</w:t>
      </w:r>
      <w:r w:rsidRPr="00637787">
        <w:rPr>
          <w:i/>
          <w:lang w:val="fr-FR"/>
        </w:rPr>
        <w:t xml:space="preserve">e de travail est </w:t>
      </w:r>
      <w:r w:rsidR="00412E85" w:rsidRPr="00637787">
        <w:rPr>
          <w:i/>
          <w:lang w:val="fr-FR"/>
        </w:rPr>
        <w:t>invit</w:t>
      </w:r>
      <w:r w:rsidRPr="00637787">
        <w:rPr>
          <w:i/>
          <w:lang w:val="fr-FR"/>
        </w:rPr>
        <w:t>é</w:t>
      </w:r>
    </w:p>
    <w:p w:rsidR="007F2FBF" w:rsidRPr="00637787" w:rsidRDefault="00C01D5E" w:rsidP="00FB56F5">
      <w:pPr>
        <w:pStyle w:val="ONUMFS"/>
        <w:numPr>
          <w:ilvl w:val="2"/>
          <w:numId w:val="6"/>
        </w:numPr>
        <w:tabs>
          <w:tab w:val="left" w:pos="6804"/>
        </w:tabs>
        <w:ind w:left="6804" w:hanging="708"/>
        <w:rPr>
          <w:i/>
          <w:lang w:val="fr-FR"/>
        </w:rPr>
      </w:pPr>
      <w:r w:rsidRPr="00637787">
        <w:rPr>
          <w:i/>
          <w:lang w:val="fr-FR"/>
        </w:rPr>
        <w:t xml:space="preserve">à examiner le </w:t>
      </w:r>
      <w:r w:rsidR="00F73DD6" w:rsidRPr="00637787">
        <w:rPr>
          <w:i/>
          <w:lang w:val="fr-FR"/>
        </w:rPr>
        <w:t>pr</w:t>
      </w:r>
      <w:r w:rsidRPr="00637787">
        <w:rPr>
          <w:i/>
          <w:lang w:val="fr-FR"/>
        </w:rPr>
        <w:t>é</w:t>
      </w:r>
      <w:r w:rsidR="00F73DD6" w:rsidRPr="00637787">
        <w:rPr>
          <w:i/>
          <w:lang w:val="fr-FR"/>
        </w:rPr>
        <w:t>sent</w:t>
      </w:r>
      <w:r w:rsidR="00412E85" w:rsidRPr="00637787">
        <w:rPr>
          <w:i/>
          <w:lang w:val="fr-FR"/>
        </w:rPr>
        <w:t xml:space="preserve"> document </w:t>
      </w:r>
      <w:r w:rsidRPr="00637787">
        <w:rPr>
          <w:i/>
          <w:lang w:val="fr-FR"/>
        </w:rPr>
        <w:t xml:space="preserve">et à </w:t>
      </w:r>
      <w:r w:rsidR="004C6035" w:rsidRPr="00637787">
        <w:rPr>
          <w:i/>
          <w:lang w:val="fr-FR"/>
        </w:rPr>
        <w:t>faire part de ses observations</w:t>
      </w:r>
      <w:r w:rsidR="002138B2" w:rsidRPr="00637787">
        <w:rPr>
          <w:i/>
          <w:lang w:val="fr-FR"/>
        </w:rPr>
        <w:t xml:space="preserve"> y relatives</w:t>
      </w:r>
      <w:r w:rsidR="004C6035" w:rsidRPr="00637787">
        <w:rPr>
          <w:i/>
          <w:lang w:val="fr-FR"/>
        </w:rPr>
        <w:t xml:space="preserve"> et</w:t>
      </w:r>
    </w:p>
    <w:p w:rsidR="00E22BEA" w:rsidRDefault="00C01D5E" w:rsidP="00FB56F5">
      <w:pPr>
        <w:pStyle w:val="ONUMFS"/>
        <w:numPr>
          <w:ilvl w:val="2"/>
          <w:numId w:val="6"/>
        </w:numPr>
        <w:tabs>
          <w:tab w:val="left" w:pos="6804"/>
        </w:tabs>
        <w:ind w:left="6804" w:hanging="708"/>
        <w:rPr>
          <w:i/>
          <w:lang w:val="fr-FR"/>
        </w:rPr>
      </w:pPr>
      <w:r w:rsidRPr="00637787">
        <w:rPr>
          <w:i/>
          <w:lang w:val="fr-FR"/>
        </w:rPr>
        <w:t>à donner des indications au Bureau i</w:t>
      </w:r>
      <w:r w:rsidR="00412E85" w:rsidRPr="00637787">
        <w:rPr>
          <w:i/>
          <w:lang w:val="fr-FR"/>
        </w:rPr>
        <w:t xml:space="preserve">nternational </w:t>
      </w:r>
      <w:r w:rsidR="004C6035" w:rsidRPr="00637787">
        <w:rPr>
          <w:i/>
          <w:lang w:val="fr-FR"/>
        </w:rPr>
        <w:t xml:space="preserve">concernant </w:t>
      </w:r>
      <w:r w:rsidR="002138B2" w:rsidRPr="00637787">
        <w:rPr>
          <w:i/>
          <w:lang w:val="fr-FR"/>
        </w:rPr>
        <w:t>d</w:t>
      </w:r>
      <w:r w:rsidR="00E22BEA">
        <w:rPr>
          <w:i/>
          <w:lang w:val="fr-FR"/>
        </w:rPr>
        <w:t>’</w:t>
      </w:r>
      <w:r w:rsidR="002138B2" w:rsidRPr="00637787">
        <w:rPr>
          <w:i/>
          <w:lang w:val="fr-FR"/>
        </w:rPr>
        <w:t>éventuels</w:t>
      </w:r>
      <w:r w:rsidR="00412E85" w:rsidRPr="00637787">
        <w:rPr>
          <w:i/>
          <w:lang w:val="fr-FR"/>
        </w:rPr>
        <w:t xml:space="preserve"> </w:t>
      </w:r>
      <w:r w:rsidR="004C6035" w:rsidRPr="00637787">
        <w:rPr>
          <w:i/>
          <w:lang w:val="fr-FR"/>
        </w:rPr>
        <w:t>travaux futurs</w:t>
      </w:r>
      <w:r w:rsidR="00412E85" w:rsidRPr="00637787">
        <w:rPr>
          <w:i/>
          <w:lang w:val="fr-FR"/>
        </w:rPr>
        <w:t>.</w:t>
      </w:r>
    </w:p>
    <w:p w:rsidR="00412E85" w:rsidRPr="00637787" w:rsidRDefault="00BD545B" w:rsidP="007F2FBF">
      <w:pPr>
        <w:pStyle w:val="Endofdocument-Annex"/>
        <w:spacing w:before="720"/>
        <w:rPr>
          <w:lang w:val="fr-FR"/>
        </w:rPr>
      </w:pPr>
      <w:r w:rsidRPr="00637787">
        <w:rPr>
          <w:lang w:val="fr-FR"/>
        </w:rPr>
        <w:t>[</w:t>
      </w:r>
      <w:r w:rsidR="005F7EFD" w:rsidRPr="00637787">
        <w:rPr>
          <w:lang w:val="fr-FR"/>
        </w:rPr>
        <w:t xml:space="preserve">Fin </w:t>
      </w:r>
      <w:r w:rsidRPr="00637787">
        <w:rPr>
          <w:lang w:val="fr-FR"/>
        </w:rPr>
        <w:t>d</w:t>
      </w:r>
      <w:r w:rsidR="005F7EFD" w:rsidRPr="00637787">
        <w:rPr>
          <w:lang w:val="fr-FR"/>
        </w:rPr>
        <w:t>u</w:t>
      </w:r>
      <w:r w:rsidRPr="00637787">
        <w:rPr>
          <w:lang w:val="fr-FR"/>
        </w:rPr>
        <w:t xml:space="preserve"> document]</w:t>
      </w:r>
      <w:bookmarkEnd w:id="5"/>
    </w:p>
    <w:sectPr w:rsidR="00412E85" w:rsidRPr="00637787" w:rsidSect="00542F7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E7" w:rsidRDefault="00B641E7">
      <w:r>
        <w:separator/>
      </w:r>
    </w:p>
  </w:endnote>
  <w:endnote w:type="continuationSeparator" w:id="0">
    <w:p w:rsidR="00B641E7" w:rsidRDefault="00B641E7" w:rsidP="003B38C1">
      <w:r>
        <w:separator/>
      </w:r>
    </w:p>
    <w:p w:rsidR="00B641E7" w:rsidRPr="003B38C1" w:rsidRDefault="00B641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41E7" w:rsidRPr="003B38C1" w:rsidRDefault="00B641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6157B9D4-45AE-4089-9C6F-A8381B244C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E7" w:rsidRDefault="00B641E7">
      <w:r>
        <w:separator/>
      </w:r>
    </w:p>
  </w:footnote>
  <w:footnote w:type="continuationSeparator" w:id="0">
    <w:p w:rsidR="00B641E7" w:rsidRDefault="00B641E7" w:rsidP="008B60B2">
      <w:r>
        <w:separator/>
      </w:r>
    </w:p>
    <w:p w:rsidR="00B641E7" w:rsidRPr="00ED77FB" w:rsidRDefault="00B641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41E7" w:rsidRPr="00ED77FB" w:rsidRDefault="00B641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12E85" w:rsidRPr="00FF4BBC" w:rsidRDefault="00412E8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F4BBC">
        <w:rPr>
          <w:lang w:val="fr-FR"/>
        </w:rPr>
        <w:t xml:space="preserve"> </w:t>
      </w:r>
      <w:r w:rsidRPr="00FF4BBC">
        <w:rPr>
          <w:lang w:val="fr-FR"/>
        </w:rPr>
        <w:tab/>
      </w:r>
      <w:r w:rsidR="00FF4BBC" w:rsidRPr="00FF4BBC">
        <w:rPr>
          <w:lang w:val="fr-FR"/>
        </w:rPr>
        <w:t xml:space="preserve">Voir le </w:t>
      </w:r>
      <w:r w:rsidR="00190132" w:rsidRPr="00FF4BBC">
        <w:rPr>
          <w:lang w:val="fr-FR"/>
        </w:rPr>
        <w:t>document</w:t>
      </w:r>
      <w:r w:rsidR="00190132">
        <w:rPr>
          <w:lang w:val="fr-FR"/>
        </w:rPr>
        <w:t xml:space="preserve"> </w:t>
      </w:r>
      <w:r w:rsidR="00190132" w:rsidRPr="00FF4BBC">
        <w:rPr>
          <w:lang w:val="fr-FR"/>
        </w:rPr>
        <w:t>MM</w:t>
      </w:r>
      <w:r w:rsidRPr="00FF4BBC">
        <w:rPr>
          <w:lang w:val="fr-FR"/>
        </w:rPr>
        <w:t>/LD/WG/17/6 “R</w:t>
      </w:r>
      <w:r w:rsidR="00FF4BBC" w:rsidRPr="00FF4BBC">
        <w:rPr>
          <w:lang w:val="fr-FR"/>
        </w:rPr>
        <w:t>é</w:t>
      </w:r>
      <w:r w:rsidRPr="00FF4BBC">
        <w:rPr>
          <w:lang w:val="fr-FR"/>
        </w:rPr>
        <w:t xml:space="preserve">duction </w:t>
      </w:r>
      <w:r w:rsidR="00FF4BBC" w:rsidRPr="00FF4BBC">
        <w:rPr>
          <w:lang w:val="fr-FR"/>
        </w:rPr>
        <w:t>éventuelle de la période de dé</w:t>
      </w:r>
      <w:r w:rsidRPr="00FF4BBC">
        <w:rPr>
          <w:lang w:val="fr-FR"/>
        </w:rPr>
        <w:t>pend</w:t>
      </w:r>
      <w:r w:rsidR="00FF4BBC" w:rsidRPr="00FF4BBC">
        <w:rPr>
          <w:lang w:val="fr-FR"/>
        </w:rPr>
        <w:t>a</w:t>
      </w:r>
      <w:r w:rsidRPr="00FF4BBC">
        <w:rPr>
          <w:lang w:val="fr-FR"/>
        </w:rPr>
        <w:t>nc</w:t>
      </w:r>
      <w:r w:rsidR="00FF4BBC" w:rsidRPr="00FF4BBC">
        <w:rPr>
          <w:lang w:val="fr-FR"/>
        </w:rPr>
        <w:t>e</w:t>
      </w:r>
      <w:r w:rsidRPr="00FF4BBC">
        <w:rPr>
          <w:lang w:val="fr-FR"/>
        </w:rPr>
        <w:t>” (https://ww</w:t>
      </w:r>
      <w:r w:rsidR="00637787">
        <w:rPr>
          <w:lang w:val="fr-FR"/>
        </w:rPr>
        <w:t>w.wipo.int/edocs/mdocs/madrid/fr</w:t>
      </w:r>
      <w:r w:rsidRPr="00FF4BBC">
        <w:rPr>
          <w:lang w:val="fr-FR"/>
        </w:rPr>
        <w:t xml:space="preserve">/mm_ld_wg_17/mm_ld_wg_17_6.pdf).  </w:t>
      </w:r>
    </w:p>
  </w:footnote>
  <w:footnote w:id="3">
    <w:p w:rsidR="00412E85" w:rsidRPr="00E50DA9" w:rsidRDefault="00412E8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50DA9">
        <w:rPr>
          <w:lang w:val="fr-FR"/>
        </w:rPr>
        <w:t xml:space="preserve"> </w:t>
      </w:r>
      <w:r w:rsidRPr="00E50DA9">
        <w:rPr>
          <w:lang w:val="fr-FR"/>
        </w:rPr>
        <w:tab/>
      </w:r>
      <w:r w:rsidR="00E50DA9" w:rsidRPr="00E50DA9">
        <w:rPr>
          <w:lang w:val="fr-FR"/>
        </w:rPr>
        <w:t xml:space="preserve">Voir le </w:t>
      </w:r>
      <w:r w:rsidR="00190132" w:rsidRPr="00E50DA9">
        <w:rPr>
          <w:lang w:val="fr-FR"/>
        </w:rPr>
        <w:t>document</w:t>
      </w:r>
      <w:r w:rsidR="00190132">
        <w:rPr>
          <w:lang w:val="fr-FR"/>
        </w:rPr>
        <w:t xml:space="preserve"> </w:t>
      </w:r>
      <w:r w:rsidR="00190132" w:rsidRPr="00E50DA9">
        <w:rPr>
          <w:lang w:val="fr-FR"/>
        </w:rPr>
        <w:t>MM</w:t>
      </w:r>
      <w:r w:rsidRPr="00E50DA9">
        <w:rPr>
          <w:lang w:val="fr-FR"/>
        </w:rPr>
        <w:t>/LD/WG/17/11 “</w:t>
      </w:r>
      <w:r w:rsidR="00E50DA9">
        <w:rPr>
          <w:lang w:val="fr-FR"/>
        </w:rPr>
        <w:t>Résumé présenté par le président</w:t>
      </w:r>
      <w:r w:rsidRPr="00E50DA9">
        <w:rPr>
          <w:lang w:val="fr-FR"/>
        </w:rPr>
        <w:t>”, paragraph</w:t>
      </w:r>
      <w:r w:rsidR="00E50DA9">
        <w:rPr>
          <w:lang w:val="fr-FR"/>
        </w:rPr>
        <w:t>e </w:t>
      </w:r>
      <w:r w:rsidRPr="00E50DA9">
        <w:rPr>
          <w:lang w:val="fr-FR"/>
        </w:rPr>
        <w:t>21 (https://w</w:t>
      </w:r>
      <w:r w:rsidR="000D2BD9">
        <w:rPr>
          <w:lang w:val="fr-FR"/>
        </w:rPr>
        <w:t>ww.wipo.int/edocs/mdocs/madrid/fr</w:t>
      </w:r>
      <w:r w:rsidRPr="00E50DA9">
        <w:rPr>
          <w:lang w:val="fr-FR"/>
        </w:rPr>
        <w:t xml:space="preserve">/mm_ld_wg_17/mm_ld_wg_17_11.pdf).  </w:t>
      </w:r>
    </w:p>
  </w:footnote>
  <w:footnote w:id="4">
    <w:p w:rsidR="00412E85" w:rsidRDefault="00412E85" w:rsidP="00412E85">
      <w:pPr>
        <w:pStyle w:val="FootnoteText"/>
      </w:pPr>
      <w:r>
        <w:rPr>
          <w:rStyle w:val="FootnoteReference"/>
        </w:rPr>
        <w:footnoteRef/>
      </w:r>
      <w:r>
        <w:tab/>
      </w:r>
      <w:r w:rsidR="00FC29F5">
        <w:t>Voir la pub</w:t>
      </w:r>
      <w:r>
        <w:t xml:space="preserve">lication </w:t>
      </w:r>
      <w:r w:rsidR="00FC29F5">
        <w:t>de l</w:t>
      </w:r>
      <w:r w:rsidR="00190132">
        <w:t>’</w:t>
      </w:r>
      <w:r w:rsidR="00FC29F5">
        <w:t>OMPI n° </w:t>
      </w:r>
      <w:r>
        <w:t xml:space="preserve">954E “WIPO Study on Accession to the Madrid System for the International Registration of Marks” </w:t>
      </w:r>
      <w:r w:rsidR="009E3167">
        <w:t>(</w:t>
      </w:r>
      <w:hyperlink r:id="rId1" w:history="1">
        <w:r>
          <w:t>https://www.wipo.int/edocs/pubdocs/en/marks/954/wipo_pub_954.pdf</w:t>
        </w:r>
      </w:hyperlink>
      <w:r w:rsidR="009E3167">
        <w:t>)</w:t>
      </w:r>
      <w:r w:rsidR="00FC29F5">
        <w:t xml:space="preserve"> et </w:t>
      </w:r>
      <w:r>
        <w:t xml:space="preserve">“Madrid Experience Sharing Report. </w:t>
      </w:r>
      <w:r w:rsidR="009E3167">
        <w:t xml:space="preserve"> </w:t>
      </w:r>
      <w:r>
        <w:t>Japan</w:t>
      </w:r>
      <w:r w:rsidR="00190132">
        <w:t>’</w:t>
      </w:r>
      <w:r>
        <w:t xml:space="preserve">s Experience in Joining and </w:t>
      </w:r>
      <w:r w:rsidR="00BD545B">
        <w:t>Using the Madrid System”, 2014 (</w:t>
      </w:r>
      <w:hyperlink r:id="rId2" w:history="1">
        <w:r>
          <w:t>https://www.wipo.int/edocs/pubdocs/en/wipo_pub_2014_madrid_japan.pdf</w:t>
        </w:r>
      </w:hyperlink>
      <w:r w:rsidR="00BD545B">
        <w:t>)</w:t>
      </w:r>
      <w:r>
        <w:t xml:space="preserve">.  </w:t>
      </w:r>
    </w:p>
  </w:footnote>
  <w:footnote w:id="5">
    <w:p w:rsidR="00412E85" w:rsidRPr="0075501C" w:rsidRDefault="00412E85" w:rsidP="00412E8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75501C">
        <w:rPr>
          <w:lang w:val="fr-FR"/>
        </w:rPr>
        <w:tab/>
      </w:r>
      <w:r w:rsidR="0075501C" w:rsidRPr="0075501C">
        <w:rPr>
          <w:lang w:val="fr-FR"/>
        </w:rPr>
        <w:t xml:space="preserve">Voir le document </w:t>
      </w:r>
      <w:r w:rsidRPr="0075501C">
        <w:rPr>
          <w:lang w:val="fr-FR"/>
        </w:rPr>
        <w:t>MM/LD/WG/13/6</w:t>
      </w:r>
      <w:r w:rsidR="00BD545B" w:rsidRPr="0075501C">
        <w:rPr>
          <w:lang w:val="fr-FR"/>
        </w:rPr>
        <w:t xml:space="preserve"> “</w:t>
      </w:r>
      <w:r w:rsidR="0075501C" w:rsidRPr="0075501C">
        <w:rPr>
          <w:lang w:val="fr-FR"/>
        </w:rPr>
        <w:t>Enquête auprès des utilisateurs</w:t>
      </w:r>
      <w:r w:rsidR="0075501C">
        <w:rPr>
          <w:lang w:val="fr-FR"/>
        </w:rPr>
        <w:t xml:space="preserve"> sur les questions relatives au principe de dépendance dans le système de </w:t>
      </w:r>
      <w:r w:rsidR="00BD545B" w:rsidRPr="0075501C">
        <w:rPr>
          <w:lang w:val="fr-FR"/>
        </w:rPr>
        <w:t>Madrid” (https://www.wipo.int/edocs/mdocs/madrid/</w:t>
      </w:r>
      <w:r w:rsidR="0025344A">
        <w:rPr>
          <w:lang w:val="fr-FR"/>
        </w:rPr>
        <w:t>fr</w:t>
      </w:r>
      <w:r w:rsidR="00BD545B" w:rsidRPr="0075501C">
        <w:rPr>
          <w:lang w:val="fr-FR"/>
        </w:rPr>
        <w:t>/mm_ld_wg_13/mm_ld_wg_13_6.pdf)</w:t>
      </w:r>
      <w:r w:rsidRPr="0075501C">
        <w:rPr>
          <w:lang w:val="fr-FR"/>
        </w:rPr>
        <w:t>.</w:t>
      </w:r>
    </w:p>
  </w:footnote>
  <w:footnote w:id="6">
    <w:p w:rsidR="00412E85" w:rsidRPr="00FB56F5" w:rsidRDefault="00412E85" w:rsidP="00412E85">
      <w:pPr>
        <w:rPr>
          <w:sz w:val="18"/>
          <w:szCs w:val="18"/>
          <w:lang w:val="fr-FR"/>
        </w:rPr>
      </w:pPr>
      <w:r w:rsidRPr="003B0960">
        <w:rPr>
          <w:rStyle w:val="FootnoteReference"/>
          <w:sz w:val="18"/>
          <w:szCs w:val="18"/>
        </w:rPr>
        <w:footnoteRef/>
      </w:r>
      <w:r w:rsidRPr="00FB56F5">
        <w:rPr>
          <w:sz w:val="18"/>
          <w:szCs w:val="18"/>
          <w:lang w:val="fr-FR"/>
        </w:rPr>
        <w:tab/>
      </w:r>
      <w:r w:rsidR="002B1AE1" w:rsidRPr="00FB56F5">
        <w:rPr>
          <w:sz w:val="18"/>
          <w:szCs w:val="18"/>
          <w:lang w:val="fr-FR"/>
        </w:rPr>
        <w:t xml:space="preserve">Voir le </w:t>
      </w:r>
      <w:r w:rsidR="00BD545B" w:rsidRPr="00FB56F5">
        <w:rPr>
          <w:sz w:val="18"/>
          <w:szCs w:val="18"/>
          <w:lang w:val="fr-FR"/>
        </w:rPr>
        <w:t>document “INTA</w:t>
      </w:r>
      <w:r w:rsidRPr="00FB56F5">
        <w:rPr>
          <w:sz w:val="18"/>
          <w:szCs w:val="18"/>
          <w:lang w:val="fr-FR"/>
        </w:rPr>
        <w:t xml:space="preserve"> Board Resolution </w:t>
      </w:r>
      <w:r w:rsidR="00BD545B" w:rsidRPr="00FB56F5">
        <w:rPr>
          <w:sz w:val="18"/>
          <w:szCs w:val="18"/>
          <w:lang w:val="fr-FR"/>
        </w:rPr>
        <w:t xml:space="preserve">– Madrid Protocol:  </w:t>
      </w:r>
      <w:r w:rsidRPr="00FB56F5">
        <w:rPr>
          <w:sz w:val="18"/>
          <w:szCs w:val="18"/>
          <w:lang w:val="fr-FR"/>
        </w:rPr>
        <w:t>Dependency Period</w:t>
      </w:r>
      <w:r w:rsidR="00BD545B" w:rsidRPr="00FB56F5">
        <w:rPr>
          <w:sz w:val="18"/>
          <w:szCs w:val="18"/>
          <w:lang w:val="fr-FR"/>
        </w:rPr>
        <w:t>” (</w:t>
      </w:r>
      <w:r w:rsidR="00FB56F5" w:rsidRPr="00FB56F5">
        <w:rPr>
          <w:sz w:val="18"/>
          <w:szCs w:val="18"/>
          <w:lang w:val="fr-FR"/>
        </w:rPr>
        <w:t>https://www.wipo.int/edocs/mdocs/madrid/en/mm_ld_wg_17/mm_ld_wg_17_inta.pdf</w:t>
      </w:r>
      <w:r w:rsidR="00BD545B" w:rsidRPr="00FB56F5">
        <w:rPr>
          <w:sz w:val="18"/>
          <w:szCs w:val="18"/>
          <w:lang w:val="fr-FR"/>
        </w:rPr>
        <w:t>)</w:t>
      </w:r>
      <w:r w:rsidRPr="00FB56F5">
        <w:rPr>
          <w:sz w:val="18"/>
          <w:szCs w:val="18"/>
          <w:lang w:val="fr-FR"/>
        </w:rPr>
        <w:t xml:space="preserve">.  </w:t>
      </w:r>
    </w:p>
  </w:footnote>
  <w:footnote w:id="7">
    <w:p w:rsidR="00412E85" w:rsidRDefault="00412E85" w:rsidP="00412E85">
      <w:r w:rsidRPr="003B0960">
        <w:rPr>
          <w:rStyle w:val="FootnoteReference"/>
          <w:sz w:val="18"/>
          <w:szCs w:val="18"/>
        </w:rPr>
        <w:footnoteRef/>
      </w:r>
      <w:r w:rsidRPr="003B0960">
        <w:rPr>
          <w:sz w:val="18"/>
          <w:szCs w:val="18"/>
        </w:rPr>
        <w:tab/>
      </w:r>
      <w:r w:rsidR="00D17CE5">
        <w:rPr>
          <w:sz w:val="18"/>
          <w:szCs w:val="18"/>
        </w:rPr>
        <w:t xml:space="preserve">Voir le </w:t>
      </w:r>
      <w:r w:rsidR="00BD545B" w:rsidRPr="003B0960">
        <w:rPr>
          <w:sz w:val="18"/>
          <w:szCs w:val="18"/>
        </w:rPr>
        <w:t xml:space="preserve">document “MARQUES – </w:t>
      </w:r>
      <w:r w:rsidRPr="003B0960">
        <w:rPr>
          <w:sz w:val="18"/>
          <w:szCs w:val="18"/>
        </w:rPr>
        <w:t xml:space="preserve">Should the Dependency Clause (or the Basic Mark Requirement altogether) </w:t>
      </w:r>
      <w:r w:rsidR="00BD545B" w:rsidRPr="003B0960">
        <w:rPr>
          <w:sz w:val="18"/>
          <w:szCs w:val="18"/>
        </w:rPr>
        <w:t>B</w:t>
      </w:r>
      <w:r w:rsidRPr="003B0960">
        <w:rPr>
          <w:sz w:val="18"/>
          <w:szCs w:val="18"/>
        </w:rPr>
        <w:t>e</w:t>
      </w:r>
      <w:r w:rsidR="005F1189">
        <w:rPr>
          <w:sz w:val="18"/>
          <w:szCs w:val="18"/>
        </w:rPr>
        <w:t> </w:t>
      </w:r>
      <w:r w:rsidR="00BD545B" w:rsidRPr="003B0960">
        <w:rPr>
          <w:sz w:val="18"/>
          <w:szCs w:val="18"/>
        </w:rPr>
        <w:t>E</w:t>
      </w:r>
      <w:r w:rsidRPr="003B0960">
        <w:rPr>
          <w:sz w:val="18"/>
          <w:szCs w:val="18"/>
        </w:rPr>
        <w:t xml:space="preserve">liminated?” </w:t>
      </w:r>
      <w:r w:rsidR="00BD545B" w:rsidRPr="003B0960">
        <w:rPr>
          <w:sz w:val="18"/>
          <w:szCs w:val="18"/>
        </w:rPr>
        <w:t>(</w:t>
      </w:r>
      <w:hyperlink r:id="rId3" w:history="1">
        <w:r w:rsidRPr="003B0960">
          <w:rPr>
            <w:sz w:val="18"/>
            <w:szCs w:val="18"/>
          </w:rPr>
          <w:t>https://www.wipo.int/edocs/mdocs/madrid/en/mm_ld_wg_13/mm_ld_wg_13_marques.pdf</w:t>
        </w:r>
      </w:hyperlink>
      <w:r w:rsidR="00BD545B" w:rsidRPr="003B0960">
        <w:rPr>
          <w:sz w:val="18"/>
          <w:szCs w:val="18"/>
        </w:rPr>
        <w:t>)</w:t>
      </w:r>
      <w:r w:rsidRPr="003B0960">
        <w:rPr>
          <w:sz w:val="18"/>
          <w:szCs w:val="18"/>
        </w:rPr>
        <w:t>.</w:t>
      </w:r>
    </w:p>
  </w:footnote>
  <w:footnote w:id="8">
    <w:p w:rsidR="00412E85" w:rsidRPr="00CF5BE8" w:rsidRDefault="00412E85" w:rsidP="00412E8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F5BE8">
        <w:rPr>
          <w:lang w:val="fr-FR"/>
        </w:rPr>
        <w:tab/>
      </w:r>
      <w:r w:rsidR="00CF5BE8" w:rsidRPr="00CF5BE8">
        <w:rPr>
          <w:lang w:val="fr-FR"/>
        </w:rPr>
        <w:t xml:space="preserve">Voir le </w:t>
      </w:r>
      <w:r w:rsidRPr="00CF5BE8">
        <w:rPr>
          <w:lang w:val="fr-FR"/>
        </w:rPr>
        <w:t>document MM/LD/WG/9/3</w:t>
      </w:r>
      <w:r w:rsidR="00BD545B" w:rsidRPr="00CF5BE8">
        <w:rPr>
          <w:lang w:val="fr-FR"/>
        </w:rPr>
        <w:t xml:space="preserve"> “Information</w:t>
      </w:r>
      <w:r w:rsidR="00CF5BE8" w:rsidRPr="00CF5BE8">
        <w:rPr>
          <w:lang w:val="fr-FR"/>
        </w:rPr>
        <w:t>s c</w:t>
      </w:r>
      <w:r w:rsidR="00BD545B" w:rsidRPr="00CF5BE8">
        <w:rPr>
          <w:lang w:val="fr-FR"/>
        </w:rPr>
        <w:t>oncern</w:t>
      </w:r>
      <w:r w:rsidR="00CF5BE8" w:rsidRPr="00CF5BE8">
        <w:rPr>
          <w:lang w:val="fr-FR"/>
        </w:rPr>
        <w:t>ant la cessation des effets et la t</w:t>
      </w:r>
      <w:r w:rsidR="00BD545B" w:rsidRPr="00CF5BE8">
        <w:rPr>
          <w:lang w:val="fr-FR"/>
        </w:rPr>
        <w:t>ransformation” (https://www.wipo.int/edocs/mdocs/madrid/</w:t>
      </w:r>
      <w:r w:rsidR="0025344A">
        <w:rPr>
          <w:lang w:val="fr-FR"/>
        </w:rPr>
        <w:t>fr</w:t>
      </w:r>
      <w:r w:rsidR="00BD545B" w:rsidRPr="00CF5BE8">
        <w:rPr>
          <w:lang w:val="fr-FR"/>
        </w:rPr>
        <w:t>/mm_ld_wg_9/mm_ld_wg_9_3.pdf)</w:t>
      </w:r>
      <w:r w:rsidRPr="00CF5BE8">
        <w:rPr>
          <w:lang w:val="fr-FR"/>
        </w:rPr>
        <w:t>.</w:t>
      </w:r>
      <w:r w:rsidR="00BD545B" w:rsidRPr="00CF5BE8">
        <w:rPr>
          <w:lang w:val="fr-F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57" w:rsidRPr="00656457" w:rsidRDefault="00656457" w:rsidP="00656457">
    <w:pPr>
      <w:jc w:val="right"/>
      <w:rPr>
        <w:caps/>
      </w:rPr>
    </w:pPr>
    <w:bookmarkStart w:id="6" w:name="Code2"/>
    <w:r w:rsidRPr="00656457">
      <w:rPr>
        <w:caps/>
      </w:rPr>
      <w:t>MM/LD/</w:t>
    </w:r>
    <w:r>
      <w:rPr>
        <w:caps/>
      </w:rPr>
      <w:t>WG/18/</w:t>
    </w:r>
    <w:r w:rsidR="007F2FBF">
      <w:rPr>
        <w:caps/>
      </w:rPr>
      <w:t>7</w:t>
    </w:r>
  </w:p>
  <w:bookmarkEnd w:id="6"/>
  <w:p w:rsidR="00D07C78" w:rsidRDefault="00D07C78" w:rsidP="00656457">
    <w:pPr>
      <w:spacing w:after="440"/>
      <w:jc w:val="right"/>
    </w:pPr>
    <w:r>
      <w:t xml:space="preserve">page </w:t>
    </w:r>
    <w:r w:rsidR="001075FB">
      <w:fldChar w:fldCharType="begin"/>
    </w:r>
    <w:r>
      <w:instrText xml:space="preserve"> PAGE  \* MERGEFORMAT </w:instrText>
    </w:r>
    <w:r w:rsidR="001075FB">
      <w:fldChar w:fldCharType="separate"/>
    </w:r>
    <w:r w:rsidR="001129AA">
      <w:rPr>
        <w:noProof/>
      </w:rPr>
      <w:t>2</w:t>
    </w:r>
    <w:r w:rsidR="001075F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71EB"/>
    <w:multiLevelType w:val="multilevel"/>
    <w:tmpl w:val="1D50CD90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0A4C746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lang w:val="fr-FR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FC24E5"/>
    <w:multiLevelType w:val="hybridMultilevel"/>
    <w:tmpl w:val="E9AC32A6"/>
    <w:lvl w:ilvl="0" w:tplc="00227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149"/>
    <w:multiLevelType w:val="hybridMultilevel"/>
    <w:tmpl w:val="8CFE5EA2"/>
    <w:lvl w:ilvl="0" w:tplc="C6A8CD16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464"/>
    <w:multiLevelType w:val="multilevel"/>
    <w:tmpl w:val="A90CACB6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15B31ABE"/>
    <w:multiLevelType w:val="multilevel"/>
    <w:tmpl w:val="42DAF318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343223ED"/>
    <w:multiLevelType w:val="hybridMultilevel"/>
    <w:tmpl w:val="0A70C7A4"/>
    <w:lvl w:ilvl="0" w:tplc="6316B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35EB"/>
    <w:multiLevelType w:val="multilevel"/>
    <w:tmpl w:val="63BA3ABA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A970B6"/>
    <w:multiLevelType w:val="hybridMultilevel"/>
    <w:tmpl w:val="9F46C960"/>
    <w:lvl w:ilvl="0" w:tplc="197ADCA8">
      <w:numFmt w:val="bullet"/>
      <w:lvlText w:val="–"/>
      <w:lvlJc w:val="left"/>
      <w:pPr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D70F02"/>
    <w:multiLevelType w:val="hybridMultilevel"/>
    <w:tmpl w:val="5500464C"/>
    <w:lvl w:ilvl="0" w:tplc="C6A8CD16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7BE796A">
      <w:start w:val="1"/>
      <w:numFmt w:val="lowerRoman"/>
      <w:lvlText w:val="%3)"/>
      <w:lvlJc w:val="left"/>
      <w:pPr>
        <w:ind w:left="2160" w:hanging="180"/>
      </w:pPr>
      <w:rPr>
        <w:rFonts w:ascii="Arial" w:hAnsi="Arial"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0FA1"/>
    <w:multiLevelType w:val="multilevel"/>
    <w:tmpl w:val="AE12992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72C531E0"/>
    <w:multiLevelType w:val="hybridMultilevel"/>
    <w:tmpl w:val="7A9E612E"/>
    <w:lvl w:ilvl="0" w:tplc="46662A8A">
      <w:start w:val="2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542F78"/>
    <w:rsid w:val="00021DC0"/>
    <w:rsid w:val="000244F3"/>
    <w:rsid w:val="00043CAA"/>
    <w:rsid w:val="00056816"/>
    <w:rsid w:val="000654A0"/>
    <w:rsid w:val="00066BEA"/>
    <w:rsid w:val="00066F37"/>
    <w:rsid w:val="00075432"/>
    <w:rsid w:val="00075A72"/>
    <w:rsid w:val="000904D6"/>
    <w:rsid w:val="00095E25"/>
    <w:rsid w:val="000968ED"/>
    <w:rsid w:val="000A3D97"/>
    <w:rsid w:val="000A6CE2"/>
    <w:rsid w:val="000B6426"/>
    <w:rsid w:val="000D2BD9"/>
    <w:rsid w:val="000D5E93"/>
    <w:rsid w:val="000D64D5"/>
    <w:rsid w:val="000E466D"/>
    <w:rsid w:val="000F5E56"/>
    <w:rsid w:val="001075FB"/>
    <w:rsid w:val="001106AC"/>
    <w:rsid w:val="001123EB"/>
    <w:rsid w:val="001129AA"/>
    <w:rsid w:val="00114E63"/>
    <w:rsid w:val="00115C17"/>
    <w:rsid w:val="00121A34"/>
    <w:rsid w:val="00131A83"/>
    <w:rsid w:val="001362EE"/>
    <w:rsid w:val="00143ED6"/>
    <w:rsid w:val="0016279A"/>
    <w:rsid w:val="00162FC6"/>
    <w:rsid w:val="001647D5"/>
    <w:rsid w:val="00177C78"/>
    <w:rsid w:val="001832A6"/>
    <w:rsid w:val="00186906"/>
    <w:rsid w:val="00190078"/>
    <w:rsid w:val="00190132"/>
    <w:rsid w:val="001A670E"/>
    <w:rsid w:val="001A7A3B"/>
    <w:rsid w:val="001B5143"/>
    <w:rsid w:val="001B51BC"/>
    <w:rsid w:val="001B703F"/>
    <w:rsid w:val="001C2293"/>
    <w:rsid w:val="001D3EF1"/>
    <w:rsid w:val="001D4107"/>
    <w:rsid w:val="001D4C0F"/>
    <w:rsid w:val="001E05F9"/>
    <w:rsid w:val="001E185C"/>
    <w:rsid w:val="001E3175"/>
    <w:rsid w:val="001E5E78"/>
    <w:rsid w:val="001E63DE"/>
    <w:rsid w:val="001F4A5E"/>
    <w:rsid w:val="00200844"/>
    <w:rsid w:val="002008BB"/>
    <w:rsid w:val="00202488"/>
    <w:rsid w:val="00203D24"/>
    <w:rsid w:val="00210503"/>
    <w:rsid w:val="0021217E"/>
    <w:rsid w:val="00212EBF"/>
    <w:rsid w:val="002138B2"/>
    <w:rsid w:val="00216EFD"/>
    <w:rsid w:val="00217108"/>
    <w:rsid w:val="0023057D"/>
    <w:rsid w:val="00235E4E"/>
    <w:rsid w:val="00243430"/>
    <w:rsid w:val="0025344A"/>
    <w:rsid w:val="00255AE2"/>
    <w:rsid w:val="0025698E"/>
    <w:rsid w:val="002634C4"/>
    <w:rsid w:val="0026443C"/>
    <w:rsid w:val="002762B3"/>
    <w:rsid w:val="00280D94"/>
    <w:rsid w:val="002928D3"/>
    <w:rsid w:val="0029351A"/>
    <w:rsid w:val="00296606"/>
    <w:rsid w:val="002A0967"/>
    <w:rsid w:val="002A5453"/>
    <w:rsid w:val="002B1AE1"/>
    <w:rsid w:val="002D2C31"/>
    <w:rsid w:val="002D44CE"/>
    <w:rsid w:val="002E2AA9"/>
    <w:rsid w:val="002E5A00"/>
    <w:rsid w:val="002F0016"/>
    <w:rsid w:val="002F1FE6"/>
    <w:rsid w:val="002F4E68"/>
    <w:rsid w:val="002F6290"/>
    <w:rsid w:val="003057F2"/>
    <w:rsid w:val="00307937"/>
    <w:rsid w:val="00312F7F"/>
    <w:rsid w:val="00320ABE"/>
    <w:rsid w:val="00341470"/>
    <w:rsid w:val="00344312"/>
    <w:rsid w:val="00346F93"/>
    <w:rsid w:val="00355442"/>
    <w:rsid w:val="00361450"/>
    <w:rsid w:val="003649E5"/>
    <w:rsid w:val="003673CF"/>
    <w:rsid w:val="0037649B"/>
    <w:rsid w:val="003845C1"/>
    <w:rsid w:val="00387ABD"/>
    <w:rsid w:val="00391C8B"/>
    <w:rsid w:val="00395D8F"/>
    <w:rsid w:val="0039771A"/>
    <w:rsid w:val="003A26A1"/>
    <w:rsid w:val="003A6F89"/>
    <w:rsid w:val="003B0960"/>
    <w:rsid w:val="003B38C1"/>
    <w:rsid w:val="003B54F8"/>
    <w:rsid w:val="003C315C"/>
    <w:rsid w:val="003C34E9"/>
    <w:rsid w:val="003E53EC"/>
    <w:rsid w:val="003E689D"/>
    <w:rsid w:val="00400B4F"/>
    <w:rsid w:val="00404FD3"/>
    <w:rsid w:val="00412E85"/>
    <w:rsid w:val="00413908"/>
    <w:rsid w:val="00423E3E"/>
    <w:rsid w:val="00427AF4"/>
    <w:rsid w:val="00446E17"/>
    <w:rsid w:val="00450341"/>
    <w:rsid w:val="00450443"/>
    <w:rsid w:val="004647DA"/>
    <w:rsid w:val="00467D01"/>
    <w:rsid w:val="004726DF"/>
    <w:rsid w:val="00474062"/>
    <w:rsid w:val="00477D6B"/>
    <w:rsid w:val="0048436B"/>
    <w:rsid w:val="00492B95"/>
    <w:rsid w:val="004A20DF"/>
    <w:rsid w:val="004A3D29"/>
    <w:rsid w:val="004C0307"/>
    <w:rsid w:val="004C42CD"/>
    <w:rsid w:val="004C4CE4"/>
    <w:rsid w:val="004C6035"/>
    <w:rsid w:val="004C603E"/>
    <w:rsid w:val="004C6869"/>
    <w:rsid w:val="004C732E"/>
    <w:rsid w:val="004D0ADB"/>
    <w:rsid w:val="004D0C21"/>
    <w:rsid w:val="004F646D"/>
    <w:rsid w:val="005019FF"/>
    <w:rsid w:val="00510D02"/>
    <w:rsid w:val="005110E2"/>
    <w:rsid w:val="00513614"/>
    <w:rsid w:val="00514CE7"/>
    <w:rsid w:val="00517715"/>
    <w:rsid w:val="00523F39"/>
    <w:rsid w:val="0053057A"/>
    <w:rsid w:val="00535658"/>
    <w:rsid w:val="00542F78"/>
    <w:rsid w:val="005520D9"/>
    <w:rsid w:val="00556076"/>
    <w:rsid w:val="00556656"/>
    <w:rsid w:val="00560A29"/>
    <w:rsid w:val="00560AD8"/>
    <w:rsid w:val="00562020"/>
    <w:rsid w:val="005864D9"/>
    <w:rsid w:val="00590406"/>
    <w:rsid w:val="00592D97"/>
    <w:rsid w:val="00594885"/>
    <w:rsid w:val="005A40AC"/>
    <w:rsid w:val="005C6649"/>
    <w:rsid w:val="005E54E0"/>
    <w:rsid w:val="005E5E7A"/>
    <w:rsid w:val="005F1189"/>
    <w:rsid w:val="005F7EFD"/>
    <w:rsid w:val="00605827"/>
    <w:rsid w:val="00606F78"/>
    <w:rsid w:val="00610C60"/>
    <w:rsid w:val="00613B6B"/>
    <w:rsid w:val="0063488F"/>
    <w:rsid w:val="00637787"/>
    <w:rsid w:val="00637CCE"/>
    <w:rsid w:val="00637ED9"/>
    <w:rsid w:val="006416B8"/>
    <w:rsid w:val="00645860"/>
    <w:rsid w:val="00646050"/>
    <w:rsid w:val="00656457"/>
    <w:rsid w:val="0066113B"/>
    <w:rsid w:val="00665308"/>
    <w:rsid w:val="006713CA"/>
    <w:rsid w:val="00673204"/>
    <w:rsid w:val="00676C5C"/>
    <w:rsid w:val="006914A9"/>
    <w:rsid w:val="006942A7"/>
    <w:rsid w:val="006A4C59"/>
    <w:rsid w:val="006B087C"/>
    <w:rsid w:val="006B15AC"/>
    <w:rsid w:val="006B79C1"/>
    <w:rsid w:val="006D20DD"/>
    <w:rsid w:val="006E4C1C"/>
    <w:rsid w:val="006F2482"/>
    <w:rsid w:val="006F6EE7"/>
    <w:rsid w:val="00703965"/>
    <w:rsid w:val="00720EFD"/>
    <w:rsid w:val="00734C2C"/>
    <w:rsid w:val="0075492F"/>
    <w:rsid w:val="00754EE5"/>
    <w:rsid w:val="0075501C"/>
    <w:rsid w:val="00773AF5"/>
    <w:rsid w:val="00782CAC"/>
    <w:rsid w:val="00784235"/>
    <w:rsid w:val="00785B88"/>
    <w:rsid w:val="00793A7C"/>
    <w:rsid w:val="00793E09"/>
    <w:rsid w:val="007964C4"/>
    <w:rsid w:val="007A398A"/>
    <w:rsid w:val="007D1613"/>
    <w:rsid w:val="007E1128"/>
    <w:rsid w:val="007E4C0E"/>
    <w:rsid w:val="007E62FA"/>
    <w:rsid w:val="007E63BA"/>
    <w:rsid w:val="007F2FBF"/>
    <w:rsid w:val="00800CB7"/>
    <w:rsid w:val="00805D93"/>
    <w:rsid w:val="008138C0"/>
    <w:rsid w:val="0082109A"/>
    <w:rsid w:val="00824653"/>
    <w:rsid w:val="008379A3"/>
    <w:rsid w:val="00874BD3"/>
    <w:rsid w:val="00884F07"/>
    <w:rsid w:val="008910EE"/>
    <w:rsid w:val="00893426"/>
    <w:rsid w:val="008A0753"/>
    <w:rsid w:val="008A134B"/>
    <w:rsid w:val="008A75FD"/>
    <w:rsid w:val="008B2CC1"/>
    <w:rsid w:val="008B60B2"/>
    <w:rsid w:val="008C338E"/>
    <w:rsid w:val="008D2E69"/>
    <w:rsid w:val="008E137E"/>
    <w:rsid w:val="008F2D64"/>
    <w:rsid w:val="009040B8"/>
    <w:rsid w:val="0090731E"/>
    <w:rsid w:val="00913BDB"/>
    <w:rsid w:val="00916EE2"/>
    <w:rsid w:val="00923CFC"/>
    <w:rsid w:val="00931A2C"/>
    <w:rsid w:val="00937515"/>
    <w:rsid w:val="009468B5"/>
    <w:rsid w:val="00966A22"/>
    <w:rsid w:val="0096722F"/>
    <w:rsid w:val="00973707"/>
    <w:rsid w:val="00980843"/>
    <w:rsid w:val="00980CD9"/>
    <w:rsid w:val="00985FF1"/>
    <w:rsid w:val="009A3C44"/>
    <w:rsid w:val="009A75C0"/>
    <w:rsid w:val="009B2B19"/>
    <w:rsid w:val="009C6692"/>
    <w:rsid w:val="009D7F21"/>
    <w:rsid w:val="009E18E3"/>
    <w:rsid w:val="009E2791"/>
    <w:rsid w:val="009E3167"/>
    <w:rsid w:val="009E3F6F"/>
    <w:rsid w:val="009F499F"/>
    <w:rsid w:val="009F5E71"/>
    <w:rsid w:val="00A230C1"/>
    <w:rsid w:val="00A37342"/>
    <w:rsid w:val="00A4179C"/>
    <w:rsid w:val="00A4203C"/>
    <w:rsid w:val="00A42DAF"/>
    <w:rsid w:val="00A45BD8"/>
    <w:rsid w:val="00A5550B"/>
    <w:rsid w:val="00A572DC"/>
    <w:rsid w:val="00A72D38"/>
    <w:rsid w:val="00A830E1"/>
    <w:rsid w:val="00A869B7"/>
    <w:rsid w:val="00A92EF0"/>
    <w:rsid w:val="00AA0944"/>
    <w:rsid w:val="00AC205C"/>
    <w:rsid w:val="00AC6FD5"/>
    <w:rsid w:val="00AD2A47"/>
    <w:rsid w:val="00AF0A6B"/>
    <w:rsid w:val="00AF1FEA"/>
    <w:rsid w:val="00AF274F"/>
    <w:rsid w:val="00AF4BFB"/>
    <w:rsid w:val="00B01279"/>
    <w:rsid w:val="00B01C38"/>
    <w:rsid w:val="00B03A06"/>
    <w:rsid w:val="00B03D2C"/>
    <w:rsid w:val="00B05A69"/>
    <w:rsid w:val="00B066FB"/>
    <w:rsid w:val="00B25737"/>
    <w:rsid w:val="00B26737"/>
    <w:rsid w:val="00B31278"/>
    <w:rsid w:val="00B40F7C"/>
    <w:rsid w:val="00B467A9"/>
    <w:rsid w:val="00B5676E"/>
    <w:rsid w:val="00B574B9"/>
    <w:rsid w:val="00B62EEA"/>
    <w:rsid w:val="00B641E7"/>
    <w:rsid w:val="00B65FD3"/>
    <w:rsid w:val="00B75281"/>
    <w:rsid w:val="00B80934"/>
    <w:rsid w:val="00B862DC"/>
    <w:rsid w:val="00B92F1F"/>
    <w:rsid w:val="00B9547B"/>
    <w:rsid w:val="00B9721E"/>
    <w:rsid w:val="00B9734B"/>
    <w:rsid w:val="00BA30E2"/>
    <w:rsid w:val="00BA3BCD"/>
    <w:rsid w:val="00BC0BE1"/>
    <w:rsid w:val="00BC46A3"/>
    <w:rsid w:val="00BC683B"/>
    <w:rsid w:val="00BD545B"/>
    <w:rsid w:val="00BE2433"/>
    <w:rsid w:val="00C01D5E"/>
    <w:rsid w:val="00C0273F"/>
    <w:rsid w:val="00C02E17"/>
    <w:rsid w:val="00C07EC5"/>
    <w:rsid w:val="00C11BFE"/>
    <w:rsid w:val="00C25709"/>
    <w:rsid w:val="00C32CDE"/>
    <w:rsid w:val="00C4207F"/>
    <w:rsid w:val="00C42528"/>
    <w:rsid w:val="00C5068F"/>
    <w:rsid w:val="00C50DBD"/>
    <w:rsid w:val="00C63222"/>
    <w:rsid w:val="00C764C8"/>
    <w:rsid w:val="00C86D74"/>
    <w:rsid w:val="00C919B4"/>
    <w:rsid w:val="00CC0A32"/>
    <w:rsid w:val="00CC0B3E"/>
    <w:rsid w:val="00CC30C9"/>
    <w:rsid w:val="00CC7FD8"/>
    <w:rsid w:val="00CD04F1"/>
    <w:rsid w:val="00CD6443"/>
    <w:rsid w:val="00CE7875"/>
    <w:rsid w:val="00CF139C"/>
    <w:rsid w:val="00CF1D6B"/>
    <w:rsid w:val="00CF2067"/>
    <w:rsid w:val="00CF5BE8"/>
    <w:rsid w:val="00CF681A"/>
    <w:rsid w:val="00D07C78"/>
    <w:rsid w:val="00D17CE5"/>
    <w:rsid w:val="00D2658D"/>
    <w:rsid w:val="00D31DF1"/>
    <w:rsid w:val="00D31DFD"/>
    <w:rsid w:val="00D347B2"/>
    <w:rsid w:val="00D42072"/>
    <w:rsid w:val="00D45252"/>
    <w:rsid w:val="00D52B42"/>
    <w:rsid w:val="00D54F3B"/>
    <w:rsid w:val="00D643FB"/>
    <w:rsid w:val="00D71B4D"/>
    <w:rsid w:val="00D85EDE"/>
    <w:rsid w:val="00D9029C"/>
    <w:rsid w:val="00D903C4"/>
    <w:rsid w:val="00D93D55"/>
    <w:rsid w:val="00D93E9E"/>
    <w:rsid w:val="00DB11B6"/>
    <w:rsid w:val="00DB13D9"/>
    <w:rsid w:val="00DC2CBD"/>
    <w:rsid w:val="00DC7FC8"/>
    <w:rsid w:val="00DD27C4"/>
    <w:rsid w:val="00DD6225"/>
    <w:rsid w:val="00DD7AA6"/>
    <w:rsid w:val="00DD7B7F"/>
    <w:rsid w:val="00DF31AA"/>
    <w:rsid w:val="00DF381D"/>
    <w:rsid w:val="00DF4915"/>
    <w:rsid w:val="00E050FA"/>
    <w:rsid w:val="00E10759"/>
    <w:rsid w:val="00E1102D"/>
    <w:rsid w:val="00E11625"/>
    <w:rsid w:val="00E15015"/>
    <w:rsid w:val="00E22BEA"/>
    <w:rsid w:val="00E25000"/>
    <w:rsid w:val="00E27FC4"/>
    <w:rsid w:val="00E335FE"/>
    <w:rsid w:val="00E341DC"/>
    <w:rsid w:val="00E50333"/>
    <w:rsid w:val="00E50A54"/>
    <w:rsid w:val="00E50DA9"/>
    <w:rsid w:val="00E51109"/>
    <w:rsid w:val="00E670BD"/>
    <w:rsid w:val="00E70DD0"/>
    <w:rsid w:val="00E7184E"/>
    <w:rsid w:val="00E80AF0"/>
    <w:rsid w:val="00E9093A"/>
    <w:rsid w:val="00EA7D6E"/>
    <w:rsid w:val="00EB2F76"/>
    <w:rsid w:val="00EB6F52"/>
    <w:rsid w:val="00EB74C4"/>
    <w:rsid w:val="00EC2BB6"/>
    <w:rsid w:val="00EC4E49"/>
    <w:rsid w:val="00ED77FB"/>
    <w:rsid w:val="00EE45FA"/>
    <w:rsid w:val="00EF011E"/>
    <w:rsid w:val="00F01E48"/>
    <w:rsid w:val="00F043DE"/>
    <w:rsid w:val="00F1085F"/>
    <w:rsid w:val="00F127D8"/>
    <w:rsid w:val="00F2723C"/>
    <w:rsid w:val="00F46B14"/>
    <w:rsid w:val="00F57B00"/>
    <w:rsid w:val="00F66152"/>
    <w:rsid w:val="00F6636A"/>
    <w:rsid w:val="00F66ABA"/>
    <w:rsid w:val="00F67914"/>
    <w:rsid w:val="00F73DD6"/>
    <w:rsid w:val="00F74B11"/>
    <w:rsid w:val="00F75FA3"/>
    <w:rsid w:val="00F874D6"/>
    <w:rsid w:val="00F9165B"/>
    <w:rsid w:val="00F9348D"/>
    <w:rsid w:val="00FA1C99"/>
    <w:rsid w:val="00FA3164"/>
    <w:rsid w:val="00FA6448"/>
    <w:rsid w:val="00FB0672"/>
    <w:rsid w:val="00FB56F5"/>
    <w:rsid w:val="00FC29F5"/>
    <w:rsid w:val="00FC41E8"/>
    <w:rsid w:val="00FD0A70"/>
    <w:rsid w:val="00FD0E29"/>
    <w:rsid w:val="00FD7D96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1F491F"/>
  <w15:docId w15:val="{264729F3-B7F8-4824-8D04-034CCD3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590406"/>
    <w:pPr>
      <w:keepNext/>
      <w:spacing w:before="48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90406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90406"/>
    <w:pPr>
      <w:keepNext/>
      <w:spacing w:before="48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90406"/>
    <w:pPr>
      <w:keepNext/>
      <w:spacing w:before="480" w:after="24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nhideWhenUsed/>
    <w:rsid w:val="008E13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04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782C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CA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2CA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82CAC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782CA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782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2CAC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32CDE"/>
    <w:rPr>
      <w:color w:val="800080" w:themeColor="followedHyperlink"/>
      <w:u w:val="single"/>
    </w:rPr>
  </w:style>
  <w:style w:type="numbering" w:customStyle="1" w:styleId="WWNum6">
    <w:name w:val="WWNum6"/>
    <w:basedOn w:val="NoList"/>
    <w:rsid w:val="00412E85"/>
    <w:pPr>
      <w:numPr>
        <w:numId w:val="13"/>
      </w:numPr>
    </w:pPr>
  </w:style>
  <w:style w:type="paragraph" w:customStyle="1" w:styleId="Bulletedlistlevel2">
    <w:name w:val="Bulleted list level 2"/>
    <w:basedOn w:val="Normal"/>
    <w:rsid w:val="007964C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edocs/mdocs/madrid/en/mm_ld_wg_13/mm_ld_wg_13_marques.pdf" TargetMode="External"/><Relationship Id="rId2" Type="http://schemas.openxmlformats.org/officeDocument/2006/relationships/hyperlink" Target="https://www.wipo.int/edocs/pubdocs/en/wipo_pub_2014_madrid_japan.pdf" TargetMode="External"/><Relationship Id="rId1" Type="http://schemas.openxmlformats.org/officeDocument/2006/relationships/hyperlink" Target="https://www.wipo.int/edocs/pubdocs/en/marks/954/wipo_pub_9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707D-24B0-41EA-8670-0A2C625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MM/LD/WG</vt:lpstr>
      <vt:lpstr>MM/LD/WG</vt:lpstr>
    </vt:vector>
  </TitlesOfParts>
  <Company>WIPO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creator>Madrid Legal Division</dc:creator>
  <cp:keywords>FOR OFFICIAL USE ONLY</cp:keywords>
  <cp:lastModifiedBy>DIAZ Natacha</cp:lastModifiedBy>
  <cp:revision>39</cp:revision>
  <cp:lastPrinted>2020-09-12T11:05:00Z</cp:lastPrinted>
  <dcterms:created xsi:type="dcterms:W3CDTF">2020-09-08T14:09:00Z</dcterms:created>
  <dcterms:modified xsi:type="dcterms:W3CDTF">2020-09-12T11:05:00Z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fa4d1198-074c-4792-9f0b-da36a3f1c997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