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95192" w:rsidRPr="008B2CC1" w:rsidTr="00FA51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95192" w:rsidRPr="008B2CC1" w:rsidRDefault="00495192" w:rsidP="00FA515E">
            <w:bookmarkStart w:id="8" w:name="TitleOfDoc"/>
            <w:bookmarkEnd w:id="8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95192" w:rsidRPr="008B2CC1" w:rsidRDefault="00495192" w:rsidP="00FA515E">
            <w:r>
              <w:rPr>
                <w:noProof/>
                <w:lang w:val="en-US" w:eastAsia="en-US"/>
              </w:rPr>
              <w:drawing>
                <wp:inline distT="0" distB="0" distL="0" distR="0" wp14:anchorId="2BD5695F" wp14:editId="35383822">
                  <wp:extent cx="1856740" cy="1323975"/>
                  <wp:effectExtent l="0" t="0" r="0" b="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95192" w:rsidRPr="008B2CC1" w:rsidRDefault="00495192" w:rsidP="00FA515E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495192" w:rsidRPr="001832A6" w:rsidTr="00FA515E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95192" w:rsidRPr="0090731E" w:rsidRDefault="00495192" w:rsidP="0049519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mm/Ld/wg/17/</w:t>
            </w:r>
            <w:bookmarkStart w:id="9" w:name="Code"/>
            <w:bookmarkEnd w:id="9"/>
            <w:r>
              <w:rPr>
                <w:rFonts w:ascii="Arial Black" w:hAnsi="Arial Black"/>
                <w:caps/>
                <w:sz w:val="15"/>
              </w:rPr>
              <w:t>6</w:t>
            </w:r>
          </w:p>
        </w:tc>
      </w:tr>
      <w:tr w:rsidR="00495192" w:rsidRPr="001832A6" w:rsidTr="00FA515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95192" w:rsidRPr="0090731E" w:rsidRDefault="00495192" w:rsidP="00FA515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573E17">
              <w:rPr>
                <w:rFonts w:ascii="Arial Black" w:hAnsi="Arial Black"/>
                <w:caps/>
                <w:sz w:val="15"/>
              </w:rPr>
              <w:t> :</w:t>
            </w:r>
            <w:bookmarkStart w:id="10" w:name="Original"/>
            <w:bookmarkEnd w:id="10"/>
            <w:r w:rsidR="005B5C19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</w:rPr>
              <w:t xml:space="preserve">anglais </w:t>
            </w:r>
          </w:p>
        </w:tc>
      </w:tr>
      <w:tr w:rsidR="00495192" w:rsidRPr="001832A6" w:rsidTr="00FA515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95192" w:rsidRPr="0090731E" w:rsidRDefault="00495192" w:rsidP="0087445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573E17">
              <w:rPr>
                <w:rFonts w:ascii="Arial Black" w:hAnsi="Arial Black"/>
                <w:caps/>
                <w:sz w:val="15"/>
              </w:rPr>
              <w:t> :</w:t>
            </w:r>
            <w:bookmarkStart w:id="11" w:name="Date"/>
            <w:bookmarkEnd w:id="11"/>
            <w:r w:rsidR="005B5C19">
              <w:rPr>
                <w:rFonts w:ascii="Arial Black" w:hAnsi="Arial Black"/>
                <w:caps/>
                <w:sz w:val="15"/>
              </w:rPr>
              <w:t xml:space="preserve"> </w:t>
            </w:r>
            <w:r w:rsidR="0087445B">
              <w:rPr>
                <w:rFonts w:ascii="Arial Black" w:hAnsi="Arial Black"/>
                <w:caps/>
                <w:sz w:val="15"/>
              </w:rPr>
              <w:t>21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573E17">
              <w:rPr>
                <w:rFonts w:ascii="Arial Black" w:hAnsi="Arial Black"/>
                <w:caps/>
                <w:sz w:val="15"/>
              </w:rPr>
              <w:t>mai 20</w:t>
            </w:r>
            <w:r>
              <w:rPr>
                <w:rFonts w:ascii="Arial Black" w:hAnsi="Arial Black"/>
                <w:caps/>
                <w:sz w:val="15"/>
              </w:rPr>
              <w:t xml:space="preserve">19 </w:t>
            </w:r>
          </w:p>
        </w:tc>
      </w:tr>
    </w:tbl>
    <w:p w:rsidR="00495192" w:rsidRPr="008B2CC1" w:rsidRDefault="00495192" w:rsidP="00495192"/>
    <w:p w:rsidR="00495192" w:rsidRPr="008B2CC1" w:rsidRDefault="00495192" w:rsidP="00495192"/>
    <w:p w:rsidR="00495192" w:rsidRPr="008B2CC1" w:rsidRDefault="00495192" w:rsidP="00495192"/>
    <w:p w:rsidR="00495192" w:rsidRPr="008B2CC1" w:rsidRDefault="00495192" w:rsidP="00495192"/>
    <w:p w:rsidR="00495192" w:rsidRPr="008B2CC1" w:rsidRDefault="00495192" w:rsidP="00495192"/>
    <w:p w:rsidR="00495192" w:rsidRPr="003845C1" w:rsidRDefault="00495192" w:rsidP="00495192">
      <w:pPr>
        <w:rPr>
          <w:b/>
          <w:sz w:val="28"/>
          <w:szCs w:val="28"/>
        </w:rPr>
      </w:pPr>
      <w:r>
        <w:rPr>
          <w:b/>
          <w:sz w:val="28"/>
          <w:szCs w:val="28"/>
        </w:rPr>
        <w:t>Groupe de travail sur le développement juridique du système de Madrid concernant l</w:t>
      </w:r>
      <w:r w:rsidR="00573E17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>enregistrement international des marques</w:t>
      </w:r>
    </w:p>
    <w:p w:rsidR="00495192" w:rsidRDefault="00495192" w:rsidP="00495192"/>
    <w:p w:rsidR="00495192" w:rsidRDefault="00495192" w:rsidP="00495192"/>
    <w:p w:rsidR="00495192" w:rsidRPr="003845C1" w:rsidRDefault="005A2D9F" w:rsidP="00495192">
      <w:pPr>
        <w:rPr>
          <w:b/>
          <w:sz w:val="24"/>
          <w:szCs w:val="24"/>
        </w:rPr>
      </w:pPr>
      <w:r w:rsidRPr="005A2D9F">
        <w:rPr>
          <w:b/>
          <w:sz w:val="24"/>
          <w:szCs w:val="24"/>
          <w:lang w:val="fr-FR"/>
        </w:rPr>
        <w:t>Dix</w:t>
      </w:r>
      <w:r>
        <w:rPr>
          <w:b/>
          <w:sz w:val="24"/>
          <w:szCs w:val="24"/>
          <w:lang w:val="fr-FR"/>
        </w:rPr>
        <w:noBreakHyphen/>
      </w:r>
      <w:r w:rsidRPr="005A2D9F">
        <w:rPr>
          <w:b/>
          <w:sz w:val="24"/>
          <w:szCs w:val="24"/>
          <w:lang w:val="fr-FR"/>
        </w:rPr>
        <w:t>septième </w:t>
      </w:r>
      <w:r w:rsidR="00573E17">
        <w:rPr>
          <w:b/>
          <w:sz w:val="24"/>
          <w:szCs w:val="24"/>
        </w:rPr>
        <w:t>session</w:t>
      </w:r>
    </w:p>
    <w:p w:rsidR="00495192" w:rsidRPr="003845C1" w:rsidRDefault="00495192" w:rsidP="00495192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Genève, 2</w:t>
      </w:r>
      <w:r w:rsidR="005A2D9F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– </w:t>
      </w:r>
      <w:r w:rsidR="005A2D9F">
        <w:rPr>
          <w:b/>
          <w:sz w:val="24"/>
          <w:szCs w:val="24"/>
        </w:rPr>
        <w:t>2</w:t>
      </w:r>
      <w:r w:rsidR="00573E17">
        <w:rPr>
          <w:b/>
          <w:sz w:val="24"/>
          <w:szCs w:val="24"/>
        </w:rPr>
        <w:t>6 juillet 20</w:t>
      </w:r>
      <w:r w:rsidR="005A2D9F">
        <w:rPr>
          <w:b/>
          <w:sz w:val="24"/>
          <w:szCs w:val="24"/>
        </w:rPr>
        <w:t>19</w:t>
      </w:r>
    </w:p>
    <w:p w:rsidR="00495192" w:rsidRPr="008B2CC1" w:rsidRDefault="00495192" w:rsidP="00495192"/>
    <w:p w:rsidR="00495192" w:rsidRPr="008B2CC1" w:rsidRDefault="00495192" w:rsidP="00495192"/>
    <w:p w:rsidR="00495192" w:rsidRPr="008B2CC1" w:rsidRDefault="00495192" w:rsidP="00495192"/>
    <w:p w:rsidR="00504BB9" w:rsidRPr="00495192" w:rsidRDefault="00495192" w:rsidP="00470C8A">
      <w:pPr>
        <w:rPr>
          <w:caps/>
          <w:sz w:val="24"/>
          <w:szCs w:val="24"/>
          <w:lang w:val="fr-FR"/>
        </w:rPr>
      </w:pPr>
      <w:r w:rsidRPr="00495192">
        <w:rPr>
          <w:caps/>
          <w:sz w:val="24"/>
          <w:szCs w:val="24"/>
          <w:lang w:val="fr-FR"/>
        </w:rPr>
        <w:t>Réduction éventuelle de la période de dépendance</w:t>
      </w:r>
    </w:p>
    <w:p w:rsidR="00504BB9" w:rsidRPr="00470C8A" w:rsidRDefault="00504BB9" w:rsidP="00470C8A">
      <w:pPr>
        <w:rPr>
          <w:szCs w:val="22"/>
          <w:lang w:val="fr-FR"/>
        </w:rPr>
      </w:pPr>
    </w:p>
    <w:p w:rsidR="00504BB9" w:rsidRPr="00470C8A" w:rsidRDefault="00067173" w:rsidP="00470C8A">
      <w:pPr>
        <w:rPr>
          <w:i/>
          <w:szCs w:val="22"/>
          <w:lang w:val="fr-FR"/>
        </w:rPr>
      </w:pPr>
      <w:bookmarkStart w:id="12" w:name="Prepared"/>
      <w:bookmarkEnd w:id="12"/>
      <w:r w:rsidRPr="00470C8A">
        <w:rPr>
          <w:i/>
          <w:szCs w:val="22"/>
          <w:lang w:val="fr-FR"/>
        </w:rPr>
        <w:t>Document établi par le Bureau international</w:t>
      </w:r>
    </w:p>
    <w:p w:rsidR="00504BB9" w:rsidRPr="00470C8A" w:rsidRDefault="00504BB9" w:rsidP="00470C8A">
      <w:pPr>
        <w:rPr>
          <w:szCs w:val="22"/>
          <w:lang w:val="fr-FR"/>
        </w:rPr>
      </w:pPr>
    </w:p>
    <w:p w:rsidR="00504BB9" w:rsidRPr="00470C8A" w:rsidRDefault="00504BB9" w:rsidP="00470C8A">
      <w:pPr>
        <w:rPr>
          <w:szCs w:val="22"/>
          <w:lang w:val="fr-FR"/>
        </w:rPr>
      </w:pPr>
    </w:p>
    <w:p w:rsidR="00504BB9" w:rsidRDefault="00504BB9" w:rsidP="00470C8A">
      <w:pPr>
        <w:rPr>
          <w:szCs w:val="22"/>
          <w:lang w:val="fr-FR"/>
        </w:rPr>
      </w:pPr>
    </w:p>
    <w:p w:rsidR="00DD1A0A" w:rsidRPr="00470C8A" w:rsidRDefault="00DD1A0A" w:rsidP="00470C8A">
      <w:pPr>
        <w:rPr>
          <w:szCs w:val="22"/>
          <w:lang w:val="fr-FR"/>
        </w:rPr>
      </w:pPr>
    </w:p>
    <w:p w:rsidR="00573E17" w:rsidRDefault="00F67ED1" w:rsidP="00495192">
      <w:pPr>
        <w:pStyle w:val="ONUMFS"/>
        <w:rPr>
          <w:lang w:val="fr-FR"/>
        </w:rPr>
      </w:pPr>
      <w:r w:rsidRPr="00470C8A">
        <w:rPr>
          <w:lang w:val="fr-FR"/>
        </w:rPr>
        <w:t>Le Groupe de travail sur le développement juridique du système de Madr</w:t>
      </w:r>
      <w:r w:rsidR="009E4FB2" w:rsidRPr="00470C8A">
        <w:rPr>
          <w:lang w:val="fr-FR"/>
        </w:rPr>
        <w:t>id concernant l</w:t>
      </w:r>
      <w:r w:rsidR="00573E17">
        <w:rPr>
          <w:lang w:val="fr-FR"/>
        </w:rPr>
        <w:t>’</w:t>
      </w:r>
      <w:r w:rsidR="009E4FB2" w:rsidRPr="00470C8A">
        <w:rPr>
          <w:lang w:val="fr-FR"/>
        </w:rPr>
        <w:t>enregistrement i</w:t>
      </w:r>
      <w:r w:rsidRPr="00470C8A">
        <w:rPr>
          <w:lang w:val="fr-FR"/>
        </w:rPr>
        <w:t>nternational des marques (ci</w:t>
      </w:r>
      <w:r w:rsidR="005A2D9F">
        <w:rPr>
          <w:lang w:val="fr-FR"/>
        </w:rPr>
        <w:noBreakHyphen/>
      </w:r>
      <w:r w:rsidRPr="00470C8A">
        <w:rPr>
          <w:lang w:val="fr-FR"/>
        </w:rPr>
        <w:t xml:space="preserve">après dénommé </w:t>
      </w:r>
      <w:r w:rsidR="00573E17">
        <w:rPr>
          <w:lang w:val="fr-FR"/>
        </w:rPr>
        <w:t>“</w:t>
      </w:r>
      <w:r w:rsidR="00573E17" w:rsidRPr="00470C8A">
        <w:rPr>
          <w:lang w:val="fr-FR"/>
        </w:rPr>
        <w:t>g</w:t>
      </w:r>
      <w:r w:rsidRPr="00470C8A">
        <w:rPr>
          <w:lang w:val="fr-FR"/>
        </w:rPr>
        <w:t>roupe de travai</w:t>
      </w:r>
      <w:r w:rsidR="00573E17" w:rsidRPr="00470C8A">
        <w:rPr>
          <w:lang w:val="fr-FR"/>
        </w:rPr>
        <w:t>l</w:t>
      </w:r>
      <w:r w:rsidR="00573E17">
        <w:rPr>
          <w:lang w:val="fr-FR"/>
        </w:rPr>
        <w:t>”</w:t>
      </w:r>
      <w:r w:rsidRPr="00470C8A">
        <w:rPr>
          <w:lang w:val="fr-FR"/>
        </w:rPr>
        <w:t>) est convenu, à ses quatorzième</w:t>
      </w:r>
      <w:r w:rsidRPr="00470C8A">
        <w:rPr>
          <w:rStyle w:val="FootnoteReference"/>
          <w:szCs w:val="22"/>
          <w:lang w:val="fr-FR"/>
        </w:rPr>
        <w:footnoteReference w:id="2"/>
      </w:r>
      <w:r w:rsidRPr="00470C8A">
        <w:rPr>
          <w:lang w:val="fr-FR"/>
        </w:rPr>
        <w:t xml:space="preserve"> et quinz</w:t>
      </w:r>
      <w:r w:rsidR="00573E17">
        <w:rPr>
          <w:lang w:val="fr-FR"/>
        </w:rPr>
        <w:t>ième session</w:t>
      </w:r>
      <w:r w:rsidRPr="00470C8A">
        <w:rPr>
          <w:lang w:val="fr-FR"/>
        </w:rPr>
        <w:t>s, d</w:t>
      </w:r>
      <w:r w:rsidR="00573E17">
        <w:rPr>
          <w:lang w:val="fr-FR"/>
        </w:rPr>
        <w:t>’</w:t>
      </w:r>
      <w:r w:rsidRPr="00470C8A">
        <w:rPr>
          <w:lang w:val="fr-FR"/>
        </w:rPr>
        <w:t xml:space="preserve">examiner une éventuelle réduction </w:t>
      </w:r>
      <w:r w:rsidR="00CB54F8" w:rsidRPr="00470C8A">
        <w:rPr>
          <w:lang w:val="fr-FR"/>
        </w:rPr>
        <w:t>de la période</w:t>
      </w:r>
      <w:r w:rsidRPr="00470C8A">
        <w:rPr>
          <w:lang w:val="fr-FR"/>
        </w:rPr>
        <w:t xml:space="preserve"> de dépendance, comme l</w:t>
      </w:r>
      <w:r w:rsidR="00573E17">
        <w:rPr>
          <w:lang w:val="fr-FR"/>
        </w:rPr>
        <w:t>’</w:t>
      </w:r>
      <w:r w:rsidRPr="00470C8A">
        <w:rPr>
          <w:lang w:val="fr-FR"/>
        </w:rPr>
        <w:t>indique sa feuille de route à moyen terme.</w:t>
      </w:r>
    </w:p>
    <w:p w:rsidR="00573E17" w:rsidRDefault="008D4B70" w:rsidP="0087445B">
      <w:pPr>
        <w:pStyle w:val="ONUMFS"/>
        <w:spacing w:after="0"/>
        <w:rPr>
          <w:lang w:val="fr-FR"/>
        </w:rPr>
      </w:pPr>
      <w:r w:rsidRPr="00470C8A">
        <w:rPr>
          <w:lang w:val="fr-FR"/>
        </w:rPr>
        <w:t>Le présent</w:t>
      </w:r>
      <w:r w:rsidR="00992327" w:rsidRPr="00470C8A">
        <w:rPr>
          <w:lang w:val="fr-FR"/>
        </w:rPr>
        <w:t xml:space="preserve"> document retrace l</w:t>
      </w:r>
      <w:r w:rsidR="00573E17">
        <w:rPr>
          <w:lang w:val="fr-FR"/>
        </w:rPr>
        <w:t>’</w:t>
      </w:r>
      <w:r w:rsidR="00992327" w:rsidRPr="00470C8A">
        <w:rPr>
          <w:lang w:val="fr-FR"/>
        </w:rPr>
        <w:t xml:space="preserve">historique du principe de la dépendance dans le système de Madrid, </w:t>
      </w:r>
      <w:r w:rsidR="0037230E" w:rsidRPr="00470C8A">
        <w:rPr>
          <w:lang w:val="fr-FR"/>
        </w:rPr>
        <w:t xml:space="preserve">décrit </w:t>
      </w:r>
      <w:r w:rsidR="00992327" w:rsidRPr="00470C8A">
        <w:rPr>
          <w:lang w:val="fr-FR"/>
        </w:rPr>
        <w:t xml:space="preserve">le contexte dans lequel ce principe a été précédemment examiné par le groupe de travail et </w:t>
      </w:r>
      <w:r w:rsidR="0037230E" w:rsidRPr="00470C8A">
        <w:rPr>
          <w:lang w:val="fr-FR"/>
        </w:rPr>
        <w:t>présente</w:t>
      </w:r>
      <w:r w:rsidR="00992327" w:rsidRPr="00470C8A">
        <w:rPr>
          <w:lang w:val="fr-FR"/>
        </w:rPr>
        <w:t xml:space="preserve"> </w:t>
      </w:r>
      <w:r w:rsidR="00547D68" w:rsidRPr="00470C8A">
        <w:rPr>
          <w:lang w:val="fr-FR"/>
        </w:rPr>
        <w:t xml:space="preserve">différentes possibilités </w:t>
      </w:r>
      <w:r w:rsidR="00992327" w:rsidRPr="00470C8A">
        <w:rPr>
          <w:lang w:val="fr-FR"/>
        </w:rPr>
        <w:t>en vue de la poursuite des discussions sur</w:t>
      </w:r>
      <w:r w:rsidR="0087445B">
        <w:rPr>
          <w:lang w:val="fr-FR"/>
        </w:rPr>
        <w:t> </w:t>
      </w:r>
      <w:r w:rsidR="00992327" w:rsidRPr="00470C8A">
        <w:rPr>
          <w:lang w:val="fr-FR"/>
        </w:rPr>
        <w:t>cette question.</w:t>
      </w:r>
    </w:p>
    <w:p w:rsidR="00573E17" w:rsidRPr="00891335" w:rsidRDefault="001E0DAC" w:rsidP="00470C8A">
      <w:pPr>
        <w:pStyle w:val="Heading1"/>
        <w:rPr>
          <w:caps w:val="0"/>
          <w:szCs w:val="22"/>
          <w:lang w:val="fr-FR"/>
        </w:rPr>
      </w:pPr>
      <w:r w:rsidRPr="00891335">
        <w:rPr>
          <w:caps w:val="0"/>
          <w:szCs w:val="22"/>
          <w:lang w:val="fr-FR"/>
        </w:rPr>
        <w:t>PR</w:t>
      </w:r>
      <w:r w:rsidR="00845532" w:rsidRPr="00891335">
        <w:rPr>
          <w:caps w:val="0"/>
          <w:szCs w:val="22"/>
          <w:lang w:val="fr-FR"/>
        </w:rPr>
        <w:t>É</w:t>
      </w:r>
      <w:r w:rsidRPr="00891335">
        <w:rPr>
          <w:caps w:val="0"/>
          <w:szCs w:val="22"/>
          <w:lang w:val="fr-FR"/>
        </w:rPr>
        <w:t>SENTATION G</w:t>
      </w:r>
      <w:r w:rsidR="00845532" w:rsidRPr="00891335">
        <w:rPr>
          <w:caps w:val="0"/>
          <w:szCs w:val="22"/>
          <w:lang w:val="fr-FR"/>
        </w:rPr>
        <w:t>É</w:t>
      </w:r>
      <w:r w:rsidRPr="00891335">
        <w:rPr>
          <w:caps w:val="0"/>
          <w:szCs w:val="22"/>
          <w:lang w:val="fr-FR"/>
        </w:rPr>
        <w:t>N</w:t>
      </w:r>
      <w:r w:rsidR="00845532" w:rsidRPr="00891335">
        <w:rPr>
          <w:caps w:val="0"/>
          <w:szCs w:val="22"/>
          <w:lang w:val="fr-FR"/>
        </w:rPr>
        <w:t>É</w:t>
      </w:r>
      <w:r w:rsidRPr="00891335">
        <w:rPr>
          <w:caps w:val="0"/>
          <w:szCs w:val="22"/>
          <w:lang w:val="fr-FR"/>
        </w:rPr>
        <w:t>RALE DU PRINCIPE DE LA D</w:t>
      </w:r>
      <w:r w:rsidR="00845532" w:rsidRPr="00891335">
        <w:rPr>
          <w:caps w:val="0"/>
          <w:szCs w:val="22"/>
          <w:lang w:val="fr-FR"/>
        </w:rPr>
        <w:t>É</w:t>
      </w:r>
      <w:r w:rsidRPr="00891335">
        <w:rPr>
          <w:caps w:val="0"/>
          <w:szCs w:val="22"/>
          <w:lang w:val="fr-FR"/>
        </w:rPr>
        <w:t>PENDANCE</w:t>
      </w:r>
    </w:p>
    <w:p w:rsidR="00504BB9" w:rsidRPr="00470C8A" w:rsidRDefault="00504BB9" w:rsidP="00470C8A">
      <w:pPr>
        <w:rPr>
          <w:szCs w:val="22"/>
          <w:lang w:val="fr-FR"/>
        </w:rPr>
      </w:pPr>
    </w:p>
    <w:p w:rsidR="00573E17" w:rsidRDefault="0011317A" w:rsidP="00495192">
      <w:pPr>
        <w:pStyle w:val="ONUMFS"/>
        <w:rPr>
          <w:lang w:val="fr-FR"/>
        </w:rPr>
      </w:pPr>
      <w:r w:rsidRPr="00470C8A">
        <w:rPr>
          <w:lang w:val="fr-FR"/>
        </w:rPr>
        <w:t>La dépendance fait l</w:t>
      </w:r>
      <w:r w:rsidR="00573E17">
        <w:rPr>
          <w:lang w:val="fr-FR"/>
        </w:rPr>
        <w:t>’</w:t>
      </w:r>
      <w:r w:rsidRPr="00470C8A">
        <w:rPr>
          <w:lang w:val="fr-FR"/>
        </w:rPr>
        <w:t xml:space="preserve">objet des </w:t>
      </w:r>
      <w:r w:rsidR="00573E17" w:rsidRPr="00470C8A">
        <w:rPr>
          <w:lang w:val="fr-FR"/>
        </w:rPr>
        <w:t>alinéas</w:t>
      </w:r>
      <w:r w:rsidR="00573E17">
        <w:rPr>
          <w:lang w:val="fr-FR"/>
        </w:rPr>
        <w:t> </w:t>
      </w:r>
      <w:r w:rsidR="00573E17" w:rsidRPr="00470C8A">
        <w:rPr>
          <w:lang w:val="fr-FR"/>
        </w:rPr>
        <w:t>2</w:t>
      </w:r>
      <w:r w:rsidRPr="00470C8A">
        <w:rPr>
          <w:lang w:val="fr-FR"/>
        </w:rPr>
        <w:t xml:space="preserve"> et 3 de l</w:t>
      </w:r>
      <w:r w:rsidR="00573E17">
        <w:rPr>
          <w:lang w:val="fr-FR"/>
        </w:rPr>
        <w:t>’</w:t>
      </w:r>
      <w:r w:rsidR="00573E17" w:rsidRPr="00470C8A">
        <w:rPr>
          <w:lang w:val="fr-FR"/>
        </w:rPr>
        <w:t>article</w:t>
      </w:r>
      <w:r w:rsidR="00573E17">
        <w:rPr>
          <w:lang w:val="fr-FR"/>
        </w:rPr>
        <w:t> </w:t>
      </w:r>
      <w:r w:rsidR="00573E17" w:rsidRPr="00470C8A">
        <w:rPr>
          <w:lang w:val="fr-FR"/>
        </w:rPr>
        <w:t>6</w:t>
      </w:r>
      <w:r w:rsidRPr="00470C8A">
        <w:rPr>
          <w:lang w:val="fr-FR"/>
        </w:rPr>
        <w:t xml:space="preserve"> du Protocole relatif à l</w:t>
      </w:r>
      <w:r w:rsidR="00573E17">
        <w:rPr>
          <w:lang w:val="fr-FR"/>
        </w:rPr>
        <w:t>’</w:t>
      </w:r>
      <w:r w:rsidRPr="00470C8A">
        <w:rPr>
          <w:lang w:val="fr-FR"/>
        </w:rPr>
        <w:t>Arrangement de Madrid concernant l</w:t>
      </w:r>
      <w:r w:rsidR="00573E17">
        <w:rPr>
          <w:lang w:val="fr-FR"/>
        </w:rPr>
        <w:t>’</w:t>
      </w:r>
      <w:r w:rsidRPr="00470C8A">
        <w:rPr>
          <w:lang w:val="fr-FR"/>
        </w:rPr>
        <w:t>enregistrement international des marques (ci</w:t>
      </w:r>
      <w:r w:rsidR="005A2D9F">
        <w:rPr>
          <w:lang w:val="fr-FR"/>
        </w:rPr>
        <w:noBreakHyphen/>
      </w:r>
      <w:r w:rsidRPr="00470C8A">
        <w:rPr>
          <w:lang w:val="fr-FR"/>
        </w:rPr>
        <w:t xml:space="preserve">après dénommés respectivement </w:t>
      </w:r>
      <w:r w:rsidR="00573E17">
        <w:rPr>
          <w:lang w:val="fr-FR"/>
        </w:rPr>
        <w:t>“</w:t>
      </w:r>
      <w:r w:rsidR="00573E17" w:rsidRPr="00470C8A">
        <w:rPr>
          <w:lang w:val="fr-FR"/>
        </w:rPr>
        <w:t>P</w:t>
      </w:r>
      <w:r w:rsidRPr="00470C8A">
        <w:rPr>
          <w:lang w:val="fr-FR"/>
        </w:rPr>
        <w:t>rotocol</w:t>
      </w:r>
      <w:r w:rsidR="00573E17" w:rsidRPr="00470C8A">
        <w:rPr>
          <w:lang w:val="fr-FR"/>
        </w:rPr>
        <w:t>e</w:t>
      </w:r>
      <w:r w:rsidR="00573E17">
        <w:rPr>
          <w:lang w:val="fr-FR"/>
        </w:rPr>
        <w:t>”</w:t>
      </w:r>
      <w:r w:rsidRPr="00470C8A">
        <w:rPr>
          <w:lang w:val="fr-FR"/>
        </w:rPr>
        <w:t xml:space="preserve"> et </w:t>
      </w:r>
      <w:r w:rsidR="00573E17">
        <w:rPr>
          <w:lang w:val="fr-FR"/>
        </w:rPr>
        <w:t>“</w:t>
      </w:r>
      <w:r w:rsidR="00573E17" w:rsidRPr="00470C8A">
        <w:rPr>
          <w:lang w:val="fr-FR"/>
        </w:rPr>
        <w:t>A</w:t>
      </w:r>
      <w:r w:rsidRPr="00470C8A">
        <w:rPr>
          <w:lang w:val="fr-FR"/>
        </w:rPr>
        <w:t>rrangemen</w:t>
      </w:r>
      <w:r w:rsidR="00573E17" w:rsidRPr="00470C8A">
        <w:rPr>
          <w:lang w:val="fr-FR"/>
        </w:rPr>
        <w:t>t</w:t>
      </w:r>
      <w:r w:rsidR="00573E17">
        <w:rPr>
          <w:lang w:val="fr-FR"/>
        </w:rPr>
        <w:t>”</w:t>
      </w:r>
      <w:r w:rsidRPr="00470C8A">
        <w:rPr>
          <w:lang w:val="fr-FR"/>
        </w:rPr>
        <w:t>).</w:t>
      </w:r>
      <w:r w:rsidR="00816572" w:rsidRPr="00470C8A">
        <w:rPr>
          <w:lang w:val="fr-FR"/>
        </w:rPr>
        <w:t xml:space="preserve">  </w:t>
      </w:r>
      <w:r w:rsidR="00AF68FC" w:rsidRPr="00470C8A">
        <w:rPr>
          <w:lang w:val="fr-FR"/>
        </w:rPr>
        <w:t>En vertu de l</w:t>
      </w:r>
      <w:r w:rsidR="00573E17">
        <w:rPr>
          <w:lang w:val="fr-FR"/>
        </w:rPr>
        <w:t>’</w:t>
      </w:r>
      <w:r w:rsidR="00573E17" w:rsidRPr="00470C8A">
        <w:rPr>
          <w:lang w:val="fr-FR"/>
        </w:rPr>
        <w:t>alinéa</w:t>
      </w:r>
      <w:r w:rsidR="00573E17">
        <w:rPr>
          <w:lang w:val="fr-FR"/>
        </w:rPr>
        <w:t> </w:t>
      </w:r>
      <w:r w:rsidR="00573E17" w:rsidRPr="00470C8A">
        <w:rPr>
          <w:lang w:val="fr-FR"/>
        </w:rPr>
        <w:t>3</w:t>
      </w:r>
      <w:r w:rsidR="00FF7065" w:rsidRPr="00470C8A">
        <w:rPr>
          <w:lang w:val="fr-FR"/>
        </w:rPr>
        <w:t>, la protection résultant de l</w:t>
      </w:r>
      <w:r w:rsidR="00573E17">
        <w:rPr>
          <w:lang w:val="fr-FR"/>
        </w:rPr>
        <w:t>’</w:t>
      </w:r>
      <w:r w:rsidR="00FF7065" w:rsidRPr="00470C8A">
        <w:rPr>
          <w:lang w:val="fr-FR"/>
        </w:rPr>
        <w:t xml:space="preserve">enregistrement international ne </w:t>
      </w:r>
      <w:r w:rsidR="00D7425A" w:rsidRPr="00470C8A">
        <w:rPr>
          <w:lang w:val="fr-FR"/>
        </w:rPr>
        <w:t>pourra</w:t>
      </w:r>
      <w:r w:rsidR="00FF7065" w:rsidRPr="00470C8A">
        <w:rPr>
          <w:lang w:val="fr-FR"/>
        </w:rPr>
        <w:t xml:space="preserve"> plus être invoquée si l</w:t>
      </w:r>
      <w:r w:rsidR="00573E17">
        <w:rPr>
          <w:lang w:val="fr-FR"/>
        </w:rPr>
        <w:t>’</w:t>
      </w:r>
      <w:r w:rsidR="00FF7065" w:rsidRPr="00470C8A">
        <w:rPr>
          <w:lang w:val="fr-FR"/>
        </w:rPr>
        <w:t>enregistrement de base ou l</w:t>
      </w:r>
      <w:r w:rsidR="00573E17">
        <w:rPr>
          <w:lang w:val="fr-FR"/>
        </w:rPr>
        <w:t>’</w:t>
      </w:r>
      <w:r w:rsidR="00FF7065" w:rsidRPr="00470C8A">
        <w:rPr>
          <w:lang w:val="fr-FR"/>
        </w:rPr>
        <w:t xml:space="preserve">enregistrement issu de la demande de base </w:t>
      </w:r>
      <w:r w:rsidR="00AF68FC" w:rsidRPr="00470C8A">
        <w:rPr>
          <w:lang w:val="fr-FR"/>
        </w:rPr>
        <w:t>a fait l</w:t>
      </w:r>
      <w:r w:rsidR="00573E17">
        <w:rPr>
          <w:lang w:val="fr-FR"/>
        </w:rPr>
        <w:t>’</w:t>
      </w:r>
      <w:r w:rsidR="00AF68FC" w:rsidRPr="00470C8A">
        <w:rPr>
          <w:lang w:val="fr-FR"/>
        </w:rPr>
        <w:t>objet d</w:t>
      </w:r>
      <w:r w:rsidR="00573E17">
        <w:rPr>
          <w:lang w:val="fr-FR"/>
        </w:rPr>
        <w:t>’</w:t>
      </w:r>
      <w:r w:rsidR="00AF68FC" w:rsidRPr="00470C8A">
        <w:rPr>
          <w:lang w:val="fr-FR"/>
        </w:rPr>
        <w:t>une radiation, d</w:t>
      </w:r>
      <w:r w:rsidR="00573E17">
        <w:rPr>
          <w:lang w:val="fr-FR"/>
        </w:rPr>
        <w:t>’</w:t>
      </w:r>
      <w:r w:rsidR="00AF68FC" w:rsidRPr="00470C8A">
        <w:rPr>
          <w:lang w:val="fr-FR"/>
        </w:rPr>
        <w:t>une renonciation</w:t>
      </w:r>
      <w:r w:rsidR="00FF7065" w:rsidRPr="00470C8A">
        <w:rPr>
          <w:lang w:val="fr-FR"/>
        </w:rPr>
        <w:t xml:space="preserve">, </w:t>
      </w:r>
      <w:r w:rsidR="00D7425A" w:rsidRPr="00470C8A">
        <w:rPr>
          <w:lang w:val="fr-FR"/>
        </w:rPr>
        <w:t>d</w:t>
      </w:r>
      <w:r w:rsidR="00573E17">
        <w:rPr>
          <w:lang w:val="fr-FR"/>
        </w:rPr>
        <w:t>’</w:t>
      </w:r>
      <w:r w:rsidR="00D7425A" w:rsidRPr="00470C8A">
        <w:rPr>
          <w:lang w:val="fr-FR"/>
        </w:rPr>
        <w:t>une révocation, d</w:t>
      </w:r>
      <w:r w:rsidR="00573E17">
        <w:rPr>
          <w:lang w:val="fr-FR"/>
        </w:rPr>
        <w:t>’</w:t>
      </w:r>
      <w:r w:rsidR="00D7425A" w:rsidRPr="00470C8A">
        <w:rPr>
          <w:lang w:val="fr-FR"/>
        </w:rPr>
        <w:t xml:space="preserve">une invalidation, </w:t>
      </w:r>
      <w:r w:rsidR="00FF7065" w:rsidRPr="00470C8A">
        <w:rPr>
          <w:lang w:val="fr-FR"/>
        </w:rPr>
        <w:t>ou a expiré</w:t>
      </w:r>
      <w:r w:rsidR="0037230E" w:rsidRPr="00470C8A">
        <w:rPr>
          <w:lang w:val="fr-FR"/>
        </w:rPr>
        <w:t>,</w:t>
      </w:r>
      <w:r w:rsidR="00FF7065" w:rsidRPr="00470C8A">
        <w:rPr>
          <w:lang w:val="fr-FR"/>
        </w:rPr>
        <w:t xml:space="preserve"> soit dans les cinq</w:t>
      </w:r>
      <w:r w:rsidR="00274D65">
        <w:rPr>
          <w:lang w:val="fr-FR"/>
        </w:rPr>
        <w:t> </w:t>
      </w:r>
      <w:r w:rsidR="00FF7065" w:rsidRPr="00470C8A">
        <w:rPr>
          <w:lang w:val="fr-FR"/>
        </w:rPr>
        <w:t xml:space="preserve">ans </w:t>
      </w:r>
      <w:r w:rsidR="00D7425A" w:rsidRPr="00470C8A">
        <w:rPr>
          <w:lang w:val="fr-FR"/>
        </w:rPr>
        <w:t>à compter de</w:t>
      </w:r>
      <w:r w:rsidR="00FF7065" w:rsidRPr="00470C8A">
        <w:rPr>
          <w:lang w:val="fr-FR"/>
        </w:rPr>
        <w:t xml:space="preserve"> la date de l</w:t>
      </w:r>
      <w:r w:rsidR="00573E17">
        <w:rPr>
          <w:lang w:val="fr-FR"/>
        </w:rPr>
        <w:t>’</w:t>
      </w:r>
      <w:r w:rsidR="00FF7065" w:rsidRPr="00470C8A">
        <w:rPr>
          <w:lang w:val="fr-FR"/>
        </w:rPr>
        <w:t xml:space="preserve">enregistrement international, </w:t>
      </w:r>
      <w:r w:rsidR="00D7425A" w:rsidRPr="00470C8A">
        <w:rPr>
          <w:lang w:val="fr-FR"/>
        </w:rPr>
        <w:t>soit à tout moment en raison d</w:t>
      </w:r>
      <w:r w:rsidR="00573E17">
        <w:rPr>
          <w:lang w:val="fr-FR"/>
        </w:rPr>
        <w:t>’</w:t>
      </w:r>
      <w:r w:rsidR="00D7425A" w:rsidRPr="00470C8A">
        <w:rPr>
          <w:lang w:val="fr-FR"/>
        </w:rPr>
        <w:t>actions</w:t>
      </w:r>
      <w:r w:rsidR="00FF7065" w:rsidRPr="00470C8A">
        <w:rPr>
          <w:lang w:val="fr-FR"/>
        </w:rPr>
        <w:t xml:space="preserve"> </w:t>
      </w:r>
      <w:r w:rsidR="00D7425A" w:rsidRPr="00470C8A">
        <w:rPr>
          <w:lang w:val="fr-FR"/>
        </w:rPr>
        <w:t>engagées</w:t>
      </w:r>
      <w:r w:rsidR="00FF7065" w:rsidRPr="00470C8A">
        <w:rPr>
          <w:lang w:val="fr-FR"/>
        </w:rPr>
        <w:t xml:space="preserve"> </w:t>
      </w:r>
      <w:r w:rsidR="00D7425A" w:rsidRPr="00470C8A">
        <w:rPr>
          <w:lang w:val="fr-FR"/>
        </w:rPr>
        <w:t>au</w:t>
      </w:r>
      <w:r w:rsidR="00DD1A0A">
        <w:rPr>
          <w:lang w:val="fr-FR"/>
        </w:rPr>
        <w:t> </w:t>
      </w:r>
      <w:r w:rsidR="00D7425A" w:rsidRPr="00470C8A">
        <w:rPr>
          <w:lang w:val="fr-FR"/>
        </w:rPr>
        <w:t>cours de la période</w:t>
      </w:r>
      <w:r w:rsidR="00FF7065" w:rsidRPr="00470C8A">
        <w:rPr>
          <w:lang w:val="fr-FR"/>
        </w:rPr>
        <w:t xml:space="preserve"> de cinq</w:t>
      </w:r>
      <w:r w:rsidR="00274D65">
        <w:rPr>
          <w:lang w:val="fr-FR"/>
        </w:rPr>
        <w:t> </w:t>
      </w:r>
      <w:r w:rsidR="00FF7065" w:rsidRPr="00470C8A">
        <w:rPr>
          <w:lang w:val="fr-FR"/>
        </w:rPr>
        <w:t>a</w:t>
      </w:r>
      <w:r w:rsidR="005B5C19" w:rsidRPr="00470C8A">
        <w:rPr>
          <w:lang w:val="fr-FR"/>
        </w:rPr>
        <w:t>ns</w:t>
      </w:r>
      <w:r w:rsidR="005B5C19">
        <w:rPr>
          <w:lang w:val="fr-FR"/>
        </w:rPr>
        <w:t xml:space="preserve">.  </w:t>
      </w:r>
      <w:r w:rsidR="005B5C19" w:rsidRPr="00470C8A">
        <w:rPr>
          <w:lang w:val="fr-FR"/>
        </w:rPr>
        <w:t>Il</w:t>
      </w:r>
      <w:r w:rsidR="00FF7065" w:rsidRPr="00470C8A">
        <w:rPr>
          <w:lang w:val="fr-FR"/>
        </w:rPr>
        <w:t xml:space="preserve"> en va de même si la demande de base </w:t>
      </w:r>
      <w:r w:rsidR="00D7425A" w:rsidRPr="00470C8A">
        <w:rPr>
          <w:lang w:val="fr-FR"/>
        </w:rPr>
        <w:t xml:space="preserve">a </w:t>
      </w:r>
      <w:r w:rsidR="00FF7065" w:rsidRPr="00470C8A">
        <w:rPr>
          <w:lang w:val="fr-FR"/>
        </w:rPr>
        <w:t>fait l</w:t>
      </w:r>
      <w:r w:rsidR="00573E17">
        <w:rPr>
          <w:lang w:val="fr-FR"/>
        </w:rPr>
        <w:t>’</w:t>
      </w:r>
      <w:r w:rsidR="00FF7065" w:rsidRPr="00470C8A">
        <w:rPr>
          <w:lang w:val="fr-FR"/>
        </w:rPr>
        <w:t>objet d</w:t>
      </w:r>
      <w:r w:rsidR="00573E17">
        <w:rPr>
          <w:lang w:val="fr-FR"/>
        </w:rPr>
        <w:t>’</w:t>
      </w:r>
      <w:r w:rsidR="00FF7065" w:rsidRPr="00470C8A">
        <w:rPr>
          <w:lang w:val="fr-FR"/>
        </w:rPr>
        <w:t>une décision finale de rejet</w:t>
      </w:r>
      <w:r w:rsidR="00F53A24" w:rsidRPr="00470C8A">
        <w:rPr>
          <w:lang w:val="fr-FR"/>
        </w:rPr>
        <w:t>,</w:t>
      </w:r>
      <w:r w:rsidR="00FF7065" w:rsidRPr="00470C8A">
        <w:rPr>
          <w:lang w:val="fr-FR"/>
        </w:rPr>
        <w:t xml:space="preserve"> ou </w:t>
      </w:r>
      <w:r w:rsidR="00D7425A" w:rsidRPr="00470C8A">
        <w:rPr>
          <w:lang w:val="fr-FR"/>
        </w:rPr>
        <w:t>d</w:t>
      </w:r>
      <w:r w:rsidR="00573E17">
        <w:rPr>
          <w:lang w:val="fr-FR"/>
        </w:rPr>
        <w:t>’</w:t>
      </w:r>
      <w:r w:rsidR="00D7425A" w:rsidRPr="00470C8A">
        <w:rPr>
          <w:lang w:val="fr-FR"/>
        </w:rPr>
        <w:t>un retrait</w:t>
      </w:r>
      <w:r w:rsidR="0037230E" w:rsidRPr="00470C8A">
        <w:rPr>
          <w:lang w:val="fr-FR"/>
        </w:rPr>
        <w:t>,</w:t>
      </w:r>
      <w:r w:rsidR="00FF7065" w:rsidRPr="00470C8A">
        <w:rPr>
          <w:lang w:val="fr-FR"/>
        </w:rPr>
        <w:t xml:space="preserve"> soit au cours de cette période de cinq</w:t>
      </w:r>
      <w:r w:rsidR="00274D65">
        <w:rPr>
          <w:lang w:val="fr-FR"/>
        </w:rPr>
        <w:t> </w:t>
      </w:r>
      <w:r w:rsidR="00FF7065" w:rsidRPr="00470C8A">
        <w:rPr>
          <w:lang w:val="fr-FR"/>
        </w:rPr>
        <w:t>ans, soit à tout moment en raison d</w:t>
      </w:r>
      <w:r w:rsidR="00573E17">
        <w:rPr>
          <w:lang w:val="fr-FR"/>
        </w:rPr>
        <w:t>’</w:t>
      </w:r>
      <w:r w:rsidR="00FF7065" w:rsidRPr="00470C8A">
        <w:rPr>
          <w:lang w:val="fr-FR"/>
        </w:rPr>
        <w:t>actions engagées pendant cette période.</w:t>
      </w:r>
    </w:p>
    <w:p w:rsidR="00573E17" w:rsidRDefault="004C323F" w:rsidP="00495192">
      <w:pPr>
        <w:pStyle w:val="ONUMFS"/>
        <w:rPr>
          <w:lang w:val="fr-FR"/>
        </w:rPr>
      </w:pPr>
      <w:r w:rsidRPr="00470C8A">
        <w:rPr>
          <w:lang w:val="fr-FR"/>
        </w:rPr>
        <w:lastRenderedPageBreak/>
        <w:t>Il est important de noter que, en vertu de l</w:t>
      </w:r>
      <w:r w:rsidR="00573E17">
        <w:rPr>
          <w:lang w:val="fr-FR"/>
        </w:rPr>
        <w:t>’</w:t>
      </w:r>
      <w:r w:rsidR="00573E17" w:rsidRPr="00470C8A">
        <w:rPr>
          <w:lang w:val="fr-FR"/>
        </w:rPr>
        <w:t>article</w:t>
      </w:r>
      <w:r w:rsidR="00573E17">
        <w:rPr>
          <w:lang w:val="fr-FR"/>
        </w:rPr>
        <w:t> </w:t>
      </w:r>
      <w:r w:rsidR="00573E17" w:rsidRPr="00470C8A">
        <w:rPr>
          <w:lang w:val="fr-FR"/>
        </w:rPr>
        <w:t>6</w:t>
      </w:r>
      <w:r w:rsidRPr="00470C8A">
        <w:rPr>
          <w:lang w:val="fr-FR"/>
        </w:rPr>
        <w:t>.3) du Protocole,</w:t>
      </w:r>
      <w:r w:rsidR="00816572" w:rsidRPr="00470C8A">
        <w:rPr>
          <w:lang w:val="fr-FR"/>
        </w:rPr>
        <w:t xml:space="preserve"> </w:t>
      </w:r>
      <w:r w:rsidRPr="00470C8A">
        <w:rPr>
          <w:lang w:val="fr-FR"/>
        </w:rPr>
        <w:t>les effets sur l</w:t>
      </w:r>
      <w:r w:rsidR="00573E17">
        <w:rPr>
          <w:lang w:val="fr-FR"/>
        </w:rPr>
        <w:t>’</w:t>
      </w:r>
      <w:r w:rsidRPr="00470C8A">
        <w:rPr>
          <w:lang w:val="fr-FR"/>
        </w:rPr>
        <w:t>enregistrement international</w:t>
      </w:r>
      <w:r w:rsidR="008562F3" w:rsidRPr="00470C8A">
        <w:rPr>
          <w:lang w:val="fr-FR"/>
        </w:rPr>
        <w:t xml:space="preserve"> </w:t>
      </w:r>
      <w:r w:rsidRPr="00470C8A">
        <w:rPr>
          <w:lang w:val="fr-FR"/>
        </w:rPr>
        <w:t>de la</w:t>
      </w:r>
      <w:r w:rsidR="00816572" w:rsidRPr="00470C8A">
        <w:rPr>
          <w:lang w:val="fr-FR"/>
        </w:rPr>
        <w:t xml:space="preserve"> </w:t>
      </w:r>
      <w:r w:rsidR="007A111B" w:rsidRPr="00470C8A">
        <w:rPr>
          <w:lang w:val="fr-FR"/>
        </w:rPr>
        <w:t xml:space="preserve">cessation des effets de la marque de base </w:t>
      </w:r>
      <w:r w:rsidRPr="00470C8A">
        <w:rPr>
          <w:lang w:val="fr-FR"/>
        </w:rPr>
        <w:t>sont automatiqu</w:t>
      </w:r>
      <w:r w:rsidR="005B5C19" w:rsidRPr="00470C8A">
        <w:rPr>
          <w:lang w:val="fr-FR"/>
        </w:rPr>
        <w:t>es</w:t>
      </w:r>
      <w:r w:rsidR="005B5C19">
        <w:rPr>
          <w:lang w:val="fr-FR"/>
        </w:rPr>
        <w:t xml:space="preserve">.  </w:t>
      </w:r>
      <w:r w:rsidR="005B5C19" w:rsidRPr="00470C8A">
        <w:rPr>
          <w:lang w:val="fr-FR"/>
        </w:rPr>
        <w:t>La</w:t>
      </w:r>
      <w:r w:rsidRPr="00470C8A">
        <w:rPr>
          <w:lang w:val="fr-FR"/>
        </w:rPr>
        <w:t xml:space="preserve"> protection résultant de l</w:t>
      </w:r>
      <w:r w:rsidR="00573E17">
        <w:rPr>
          <w:lang w:val="fr-FR"/>
        </w:rPr>
        <w:t>’</w:t>
      </w:r>
      <w:r w:rsidRPr="00470C8A">
        <w:rPr>
          <w:lang w:val="fr-FR"/>
        </w:rPr>
        <w:t>enregistrement international</w:t>
      </w:r>
      <w:r w:rsidR="00816572" w:rsidRPr="00470C8A">
        <w:rPr>
          <w:lang w:val="fr-FR"/>
        </w:rPr>
        <w:t xml:space="preserve"> </w:t>
      </w:r>
      <w:r w:rsidR="0083203C" w:rsidRPr="00470C8A">
        <w:rPr>
          <w:lang w:val="fr-FR"/>
        </w:rPr>
        <w:t>devient inopérante</w:t>
      </w:r>
      <w:r w:rsidR="00816572" w:rsidRPr="00470C8A">
        <w:rPr>
          <w:lang w:val="fr-FR"/>
        </w:rPr>
        <w:t xml:space="preserve"> </w:t>
      </w:r>
      <w:r w:rsidR="00BE6844" w:rsidRPr="00470C8A">
        <w:rPr>
          <w:lang w:val="fr-FR"/>
        </w:rPr>
        <w:t>lorsque l</w:t>
      </w:r>
      <w:r w:rsidR="00573E17">
        <w:rPr>
          <w:lang w:val="fr-FR"/>
        </w:rPr>
        <w:t>’</w:t>
      </w:r>
      <w:r w:rsidR="00BE6844" w:rsidRPr="00470C8A">
        <w:rPr>
          <w:lang w:val="fr-FR"/>
        </w:rPr>
        <w:t>un des faits ou l</w:t>
      </w:r>
      <w:r w:rsidR="00573E17">
        <w:rPr>
          <w:lang w:val="fr-FR"/>
        </w:rPr>
        <w:t>’</w:t>
      </w:r>
      <w:r w:rsidR="00BE6844" w:rsidRPr="00470C8A">
        <w:rPr>
          <w:lang w:val="fr-FR"/>
        </w:rPr>
        <w:t xml:space="preserve">une des décisions mentionnés dans le ledit alinéa aboutit à la </w:t>
      </w:r>
      <w:r w:rsidR="007A111B" w:rsidRPr="00470C8A">
        <w:rPr>
          <w:lang w:val="fr-FR"/>
        </w:rPr>
        <w:t>cessation des effets de la marque de base</w:t>
      </w:r>
      <w:r w:rsidR="00816572" w:rsidRPr="00470C8A">
        <w:rPr>
          <w:lang w:val="fr-FR"/>
        </w:rPr>
        <w:t>.</w:t>
      </w:r>
    </w:p>
    <w:p w:rsidR="00573E17" w:rsidRDefault="00BE6844" w:rsidP="00495192">
      <w:pPr>
        <w:pStyle w:val="ONUMFS"/>
        <w:rPr>
          <w:lang w:val="fr-FR"/>
        </w:rPr>
      </w:pPr>
      <w:r w:rsidRPr="00470C8A">
        <w:rPr>
          <w:lang w:val="fr-FR"/>
        </w:rPr>
        <w:t>Selon l</w:t>
      </w:r>
      <w:r w:rsidR="00573E17">
        <w:rPr>
          <w:lang w:val="fr-FR"/>
        </w:rPr>
        <w:t>’</w:t>
      </w:r>
      <w:r w:rsidR="00573E17" w:rsidRPr="00470C8A">
        <w:rPr>
          <w:lang w:val="fr-FR"/>
        </w:rPr>
        <w:t>alinéa</w:t>
      </w:r>
      <w:r w:rsidR="00573E17">
        <w:rPr>
          <w:lang w:val="fr-FR"/>
        </w:rPr>
        <w:t> </w:t>
      </w:r>
      <w:r w:rsidR="00573E17" w:rsidRPr="00470C8A">
        <w:rPr>
          <w:lang w:val="fr-FR"/>
        </w:rPr>
        <w:t>4</w:t>
      </w:r>
      <w:r w:rsidRPr="00470C8A">
        <w:rPr>
          <w:lang w:val="fr-FR"/>
        </w:rPr>
        <w:t xml:space="preserve"> de l</w:t>
      </w:r>
      <w:r w:rsidR="00573E17">
        <w:rPr>
          <w:lang w:val="fr-FR"/>
        </w:rPr>
        <w:t>’</w:t>
      </w:r>
      <w:r w:rsidR="00573E17" w:rsidRPr="00470C8A">
        <w:rPr>
          <w:lang w:val="fr-FR"/>
        </w:rPr>
        <w:t>article</w:t>
      </w:r>
      <w:r w:rsidR="00573E17">
        <w:rPr>
          <w:lang w:val="fr-FR"/>
        </w:rPr>
        <w:t> </w:t>
      </w:r>
      <w:r w:rsidR="00573E17" w:rsidRPr="00470C8A">
        <w:rPr>
          <w:lang w:val="fr-FR"/>
        </w:rPr>
        <w:t>6</w:t>
      </w:r>
      <w:r w:rsidR="00816572" w:rsidRPr="00470C8A">
        <w:rPr>
          <w:lang w:val="fr-FR"/>
        </w:rPr>
        <w:t xml:space="preserve">, </w:t>
      </w:r>
      <w:r w:rsidR="009B3AE1" w:rsidRPr="00470C8A">
        <w:rPr>
          <w:lang w:val="fr-FR"/>
        </w:rPr>
        <w:t>l</w:t>
      </w:r>
      <w:r w:rsidR="00573E17">
        <w:rPr>
          <w:lang w:val="fr-FR"/>
        </w:rPr>
        <w:t>’</w:t>
      </w:r>
      <w:r w:rsidR="009B3AE1" w:rsidRPr="00470C8A">
        <w:rPr>
          <w:lang w:val="fr-FR"/>
        </w:rPr>
        <w:t>office d</w:t>
      </w:r>
      <w:r w:rsidR="00573E17">
        <w:rPr>
          <w:lang w:val="fr-FR"/>
        </w:rPr>
        <w:t>’</w:t>
      </w:r>
      <w:r w:rsidR="009B3AE1" w:rsidRPr="00470C8A">
        <w:rPr>
          <w:lang w:val="fr-FR"/>
        </w:rPr>
        <w:t xml:space="preserve">origine doit notifier au Bureau international les faits </w:t>
      </w:r>
      <w:r w:rsidR="0083203C" w:rsidRPr="00470C8A">
        <w:rPr>
          <w:lang w:val="fr-FR"/>
        </w:rPr>
        <w:t>ou</w:t>
      </w:r>
      <w:r w:rsidR="009B3AE1" w:rsidRPr="00470C8A">
        <w:rPr>
          <w:lang w:val="fr-FR"/>
        </w:rPr>
        <w:t xml:space="preserve"> décisions mentionnés à l</w:t>
      </w:r>
      <w:r w:rsidR="00573E17">
        <w:rPr>
          <w:lang w:val="fr-FR"/>
        </w:rPr>
        <w:t>’</w:t>
      </w:r>
      <w:r w:rsidR="00573E17" w:rsidRPr="00470C8A">
        <w:rPr>
          <w:lang w:val="fr-FR"/>
        </w:rPr>
        <w:t>alinéa</w:t>
      </w:r>
      <w:r w:rsidR="00573E17">
        <w:rPr>
          <w:lang w:val="fr-FR"/>
        </w:rPr>
        <w:t> </w:t>
      </w:r>
      <w:r w:rsidR="00573E17" w:rsidRPr="00470C8A">
        <w:rPr>
          <w:lang w:val="fr-FR"/>
        </w:rPr>
        <w:t>3</w:t>
      </w:r>
      <w:r w:rsidR="009B3AE1" w:rsidRPr="00470C8A">
        <w:rPr>
          <w:lang w:val="fr-FR"/>
        </w:rPr>
        <w:t xml:space="preserve"> du même article et demander la radiation totale ou partielle de l</w:t>
      </w:r>
      <w:r w:rsidR="00573E17">
        <w:rPr>
          <w:lang w:val="fr-FR"/>
        </w:rPr>
        <w:t>’</w:t>
      </w:r>
      <w:r w:rsidR="009B3AE1" w:rsidRPr="00470C8A">
        <w:rPr>
          <w:lang w:val="fr-FR"/>
        </w:rPr>
        <w:t>enregistrement international, selon le cas</w:t>
      </w:r>
      <w:r w:rsidR="00816572" w:rsidRPr="00470C8A">
        <w:rPr>
          <w:lang w:val="fr-FR"/>
        </w:rPr>
        <w:t>.</w:t>
      </w:r>
    </w:p>
    <w:p w:rsidR="00573E17" w:rsidRDefault="009B3AE1" w:rsidP="00495192">
      <w:pPr>
        <w:pStyle w:val="ONUMFS"/>
        <w:rPr>
          <w:lang w:val="fr-FR"/>
        </w:rPr>
      </w:pPr>
      <w:r w:rsidRPr="00470C8A">
        <w:rPr>
          <w:lang w:val="fr-FR"/>
        </w:rPr>
        <w:t>Lorsque l</w:t>
      </w:r>
      <w:r w:rsidR="00573E17">
        <w:rPr>
          <w:lang w:val="fr-FR"/>
        </w:rPr>
        <w:t>’</w:t>
      </w:r>
      <w:r w:rsidRPr="00470C8A">
        <w:rPr>
          <w:lang w:val="fr-FR"/>
        </w:rPr>
        <w:t xml:space="preserve">Arrangement de Madrid a été adopté </w:t>
      </w:r>
      <w:r w:rsidR="00573E17" w:rsidRPr="00470C8A">
        <w:rPr>
          <w:lang w:val="fr-FR"/>
        </w:rPr>
        <w:t>en</w:t>
      </w:r>
      <w:r w:rsidR="00573E17">
        <w:rPr>
          <w:lang w:val="fr-FR"/>
        </w:rPr>
        <w:t> </w:t>
      </w:r>
      <w:r w:rsidR="00573E17" w:rsidRPr="00470C8A">
        <w:rPr>
          <w:lang w:val="fr-FR"/>
        </w:rPr>
        <w:t>1891</w:t>
      </w:r>
      <w:r w:rsidRPr="00470C8A">
        <w:rPr>
          <w:lang w:val="fr-FR"/>
        </w:rPr>
        <w:t>, la dépendance était perpétuel</w:t>
      </w:r>
      <w:r w:rsidR="005B5C19" w:rsidRPr="00470C8A">
        <w:rPr>
          <w:lang w:val="fr-FR"/>
        </w:rPr>
        <w:t>le</w:t>
      </w:r>
      <w:r w:rsidR="005B5C19">
        <w:rPr>
          <w:lang w:val="fr-FR"/>
        </w:rPr>
        <w:t xml:space="preserve">.  </w:t>
      </w:r>
      <w:r w:rsidR="005B5C19" w:rsidRPr="00470C8A">
        <w:rPr>
          <w:lang w:val="fr-FR"/>
        </w:rPr>
        <w:t>Lo</w:t>
      </w:r>
      <w:r w:rsidRPr="00470C8A">
        <w:rPr>
          <w:lang w:val="fr-FR"/>
        </w:rPr>
        <w:t xml:space="preserve">rs de la </w:t>
      </w:r>
      <w:r w:rsidR="00D103BD" w:rsidRPr="00470C8A">
        <w:rPr>
          <w:lang w:val="fr-FR"/>
        </w:rPr>
        <w:t>c</w:t>
      </w:r>
      <w:r w:rsidRPr="00470C8A">
        <w:rPr>
          <w:lang w:val="fr-FR"/>
        </w:rPr>
        <w:t>onférence diplomatique de Nice</w:t>
      </w:r>
      <w:r w:rsidR="00FE3F35" w:rsidRPr="00470C8A">
        <w:rPr>
          <w:lang w:val="fr-FR"/>
        </w:rPr>
        <w:t xml:space="preserve">, </w:t>
      </w:r>
      <w:r w:rsidR="00D103BD" w:rsidRPr="00470C8A">
        <w:rPr>
          <w:lang w:val="fr-FR"/>
        </w:rPr>
        <w:t>en</w:t>
      </w:r>
      <w:r w:rsidR="00FE3F35" w:rsidRPr="00470C8A">
        <w:rPr>
          <w:lang w:val="fr-FR"/>
        </w:rPr>
        <w:t> </w:t>
      </w:r>
      <w:r w:rsidR="00816572" w:rsidRPr="00470C8A">
        <w:rPr>
          <w:lang w:val="fr-FR"/>
        </w:rPr>
        <w:t>1957,</w:t>
      </w:r>
      <w:r w:rsidR="00D103BD" w:rsidRPr="00470C8A">
        <w:rPr>
          <w:lang w:val="fr-FR"/>
        </w:rPr>
        <w:t xml:space="preserve"> il a été proposé que le principe</w:t>
      </w:r>
      <w:r w:rsidR="0083203C" w:rsidRPr="00470C8A">
        <w:rPr>
          <w:lang w:val="fr-FR"/>
        </w:rPr>
        <w:t xml:space="preserve"> de la dépendance soit </w:t>
      </w:r>
      <w:r w:rsidR="00D103BD" w:rsidRPr="00470C8A">
        <w:rPr>
          <w:lang w:val="fr-FR"/>
        </w:rPr>
        <w:t>aboli parce qu</w:t>
      </w:r>
      <w:r w:rsidR="00573E17">
        <w:rPr>
          <w:lang w:val="fr-FR"/>
        </w:rPr>
        <w:t>’</w:t>
      </w:r>
      <w:r w:rsidR="00D103BD" w:rsidRPr="00470C8A">
        <w:rPr>
          <w:lang w:val="fr-FR"/>
        </w:rPr>
        <w:t xml:space="preserve">il a été jugé </w:t>
      </w:r>
      <w:r w:rsidR="00F53A24" w:rsidRPr="00470C8A">
        <w:rPr>
          <w:lang w:val="fr-FR"/>
        </w:rPr>
        <w:t>in</w:t>
      </w:r>
      <w:r w:rsidR="00D103BD" w:rsidRPr="00470C8A">
        <w:rPr>
          <w:lang w:val="fr-FR"/>
        </w:rPr>
        <w:t>compatible avec l</w:t>
      </w:r>
      <w:r w:rsidR="00573E17">
        <w:rPr>
          <w:lang w:val="fr-FR"/>
        </w:rPr>
        <w:t>’</w:t>
      </w:r>
      <w:r w:rsidR="00573E17" w:rsidRPr="00470C8A">
        <w:rPr>
          <w:lang w:val="fr-FR"/>
        </w:rPr>
        <w:t>article</w:t>
      </w:r>
      <w:r w:rsidR="00573E17">
        <w:rPr>
          <w:lang w:val="fr-FR"/>
        </w:rPr>
        <w:t> </w:t>
      </w:r>
      <w:r w:rsidR="00573E17" w:rsidRPr="00470C8A">
        <w:rPr>
          <w:lang w:val="fr-FR"/>
        </w:rPr>
        <w:t>6</w:t>
      </w:r>
      <w:r w:rsidR="00D103BD" w:rsidRPr="00470C8A">
        <w:rPr>
          <w:lang w:val="fr-FR"/>
        </w:rPr>
        <w:t>.3) de la Convention de Paris pour la protection de la propriété industrielle</w:t>
      </w:r>
      <w:r w:rsidR="00EF395F" w:rsidRPr="00470C8A">
        <w:rPr>
          <w:rStyle w:val="FootnoteReference"/>
          <w:szCs w:val="22"/>
          <w:lang w:val="fr-FR"/>
        </w:rPr>
        <w:footnoteReference w:id="3"/>
      </w:r>
      <w:r w:rsidR="001D7503" w:rsidRPr="00470C8A">
        <w:rPr>
          <w:lang w:val="fr-FR"/>
        </w:rPr>
        <w:t>.  Cette proposition a été jugée trop radicale et la solution de compromis a été de limiter la dépendance à une période de cinq</w:t>
      </w:r>
      <w:r w:rsidR="00274D65">
        <w:rPr>
          <w:lang w:val="fr-FR"/>
        </w:rPr>
        <w:t> </w:t>
      </w:r>
      <w:r w:rsidR="001D7503" w:rsidRPr="00470C8A">
        <w:rPr>
          <w:lang w:val="fr-FR"/>
        </w:rPr>
        <w:t>a</w:t>
      </w:r>
      <w:r w:rsidR="005B5C19" w:rsidRPr="00470C8A">
        <w:rPr>
          <w:lang w:val="fr-FR"/>
        </w:rPr>
        <w:t>ns</w:t>
      </w:r>
      <w:r w:rsidR="005B5C19">
        <w:rPr>
          <w:lang w:val="fr-FR"/>
        </w:rPr>
        <w:t xml:space="preserve">.  </w:t>
      </w:r>
      <w:r w:rsidR="005B5C19" w:rsidRPr="00470C8A">
        <w:rPr>
          <w:lang w:val="fr-FR"/>
        </w:rPr>
        <w:t>Ce</w:t>
      </w:r>
      <w:r w:rsidR="001D7503" w:rsidRPr="00470C8A">
        <w:rPr>
          <w:lang w:val="fr-FR"/>
        </w:rPr>
        <w:t xml:space="preserve">tte solution visait à préserver les avantages </w:t>
      </w:r>
      <w:r w:rsidR="00D42428" w:rsidRPr="00470C8A">
        <w:rPr>
          <w:lang w:val="fr-FR"/>
        </w:rPr>
        <w:t>que présentait</w:t>
      </w:r>
      <w:r w:rsidR="001D7503" w:rsidRPr="00470C8A">
        <w:rPr>
          <w:lang w:val="fr-FR"/>
        </w:rPr>
        <w:t xml:space="preserve"> un mécanisme uniq</w:t>
      </w:r>
      <w:r w:rsidR="00D42428" w:rsidRPr="00470C8A">
        <w:rPr>
          <w:lang w:val="fr-FR"/>
        </w:rPr>
        <w:t>ue d</w:t>
      </w:r>
      <w:r w:rsidR="00573E17">
        <w:rPr>
          <w:lang w:val="fr-FR"/>
        </w:rPr>
        <w:t>’</w:t>
      </w:r>
      <w:r w:rsidR="00D42428" w:rsidRPr="00470C8A">
        <w:rPr>
          <w:lang w:val="fr-FR"/>
        </w:rPr>
        <w:t xml:space="preserve">attaque centrale </w:t>
      </w:r>
      <w:r w:rsidR="00CE59FB">
        <w:rPr>
          <w:lang w:val="fr-FR"/>
        </w:rPr>
        <w:t>conciliant</w:t>
      </w:r>
      <w:r w:rsidR="001D7503" w:rsidRPr="00470C8A">
        <w:rPr>
          <w:lang w:val="fr-FR"/>
        </w:rPr>
        <w:t xml:space="preserve"> les intérêts des titulaires de droits et </w:t>
      </w:r>
      <w:r w:rsidR="00CE59FB">
        <w:rPr>
          <w:lang w:val="fr-FR"/>
        </w:rPr>
        <w:t>ceux d</w:t>
      </w:r>
      <w:r w:rsidR="001D7503" w:rsidRPr="00470C8A">
        <w:rPr>
          <w:lang w:val="fr-FR"/>
        </w:rPr>
        <w:t>es tiers</w:t>
      </w:r>
      <w:r w:rsidR="00816572" w:rsidRPr="00470C8A">
        <w:rPr>
          <w:rStyle w:val="FootnoteReference"/>
          <w:szCs w:val="22"/>
          <w:lang w:val="fr-FR"/>
        </w:rPr>
        <w:footnoteReference w:id="4"/>
      </w:r>
      <w:r w:rsidR="00816572" w:rsidRPr="00470C8A">
        <w:rPr>
          <w:lang w:val="fr-FR"/>
        </w:rPr>
        <w:t>.</w:t>
      </w:r>
    </w:p>
    <w:p w:rsidR="00573E17" w:rsidRDefault="00B3635D" w:rsidP="0087445B">
      <w:pPr>
        <w:pStyle w:val="ONUMFS"/>
        <w:spacing w:after="0"/>
        <w:rPr>
          <w:lang w:val="fr-FR"/>
        </w:rPr>
      </w:pPr>
      <w:r w:rsidRPr="00470C8A">
        <w:rPr>
          <w:lang w:val="fr-FR"/>
        </w:rPr>
        <w:t>Le Protocole a encore a</w:t>
      </w:r>
      <w:r w:rsidR="002C3A32" w:rsidRPr="00470C8A">
        <w:rPr>
          <w:lang w:val="fr-FR"/>
        </w:rPr>
        <w:t>tténué</w:t>
      </w:r>
      <w:r w:rsidRPr="00470C8A">
        <w:rPr>
          <w:lang w:val="fr-FR"/>
        </w:rPr>
        <w:t xml:space="preserve"> les conséquences de la dépendance en introduisant la possibilité d</w:t>
      </w:r>
      <w:r w:rsidR="00573E17">
        <w:rPr>
          <w:lang w:val="fr-FR"/>
        </w:rPr>
        <w:t>’</w:t>
      </w:r>
      <w:r w:rsidRPr="00470C8A">
        <w:rPr>
          <w:lang w:val="fr-FR"/>
        </w:rPr>
        <w:t xml:space="preserve">une </w:t>
      </w:r>
      <w:r w:rsidR="00816572" w:rsidRPr="00470C8A">
        <w:rPr>
          <w:lang w:val="fr-FR"/>
        </w:rPr>
        <w:t>transformati</w:t>
      </w:r>
      <w:r w:rsidR="005B5C19" w:rsidRPr="00470C8A">
        <w:rPr>
          <w:lang w:val="fr-FR"/>
        </w:rPr>
        <w:t>on</w:t>
      </w:r>
      <w:r w:rsidR="005B5C19">
        <w:rPr>
          <w:lang w:val="fr-FR"/>
        </w:rPr>
        <w:t xml:space="preserve">.  </w:t>
      </w:r>
      <w:r w:rsidR="005B5C19" w:rsidRPr="00470C8A">
        <w:rPr>
          <w:lang w:val="fr-FR"/>
        </w:rPr>
        <w:t>En</w:t>
      </w:r>
      <w:r w:rsidR="00D42428" w:rsidRPr="00470C8A">
        <w:rPr>
          <w:lang w:val="fr-FR"/>
        </w:rPr>
        <w:t xml:space="preserve"> vertu de l</w:t>
      </w:r>
      <w:r w:rsidR="00573E17">
        <w:rPr>
          <w:lang w:val="fr-FR"/>
        </w:rPr>
        <w:t>’</w:t>
      </w:r>
      <w:r w:rsidRPr="00470C8A">
        <w:rPr>
          <w:lang w:val="fr-FR"/>
        </w:rPr>
        <w:t>a</w:t>
      </w:r>
      <w:r w:rsidR="00FE3F35" w:rsidRPr="00470C8A">
        <w:rPr>
          <w:lang w:val="fr-FR"/>
        </w:rPr>
        <w:t>rticle </w:t>
      </w:r>
      <w:r w:rsidR="00816572" w:rsidRPr="00470C8A">
        <w:rPr>
          <w:lang w:val="fr-FR"/>
        </w:rPr>
        <w:t>9</w:t>
      </w:r>
      <w:r w:rsidR="00816572" w:rsidRPr="00470C8A">
        <w:rPr>
          <w:i/>
          <w:lang w:val="fr-FR"/>
        </w:rPr>
        <w:t>quinquies</w:t>
      </w:r>
      <w:r w:rsidR="001A3D2E">
        <w:rPr>
          <w:lang w:val="fr-FR"/>
        </w:rPr>
        <w:t xml:space="preserve"> dudit Protocole</w:t>
      </w:r>
      <w:r w:rsidR="00816572" w:rsidRPr="00470C8A">
        <w:rPr>
          <w:lang w:val="fr-FR"/>
        </w:rPr>
        <w:t xml:space="preserve">, </w:t>
      </w:r>
      <w:r w:rsidR="00C46B2A" w:rsidRPr="00470C8A">
        <w:rPr>
          <w:lang w:val="fr-FR"/>
        </w:rPr>
        <w:t>le titulaire d</w:t>
      </w:r>
      <w:r w:rsidR="00573E17">
        <w:rPr>
          <w:lang w:val="fr-FR"/>
        </w:rPr>
        <w:t>’</w:t>
      </w:r>
      <w:r w:rsidR="00C46B2A" w:rsidRPr="00470C8A">
        <w:rPr>
          <w:lang w:val="fr-FR"/>
        </w:rPr>
        <w:t>un enregistrement international</w:t>
      </w:r>
      <w:r w:rsidR="00816572" w:rsidRPr="00470C8A">
        <w:rPr>
          <w:lang w:val="fr-FR"/>
        </w:rPr>
        <w:t xml:space="preserve"> </w:t>
      </w:r>
      <w:r w:rsidR="00C46B2A" w:rsidRPr="00470C8A">
        <w:rPr>
          <w:lang w:val="fr-FR"/>
        </w:rPr>
        <w:t>radié en raison d</w:t>
      </w:r>
      <w:r w:rsidR="00573E17">
        <w:rPr>
          <w:lang w:val="fr-FR"/>
        </w:rPr>
        <w:t>’</w:t>
      </w:r>
      <w:r w:rsidR="00C46B2A" w:rsidRPr="00470C8A">
        <w:rPr>
          <w:lang w:val="fr-FR"/>
        </w:rPr>
        <w:t xml:space="preserve">une notification </w:t>
      </w:r>
      <w:r w:rsidR="00D42428" w:rsidRPr="00470C8A">
        <w:rPr>
          <w:lang w:val="fr-FR"/>
        </w:rPr>
        <w:t>au titre</w:t>
      </w:r>
      <w:r w:rsidR="00C46B2A" w:rsidRPr="00470C8A">
        <w:rPr>
          <w:lang w:val="fr-FR"/>
        </w:rPr>
        <w:t xml:space="preserve"> de l</w:t>
      </w:r>
      <w:r w:rsidR="00573E17">
        <w:rPr>
          <w:lang w:val="fr-FR"/>
        </w:rPr>
        <w:t>’</w:t>
      </w:r>
      <w:r w:rsidR="00573E17" w:rsidRPr="00470C8A">
        <w:rPr>
          <w:lang w:val="fr-FR"/>
        </w:rPr>
        <w:t>article</w:t>
      </w:r>
      <w:r w:rsidR="00573E17">
        <w:rPr>
          <w:lang w:val="fr-FR"/>
        </w:rPr>
        <w:t> </w:t>
      </w:r>
      <w:r w:rsidR="00573E17" w:rsidRPr="00470C8A">
        <w:rPr>
          <w:lang w:val="fr-FR"/>
        </w:rPr>
        <w:t>6</w:t>
      </w:r>
      <w:r w:rsidR="00C46B2A" w:rsidRPr="00470C8A">
        <w:rPr>
          <w:lang w:val="fr-FR"/>
        </w:rPr>
        <w:t>.4)</w:t>
      </w:r>
      <w:r w:rsidR="00816572" w:rsidRPr="00470C8A">
        <w:rPr>
          <w:lang w:val="fr-FR"/>
        </w:rPr>
        <w:t xml:space="preserve"> </w:t>
      </w:r>
      <w:r w:rsidR="00C46B2A" w:rsidRPr="00470C8A">
        <w:rPr>
          <w:lang w:val="fr-FR"/>
        </w:rPr>
        <w:t>peut déposer une demande</w:t>
      </w:r>
      <w:r w:rsidR="00D42428" w:rsidRPr="00470C8A">
        <w:rPr>
          <w:lang w:val="fr-FR"/>
        </w:rPr>
        <w:t xml:space="preserve"> d</w:t>
      </w:r>
      <w:r w:rsidR="00573E17">
        <w:rPr>
          <w:lang w:val="fr-FR"/>
        </w:rPr>
        <w:t>’</w:t>
      </w:r>
      <w:r w:rsidR="00D42428" w:rsidRPr="00470C8A">
        <w:rPr>
          <w:lang w:val="fr-FR"/>
        </w:rPr>
        <w:t>enregistrement</w:t>
      </w:r>
      <w:r w:rsidR="00C46B2A" w:rsidRPr="00470C8A">
        <w:rPr>
          <w:lang w:val="fr-FR"/>
        </w:rPr>
        <w:t xml:space="preserve"> auprès de l</w:t>
      </w:r>
      <w:r w:rsidR="00573E17">
        <w:rPr>
          <w:lang w:val="fr-FR"/>
        </w:rPr>
        <w:t>’</w:t>
      </w:r>
      <w:r w:rsidR="00C46B2A" w:rsidRPr="00470C8A">
        <w:rPr>
          <w:lang w:val="fr-FR"/>
        </w:rPr>
        <w:t>office de toute partie contractante désignée dans un délai de trois</w:t>
      </w:r>
      <w:r w:rsidR="00274D65">
        <w:rPr>
          <w:lang w:val="fr-FR"/>
        </w:rPr>
        <w:t> </w:t>
      </w:r>
      <w:r w:rsidR="00C46B2A" w:rsidRPr="00470C8A">
        <w:rPr>
          <w:lang w:val="fr-FR"/>
        </w:rPr>
        <w:t>mois à compter de la date de la radiati</w:t>
      </w:r>
      <w:r w:rsidR="005B5C19" w:rsidRPr="00470C8A">
        <w:rPr>
          <w:lang w:val="fr-FR"/>
        </w:rPr>
        <w:t>on</w:t>
      </w:r>
      <w:r w:rsidR="005B5C19">
        <w:rPr>
          <w:lang w:val="fr-FR"/>
        </w:rPr>
        <w:t xml:space="preserve">.  </w:t>
      </w:r>
      <w:r w:rsidR="005B5C19" w:rsidRPr="00470C8A">
        <w:rPr>
          <w:lang w:val="fr-FR"/>
        </w:rPr>
        <w:t>Ce</w:t>
      </w:r>
      <w:r w:rsidR="00C46B2A" w:rsidRPr="00470C8A">
        <w:rPr>
          <w:lang w:val="fr-FR"/>
        </w:rPr>
        <w:t>tte demande doit être traitée comme si elle avait été déposée à la date de l</w:t>
      </w:r>
      <w:r w:rsidR="00573E17">
        <w:rPr>
          <w:lang w:val="fr-FR"/>
        </w:rPr>
        <w:t>’</w:t>
      </w:r>
      <w:r w:rsidR="00C46B2A" w:rsidRPr="00470C8A">
        <w:rPr>
          <w:lang w:val="fr-FR"/>
        </w:rPr>
        <w:t>enregistrement international radié ou à la date d</w:t>
      </w:r>
      <w:r w:rsidR="00573E17">
        <w:rPr>
          <w:lang w:val="fr-FR"/>
        </w:rPr>
        <w:t>’</w:t>
      </w:r>
      <w:r w:rsidR="00C46B2A" w:rsidRPr="00470C8A">
        <w:rPr>
          <w:lang w:val="fr-FR"/>
        </w:rPr>
        <w:t xml:space="preserve">inscription de la désignation </w:t>
      </w:r>
      <w:r w:rsidR="00237636" w:rsidRPr="00470C8A">
        <w:rPr>
          <w:lang w:val="fr-FR"/>
        </w:rPr>
        <w:t>postérieure</w:t>
      </w:r>
      <w:r w:rsidR="00C46B2A" w:rsidRPr="00470C8A">
        <w:rPr>
          <w:lang w:val="fr-FR"/>
        </w:rPr>
        <w:t>, selon le cas, et</w:t>
      </w:r>
      <w:r w:rsidR="00237636" w:rsidRPr="00470C8A">
        <w:rPr>
          <w:lang w:val="fr-FR"/>
        </w:rPr>
        <w:t xml:space="preserve"> </w:t>
      </w:r>
      <w:r w:rsidR="00C46B2A" w:rsidRPr="00470C8A">
        <w:rPr>
          <w:lang w:val="fr-FR"/>
        </w:rPr>
        <w:t>elle doit bénéficier</w:t>
      </w:r>
      <w:r w:rsidR="00237636" w:rsidRPr="00470C8A">
        <w:rPr>
          <w:lang w:val="fr-FR"/>
        </w:rPr>
        <w:t>, le cas échéant,</w:t>
      </w:r>
      <w:r w:rsidR="00C46B2A" w:rsidRPr="00470C8A">
        <w:rPr>
          <w:lang w:val="fr-FR"/>
        </w:rPr>
        <w:t xml:space="preserve"> de la même priorité</w:t>
      </w:r>
      <w:r w:rsidR="00816572" w:rsidRPr="00470C8A">
        <w:rPr>
          <w:lang w:val="fr-FR"/>
        </w:rPr>
        <w:t>.</w:t>
      </w:r>
    </w:p>
    <w:p w:rsidR="00504BB9" w:rsidRPr="00495192" w:rsidRDefault="00495192" w:rsidP="00495192">
      <w:pPr>
        <w:pStyle w:val="Heading1"/>
        <w:rPr>
          <w:lang w:val="fr-FR"/>
        </w:rPr>
      </w:pPr>
      <w:r w:rsidRPr="00495192">
        <w:rPr>
          <w:lang w:val="fr-FR"/>
        </w:rPr>
        <w:t>Discussions précédentes du groupe de travail sur la dépendance</w:t>
      </w:r>
    </w:p>
    <w:p w:rsidR="00504BB9" w:rsidRPr="00470C8A" w:rsidRDefault="00504BB9" w:rsidP="00470C8A">
      <w:pPr>
        <w:pStyle w:val="ListParagraph"/>
        <w:ind w:left="0"/>
        <w:rPr>
          <w:szCs w:val="22"/>
          <w:lang w:val="fr-FR"/>
        </w:rPr>
      </w:pPr>
    </w:p>
    <w:p w:rsidR="00573E17" w:rsidRDefault="00BD1339" w:rsidP="00495192">
      <w:pPr>
        <w:pStyle w:val="ONUMFS"/>
        <w:rPr>
          <w:lang w:val="fr-FR"/>
        </w:rPr>
      </w:pPr>
      <w:r w:rsidRPr="00470C8A">
        <w:rPr>
          <w:lang w:val="fr-FR"/>
        </w:rPr>
        <w:t>Le g</w:t>
      </w:r>
      <w:r w:rsidR="00237636" w:rsidRPr="00470C8A">
        <w:rPr>
          <w:lang w:val="fr-FR"/>
        </w:rPr>
        <w:t>roupe de travail a déjà débattu de la question de la dépendance</w:t>
      </w:r>
      <w:r w:rsidR="00816572" w:rsidRPr="00470C8A">
        <w:rPr>
          <w:lang w:val="fr-FR"/>
        </w:rPr>
        <w:t>,</w:t>
      </w:r>
      <w:r w:rsidR="00237636" w:rsidRPr="00470C8A">
        <w:rPr>
          <w:lang w:val="fr-FR"/>
        </w:rPr>
        <w:t xml:space="preserve"> </w:t>
      </w:r>
      <w:r w:rsidR="00D42428" w:rsidRPr="00470C8A">
        <w:rPr>
          <w:lang w:val="fr-FR"/>
        </w:rPr>
        <w:t xml:space="preserve">soit </w:t>
      </w:r>
      <w:r w:rsidR="00052D4E" w:rsidRPr="00470C8A">
        <w:rPr>
          <w:lang w:val="fr-FR"/>
        </w:rPr>
        <w:t>isolément, soit</w:t>
      </w:r>
      <w:r w:rsidR="00DD1A0A">
        <w:rPr>
          <w:lang w:val="fr-FR"/>
        </w:rPr>
        <w:t> </w:t>
      </w:r>
      <w:r w:rsidR="002C3A32" w:rsidRPr="00470C8A">
        <w:rPr>
          <w:lang w:val="fr-FR"/>
        </w:rPr>
        <w:t xml:space="preserve">dans le cadre des discussions sur </w:t>
      </w:r>
      <w:r w:rsidR="00D42428" w:rsidRPr="00470C8A">
        <w:rPr>
          <w:lang w:val="fr-FR"/>
        </w:rPr>
        <w:t xml:space="preserve">la </w:t>
      </w:r>
      <w:r w:rsidR="002C3A32" w:rsidRPr="00470C8A">
        <w:rPr>
          <w:lang w:val="fr-FR"/>
        </w:rPr>
        <w:t>suppression éventuelle de l</w:t>
      </w:r>
      <w:r w:rsidR="00573E17">
        <w:rPr>
          <w:lang w:val="fr-FR"/>
        </w:rPr>
        <w:t>’</w:t>
      </w:r>
      <w:r w:rsidR="002C3A32" w:rsidRPr="00470C8A">
        <w:rPr>
          <w:lang w:val="fr-FR"/>
        </w:rPr>
        <w:t xml:space="preserve">exigence </w:t>
      </w:r>
      <w:r w:rsidR="00052D4E" w:rsidRPr="00470C8A">
        <w:rPr>
          <w:lang w:val="fr-FR"/>
        </w:rPr>
        <w:t>d</w:t>
      </w:r>
      <w:r w:rsidR="00573E17">
        <w:rPr>
          <w:lang w:val="fr-FR"/>
        </w:rPr>
        <w:t>’</w:t>
      </w:r>
      <w:r w:rsidR="00052D4E" w:rsidRPr="00470C8A">
        <w:rPr>
          <w:lang w:val="fr-FR"/>
        </w:rPr>
        <w:t>une</w:t>
      </w:r>
      <w:r w:rsidR="002C3A32" w:rsidRPr="00470C8A">
        <w:rPr>
          <w:lang w:val="fr-FR"/>
        </w:rPr>
        <w:t xml:space="preserve"> marque de</w:t>
      </w:r>
      <w:r w:rsidR="00DD1A0A">
        <w:rPr>
          <w:lang w:val="fr-FR"/>
        </w:rPr>
        <w:t> </w:t>
      </w:r>
      <w:r w:rsidR="002C3A32" w:rsidRPr="00470C8A">
        <w:rPr>
          <w:lang w:val="fr-FR"/>
        </w:rPr>
        <w:t>base</w:t>
      </w:r>
      <w:r w:rsidR="00816572" w:rsidRPr="00470C8A">
        <w:rPr>
          <w:lang w:val="fr-FR"/>
        </w:rPr>
        <w:t>.</w:t>
      </w:r>
    </w:p>
    <w:p w:rsidR="00573E17" w:rsidRDefault="00972699" w:rsidP="00495192">
      <w:pPr>
        <w:pStyle w:val="ONUMFS"/>
        <w:rPr>
          <w:lang w:val="fr-FR"/>
        </w:rPr>
      </w:pPr>
      <w:r w:rsidRPr="00470C8A">
        <w:rPr>
          <w:lang w:val="fr-FR"/>
        </w:rPr>
        <w:t>À</w:t>
      </w:r>
      <w:r w:rsidR="00066B29" w:rsidRPr="00470C8A">
        <w:rPr>
          <w:lang w:val="fr-FR"/>
        </w:rPr>
        <w:t xml:space="preserve"> ses deuxième et sixième</w:t>
      </w:r>
      <w:r w:rsidR="00816572" w:rsidRPr="00470C8A">
        <w:rPr>
          <w:rStyle w:val="FootnoteReference"/>
          <w:szCs w:val="22"/>
          <w:lang w:val="fr-FR"/>
        </w:rPr>
        <w:footnoteReference w:id="5"/>
      </w:r>
      <w:r w:rsidR="00816572" w:rsidRPr="00470C8A">
        <w:rPr>
          <w:lang w:val="fr-FR"/>
        </w:rPr>
        <w:t xml:space="preserve"> sessions, </w:t>
      </w:r>
      <w:r w:rsidR="00E5464F" w:rsidRPr="00470C8A">
        <w:rPr>
          <w:lang w:val="fr-FR"/>
        </w:rPr>
        <w:t xml:space="preserve">le Groupe de travail </w:t>
      </w:r>
      <w:r w:rsidR="001D2807" w:rsidRPr="0026414C">
        <w:rPr>
          <w:i/>
          <w:lang w:val="fr-FR"/>
        </w:rPr>
        <w:t>ad hoc</w:t>
      </w:r>
      <w:r w:rsidR="001D2807">
        <w:rPr>
          <w:lang w:val="fr-FR"/>
        </w:rPr>
        <w:t xml:space="preserve"> </w:t>
      </w:r>
      <w:r w:rsidR="00E5464F" w:rsidRPr="00470C8A">
        <w:rPr>
          <w:lang w:val="fr-FR"/>
        </w:rPr>
        <w:t>sur le développement juridique du système de Madrid concernant l</w:t>
      </w:r>
      <w:r w:rsidR="00573E17">
        <w:rPr>
          <w:lang w:val="fr-FR"/>
        </w:rPr>
        <w:t>’</w:t>
      </w:r>
      <w:r w:rsidR="00E5464F" w:rsidRPr="00470C8A">
        <w:rPr>
          <w:lang w:val="fr-FR"/>
        </w:rPr>
        <w:t>enregistrement international des marques a examiné une “</w:t>
      </w:r>
      <w:r w:rsidR="00052D4E" w:rsidRPr="00470C8A">
        <w:rPr>
          <w:lang w:val="fr-FR"/>
        </w:rPr>
        <w:t>p</w:t>
      </w:r>
      <w:r w:rsidR="00E5464F" w:rsidRPr="00470C8A">
        <w:rPr>
          <w:lang w:val="fr-FR"/>
        </w:rPr>
        <w:t xml:space="preserve">roposition de la Norvège” visant à abolir </w:t>
      </w:r>
      <w:r w:rsidR="00066B29" w:rsidRPr="00470C8A">
        <w:rPr>
          <w:lang w:val="fr-FR"/>
        </w:rPr>
        <w:t>l</w:t>
      </w:r>
      <w:r w:rsidR="00573E17">
        <w:rPr>
          <w:lang w:val="fr-FR"/>
        </w:rPr>
        <w:t>’</w:t>
      </w:r>
      <w:r w:rsidR="00066B29" w:rsidRPr="00470C8A">
        <w:rPr>
          <w:lang w:val="fr-FR"/>
        </w:rPr>
        <w:t xml:space="preserve">exigence </w:t>
      </w:r>
      <w:r w:rsidR="0097628E" w:rsidRPr="00470C8A">
        <w:rPr>
          <w:lang w:val="fr-FR"/>
        </w:rPr>
        <w:t>d</w:t>
      </w:r>
      <w:r w:rsidR="00573E17">
        <w:rPr>
          <w:lang w:val="fr-FR"/>
        </w:rPr>
        <w:t>’</w:t>
      </w:r>
      <w:r w:rsidR="0097628E" w:rsidRPr="00470C8A">
        <w:rPr>
          <w:lang w:val="fr-FR"/>
        </w:rPr>
        <w:t>une</w:t>
      </w:r>
      <w:r w:rsidR="00066B29" w:rsidRPr="00470C8A">
        <w:rPr>
          <w:lang w:val="fr-FR"/>
        </w:rPr>
        <w:t xml:space="preserve"> marque de base qui, par voie de conséquence, aurait </w:t>
      </w:r>
      <w:r w:rsidR="00052D4E" w:rsidRPr="00470C8A">
        <w:rPr>
          <w:lang w:val="fr-FR"/>
        </w:rPr>
        <w:t>aboli</w:t>
      </w:r>
      <w:r w:rsidR="00066B29" w:rsidRPr="00470C8A">
        <w:rPr>
          <w:lang w:val="fr-FR"/>
        </w:rPr>
        <w:t xml:space="preserve"> la dépendance</w:t>
      </w:r>
      <w:r w:rsidR="00816572" w:rsidRPr="00470C8A">
        <w:rPr>
          <w:rStyle w:val="FootnoteReference"/>
          <w:szCs w:val="22"/>
          <w:lang w:val="fr-FR"/>
        </w:rPr>
        <w:footnoteReference w:id="6"/>
      </w:r>
      <w:r w:rsidR="00E5464F" w:rsidRPr="00470C8A">
        <w:rPr>
          <w:lang w:val="fr-FR"/>
        </w:rPr>
        <w:t>.  Une partie du débat a porté sur un</w:t>
      </w:r>
      <w:r w:rsidR="00816572" w:rsidRPr="00470C8A">
        <w:rPr>
          <w:lang w:val="fr-FR"/>
        </w:rPr>
        <w:t xml:space="preserve"> document </w:t>
      </w:r>
      <w:r w:rsidR="00E5464F" w:rsidRPr="00470C8A">
        <w:rPr>
          <w:lang w:val="fr-FR"/>
        </w:rPr>
        <w:t>établi par le Bureau international concernant des</w:t>
      </w:r>
      <w:r w:rsidR="00816572" w:rsidRPr="00470C8A">
        <w:rPr>
          <w:lang w:val="fr-FR"/>
        </w:rPr>
        <w:t xml:space="preserve"> </w:t>
      </w:r>
      <w:r w:rsidR="00E5464F" w:rsidRPr="00470C8A">
        <w:rPr>
          <w:lang w:val="fr-FR"/>
        </w:rPr>
        <w:t>considérations relatives à cette proposition</w:t>
      </w:r>
      <w:r w:rsidR="00816572" w:rsidRPr="00470C8A">
        <w:rPr>
          <w:rStyle w:val="FootnoteReference"/>
          <w:szCs w:val="22"/>
          <w:lang w:val="fr-FR"/>
        </w:rPr>
        <w:footnoteReference w:id="7"/>
      </w:r>
      <w:r w:rsidR="00816572" w:rsidRPr="00470C8A">
        <w:rPr>
          <w:lang w:val="fr-FR"/>
        </w:rPr>
        <w:t xml:space="preserve">, </w:t>
      </w:r>
      <w:r w:rsidR="00E64720">
        <w:rPr>
          <w:lang w:val="fr-FR"/>
        </w:rPr>
        <w:t>e</w:t>
      </w:r>
      <w:r w:rsidR="00816572" w:rsidRPr="00470C8A">
        <w:rPr>
          <w:lang w:val="fr-FR"/>
        </w:rPr>
        <w:t xml:space="preserve">n </w:t>
      </w:r>
      <w:r w:rsidR="00E5464F" w:rsidRPr="00470C8A">
        <w:rPr>
          <w:lang w:val="fr-FR"/>
        </w:rPr>
        <w:t>particulier</w:t>
      </w:r>
      <w:r w:rsidR="00816572" w:rsidRPr="00470C8A">
        <w:rPr>
          <w:lang w:val="fr-FR"/>
        </w:rPr>
        <w:t>,</w:t>
      </w:r>
      <w:r w:rsidR="00E5464F" w:rsidRPr="00470C8A">
        <w:rPr>
          <w:lang w:val="fr-FR"/>
        </w:rPr>
        <w:t xml:space="preserve"> les incidences</w:t>
      </w:r>
      <w:r w:rsidR="00BD1339" w:rsidRPr="00470C8A">
        <w:rPr>
          <w:lang w:val="fr-FR"/>
        </w:rPr>
        <w:t xml:space="preserve"> </w:t>
      </w:r>
      <w:r w:rsidR="00E5464F" w:rsidRPr="00470C8A">
        <w:rPr>
          <w:lang w:val="fr-FR"/>
        </w:rPr>
        <w:t xml:space="preserve">pour les tiers </w:t>
      </w:r>
      <w:r w:rsidR="00052D4E" w:rsidRPr="00470C8A">
        <w:rPr>
          <w:lang w:val="fr-FR"/>
        </w:rPr>
        <w:t>de</w:t>
      </w:r>
      <w:r w:rsidR="00BD1339" w:rsidRPr="00470C8A">
        <w:rPr>
          <w:lang w:val="fr-FR"/>
        </w:rPr>
        <w:t xml:space="preserve"> l</w:t>
      </w:r>
      <w:r w:rsidR="00573E17">
        <w:rPr>
          <w:lang w:val="fr-FR"/>
        </w:rPr>
        <w:t>’</w:t>
      </w:r>
      <w:r w:rsidR="00052D4E" w:rsidRPr="00470C8A">
        <w:rPr>
          <w:lang w:val="fr-FR"/>
        </w:rPr>
        <w:t>abolition</w:t>
      </w:r>
      <w:r w:rsidR="00BD1339" w:rsidRPr="00470C8A">
        <w:rPr>
          <w:lang w:val="fr-FR"/>
        </w:rPr>
        <w:t xml:space="preserve"> de </w:t>
      </w:r>
      <w:r w:rsidR="00052D4E" w:rsidRPr="00470C8A">
        <w:rPr>
          <w:lang w:val="fr-FR"/>
        </w:rPr>
        <w:t xml:space="preserve">la </w:t>
      </w:r>
      <w:r w:rsidR="00BD1339" w:rsidRPr="00470C8A">
        <w:rPr>
          <w:lang w:val="fr-FR"/>
        </w:rPr>
        <w:t>dépendance suite à</w:t>
      </w:r>
      <w:r w:rsidR="00DD1A0A">
        <w:rPr>
          <w:lang w:val="fr-FR"/>
        </w:rPr>
        <w:t> </w:t>
      </w:r>
      <w:r w:rsidR="00BD1339" w:rsidRPr="00470C8A">
        <w:rPr>
          <w:lang w:val="fr-FR"/>
        </w:rPr>
        <w:t>la suppression de l</w:t>
      </w:r>
      <w:r w:rsidR="00573E17">
        <w:rPr>
          <w:lang w:val="fr-FR"/>
        </w:rPr>
        <w:t>’</w:t>
      </w:r>
      <w:r w:rsidR="00BD1339" w:rsidRPr="00470C8A">
        <w:rPr>
          <w:lang w:val="fr-FR"/>
        </w:rPr>
        <w:t>exigence d</w:t>
      </w:r>
      <w:r w:rsidR="00573E17">
        <w:rPr>
          <w:lang w:val="fr-FR"/>
        </w:rPr>
        <w:t>’</w:t>
      </w:r>
      <w:r w:rsidR="00BD1339" w:rsidRPr="00470C8A">
        <w:rPr>
          <w:lang w:val="fr-FR"/>
        </w:rPr>
        <w:t>une marque de base</w:t>
      </w:r>
      <w:r w:rsidR="00816572" w:rsidRPr="00470C8A">
        <w:rPr>
          <w:lang w:val="fr-FR"/>
        </w:rPr>
        <w:t>.</w:t>
      </w:r>
    </w:p>
    <w:p w:rsidR="00573E17" w:rsidRDefault="00972699" w:rsidP="00495192">
      <w:pPr>
        <w:pStyle w:val="ONUMFS"/>
        <w:rPr>
          <w:lang w:val="fr-FR"/>
        </w:rPr>
      </w:pPr>
      <w:r w:rsidRPr="00470C8A">
        <w:rPr>
          <w:lang w:val="fr-FR"/>
        </w:rPr>
        <w:t>À</w:t>
      </w:r>
      <w:r w:rsidR="00BD1339" w:rsidRPr="00470C8A">
        <w:rPr>
          <w:lang w:val="fr-FR"/>
        </w:rPr>
        <w:t xml:space="preserve"> sa huit</w:t>
      </w:r>
      <w:r w:rsidR="00573E17">
        <w:rPr>
          <w:lang w:val="fr-FR"/>
        </w:rPr>
        <w:t>ième session</w:t>
      </w:r>
      <w:r w:rsidR="00816572" w:rsidRPr="00470C8A">
        <w:rPr>
          <w:lang w:val="fr-FR"/>
        </w:rPr>
        <w:t xml:space="preserve">, </w:t>
      </w:r>
      <w:r w:rsidR="00BD1339" w:rsidRPr="00470C8A">
        <w:rPr>
          <w:lang w:val="fr-FR"/>
        </w:rPr>
        <w:t>le</w:t>
      </w:r>
      <w:r w:rsidR="00816572" w:rsidRPr="00470C8A">
        <w:rPr>
          <w:lang w:val="fr-FR"/>
        </w:rPr>
        <w:t xml:space="preserve"> </w:t>
      </w:r>
      <w:r w:rsidR="00BD1339" w:rsidRPr="00470C8A">
        <w:rPr>
          <w:lang w:val="fr-FR"/>
        </w:rPr>
        <w:t>groupe de travail a examiné un document sur les mécanismes d</w:t>
      </w:r>
      <w:r w:rsidR="00573E17">
        <w:rPr>
          <w:lang w:val="fr-FR"/>
        </w:rPr>
        <w:t>’</w:t>
      </w:r>
      <w:r w:rsidR="00BD1339" w:rsidRPr="00470C8A">
        <w:rPr>
          <w:lang w:val="fr-FR"/>
        </w:rPr>
        <w:t>attaque centrale</w:t>
      </w:r>
      <w:r w:rsidR="00052D4E" w:rsidRPr="00470C8A">
        <w:rPr>
          <w:lang w:val="fr-FR"/>
        </w:rPr>
        <w:t xml:space="preserve"> </w:t>
      </w:r>
      <w:r w:rsidR="00BD1339" w:rsidRPr="00470C8A">
        <w:rPr>
          <w:lang w:val="fr-FR"/>
        </w:rPr>
        <w:t>possibles en l</w:t>
      </w:r>
      <w:r w:rsidR="00573E17">
        <w:rPr>
          <w:lang w:val="fr-FR"/>
        </w:rPr>
        <w:t>’</w:t>
      </w:r>
      <w:r w:rsidR="00BD1339" w:rsidRPr="00470C8A">
        <w:rPr>
          <w:lang w:val="fr-FR"/>
        </w:rPr>
        <w:t>absence d</w:t>
      </w:r>
      <w:r w:rsidR="00573E17">
        <w:rPr>
          <w:lang w:val="fr-FR"/>
        </w:rPr>
        <w:t>’</w:t>
      </w:r>
      <w:r w:rsidR="00BD1339" w:rsidRPr="00470C8A">
        <w:rPr>
          <w:lang w:val="fr-FR"/>
        </w:rPr>
        <w:t>une marque de base</w:t>
      </w:r>
      <w:r w:rsidR="00816572" w:rsidRPr="00470C8A">
        <w:rPr>
          <w:rStyle w:val="FootnoteReference"/>
          <w:szCs w:val="22"/>
          <w:lang w:val="fr-FR"/>
        </w:rPr>
        <w:footnoteReference w:id="8"/>
      </w:r>
      <w:r w:rsidR="00816572" w:rsidRPr="00470C8A">
        <w:rPr>
          <w:lang w:val="fr-FR"/>
        </w:rPr>
        <w:t xml:space="preserve">.  </w:t>
      </w:r>
      <w:r w:rsidRPr="00470C8A">
        <w:rPr>
          <w:lang w:val="fr-FR"/>
        </w:rPr>
        <w:t>Ce</w:t>
      </w:r>
      <w:r w:rsidR="00816572" w:rsidRPr="00470C8A">
        <w:rPr>
          <w:lang w:val="fr-FR"/>
        </w:rPr>
        <w:t xml:space="preserve"> document </w:t>
      </w:r>
      <w:r w:rsidRPr="00470C8A">
        <w:rPr>
          <w:lang w:val="fr-FR"/>
        </w:rPr>
        <w:t>qui traitait en profondeur de la dépendanc</w:t>
      </w:r>
      <w:r w:rsidR="00B53664" w:rsidRPr="00470C8A">
        <w:rPr>
          <w:lang w:val="fr-FR"/>
        </w:rPr>
        <w:t>e indiquait, en conclusion, que plus d</w:t>
      </w:r>
      <w:r w:rsidR="00573E17">
        <w:rPr>
          <w:lang w:val="fr-FR"/>
        </w:rPr>
        <w:t>’</w:t>
      </w:r>
      <w:r w:rsidR="00B53664" w:rsidRPr="00470C8A">
        <w:rPr>
          <w:lang w:val="fr-FR"/>
        </w:rPr>
        <w:t xml:space="preserve">informations et de discussions étaient nécessaires pour déterminer si le </w:t>
      </w:r>
      <w:r w:rsidR="003B4067" w:rsidRPr="00470C8A">
        <w:rPr>
          <w:lang w:val="fr-FR"/>
        </w:rPr>
        <w:t>mécanisme</w:t>
      </w:r>
      <w:r w:rsidR="00B53664" w:rsidRPr="00470C8A">
        <w:rPr>
          <w:lang w:val="fr-FR"/>
        </w:rPr>
        <w:t xml:space="preserve"> actuel d</w:t>
      </w:r>
      <w:r w:rsidR="00573E17">
        <w:rPr>
          <w:lang w:val="fr-FR"/>
        </w:rPr>
        <w:t>’</w:t>
      </w:r>
      <w:r w:rsidR="00B53664" w:rsidRPr="00470C8A">
        <w:rPr>
          <w:lang w:val="fr-FR"/>
        </w:rPr>
        <w:t xml:space="preserve">attaque centrale </w:t>
      </w:r>
      <w:r w:rsidRPr="00470C8A">
        <w:rPr>
          <w:lang w:val="fr-FR"/>
        </w:rPr>
        <w:t>établissait</w:t>
      </w:r>
      <w:r w:rsidR="00C84C47" w:rsidRPr="00470C8A">
        <w:rPr>
          <w:lang w:val="fr-FR"/>
        </w:rPr>
        <w:t xml:space="preserve"> un juste équilibre entre les intérêts des titulaires d</w:t>
      </w:r>
      <w:r w:rsidR="00573E17">
        <w:rPr>
          <w:lang w:val="fr-FR"/>
        </w:rPr>
        <w:t>’</w:t>
      </w:r>
      <w:r w:rsidR="00C84C47" w:rsidRPr="00470C8A">
        <w:rPr>
          <w:lang w:val="fr-FR"/>
        </w:rPr>
        <w:t>enregistrements internationaux et ceux des tiers</w:t>
      </w:r>
      <w:r w:rsidR="00816572" w:rsidRPr="00470C8A">
        <w:rPr>
          <w:lang w:val="fr-FR"/>
        </w:rPr>
        <w:t>.</w:t>
      </w:r>
    </w:p>
    <w:p w:rsidR="00573E17" w:rsidRDefault="00972699" w:rsidP="00495192">
      <w:pPr>
        <w:pStyle w:val="ONUMFS"/>
        <w:rPr>
          <w:lang w:val="fr-FR"/>
        </w:rPr>
      </w:pPr>
      <w:r w:rsidRPr="00470C8A">
        <w:rPr>
          <w:lang w:val="fr-FR"/>
        </w:rPr>
        <w:t>À</w:t>
      </w:r>
      <w:r w:rsidR="00BD1339" w:rsidRPr="00470C8A">
        <w:rPr>
          <w:lang w:val="fr-FR"/>
        </w:rPr>
        <w:t xml:space="preserve"> sa onz</w:t>
      </w:r>
      <w:r w:rsidR="00573E17">
        <w:rPr>
          <w:lang w:val="fr-FR"/>
        </w:rPr>
        <w:t>ième session</w:t>
      </w:r>
      <w:r w:rsidR="00816572" w:rsidRPr="00470C8A">
        <w:rPr>
          <w:lang w:val="fr-FR"/>
        </w:rPr>
        <w:t xml:space="preserve">, </w:t>
      </w:r>
      <w:r w:rsidR="00BD1339" w:rsidRPr="00470C8A">
        <w:rPr>
          <w:lang w:val="fr-FR"/>
        </w:rPr>
        <w:t>le groupe de travail a examiné un document</w:t>
      </w:r>
      <w:r w:rsidR="00816572" w:rsidRPr="00470C8A">
        <w:rPr>
          <w:lang w:val="fr-FR"/>
        </w:rPr>
        <w:t xml:space="preserve"> </w:t>
      </w:r>
      <w:r w:rsidR="00BD1339" w:rsidRPr="00470C8A">
        <w:rPr>
          <w:lang w:val="fr-FR"/>
        </w:rPr>
        <w:t>présentant les information</w:t>
      </w:r>
      <w:r w:rsidR="00B53664" w:rsidRPr="00470C8A">
        <w:rPr>
          <w:lang w:val="fr-FR"/>
        </w:rPr>
        <w:t>s fournies par les offices des p</w:t>
      </w:r>
      <w:r w:rsidR="00BD1339" w:rsidRPr="00470C8A">
        <w:rPr>
          <w:lang w:val="fr-FR"/>
        </w:rPr>
        <w:t xml:space="preserve">arties contractantes </w:t>
      </w:r>
      <w:r w:rsidR="00B53664" w:rsidRPr="00470C8A">
        <w:rPr>
          <w:lang w:val="fr-FR"/>
        </w:rPr>
        <w:t>du système de Madrid</w:t>
      </w:r>
      <w:r w:rsidR="00816572" w:rsidRPr="00470C8A">
        <w:rPr>
          <w:lang w:val="fr-FR"/>
        </w:rPr>
        <w:t xml:space="preserve"> </w:t>
      </w:r>
      <w:r w:rsidR="00B53664" w:rsidRPr="00470C8A">
        <w:rPr>
          <w:lang w:val="fr-FR"/>
        </w:rPr>
        <w:t>concernant la cessation des effets, l</w:t>
      </w:r>
      <w:r w:rsidR="00573E17">
        <w:rPr>
          <w:lang w:val="fr-FR"/>
        </w:rPr>
        <w:t>’</w:t>
      </w:r>
      <w:r w:rsidR="00B53664" w:rsidRPr="00470C8A">
        <w:rPr>
          <w:lang w:val="fr-FR"/>
        </w:rPr>
        <w:t>attaque centrale et la</w:t>
      </w:r>
      <w:r w:rsidR="00816572" w:rsidRPr="00470C8A">
        <w:rPr>
          <w:lang w:val="fr-FR"/>
        </w:rPr>
        <w:t xml:space="preserve"> transformation</w:t>
      </w:r>
      <w:r w:rsidR="00816572" w:rsidRPr="00470C8A">
        <w:rPr>
          <w:rStyle w:val="FootnoteReference"/>
          <w:szCs w:val="22"/>
          <w:lang w:val="fr-FR"/>
        </w:rPr>
        <w:footnoteReference w:id="9"/>
      </w:r>
      <w:r w:rsidR="00816572" w:rsidRPr="00470C8A">
        <w:rPr>
          <w:lang w:val="fr-FR"/>
        </w:rPr>
        <w:t>.</w:t>
      </w:r>
    </w:p>
    <w:p w:rsidR="00573E17" w:rsidRDefault="00972699" w:rsidP="00495192">
      <w:pPr>
        <w:pStyle w:val="ONUMFS"/>
        <w:rPr>
          <w:lang w:val="fr-FR"/>
        </w:rPr>
      </w:pPr>
      <w:r w:rsidRPr="00470C8A">
        <w:rPr>
          <w:lang w:val="fr-FR"/>
        </w:rPr>
        <w:t>À sa douz</w:t>
      </w:r>
      <w:r w:rsidR="00573E17">
        <w:rPr>
          <w:lang w:val="fr-FR"/>
        </w:rPr>
        <w:t>ième session</w:t>
      </w:r>
      <w:r w:rsidRPr="00470C8A">
        <w:rPr>
          <w:lang w:val="fr-FR"/>
        </w:rPr>
        <w:t xml:space="preserve">, le groupe de travail a examiné un document </w:t>
      </w:r>
      <w:r w:rsidR="00B53664" w:rsidRPr="00470C8A">
        <w:rPr>
          <w:lang w:val="fr-FR"/>
        </w:rPr>
        <w:t>proposant le gel de</w:t>
      </w:r>
      <w:r w:rsidR="003B5524">
        <w:rPr>
          <w:lang w:val="fr-FR"/>
        </w:rPr>
        <w:t> </w:t>
      </w:r>
      <w:r w:rsidR="00B53664" w:rsidRPr="00470C8A">
        <w:rPr>
          <w:lang w:val="fr-FR"/>
        </w:rPr>
        <w:t>l</w:t>
      </w:r>
      <w:r w:rsidR="00573E17">
        <w:rPr>
          <w:lang w:val="fr-FR"/>
        </w:rPr>
        <w:t>’</w:t>
      </w:r>
      <w:r w:rsidR="00B53664" w:rsidRPr="00470C8A">
        <w:rPr>
          <w:lang w:val="fr-FR"/>
        </w:rPr>
        <w:t>application des alinéas 2), 3) et 4) de l</w:t>
      </w:r>
      <w:r w:rsidR="00573E17">
        <w:rPr>
          <w:lang w:val="fr-FR"/>
        </w:rPr>
        <w:t>’</w:t>
      </w:r>
      <w:r w:rsidR="00B53664" w:rsidRPr="00470C8A">
        <w:rPr>
          <w:lang w:val="fr-FR"/>
        </w:rPr>
        <w:t>a</w:t>
      </w:r>
      <w:r w:rsidR="00384612" w:rsidRPr="00470C8A">
        <w:rPr>
          <w:lang w:val="fr-FR"/>
        </w:rPr>
        <w:t>rticle </w:t>
      </w:r>
      <w:r w:rsidR="00816572" w:rsidRPr="00470C8A">
        <w:rPr>
          <w:lang w:val="fr-FR"/>
        </w:rPr>
        <w:t xml:space="preserve">6 </w:t>
      </w:r>
      <w:r w:rsidR="00B53664" w:rsidRPr="00470C8A">
        <w:rPr>
          <w:lang w:val="fr-FR"/>
        </w:rPr>
        <w:t>de l</w:t>
      </w:r>
      <w:r w:rsidR="00573E17">
        <w:rPr>
          <w:lang w:val="fr-FR"/>
        </w:rPr>
        <w:t>’</w:t>
      </w:r>
      <w:r w:rsidR="00B53664" w:rsidRPr="00470C8A">
        <w:rPr>
          <w:lang w:val="fr-FR"/>
        </w:rPr>
        <w:t>Arrangement et du Protocole</w:t>
      </w:r>
      <w:r w:rsidR="00816572" w:rsidRPr="00470C8A">
        <w:rPr>
          <w:rStyle w:val="FootnoteReference"/>
          <w:szCs w:val="22"/>
          <w:lang w:val="fr-FR"/>
        </w:rPr>
        <w:footnoteReference w:id="10"/>
      </w:r>
      <w:r w:rsidR="00816572" w:rsidRPr="00470C8A">
        <w:rPr>
          <w:lang w:val="fr-FR"/>
        </w:rPr>
        <w:t>.</w:t>
      </w:r>
    </w:p>
    <w:p w:rsidR="00573E17" w:rsidRDefault="00972699" w:rsidP="0087445B">
      <w:pPr>
        <w:pStyle w:val="ONUMFS"/>
        <w:spacing w:after="0"/>
        <w:rPr>
          <w:lang w:val="fr-FR"/>
        </w:rPr>
      </w:pPr>
      <w:r w:rsidRPr="00470C8A">
        <w:rPr>
          <w:lang w:val="fr-FR"/>
        </w:rPr>
        <w:t>À sa treiz</w:t>
      </w:r>
      <w:r w:rsidR="00573E17">
        <w:rPr>
          <w:lang w:val="fr-FR"/>
        </w:rPr>
        <w:t>ième session</w:t>
      </w:r>
      <w:r w:rsidRPr="00470C8A">
        <w:rPr>
          <w:lang w:val="fr-FR"/>
        </w:rPr>
        <w:t>,</w:t>
      </w:r>
      <w:r w:rsidR="0005589E" w:rsidRPr="00470C8A">
        <w:rPr>
          <w:lang w:val="fr-FR"/>
        </w:rPr>
        <w:t xml:space="preserve"> le groupe de travail a examiné </w:t>
      </w:r>
      <w:r w:rsidR="00B53664" w:rsidRPr="00470C8A">
        <w:rPr>
          <w:lang w:val="fr-FR"/>
        </w:rPr>
        <w:t>les conclusions d</w:t>
      </w:r>
      <w:r w:rsidR="00573E17">
        <w:rPr>
          <w:lang w:val="fr-FR"/>
        </w:rPr>
        <w:t>’</w:t>
      </w:r>
      <w:r w:rsidR="00B53664" w:rsidRPr="00470C8A">
        <w:rPr>
          <w:lang w:val="fr-FR"/>
        </w:rPr>
        <w:t>une enquête</w:t>
      </w:r>
      <w:r w:rsidR="00816572" w:rsidRPr="00470C8A">
        <w:rPr>
          <w:lang w:val="fr-FR"/>
        </w:rPr>
        <w:t xml:space="preserve"> </w:t>
      </w:r>
      <w:r w:rsidR="0005589E" w:rsidRPr="00470C8A">
        <w:rPr>
          <w:lang w:val="fr-FR"/>
        </w:rPr>
        <w:t xml:space="preserve">sur la dépendance, </w:t>
      </w:r>
      <w:r w:rsidR="00B53664" w:rsidRPr="00470C8A">
        <w:rPr>
          <w:lang w:val="fr-FR"/>
        </w:rPr>
        <w:t xml:space="preserve">réalisée avant cette </w:t>
      </w:r>
      <w:r w:rsidR="00816572" w:rsidRPr="00470C8A">
        <w:rPr>
          <w:lang w:val="fr-FR"/>
        </w:rPr>
        <w:t>session</w:t>
      </w:r>
      <w:r w:rsidR="00816572" w:rsidRPr="00470C8A">
        <w:rPr>
          <w:rStyle w:val="FootnoteReference"/>
          <w:szCs w:val="22"/>
          <w:lang w:val="fr-FR"/>
        </w:rPr>
        <w:footnoteReference w:id="11"/>
      </w:r>
      <w:r w:rsidR="0005589E" w:rsidRPr="005B5C19">
        <w:rPr>
          <w:rStyle w:val="FootnoteReference"/>
          <w:vertAlign w:val="baseline"/>
          <w:lang w:val="fr-FR"/>
        </w:rPr>
        <w:t>,</w:t>
      </w:r>
      <w:r w:rsidR="00B53664" w:rsidRPr="00470C8A">
        <w:rPr>
          <w:lang w:val="fr-FR"/>
        </w:rPr>
        <w:t xml:space="preserve"> </w:t>
      </w:r>
      <w:r w:rsidR="00E119B0" w:rsidRPr="00470C8A">
        <w:rPr>
          <w:lang w:val="fr-FR"/>
        </w:rPr>
        <w:t>qui s</w:t>
      </w:r>
      <w:r w:rsidR="00573E17">
        <w:rPr>
          <w:lang w:val="fr-FR"/>
        </w:rPr>
        <w:t>’</w:t>
      </w:r>
      <w:r w:rsidR="00E119B0" w:rsidRPr="00470C8A">
        <w:rPr>
          <w:lang w:val="fr-FR"/>
        </w:rPr>
        <w:t>adressait aux utilisateurs en génér</w:t>
      </w:r>
      <w:r w:rsidR="005B5C19" w:rsidRPr="00470C8A">
        <w:rPr>
          <w:lang w:val="fr-FR"/>
        </w:rPr>
        <w:t>al</w:t>
      </w:r>
      <w:r w:rsidR="005B5C19">
        <w:rPr>
          <w:lang w:val="fr-FR"/>
        </w:rPr>
        <w:t xml:space="preserve">.  </w:t>
      </w:r>
      <w:r w:rsidR="005B5C19" w:rsidRPr="00470C8A">
        <w:rPr>
          <w:lang w:val="fr-FR"/>
        </w:rPr>
        <w:t>En</w:t>
      </w:r>
      <w:r w:rsidR="003B5524">
        <w:rPr>
          <w:lang w:val="fr-FR"/>
        </w:rPr>
        <w:t> </w:t>
      </w:r>
      <w:r w:rsidR="0005589E" w:rsidRPr="00470C8A">
        <w:rPr>
          <w:lang w:val="fr-FR"/>
        </w:rPr>
        <w:t>l</w:t>
      </w:r>
      <w:r w:rsidR="00573E17">
        <w:rPr>
          <w:lang w:val="fr-FR"/>
        </w:rPr>
        <w:t>’</w:t>
      </w:r>
      <w:r w:rsidR="0005589E" w:rsidRPr="00470C8A">
        <w:rPr>
          <w:lang w:val="fr-FR"/>
        </w:rPr>
        <w:t>absence de consensus</w:t>
      </w:r>
      <w:r w:rsidR="00816572" w:rsidRPr="00470C8A">
        <w:rPr>
          <w:lang w:val="fr-FR"/>
        </w:rPr>
        <w:t xml:space="preserve">, </w:t>
      </w:r>
      <w:r w:rsidR="00E119B0" w:rsidRPr="00470C8A">
        <w:rPr>
          <w:lang w:val="fr-FR"/>
        </w:rPr>
        <w:t xml:space="preserve">le groupe de travail </w:t>
      </w:r>
      <w:r w:rsidR="0005589E" w:rsidRPr="00470C8A">
        <w:rPr>
          <w:lang w:val="fr-FR"/>
        </w:rPr>
        <w:t>était</w:t>
      </w:r>
      <w:r w:rsidR="00E119B0" w:rsidRPr="00470C8A">
        <w:rPr>
          <w:lang w:val="fr-FR"/>
        </w:rPr>
        <w:t xml:space="preserve"> convenu d</w:t>
      </w:r>
      <w:r w:rsidR="00573E17">
        <w:rPr>
          <w:lang w:val="fr-FR"/>
        </w:rPr>
        <w:t>’</w:t>
      </w:r>
      <w:r w:rsidR="00E119B0" w:rsidRPr="00470C8A">
        <w:rPr>
          <w:lang w:val="fr-FR"/>
        </w:rPr>
        <w:t>examiner plus avant la question de la dépendance à une session</w:t>
      </w:r>
      <w:r w:rsidR="0005589E" w:rsidRPr="00470C8A">
        <w:rPr>
          <w:lang w:val="fr-FR"/>
        </w:rPr>
        <w:t xml:space="preserve"> ultérieure</w:t>
      </w:r>
      <w:r w:rsidR="00816572" w:rsidRPr="00470C8A">
        <w:rPr>
          <w:lang w:val="fr-FR"/>
        </w:rPr>
        <w:t>.</w:t>
      </w:r>
    </w:p>
    <w:p w:rsidR="00504BB9" w:rsidRPr="00470C8A" w:rsidRDefault="00495192" w:rsidP="00495192">
      <w:pPr>
        <w:pStyle w:val="Heading1"/>
        <w:rPr>
          <w:lang w:val="fr-FR"/>
        </w:rPr>
      </w:pPr>
      <w:r w:rsidRPr="00470C8A">
        <w:rPr>
          <w:lang w:val="fr-FR"/>
        </w:rPr>
        <w:t>Résumé des discussions précédentes</w:t>
      </w:r>
    </w:p>
    <w:p w:rsidR="00504BB9" w:rsidRPr="00470C8A" w:rsidRDefault="00504BB9" w:rsidP="00470C8A">
      <w:pPr>
        <w:rPr>
          <w:szCs w:val="22"/>
          <w:lang w:val="fr-FR"/>
        </w:rPr>
      </w:pPr>
    </w:p>
    <w:p w:rsidR="00504BB9" w:rsidRPr="00470C8A" w:rsidRDefault="00E119B0" w:rsidP="0087445B">
      <w:pPr>
        <w:pStyle w:val="ONUMFS"/>
        <w:spacing w:after="0"/>
        <w:rPr>
          <w:lang w:val="fr-FR"/>
        </w:rPr>
      </w:pPr>
      <w:r w:rsidRPr="00470C8A">
        <w:rPr>
          <w:lang w:val="fr-FR"/>
        </w:rPr>
        <w:t>Les délégations ont exprimé différents points de vue sur la dépendance au cours des précédentes discussions tenues par le groupe de travail</w:t>
      </w:r>
      <w:r w:rsidR="00816572" w:rsidRPr="00470C8A">
        <w:rPr>
          <w:lang w:val="fr-FR"/>
        </w:rPr>
        <w:t>.</w:t>
      </w:r>
    </w:p>
    <w:p w:rsidR="00504BB9" w:rsidRPr="00470C8A" w:rsidRDefault="00495192" w:rsidP="00495192">
      <w:pPr>
        <w:pStyle w:val="Heading2"/>
        <w:rPr>
          <w:lang w:val="fr-FR"/>
        </w:rPr>
      </w:pPr>
      <w:r w:rsidRPr="00470C8A">
        <w:rPr>
          <w:lang w:val="fr-FR"/>
        </w:rPr>
        <w:t>Abolition du principe de la dépendance</w:t>
      </w:r>
    </w:p>
    <w:p w:rsidR="00504BB9" w:rsidRPr="00470C8A" w:rsidRDefault="00504BB9" w:rsidP="00470C8A">
      <w:pPr>
        <w:pStyle w:val="ListParagraph"/>
        <w:ind w:left="0"/>
        <w:rPr>
          <w:szCs w:val="22"/>
          <w:lang w:val="fr-FR"/>
        </w:rPr>
      </w:pPr>
    </w:p>
    <w:p w:rsidR="00573E17" w:rsidRDefault="00E119B0" w:rsidP="00495192">
      <w:pPr>
        <w:pStyle w:val="ONUMFS"/>
        <w:rPr>
          <w:lang w:val="fr-FR"/>
        </w:rPr>
      </w:pPr>
      <w:r w:rsidRPr="00470C8A">
        <w:rPr>
          <w:lang w:val="fr-FR"/>
        </w:rPr>
        <w:t>Certaines délégations étaient en faveur de l</w:t>
      </w:r>
      <w:r w:rsidR="00573E17">
        <w:rPr>
          <w:lang w:val="fr-FR"/>
        </w:rPr>
        <w:t>’</w:t>
      </w:r>
      <w:r w:rsidRPr="00470C8A">
        <w:rPr>
          <w:lang w:val="fr-FR"/>
        </w:rPr>
        <w:t>abolition du principe de la dépendance</w:t>
      </w:r>
      <w:r w:rsidR="00816572" w:rsidRPr="00470C8A">
        <w:rPr>
          <w:lang w:val="fr-FR"/>
        </w:rPr>
        <w:t xml:space="preserve">, </w:t>
      </w:r>
      <w:r w:rsidRPr="00470C8A">
        <w:rPr>
          <w:lang w:val="fr-FR"/>
        </w:rPr>
        <w:t>parce qu</w:t>
      </w:r>
      <w:r w:rsidR="00573E17">
        <w:rPr>
          <w:lang w:val="fr-FR"/>
        </w:rPr>
        <w:t>’</w:t>
      </w:r>
      <w:r w:rsidRPr="00470C8A">
        <w:rPr>
          <w:lang w:val="fr-FR"/>
        </w:rPr>
        <w:t>ils estimaient que</w:t>
      </w:r>
      <w:r w:rsidR="00573E17">
        <w:rPr>
          <w:lang w:val="fr-FR"/>
        </w:rPr>
        <w:t> :</w:t>
      </w:r>
    </w:p>
    <w:p w:rsidR="00573E17" w:rsidRDefault="00E119B0" w:rsidP="00495192">
      <w:pPr>
        <w:pStyle w:val="ONUMFS"/>
        <w:numPr>
          <w:ilvl w:val="0"/>
          <w:numId w:val="17"/>
        </w:numPr>
        <w:ind w:left="567" w:firstLine="0"/>
        <w:rPr>
          <w:lang w:val="fr-FR"/>
        </w:rPr>
      </w:pPr>
      <w:r w:rsidRPr="00470C8A">
        <w:rPr>
          <w:lang w:val="fr-FR"/>
        </w:rPr>
        <w:t>la dépendance constituait</w:t>
      </w:r>
      <w:r w:rsidR="00816572" w:rsidRPr="00470C8A">
        <w:rPr>
          <w:lang w:val="fr-FR"/>
        </w:rPr>
        <w:t xml:space="preserve"> </w:t>
      </w:r>
      <w:r w:rsidRPr="00470C8A">
        <w:rPr>
          <w:lang w:val="fr-FR"/>
        </w:rPr>
        <w:t>un inconvénient du</w:t>
      </w:r>
      <w:r w:rsidR="00816572" w:rsidRPr="00470C8A">
        <w:rPr>
          <w:lang w:val="fr-FR"/>
        </w:rPr>
        <w:t xml:space="preserve"> </w:t>
      </w:r>
      <w:r w:rsidRPr="00470C8A">
        <w:rPr>
          <w:lang w:val="fr-FR"/>
        </w:rPr>
        <w:t>s</w:t>
      </w:r>
      <w:r w:rsidR="00816572" w:rsidRPr="00470C8A">
        <w:rPr>
          <w:lang w:val="fr-FR"/>
        </w:rPr>
        <w:t>yst</w:t>
      </w:r>
      <w:r w:rsidRPr="00470C8A">
        <w:rPr>
          <w:lang w:val="fr-FR"/>
        </w:rPr>
        <w:t>ème de</w:t>
      </w:r>
      <w:r w:rsidR="00816572" w:rsidRPr="00470C8A">
        <w:rPr>
          <w:lang w:val="fr-FR"/>
        </w:rPr>
        <w:t xml:space="preserve"> </w:t>
      </w:r>
      <w:r w:rsidRPr="00470C8A">
        <w:rPr>
          <w:lang w:val="fr-FR"/>
        </w:rPr>
        <w:t>Madrid en raison du risque, des coûts et de l</w:t>
      </w:r>
      <w:r w:rsidR="00573E17">
        <w:rPr>
          <w:lang w:val="fr-FR"/>
        </w:rPr>
        <w:t>’</w:t>
      </w:r>
      <w:r w:rsidR="009F1C53">
        <w:rPr>
          <w:lang w:val="fr-FR"/>
        </w:rPr>
        <w:t>incertitude</w:t>
      </w:r>
      <w:r w:rsidRPr="00470C8A">
        <w:rPr>
          <w:lang w:val="fr-FR"/>
        </w:rPr>
        <w:t xml:space="preserve"> qu</w:t>
      </w:r>
      <w:r w:rsidR="00573E17">
        <w:rPr>
          <w:lang w:val="fr-FR"/>
        </w:rPr>
        <w:t>’</w:t>
      </w:r>
      <w:r w:rsidRPr="00470C8A">
        <w:rPr>
          <w:lang w:val="fr-FR"/>
        </w:rPr>
        <w:t xml:space="preserve">elle </w:t>
      </w:r>
      <w:r w:rsidR="007E290B">
        <w:rPr>
          <w:lang w:val="fr-FR"/>
        </w:rPr>
        <w:t>engendrait</w:t>
      </w:r>
      <w:r w:rsidR="00816572" w:rsidRPr="00470C8A">
        <w:rPr>
          <w:lang w:val="fr-FR"/>
        </w:rPr>
        <w:t>;</w:t>
      </w:r>
    </w:p>
    <w:p w:rsidR="00573E17" w:rsidRDefault="00E71664" w:rsidP="00495192">
      <w:pPr>
        <w:pStyle w:val="ONUMFS"/>
        <w:numPr>
          <w:ilvl w:val="0"/>
          <w:numId w:val="17"/>
        </w:numPr>
        <w:ind w:left="567" w:firstLine="0"/>
        <w:rPr>
          <w:lang w:val="fr-FR"/>
        </w:rPr>
      </w:pPr>
      <w:r w:rsidRPr="00470C8A">
        <w:rPr>
          <w:lang w:val="fr-FR"/>
        </w:rPr>
        <w:t xml:space="preserve">les titulaires considéraient </w:t>
      </w:r>
      <w:r w:rsidR="00910835" w:rsidRPr="00470C8A">
        <w:rPr>
          <w:lang w:val="fr-FR"/>
        </w:rPr>
        <w:t>le</w:t>
      </w:r>
      <w:r w:rsidR="00816572" w:rsidRPr="00470C8A">
        <w:rPr>
          <w:lang w:val="fr-FR"/>
        </w:rPr>
        <w:t xml:space="preserve"> </w:t>
      </w:r>
      <w:r w:rsidR="00910835" w:rsidRPr="00470C8A">
        <w:rPr>
          <w:lang w:val="fr-FR"/>
        </w:rPr>
        <w:t>système de Madrid</w:t>
      </w:r>
      <w:r w:rsidR="00816572" w:rsidRPr="00470C8A">
        <w:rPr>
          <w:lang w:val="fr-FR"/>
        </w:rPr>
        <w:t xml:space="preserve"> </w:t>
      </w:r>
      <w:r w:rsidRPr="00470C8A">
        <w:rPr>
          <w:lang w:val="fr-FR"/>
        </w:rPr>
        <w:t xml:space="preserve">comme </w:t>
      </w:r>
      <w:r w:rsidR="00910835" w:rsidRPr="00470C8A">
        <w:rPr>
          <w:lang w:val="fr-FR"/>
        </w:rPr>
        <w:t>compliqué, risqué et déraisonnable en raison de la dépendance</w:t>
      </w:r>
      <w:r w:rsidR="00816572" w:rsidRPr="00470C8A">
        <w:rPr>
          <w:lang w:val="fr-FR"/>
        </w:rPr>
        <w:t>;</w:t>
      </w:r>
    </w:p>
    <w:p w:rsidR="00573E17" w:rsidRDefault="00910835" w:rsidP="00495192">
      <w:pPr>
        <w:pStyle w:val="ONUMFS"/>
        <w:numPr>
          <w:ilvl w:val="0"/>
          <w:numId w:val="17"/>
        </w:numPr>
        <w:ind w:left="567" w:firstLine="0"/>
        <w:rPr>
          <w:lang w:val="fr-FR"/>
        </w:rPr>
      </w:pPr>
      <w:r w:rsidRPr="00470C8A">
        <w:rPr>
          <w:lang w:val="fr-FR"/>
        </w:rPr>
        <w:t>la dépendance effrayait les petits utilisateurs en raison des frais encourus pour une utilisation commerciale sûre de la marque à l</w:t>
      </w:r>
      <w:r w:rsidR="00573E17">
        <w:rPr>
          <w:lang w:val="fr-FR"/>
        </w:rPr>
        <w:t>’</w:t>
      </w:r>
      <w:r w:rsidRPr="00470C8A">
        <w:rPr>
          <w:lang w:val="fr-FR"/>
        </w:rPr>
        <w:t>extérieur du pays</w:t>
      </w:r>
      <w:r w:rsidR="00816572" w:rsidRPr="00470C8A">
        <w:rPr>
          <w:lang w:val="fr-FR"/>
        </w:rPr>
        <w:t>;</w:t>
      </w:r>
    </w:p>
    <w:p w:rsidR="00495192" w:rsidRDefault="00816572" w:rsidP="00495192">
      <w:pPr>
        <w:pStyle w:val="ONUMFS"/>
        <w:numPr>
          <w:ilvl w:val="0"/>
          <w:numId w:val="17"/>
        </w:numPr>
        <w:ind w:left="567" w:firstLine="0"/>
        <w:rPr>
          <w:lang w:val="fr-FR"/>
        </w:rPr>
      </w:pPr>
      <w:r w:rsidRPr="00470C8A">
        <w:rPr>
          <w:lang w:val="fr-FR"/>
        </w:rPr>
        <w:t>a</w:t>
      </w:r>
      <w:r w:rsidR="00910835" w:rsidRPr="00470C8A">
        <w:rPr>
          <w:lang w:val="fr-FR"/>
        </w:rPr>
        <w:t xml:space="preserve">bolir </w:t>
      </w:r>
      <w:r w:rsidR="00E71664" w:rsidRPr="00470C8A">
        <w:rPr>
          <w:lang w:val="fr-FR"/>
        </w:rPr>
        <w:t>le</w:t>
      </w:r>
      <w:r w:rsidR="00910835" w:rsidRPr="00470C8A">
        <w:rPr>
          <w:lang w:val="fr-FR"/>
        </w:rPr>
        <w:t xml:space="preserve"> principe de la dépendance </w:t>
      </w:r>
      <w:r w:rsidR="00E71664" w:rsidRPr="00470C8A">
        <w:rPr>
          <w:lang w:val="fr-FR"/>
        </w:rPr>
        <w:t xml:space="preserve">ou en </w:t>
      </w:r>
      <w:r w:rsidR="00573E17">
        <w:rPr>
          <w:lang w:val="fr-FR"/>
        </w:rPr>
        <w:t>“</w:t>
      </w:r>
      <w:r w:rsidR="00E71664" w:rsidRPr="00470C8A">
        <w:rPr>
          <w:lang w:val="fr-FR"/>
        </w:rPr>
        <w:t>geler</w:t>
      </w:r>
      <w:r w:rsidR="00573E17">
        <w:rPr>
          <w:lang w:val="fr-FR"/>
        </w:rPr>
        <w:t>”</w:t>
      </w:r>
      <w:r w:rsidR="00E71664" w:rsidRPr="00470C8A">
        <w:rPr>
          <w:lang w:val="fr-FR"/>
        </w:rPr>
        <w:t xml:space="preserve"> l</w:t>
      </w:r>
      <w:r w:rsidR="00573E17">
        <w:rPr>
          <w:lang w:val="fr-FR"/>
        </w:rPr>
        <w:t>’</w:t>
      </w:r>
      <w:r w:rsidR="00E71664" w:rsidRPr="00470C8A">
        <w:rPr>
          <w:lang w:val="fr-FR"/>
        </w:rPr>
        <w:t xml:space="preserve">application </w:t>
      </w:r>
      <w:r w:rsidR="00910835" w:rsidRPr="00470C8A">
        <w:rPr>
          <w:lang w:val="fr-FR"/>
        </w:rPr>
        <w:t>améliorerait la sécurité juridique pour les utilisateurs, qui n</w:t>
      </w:r>
      <w:r w:rsidR="00573E17">
        <w:rPr>
          <w:lang w:val="fr-FR"/>
        </w:rPr>
        <w:t>’</w:t>
      </w:r>
      <w:r w:rsidR="00910835" w:rsidRPr="00470C8A">
        <w:rPr>
          <w:lang w:val="fr-FR"/>
        </w:rPr>
        <w:t>auraient pas à se préoccuper d</w:t>
      </w:r>
      <w:r w:rsidR="00573E17">
        <w:rPr>
          <w:lang w:val="fr-FR"/>
        </w:rPr>
        <w:t>’</w:t>
      </w:r>
      <w:r w:rsidR="00910835" w:rsidRPr="00470C8A">
        <w:rPr>
          <w:lang w:val="fr-FR"/>
        </w:rPr>
        <w:t>éventuels problèmes concernant la marque de base</w:t>
      </w:r>
      <w:r w:rsidRPr="00470C8A">
        <w:rPr>
          <w:lang w:val="fr-FR"/>
        </w:rPr>
        <w:t>,</w:t>
      </w:r>
      <w:r w:rsidR="00384612" w:rsidRPr="00470C8A">
        <w:rPr>
          <w:lang w:val="fr-FR"/>
        </w:rPr>
        <w:t xml:space="preserve"> </w:t>
      </w:r>
      <w:r w:rsidR="00910835" w:rsidRPr="00470C8A">
        <w:rPr>
          <w:lang w:val="fr-FR"/>
        </w:rPr>
        <w:t>et simplifierait le système de Madrid tant pour les offices que pour le Bure</w:t>
      </w:r>
      <w:r w:rsidR="00913510">
        <w:rPr>
          <w:lang w:val="fr-FR"/>
        </w:rPr>
        <w:t>au international;  et</w:t>
      </w:r>
    </w:p>
    <w:p w:rsidR="00573E17" w:rsidRDefault="00910835" w:rsidP="0087445B">
      <w:pPr>
        <w:pStyle w:val="ONUMFS"/>
        <w:numPr>
          <w:ilvl w:val="0"/>
          <w:numId w:val="17"/>
        </w:numPr>
        <w:spacing w:after="0"/>
        <w:ind w:left="567" w:firstLine="0"/>
        <w:rPr>
          <w:lang w:val="fr-FR"/>
        </w:rPr>
      </w:pPr>
      <w:r w:rsidRPr="00470C8A">
        <w:rPr>
          <w:lang w:val="fr-FR"/>
        </w:rPr>
        <w:t>abolir le principe de la dépendance</w:t>
      </w:r>
      <w:r w:rsidR="00E71664" w:rsidRPr="00470C8A">
        <w:rPr>
          <w:lang w:val="fr-FR"/>
        </w:rPr>
        <w:t xml:space="preserve"> lèverait l</w:t>
      </w:r>
      <w:r w:rsidR="00573E17">
        <w:rPr>
          <w:lang w:val="fr-FR"/>
        </w:rPr>
        <w:t>’</w:t>
      </w:r>
      <w:r w:rsidR="00E71664" w:rsidRPr="00470C8A">
        <w:rPr>
          <w:lang w:val="fr-FR"/>
        </w:rPr>
        <w:t xml:space="preserve">obstacle qui empêchait </w:t>
      </w:r>
      <w:r w:rsidR="0097628E" w:rsidRPr="00470C8A">
        <w:rPr>
          <w:lang w:val="fr-FR"/>
        </w:rPr>
        <w:t xml:space="preserve">une </w:t>
      </w:r>
      <w:r w:rsidRPr="00470C8A">
        <w:rPr>
          <w:lang w:val="fr-FR"/>
        </w:rPr>
        <w:t>utilisation accrue du système de Madrid</w:t>
      </w:r>
      <w:r w:rsidR="00816572" w:rsidRPr="00470C8A">
        <w:rPr>
          <w:lang w:val="fr-FR"/>
        </w:rPr>
        <w:t>.</w:t>
      </w:r>
    </w:p>
    <w:p w:rsidR="00504BB9" w:rsidRPr="00495192" w:rsidRDefault="00495192" w:rsidP="003B5524">
      <w:pPr>
        <w:pStyle w:val="Heading2"/>
        <w:keepLines/>
        <w:rPr>
          <w:lang w:val="fr-FR"/>
        </w:rPr>
      </w:pPr>
      <w:r w:rsidRPr="00495192">
        <w:rPr>
          <w:lang w:val="fr-FR"/>
        </w:rPr>
        <w:t>Réduction de la période de dépendance ou limitation des motifs</w:t>
      </w:r>
    </w:p>
    <w:p w:rsidR="00504BB9" w:rsidRPr="00470C8A" w:rsidRDefault="00504BB9" w:rsidP="003B5524">
      <w:pPr>
        <w:keepNext/>
        <w:keepLines/>
        <w:rPr>
          <w:szCs w:val="22"/>
          <w:lang w:val="fr-FR"/>
        </w:rPr>
      </w:pPr>
    </w:p>
    <w:p w:rsidR="00504BB9" w:rsidRPr="00470C8A" w:rsidRDefault="004D7F23" w:rsidP="003B5524">
      <w:pPr>
        <w:pStyle w:val="ONUMFS"/>
        <w:keepNext/>
        <w:keepLines/>
        <w:spacing w:after="0"/>
        <w:rPr>
          <w:lang w:val="fr-FR"/>
        </w:rPr>
      </w:pPr>
      <w:r w:rsidRPr="00470C8A">
        <w:rPr>
          <w:lang w:val="fr-FR"/>
        </w:rPr>
        <w:t xml:space="preserve">Plusieurs délégations, tout en souhaitant préserver le principe de </w:t>
      </w:r>
      <w:r w:rsidR="00E71664" w:rsidRPr="00470C8A">
        <w:rPr>
          <w:lang w:val="fr-FR"/>
        </w:rPr>
        <w:t xml:space="preserve">la </w:t>
      </w:r>
      <w:r w:rsidRPr="00470C8A">
        <w:rPr>
          <w:lang w:val="fr-FR"/>
        </w:rPr>
        <w:t>dépendance, se sont</w:t>
      </w:r>
      <w:r w:rsidR="003B5524">
        <w:rPr>
          <w:lang w:val="fr-FR"/>
        </w:rPr>
        <w:t> </w:t>
      </w:r>
      <w:r w:rsidRPr="00470C8A">
        <w:rPr>
          <w:lang w:val="fr-FR"/>
        </w:rPr>
        <w:t>dites prêtes à étudier la possibilité d</w:t>
      </w:r>
      <w:r w:rsidR="00573E17">
        <w:rPr>
          <w:lang w:val="fr-FR"/>
        </w:rPr>
        <w:t>’</w:t>
      </w:r>
      <w:r w:rsidRPr="00470C8A">
        <w:rPr>
          <w:lang w:val="fr-FR"/>
        </w:rPr>
        <w:t>une réduction de la période de dépendan</w:t>
      </w:r>
      <w:r w:rsidR="005B5C19" w:rsidRPr="00470C8A">
        <w:rPr>
          <w:lang w:val="fr-FR"/>
        </w:rPr>
        <w:t>ce</w:t>
      </w:r>
      <w:r w:rsidR="005B5C19">
        <w:rPr>
          <w:lang w:val="fr-FR"/>
        </w:rPr>
        <w:t xml:space="preserve">.  </w:t>
      </w:r>
      <w:r w:rsidR="005B5C19" w:rsidRPr="00470C8A">
        <w:rPr>
          <w:lang w:val="fr-FR"/>
        </w:rPr>
        <w:t>Un</w:t>
      </w:r>
      <w:r w:rsidRPr="00470C8A">
        <w:rPr>
          <w:lang w:val="fr-FR"/>
        </w:rPr>
        <w:t>e</w:t>
      </w:r>
      <w:r w:rsidR="003B5524">
        <w:rPr>
          <w:lang w:val="fr-FR"/>
        </w:rPr>
        <w:t> </w:t>
      </w:r>
      <w:r w:rsidRPr="00470C8A">
        <w:rPr>
          <w:lang w:val="fr-FR"/>
        </w:rPr>
        <w:t xml:space="preserve">délégation a proposé de limiter les faits </w:t>
      </w:r>
      <w:r w:rsidR="00E71664" w:rsidRPr="00470C8A">
        <w:rPr>
          <w:lang w:val="fr-FR"/>
        </w:rPr>
        <w:t>ou</w:t>
      </w:r>
      <w:r w:rsidRPr="00470C8A">
        <w:rPr>
          <w:lang w:val="fr-FR"/>
        </w:rPr>
        <w:t xml:space="preserve"> décisions sur la base desquels la protection résultant de l</w:t>
      </w:r>
      <w:r w:rsidR="00573E17">
        <w:rPr>
          <w:lang w:val="fr-FR"/>
        </w:rPr>
        <w:t>’</w:t>
      </w:r>
      <w:r w:rsidRPr="00470C8A">
        <w:rPr>
          <w:lang w:val="fr-FR"/>
        </w:rPr>
        <w:t>enregistrement international ne pourrait plus être invoquée, par exemple</w:t>
      </w:r>
      <w:r w:rsidR="00774587" w:rsidRPr="00470C8A">
        <w:rPr>
          <w:lang w:val="fr-FR"/>
        </w:rPr>
        <w:t>,</w:t>
      </w:r>
      <w:r w:rsidR="00E71664" w:rsidRPr="00470C8A">
        <w:rPr>
          <w:lang w:val="fr-FR"/>
        </w:rPr>
        <w:t xml:space="preserve"> à</w:t>
      </w:r>
      <w:r w:rsidRPr="00470C8A">
        <w:rPr>
          <w:lang w:val="fr-FR"/>
        </w:rPr>
        <w:t xml:space="preserve"> la cessation des effets de la marque de base pour mauvaise foi.</w:t>
      </w:r>
    </w:p>
    <w:p w:rsidR="00504BB9" w:rsidRPr="00495192" w:rsidRDefault="00495192" w:rsidP="00495192">
      <w:pPr>
        <w:pStyle w:val="Heading2"/>
        <w:rPr>
          <w:lang w:val="fr-FR"/>
        </w:rPr>
      </w:pPr>
      <w:r w:rsidRPr="00495192">
        <w:rPr>
          <w:lang w:val="fr-FR"/>
        </w:rPr>
        <w:t>Suspension (gel) de l</w:t>
      </w:r>
      <w:r w:rsidR="00573E17">
        <w:rPr>
          <w:lang w:val="fr-FR"/>
        </w:rPr>
        <w:t>’</w:t>
      </w:r>
      <w:r w:rsidRPr="00495192">
        <w:rPr>
          <w:lang w:val="fr-FR"/>
        </w:rPr>
        <w:t>application de la dépendance</w:t>
      </w:r>
    </w:p>
    <w:p w:rsidR="00504BB9" w:rsidRPr="00470C8A" w:rsidRDefault="00504BB9" w:rsidP="00470C8A">
      <w:pPr>
        <w:keepNext/>
        <w:keepLines/>
        <w:rPr>
          <w:szCs w:val="22"/>
          <w:lang w:val="fr-FR"/>
        </w:rPr>
      </w:pPr>
    </w:p>
    <w:p w:rsidR="00573E17" w:rsidRDefault="004D7F23" w:rsidP="00495192">
      <w:pPr>
        <w:pStyle w:val="ONUMFS"/>
        <w:rPr>
          <w:lang w:val="fr-FR"/>
        </w:rPr>
      </w:pPr>
      <w:r w:rsidRPr="00470C8A">
        <w:rPr>
          <w:lang w:val="fr-FR"/>
        </w:rPr>
        <w:t>D</w:t>
      </w:r>
      <w:r w:rsidR="00573E17">
        <w:rPr>
          <w:lang w:val="fr-FR"/>
        </w:rPr>
        <w:t>’</w:t>
      </w:r>
      <w:r w:rsidRPr="00470C8A">
        <w:rPr>
          <w:lang w:val="fr-FR"/>
        </w:rPr>
        <w:t xml:space="preserve">autres délégations se sont </w:t>
      </w:r>
      <w:r w:rsidR="00E9166C" w:rsidRPr="00470C8A">
        <w:rPr>
          <w:lang w:val="fr-FR"/>
        </w:rPr>
        <w:t>déclarées</w:t>
      </w:r>
      <w:r w:rsidRPr="00470C8A">
        <w:rPr>
          <w:lang w:val="fr-FR"/>
        </w:rPr>
        <w:t xml:space="preserve"> en faveur d</w:t>
      </w:r>
      <w:r w:rsidR="00573E17">
        <w:rPr>
          <w:lang w:val="fr-FR"/>
        </w:rPr>
        <w:t>’</w:t>
      </w:r>
      <w:r w:rsidRPr="00470C8A">
        <w:rPr>
          <w:lang w:val="fr-FR"/>
        </w:rPr>
        <w:t>une suspension (gel) temporaire de l</w:t>
      </w:r>
      <w:r w:rsidR="00573E17">
        <w:rPr>
          <w:lang w:val="fr-FR"/>
        </w:rPr>
        <w:t>’</w:t>
      </w:r>
      <w:r w:rsidRPr="00470C8A">
        <w:rPr>
          <w:lang w:val="fr-FR"/>
        </w:rPr>
        <w:t xml:space="preserve">application des </w:t>
      </w:r>
      <w:r w:rsidR="00573E17" w:rsidRPr="00470C8A">
        <w:rPr>
          <w:lang w:val="fr-FR"/>
        </w:rPr>
        <w:t>alinéas</w:t>
      </w:r>
      <w:r w:rsidR="00573E17">
        <w:rPr>
          <w:lang w:val="fr-FR"/>
        </w:rPr>
        <w:t> </w:t>
      </w:r>
      <w:r w:rsidR="00573E17" w:rsidRPr="00470C8A">
        <w:rPr>
          <w:lang w:val="fr-FR"/>
        </w:rPr>
        <w:t>2</w:t>
      </w:r>
      <w:r w:rsidRPr="00470C8A">
        <w:rPr>
          <w:lang w:val="fr-FR"/>
        </w:rPr>
        <w:t>), 3) et 4) de l</w:t>
      </w:r>
      <w:r w:rsidR="00573E17">
        <w:rPr>
          <w:lang w:val="fr-FR"/>
        </w:rPr>
        <w:t>’</w:t>
      </w:r>
      <w:r w:rsidR="00573E17" w:rsidRPr="00470C8A">
        <w:rPr>
          <w:lang w:val="fr-FR"/>
        </w:rPr>
        <w:t>article</w:t>
      </w:r>
      <w:r w:rsidR="00573E17">
        <w:rPr>
          <w:lang w:val="fr-FR"/>
        </w:rPr>
        <w:t> </w:t>
      </w:r>
      <w:r w:rsidR="00573E17" w:rsidRPr="00470C8A">
        <w:rPr>
          <w:lang w:val="fr-FR"/>
        </w:rPr>
        <w:t>6</w:t>
      </w:r>
      <w:r w:rsidRPr="00470C8A">
        <w:rPr>
          <w:lang w:val="fr-FR"/>
        </w:rPr>
        <w:t xml:space="preserve"> du Protocole afin de déterminer si la suppression de la dépendance </w:t>
      </w:r>
      <w:r w:rsidR="00E9166C" w:rsidRPr="00470C8A">
        <w:rPr>
          <w:lang w:val="fr-FR"/>
        </w:rPr>
        <w:t>favoriserait effectivement une utilisation accrue du système de Madrid et ont indiqué que</w:t>
      </w:r>
      <w:r w:rsidR="00573E17">
        <w:rPr>
          <w:lang w:val="fr-FR"/>
        </w:rPr>
        <w:t> :</w:t>
      </w:r>
    </w:p>
    <w:p w:rsidR="00573E17" w:rsidRDefault="00E9166C" w:rsidP="00495192">
      <w:pPr>
        <w:pStyle w:val="ONUMFS"/>
        <w:numPr>
          <w:ilvl w:val="0"/>
          <w:numId w:val="19"/>
        </w:numPr>
        <w:ind w:left="567" w:firstLine="0"/>
        <w:rPr>
          <w:lang w:val="fr-FR"/>
        </w:rPr>
      </w:pPr>
      <w:r w:rsidRPr="00495192">
        <w:rPr>
          <w:lang w:val="fr-FR"/>
        </w:rPr>
        <w:t>une suspension temporaire, pendant une période raisonnable, permettrait au groupe de travail d</w:t>
      </w:r>
      <w:r w:rsidR="00573E17">
        <w:rPr>
          <w:lang w:val="fr-FR"/>
        </w:rPr>
        <w:t>’</w:t>
      </w:r>
      <w:r w:rsidRPr="00495192">
        <w:rPr>
          <w:lang w:val="fr-FR"/>
        </w:rPr>
        <w:t>analyser les différents effets sur les parties contractantes</w:t>
      </w:r>
      <w:r w:rsidR="00816572" w:rsidRPr="00495192">
        <w:rPr>
          <w:lang w:val="fr-FR"/>
        </w:rPr>
        <w:t>;</w:t>
      </w:r>
    </w:p>
    <w:p w:rsidR="00573E17" w:rsidRDefault="00E9166C" w:rsidP="00495192">
      <w:pPr>
        <w:pStyle w:val="ONUMFS"/>
        <w:numPr>
          <w:ilvl w:val="0"/>
          <w:numId w:val="19"/>
        </w:numPr>
        <w:ind w:left="567" w:firstLine="0"/>
        <w:rPr>
          <w:lang w:val="fr-FR"/>
        </w:rPr>
      </w:pPr>
      <w:r w:rsidRPr="00495192">
        <w:rPr>
          <w:lang w:val="fr-FR"/>
        </w:rPr>
        <w:t xml:space="preserve">le </w:t>
      </w:r>
      <w:r w:rsidR="00573E17">
        <w:rPr>
          <w:lang w:val="fr-FR"/>
        </w:rPr>
        <w:t>“</w:t>
      </w:r>
      <w:r w:rsidRPr="00495192">
        <w:rPr>
          <w:lang w:val="fr-FR"/>
        </w:rPr>
        <w:t>gel</w:t>
      </w:r>
      <w:r w:rsidR="00573E17">
        <w:rPr>
          <w:lang w:val="fr-FR"/>
        </w:rPr>
        <w:t>”</w:t>
      </w:r>
      <w:r w:rsidRPr="00495192">
        <w:rPr>
          <w:lang w:val="fr-FR"/>
        </w:rPr>
        <w:t xml:space="preserve"> de la dépendance ouvrirait le système de Madrid à un plus grand éventail d</w:t>
      </w:r>
      <w:r w:rsidR="00573E17">
        <w:rPr>
          <w:lang w:val="fr-FR"/>
        </w:rPr>
        <w:t>’</w:t>
      </w:r>
      <w:r w:rsidRPr="00495192">
        <w:rPr>
          <w:lang w:val="fr-FR"/>
        </w:rPr>
        <w:t>utilisateur</w:t>
      </w:r>
      <w:r w:rsidR="00722542" w:rsidRPr="00495192">
        <w:rPr>
          <w:lang w:val="fr-FR"/>
        </w:rPr>
        <w:t xml:space="preserve">s qui pourraient bénéficier de </w:t>
      </w:r>
      <w:r w:rsidR="00B7441F">
        <w:rPr>
          <w:lang w:val="fr-FR"/>
        </w:rPr>
        <w:t xml:space="preserve">l’expansion de </w:t>
      </w:r>
      <w:r w:rsidR="00722542" w:rsidRPr="00495192">
        <w:rPr>
          <w:lang w:val="fr-FR"/>
        </w:rPr>
        <w:t>l</w:t>
      </w:r>
      <w:r w:rsidRPr="00495192">
        <w:rPr>
          <w:lang w:val="fr-FR"/>
        </w:rPr>
        <w:t xml:space="preserve">a </w:t>
      </w:r>
      <w:r w:rsidR="00B7441F">
        <w:rPr>
          <w:lang w:val="fr-FR"/>
        </w:rPr>
        <w:t>portée</w:t>
      </w:r>
      <w:r w:rsidRPr="00495192">
        <w:rPr>
          <w:lang w:val="fr-FR"/>
        </w:rPr>
        <w:t xml:space="preserve"> géographique </w:t>
      </w:r>
      <w:r w:rsidR="00722542" w:rsidRPr="00495192">
        <w:rPr>
          <w:lang w:val="fr-FR"/>
        </w:rPr>
        <w:t>de celui</w:t>
      </w:r>
      <w:r w:rsidR="005A2D9F">
        <w:rPr>
          <w:lang w:val="fr-FR"/>
        </w:rPr>
        <w:noBreakHyphen/>
      </w:r>
      <w:r w:rsidR="00722542" w:rsidRPr="00495192">
        <w:rPr>
          <w:lang w:val="fr-FR"/>
        </w:rPr>
        <w:t xml:space="preserve">ci </w:t>
      </w:r>
      <w:r w:rsidRPr="00495192">
        <w:rPr>
          <w:lang w:val="fr-FR"/>
        </w:rPr>
        <w:t>d</w:t>
      </w:r>
      <w:r w:rsidR="00573E17">
        <w:rPr>
          <w:lang w:val="fr-FR"/>
        </w:rPr>
        <w:t>’</w:t>
      </w:r>
      <w:r w:rsidRPr="00495192">
        <w:rPr>
          <w:lang w:val="fr-FR"/>
        </w:rPr>
        <w:t>une manière plus sûre et plus souple;  et</w:t>
      </w:r>
      <w:r w:rsidR="00384612" w:rsidRPr="00495192">
        <w:rPr>
          <w:lang w:val="fr-FR"/>
        </w:rPr>
        <w:t>,</w:t>
      </w:r>
    </w:p>
    <w:p w:rsidR="00573E17" w:rsidRDefault="00E9166C" w:rsidP="003B5524">
      <w:pPr>
        <w:pStyle w:val="ONUMFS"/>
        <w:numPr>
          <w:ilvl w:val="0"/>
          <w:numId w:val="19"/>
        </w:numPr>
        <w:spacing w:after="0"/>
        <w:ind w:left="567" w:firstLine="0"/>
        <w:rPr>
          <w:lang w:val="fr-FR"/>
        </w:rPr>
      </w:pPr>
      <w:r w:rsidRPr="00495192">
        <w:rPr>
          <w:lang w:val="fr-FR"/>
        </w:rPr>
        <w:t>la suspension temporaire de la dépendance préserverait le rôle de l</w:t>
      </w:r>
      <w:r w:rsidR="00573E17">
        <w:rPr>
          <w:lang w:val="fr-FR"/>
        </w:rPr>
        <w:t>’</w:t>
      </w:r>
      <w:r w:rsidRPr="00495192">
        <w:rPr>
          <w:lang w:val="fr-FR"/>
        </w:rPr>
        <w:t>office d</w:t>
      </w:r>
      <w:r w:rsidR="00573E17">
        <w:rPr>
          <w:lang w:val="fr-FR"/>
        </w:rPr>
        <w:t>’</w:t>
      </w:r>
      <w:r w:rsidRPr="00495192">
        <w:rPr>
          <w:lang w:val="fr-FR"/>
        </w:rPr>
        <w:t>origine dans la certification de la demande internationale</w:t>
      </w:r>
      <w:r w:rsidR="00816572" w:rsidRPr="00495192">
        <w:rPr>
          <w:lang w:val="fr-FR"/>
        </w:rPr>
        <w:t>.</w:t>
      </w:r>
    </w:p>
    <w:p w:rsidR="00504BB9" w:rsidRPr="00495192" w:rsidRDefault="00495192" w:rsidP="00495192">
      <w:pPr>
        <w:pStyle w:val="Heading2"/>
        <w:rPr>
          <w:lang w:val="fr-FR"/>
        </w:rPr>
      </w:pPr>
      <w:r w:rsidRPr="00495192">
        <w:rPr>
          <w:lang w:val="fr-FR"/>
        </w:rPr>
        <w:t>Préservation de la dépendance</w:t>
      </w:r>
    </w:p>
    <w:p w:rsidR="00504BB9" w:rsidRPr="00470C8A" w:rsidRDefault="00504BB9" w:rsidP="00470C8A">
      <w:pPr>
        <w:rPr>
          <w:szCs w:val="22"/>
          <w:lang w:val="fr-FR"/>
        </w:rPr>
      </w:pPr>
    </w:p>
    <w:p w:rsidR="00573E17" w:rsidRDefault="00E9166C" w:rsidP="00495192">
      <w:pPr>
        <w:pStyle w:val="ONUMFS"/>
        <w:rPr>
          <w:lang w:val="fr-FR"/>
        </w:rPr>
      </w:pPr>
      <w:r w:rsidRPr="00470C8A">
        <w:rPr>
          <w:lang w:val="fr-FR"/>
        </w:rPr>
        <w:t>Certaines d</w:t>
      </w:r>
      <w:r w:rsidR="00774587" w:rsidRPr="00470C8A">
        <w:rPr>
          <w:lang w:val="fr-FR"/>
        </w:rPr>
        <w:t xml:space="preserve">élégations se sont opposées à une </w:t>
      </w:r>
      <w:r w:rsidRPr="00470C8A">
        <w:rPr>
          <w:lang w:val="fr-FR"/>
        </w:rPr>
        <w:t xml:space="preserve">abolition, modification ou </w:t>
      </w:r>
      <w:r w:rsidR="00774587" w:rsidRPr="00470C8A">
        <w:rPr>
          <w:lang w:val="fr-FR"/>
        </w:rPr>
        <w:t>suspension de</w:t>
      </w:r>
      <w:r w:rsidRPr="00470C8A">
        <w:rPr>
          <w:lang w:val="fr-FR"/>
        </w:rPr>
        <w:t xml:space="preserve"> la dépendance parce que, de leur point de vue</w:t>
      </w:r>
      <w:r w:rsidR="00274D65">
        <w:rPr>
          <w:lang w:val="fr-FR"/>
        </w:rPr>
        <w:t> </w:t>
      </w:r>
      <w:r w:rsidR="00816572" w:rsidRPr="00470C8A">
        <w:rPr>
          <w:lang w:val="fr-FR"/>
        </w:rPr>
        <w:t>:</w:t>
      </w:r>
    </w:p>
    <w:p w:rsidR="00573E17" w:rsidRDefault="00E9166C" w:rsidP="00495192">
      <w:pPr>
        <w:pStyle w:val="ONUMFS"/>
        <w:numPr>
          <w:ilvl w:val="0"/>
          <w:numId w:val="19"/>
        </w:numPr>
        <w:ind w:left="567" w:firstLine="0"/>
        <w:rPr>
          <w:lang w:val="fr-FR"/>
        </w:rPr>
      </w:pPr>
      <w:r w:rsidRPr="00495192">
        <w:rPr>
          <w:lang w:val="fr-FR"/>
        </w:rPr>
        <w:t>l</w:t>
      </w:r>
      <w:r w:rsidR="00573E17">
        <w:rPr>
          <w:lang w:val="fr-FR"/>
        </w:rPr>
        <w:t>’</w:t>
      </w:r>
      <w:r w:rsidRPr="00495192">
        <w:rPr>
          <w:lang w:val="fr-FR"/>
        </w:rPr>
        <w:t>examen de la dépendance ne devrait pas être une priorité</w:t>
      </w:r>
      <w:r w:rsidR="00816572" w:rsidRPr="00495192">
        <w:rPr>
          <w:lang w:val="fr-FR"/>
        </w:rPr>
        <w:t>;</w:t>
      </w:r>
    </w:p>
    <w:p w:rsidR="00573E17" w:rsidRDefault="00E9166C" w:rsidP="00495192">
      <w:pPr>
        <w:pStyle w:val="ONUMFS"/>
        <w:numPr>
          <w:ilvl w:val="0"/>
          <w:numId w:val="19"/>
        </w:numPr>
        <w:ind w:left="567" w:firstLine="0"/>
        <w:rPr>
          <w:lang w:val="fr-FR"/>
        </w:rPr>
      </w:pPr>
      <w:r w:rsidRPr="00495192">
        <w:rPr>
          <w:lang w:val="fr-FR"/>
        </w:rPr>
        <w:t>la dépendance était un principe fondamental du système de Madrid</w:t>
      </w:r>
      <w:r w:rsidR="00816572" w:rsidRPr="00495192">
        <w:rPr>
          <w:lang w:val="fr-FR"/>
        </w:rPr>
        <w:t>;</w:t>
      </w:r>
    </w:p>
    <w:p w:rsidR="00573E17" w:rsidRDefault="00E9166C" w:rsidP="00495192">
      <w:pPr>
        <w:pStyle w:val="ONUMFS"/>
        <w:numPr>
          <w:ilvl w:val="0"/>
          <w:numId w:val="19"/>
        </w:numPr>
        <w:ind w:left="567" w:firstLine="0"/>
        <w:rPr>
          <w:lang w:val="fr-FR"/>
        </w:rPr>
      </w:pPr>
      <w:r w:rsidRPr="00495192">
        <w:rPr>
          <w:lang w:val="fr-FR"/>
        </w:rPr>
        <w:t>la dépendance servait les intérêts des petites et moyen</w:t>
      </w:r>
      <w:r w:rsidR="00722542" w:rsidRPr="00495192">
        <w:rPr>
          <w:lang w:val="fr-FR"/>
        </w:rPr>
        <w:t>nes entreprises</w:t>
      </w:r>
      <w:r w:rsidR="00774587" w:rsidRPr="00495192">
        <w:rPr>
          <w:lang w:val="fr-FR"/>
        </w:rPr>
        <w:t xml:space="preserve"> </w:t>
      </w:r>
      <w:r w:rsidR="00722542" w:rsidRPr="00495192">
        <w:rPr>
          <w:lang w:val="fr-FR"/>
        </w:rPr>
        <w:t>puis</w:t>
      </w:r>
      <w:r w:rsidR="00774587" w:rsidRPr="00495192">
        <w:rPr>
          <w:lang w:val="fr-FR"/>
        </w:rPr>
        <w:t>que c</w:t>
      </w:r>
      <w:r w:rsidRPr="00495192">
        <w:rPr>
          <w:lang w:val="fr-FR"/>
        </w:rPr>
        <w:t>elles</w:t>
      </w:r>
      <w:r w:rsidR="005A2D9F">
        <w:rPr>
          <w:lang w:val="fr-FR"/>
        </w:rPr>
        <w:noBreakHyphen/>
      </w:r>
      <w:r w:rsidR="00774587" w:rsidRPr="00495192">
        <w:rPr>
          <w:lang w:val="fr-FR"/>
        </w:rPr>
        <w:t>ci</w:t>
      </w:r>
      <w:r w:rsidRPr="00495192">
        <w:rPr>
          <w:lang w:val="fr-FR"/>
        </w:rPr>
        <w:t xml:space="preserve"> pouvaient engager une procédure aboutissant à la radiation de l</w:t>
      </w:r>
      <w:r w:rsidR="00573E17">
        <w:rPr>
          <w:lang w:val="fr-FR"/>
        </w:rPr>
        <w:t>’</w:t>
      </w:r>
      <w:r w:rsidRPr="00495192">
        <w:rPr>
          <w:lang w:val="fr-FR"/>
        </w:rPr>
        <w:t>enregistrement international dans le délai de cinq</w:t>
      </w:r>
      <w:r w:rsidR="00274D65">
        <w:rPr>
          <w:lang w:val="fr-FR"/>
        </w:rPr>
        <w:t> </w:t>
      </w:r>
      <w:r w:rsidRPr="00495192">
        <w:rPr>
          <w:lang w:val="fr-FR"/>
        </w:rPr>
        <w:t xml:space="preserve">ans, dans leur propre langue et </w:t>
      </w:r>
      <w:r w:rsidR="009E4FB2" w:rsidRPr="00495192">
        <w:rPr>
          <w:lang w:val="fr-FR"/>
        </w:rPr>
        <w:t>à moindre coût</w:t>
      </w:r>
      <w:r w:rsidR="00816572" w:rsidRPr="00495192">
        <w:rPr>
          <w:lang w:val="fr-FR"/>
        </w:rPr>
        <w:t>;</w:t>
      </w:r>
    </w:p>
    <w:p w:rsidR="00495192" w:rsidRPr="00495192" w:rsidRDefault="00722542" w:rsidP="00495192">
      <w:pPr>
        <w:pStyle w:val="ONUMFS"/>
        <w:numPr>
          <w:ilvl w:val="0"/>
          <w:numId w:val="19"/>
        </w:numPr>
        <w:ind w:left="567" w:firstLine="0"/>
        <w:rPr>
          <w:lang w:val="fr-FR"/>
        </w:rPr>
      </w:pPr>
      <w:r w:rsidRPr="00495192">
        <w:rPr>
          <w:lang w:val="fr-FR"/>
        </w:rPr>
        <w:t>supprimer</w:t>
      </w:r>
      <w:r w:rsidR="00912CF9" w:rsidRPr="00495192">
        <w:rPr>
          <w:lang w:val="fr-FR"/>
        </w:rPr>
        <w:t xml:space="preserve"> la</w:t>
      </w:r>
      <w:r w:rsidR="00816572" w:rsidRPr="00495192">
        <w:rPr>
          <w:lang w:val="fr-FR"/>
        </w:rPr>
        <w:t xml:space="preserve"> </w:t>
      </w:r>
      <w:r w:rsidR="00E9166C" w:rsidRPr="00495192">
        <w:rPr>
          <w:lang w:val="fr-FR"/>
        </w:rPr>
        <w:t>dépendance</w:t>
      </w:r>
      <w:r w:rsidR="00912CF9" w:rsidRPr="00495192">
        <w:rPr>
          <w:lang w:val="fr-FR"/>
        </w:rPr>
        <w:t xml:space="preserve"> pourrait constituer un premier pas vers la suppression de l</w:t>
      </w:r>
      <w:r w:rsidR="00573E17">
        <w:rPr>
          <w:lang w:val="fr-FR"/>
        </w:rPr>
        <w:t>’</w:t>
      </w:r>
      <w:r w:rsidR="00912CF9" w:rsidRPr="00495192">
        <w:rPr>
          <w:lang w:val="fr-FR"/>
        </w:rPr>
        <w:t xml:space="preserve">exigence </w:t>
      </w:r>
      <w:r w:rsidR="00774587" w:rsidRPr="00495192">
        <w:rPr>
          <w:lang w:val="fr-FR"/>
        </w:rPr>
        <w:t>d</w:t>
      </w:r>
      <w:r w:rsidR="00573E17">
        <w:rPr>
          <w:lang w:val="fr-FR"/>
        </w:rPr>
        <w:t>’</w:t>
      </w:r>
      <w:r w:rsidR="00774587" w:rsidRPr="00495192">
        <w:rPr>
          <w:lang w:val="fr-FR"/>
        </w:rPr>
        <w:t xml:space="preserve">une </w:t>
      </w:r>
      <w:r w:rsidR="00912CF9" w:rsidRPr="00495192">
        <w:rPr>
          <w:lang w:val="fr-FR"/>
        </w:rPr>
        <w:t>marque de base</w:t>
      </w:r>
      <w:r w:rsidR="00816572" w:rsidRPr="00495192">
        <w:rPr>
          <w:lang w:val="fr-FR"/>
        </w:rPr>
        <w:t xml:space="preserve">; </w:t>
      </w:r>
      <w:r w:rsidR="004C58C7" w:rsidRPr="00495192">
        <w:rPr>
          <w:lang w:val="fr-FR"/>
        </w:rPr>
        <w:t xml:space="preserve"> </w:t>
      </w:r>
      <w:r w:rsidR="00912CF9" w:rsidRPr="00495192">
        <w:rPr>
          <w:lang w:val="fr-FR"/>
        </w:rPr>
        <w:t>et</w:t>
      </w:r>
    </w:p>
    <w:p w:rsidR="00573E17" w:rsidRDefault="00774587" w:rsidP="003B5524">
      <w:pPr>
        <w:pStyle w:val="ONUMFS"/>
        <w:numPr>
          <w:ilvl w:val="0"/>
          <w:numId w:val="19"/>
        </w:numPr>
        <w:spacing w:after="0"/>
        <w:ind w:left="567" w:firstLine="0"/>
        <w:rPr>
          <w:lang w:val="fr-FR"/>
        </w:rPr>
      </w:pPr>
      <w:r w:rsidRPr="00495192">
        <w:rPr>
          <w:lang w:val="fr-FR"/>
        </w:rPr>
        <w:t>supprimer</w:t>
      </w:r>
      <w:r w:rsidR="00912CF9" w:rsidRPr="00495192">
        <w:rPr>
          <w:lang w:val="fr-FR"/>
        </w:rPr>
        <w:t xml:space="preserve"> la</w:t>
      </w:r>
      <w:r w:rsidR="00816572" w:rsidRPr="00495192">
        <w:rPr>
          <w:lang w:val="fr-FR"/>
        </w:rPr>
        <w:t xml:space="preserve"> </w:t>
      </w:r>
      <w:r w:rsidR="00E9166C" w:rsidRPr="00495192">
        <w:rPr>
          <w:lang w:val="fr-FR"/>
        </w:rPr>
        <w:t>dépendance</w:t>
      </w:r>
      <w:r w:rsidRPr="00495192">
        <w:rPr>
          <w:lang w:val="fr-FR"/>
        </w:rPr>
        <w:t xml:space="preserve"> semblait</w:t>
      </w:r>
      <w:r w:rsidR="00912CF9" w:rsidRPr="00495192">
        <w:rPr>
          <w:lang w:val="fr-FR"/>
        </w:rPr>
        <w:t xml:space="preserve"> inutile parce que l</w:t>
      </w:r>
      <w:r w:rsidR="00573E17">
        <w:rPr>
          <w:lang w:val="fr-FR"/>
        </w:rPr>
        <w:t>’</w:t>
      </w:r>
      <w:r w:rsidR="00912CF9" w:rsidRPr="00495192">
        <w:rPr>
          <w:lang w:val="fr-FR"/>
        </w:rPr>
        <w:t>attaque centrale ne paraissait pas être un mécanisme communément utilisé</w:t>
      </w:r>
      <w:r w:rsidR="00816572" w:rsidRPr="00495192">
        <w:rPr>
          <w:lang w:val="fr-FR"/>
        </w:rPr>
        <w:t>.</w:t>
      </w:r>
    </w:p>
    <w:p w:rsidR="00504BB9" w:rsidRPr="00495192" w:rsidRDefault="00495192" w:rsidP="00495192">
      <w:pPr>
        <w:pStyle w:val="Heading2"/>
        <w:rPr>
          <w:lang w:val="fr-FR"/>
        </w:rPr>
      </w:pPr>
      <w:r w:rsidRPr="00495192">
        <w:rPr>
          <w:lang w:val="fr-FR"/>
        </w:rPr>
        <w:t>Poursuite des discussions</w:t>
      </w:r>
    </w:p>
    <w:p w:rsidR="00504BB9" w:rsidRPr="00470C8A" w:rsidRDefault="00504BB9" w:rsidP="00470C8A">
      <w:pPr>
        <w:rPr>
          <w:szCs w:val="22"/>
          <w:lang w:val="fr-FR"/>
        </w:rPr>
      </w:pPr>
    </w:p>
    <w:p w:rsidR="00573E17" w:rsidRDefault="00912CF9" w:rsidP="00495192">
      <w:pPr>
        <w:pStyle w:val="ONUMFS"/>
      </w:pPr>
      <w:r w:rsidRPr="00470C8A">
        <w:t>Enfin, un certain nombre de délégations étaient d</w:t>
      </w:r>
      <w:r w:rsidR="00573E17">
        <w:t>’</w:t>
      </w:r>
      <w:r w:rsidRPr="00470C8A">
        <w:t>avis que la dépendance méritait une analyse et un débat plus approfondis, et ont indiqué que</w:t>
      </w:r>
      <w:r w:rsidR="00573E17">
        <w:t> :</w:t>
      </w:r>
    </w:p>
    <w:p w:rsidR="00573E17" w:rsidRDefault="00912CF9" w:rsidP="00495192">
      <w:pPr>
        <w:pStyle w:val="ONUMFS"/>
        <w:numPr>
          <w:ilvl w:val="0"/>
          <w:numId w:val="19"/>
        </w:numPr>
        <w:ind w:left="567" w:firstLine="0"/>
        <w:rPr>
          <w:lang w:val="fr-FR"/>
        </w:rPr>
      </w:pPr>
      <w:r w:rsidRPr="00495192">
        <w:rPr>
          <w:lang w:val="fr-FR"/>
        </w:rPr>
        <w:t>les conclusions de l</w:t>
      </w:r>
      <w:r w:rsidR="00573E17">
        <w:rPr>
          <w:lang w:val="fr-FR"/>
        </w:rPr>
        <w:t>’</w:t>
      </w:r>
      <w:r w:rsidRPr="00495192">
        <w:rPr>
          <w:lang w:val="fr-FR"/>
        </w:rPr>
        <w:t xml:space="preserve">enquête sur la dépendance, entreprise </w:t>
      </w:r>
      <w:r w:rsidR="00573E17" w:rsidRPr="00495192">
        <w:rPr>
          <w:lang w:val="fr-FR"/>
        </w:rPr>
        <w:t>en</w:t>
      </w:r>
      <w:r w:rsidR="00573E17">
        <w:rPr>
          <w:lang w:val="fr-FR"/>
        </w:rPr>
        <w:t> </w:t>
      </w:r>
      <w:r w:rsidR="00573E17" w:rsidRPr="00495192">
        <w:rPr>
          <w:lang w:val="fr-FR"/>
        </w:rPr>
        <w:t>2015</w:t>
      </w:r>
      <w:r w:rsidRPr="00495192">
        <w:rPr>
          <w:lang w:val="fr-FR"/>
        </w:rPr>
        <w:t xml:space="preserve">, méritaient une analyse plus approfondie et </w:t>
      </w:r>
      <w:r w:rsidR="00774587" w:rsidRPr="00495192">
        <w:rPr>
          <w:lang w:val="fr-FR"/>
        </w:rPr>
        <w:t xml:space="preserve">appelaient </w:t>
      </w:r>
      <w:r w:rsidRPr="00495192">
        <w:rPr>
          <w:lang w:val="fr-FR"/>
        </w:rPr>
        <w:t>un examen plus général des questions en jeu</w:t>
      </w:r>
      <w:r w:rsidR="00816572" w:rsidRPr="00495192">
        <w:rPr>
          <w:lang w:val="fr-FR"/>
        </w:rPr>
        <w:t>;</w:t>
      </w:r>
    </w:p>
    <w:p w:rsidR="00495192" w:rsidRPr="00495192" w:rsidRDefault="00912CF9" w:rsidP="00495192">
      <w:pPr>
        <w:pStyle w:val="ONUMFS"/>
        <w:numPr>
          <w:ilvl w:val="0"/>
          <w:numId w:val="19"/>
        </w:numPr>
        <w:ind w:left="567" w:firstLine="0"/>
        <w:rPr>
          <w:lang w:val="fr-FR"/>
        </w:rPr>
      </w:pPr>
      <w:r w:rsidRPr="00495192">
        <w:rPr>
          <w:lang w:val="fr-FR"/>
        </w:rPr>
        <w:t xml:space="preserve">les informations </w:t>
      </w:r>
      <w:r w:rsidR="00F753E4">
        <w:rPr>
          <w:lang w:val="fr-FR"/>
        </w:rPr>
        <w:t xml:space="preserve">recueillies </w:t>
      </w:r>
      <w:r w:rsidRPr="00495192">
        <w:rPr>
          <w:lang w:val="fr-FR"/>
        </w:rPr>
        <w:t xml:space="preserve">ont révélé que les propriétaires de marques </w:t>
      </w:r>
      <w:r w:rsidR="003762EC" w:rsidRPr="00495192">
        <w:rPr>
          <w:lang w:val="fr-FR"/>
        </w:rPr>
        <w:t xml:space="preserve">souhaitaient une révision de la période de dépendance pour </w:t>
      </w:r>
      <w:r w:rsidR="00774587" w:rsidRPr="00495192">
        <w:rPr>
          <w:lang w:val="fr-FR"/>
        </w:rPr>
        <w:t>assurer</w:t>
      </w:r>
      <w:r w:rsidR="003762EC" w:rsidRPr="00495192">
        <w:rPr>
          <w:lang w:val="fr-FR"/>
        </w:rPr>
        <w:t xml:space="preserve"> l</w:t>
      </w:r>
      <w:r w:rsidR="00547D68" w:rsidRPr="00495192">
        <w:rPr>
          <w:lang w:val="fr-FR"/>
        </w:rPr>
        <w:t>a sécurité juridique</w:t>
      </w:r>
      <w:r w:rsidR="003762EC" w:rsidRPr="00495192">
        <w:rPr>
          <w:lang w:val="fr-FR"/>
        </w:rPr>
        <w:t xml:space="preserve"> et </w:t>
      </w:r>
      <w:r w:rsidR="00547D68" w:rsidRPr="00495192">
        <w:rPr>
          <w:lang w:val="fr-FR"/>
        </w:rPr>
        <w:t>qu</w:t>
      </w:r>
      <w:r w:rsidR="00573E17">
        <w:rPr>
          <w:lang w:val="fr-FR"/>
        </w:rPr>
        <w:t>’</w:t>
      </w:r>
      <w:r w:rsidR="00547D68" w:rsidRPr="00495192">
        <w:rPr>
          <w:lang w:val="fr-FR"/>
        </w:rPr>
        <w:t>ils étaient en faveur de</w:t>
      </w:r>
      <w:r w:rsidR="003762EC" w:rsidRPr="00495192">
        <w:rPr>
          <w:lang w:val="fr-FR"/>
        </w:rPr>
        <w:t xml:space="preserve"> la poursuite des discussions du groupe de</w:t>
      </w:r>
      <w:r w:rsidR="003B5524">
        <w:rPr>
          <w:lang w:val="fr-FR"/>
        </w:rPr>
        <w:t> </w:t>
      </w:r>
      <w:r w:rsidR="003762EC" w:rsidRPr="00495192">
        <w:rPr>
          <w:lang w:val="fr-FR"/>
        </w:rPr>
        <w:t>travail</w:t>
      </w:r>
      <w:r w:rsidR="00816572" w:rsidRPr="00495192">
        <w:rPr>
          <w:lang w:val="fr-FR"/>
        </w:rPr>
        <w:t xml:space="preserve">; </w:t>
      </w:r>
      <w:r w:rsidR="004C58C7" w:rsidRPr="00495192">
        <w:rPr>
          <w:lang w:val="fr-FR"/>
        </w:rPr>
        <w:t xml:space="preserve"> </w:t>
      </w:r>
      <w:r w:rsidRPr="00495192">
        <w:rPr>
          <w:lang w:val="fr-FR"/>
        </w:rPr>
        <w:t>et</w:t>
      </w:r>
    </w:p>
    <w:p w:rsidR="00573E17" w:rsidRDefault="00547D68" w:rsidP="003B5524">
      <w:pPr>
        <w:pStyle w:val="ONUMFS"/>
        <w:numPr>
          <w:ilvl w:val="0"/>
          <w:numId w:val="19"/>
        </w:numPr>
        <w:spacing w:after="0"/>
        <w:ind w:left="567" w:firstLine="0"/>
        <w:rPr>
          <w:lang w:val="fr-FR"/>
        </w:rPr>
      </w:pPr>
      <w:r w:rsidRPr="00495192">
        <w:rPr>
          <w:lang w:val="fr-FR"/>
        </w:rPr>
        <w:t>il serait utile et intéressant d</w:t>
      </w:r>
      <w:r w:rsidR="00573E17">
        <w:rPr>
          <w:lang w:val="fr-FR"/>
        </w:rPr>
        <w:t>’</w:t>
      </w:r>
      <w:r w:rsidR="003762EC" w:rsidRPr="00495192">
        <w:rPr>
          <w:lang w:val="fr-FR"/>
        </w:rPr>
        <w:t>examiner la dépendance afin d</w:t>
      </w:r>
      <w:r w:rsidR="00573E17">
        <w:rPr>
          <w:lang w:val="fr-FR"/>
        </w:rPr>
        <w:t>’</w:t>
      </w:r>
      <w:r w:rsidR="003762EC" w:rsidRPr="00495192">
        <w:rPr>
          <w:lang w:val="fr-FR"/>
        </w:rPr>
        <w:t>assouplir le système de Madrid</w:t>
      </w:r>
      <w:r w:rsidRPr="00495192">
        <w:rPr>
          <w:lang w:val="fr-FR"/>
        </w:rPr>
        <w:t xml:space="preserve"> et d</w:t>
      </w:r>
      <w:r w:rsidR="00573E17">
        <w:rPr>
          <w:lang w:val="fr-FR"/>
        </w:rPr>
        <w:t>’</w:t>
      </w:r>
      <w:r w:rsidRPr="00495192">
        <w:rPr>
          <w:lang w:val="fr-FR"/>
        </w:rPr>
        <w:t>attirer de</w:t>
      </w:r>
      <w:r w:rsidR="003762EC" w:rsidRPr="00495192">
        <w:rPr>
          <w:lang w:val="fr-FR"/>
        </w:rPr>
        <w:t xml:space="preserve"> nouveaux membres</w:t>
      </w:r>
      <w:r w:rsidR="00816572" w:rsidRPr="00495192">
        <w:rPr>
          <w:lang w:val="fr-FR"/>
        </w:rPr>
        <w:t>.</w:t>
      </w:r>
    </w:p>
    <w:p w:rsidR="00504BB9" w:rsidRPr="00495192" w:rsidRDefault="00495192" w:rsidP="00495192">
      <w:pPr>
        <w:pStyle w:val="Heading1"/>
        <w:rPr>
          <w:lang w:val="fr-FR"/>
        </w:rPr>
      </w:pPr>
      <w:r w:rsidRPr="00495192">
        <w:rPr>
          <w:lang w:val="fr-FR"/>
        </w:rPr>
        <w:t>Possibles voies à suivre</w:t>
      </w:r>
    </w:p>
    <w:p w:rsidR="00504BB9" w:rsidRPr="00470C8A" w:rsidRDefault="00504BB9" w:rsidP="00470C8A">
      <w:pPr>
        <w:keepNext/>
        <w:keepLines/>
        <w:rPr>
          <w:szCs w:val="22"/>
          <w:lang w:val="fr-FR"/>
        </w:rPr>
      </w:pPr>
    </w:p>
    <w:p w:rsidR="00573E17" w:rsidRDefault="003762EC" w:rsidP="0087445B">
      <w:pPr>
        <w:pStyle w:val="ONUMFS"/>
        <w:spacing w:after="0"/>
      </w:pPr>
      <w:r w:rsidRPr="00470C8A">
        <w:t xml:space="preserve">Le </w:t>
      </w:r>
      <w:r w:rsidRPr="00470C8A">
        <w:rPr>
          <w:lang w:val="fr-FR"/>
        </w:rPr>
        <w:t>groupe de travail</w:t>
      </w:r>
      <w:r w:rsidRPr="00470C8A">
        <w:t xml:space="preserve"> souhaitera peut</w:t>
      </w:r>
      <w:r w:rsidR="005A2D9F">
        <w:noBreakHyphen/>
      </w:r>
      <w:r w:rsidRPr="00470C8A">
        <w:t xml:space="preserve">être examiner les </w:t>
      </w:r>
      <w:r w:rsidR="00547D68" w:rsidRPr="00470C8A">
        <w:t>possibilités</w:t>
      </w:r>
      <w:r w:rsidRPr="00470C8A">
        <w:t xml:space="preserve"> ci</w:t>
      </w:r>
      <w:r w:rsidR="005A2D9F">
        <w:noBreakHyphen/>
      </w:r>
      <w:r w:rsidRPr="00470C8A">
        <w:t>après concernant la</w:t>
      </w:r>
      <w:r w:rsidR="003B5524">
        <w:t> </w:t>
      </w:r>
      <w:r w:rsidRPr="00470C8A">
        <w:t>dépendance</w:t>
      </w:r>
      <w:r w:rsidR="00573E17">
        <w:t> :</w:t>
      </w:r>
    </w:p>
    <w:p w:rsidR="00504BB9" w:rsidRPr="00470C8A" w:rsidRDefault="00495192" w:rsidP="00495192">
      <w:pPr>
        <w:pStyle w:val="Heading2"/>
      </w:pPr>
      <w:r w:rsidRPr="00470C8A">
        <w:t>Abolition du principe de la dépendance</w:t>
      </w:r>
    </w:p>
    <w:p w:rsidR="00504BB9" w:rsidRPr="00470C8A" w:rsidRDefault="00504BB9" w:rsidP="00470C8A">
      <w:pPr>
        <w:keepNext/>
        <w:keepLines/>
        <w:rPr>
          <w:szCs w:val="22"/>
        </w:rPr>
      </w:pPr>
    </w:p>
    <w:p w:rsidR="00504BB9" w:rsidRPr="00470C8A" w:rsidRDefault="00722542" w:rsidP="0087445B">
      <w:pPr>
        <w:pStyle w:val="ONUMFS"/>
        <w:spacing w:after="0"/>
        <w:rPr>
          <w:lang w:val="fr-FR"/>
        </w:rPr>
      </w:pPr>
      <w:r w:rsidRPr="00470C8A">
        <w:rPr>
          <w:lang w:val="fr-FR"/>
        </w:rPr>
        <w:t>Le</w:t>
      </w:r>
      <w:r w:rsidR="00816572" w:rsidRPr="00470C8A">
        <w:rPr>
          <w:lang w:val="fr-FR"/>
        </w:rPr>
        <w:t xml:space="preserve"> </w:t>
      </w:r>
      <w:r w:rsidR="00931FD7" w:rsidRPr="00470C8A">
        <w:rPr>
          <w:lang w:val="fr-FR"/>
        </w:rPr>
        <w:t>principe</w:t>
      </w:r>
      <w:r w:rsidR="00816572" w:rsidRPr="00470C8A">
        <w:rPr>
          <w:lang w:val="fr-FR"/>
        </w:rPr>
        <w:t xml:space="preserve"> </w:t>
      </w:r>
      <w:r w:rsidR="00931FD7" w:rsidRPr="00470C8A">
        <w:rPr>
          <w:lang w:val="fr-FR"/>
        </w:rPr>
        <w:t>de la</w:t>
      </w:r>
      <w:r w:rsidR="00816572" w:rsidRPr="00470C8A">
        <w:rPr>
          <w:lang w:val="fr-FR"/>
        </w:rPr>
        <w:t xml:space="preserve"> </w:t>
      </w:r>
      <w:r w:rsidR="00E9166C" w:rsidRPr="00470C8A">
        <w:rPr>
          <w:lang w:val="fr-FR"/>
        </w:rPr>
        <w:t>dépendance</w:t>
      </w:r>
      <w:r w:rsidR="00816572" w:rsidRPr="00470C8A">
        <w:rPr>
          <w:lang w:val="fr-FR"/>
        </w:rPr>
        <w:t xml:space="preserve"> </w:t>
      </w:r>
      <w:r w:rsidR="00B018EE" w:rsidRPr="00470C8A">
        <w:rPr>
          <w:lang w:val="fr-FR"/>
        </w:rPr>
        <w:t xml:space="preserve">pourrait être aboli par la suppression des </w:t>
      </w:r>
      <w:r w:rsidR="00573E17" w:rsidRPr="00470C8A">
        <w:rPr>
          <w:lang w:val="fr-FR"/>
        </w:rPr>
        <w:t>alinéas</w:t>
      </w:r>
      <w:r w:rsidR="00573E17">
        <w:rPr>
          <w:lang w:val="fr-FR"/>
        </w:rPr>
        <w:t> </w:t>
      </w:r>
      <w:r w:rsidR="00573E17" w:rsidRPr="00470C8A">
        <w:rPr>
          <w:lang w:val="fr-FR"/>
        </w:rPr>
        <w:t>3</w:t>
      </w:r>
      <w:r w:rsidR="00B018EE" w:rsidRPr="00470C8A">
        <w:rPr>
          <w:lang w:val="fr-FR"/>
        </w:rPr>
        <w:t>) et 4) de l</w:t>
      </w:r>
      <w:r w:rsidR="00573E17">
        <w:rPr>
          <w:lang w:val="fr-FR"/>
        </w:rPr>
        <w:t>’</w:t>
      </w:r>
      <w:r w:rsidR="00573E17" w:rsidRPr="00470C8A">
        <w:rPr>
          <w:lang w:val="fr-FR"/>
        </w:rPr>
        <w:t>article</w:t>
      </w:r>
      <w:r w:rsidR="00573E17">
        <w:rPr>
          <w:lang w:val="fr-FR"/>
        </w:rPr>
        <w:t> </w:t>
      </w:r>
      <w:r w:rsidR="00573E17" w:rsidRPr="00470C8A">
        <w:rPr>
          <w:lang w:val="fr-FR"/>
        </w:rPr>
        <w:t>6</w:t>
      </w:r>
      <w:r w:rsidR="00B018EE" w:rsidRPr="00470C8A">
        <w:rPr>
          <w:lang w:val="fr-FR"/>
        </w:rPr>
        <w:t>, et la modification de l</w:t>
      </w:r>
      <w:r w:rsidR="00573E17">
        <w:rPr>
          <w:lang w:val="fr-FR"/>
        </w:rPr>
        <w:t>’</w:t>
      </w:r>
      <w:r w:rsidR="00573E17" w:rsidRPr="00470C8A">
        <w:rPr>
          <w:lang w:val="fr-FR"/>
        </w:rPr>
        <w:t>alinéa</w:t>
      </w:r>
      <w:r w:rsidR="00573E17">
        <w:rPr>
          <w:lang w:val="fr-FR"/>
        </w:rPr>
        <w:t> </w:t>
      </w:r>
      <w:r w:rsidR="00573E17" w:rsidRPr="00470C8A">
        <w:rPr>
          <w:lang w:val="fr-FR"/>
        </w:rPr>
        <w:t>2</w:t>
      </w:r>
      <w:r w:rsidR="004839D4">
        <w:rPr>
          <w:lang w:val="fr-FR"/>
        </w:rPr>
        <w:t>)</w:t>
      </w:r>
      <w:r w:rsidR="00B018EE" w:rsidRPr="00470C8A">
        <w:rPr>
          <w:lang w:val="fr-FR"/>
        </w:rPr>
        <w:t xml:space="preserve"> pour établir que l</w:t>
      </w:r>
      <w:r w:rsidR="00573E17">
        <w:rPr>
          <w:lang w:val="fr-FR"/>
        </w:rPr>
        <w:t>’</w:t>
      </w:r>
      <w:r w:rsidR="00B018EE" w:rsidRPr="00470C8A">
        <w:rPr>
          <w:lang w:val="fr-FR"/>
        </w:rPr>
        <w:t>enregistrement international est indépendant de la marque de ba</w:t>
      </w:r>
      <w:r w:rsidR="005B5C19" w:rsidRPr="00470C8A">
        <w:rPr>
          <w:lang w:val="fr-FR"/>
        </w:rPr>
        <w:t>se</w:t>
      </w:r>
      <w:r w:rsidR="005B5C19">
        <w:rPr>
          <w:lang w:val="fr-FR"/>
        </w:rPr>
        <w:t xml:space="preserve">.  </w:t>
      </w:r>
      <w:r w:rsidR="005B5C19" w:rsidRPr="00470C8A">
        <w:rPr>
          <w:lang w:val="fr-FR"/>
        </w:rPr>
        <w:t>To</w:t>
      </w:r>
      <w:r w:rsidR="00B018EE" w:rsidRPr="00470C8A">
        <w:rPr>
          <w:lang w:val="fr-FR"/>
        </w:rPr>
        <w:t>utefois, il ne figure aucune disposition dans le Protocole établissant une procédure spéciale aux fins de la modification de l</w:t>
      </w:r>
      <w:r w:rsidR="00573E17">
        <w:rPr>
          <w:lang w:val="fr-FR"/>
        </w:rPr>
        <w:t>’</w:t>
      </w:r>
      <w:r w:rsidR="00573E17" w:rsidRPr="00470C8A">
        <w:rPr>
          <w:lang w:val="fr-FR"/>
        </w:rPr>
        <w:t>article</w:t>
      </w:r>
      <w:r w:rsidR="00573E17">
        <w:rPr>
          <w:lang w:val="fr-FR"/>
        </w:rPr>
        <w:t> </w:t>
      </w:r>
      <w:r w:rsidR="00573E17" w:rsidRPr="00470C8A">
        <w:rPr>
          <w:lang w:val="fr-FR"/>
        </w:rPr>
        <w:t>6</w:t>
      </w:r>
      <w:r w:rsidR="00816572" w:rsidRPr="00470C8A">
        <w:rPr>
          <w:lang w:val="fr-FR"/>
        </w:rPr>
        <w:t xml:space="preserve">.  </w:t>
      </w:r>
      <w:r w:rsidR="00B018EE" w:rsidRPr="00470C8A">
        <w:rPr>
          <w:lang w:val="fr-FR"/>
        </w:rPr>
        <w:t>Par conséquent, toute modification proposée de cet article devrait suivre la procédure générale prévue à l</w:t>
      </w:r>
      <w:r w:rsidR="00573E17">
        <w:rPr>
          <w:lang w:val="fr-FR"/>
        </w:rPr>
        <w:t>’</w:t>
      </w:r>
      <w:r w:rsidR="00573E17" w:rsidRPr="00470C8A">
        <w:rPr>
          <w:lang w:val="fr-FR"/>
        </w:rPr>
        <w:t>article</w:t>
      </w:r>
      <w:r w:rsidR="00573E17">
        <w:rPr>
          <w:lang w:val="fr-FR"/>
        </w:rPr>
        <w:t> </w:t>
      </w:r>
      <w:r w:rsidR="00573E17" w:rsidRPr="00470C8A">
        <w:rPr>
          <w:lang w:val="fr-FR"/>
        </w:rPr>
        <w:t>1</w:t>
      </w:r>
      <w:r w:rsidR="00B018EE" w:rsidRPr="00470C8A">
        <w:rPr>
          <w:lang w:val="fr-FR"/>
        </w:rPr>
        <w:t>1.2)a) aux fins de la révision du Protocole par la convocation d</w:t>
      </w:r>
      <w:r w:rsidR="00573E17">
        <w:rPr>
          <w:lang w:val="fr-FR"/>
        </w:rPr>
        <w:t>’</w:t>
      </w:r>
      <w:r w:rsidR="00B018EE" w:rsidRPr="00470C8A">
        <w:rPr>
          <w:lang w:val="fr-FR"/>
        </w:rPr>
        <w:t>une conférence diplomatique.</w:t>
      </w:r>
    </w:p>
    <w:p w:rsidR="00504BB9" w:rsidRPr="00470C8A" w:rsidRDefault="00495192" w:rsidP="00495192">
      <w:pPr>
        <w:pStyle w:val="Heading2"/>
        <w:rPr>
          <w:lang w:val="fr-FR"/>
        </w:rPr>
      </w:pPr>
      <w:r w:rsidRPr="00470C8A">
        <w:rPr>
          <w:lang w:val="fr-FR"/>
        </w:rPr>
        <w:t>Réduction de la période de dépendance</w:t>
      </w:r>
    </w:p>
    <w:p w:rsidR="00504BB9" w:rsidRPr="00470C8A" w:rsidRDefault="00504BB9" w:rsidP="00470C8A">
      <w:pPr>
        <w:pStyle w:val="ListParagraph"/>
        <w:ind w:left="0"/>
        <w:rPr>
          <w:szCs w:val="22"/>
          <w:lang w:val="fr-FR"/>
        </w:rPr>
      </w:pPr>
    </w:p>
    <w:p w:rsidR="00573E17" w:rsidRDefault="005F335F" w:rsidP="00495192">
      <w:pPr>
        <w:pStyle w:val="ONUMFS"/>
        <w:rPr>
          <w:lang w:val="fr-FR"/>
        </w:rPr>
      </w:pPr>
      <w:r w:rsidRPr="00470C8A">
        <w:rPr>
          <w:lang w:val="fr-FR"/>
        </w:rPr>
        <w:t xml:space="preserve">La </w:t>
      </w:r>
      <w:r w:rsidR="00722542" w:rsidRPr="00470C8A">
        <w:rPr>
          <w:lang w:val="fr-FR"/>
        </w:rPr>
        <w:t>durée</w:t>
      </w:r>
      <w:r w:rsidRPr="00470C8A">
        <w:rPr>
          <w:lang w:val="fr-FR"/>
        </w:rPr>
        <w:t xml:space="preserve"> actuelle </w:t>
      </w:r>
      <w:r w:rsidR="00722542" w:rsidRPr="00470C8A">
        <w:rPr>
          <w:lang w:val="fr-FR"/>
        </w:rPr>
        <w:t>de cinq</w:t>
      </w:r>
      <w:r w:rsidR="00274D65">
        <w:rPr>
          <w:lang w:val="fr-FR"/>
        </w:rPr>
        <w:t> </w:t>
      </w:r>
      <w:r w:rsidR="00722542" w:rsidRPr="00470C8A">
        <w:rPr>
          <w:lang w:val="fr-FR"/>
        </w:rPr>
        <w:t xml:space="preserve">ans </w:t>
      </w:r>
      <w:r w:rsidRPr="00470C8A">
        <w:rPr>
          <w:lang w:val="fr-FR"/>
        </w:rPr>
        <w:t>de la période de dépendance pose un problème aux titulaires souhaitant avoir recours au système de Madrid pour obtenir la protection de marques devant être utilisées exclusivement à l</w:t>
      </w:r>
      <w:r w:rsidR="00573E17">
        <w:rPr>
          <w:lang w:val="fr-FR"/>
        </w:rPr>
        <w:t>’</w:t>
      </w:r>
      <w:r w:rsidRPr="00470C8A">
        <w:rPr>
          <w:lang w:val="fr-FR"/>
        </w:rPr>
        <w:t>étrang</w:t>
      </w:r>
      <w:r w:rsidR="005B5C19" w:rsidRPr="00470C8A">
        <w:rPr>
          <w:lang w:val="fr-FR"/>
        </w:rPr>
        <w:t>er</w:t>
      </w:r>
      <w:r w:rsidR="005B5C19">
        <w:rPr>
          <w:lang w:val="fr-FR"/>
        </w:rPr>
        <w:t xml:space="preserve">.  </w:t>
      </w:r>
      <w:r w:rsidR="005B5C19" w:rsidRPr="00470C8A">
        <w:rPr>
          <w:lang w:val="fr-FR"/>
        </w:rPr>
        <w:t>Si</w:t>
      </w:r>
      <w:r w:rsidRPr="00470C8A">
        <w:rPr>
          <w:lang w:val="fr-FR"/>
        </w:rPr>
        <w:t xml:space="preserve"> plusieurs délégations ont exprimé leur opposition à l</w:t>
      </w:r>
      <w:r w:rsidR="00573E17">
        <w:rPr>
          <w:lang w:val="fr-FR"/>
        </w:rPr>
        <w:t>’</w:t>
      </w:r>
      <w:r w:rsidRPr="00470C8A">
        <w:rPr>
          <w:lang w:val="fr-FR"/>
        </w:rPr>
        <w:t>abolition ou à la suspension (gel) de l</w:t>
      </w:r>
      <w:r w:rsidR="00573E17">
        <w:rPr>
          <w:lang w:val="fr-FR"/>
        </w:rPr>
        <w:t>’</w:t>
      </w:r>
      <w:r w:rsidRPr="00470C8A">
        <w:rPr>
          <w:lang w:val="fr-FR"/>
        </w:rPr>
        <w:t>application du principe de</w:t>
      </w:r>
      <w:r w:rsidR="00722542" w:rsidRPr="00470C8A">
        <w:rPr>
          <w:lang w:val="fr-FR"/>
        </w:rPr>
        <w:t xml:space="preserve"> la</w:t>
      </w:r>
      <w:r w:rsidRPr="00470C8A">
        <w:rPr>
          <w:lang w:val="fr-FR"/>
        </w:rPr>
        <w:t xml:space="preserve"> dépendance, elles se sont déclarées disposées à examiner une réduction de la période de dépendance</w:t>
      </w:r>
      <w:r w:rsidR="00816572" w:rsidRPr="00470C8A">
        <w:rPr>
          <w:lang w:val="fr-FR"/>
        </w:rPr>
        <w:t>.</w:t>
      </w:r>
    </w:p>
    <w:p w:rsidR="00573E17" w:rsidRDefault="005F335F" w:rsidP="00495192">
      <w:pPr>
        <w:pStyle w:val="ONUMFS"/>
        <w:rPr>
          <w:lang w:val="fr-FR"/>
        </w:rPr>
      </w:pPr>
      <w:r w:rsidRPr="00470C8A">
        <w:rPr>
          <w:lang w:val="fr-FR"/>
        </w:rPr>
        <w:t>Par exemple, un titulaire colombien souhaitant obtenir la protection d</w:t>
      </w:r>
      <w:r w:rsidR="00573E17">
        <w:rPr>
          <w:lang w:val="fr-FR"/>
        </w:rPr>
        <w:t>’</w:t>
      </w:r>
      <w:r w:rsidRPr="00470C8A">
        <w:rPr>
          <w:lang w:val="fr-FR"/>
        </w:rPr>
        <w:t>une marque en caractères cyrilliques</w:t>
      </w:r>
      <w:r w:rsidR="006E757D" w:rsidRPr="00470C8A">
        <w:rPr>
          <w:lang w:val="fr-FR"/>
        </w:rPr>
        <w:t xml:space="preserve"> dans d</w:t>
      </w:r>
      <w:r w:rsidRPr="00470C8A">
        <w:rPr>
          <w:lang w:val="fr-FR"/>
        </w:rPr>
        <w:t>es parties contractantes dans lesquelles cet alphabet</w:t>
      </w:r>
      <w:r w:rsidR="00BC1BC7" w:rsidRPr="00470C8A">
        <w:rPr>
          <w:lang w:val="fr-FR"/>
        </w:rPr>
        <w:t xml:space="preserve"> est employé (par exemple</w:t>
      </w:r>
      <w:r w:rsidRPr="00470C8A">
        <w:rPr>
          <w:lang w:val="fr-FR"/>
        </w:rPr>
        <w:t xml:space="preserve">, </w:t>
      </w:r>
      <w:r w:rsidR="00BC1BC7" w:rsidRPr="00470C8A">
        <w:rPr>
          <w:lang w:val="fr-FR"/>
        </w:rPr>
        <w:t xml:space="preserve">le </w:t>
      </w:r>
      <w:proofErr w:type="spellStart"/>
      <w:r w:rsidRPr="00470C8A">
        <w:t>B</w:t>
      </w:r>
      <w:r w:rsidR="004D5AF3">
        <w:t>é</w:t>
      </w:r>
      <w:r w:rsidRPr="00470C8A">
        <w:t>larus</w:t>
      </w:r>
      <w:proofErr w:type="spellEnd"/>
      <w:r w:rsidRPr="00470C8A">
        <w:t xml:space="preserve">, </w:t>
      </w:r>
      <w:r w:rsidR="00BC1BC7" w:rsidRPr="00470C8A">
        <w:t xml:space="preserve">la </w:t>
      </w:r>
      <w:r w:rsidRPr="00470C8A">
        <w:t xml:space="preserve">Bulgarie, </w:t>
      </w:r>
      <w:r w:rsidR="00BC1BC7" w:rsidRPr="00470C8A">
        <w:t xml:space="preserve">le </w:t>
      </w:r>
      <w:r w:rsidRPr="00470C8A">
        <w:t xml:space="preserve">Kazakhstan, </w:t>
      </w:r>
      <w:r w:rsidR="00BC1BC7" w:rsidRPr="00470C8A">
        <w:t>le Kirghiz</w:t>
      </w:r>
      <w:r w:rsidRPr="00470C8A">
        <w:t xml:space="preserve">istan, </w:t>
      </w:r>
      <w:r w:rsidR="00BC1BC7" w:rsidRPr="00470C8A">
        <w:t xml:space="preserve">la </w:t>
      </w:r>
      <w:r w:rsidRPr="00470C8A">
        <w:t xml:space="preserve">Fédération de Russie, </w:t>
      </w:r>
      <w:r w:rsidR="00BC1BC7" w:rsidRPr="00470C8A">
        <w:t>le</w:t>
      </w:r>
      <w:r w:rsidR="003B5524">
        <w:t> </w:t>
      </w:r>
      <w:r w:rsidRPr="00470C8A">
        <w:t>Ta</w:t>
      </w:r>
      <w:r w:rsidR="00913510">
        <w:t>dj</w:t>
      </w:r>
      <w:r w:rsidRPr="00470C8A">
        <w:t xml:space="preserve">ikistan </w:t>
      </w:r>
      <w:r w:rsidR="00BC1BC7" w:rsidRPr="00470C8A">
        <w:t>ou</w:t>
      </w:r>
      <w:r w:rsidRPr="00470C8A">
        <w:t xml:space="preserve"> </w:t>
      </w:r>
      <w:r w:rsidR="00BC1BC7" w:rsidRPr="00470C8A">
        <w:t>l</w:t>
      </w:r>
      <w:r w:rsidR="00573E17">
        <w:t>’</w:t>
      </w:r>
      <w:r w:rsidRPr="00470C8A">
        <w:t>Ukraine</w:t>
      </w:r>
      <w:r w:rsidR="00BC1BC7" w:rsidRPr="00470C8A">
        <w:t>)</w:t>
      </w:r>
      <w:r w:rsidR="0085341F" w:rsidRPr="00470C8A">
        <w:t xml:space="preserve"> éprouverait des difficultés à tirer parti du système de Madr</w:t>
      </w:r>
      <w:r w:rsidR="005B5C19" w:rsidRPr="00470C8A">
        <w:t>id</w:t>
      </w:r>
      <w:r w:rsidR="005B5C19">
        <w:t xml:space="preserve">.  </w:t>
      </w:r>
      <w:r w:rsidR="005B5C19" w:rsidRPr="00470C8A">
        <w:rPr>
          <w:lang w:val="fr-FR"/>
        </w:rPr>
        <w:t>Po</w:t>
      </w:r>
      <w:r w:rsidR="00BC1BC7" w:rsidRPr="00470C8A">
        <w:rPr>
          <w:lang w:val="fr-FR"/>
        </w:rPr>
        <w:t>ur</w:t>
      </w:r>
      <w:r w:rsidR="003B5524">
        <w:rPr>
          <w:lang w:val="fr-FR"/>
        </w:rPr>
        <w:t> </w:t>
      </w:r>
      <w:r w:rsidR="00BC1BC7" w:rsidRPr="00470C8A">
        <w:rPr>
          <w:lang w:val="fr-FR"/>
        </w:rPr>
        <w:t xml:space="preserve">utiliser le système, </w:t>
      </w:r>
      <w:r w:rsidR="0085341F" w:rsidRPr="00470C8A">
        <w:rPr>
          <w:lang w:val="fr-FR"/>
        </w:rPr>
        <w:t>il lui faudrait</w:t>
      </w:r>
      <w:r w:rsidR="00BC1BC7" w:rsidRPr="00470C8A">
        <w:rPr>
          <w:lang w:val="fr-FR"/>
        </w:rPr>
        <w:t xml:space="preserve"> déposer une demande d</w:t>
      </w:r>
      <w:r w:rsidR="00573E17">
        <w:rPr>
          <w:lang w:val="fr-FR"/>
        </w:rPr>
        <w:t>’</w:t>
      </w:r>
      <w:r w:rsidR="00BC1BC7" w:rsidRPr="00470C8A">
        <w:rPr>
          <w:lang w:val="fr-FR"/>
        </w:rPr>
        <w:t>enregistrement de la marque, en</w:t>
      </w:r>
      <w:r w:rsidR="003B5524">
        <w:rPr>
          <w:lang w:val="fr-FR"/>
        </w:rPr>
        <w:t> </w:t>
      </w:r>
      <w:r w:rsidR="00BC1BC7" w:rsidRPr="00470C8A">
        <w:rPr>
          <w:lang w:val="fr-FR"/>
        </w:rPr>
        <w:t>cyrillique, en Colombie</w:t>
      </w:r>
      <w:r w:rsidR="00816572" w:rsidRPr="00470C8A">
        <w:rPr>
          <w:lang w:val="fr-FR"/>
        </w:rPr>
        <w:t>.</w:t>
      </w:r>
    </w:p>
    <w:p w:rsidR="00573E17" w:rsidRDefault="0085341F" w:rsidP="00495192">
      <w:pPr>
        <w:pStyle w:val="ONUMFS"/>
        <w:rPr>
          <w:lang w:val="fr-FR"/>
        </w:rPr>
      </w:pPr>
      <w:r w:rsidRPr="00470C8A">
        <w:rPr>
          <w:lang w:val="fr-FR"/>
        </w:rPr>
        <w:t>Or</w:t>
      </w:r>
      <w:r w:rsidR="003A2F9A">
        <w:rPr>
          <w:lang w:val="fr-FR"/>
        </w:rPr>
        <w:t>,</w:t>
      </w:r>
      <w:r w:rsidR="00BC1BC7" w:rsidRPr="00470C8A">
        <w:rPr>
          <w:lang w:val="fr-FR"/>
        </w:rPr>
        <w:t xml:space="preserve"> cet enregistrement national colombien serait à la merci d</w:t>
      </w:r>
      <w:r w:rsidR="00573E17">
        <w:rPr>
          <w:lang w:val="fr-FR"/>
        </w:rPr>
        <w:t>’</w:t>
      </w:r>
      <w:r w:rsidR="00BC1BC7" w:rsidRPr="00470C8A">
        <w:rPr>
          <w:lang w:val="fr-FR"/>
        </w:rPr>
        <w:t>une attaque centra</w:t>
      </w:r>
      <w:r w:rsidR="005B5C19" w:rsidRPr="00470C8A">
        <w:rPr>
          <w:lang w:val="fr-FR"/>
        </w:rPr>
        <w:t>le</w:t>
      </w:r>
      <w:r w:rsidR="005B5C19">
        <w:rPr>
          <w:lang w:val="fr-FR"/>
        </w:rPr>
        <w:t xml:space="preserve">.  </w:t>
      </w:r>
      <w:r w:rsidR="005B5C19" w:rsidRPr="00470C8A">
        <w:rPr>
          <w:lang w:val="fr-FR"/>
        </w:rPr>
        <w:t>En</w:t>
      </w:r>
      <w:r w:rsidR="003B5524">
        <w:rPr>
          <w:lang w:val="fr-FR"/>
        </w:rPr>
        <w:t> </w:t>
      </w:r>
      <w:r w:rsidR="00BC1BC7" w:rsidRPr="00470C8A">
        <w:rPr>
          <w:lang w:val="fr-FR"/>
        </w:rPr>
        <w:t>vertu d</w:t>
      </w:r>
      <w:r w:rsidR="00F33683">
        <w:rPr>
          <w:lang w:val="fr-FR"/>
        </w:rPr>
        <w:t>e la</w:t>
      </w:r>
      <w:r w:rsidR="00BC1BC7" w:rsidRPr="00470C8A">
        <w:rPr>
          <w:lang w:val="fr-FR"/>
        </w:rPr>
        <w:t xml:space="preserve"> </w:t>
      </w:r>
      <w:r w:rsidR="00F33683">
        <w:rPr>
          <w:lang w:val="fr-FR"/>
        </w:rPr>
        <w:t>législation</w:t>
      </w:r>
      <w:r w:rsidR="00BC1BC7" w:rsidRPr="00470C8A">
        <w:rPr>
          <w:lang w:val="fr-FR"/>
        </w:rPr>
        <w:t xml:space="preserve"> applicable en Colombie, l</w:t>
      </w:r>
      <w:r w:rsidR="00573E17">
        <w:rPr>
          <w:lang w:val="fr-FR"/>
        </w:rPr>
        <w:t>’</w:t>
      </w:r>
      <w:r w:rsidR="00BC1BC7" w:rsidRPr="00470C8A">
        <w:rPr>
          <w:lang w:val="fr-FR"/>
        </w:rPr>
        <w:t xml:space="preserve">office doit radier un enregistrement national </w:t>
      </w:r>
      <w:r w:rsidR="006E757D" w:rsidRPr="00470C8A">
        <w:rPr>
          <w:lang w:val="fr-FR"/>
        </w:rPr>
        <w:t>si</w:t>
      </w:r>
      <w:r w:rsidR="00BC1BC7" w:rsidRPr="00470C8A">
        <w:rPr>
          <w:lang w:val="fr-FR"/>
        </w:rPr>
        <w:t xml:space="preserve"> la marque n</w:t>
      </w:r>
      <w:r w:rsidR="00573E17">
        <w:rPr>
          <w:lang w:val="fr-FR"/>
        </w:rPr>
        <w:t>’</w:t>
      </w:r>
      <w:r w:rsidR="00BC1BC7" w:rsidRPr="00470C8A">
        <w:rPr>
          <w:lang w:val="fr-FR"/>
        </w:rPr>
        <w:t>a pas été utilisée dans au moins l</w:t>
      </w:r>
      <w:r w:rsidR="00573E17">
        <w:rPr>
          <w:lang w:val="fr-FR"/>
        </w:rPr>
        <w:t>’</w:t>
      </w:r>
      <w:r w:rsidR="00BC1BC7" w:rsidRPr="00470C8A">
        <w:rPr>
          <w:lang w:val="fr-FR"/>
        </w:rPr>
        <w:t>un des États membres de la Communauté andine (Bolivie, Colombie, Équateur et Pérou</w:t>
      </w:r>
      <w:r w:rsidR="00816572" w:rsidRPr="00470C8A">
        <w:rPr>
          <w:lang w:val="fr-FR"/>
        </w:rPr>
        <w:t>)</w:t>
      </w:r>
      <w:r w:rsidR="00BC1BC7" w:rsidRPr="00470C8A">
        <w:rPr>
          <w:lang w:val="fr-FR"/>
        </w:rPr>
        <w:t xml:space="preserve"> pendant les trois</w:t>
      </w:r>
      <w:r w:rsidR="00274D65">
        <w:rPr>
          <w:lang w:val="fr-FR"/>
        </w:rPr>
        <w:t> </w:t>
      </w:r>
      <w:r w:rsidR="00BC1BC7" w:rsidRPr="00470C8A">
        <w:rPr>
          <w:lang w:val="fr-FR"/>
        </w:rPr>
        <w:t>ans consécutifs précédant la date à laquelle la partie intéressée a engagé l</w:t>
      </w:r>
      <w:r w:rsidR="00573E17">
        <w:rPr>
          <w:lang w:val="fr-FR"/>
        </w:rPr>
        <w:t>’</w:t>
      </w:r>
      <w:r w:rsidR="00BC1BC7" w:rsidRPr="00470C8A">
        <w:rPr>
          <w:lang w:val="fr-FR"/>
        </w:rPr>
        <w:t>action en radiation</w:t>
      </w:r>
      <w:r w:rsidR="00816572" w:rsidRPr="00470C8A">
        <w:rPr>
          <w:rStyle w:val="FootnoteReference"/>
          <w:szCs w:val="22"/>
          <w:lang w:val="fr-FR"/>
        </w:rPr>
        <w:footnoteReference w:id="12"/>
      </w:r>
      <w:r w:rsidR="00816572" w:rsidRPr="00470C8A">
        <w:rPr>
          <w:lang w:val="fr-FR"/>
        </w:rPr>
        <w:t xml:space="preserve">.  </w:t>
      </w:r>
      <w:r w:rsidR="00BC1BC7" w:rsidRPr="00470C8A">
        <w:rPr>
          <w:lang w:val="fr-FR"/>
        </w:rPr>
        <w:t>Dans l</w:t>
      </w:r>
      <w:r w:rsidR="00573E17">
        <w:rPr>
          <w:lang w:val="fr-FR"/>
        </w:rPr>
        <w:t>’</w:t>
      </w:r>
      <w:r w:rsidR="00BC1BC7" w:rsidRPr="00470C8A">
        <w:rPr>
          <w:lang w:val="fr-FR"/>
        </w:rPr>
        <w:t>exemple susmentionné, l</w:t>
      </w:r>
      <w:r w:rsidR="00573E17">
        <w:rPr>
          <w:lang w:val="fr-FR"/>
        </w:rPr>
        <w:t>’</w:t>
      </w:r>
      <w:r w:rsidR="00BC1BC7" w:rsidRPr="00470C8A">
        <w:rPr>
          <w:lang w:val="fr-FR"/>
        </w:rPr>
        <w:t>enregistrement international pourrait être radié parce que la marque n</w:t>
      </w:r>
      <w:r w:rsidR="00573E17">
        <w:rPr>
          <w:lang w:val="fr-FR"/>
        </w:rPr>
        <w:t>’</w:t>
      </w:r>
      <w:r w:rsidR="00BC1BC7" w:rsidRPr="00470C8A">
        <w:rPr>
          <w:lang w:val="fr-FR"/>
        </w:rPr>
        <w:t>a pas été utilisée, au cours de la période de dépendance de cinq</w:t>
      </w:r>
      <w:r w:rsidR="00274D65">
        <w:rPr>
          <w:lang w:val="fr-FR"/>
        </w:rPr>
        <w:t> </w:t>
      </w:r>
      <w:r w:rsidR="00BC1BC7" w:rsidRPr="00470C8A">
        <w:rPr>
          <w:lang w:val="fr-FR"/>
        </w:rPr>
        <w:t>ans, dans des pays qui n</w:t>
      </w:r>
      <w:r w:rsidR="00573E17">
        <w:rPr>
          <w:lang w:val="fr-FR"/>
        </w:rPr>
        <w:t>’</w:t>
      </w:r>
      <w:r w:rsidR="00BC1BC7" w:rsidRPr="00470C8A">
        <w:rPr>
          <w:lang w:val="fr-FR"/>
        </w:rPr>
        <w:t xml:space="preserve">étaient pas les marchés visés et qui, </w:t>
      </w:r>
      <w:r w:rsidRPr="00470C8A">
        <w:rPr>
          <w:lang w:val="fr-FR"/>
        </w:rPr>
        <w:t>paradoxalement, ne sont pas</w:t>
      </w:r>
      <w:r w:rsidR="00893C56" w:rsidRPr="00470C8A">
        <w:rPr>
          <w:lang w:val="fr-FR"/>
        </w:rPr>
        <w:t>, à l</w:t>
      </w:r>
      <w:r w:rsidR="00573E17">
        <w:rPr>
          <w:lang w:val="fr-FR"/>
        </w:rPr>
        <w:t>’</w:t>
      </w:r>
      <w:r w:rsidR="00893C56" w:rsidRPr="00470C8A">
        <w:rPr>
          <w:lang w:val="fr-FR"/>
        </w:rPr>
        <w:t>exception de la Colombie, parties au Protocole</w:t>
      </w:r>
      <w:r w:rsidR="00816572" w:rsidRPr="00470C8A">
        <w:rPr>
          <w:lang w:val="fr-FR"/>
        </w:rPr>
        <w:t>.</w:t>
      </w:r>
    </w:p>
    <w:p w:rsidR="00573E17" w:rsidRDefault="00893C56" w:rsidP="0087445B">
      <w:pPr>
        <w:pStyle w:val="ONUMFS"/>
        <w:spacing w:after="0"/>
        <w:rPr>
          <w:lang w:val="fr-FR"/>
        </w:rPr>
      </w:pPr>
      <w:r w:rsidRPr="00470C8A">
        <w:rPr>
          <w:lang w:val="fr-FR"/>
        </w:rPr>
        <w:t xml:space="preserve">Pour éviter </w:t>
      </w:r>
      <w:r w:rsidR="00D95F1B" w:rsidRPr="00470C8A">
        <w:rPr>
          <w:lang w:val="fr-FR"/>
        </w:rPr>
        <w:t>que cette situation se produise</w:t>
      </w:r>
      <w:r w:rsidRPr="00470C8A">
        <w:rPr>
          <w:lang w:val="fr-FR"/>
        </w:rPr>
        <w:t>, il a été proposé que la durée de la période de dépendance soit ramenée à</w:t>
      </w:r>
      <w:r w:rsidR="00D95F1B" w:rsidRPr="00470C8A">
        <w:rPr>
          <w:lang w:val="fr-FR"/>
        </w:rPr>
        <w:t xml:space="preserve"> trois</w:t>
      </w:r>
      <w:r w:rsidR="00274D65">
        <w:rPr>
          <w:lang w:val="fr-FR"/>
        </w:rPr>
        <w:t> </w:t>
      </w:r>
      <w:r w:rsidR="00D95F1B" w:rsidRPr="00470C8A">
        <w:rPr>
          <w:lang w:val="fr-FR"/>
        </w:rPr>
        <w:t>ans</w:t>
      </w:r>
      <w:r w:rsidRPr="00470C8A">
        <w:rPr>
          <w:lang w:val="fr-FR"/>
        </w:rPr>
        <w:t>, par</w:t>
      </w:r>
      <w:r w:rsidR="00D95F1B" w:rsidRPr="00470C8A">
        <w:rPr>
          <w:lang w:val="fr-FR"/>
        </w:rPr>
        <w:t xml:space="preserve"> exemp</w:t>
      </w:r>
      <w:r w:rsidR="005B5C19" w:rsidRPr="00470C8A">
        <w:rPr>
          <w:lang w:val="fr-FR"/>
        </w:rPr>
        <w:t>le</w:t>
      </w:r>
      <w:r w:rsidR="005B5C19">
        <w:rPr>
          <w:lang w:val="fr-FR"/>
        </w:rPr>
        <w:t xml:space="preserve">.  </w:t>
      </w:r>
      <w:r w:rsidR="005B5C19" w:rsidRPr="00470C8A">
        <w:rPr>
          <w:lang w:val="fr-FR"/>
        </w:rPr>
        <w:t>Af</w:t>
      </w:r>
      <w:r w:rsidR="006E757D" w:rsidRPr="00470C8A">
        <w:rPr>
          <w:lang w:val="fr-FR"/>
        </w:rPr>
        <w:t>in de</w:t>
      </w:r>
      <w:r w:rsidRPr="00470C8A">
        <w:rPr>
          <w:lang w:val="fr-FR"/>
        </w:rPr>
        <w:t xml:space="preserve"> réduire la période de dépendance, les </w:t>
      </w:r>
      <w:r w:rsidR="00573E17" w:rsidRPr="00470C8A">
        <w:rPr>
          <w:lang w:val="fr-FR"/>
        </w:rPr>
        <w:t>alinéas</w:t>
      </w:r>
      <w:r w:rsidR="00573E17">
        <w:rPr>
          <w:lang w:val="fr-FR"/>
        </w:rPr>
        <w:t> </w:t>
      </w:r>
      <w:r w:rsidR="00573E17" w:rsidRPr="00470C8A">
        <w:rPr>
          <w:lang w:val="fr-FR"/>
        </w:rPr>
        <w:t>2</w:t>
      </w:r>
      <w:r w:rsidRPr="00470C8A">
        <w:rPr>
          <w:lang w:val="fr-FR"/>
        </w:rPr>
        <w:t>) et 3) de l</w:t>
      </w:r>
      <w:r w:rsidR="00573E17">
        <w:rPr>
          <w:lang w:val="fr-FR"/>
        </w:rPr>
        <w:t>’</w:t>
      </w:r>
      <w:r w:rsidR="00573E17" w:rsidRPr="00470C8A">
        <w:rPr>
          <w:lang w:val="fr-FR"/>
        </w:rPr>
        <w:t>article</w:t>
      </w:r>
      <w:r w:rsidR="00573E17">
        <w:rPr>
          <w:lang w:val="fr-FR"/>
        </w:rPr>
        <w:t> </w:t>
      </w:r>
      <w:r w:rsidR="00573E17" w:rsidRPr="00470C8A">
        <w:rPr>
          <w:lang w:val="fr-FR"/>
        </w:rPr>
        <w:t>6</w:t>
      </w:r>
      <w:r w:rsidRPr="00470C8A">
        <w:rPr>
          <w:lang w:val="fr-FR"/>
        </w:rPr>
        <w:t xml:space="preserve"> devraient être modifiés dans le cadre d</w:t>
      </w:r>
      <w:r w:rsidR="00573E17">
        <w:rPr>
          <w:lang w:val="fr-FR"/>
        </w:rPr>
        <w:t>’</w:t>
      </w:r>
      <w:r w:rsidRPr="00470C8A">
        <w:rPr>
          <w:lang w:val="fr-FR"/>
        </w:rPr>
        <w:t>une conférence diplomatique de révision du Protocole convoquée à cet effet</w:t>
      </w:r>
      <w:r w:rsidR="00816572" w:rsidRPr="00470C8A">
        <w:rPr>
          <w:lang w:val="fr-FR"/>
        </w:rPr>
        <w:t>.</w:t>
      </w:r>
    </w:p>
    <w:p w:rsidR="00504BB9" w:rsidRPr="00470C8A" w:rsidRDefault="00495192" w:rsidP="003B5524">
      <w:pPr>
        <w:pStyle w:val="Heading2"/>
        <w:keepLines/>
        <w:rPr>
          <w:lang w:val="fr-FR"/>
        </w:rPr>
      </w:pPr>
      <w:r w:rsidRPr="00470C8A">
        <w:rPr>
          <w:lang w:val="fr-FR"/>
        </w:rPr>
        <w:t>Limitation des motifs</w:t>
      </w:r>
    </w:p>
    <w:p w:rsidR="00504BB9" w:rsidRPr="00470C8A" w:rsidRDefault="00504BB9" w:rsidP="003B5524">
      <w:pPr>
        <w:keepNext/>
        <w:keepLines/>
        <w:rPr>
          <w:szCs w:val="22"/>
          <w:lang w:val="fr-FR"/>
        </w:rPr>
      </w:pPr>
    </w:p>
    <w:p w:rsidR="00573E17" w:rsidRDefault="00D95F1B" w:rsidP="003B5524">
      <w:pPr>
        <w:pStyle w:val="ONUMFS"/>
        <w:keepNext/>
        <w:keepLines/>
        <w:rPr>
          <w:lang w:val="fr-FR"/>
        </w:rPr>
      </w:pPr>
      <w:r w:rsidRPr="00470C8A">
        <w:rPr>
          <w:lang w:val="fr-FR"/>
        </w:rPr>
        <w:t>Même s</w:t>
      </w:r>
      <w:r w:rsidR="00893C56" w:rsidRPr="00470C8A">
        <w:rPr>
          <w:lang w:val="fr-FR"/>
        </w:rPr>
        <w:t>i la proposition visant à réduire la période de dépendance répond aux préoccupations</w:t>
      </w:r>
      <w:r w:rsidRPr="00470C8A">
        <w:rPr>
          <w:lang w:val="fr-FR"/>
        </w:rPr>
        <w:t xml:space="preserve"> relatives à l</w:t>
      </w:r>
      <w:r w:rsidR="00573E17">
        <w:rPr>
          <w:lang w:val="fr-FR"/>
        </w:rPr>
        <w:t>’</w:t>
      </w:r>
      <w:r w:rsidRPr="00470C8A">
        <w:rPr>
          <w:lang w:val="fr-FR"/>
        </w:rPr>
        <w:t>exigence d</w:t>
      </w:r>
      <w:r w:rsidR="00573E17">
        <w:rPr>
          <w:lang w:val="fr-FR"/>
        </w:rPr>
        <w:t>’</w:t>
      </w:r>
      <w:r w:rsidRPr="00470C8A">
        <w:rPr>
          <w:lang w:val="fr-FR"/>
        </w:rPr>
        <w:t>usage</w:t>
      </w:r>
      <w:r w:rsidR="00893C56" w:rsidRPr="00470C8A">
        <w:rPr>
          <w:lang w:val="fr-FR"/>
        </w:rPr>
        <w:t xml:space="preserve"> dans certains ressorts juridiques, </w:t>
      </w:r>
      <w:r w:rsidR="00722542" w:rsidRPr="00470C8A">
        <w:rPr>
          <w:lang w:val="fr-FR"/>
        </w:rPr>
        <w:t>elle</w:t>
      </w:r>
      <w:r w:rsidR="00893C56" w:rsidRPr="00470C8A">
        <w:rPr>
          <w:lang w:val="fr-FR"/>
        </w:rPr>
        <w:t xml:space="preserve"> n</w:t>
      </w:r>
      <w:r w:rsidR="00573E17">
        <w:rPr>
          <w:lang w:val="fr-FR"/>
        </w:rPr>
        <w:t>’</w:t>
      </w:r>
      <w:r w:rsidR="00893C56" w:rsidRPr="00470C8A">
        <w:rPr>
          <w:lang w:val="fr-FR"/>
        </w:rPr>
        <w:t>éliminerait pas les cas de cessation des effets lorsque la marque de base est refusée d</w:t>
      </w:r>
      <w:r w:rsidR="00573E17">
        <w:rPr>
          <w:lang w:val="fr-FR"/>
        </w:rPr>
        <w:t>’</w:t>
      </w:r>
      <w:r w:rsidR="00893C56" w:rsidRPr="00470C8A">
        <w:rPr>
          <w:lang w:val="fr-FR"/>
        </w:rPr>
        <w:t>office pour des motifs qui ne s</w:t>
      </w:r>
      <w:r w:rsidR="00573E17">
        <w:rPr>
          <w:lang w:val="fr-FR"/>
        </w:rPr>
        <w:t>’</w:t>
      </w:r>
      <w:r w:rsidR="00893C56" w:rsidRPr="00470C8A">
        <w:rPr>
          <w:lang w:val="fr-FR"/>
        </w:rPr>
        <w:t>appliquent que dans la partie contractante de l</w:t>
      </w:r>
      <w:r w:rsidR="00573E17">
        <w:rPr>
          <w:lang w:val="fr-FR"/>
        </w:rPr>
        <w:t>’</w:t>
      </w:r>
      <w:r w:rsidR="00893C56" w:rsidRPr="00470C8A">
        <w:rPr>
          <w:lang w:val="fr-FR"/>
        </w:rPr>
        <w:t>office d</w:t>
      </w:r>
      <w:r w:rsidR="00573E17">
        <w:rPr>
          <w:lang w:val="fr-FR"/>
        </w:rPr>
        <w:t>’</w:t>
      </w:r>
      <w:r w:rsidR="00893C56" w:rsidRPr="00470C8A">
        <w:rPr>
          <w:lang w:val="fr-FR"/>
        </w:rPr>
        <w:t>origine</w:t>
      </w:r>
      <w:r w:rsidR="00816572" w:rsidRPr="00470C8A">
        <w:rPr>
          <w:lang w:val="fr-FR"/>
        </w:rPr>
        <w:t>.</w:t>
      </w:r>
    </w:p>
    <w:p w:rsidR="00573E17" w:rsidRDefault="00893C56" w:rsidP="0087445B">
      <w:pPr>
        <w:pStyle w:val="ONUMFS"/>
        <w:spacing w:after="0"/>
        <w:rPr>
          <w:lang w:val="fr-FR"/>
        </w:rPr>
      </w:pPr>
      <w:r w:rsidRPr="00495192">
        <w:rPr>
          <w:lang w:val="fr-FR"/>
        </w:rPr>
        <w:t>L</w:t>
      </w:r>
      <w:r w:rsidR="00573E17">
        <w:rPr>
          <w:lang w:val="fr-FR"/>
        </w:rPr>
        <w:t>’</w:t>
      </w:r>
      <w:r w:rsidR="00573E17" w:rsidRPr="00495192">
        <w:rPr>
          <w:lang w:val="fr-FR"/>
        </w:rPr>
        <w:t>article</w:t>
      </w:r>
      <w:r w:rsidR="00573E17">
        <w:rPr>
          <w:lang w:val="fr-FR"/>
        </w:rPr>
        <w:t> </w:t>
      </w:r>
      <w:r w:rsidR="00573E17" w:rsidRPr="00495192">
        <w:rPr>
          <w:lang w:val="fr-FR"/>
        </w:rPr>
        <w:t>6</w:t>
      </w:r>
      <w:r w:rsidRPr="00495192">
        <w:rPr>
          <w:lang w:val="fr-FR"/>
        </w:rPr>
        <w:t xml:space="preserve">.3) pourrait être modifié pour </w:t>
      </w:r>
      <w:r w:rsidR="00C07AB0" w:rsidRPr="00495192">
        <w:rPr>
          <w:lang w:val="fr-FR"/>
        </w:rPr>
        <w:t>limiter les faits et décisions susmentionnés à ceux qui résultent de l</w:t>
      </w:r>
      <w:r w:rsidR="00573E17">
        <w:rPr>
          <w:lang w:val="fr-FR"/>
        </w:rPr>
        <w:t>’</w:t>
      </w:r>
      <w:r w:rsidR="00C07AB0" w:rsidRPr="00495192">
        <w:rPr>
          <w:lang w:val="fr-FR"/>
        </w:rPr>
        <w:t>action d</w:t>
      </w:r>
      <w:r w:rsidR="00573E17">
        <w:rPr>
          <w:lang w:val="fr-FR"/>
        </w:rPr>
        <w:t>’</w:t>
      </w:r>
      <w:r w:rsidR="00C07AB0" w:rsidRPr="00495192">
        <w:rPr>
          <w:lang w:val="fr-FR"/>
        </w:rPr>
        <w:t>un tiers invoquant, par exemple, la mauvaise f</w:t>
      </w:r>
      <w:r w:rsidR="005B5C19" w:rsidRPr="00495192">
        <w:rPr>
          <w:lang w:val="fr-FR"/>
        </w:rPr>
        <w:t>oi</w:t>
      </w:r>
      <w:r w:rsidR="005B5C19">
        <w:rPr>
          <w:lang w:val="fr-FR"/>
        </w:rPr>
        <w:t xml:space="preserve">.  </w:t>
      </w:r>
      <w:r w:rsidR="005B5C19" w:rsidRPr="00495192">
        <w:rPr>
          <w:lang w:val="fr-FR"/>
        </w:rPr>
        <w:t>Co</w:t>
      </w:r>
      <w:r w:rsidR="00C07AB0" w:rsidRPr="00495192">
        <w:rPr>
          <w:lang w:val="fr-FR"/>
        </w:rPr>
        <w:t xml:space="preserve">mme dans les cas décrits plus haut, il faudrait convoquer une conférence </w:t>
      </w:r>
      <w:r w:rsidR="00D95F1B" w:rsidRPr="00495192">
        <w:rPr>
          <w:lang w:val="fr-FR"/>
        </w:rPr>
        <w:t xml:space="preserve">diplomatique </w:t>
      </w:r>
      <w:r w:rsidR="00C07AB0" w:rsidRPr="00495192">
        <w:rPr>
          <w:lang w:val="fr-FR"/>
        </w:rPr>
        <w:t>de révision du Protocole</w:t>
      </w:r>
      <w:r w:rsidR="00816572" w:rsidRPr="00495192">
        <w:rPr>
          <w:lang w:val="fr-FR"/>
        </w:rPr>
        <w:t>.</w:t>
      </w:r>
    </w:p>
    <w:p w:rsidR="00504BB9" w:rsidRPr="00470C8A" w:rsidRDefault="00495192" w:rsidP="00495192">
      <w:pPr>
        <w:pStyle w:val="Heading2"/>
      </w:pPr>
      <w:r w:rsidRPr="00470C8A">
        <w:t>Élimination de l</w:t>
      </w:r>
      <w:r w:rsidR="00573E17">
        <w:t>’</w:t>
      </w:r>
      <w:r w:rsidRPr="00470C8A">
        <w:t>effet automatique de la dépendance</w:t>
      </w:r>
    </w:p>
    <w:p w:rsidR="00504BB9" w:rsidRPr="00470C8A" w:rsidRDefault="00504BB9" w:rsidP="00470C8A">
      <w:pPr>
        <w:rPr>
          <w:szCs w:val="22"/>
        </w:rPr>
      </w:pPr>
    </w:p>
    <w:p w:rsidR="00573E17" w:rsidRDefault="00C07AB0" w:rsidP="00495192">
      <w:pPr>
        <w:pStyle w:val="ONUMFS"/>
        <w:rPr>
          <w:lang w:val="fr-FR"/>
        </w:rPr>
      </w:pPr>
      <w:r w:rsidRPr="00470C8A">
        <w:rPr>
          <w:lang w:val="fr-FR"/>
        </w:rPr>
        <w:t>La radiation de l</w:t>
      </w:r>
      <w:r w:rsidR="00573E17">
        <w:rPr>
          <w:lang w:val="fr-FR"/>
        </w:rPr>
        <w:t>’</w:t>
      </w:r>
      <w:r w:rsidRPr="00470C8A">
        <w:rPr>
          <w:lang w:val="fr-FR"/>
        </w:rPr>
        <w:t>enregistrement international en vertu de l</w:t>
      </w:r>
      <w:r w:rsidR="00573E17">
        <w:rPr>
          <w:lang w:val="fr-FR"/>
        </w:rPr>
        <w:t>’</w:t>
      </w:r>
      <w:r w:rsidR="00573E17" w:rsidRPr="00470C8A">
        <w:rPr>
          <w:lang w:val="fr-FR"/>
        </w:rPr>
        <w:t>article</w:t>
      </w:r>
      <w:r w:rsidR="00573E17">
        <w:rPr>
          <w:lang w:val="fr-FR"/>
        </w:rPr>
        <w:t> </w:t>
      </w:r>
      <w:r w:rsidR="00573E17" w:rsidRPr="00470C8A">
        <w:rPr>
          <w:lang w:val="fr-FR"/>
        </w:rPr>
        <w:t>6</w:t>
      </w:r>
      <w:r w:rsidRPr="00470C8A">
        <w:rPr>
          <w:lang w:val="fr-FR"/>
        </w:rPr>
        <w:t>.4) du Protocole n</w:t>
      </w:r>
      <w:r w:rsidR="00573E17">
        <w:rPr>
          <w:lang w:val="fr-FR"/>
        </w:rPr>
        <w:t>’</w:t>
      </w:r>
      <w:r w:rsidRPr="00470C8A">
        <w:rPr>
          <w:lang w:val="fr-FR"/>
        </w:rPr>
        <w:t>est pas requis</w:t>
      </w:r>
      <w:r w:rsidR="00546F3D" w:rsidRPr="00470C8A">
        <w:rPr>
          <w:lang w:val="fr-FR"/>
        </w:rPr>
        <w:t>e</w:t>
      </w:r>
      <w:r w:rsidRPr="00470C8A">
        <w:rPr>
          <w:lang w:val="fr-FR"/>
        </w:rPr>
        <w:t xml:space="preserve"> p</w:t>
      </w:r>
      <w:r w:rsidR="00D95F1B" w:rsidRPr="00470C8A">
        <w:rPr>
          <w:lang w:val="fr-FR"/>
        </w:rPr>
        <w:t xml:space="preserve">our que ledit enregistrement soit rendu inopérant </w:t>
      </w:r>
      <w:r w:rsidRPr="00470C8A">
        <w:rPr>
          <w:lang w:val="fr-FR"/>
        </w:rPr>
        <w:t>en raison de la cessation des effets de la marque de ba</w:t>
      </w:r>
      <w:r w:rsidR="005B5C19" w:rsidRPr="00470C8A">
        <w:rPr>
          <w:lang w:val="fr-FR"/>
        </w:rPr>
        <w:t>se</w:t>
      </w:r>
      <w:r w:rsidR="005B5C19">
        <w:rPr>
          <w:lang w:val="fr-FR"/>
        </w:rPr>
        <w:t xml:space="preserve">.  </w:t>
      </w:r>
      <w:r w:rsidR="005B5C19" w:rsidRPr="00470C8A">
        <w:rPr>
          <w:lang w:val="fr-FR"/>
        </w:rPr>
        <w:t>Co</w:t>
      </w:r>
      <w:r w:rsidRPr="00470C8A">
        <w:rPr>
          <w:lang w:val="fr-FR"/>
        </w:rPr>
        <w:t>mme il est indiqué plus haut, conformément à l</w:t>
      </w:r>
      <w:r w:rsidR="00573E17">
        <w:rPr>
          <w:lang w:val="fr-FR"/>
        </w:rPr>
        <w:t>’</w:t>
      </w:r>
      <w:r w:rsidR="00573E17" w:rsidRPr="00470C8A">
        <w:rPr>
          <w:lang w:val="fr-FR"/>
        </w:rPr>
        <w:t>alinéa</w:t>
      </w:r>
      <w:r w:rsidR="00573E17">
        <w:rPr>
          <w:lang w:val="fr-FR"/>
        </w:rPr>
        <w:t> </w:t>
      </w:r>
      <w:r w:rsidR="00573E17" w:rsidRPr="00470C8A">
        <w:rPr>
          <w:lang w:val="fr-FR"/>
        </w:rPr>
        <w:t>3</w:t>
      </w:r>
      <w:r w:rsidRPr="00470C8A">
        <w:rPr>
          <w:lang w:val="fr-FR"/>
        </w:rPr>
        <w:t>) de cet article, l</w:t>
      </w:r>
      <w:r w:rsidR="00573E17">
        <w:rPr>
          <w:lang w:val="fr-FR"/>
        </w:rPr>
        <w:t>’</w:t>
      </w:r>
      <w:r w:rsidRPr="00470C8A">
        <w:rPr>
          <w:lang w:val="fr-FR"/>
        </w:rPr>
        <w:t xml:space="preserve">enregistrement international </w:t>
      </w:r>
      <w:r w:rsidR="00D95F1B" w:rsidRPr="00470C8A">
        <w:rPr>
          <w:lang w:val="fr-FR"/>
        </w:rPr>
        <w:t xml:space="preserve">est rendu automatiquement </w:t>
      </w:r>
      <w:r w:rsidRPr="00470C8A">
        <w:rPr>
          <w:lang w:val="fr-FR"/>
        </w:rPr>
        <w:t>inopérant</w:t>
      </w:r>
      <w:r w:rsidR="00D95F1B" w:rsidRPr="00470C8A">
        <w:rPr>
          <w:lang w:val="fr-FR"/>
        </w:rPr>
        <w:t>,</w:t>
      </w:r>
      <w:r w:rsidRPr="00470C8A">
        <w:rPr>
          <w:lang w:val="fr-FR"/>
        </w:rPr>
        <w:t xml:space="preserve"> une fois que la marque</w:t>
      </w:r>
      <w:r w:rsidR="00546F3D" w:rsidRPr="00470C8A">
        <w:rPr>
          <w:lang w:val="fr-FR"/>
        </w:rPr>
        <w:t xml:space="preserve"> de base</w:t>
      </w:r>
      <w:r w:rsidRPr="00470C8A">
        <w:rPr>
          <w:lang w:val="fr-FR"/>
        </w:rPr>
        <w:t xml:space="preserve"> cesse de produire ses effe</w:t>
      </w:r>
      <w:r w:rsidR="005B5C19" w:rsidRPr="00470C8A">
        <w:rPr>
          <w:lang w:val="fr-FR"/>
        </w:rPr>
        <w:t>ts</w:t>
      </w:r>
      <w:r w:rsidR="005B5C19">
        <w:rPr>
          <w:lang w:val="fr-FR"/>
        </w:rPr>
        <w:t xml:space="preserve">.  </w:t>
      </w:r>
      <w:r w:rsidR="005B5C19" w:rsidRPr="00470C8A">
        <w:rPr>
          <w:lang w:val="fr-FR"/>
        </w:rPr>
        <w:t>L</w:t>
      </w:r>
      <w:r w:rsidR="005B5C19">
        <w:rPr>
          <w:lang w:val="fr-FR"/>
        </w:rPr>
        <w:t>’</w:t>
      </w:r>
      <w:r w:rsidR="005B5C19" w:rsidRPr="00470C8A">
        <w:rPr>
          <w:lang w:val="fr-FR"/>
        </w:rPr>
        <w:t>e</w:t>
      </w:r>
      <w:r w:rsidRPr="00470C8A">
        <w:rPr>
          <w:lang w:val="fr-FR"/>
        </w:rPr>
        <w:t>nregistrement international peut donc être rendu inopérant, non pas à cause d</w:t>
      </w:r>
      <w:r w:rsidR="00573E17">
        <w:rPr>
          <w:lang w:val="fr-FR"/>
        </w:rPr>
        <w:t>’</w:t>
      </w:r>
      <w:r w:rsidRPr="00470C8A">
        <w:rPr>
          <w:lang w:val="fr-FR"/>
        </w:rPr>
        <w:t>une attaque centrale, mais en raison</w:t>
      </w:r>
      <w:r w:rsidR="00D95F1B" w:rsidRPr="00470C8A">
        <w:rPr>
          <w:lang w:val="fr-FR"/>
        </w:rPr>
        <w:t>, par exemple,</w:t>
      </w:r>
      <w:r w:rsidRPr="00470C8A">
        <w:rPr>
          <w:lang w:val="fr-FR"/>
        </w:rPr>
        <w:t xml:space="preserve"> de l</w:t>
      </w:r>
      <w:r w:rsidR="00573E17">
        <w:rPr>
          <w:lang w:val="fr-FR"/>
        </w:rPr>
        <w:t>’</w:t>
      </w:r>
      <w:r w:rsidRPr="00470C8A">
        <w:rPr>
          <w:lang w:val="fr-FR"/>
        </w:rPr>
        <w:t>action d</w:t>
      </w:r>
      <w:r w:rsidR="00573E17">
        <w:rPr>
          <w:lang w:val="fr-FR"/>
        </w:rPr>
        <w:t>’</w:t>
      </w:r>
      <w:r w:rsidRPr="00470C8A">
        <w:rPr>
          <w:lang w:val="fr-FR"/>
        </w:rPr>
        <w:t xml:space="preserve">un tiers </w:t>
      </w:r>
      <w:r w:rsidR="000E0783" w:rsidRPr="00470C8A">
        <w:rPr>
          <w:lang w:val="fr-FR"/>
        </w:rPr>
        <w:t xml:space="preserve">qui </w:t>
      </w:r>
      <w:r w:rsidRPr="00470C8A">
        <w:rPr>
          <w:lang w:val="fr-FR"/>
        </w:rPr>
        <w:t>n</w:t>
      </w:r>
      <w:r w:rsidR="00573E17">
        <w:rPr>
          <w:lang w:val="fr-FR"/>
        </w:rPr>
        <w:t>’</w:t>
      </w:r>
      <w:r w:rsidRPr="00470C8A">
        <w:rPr>
          <w:lang w:val="fr-FR"/>
        </w:rPr>
        <w:t>a</w:t>
      </w:r>
      <w:r w:rsidR="000E0783" w:rsidRPr="00470C8A">
        <w:rPr>
          <w:lang w:val="fr-FR"/>
        </w:rPr>
        <w:t xml:space="preserve"> </w:t>
      </w:r>
      <w:r w:rsidRPr="00470C8A">
        <w:rPr>
          <w:lang w:val="fr-FR"/>
        </w:rPr>
        <w:t xml:space="preserve">aucun intérêt à attaquer </w:t>
      </w:r>
      <w:r w:rsidR="00546F3D" w:rsidRPr="00470C8A">
        <w:rPr>
          <w:lang w:val="fr-FR"/>
        </w:rPr>
        <w:t xml:space="preserve">cet </w:t>
      </w:r>
      <w:r w:rsidR="000E0783" w:rsidRPr="00470C8A">
        <w:rPr>
          <w:lang w:val="fr-FR"/>
        </w:rPr>
        <w:t>enregistrement, ni à contester la protection de la marque dans l</w:t>
      </w:r>
      <w:r w:rsidR="00573E17">
        <w:rPr>
          <w:lang w:val="fr-FR"/>
        </w:rPr>
        <w:t>’</w:t>
      </w:r>
      <w:r w:rsidR="000E0783" w:rsidRPr="00470C8A">
        <w:rPr>
          <w:lang w:val="fr-FR"/>
        </w:rPr>
        <w:t>une quelconque ou certaines des parties contractantes désignées</w:t>
      </w:r>
      <w:r w:rsidR="00816572" w:rsidRPr="00470C8A">
        <w:rPr>
          <w:lang w:val="fr-FR"/>
        </w:rPr>
        <w:t>.</w:t>
      </w:r>
    </w:p>
    <w:p w:rsidR="00573E17" w:rsidRDefault="000E0783" w:rsidP="0087445B">
      <w:pPr>
        <w:pStyle w:val="ONUMFS"/>
        <w:spacing w:after="0"/>
        <w:rPr>
          <w:lang w:val="fr-FR"/>
        </w:rPr>
      </w:pPr>
      <w:r w:rsidRPr="00470C8A">
        <w:rPr>
          <w:lang w:val="fr-FR"/>
        </w:rPr>
        <w:t xml:space="preserve">Pour éviter que </w:t>
      </w:r>
      <w:r w:rsidR="00D95F1B" w:rsidRPr="00470C8A">
        <w:rPr>
          <w:lang w:val="fr-FR"/>
        </w:rPr>
        <w:t>cette</w:t>
      </w:r>
      <w:r w:rsidRPr="00470C8A">
        <w:rPr>
          <w:lang w:val="fr-FR"/>
        </w:rPr>
        <w:t xml:space="preserve"> situation se produise, l</w:t>
      </w:r>
      <w:r w:rsidR="00573E17">
        <w:rPr>
          <w:lang w:val="fr-FR"/>
        </w:rPr>
        <w:t>’</w:t>
      </w:r>
      <w:r w:rsidR="00573E17" w:rsidRPr="00470C8A">
        <w:rPr>
          <w:lang w:val="fr-FR"/>
        </w:rPr>
        <w:t>article</w:t>
      </w:r>
      <w:r w:rsidR="00573E17">
        <w:rPr>
          <w:lang w:val="fr-FR"/>
        </w:rPr>
        <w:t> </w:t>
      </w:r>
      <w:r w:rsidR="00573E17" w:rsidRPr="00470C8A">
        <w:rPr>
          <w:lang w:val="fr-FR"/>
        </w:rPr>
        <w:t>6</w:t>
      </w:r>
      <w:r w:rsidRPr="00470C8A">
        <w:rPr>
          <w:lang w:val="fr-FR"/>
        </w:rPr>
        <w:t xml:space="preserve">.3) </w:t>
      </w:r>
      <w:r w:rsidR="00D95F1B" w:rsidRPr="00470C8A">
        <w:rPr>
          <w:lang w:val="fr-FR"/>
        </w:rPr>
        <w:t>pourrait</w:t>
      </w:r>
      <w:r w:rsidRPr="00470C8A">
        <w:rPr>
          <w:lang w:val="fr-FR"/>
        </w:rPr>
        <w:t xml:space="preserve"> être modifié pour éliminer l</w:t>
      </w:r>
      <w:r w:rsidR="00573E17">
        <w:rPr>
          <w:lang w:val="fr-FR"/>
        </w:rPr>
        <w:t>’</w:t>
      </w:r>
      <w:r w:rsidRPr="00470C8A">
        <w:rPr>
          <w:lang w:val="fr-FR"/>
        </w:rPr>
        <w:t>effet automatique de la cessation des effets de la marque de base sur l</w:t>
      </w:r>
      <w:r w:rsidR="00573E17">
        <w:rPr>
          <w:lang w:val="fr-FR"/>
        </w:rPr>
        <w:t>’</w:t>
      </w:r>
      <w:r w:rsidRPr="00470C8A">
        <w:rPr>
          <w:lang w:val="fr-FR"/>
        </w:rPr>
        <w:t>enregistrement international et pour limiter les faits et décisions qui y sont mentionnés</w:t>
      </w:r>
      <w:r w:rsidR="00D95F1B" w:rsidRPr="00470C8A">
        <w:rPr>
          <w:lang w:val="fr-FR"/>
        </w:rPr>
        <w:t xml:space="preserve"> à ceux résultant de l</w:t>
      </w:r>
      <w:r w:rsidR="00573E17">
        <w:rPr>
          <w:lang w:val="fr-FR"/>
        </w:rPr>
        <w:t>’</w:t>
      </w:r>
      <w:r w:rsidR="00D95F1B" w:rsidRPr="00470C8A">
        <w:rPr>
          <w:lang w:val="fr-FR"/>
        </w:rPr>
        <w:t>action d</w:t>
      </w:r>
      <w:r w:rsidR="00573E17">
        <w:rPr>
          <w:lang w:val="fr-FR"/>
        </w:rPr>
        <w:t>’</w:t>
      </w:r>
      <w:r w:rsidR="00D95F1B" w:rsidRPr="00470C8A">
        <w:rPr>
          <w:lang w:val="fr-FR"/>
        </w:rPr>
        <w:t>un</w:t>
      </w:r>
      <w:r w:rsidRPr="00470C8A">
        <w:rPr>
          <w:lang w:val="fr-FR"/>
        </w:rPr>
        <w:t xml:space="preserve"> tie</w:t>
      </w:r>
      <w:r w:rsidR="005B5C19" w:rsidRPr="00470C8A">
        <w:rPr>
          <w:lang w:val="fr-FR"/>
        </w:rPr>
        <w:t>rs</w:t>
      </w:r>
      <w:r w:rsidR="005B5C19">
        <w:rPr>
          <w:lang w:val="fr-FR"/>
        </w:rPr>
        <w:t xml:space="preserve">.  </w:t>
      </w:r>
      <w:r w:rsidR="005B5C19" w:rsidRPr="00470C8A">
        <w:rPr>
          <w:lang w:val="fr-FR"/>
        </w:rPr>
        <w:t>En</w:t>
      </w:r>
      <w:r w:rsidRPr="00470C8A">
        <w:rPr>
          <w:lang w:val="fr-FR"/>
        </w:rPr>
        <w:t xml:space="preserve"> outre, l</w:t>
      </w:r>
      <w:r w:rsidR="00573E17">
        <w:rPr>
          <w:lang w:val="fr-FR"/>
        </w:rPr>
        <w:t>’</w:t>
      </w:r>
      <w:r w:rsidR="00573E17" w:rsidRPr="00470C8A">
        <w:rPr>
          <w:lang w:val="fr-FR"/>
        </w:rPr>
        <w:t>alinéa</w:t>
      </w:r>
      <w:r w:rsidR="00573E17">
        <w:rPr>
          <w:lang w:val="fr-FR"/>
        </w:rPr>
        <w:t> </w:t>
      </w:r>
      <w:r w:rsidR="00573E17" w:rsidRPr="00470C8A">
        <w:rPr>
          <w:lang w:val="fr-FR"/>
        </w:rPr>
        <w:t>4</w:t>
      </w:r>
      <w:r w:rsidRPr="00470C8A">
        <w:rPr>
          <w:lang w:val="fr-FR"/>
        </w:rPr>
        <w:t xml:space="preserve">) du même article pourrait être modifié pour </w:t>
      </w:r>
      <w:r w:rsidR="004D6565" w:rsidRPr="00470C8A">
        <w:rPr>
          <w:lang w:val="fr-FR"/>
        </w:rPr>
        <w:t>exiger</w:t>
      </w:r>
      <w:r w:rsidRPr="00470C8A">
        <w:rPr>
          <w:lang w:val="fr-FR"/>
        </w:rPr>
        <w:t xml:space="preserve"> que l</w:t>
      </w:r>
      <w:r w:rsidR="00573E17">
        <w:rPr>
          <w:lang w:val="fr-FR"/>
        </w:rPr>
        <w:t>’</w:t>
      </w:r>
      <w:r w:rsidRPr="00470C8A">
        <w:rPr>
          <w:lang w:val="fr-FR"/>
        </w:rPr>
        <w:t>office d</w:t>
      </w:r>
      <w:r w:rsidR="00573E17">
        <w:rPr>
          <w:lang w:val="fr-FR"/>
        </w:rPr>
        <w:t>’</w:t>
      </w:r>
      <w:r w:rsidRPr="00470C8A">
        <w:rPr>
          <w:lang w:val="fr-FR"/>
        </w:rPr>
        <w:t>origine notifie le Bureau international et demande la radiation de l</w:t>
      </w:r>
      <w:r w:rsidR="00573E17">
        <w:rPr>
          <w:lang w:val="fr-FR"/>
        </w:rPr>
        <w:t>’</w:t>
      </w:r>
      <w:r w:rsidRPr="00470C8A">
        <w:rPr>
          <w:lang w:val="fr-FR"/>
        </w:rPr>
        <w:t>enregistrement international à la demande du tiers concerné uniqueme</w:t>
      </w:r>
      <w:r w:rsidR="005B5C19" w:rsidRPr="00470C8A">
        <w:rPr>
          <w:lang w:val="fr-FR"/>
        </w:rPr>
        <w:t>nt</w:t>
      </w:r>
      <w:r w:rsidR="005B5C19">
        <w:rPr>
          <w:lang w:val="fr-FR"/>
        </w:rPr>
        <w:t xml:space="preserve">.  </w:t>
      </w:r>
      <w:r w:rsidR="005B5C19" w:rsidRPr="00470C8A">
        <w:rPr>
          <w:lang w:val="fr-FR"/>
        </w:rPr>
        <w:t>Là</w:t>
      </w:r>
      <w:r w:rsidRPr="00470C8A">
        <w:rPr>
          <w:lang w:val="fr-FR"/>
        </w:rPr>
        <w:t xml:space="preserve"> encore, comme dans les cas décrits plus haut, il faudrait convoquer une conférence </w:t>
      </w:r>
      <w:r w:rsidR="00D95F1B" w:rsidRPr="00470C8A">
        <w:rPr>
          <w:lang w:val="fr-FR"/>
        </w:rPr>
        <w:t xml:space="preserve">diplomatique </w:t>
      </w:r>
      <w:r w:rsidRPr="00470C8A">
        <w:rPr>
          <w:lang w:val="fr-FR"/>
        </w:rPr>
        <w:t>de révision du Protocole</w:t>
      </w:r>
      <w:r w:rsidR="00816572" w:rsidRPr="00470C8A">
        <w:rPr>
          <w:lang w:val="fr-FR"/>
        </w:rPr>
        <w:t>.</w:t>
      </w:r>
    </w:p>
    <w:p w:rsidR="00504BB9" w:rsidRPr="00495192" w:rsidRDefault="00495192" w:rsidP="00495192">
      <w:pPr>
        <w:pStyle w:val="Heading2"/>
      </w:pPr>
      <w:r w:rsidRPr="00495192">
        <w:t>Suspension (gel) de l</w:t>
      </w:r>
      <w:r w:rsidR="00573E17">
        <w:t>’</w:t>
      </w:r>
      <w:r w:rsidRPr="00495192">
        <w:t>application du principe de la dépendance</w:t>
      </w:r>
    </w:p>
    <w:p w:rsidR="00504BB9" w:rsidRPr="00470C8A" w:rsidRDefault="00504BB9" w:rsidP="00470C8A">
      <w:pPr>
        <w:rPr>
          <w:szCs w:val="22"/>
        </w:rPr>
      </w:pPr>
    </w:p>
    <w:p w:rsidR="00573E17" w:rsidRDefault="00F83E81" w:rsidP="00495192">
      <w:pPr>
        <w:pStyle w:val="ONUMFS"/>
        <w:rPr>
          <w:lang w:val="fr-FR"/>
        </w:rPr>
      </w:pPr>
      <w:r w:rsidRPr="00470C8A">
        <w:rPr>
          <w:lang w:val="fr-FR"/>
        </w:rPr>
        <w:t>La possibilité de suspendre (</w:t>
      </w:r>
      <w:r w:rsidR="004D6565" w:rsidRPr="00470C8A">
        <w:rPr>
          <w:lang w:val="fr-FR"/>
        </w:rPr>
        <w:t>“</w:t>
      </w:r>
      <w:r w:rsidRPr="00470C8A">
        <w:rPr>
          <w:lang w:val="fr-FR"/>
        </w:rPr>
        <w:t>geler</w:t>
      </w:r>
      <w:r w:rsidR="004D6565" w:rsidRPr="00470C8A">
        <w:rPr>
          <w:lang w:val="fr-FR"/>
        </w:rPr>
        <w:t>”</w:t>
      </w:r>
      <w:r w:rsidRPr="00470C8A">
        <w:rPr>
          <w:lang w:val="fr-FR"/>
        </w:rPr>
        <w:t>) l</w:t>
      </w:r>
      <w:r w:rsidR="00573E17">
        <w:rPr>
          <w:lang w:val="fr-FR"/>
        </w:rPr>
        <w:t>’</w:t>
      </w:r>
      <w:r w:rsidRPr="00470C8A">
        <w:rPr>
          <w:lang w:val="fr-FR"/>
        </w:rPr>
        <w:t xml:space="preserve">application des </w:t>
      </w:r>
      <w:r w:rsidR="00573E17" w:rsidRPr="00470C8A">
        <w:rPr>
          <w:lang w:val="fr-FR"/>
        </w:rPr>
        <w:t>alinéas</w:t>
      </w:r>
      <w:r w:rsidR="00573E17">
        <w:rPr>
          <w:lang w:val="fr-FR"/>
        </w:rPr>
        <w:t> </w:t>
      </w:r>
      <w:r w:rsidR="00573E17" w:rsidRPr="00470C8A">
        <w:rPr>
          <w:lang w:val="fr-FR"/>
        </w:rPr>
        <w:t>2</w:t>
      </w:r>
      <w:r w:rsidRPr="00470C8A">
        <w:rPr>
          <w:lang w:val="fr-FR"/>
        </w:rPr>
        <w:t>), 3) et 4) de l</w:t>
      </w:r>
      <w:r w:rsidR="00573E17">
        <w:rPr>
          <w:lang w:val="fr-FR"/>
        </w:rPr>
        <w:t>’</w:t>
      </w:r>
      <w:r w:rsidR="00573E17" w:rsidRPr="00470C8A">
        <w:rPr>
          <w:lang w:val="fr-FR"/>
        </w:rPr>
        <w:t>article</w:t>
      </w:r>
      <w:r w:rsidR="00573E17">
        <w:rPr>
          <w:lang w:val="fr-FR"/>
        </w:rPr>
        <w:t> </w:t>
      </w:r>
      <w:r w:rsidR="00573E17" w:rsidRPr="00470C8A">
        <w:rPr>
          <w:lang w:val="fr-FR"/>
        </w:rPr>
        <w:t>6</w:t>
      </w:r>
      <w:r w:rsidR="004D6565" w:rsidRPr="00470C8A">
        <w:rPr>
          <w:lang w:val="fr-FR"/>
        </w:rPr>
        <w:t xml:space="preserve"> </w:t>
      </w:r>
      <w:r w:rsidRPr="00470C8A">
        <w:rPr>
          <w:lang w:val="fr-FR"/>
        </w:rPr>
        <w:t>de l</w:t>
      </w:r>
      <w:r w:rsidR="00573E17">
        <w:rPr>
          <w:lang w:val="fr-FR"/>
        </w:rPr>
        <w:t>’</w:t>
      </w:r>
      <w:r w:rsidRPr="00470C8A">
        <w:rPr>
          <w:lang w:val="fr-FR"/>
        </w:rPr>
        <w:t>Arrangement et du Protocole a été traité</w:t>
      </w:r>
      <w:r w:rsidR="00D95F1B" w:rsidRPr="00470C8A">
        <w:rPr>
          <w:lang w:val="fr-FR"/>
        </w:rPr>
        <w:t>e</w:t>
      </w:r>
      <w:r w:rsidRPr="00470C8A">
        <w:rPr>
          <w:lang w:val="fr-FR"/>
        </w:rPr>
        <w:t xml:space="preserve"> en profondeur à la douz</w:t>
      </w:r>
      <w:r w:rsidR="00573E17">
        <w:rPr>
          <w:lang w:val="fr-FR"/>
        </w:rPr>
        <w:t>ième session</w:t>
      </w:r>
      <w:r w:rsidRPr="00470C8A">
        <w:rPr>
          <w:lang w:val="fr-FR"/>
        </w:rPr>
        <w:t xml:space="preserve"> du groupe de travail dans le </w:t>
      </w:r>
      <w:r w:rsidR="00573E17" w:rsidRPr="00470C8A">
        <w:rPr>
          <w:lang w:val="fr-FR"/>
        </w:rPr>
        <w:t>document</w:t>
      </w:r>
      <w:r w:rsidR="00573E17">
        <w:rPr>
          <w:lang w:val="fr-FR"/>
        </w:rPr>
        <w:t xml:space="preserve"> </w:t>
      </w:r>
      <w:r w:rsidR="00573E17" w:rsidRPr="00470C8A">
        <w:rPr>
          <w:lang w:val="fr-FR"/>
        </w:rPr>
        <w:t>MM</w:t>
      </w:r>
      <w:r w:rsidR="00816572" w:rsidRPr="00470C8A">
        <w:rPr>
          <w:lang w:val="fr-FR"/>
        </w:rPr>
        <w:t xml:space="preserve">/LD/WG/12/4.  </w:t>
      </w:r>
      <w:r w:rsidR="00C058B8" w:rsidRPr="00470C8A">
        <w:rPr>
          <w:lang w:val="fr-FR"/>
        </w:rPr>
        <w:t>Ce</w:t>
      </w:r>
      <w:r w:rsidR="00816572" w:rsidRPr="00470C8A">
        <w:rPr>
          <w:lang w:val="fr-FR"/>
        </w:rPr>
        <w:t xml:space="preserve"> document </w:t>
      </w:r>
      <w:r w:rsidR="00C058B8" w:rsidRPr="00470C8A">
        <w:rPr>
          <w:lang w:val="fr-FR"/>
        </w:rPr>
        <w:t>portait sur l</w:t>
      </w:r>
      <w:r w:rsidR="00573E17">
        <w:rPr>
          <w:lang w:val="fr-FR"/>
        </w:rPr>
        <w:t>’</w:t>
      </w:r>
      <w:r w:rsidR="00C058B8" w:rsidRPr="00470C8A">
        <w:rPr>
          <w:lang w:val="fr-FR"/>
        </w:rPr>
        <w:t xml:space="preserve">historique du principe de </w:t>
      </w:r>
      <w:r w:rsidR="00D95F1B" w:rsidRPr="00470C8A">
        <w:rPr>
          <w:lang w:val="fr-FR"/>
        </w:rPr>
        <w:t xml:space="preserve">la </w:t>
      </w:r>
      <w:r w:rsidR="00C058B8" w:rsidRPr="00470C8A">
        <w:rPr>
          <w:lang w:val="fr-FR"/>
        </w:rPr>
        <w:t xml:space="preserve">dépendance, les effets de la dépendance sur le système de Madrid, les considérations constitutionnelles en ce qui concerne la possibilité de </w:t>
      </w:r>
      <w:r w:rsidR="001F2AA3" w:rsidRPr="00470C8A">
        <w:rPr>
          <w:lang w:val="fr-FR"/>
        </w:rPr>
        <w:t>“</w:t>
      </w:r>
      <w:r w:rsidR="00C058B8" w:rsidRPr="00470C8A">
        <w:rPr>
          <w:lang w:val="fr-FR"/>
        </w:rPr>
        <w:t>gel</w:t>
      </w:r>
      <w:r w:rsidR="001F2AA3">
        <w:rPr>
          <w:lang w:val="fr-FR"/>
        </w:rPr>
        <w:t>er</w:t>
      </w:r>
      <w:r w:rsidR="001F2AA3" w:rsidRPr="00470C8A">
        <w:rPr>
          <w:lang w:val="fr-FR"/>
        </w:rPr>
        <w:t>”</w:t>
      </w:r>
      <w:r w:rsidR="00C058B8" w:rsidRPr="00470C8A">
        <w:rPr>
          <w:lang w:val="fr-FR"/>
        </w:rPr>
        <w:t xml:space="preserve"> l</w:t>
      </w:r>
      <w:r w:rsidR="00573E17">
        <w:rPr>
          <w:lang w:val="fr-FR"/>
        </w:rPr>
        <w:t>’</w:t>
      </w:r>
      <w:r w:rsidR="00C058B8" w:rsidRPr="00470C8A">
        <w:rPr>
          <w:lang w:val="fr-FR"/>
        </w:rPr>
        <w:t>application d</w:t>
      </w:r>
      <w:r w:rsidR="00573E17">
        <w:rPr>
          <w:lang w:val="fr-FR"/>
        </w:rPr>
        <w:t>’</w:t>
      </w:r>
      <w:r w:rsidR="00C058B8" w:rsidRPr="00470C8A">
        <w:rPr>
          <w:lang w:val="fr-FR"/>
        </w:rPr>
        <w:t>une disposition d</w:t>
      </w:r>
      <w:r w:rsidR="00573E17">
        <w:rPr>
          <w:lang w:val="fr-FR"/>
        </w:rPr>
        <w:t>’</w:t>
      </w:r>
      <w:r w:rsidR="00C058B8" w:rsidRPr="00470C8A">
        <w:rPr>
          <w:lang w:val="fr-FR"/>
        </w:rPr>
        <w:t>un traité, et les précédents pertinents dans les traités administrés par l</w:t>
      </w:r>
      <w:r w:rsidR="00573E17">
        <w:rPr>
          <w:lang w:val="fr-FR"/>
        </w:rPr>
        <w:t>’</w:t>
      </w:r>
      <w:r w:rsidR="00C058B8" w:rsidRPr="00470C8A">
        <w:rPr>
          <w:lang w:val="fr-FR"/>
        </w:rPr>
        <w:t>OMPI et dans le système de</w:t>
      </w:r>
      <w:r w:rsidR="003B5524">
        <w:rPr>
          <w:lang w:val="fr-FR"/>
        </w:rPr>
        <w:t> </w:t>
      </w:r>
      <w:r w:rsidR="00C058B8" w:rsidRPr="00470C8A">
        <w:rPr>
          <w:lang w:val="fr-FR"/>
        </w:rPr>
        <w:t>Madrid</w:t>
      </w:r>
      <w:r w:rsidR="00816572" w:rsidRPr="00470C8A">
        <w:rPr>
          <w:lang w:val="fr-FR"/>
        </w:rPr>
        <w:t>.</w:t>
      </w:r>
      <w:bookmarkStart w:id="13" w:name="_GoBack"/>
      <w:bookmarkEnd w:id="13"/>
    </w:p>
    <w:p w:rsidR="00573E17" w:rsidRDefault="00EC17EE" w:rsidP="00495192">
      <w:pPr>
        <w:pStyle w:val="ONUMFS"/>
        <w:rPr>
          <w:lang w:val="fr-FR"/>
        </w:rPr>
      </w:pPr>
      <w:r w:rsidRPr="00470C8A">
        <w:rPr>
          <w:lang w:val="fr-FR"/>
        </w:rPr>
        <w:t>Les faits récents ont confirmé qu</w:t>
      </w:r>
      <w:r w:rsidR="00573E17">
        <w:rPr>
          <w:lang w:val="fr-FR"/>
        </w:rPr>
        <w:t>’</w:t>
      </w:r>
      <w:r w:rsidRPr="00470C8A">
        <w:rPr>
          <w:lang w:val="fr-FR"/>
        </w:rPr>
        <w:t xml:space="preserve">il était possible de </w:t>
      </w:r>
      <w:r w:rsidR="004D6565" w:rsidRPr="00470C8A">
        <w:rPr>
          <w:lang w:val="fr-FR"/>
        </w:rPr>
        <w:t>“</w:t>
      </w:r>
      <w:r w:rsidRPr="00470C8A">
        <w:rPr>
          <w:lang w:val="fr-FR"/>
        </w:rPr>
        <w:t>geler</w:t>
      </w:r>
      <w:r w:rsidR="004D6565" w:rsidRPr="00470C8A">
        <w:rPr>
          <w:lang w:val="fr-FR"/>
        </w:rPr>
        <w:t>”</w:t>
      </w:r>
      <w:r w:rsidRPr="00470C8A">
        <w:rPr>
          <w:lang w:val="fr-FR"/>
        </w:rPr>
        <w:t xml:space="preserve"> l</w:t>
      </w:r>
      <w:r w:rsidR="00573E17">
        <w:rPr>
          <w:lang w:val="fr-FR"/>
        </w:rPr>
        <w:t>’</w:t>
      </w:r>
      <w:r w:rsidRPr="00470C8A">
        <w:rPr>
          <w:lang w:val="fr-FR"/>
        </w:rPr>
        <w:t>application d</w:t>
      </w:r>
      <w:r w:rsidR="00573E17">
        <w:rPr>
          <w:lang w:val="fr-FR"/>
        </w:rPr>
        <w:t>’</w:t>
      </w:r>
      <w:r w:rsidRPr="00470C8A">
        <w:rPr>
          <w:lang w:val="fr-FR"/>
        </w:rPr>
        <w:t>une disposition en vigueur dans un trai</w:t>
      </w:r>
      <w:r w:rsidR="005B5C19" w:rsidRPr="00470C8A">
        <w:rPr>
          <w:lang w:val="fr-FR"/>
        </w:rPr>
        <w:t>té</w:t>
      </w:r>
      <w:r w:rsidR="005B5C19">
        <w:rPr>
          <w:lang w:val="fr-FR"/>
        </w:rPr>
        <w:t xml:space="preserve">.  </w:t>
      </w:r>
      <w:r w:rsidR="005B5C19" w:rsidRPr="00470C8A">
        <w:rPr>
          <w:lang w:val="fr-FR"/>
        </w:rPr>
        <w:t>En</w:t>
      </w:r>
      <w:r w:rsidRPr="00470C8A">
        <w:rPr>
          <w:lang w:val="fr-FR"/>
        </w:rPr>
        <w:t xml:space="preserve"> </w:t>
      </w:r>
      <w:r w:rsidR="00573E17" w:rsidRPr="00470C8A">
        <w:rPr>
          <w:lang w:val="fr-FR"/>
        </w:rPr>
        <w:t>octobre</w:t>
      </w:r>
      <w:r w:rsidR="00573E17">
        <w:rPr>
          <w:lang w:val="fr-FR"/>
        </w:rPr>
        <w:t> </w:t>
      </w:r>
      <w:r w:rsidR="00573E17" w:rsidRPr="00470C8A">
        <w:rPr>
          <w:lang w:val="fr-FR"/>
        </w:rPr>
        <w:t>20</w:t>
      </w:r>
      <w:r w:rsidRPr="00470C8A">
        <w:rPr>
          <w:lang w:val="fr-FR"/>
        </w:rPr>
        <w:t>16, l</w:t>
      </w:r>
      <w:r w:rsidR="00573E17">
        <w:rPr>
          <w:lang w:val="fr-FR"/>
        </w:rPr>
        <w:t>’</w:t>
      </w:r>
      <w:r w:rsidRPr="00470C8A">
        <w:rPr>
          <w:lang w:val="fr-FR"/>
        </w:rPr>
        <w:t>Assemblée de l</w:t>
      </w:r>
      <w:r w:rsidR="00573E17">
        <w:rPr>
          <w:lang w:val="fr-FR"/>
        </w:rPr>
        <w:t>’</w:t>
      </w:r>
      <w:r w:rsidRPr="00470C8A">
        <w:rPr>
          <w:lang w:val="fr-FR"/>
        </w:rPr>
        <w:t>Union de Madrid (ci</w:t>
      </w:r>
      <w:r w:rsidR="005A2D9F">
        <w:rPr>
          <w:lang w:val="fr-FR"/>
        </w:rPr>
        <w:noBreakHyphen/>
      </w:r>
      <w:r w:rsidRPr="00470C8A">
        <w:rPr>
          <w:lang w:val="fr-FR"/>
        </w:rPr>
        <w:t xml:space="preserve">après dénommée </w:t>
      </w:r>
      <w:r w:rsidR="007E286E" w:rsidRPr="00470C8A">
        <w:rPr>
          <w:lang w:val="fr-FR"/>
        </w:rPr>
        <w:t>“</w:t>
      </w:r>
      <w:r w:rsidRPr="00470C8A">
        <w:rPr>
          <w:lang w:val="fr-FR"/>
        </w:rPr>
        <w:t>Assemblée</w:t>
      </w:r>
      <w:r w:rsidR="007E286E" w:rsidRPr="00470C8A">
        <w:rPr>
          <w:lang w:val="fr-FR"/>
        </w:rPr>
        <w:t>”</w:t>
      </w:r>
      <w:r w:rsidRPr="00470C8A">
        <w:rPr>
          <w:lang w:val="fr-FR"/>
        </w:rPr>
        <w:t xml:space="preserve">) a décidé de </w:t>
      </w:r>
      <w:r w:rsidR="009E4FB2" w:rsidRPr="00470C8A">
        <w:rPr>
          <w:lang w:val="fr-FR"/>
        </w:rPr>
        <w:t>“</w:t>
      </w:r>
      <w:r w:rsidRPr="00470C8A">
        <w:rPr>
          <w:lang w:val="fr-FR"/>
        </w:rPr>
        <w:t>geler</w:t>
      </w:r>
      <w:r w:rsidR="009E4FB2" w:rsidRPr="00470C8A">
        <w:rPr>
          <w:lang w:val="fr-FR"/>
        </w:rPr>
        <w:t>”</w:t>
      </w:r>
      <w:r w:rsidR="007E286E" w:rsidRPr="00470C8A">
        <w:rPr>
          <w:lang w:val="fr-FR"/>
        </w:rPr>
        <w:t xml:space="preserve"> </w:t>
      </w:r>
      <w:r w:rsidRPr="00470C8A">
        <w:rPr>
          <w:lang w:val="fr-FR"/>
        </w:rPr>
        <w:t>l</w:t>
      </w:r>
      <w:r w:rsidR="00573E17">
        <w:rPr>
          <w:lang w:val="fr-FR"/>
        </w:rPr>
        <w:t>’</w:t>
      </w:r>
      <w:r w:rsidRPr="00470C8A">
        <w:rPr>
          <w:lang w:val="fr-FR"/>
        </w:rPr>
        <w:t xml:space="preserve">application des </w:t>
      </w:r>
      <w:r w:rsidR="00573E17" w:rsidRPr="00470C8A">
        <w:rPr>
          <w:lang w:val="fr-FR"/>
        </w:rPr>
        <w:t>alinéas</w:t>
      </w:r>
      <w:r w:rsidR="00573E17">
        <w:rPr>
          <w:lang w:val="fr-FR"/>
        </w:rPr>
        <w:t> </w:t>
      </w:r>
      <w:r w:rsidR="00573E17" w:rsidRPr="00470C8A">
        <w:rPr>
          <w:lang w:val="fr-FR"/>
        </w:rPr>
        <w:t>1</w:t>
      </w:r>
      <w:r w:rsidRPr="00470C8A">
        <w:rPr>
          <w:lang w:val="fr-FR"/>
        </w:rPr>
        <w:t>) et 2) de l</w:t>
      </w:r>
      <w:r w:rsidR="00573E17">
        <w:rPr>
          <w:lang w:val="fr-FR"/>
        </w:rPr>
        <w:t>’</w:t>
      </w:r>
      <w:r w:rsidR="00573E17" w:rsidRPr="00470C8A">
        <w:rPr>
          <w:lang w:val="fr-FR"/>
        </w:rPr>
        <w:t>article</w:t>
      </w:r>
      <w:r w:rsidR="00573E17">
        <w:rPr>
          <w:lang w:val="fr-FR"/>
        </w:rPr>
        <w:t> </w:t>
      </w:r>
      <w:r w:rsidR="00573E17" w:rsidRPr="00470C8A">
        <w:rPr>
          <w:lang w:val="fr-FR"/>
        </w:rPr>
        <w:t>1</w:t>
      </w:r>
      <w:r w:rsidRPr="00470C8A">
        <w:rPr>
          <w:lang w:val="fr-FR"/>
        </w:rPr>
        <w:t>4 de l</w:t>
      </w:r>
      <w:r w:rsidR="00573E17">
        <w:rPr>
          <w:lang w:val="fr-FR"/>
        </w:rPr>
        <w:t>’</w:t>
      </w:r>
      <w:r w:rsidRPr="00470C8A">
        <w:rPr>
          <w:lang w:val="fr-FR"/>
        </w:rPr>
        <w:t>Arrangement</w:t>
      </w:r>
      <w:r w:rsidR="00816572" w:rsidRPr="00470C8A">
        <w:rPr>
          <w:rStyle w:val="FootnoteReference"/>
          <w:szCs w:val="22"/>
          <w:lang w:val="fr-FR"/>
        </w:rPr>
        <w:footnoteReference w:id="13"/>
      </w:r>
      <w:r w:rsidR="00816572" w:rsidRPr="00470C8A">
        <w:rPr>
          <w:lang w:val="fr-FR"/>
        </w:rPr>
        <w:t>.</w:t>
      </w:r>
    </w:p>
    <w:p w:rsidR="00573E17" w:rsidRDefault="00EC17EE" w:rsidP="00495192">
      <w:pPr>
        <w:pStyle w:val="ONUMFS"/>
        <w:rPr>
          <w:lang w:val="fr-FR"/>
        </w:rPr>
      </w:pPr>
      <w:bookmarkStart w:id="14" w:name="_Ref6672966"/>
      <w:r w:rsidRPr="00470C8A">
        <w:rPr>
          <w:lang w:val="fr-FR"/>
        </w:rPr>
        <w:t>De la même façon, l</w:t>
      </w:r>
      <w:r w:rsidR="00573E17">
        <w:rPr>
          <w:lang w:val="fr-FR"/>
        </w:rPr>
        <w:t>’</w:t>
      </w:r>
      <w:r w:rsidRPr="00470C8A">
        <w:rPr>
          <w:lang w:val="fr-FR"/>
        </w:rPr>
        <w:t xml:space="preserve">Assemblée pourrait décider de </w:t>
      </w:r>
      <w:r w:rsidR="00673E02" w:rsidRPr="00470C8A">
        <w:rPr>
          <w:lang w:val="fr-FR"/>
        </w:rPr>
        <w:t>“</w:t>
      </w:r>
      <w:r w:rsidRPr="00470C8A">
        <w:rPr>
          <w:lang w:val="fr-FR"/>
        </w:rPr>
        <w:t>geler</w:t>
      </w:r>
      <w:r w:rsidR="00673E02" w:rsidRPr="00470C8A">
        <w:rPr>
          <w:lang w:val="fr-FR"/>
        </w:rPr>
        <w:t>”</w:t>
      </w:r>
      <w:r w:rsidRPr="00470C8A">
        <w:rPr>
          <w:lang w:val="fr-FR"/>
        </w:rPr>
        <w:t xml:space="preserve"> l</w:t>
      </w:r>
      <w:r w:rsidR="00573E17">
        <w:rPr>
          <w:lang w:val="fr-FR"/>
        </w:rPr>
        <w:t>’</w:t>
      </w:r>
      <w:r w:rsidRPr="00470C8A">
        <w:rPr>
          <w:lang w:val="fr-FR"/>
        </w:rPr>
        <w:t xml:space="preserve">application des </w:t>
      </w:r>
      <w:r w:rsidR="00573E17" w:rsidRPr="00470C8A">
        <w:rPr>
          <w:lang w:val="fr-FR"/>
        </w:rPr>
        <w:t>alinéas</w:t>
      </w:r>
      <w:r w:rsidR="00573E17">
        <w:rPr>
          <w:lang w:val="fr-FR"/>
        </w:rPr>
        <w:t> </w:t>
      </w:r>
      <w:r w:rsidR="00573E17" w:rsidRPr="00470C8A">
        <w:rPr>
          <w:lang w:val="fr-FR"/>
        </w:rPr>
        <w:t>2</w:t>
      </w:r>
      <w:r w:rsidRPr="00470C8A">
        <w:rPr>
          <w:lang w:val="fr-FR"/>
        </w:rPr>
        <w:t>), 3) et 4) de l</w:t>
      </w:r>
      <w:r w:rsidR="00573E17">
        <w:rPr>
          <w:lang w:val="fr-FR"/>
        </w:rPr>
        <w:t>’</w:t>
      </w:r>
      <w:r w:rsidR="00573E17" w:rsidRPr="00470C8A">
        <w:rPr>
          <w:lang w:val="fr-FR"/>
        </w:rPr>
        <w:t>article</w:t>
      </w:r>
      <w:r w:rsidR="00573E17">
        <w:rPr>
          <w:lang w:val="fr-FR"/>
        </w:rPr>
        <w:t> </w:t>
      </w:r>
      <w:r w:rsidR="00573E17" w:rsidRPr="00470C8A">
        <w:rPr>
          <w:lang w:val="fr-FR"/>
        </w:rPr>
        <w:t>6</w:t>
      </w:r>
      <w:r w:rsidRPr="00470C8A">
        <w:rPr>
          <w:lang w:val="fr-FR"/>
        </w:rPr>
        <w:t xml:space="preserve"> du Protocole tout en faisant en sorte que cette décision soit soumise à des examens périodiques </w:t>
      </w:r>
      <w:r w:rsidR="004D6565" w:rsidRPr="00470C8A">
        <w:rPr>
          <w:lang w:val="fr-FR"/>
        </w:rPr>
        <w:t>de manière à</w:t>
      </w:r>
      <w:r w:rsidRPr="00470C8A">
        <w:rPr>
          <w:lang w:val="fr-FR"/>
        </w:rPr>
        <w:t xml:space="preserve"> mesurer ses effe</w:t>
      </w:r>
      <w:r w:rsidR="005B5C19" w:rsidRPr="00470C8A">
        <w:rPr>
          <w:lang w:val="fr-FR"/>
        </w:rPr>
        <w:t>ts</w:t>
      </w:r>
      <w:r w:rsidR="005B5C19">
        <w:rPr>
          <w:lang w:val="fr-FR"/>
        </w:rPr>
        <w:t xml:space="preserve">.  </w:t>
      </w:r>
      <w:r w:rsidR="005B5C19" w:rsidRPr="00470C8A">
        <w:rPr>
          <w:lang w:val="fr-FR"/>
        </w:rPr>
        <w:t>El</w:t>
      </w:r>
      <w:r w:rsidR="00B52880" w:rsidRPr="00470C8A">
        <w:rPr>
          <w:lang w:val="fr-FR"/>
        </w:rPr>
        <w:t xml:space="preserve">le pourrait </w:t>
      </w:r>
      <w:r w:rsidR="00673E02" w:rsidRPr="00470C8A">
        <w:rPr>
          <w:lang w:val="fr-FR"/>
        </w:rPr>
        <w:t>révoquer</w:t>
      </w:r>
      <w:r w:rsidR="00B52880" w:rsidRPr="00470C8A">
        <w:rPr>
          <w:lang w:val="fr-FR"/>
        </w:rPr>
        <w:t xml:space="preserve"> sa décision à tout moment, en veillant à préserver les droits des titulaires dont les enregistrements internationaux ont bénéficié de la mesure temporaire</w:t>
      </w:r>
      <w:r w:rsidR="00816572" w:rsidRPr="00470C8A">
        <w:rPr>
          <w:lang w:val="fr-FR"/>
        </w:rPr>
        <w:t>.</w:t>
      </w:r>
    </w:p>
    <w:p w:rsidR="00573E17" w:rsidRDefault="00B52880" w:rsidP="00495192">
      <w:pPr>
        <w:pStyle w:val="ONUMFS"/>
        <w:rPr>
          <w:lang w:val="fr-FR"/>
        </w:rPr>
      </w:pPr>
      <w:r w:rsidRPr="00495192">
        <w:rPr>
          <w:lang w:val="fr-FR"/>
        </w:rPr>
        <w:t>Parmi toutes les possib</w:t>
      </w:r>
      <w:r w:rsidR="00673E02" w:rsidRPr="00495192">
        <w:rPr>
          <w:lang w:val="fr-FR"/>
        </w:rPr>
        <w:t>ilité</w:t>
      </w:r>
      <w:r w:rsidRPr="00495192">
        <w:rPr>
          <w:lang w:val="fr-FR"/>
        </w:rPr>
        <w:t xml:space="preserve">s </w:t>
      </w:r>
      <w:r w:rsidR="00673E02" w:rsidRPr="00495192">
        <w:rPr>
          <w:lang w:val="fr-FR"/>
        </w:rPr>
        <w:t>exposées</w:t>
      </w:r>
      <w:r w:rsidRPr="00495192">
        <w:rPr>
          <w:lang w:val="fr-FR"/>
        </w:rPr>
        <w:t>, il s</w:t>
      </w:r>
      <w:r w:rsidR="00573E17">
        <w:rPr>
          <w:lang w:val="fr-FR"/>
        </w:rPr>
        <w:t>’</w:t>
      </w:r>
      <w:r w:rsidRPr="00495192">
        <w:rPr>
          <w:lang w:val="fr-FR"/>
        </w:rPr>
        <w:t xml:space="preserve">agit de la seule mesure </w:t>
      </w:r>
      <w:r w:rsidR="00673E02" w:rsidRPr="00495192">
        <w:rPr>
          <w:lang w:val="fr-FR"/>
        </w:rPr>
        <w:t xml:space="preserve">qui </w:t>
      </w:r>
      <w:r w:rsidRPr="00495192">
        <w:rPr>
          <w:lang w:val="fr-FR"/>
        </w:rPr>
        <w:t>entr</w:t>
      </w:r>
      <w:r w:rsidR="00673E02" w:rsidRPr="00495192">
        <w:rPr>
          <w:lang w:val="fr-FR"/>
        </w:rPr>
        <w:t>e</w:t>
      </w:r>
      <w:r w:rsidRPr="00495192">
        <w:rPr>
          <w:lang w:val="fr-FR"/>
        </w:rPr>
        <w:t xml:space="preserve"> dans les attributions de l</w:t>
      </w:r>
      <w:r w:rsidR="00573E17">
        <w:rPr>
          <w:lang w:val="fr-FR"/>
        </w:rPr>
        <w:t>’</w:t>
      </w:r>
      <w:r w:rsidRPr="00495192">
        <w:rPr>
          <w:lang w:val="fr-FR"/>
        </w:rPr>
        <w:t xml:space="preserve">Assemblée et </w:t>
      </w:r>
      <w:r w:rsidR="00673E02" w:rsidRPr="00495192">
        <w:rPr>
          <w:lang w:val="fr-FR"/>
        </w:rPr>
        <w:t>n</w:t>
      </w:r>
      <w:r w:rsidR="00573E17">
        <w:rPr>
          <w:lang w:val="fr-FR"/>
        </w:rPr>
        <w:t>’</w:t>
      </w:r>
      <w:r w:rsidRPr="00495192">
        <w:rPr>
          <w:lang w:val="fr-FR"/>
        </w:rPr>
        <w:t xml:space="preserve">exigerait </w:t>
      </w:r>
      <w:r w:rsidR="00673E02" w:rsidRPr="00495192">
        <w:rPr>
          <w:lang w:val="fr-FR"/>
        </w:rPr>
        <w:t xml:space="preserve">pas </w:t>
      </w:r>
      <w:r w:rsidRPr="00495192">
        <w:rPr>
          <w:lang w:val="fr-FR"/>
        </w:rPr>
        <w:t>la convocation d</w:t>
      </w:r>
      <w:r w:rsidR="00573E17">
        <w:rPr>
          <w:lang w:val="fr-FR"/>
        </w:rPr>
        <w:t>’</w:t>
      </w:r>
      <w:r w:rsidRPr="00495192">
        <w:rPr>
          <w:lang w:val="fr-FR"/>
        </w:rPr>
        <w:t>une conférence diplomatique de révision du Protocole</w:t>
      </w:r>
      <w:r w:rsidR="00816572" w:rsidRPr="00495192">
        <w:rPr>
          <w:lang w:val="fr-FR"/>
        </w:rPr>
        <w:t>.</w:t>
      </w:r>
      <w:bookmarkEnd w:id="14"/>
    </w:p>
    <w:p w:rsidR="00573E17" w:rsidRDefault="00B52880" w:rsidP="00495192">
      <w:pPr>
        <w:pStyle w:val="ONUMFS"/>
        <w:ind w:left="5533"/>
        <w:rPr>
          <w:i/>
          <w:lang w:val="fr-FR"/>
        </w:rPr>
      </w:pPr>
      <w:r w:rsidRPr="00495192">
        <w:rPr>
          <w:i/>
          <w:lang w:val="fr-FR"/>
        </w:rPr>
        <w:t xml:space="preserve">Le groupe de travail est invité à examiner les informations </w:t>
      </w:r>
      <w:r w:rsidR="004E627E" w:rsidRPr="00495192">
        <w:rPr>
          <w:i/>
          <w:lang w:val="fr-FR"/>
        </w:rPr>
        <w:t xml:space="preserve">figurant </w:t>
      </w:r>
      <w:r w:rsidRPr="00495192">
        <w:rPr>
          <w:i/>
          <w:lang w:val="fr-FR"/>
        </w:rPr>
        <w:t xml:space="preserve">dans le présent document et à </w:t>
      </w:r>
      <w:r w:rsidR="004E627E" w:rsidRPr="00495192">
        <w:rPr>
          <w:i/>
          <w:lang w:val="fr-FR"/>
        </w:rPr>
        <w:t>faire part de ses observations</w:t>
      </w:r>
      <w:r w:rsidRPr="00495192">
        <w:rPr>
          <w:i/>
          <w:lang w:val="fr-FR"/>
        </w:rPr>
        <w:t xml:space="preserve"> au Bureau international sur </w:t>
      </w:r>
      <w:r w:rsidR="004E627E" w:rsidRPr="00495192">
        <w:rPr>
          <w:i/>
          <w:lang w:val="fr-FR"/>
        </w:rPr>
        <w:t>la suite éventuelle à y donner</w:t>
      </w:r>
      <w:r w:rsidR="00816572" w:rsidRPr="00495192">
        <w:rPr>
          <w:i/>
          <w:lang w:val="fr-FR"/>
        </w:rPr>
        <w:t>.</w:t>
      </w:r>
    </w:p>
    <w:p w:rsidR="00504BB9" w:rsidRPr="00470C8A" w:rsidRDefault="00504BB9" w:rsidP="00495192">
      <w:pPr>
        <w:rPr>
          <w:lang w:val="fr-FR"/>
        </w:rPr>
      </w:pPr>
    </w:p>
    <w:p w:rsidR="00504BB9" w:rsidRPr="00470C8A" w:rsidRDefault="00504BB9" w:rsidP="00495192">
      <w:pPr>
        <w:rPr>
          <w:lang w:val="fr-FR"/>
        </w:rPr>
      </w:pPr>
    </w:p>
    <w:p w:rsidR="00504BB9" w:rsidRPr="00470C8A" w:rsidRDefault="005B6B85" w:rsidP="00495192">
      <w:pPr>
        <w:pStyle w:val="Endofdocument-Annex"/>
        <w:rPr>
          <w:lang w:val="fr-FR"/>
        </w:rPr>
      </w:pPr>
      <w:r w:rsidRPr="00470C8A">
        <w:rPr>
          <w:lang w:val="fr-FR"/>
        </w:rPr>
        <w:t>[</w:t>
      </w:r>
      <w:r w:rsidR="00B52880" w:rsidRPr="00470C8A">
        <w:rPr>
          <w:lang w:val="fr-FR"/>
        </w:rPr>
        <w:t>Fin du</w:t>
      </w:r>
      <w:r w:rsidRPr="00470C8A">
        <w:rPr>
          <w:lang w:val="fr-FR"/>
        </w:rPr>
        <w:t xml:space="preserve"> document]</w:t>
      </w:r>
    </w:p>
    <w:p w:rsidR="00504BB9" w:rsidRPr="00470C8A" w:rsidRDefault="00504BB9" w:rsidP="00470C8A">
      <w:pPr>
        <w:pStyle w:val="Endofdocument-Annex"/>
        <w:rPr>
          <w:szCs w:val="22"/>
          <w:lang w:val="fr-FR"/>
        </w:rPr>
      </w:pPr>
    </w:p>
    <w:sectPr w:rsidR="00504BB9" w:rsidRPr="00470C8A" w:rsidSect="00DD1A0A">
      <w:headerReference w:type="default" r:id="rId9"/>
      <w:endnotePr>
        <w:numFmt w:val="decimal"/>
      </w:endnotePr>
      <w:pgSz w:w="11907" w:h="16840" w:code="9"/>
      <w:pgMar w:top="567" w:right="1134" w:bottom="1276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301" w:rsidRDefault="00597301">
      <w:r>
        <w:separator/>
      </w:r>
    </w:p>
  </w:endnote>
  <w:endnote w:type="continuationSeparator" w:id="0">
    <w:p w:rsidR="00597301" w:rsidRDefault="00597301" w:rsidP="003B38C1">
      <w:r>
        <w:separator/>
      </w:r>
    </w:p>
    <w:p w:rsidR="00597301" w:rsidRPr="001E0DAC" w:rsidRDefault="00597301" w:rsidP="003B38C1">
      <w:pPr>
        <w:spacing w:after="60"/>
        <w:rPr>
          <w:sz w:val="17"/>
          <w:lang w:val="en-US"/>
          <w:rPrChange w:id="4" w:author="DOUAY Marie-Laure" w:date="2019-06-05T10:36:00Z">
            <w:rPr>
              <w:sz w:val="17"/>
            </w:rPr>
          </w:rPrChange>
        </w:rPr>
      </w:pPr>
      <w:r w:rsidRPr="001E0DAC">
        <w:rPr>
          <w:sz w:val="17"/>
          <w:lang w:val="en-US"/>
          <w:rPrChange w:id="5" w:author="DOUAY Marie-Laure" w:date="2019-06-05T10:36:00Z">
            <w:rPr>
              <w:sz w:val="17"/>
            </w:rPr>
          </w:rPrChange>
        </w:rPr>
        <w:t>[Endnote continued from previous page]</w:t>
      </w:r>
    </w:p>
  </w:endnote>
  <w:endnote w:type="continuationNotice" w:id="1">
    <w:p w:rsidR="00597301" w:rsidRPr="001E0DAC" w:rsidRDefault="00597301" w:rsidP="003B38C1">
      <w:pPr>
        <w:spacing w:before="60"/>
        <w:jc w:val="right"/>
        <w:rPr>
          <w:sz w:val="17"/>
          <w:szCs w:val="17"/>
          <w:lang w:val="en-US"/>
          <w:rPrChange w:id="6" w:author="DOUAY Marie-Laure" w:date="2019-06-05T10:36:00Z">
            <w:rPr>
              <w:sz w:val="17"/>
              <w:szCs w:val="17"/>
            </w:rPr>
          </w:rPrChange>
        </w:rPr>
      </w:pPr>
      <w:r w:rsidRPr="001E0DAC">
        <w:rPr>
          <w:sz w:val="17"/>
          <w:szCs w:val="17"/>
          <w:lang w:val="en-US"/>
          <w:rPrChange w:id="7" w:author="DOUAY Marie-Laure" w:date="2019-06-05T10:36:00Z">
            <w:rPr>
              <w:sz w:val="17"/>
              <w:szCs w:val="17"/>
            </w:rPr>
          </w:rPrChange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301" w:rsidRDefault="00597301">
      <w:r>
        <w:separator/>
      </w:r>
    </w:p>
  </w:footnote>
  <w:footnote w:type="continuationSeparator" w:id="0">
    <w:p w:rsidR="00597301" w:rsidRDefault="00597301" w:rsidP="008B60B2">
      <w:r>
        <w:separator/>
      </w:r>
    </w:p>
    <w:p w:rsidR="00597301" w:rsidRPr="001E0DAC" w:rsidRDefault="00597301" w:rsidP="008B60B2">
      <w:pPr>
        <w:spacing w:after="60"/>
        <w:rPr>
          <w:sz w:val="17"/>
          <w:szCs w:val="17"/>
          <w:lang w:val="en-US"/>
          <w:rPrChange w:id="0" w:author="DOUAY Marie-Laure" w:date="2019-06-05T10:36:00Z">
            <w:rPr>
              <w:sz w:val="17"/>
              <w:szCs w:val="17"/>
            </w:rPr>
          </w:rPrChange>
        </w:rPr>
      </w:pPr>
      <w:r w:rsidRPr="001E0DAC">
        <w:rPr>
          <w:sz w:val="17"/>
          <w:szCs w:val="17"/>
          <w:lang w:val="en-US"/>
          <w:rPrChange w:id="1" w:author="DOUAY Marie-Laure" w:date="2019-06-05T10:36:00Z">
            <w:rPr>
              <w:sz w:val="17"/>
              <w:szCs w:val="17"/>
            </w:rPr>
          </w:rPrChange>
        </w:rPr>
        <w:t>[Footnote continued from previous page]</w:t>
      </w:r>
    </w:p>
  </w:footnote>
  <w:footnote w:type="continuationNotice" w:id="1">
    <w:p w:rsidR="00597301" w:rsidRPr="001E0DAC" w:rsidRDefault="00597301" w:rsidP="008B60B2">
      <w:pPr>
        <w:spacing w:before="60"/>
        <w:jc w:val="right"/>
        <w:rPr>
          <w:sz w:val="17"/>
          <w:szCs w:val="17"/>
          <w:lang w:val="en-US"/>
          <w:rPrChange w:id="2" w:author="DOUAY Marie-Laure" w:date="2019-06-05T10:36:00Z">
            <w:rPr>
              <w:sz w:val="17"/>
              <w:szCs w:val="17"/>
            </w:rPr>
          </w:rPrChange>
        </w:rPr>
      </w:pPr>
      <w:r w:rsidRPr="001E0DAC">
        <w:rPr>
          <w:sz w:val="17"/>
          <w:szCs w:val="17"/>
          <w:lang w:val="en-US"/>
          <w:rPrChange w:id="3" w:author="DOUAY Marie-Laure" w:date="2019-06-05T10:36:00Z">
            <w:rPr>
              <w:sz w:val="17"/>
              <w:szCs w:val="17"/>
            </w:rPr>
          </w:rPrChange>
        </w:rPr>
        <w:t>[Footnote continued on next page]</w:t>
      </w:r>
    </w:p>
  </w:footnote>
  <w:footnote w:id="2">
    <w:p w:rsidR="00E9166C" w:rsidRPr="00470C8A" w:rsidRDefault="00E9166C" w:rsidP="008D6928">
      <w:pPr>
        <w:pStyle w:val="FootnoteText"/>
      </w:pPr>
      <w:r w:rsidRPr="00470C8A">
        <w:rPr>
          <w:rStyle w:val="FootnoteReference"/>
        </w:rPr>
        <w:footnoteRef/>
      </w:r>
      <w:r w:rsidRPr="00470C8A">
        <w:t xml:space="preserve"> </w:t>
      </w:r>
      <w:r w:rsidRPr="00470C8A">
        <w:tab/>
        <w:t xml:space="preserve">Voir la </w:t>
      </w:r>
      <w:r w:rsidR="000B008B">
        <w:t>“</w:t>
      </w:r>
      <w:r w:rsidR="000B008B" w:rsidRPr="00470C8A">
        <w:t>F</w:t>
      </w:r>
      <w:r w:rsidRPr="00470C8A">
        <w:t>euille de rout</w:t>
      </w:r>
      <w:r w:rsidR="000B008B" w:rsidRPr="00470C8A">
        <w:t>e</w:t>
      </w:r>
      <w:r w:rsidR="000B008B">
        <w:t>”</w:t>
      </w:r>
      <w:r w:rsidRPr="00470C8A">
        <w:t xml:space="preserve"> figurant dans l</w:t>
      </w:r>
      <w:r w:rsidR="000B008B">
        <w:t>’</w:t>
      </w:r>
      <w:r w:rsidR="000B008B" w:rsidRPr="00470C8A">
        <w:t>annexe</w:t>
      </w:r>
      <w:r w:rsidR="000B008B">
        <w:t> </w:t>
      </w:r>
      <w:r w:rsidR="000B008B" w:rsidRPr="00470C8A">
        <w:t>I</w:t>
      </w:r>
      <w:r w:rsidRPr="00470C8A">
        <w:t>V du document MM/LD/WG/14/6, qui a fait l</w:t>
      </w:r>
      <w:r w:rsidR="000B008B">
        <w:t>’</w:t>
      </w:r>
      <w:r w:rsidRPr="00470C8A">
        <w:t>objet d</w:t>
      </w:r>
      <w:r w:rsidR="000B008B">
        <w:t>’</w:t>
      </w:r>
      <w:r w:rsidRPr="00470C8A">
        <w:t>une révision ultérieure dans l</w:t>
      </w:r>
      <w:r w:rsidR="000B008B">
        <w:t>’</w:t>
      </w:r>
      <w:r w:rsidR="000B008B" w:rsidRPr="00470C8A">
        <w:t>annexe</w:t>
      </w:r>
      <w:r w:rsidR="000B008B">
        <w:t> </w:t>
      </w:r>
      <w:r w:rsidR="000B008B" w:rsidRPr="00470C8A">
        <w:t>I</w:t>
      </w:r>
      <w:r w:rsidRPr="00470C8A">
        <w:t xml:space="preserve">I du document MM/LD/WG/15/5.  </w:t>
      </w:r>
    </w:p>
  </w:footnote>
  <w:footnote w:id="3">
    <w:p w:rsidR="00E9166C" w:rsidRPr="00470C8A" w:rsidRDefault="00E9166C">
      <w:pPr>
        <w:pStyle w:val="FootnoteText"/>
      </w:pPr>
      <w:r w:rsidRPr="00470C8A">
        <w:rPr>
          <w:rStyle w:val="FootnoteReference"/>
        </w:rPr>
        <w:footnoteRef/>
      </w:r>
      <w:r w:rsidRPr="00470C8A">
        <w:t xml:space="preserve"> </w:t>
      </w:r>
      <w:r w:rsidRPr="00470C8A">
        <w:tab/>
        <w:t>L</w:t>
      </w:r>
      <w:r w:rsidR="000B008B">
        <w:t>’</w:t>
      </w:r>
      <w:r w:rsidRPr="00470C8A">
        <w:t>article 6.3) de la Convention de Paris est ainsi libellé</w:t>
      </w:r>
      <w:r w:rsidR="00274D65">
        <w:t> :</w:t>
      </w:r>
      <w:r w:rsidRPr="00470C8A">
        <w:t xml:space="preserve"> </w:t>
      </w:r>
    </w:p>
    <w:p w:rsidR="00E9166C" w:rsidRPr="00470C8A" w:rsidRDefault="00E9166C">
      <w:pPr>
        <w:pStyle w:val="FootnoteText"/>
      </w:pPr>
    </w:p>
    <w:p w:rsidR="00E9166C" w:rsidRPr="00470C8A" w:rsidRDefault="00E9166C" w:rsidP="00564AC5">
      <w:pPr>
        <w:pStyle w:val="FootnoteText"/>
        <w:ind w:left="567"/>
        <w:jc w:val="center"/>
      </w:pPr>
      <w:r w:rsidRPr="00470C8A">
        <w:t>“</w:t>
      </w:r>
      <w:r w:rsidR="000B008B" w:rsidRPr="00470C8A">
        <w:t>Article</w:t>
      </w:r>
      <w:r w:rsidR="000B008B">
        <w:t> </w:t>
      </w:r>
      <w:r w:rsidR="000B008B" w:rsidRPr="00470C8A">
        <w:t>6</w:t>
      </w:r>
    </w:p>
    <w:p w:rsidR="00E9166C" w:rsidRPr="00470C8A" w:rsidRDefault="00E9166C" w:rsidP="00564AC5">
      <w:pPr>
        <w:pStyle w:val="FootnoteText"/>
        <w:ind w:left="567"/>
        <w:jc w:val="center"/>
      </w:pPr>
    </w:p>
    <w:p w:rsidR="00E9166C" w:rsidRPr="00470C8A" w:rsidRDefault="00E9166C" w:rsidP="00564AC5">
      <w:pPr>
        <w:pStyle w:val="FootnoteText"/>
        <w:ind w:left="567"/>
        <w:jc w:val="center"/>
      </w:pPr>
      <w:r w:rsidRPr="00470C8A">
        <w:t>“Marques</w:t>
      </w:r>
      <w:r w:rsidR="000B008B">
        <w:t> :</w:t>
      </w:r>
      <w:r w:rsidRPr="00470C8A">
        <w:t xml:space="preserve"> conditions d</w:t>
      </w:r>
      <w:r w:rsidR="000B008B">
        <w:t>’</w:t>
      </w:r>
      <w:r w:rsidRPr="00470C8A">
        <w:t xml:space="preserve">enregistrement, indépendance de la protection </w:t>
      </w:r>
      <w:r w:rsidR="005B5C19">
        <w:br/>
      </w:r>
      <w:r w:rsidRPr="00470C8A">
        <w:t>de la même marque dans différents pays</w:t>
      </w:r>
    </w:p>
    <w:p w:rsidR="00E9166C" w:rsidRPr="00470C8A" w:rsidRDefault="00E9166C" w:rsidP="00564AC5">
      <w:pPr>
        <w:pStyle w:val="FootnoteText"/>
        <w:ind w:left="567"/>
      </w:pPr>
      <w:r w:rsidRPr="00470C8A">
        <w:t>“[…]</w:t>
      </w:r>
    </w:p>
    <w:p w:rsidR="00E9166C" w:rsidRPr="00470C8A" w:rsidRDefault="00E9166C" w:rsidP="00564AC5">
      <w:pPr>
        <w:pStyle w:val="FootnoteText"/>
        <w:ind w:left="567"/>
      </w:pPr>
    </w:p>
    <w:p w:rsidR="00E9166C" w:rsidRDefault="00E9166C" w:rsidP="00564AC5">
      <w:pPr>
        <w:pStyle w:val="FootnoteText"/>
        <w:ind w:left="567"/>
      </w:pPr>
      <w:r w:rsidRPr="00470C8A">
        <w:t xml:space="preserve">“3) </w:t>
      </w:r>
      <w:r w:rsidRPr="00470C8A">
        <w:tab/>
        <w:t>Une marque régulièrement enregistrée dans un pays de l</w:t>
      </w:r>
      <w:r w:rsidR="000B008B">
        <w:t>’</w:t>
      </w:r>
      <w:r w:rsidRPr="00470C8A">
        <w:t>Union sera considérée comme indépendante des marques enregistrées dans les autres pays de l</w:t>
      </w:r>
      <w:r w:rsidR="000B008B">
        <w:t>’</w:t>
      </w:r>
      <w:r w:rsidRPr="00470C8A">
        <w:t xml:space="preserve">Union, </w:t>
      </w:r>
      <w:r w:rsidR="000B008B">
        <w:t>y compris</w:t>
      </w:r>
      <w:r w:rsidRPr="00470C8A">
        <w:t xml:space="preserve"> le pays d</w:t>
      </w:r>
      <w:r w:rsidR="000B008B">
        <w:t>’</w:t>
      </w:r>
      <w:r w:rsidRPr="00470C8A">
        <w:t xml:space="preserve">origine.” </w:t>
      </w:r>
    </w:p>
    <w:p w:rsidR="00DD1A0A" w:rsidRPr="00470C8A" w:rsidRDefault="00DD1A0A" w:rsidP="00564AC5">
      <w:pPr>
        <w:pStyle w:val="FootnoteText"/>
        <w:ind w:left="567"/>
      </w:pPr>
    </w:p>
  </w:footnote>
  <w:footnote w:id="4">
    <w:p w:rsidR="00E9166C" w:rsidRPr="00470C8A" w:rsidRDefault="00E9166C" w:rsidP="00816572">
      <w:pPr>
        <w:pStyle w:val="FootnoteText"/>
      </w:pPr>
      <w:r w:rsidRPr="00470C8A">
        <w:rPr>
          <w:rStyle w:val="FootnoteReference"/>
        </w:rPr>
        <w:footnoteRef/>
      </w:r>
      <w:r w:rsidRPr="00470C8A">
        <w:t xml:space="preserve"> </w:t>
      </w:r>
      <w:r w:rsidRPr="00470C8A">
        <w:tab/>
        <w:t>Voir la publication de l</w:t>
      </w:r>
      <w:r w:rsidR="000B008B">
        <w:t>’</w:t>
      </w:r>
      <w:r w:rsidRPr="00470C8A">
        <w:t xml:space="preserve">OMPI n° 880, 1991, </w:t>
      </w:r>
      <w:r w:rsidR="000B008B" w:rsidRPr="00470C8A">
        <w:t>pages</w:t>
      </w:r>
      <w:r w:rsidR="000B008B">
        <w:t> </w:t>
      </w:r>
      <w:r w:rsidR="000B008B" w:rsidRPr="00470C8A">
        <w:t>4</w:t>
      </w:r>
      <w:r w:rsidRPr="00470C8A">
        <w:t xml:space="preserve">4 et 45.  </w:t>
      </w:r>
    </w:p>
  </w:footnote>
  <w:footnote w:id="5">
    <w:p w:rsidR="00E9166C" w:rsidRPr="00470C8A" w:rsidRDefault="00E9166C" w:rsidP="00816572">
      <w:pPr>
        <w:pStyle w:val="FootnoteText"/>
      </w:pPr>
      <w:r w:rsidRPr="00470C8A">
        <w:rPr>
          <w:rStyle w:val="FootnoteReference"/>
        </w:rPr>
        <w:footnoteRef/>
      </w:r>
      <w:r w:rsidRPr="00470C8A">
        <w:t xml:space="preserve"> </w:t>
      </w:r>
      <w:r w:rsidRPr="00470C8A">
        <w:tab/>
        <w:t xml:space="preserve">Voir le document MM/LD/WG/6/2.  </w:t>
      </w:r>
    </w:p>
  </w:footnote>
  <w:footnote w:id="6">
    <w:p w:rsidR="00E9166C" w:rsidRPr="00470C8A" w:rsidRDefault="00E9166C" w:rsidP="00816572">
      <w:pPr>
        <w:pStyle w:val="FootnoteText"/>
      </w:pPr>
      <w:r w:rsidRPr="00470C8A">
        <w:rPr>
          <w:rStyle w:val="FootnoteReference"/>
        </w:rPr>
        <w:footnoteRef/>
      </w:r>
      <w:r w:rsidRPr="00470C8A">
        <w:t xml:space="preserve"> </w:t>
      </w:r>
      <w:r w:rsidRPr="00470C8A">
        <w:tab/>
        <w:t xml:space="preserve">Voir le document MM/LD/WG/2/9.  </w:t>
      </w:r>
    </w:p>
  </w:footnote>
  <w:footnote w:id="7">
    <w:p w:rsidR="00E9166C" w:rsidRPr="00470C8A" w:rsidRDefault="00E9166C" w:rsidP="00816572">
      <w:pPr>
        <w:pStyle w:val="FootnoteText"/>
      </w:pPr>
      <w:r w:rsidRPr="00470C8A">
        <w:rPr>
          <w:rStyle w:val="FootnoteReference"/>
        </w:rPr>
        <w:footnoteRef/>
      </w:r>
      <w:r w:rsidRPr="00470C8A">
        <w:t xml:space="preserve"> </w:t>
      </w:r>
      <w:r w:rsidRPr="00470C8A">
        <w:tab/>
        <w:t xml:space="preserve">Voir le document MM/LD/WG/6/5.  </w:t>
      </w:r>
    </w:p>
  </w:footnote>
  <w:footnote w:id="8">
    <w:p w:rsidR="00E9166C" w:rsidRPr="00470C8A" w:rsidRDefault="00E9166C" w:rsidP="00816572">
      <w:pPr>
        <w:pStyle w:val="FootnoteText"/>
      </w:pPr>
      <w:r w:rsidRPr="00470C8A">
        <w:rPr>
          <w:rStyle w:val="FootnoteReference"/>
        </w:rPr>
        <w:footnoteRef/>
      </w:r>
      <w:r w:rsidRPr="00470C8A">
        <w:t xml:space="preserve"> </w:t>
      </w:r>
      <w:r w:rsidRPr="00470C8A">
        <w:tab/>
        <w:t xml:space="preserve">Voir le document MM/LD/WG/8/4.  </w:t>
      </w:r>
    </w:p>
  </w:footnote>
  <w:footnote w:id="9">
    <w:p w:rsidR="00E9166C" w:rsidRPr="00470C8A" w:rsidRDefault="00E9166C" w:rsidP="00816572">
      <w:pPr>
        <w:pStyle w:val="FootnoteText"/>
      </w:pPr>
      <w:r w:rsidRPr="00470C8A">
        <w:rPr>
          <w:rStyle w:val="FootnoteReference"/>
        </w:rPr>
        <w:footnoteRef/>
      </w:r>
      <w:r w:rsidRPr="00470C8A">
        <w:t xml:space="preserve"> </w:t>
      </w:r>
      <w:r w:rsidRPr="00470C8A">
        <w:tab/>
        <w:t xml:space="preserve">Voir le document MM/LD/WG/11/4.  </w:t>
      </w:r>
    </w:p>
  </w:footnote>
  <w:footnote w:id="10">
    <w:p w:rsidR="00E9166C" w:rsidRPr="00470C8A" w:rsidRDefault="00E9166C" w:rsidP="00816572">
      <w:pPr>
        <w:pStyle w:val="FootnoteText"/>
      </w:pPr>
      <w:r w:rsidRPr="00470C8A">
        <w:rPr>
          <w:rStyle w:val="FootnoteReference"/>
        </w:rPr>
        <w:footnoteRef/>
      </w:r>
      <w:r w:rsidRPr="00470C8A">
        <w:t xml:space="preserve"> </w:t>
      </w:r>
      <w:r w:rsidRPr="00470C8A">
        <w:tab/>
        <w:t xml:space="preserve">Voir le document MM/LD/WG/12/4.  </w:t>
      </w:r>
    </w:p>
  </w:footnote>
  <w:footnote w:id="11">
    <w:p w:rsidR="00E9166C" w:rsidRPr="00470C8A" w:rsidRDefault="00E9166C" w:rsidP="00816572">
      <w:pPr>
        <w:pStyle w:val="FootnoteText"/>
      </w:pPr>
      <w:r w:rsidRPr="00470C8A">
        <w:rPr>
          <w:rStyle w:val="FootnoteReference"/>
        </w:rPr>
        <w:footnoteRef/>
      </w:r>
      <w:r w:rsidRPr="00470C8A">
        <w:t xml:space="preserve"> </w:t>
      </w:r>
      <w:r w:rsidRPr="00470C8A">
        <w:tab/>
        <w:t xml:space="preserve">Voir le document MM/LD/WG/13/6.  </w:t>
      </w:r>
    </w:p>
  </w:footnote>
  <w:footnote w:id="12">
    <w:p w:rsidR="00E9166C" w:rsidRPr="00470C8A" w:rsidRDefault="00E9166C" w:rsidP="00816572">
      <w:pPr>
        <w:pStyle w:val="FootnoteText"/>
      </w:pPr>
      <w:r w:rsidRPr="00470C8A">
        <w:rPr>
          <w:rStyle w:val="FootnoteReference"/>
        </w:rPr>
        <w:footnoteRef/>
      </w:r>
      <w:r w:rsidRPr="00470C8A">
        <w:t xml:space="preserve"> </w:t>
      </w:r>
      <w:r w:rsidRPr="00470C8A">
        <w:tab/>
      </w:r>
      <w:r w:rsidR="000B008B" w:rsidRPr="00470C8A">
        <w:t>Article</w:t>
      </w:r>
      <w:r w:rsidR="000B008B">
        <w:t> </w:t>
      </w:r>
      <w:r w:rsidR="000B008B" w:rsidRPr="00470C8A">
        <w:t>1</w:t>
      </w:r>
      <w:r w:rsidRPr="00470C8A">
        <w:t xml:space="preserve">65 de la </w:t>
      </w:r>
      <w:r w:rsidR="00913510">
        <w:t>d</w:t>
      </w:r>
      <w:r w:rsidRPr="00470C8A">
        <w:t xml:space="preserve">écision n° 486 de la Communauté andine.  </w:t>
      </w:r>
    </w:p>
  </w:footnote>
  <w:footnote w:id="13">
    <w:p w:rsidR="00E9166C" w:rsidRPr="00470C8A" w:rsidRDefault="00E9166C" w:rsidP="00816572">
      <w:pPr>
        <w:pStyle w:val="FootnoteText"/>
      </w:pPr>
      <w:r w:rsidRPr="00470C8A">
        <w:rPr>
          <w:rStyle w:val="FootnoteReference"/>
        </w:rPr>
        <w:footnoteRef/>
      </w:r>
      <w:r w:rsidRPr="00470C8A">
        <w:t xml:space="preserve"> </w:t>
      </w:r>
      <w:r w:rsidRPr="00470C8A">
        <w:tab/>
        <w:t xml:space="preserve">Voir le document MM/A/50/3.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66C" w:rsidRDefault="00E9166C" w:rsidP="00477D6B">
    <w:pPr>
      <w:jc w:val="right"/>
    </w:pPr>
    <w:bookmarkStart w:id="15" w:name="Code2"/>
    <w:bookmarkEnd w:id="15"/>
    <w:r>
      <w:t>MM/</w:t>
    </w:r>
    <w:proofErr w:type="spellStart"/>
    <w:r>
      <w:t>LD</w:t>
    </w:r>
    <w:proofErr w:type="spellEnd"/>
    <w:r>
      <w:t>/</w:t>
    </w:r>
    <w:proofErr w:type="spellStart"/>
    <w:r>
      <w:t>WG</w:t>
    </w:r>
    <w:proofErr w:type="spellEnd"/>
    <w:r>
      <w:t>/17/6</w:t>
    </w:r>
  </w:p>
  <w:p w:rsidR="00E9166C" w:rsidRDefault="00E9166C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6414C">
      <w:rPr>
        <w:noProof/>
      </w:rPr>
      <w:t>7</w:t>
    </w:r>
    <w:r>
      <w:fldChar w:fldCharType="end"/>
    </w:r>
  </w:p>
  <w:p w:rsidR="00495192" w:rsidRDefault="00495192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0842AA"/>
    <w:multiLevelType w:val="hybridMultilevel"/>
    <w:tmpl w:val="652A5D88"/>
    <w:lvl w:ilvl="0" w:tplc="C61C9C7A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FA26A83"/>
    <w:multiLevelType w:val="hybridMultilevel"/>
    <w:tmpl w:val="C64AAF28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D61C6"/>
    <w:multiLevelType w:val="hybridMultilevel"/>
    <w:tmpl w:val="65222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C594C"/>
    <w:multiLevelType w:val="hybridMultilevel"/>
    <w:tmpl w:val="F94EC7C0"/>
    <w:lvl w:ilvl="0" w:tplc="9BCC64E0">
      <w:start w:val="1"/>
      <w:numFmt w:val="bullet"/>
      <w:lvlText w:val="–"/>
      <w:lvlJc w:val="left"/>
      <w:pPr>
        <w:ind w:left="1287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6B652D0"/>
    <w:multiLevelType w:val="hybridMultilevel"/>
    <w:tmpl w:val="AF06FA36"/>
    <w:lvl w:ilvl="0" w:tplc="A7B40F42">
      <w:numFmt w:val="bullet"/>
      <w:lvlText w:val="–"/>
      <w:lvlJc w:val="left"/>
      <w:pPr>
        <w:ind w:left="930" w:hanging="57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879D6"/>
    <w:multiLevelType w:val="hybridMultilevel"/>
    <w:tmpl w:val="91C4769A"/>
    <w:lvl w:ilvl="0" w:tplc="C61C9C7A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A589F"/>
    <w:multiLevelType w:val="hybridMultilevel"/>
    <w:tmpl w:val="0996FD1A"/>
    <w:lvl w:ilvl="0" w:tplc="C61C9C7A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03656C"/>
    <w:multiLevelType w:val="hybridMultilevel"/>
    <w:tmpl w:val="57248E16"/>
    <w:lvl w:ilvl="0" w:tplc="9BCC64E0">
      <w:start w:val="1"/>
      <w:numFmt w:val="bullet"/>
      <w:lvlText w:val="–"/>
      <w:lvlJc w:val="left"/>
      <w:pPr>
        <w:ind w:left="1287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46B4C1F"/>
    <w:multiLevelType w:val="hybridMultilevel"/>
    <w:tmpl w:val="FAC649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61A43"/>
    <w:multiLevelType w:val="hybridMultilevel"/>
    <w:tmpl w:val="46442FD2"/>
    <w:lvl w:ilvl="0" w:tplc="9BCC64E0">
      <w:start w:val="1"/>
      <w:numFmt w:val="bullet"/>
      <w:lvlText w:val="–"/>
      <w:lvlJc w:val="left"/>
      <w:pPr>
        <w:ind w:left="930" w:hanging="57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15A20"/>
    <w:multiLevelType w:val="hybridMultilevel"/>
    <w:tmpl w:val="88243B4E"/>
    <w:lvl w:ilvl="0" w:tplc="9BCC64E0">
      <w:start w:val="1"/>
      <w:numFmt w:val="bullet"/>
      <w:lvlText w:val="–"/>
      <w:lvlJc w:val="left"/>
      <w:pPr>
        <w:ind w:left="1287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A450CF6"/>
    <w:multiLevelType w:val="hybridMultilevel"/>
    <w:tmpl w:val="DAF0B59E"/>
    <w:lvl w:ilvl="0" w:tplc="C61C9C7A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12"/>
  </w:num>
  <w:num w:numId="5">
    <w:abstractNumId w:val="2"/>
  </w:num>
  <w:num w:numId="6">
    <w:abstractNumId w:val="7"/>
  </w:num>
  <w:num w:numId="7">
    <w:abstractNumId w:val="4"/>
  </w:num>
  <w:num w:numId="8">
    <w:abstractNumId w:val="1"/>
  </w:num>
  <w:num w:numId="9">
    <w:abstractNumId w:val="10"/>
  </w:num>
  <w:num w:numId="10">
    <w:abstractNumId w:val="9"/>
  </w:num>
  <w:num w:numId="11">
    <w:abstractNumId w:val="17"/>
  </w:num>
  <w:num w:numId="12">
    <w:abstractNumId w:val="12"/>
  </w:num>
  <w:num w:numId="13">
    <w:abstractNumId w:val="2"/>
  </w:num>
  <w:num w:numId="14">
    <w:abstractNumId w:val="7"/>
  </w:num>
  <w:num w:numId="15">
    <w:abstractNumId w:val="14"/>
  </w:num>
  <w:num w:numId="16">
    <w:abstractNumId w:val="8"/>
  </w:num>
  <w:num w:numId="17">
    <w:abstractNumId w:val="15"/>
  </w:num>
  <w:num w:numId="18">
    <w:abstractNumId w:val="16"/>
  </w:num>
  <w:num w:numId="19">
    <w:abstractNumId w:val="3"/>
  </w:num>
  <w:num w:numId="20">
    <w:abstractNumId w:val="13"/>
  </w:num>
  <w:num w:numId="21">
    <w:abstractNumId w:val="7"/>
  </w:num>
  <w:num w:numId="22">
    <w:abstractNumId w:val="5"/>
  </w:num>
  <w:num w:numId="2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UAY Marie-Laure">
    <w15:presenceInfo w15:providerId="AD" w15:userId="S-1-5-21-3637208745-3825800285-422149103-15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Brands, Designs &amp; DN\Madrid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Treaties &amp; Laws\WIPO Treaties|TextBase TMs\WorkspaceFTS\Treaties &amp; Laws\WIPO Lex|TextBase TMs\WorkspaceFTS\Treaties &amp; Laws\WIPO Treatie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Outreach\Academy|TextBase TMs\WorkspaceFTS\Outreach\ACE|TextBase TMs\WorkspaceFTS\Outreach\Communications|TextBase TMs\WorkspaceFTS\Outreach\Outreach|TextBase TMs\WorkspaceFTS\Outreach\Publications|TextBase TMs\WorkspaceFTS\GRTKF\GRTKF|TextBase TMs\WorkspaceFTS\Development\Development|TextBase TMs\WorkspaceFTS\Ad-hoc\Assemblies|TextBase TMs\WorkspaceFTS\Ad-hoc\Glossaires|TextBase TMs\WorkspaceFTS\Administration &amp; Finance\Administration|TextBase TMs\WorkspaceFTS\Administration &amp; Finance\PBC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am Server TMs\French"/>
    <w:docVar w:name="TextBaseURL" w:val="empty"/>
    <w:docVar w:name="UILng" w:val="en"/>
  </w:docVars>
  <w:rsids>
    <w:rsidRoot w:val="000C3895"/>
    <w:rsid w:val="00043CAA"/>
    <w:rsid w:val="00045883"/>
    <w:rsid w:val="00046F15"/>
    <w:rsid w:val="00052D4E"/>
    <w:rsid w:val="0005589E"/>
    <w:rsid w:val="000611CA"/>
    <w:rsid w:val="00066B29"/>
    <w:rsid w:val="00067173"/>
    <w:rsid w:val="00075432"/>
    <w:rsid w:val="000968ED"/>
    <w:rsid w:val="000B008B"/>
    <w:rsid w:val="000C3895"/>
    <w:rsid w:val="000D5BAE"/>
    <w:rsid w:val="000E0783"/>
    <w:rsid w:val="000F1EBB"/>
    <w:rsid w:val="000F5E56"/>
    <w:rsid w:val="000F7ABE"/>
    <w:rsid w:val="0011317A"/>
    <w:rsid w:val="00117964"/>
    <w:rsid w:val="001362EE"/>
    <w:rsid w:val="00145C7B"/>
    <w:rsid w:val="0015155C"/>
    <w:rsid w:val="001651F4"/>
    <w:rsid w:val="00167919"/>
    <w:rsid w:val="00180B57"/>
    <w:rsid w:val="001832A6"/>
    <w:rsid w:val="0019171A"/>
    <w:rsid w:val="001A3D2E"/>
    <w:rsid w:val="001D2807"/>
    <w:rsid w:val="001D5187"/>
    <w:rsid w:val="001D5374"/>
    <w:rsid w:val="001D7503"/>
    <w:rsid w:val="001E0DAC"/>
    <w:rsid w:val="001E1F02"/>
    <w:rsid w:val="001E1F1B"/>
    <w:rsid w:val="001F2AA3"/>
    <w:rsid w:val="00207850"/>
    <w:rsid w:val="00215BAC"/>
    <w:rsid w:val="00222D72"/>
    <w:rsid w:val="00232E14"/>
    <w:rsid w:val="00237636"/>
    <w:rsid w:val="00243B94"/>
    <w:rsid w:val="0024626D"/>
    <w:rsid w:val="0025164C"/>
    <w:rsid w:val="002602E3"/>
    <w:rsid w:val="002634C4"/>
    <w:rsid w:val="00263500"/>
    <w:rsid w:val="0026414C"/>
    <w:rsid w:val="00270C47"/>
    <w:rsid w:val="0027218F"/>
    <w:rsid w:val="00274D65"/>
    <w:rsid w:val="0028752D"/>
    <w:rsid w:val="002928D3"/>
    <w:rsid w:val="002945BA"/>
    <w:rsid w:val="002B28F5"/>
    <w:rsid w:val="002C3A32"/>
    <w:rsid w:val="002D2B60"/>
    <w:rsid w:val="002F1FE6"/>
    <w:rsid w:val="002F4E68"/>
    <w:rsid w:val="00312F7F"/>
    <w:rsid w:val="0032307E"/>
    <w:rsid w:val="00335EA3"/>
    <w:rsid w:val="00354E43"/>
    <w:rsid w:val="00361450"/>
    <w:rsid w:val="003673CF"/>
    <w:rsid w:val="003705FB"/>
    <w:rsid w:val="0037230E"/>
    <w:rsid w:val="003736C0"/>
    <w:rsid w:val="003762EC"/>
    <w:rsid w:val="003815AD"/>
    <w:rsid w:val="003845C1"/>
    <w:rsid w:val="00384612"/>
    <w:rsid w:val="00386DEF"/>
    <w:rsid w:val="00393FEF"/>
    <w:rsid w:val="00397196"/>
    <w:rsid w:val="003A2F9A"/>
    <w:rsid w:val="003A5A5B"/>
    <w:rsid w:val="003A6F89"/>
    <w:rsid w:val="003B38C1"/>
    <w:rsid w:val="003B4067"/>
    <w:rsid w:val="003B5524"/>
    <w:rsid w:val="003C5432"/>
    <w:rsid w:val="003D1198"/>
    <w:rsid w:val="003E2CED"/>
    <w:rsid w:val="003F6714"/>
    <w:rsid w:val="00414DE5"/>
    <w:rsid w:val="00423E3E"/>
    <w:rsid w:val="00427AF4"/>
    <w:rsid w:val="004376C6"/>
    <w:rsid w:val="00452C77"/>
    <w:rsid w:val="004647DA"/>
    <w:rsid w:val="00470C8A"/>
    <w:rsid w:val="00474062"/>
    <w:rsid w:val="00477D6B"/>
    <w:rsid w:val="004839D4"/>
    <w:rsid w:val="00495192"/>
    <w:rsid w:val="004B3A8C"/>
    <w:rsid w:val="004C323F"/>
    <w:rsid w:val="004C58C7"/>
    <w:rsid w:val="004D0E6F"/>
    <w:rsid w:val="004D5AF3"/>
    <w:rsid w:val="004D6565"/>
    <w:rsid w:val="004D7F23"/>
    <w:rsid w:val="004E36C4"/>
    <w:rsid w:val="004E627E"/>
    <w:rsid w:val="004E6B5D"/>
    <w:rsid w:val="004F07A7"/>
    <w:rsid w:val="005019FF"/>
    <w:rsid w:val="00504BB9"/>
    <w:rsid w:val="0053057A"/>
    <w:rsid w:val="00536882"/>
    <w:rsid w:val="0054150D"/>
    <w:rsid w:val="00544A86"/>
    <w:rsid w:val="00546F3D"/>
    <w:rsid w:val="00547D68"/>
    <w:rsid w:val="00560A29"/>
    <w:rsid w:val="00561FAA"/>
    <w:rsid w:val="00564AC5"/>
    <w:rsid w:val="00566F3F"/>
    <w:rsid w:val="00573E17"/>
    <w:rsid w:val="00574923"/>
    <w:rsid w:val="00597066"/>
    <w:rsid w:val="00597301"/>
    <w:rsid w:val="005A142B"/>
    <w:rsid w:val="005A2D9F"/>
    <w:rsid w:val="005B05D8"/>
    <w:rsid w:val="005B5C19"/>
    <w:rsid w:val="005B6B85"/>
    <w:rsid w:val="005C2E38"/>
    <w:rsid w:val="005C306B"/>
    <w:rsid w:val="005C479F"/>
    <w:rsid w:val="005C6649"/>
    <w:rsid w:val="005D09FB"/>
    <w:rsid w:val="005E633F"/>
    <w:rsid w:val="005F1C7E"/>
    <w:rsid w:val="005F2005"/>
    <w:rsid w:val="005F335F"/>
    <w:rsid w:val="006041E7"/>
    <w:rsid w:val="00604F72"/>
    <w:rsid w:val="00605827"/>
    <w:rsid w:val="00623EFA"/>
    <w:rsid w:val="00646050"/>
    <w:rsid w:val="00647763"/>
    <w:rsid w:val="00653500"/>
    <w:rsid w:val="006713CA"/>
    <w:rsid w:val="00673E02"/>
    <w:rsid w:val="00676C5C"/>
    <w:rsid w:val="00681884"/>
    <w:rsid w:val="00682871"/>
    <w:rsid w:val="00683E03"/>
    <w:rsid w:val="006A6546"/>
    <w:rsid w:val="006D5952"/>
    <w:rsid w:val="006E757D"/>
    <w:rsid w:val="006F06C5"/>
    <w:rsid w:val="007123DC"/>
    <w:rsid w:val="00722542"/>
    <w:rsid w:val="00735D69"/>
    <w:rsid w:val="00742980"/>
    <w:rsid w:val="00743D2F"/>
    <w:rsid w:val="00774587"/>
    <w:rsid w:val="007A0AE4"/>
    <w:rsid w:val="007A111B"/>
    <w:rsid w:val="007B5D69"/>
    <w:rsid w:val="007D1613"/>
    <w:rsid w:val="007E286E"/>
    <w:rsid w:val="007E290B"/>
    <w:rsid w:val="007E75ED"/>
    <w:rsid w:val="00816572"/>
    <w:rsid w:val="00816D05"/>
    <w:rsid w:val="008256E7"/>
    <w:rsid w:val="0083203C"/>
    <w:rsid w:val="008404A9"/>
    <w:rsid w:val="00840CDD"/>
    <w:rsid w:val="00842850"/>
    <w:rsid w:val="00845532"/>
    <w:rsid w:val="008503F9"/>
    <w:rsid w:val="0085341F"/>
    <w:rsid w:val="008562F3"/>
    <w:rsid w:val="0086299D"/>
    <w:rsid w:val="0087445B"/>
    <w:rsid w:val="008875C6"/>
    <w:rsid w:val="00891335"/>
    <w:rsid w:val="00893C56"/>
    <w:rsid w:val="008A2629"/>
    <w:rsid w:val="008A3878"/>
    <w:rsid w:val="008B2CC1"/>
    <w:rsid w:val="008B60B2"/>
    <w:rsid w:val="008D4B70"/>
    <w:rsid w:val="008D6928"/>
    <w:rsid w:val="008F3415"/>
    <w:rsid w:val="0090731E"/>
    <w:rsid w:val="00910835"/>
    <w:rsid w:val="00912CF9"/>
    <w:rsid w:val="00913510"/>
    <w:rsid w:val="00916EE2"/>
    <w:rsid w:val="0092117F"/>
    <w:rsid w:val="00923A92"/>
    <w:rsid w:val="009248C8"/>
    <w:rsid w:val="00931FD7"/>
    <w:rsid w:val="00932C36"/>
    <w:rsid w:val="00966A22"/>
    <w:rsid w:val="0096722F"/>
    <w:rsid w:val="00972699"/>
    <w:rsid w:val="00972A0A"/>
    <w:rsid w:val="0097628E"/>
    <w:rsid w:val="00980843"/>
    <w:rsid w:val="00992327"/>
    <w:rsid w:val="0099674C"/>
    <w:rsid w:val="009A6E26"/>
    <w:rsid w:val="009B3AE1"/>
    <w:rsid w:val="009B6AAB"/>
    <w:rsid w:val="009D76BB"/>
    <w:rsid w:val="009E2791"/>
    <w:rsid w:val="009E3F6F"/>
    <w:rsid w:val="009E4FB2"/>
    <w:rsid w:val="009F1C53"/>
    <w:rsid w:val="009F499F"/>
    <w:rsid w:val="00A1377E"/>
    <w:rsid w:val="00A42DAF"/>
    <w:rsid w:val="00A45BD8"/>
    <w:rsid w:val="00A6558D"/>
    <w:rsid w:val="00A6673C"/>
    <w:rsid w:val="00A869B7"/>
    <w:rsid w:val="00A9139E"/>
    <w:rsid w:val="00AC205C"/>
    <w:rsid w:val="00AC54CE"/>
    <w:rsid w:val="00AD5F99"/>
    <w:rsid w:val="00AE4B08"/>
    <w:rsid w:val="00AF0A6B"/>
    <w:rsid w:val="00AF394F"/>
    <w:rsid w:val="00AF68FC"/>
    <w:rsid w:val="00B004E1"/>
    <w:rsid w:val="00B018EE"/>
    <w:rsid w:val="00B05A69"/>
    <w:rsid w:val="00B060C2"/>
    <w:rsid w:val="00B126C8"/>
    <w:rsid w:val="00B3635D"/>
    <w:rsid w:val="00B52880"/>
    <w:rsid w:val="00B53664"/>
    <w:rsid w:val="00B70B9F"/>
    <w:rsid w:val="00B7115A"/>
    <w:rsid w:val="00B71C4B"/>
    <w:rsid w:val="00B7441F"/>
    <w:rsid w:val="00B8384B"/>
    <w:rsid w:val="00B9734B"/>
    <w:rsid w:val="00BA21B1"/>
    <w:rsid w:val="00BB68A8"/>
    <w:rsid w:val="00BC1BC7"/>
    <w:rsid w:val="00BD1339"/>
    <w:rsid w:val="00BD3918"/>
    <w:rsid w:val="00BD3EEA"/>
    <w:rsid w:val="00BD4714"/>
    <w:rsid w:val="00BE615D"/>
    <w:rsid w:val="00BE6844"/>
    <w:rsid w:val="00C015C3"/>
    <w:rsid w:val="00C03030"/>
    <w:rsid w:val="00C058B8"/>
    <w:rsid w:val="00C069A0"/>
    <w:rsid w:val="00C07AB0"/>
    <w:rsid w:val="00C1192A"/>
    <w:rsid w:val="00C11BFE"/>
    <w:rsid w:val="00C13DF7"/>
    <w:rsid w:val="00C46B2A"/>
    <w:rsid w:val="00C51317"/>
    <w:rsid w:val="00C55161"/>
    <w:rsid w:val="00C6022B"/>
    <w:rsid w:val="00C70A99"/>
    <w:rsid w:val="00C84C47"/>
    <w:rsid w:val="00C90A9B"/>
    <w:rsid w:val="00C96F77"/>
    <w:rsid w:val="00CB54F8"/>
    <w:rsid w:val="00CC0472"/>
    <w:rsid w:val="00CC2891"/>
    <w:rsid w:val="00CE2680"/>
    <w:rsid w:val="00CE4D7B"/>
    <w:rsid w:val="00CE59FB"/>
    <w:rsid w:val="00CF0D3B"/>
    <w:rsid w:val="00D03DD8"/>
    <w:rsid w:val="00D103BD"/>
    <w:rsid w:val="00D177A6"/>
    <w:rsid w:val="00D1792B"/>
    <w:rsid w:val="00D25439"/>
    <w:rsid w:val="00D35BA0"/>
    <w:rsid w:val="00D42428"/>
    <w:rsid w:val="00D45252"/>
    <w:rsid w:val="00D62433"/>
    <w:rsid w:val="00D64DC8"/>
    <w:rsid w:val="00D71B4D"/>
    <w:rsid w:val="00D7425A"/>
    <w:rsid w:val="00D77FD2"/>
    <w:rsid w:val="00D85DB6"/>
    <w:rsid w:val="00D93D55"/>
    <w:rsid w:val="00D95F1B"/>
    <w:rsid w:val="00DB0B73"/>
    <w:rsid w:val="00DB4C2D"/>
    <w:rsid w:val="00DC0174"/>
    <w:rsid w:val="00DC0E6C"/>
    <w:rsid w:val="00DC2080"/>
    <w:rsid w:val="00DC4268"/>
    <w:rsid w:val="00DD1A0A"/>
    <w:rsid w:val="00DE21FD"/>
    <w:rsid w:val="00E119B0"/>
    <w:rsid w:val="00E245CF"/>
    <w:rsid w:val="00E335FE"/>
    <w:rsid w:val="00E5238C"/>
    <w:rsid w:val="00E5464F"/>
    <w:rsid w:val="00E64720"/>
    <w:rsid w:val="00E71664"/>
    <w:rsid w:val="00E72E5D"/>
    <w:rsid w:val="00E80B06"/>
    <w:rsid w:val="00E83108"/>
    <w:rsid w:val="00E84E33"/>
    <w:rsid w:val="00E86FA5"/>
    <w:rsid w:val="00E9166C"/>
    <w:rsid w:val="00EB117B"/>
    <w:rsid w:val="00EB2D9E"/>
    <w:rsid w:val="00EC17EE"/>
    <w:rsid w:val="00EC4E49"/>
    <w:rsid w:val="00ED53B8"/>
    <w:rsid w:val="00ED6723"/>
    <w:rsid w:val="00ED77FB"/>
    <w:rsid w:val="00ED7ED8"/>
    <w:rsid w:val="00EE1CE7"/>
    <w:rsid w:val="00EE45FA"/>
    <w:rsid w:val="00EF395F"/>
    <w:rsid w:val="00F00BAF"/>
    <w:rsid w:val="00F06047"/>
    <w:rsid w:val="00F23F46"/>
    <w:rsid w:val="00F25FAD"/>
    <w:rsid w:val="00F33683"/>
    <w:rsid w:val="00F53A24"/>
    <w:rsid w:val="00F64F97"/>
    <w:rsid w:val="00F66152"/>
    <w:rsid w:val="00F67ED1"/>
    <w:rsid w:val="00F70961"/>
    <w:rsid w:val="00F7372C"/>
    <w:rsid w:val="00F753E4"/>
    <w:rsid w:val="00F81130"/>
    <w:rsid w:val="00F83E81"/>
    <w:rsid w:val="00F85401"/>
    <w:rsid w:val="00FE3F35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docId w15:val="{45DFEC31-3B42-4159-B7EC-D3A1FABE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192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951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951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951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951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495192"/>
    <w:pPr>
      <w:ind w:left="5534"/>
    </w:pPr>
    <w:rPr>
      <w:lang w:val="en-US"/>
    </w:rPr>
  </w:style>
  <w:style w:type="paragraph" w:styleId="BodyText">
    <w:name w:val="Body Text"/>
    <w:basedOn w:val="Normal"/>
    <w:rsid w:val="00495192"/>
    <w:pPr>
      <w:spacing w:after="220"/>
    </w:pPr>
  </w:style>
  <w:style w:type="paragraph" w:styleId="Caption">
    <w:name w:val="caption"/>
    <w:basedOn w:val="Normal"/>
    <w:next w:val="Normal"/>
    <w:qFormat/>
    <w:rsid w:val="00495192"/>
    <w:rPr>
      <w:b/>
      <w:bCs/>
      <w:sz w:val="18"/>
    </w:rPr>
  </w:style>
  <w:style w:type="paragraph" w:styleId="CommentText">
    <w:name w:val="annotation text"/>
    <w:basedOn w:val="Normal"/>
    <w:semiHidden/>
    <w:rsid w:val="00495192"/>
    <w:rPr>
      <w:sz w:val="18"/>
    </w:rPr>
  </w:style>
  <w:style w:type="paragraph" w:styleId="EndnoteText">
    <w:name w:val="endnote text"/>
    <w:basedOn w:val="Normal"/>
    <w:semiHidden/>
    <w:rsid w:val="00495192"/>
    <w:rPr>
      <w:sz w:val="18"/>
    </w:rPr>
  </w:style>
  <w:style w:type="paragraph" w:styleId="Footer">
    <w:name w:val="footer"/>
    <w:basedOn w:val="Normal"/>
    <w:semiHidden/>
    <w:rsid w:val="0049519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95192"/>
    <w:rPr>
      <w:sz w:val="18"/>
    </w:rPr>
  </w:style>
  <w:style w:type="paragraph" w:styleId="Header">
    <w:name w:val="header"/>
    <w:basedOn w:val="Normal"/>
    <w:semiHidden/>
    <w:rsid w:val="0049519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95192"/>
    <w:pPr>
      <w:numPr>
        <w:numId w:val="12"/>
      </w:numPr>
    </w:pPr>
  </w:style>
  <w:style w:type="paragraph" w:customStyle="1" w:styleId="ONUME">
    <w:name w:val="ONUM E"/>
    <w:basedOn w:val="BodyText"/>
    <w:rsid w:val="00495192"/>
    <w:pPr>
      <w:numPr>
        <w:numId w:val="13"/>
      </w:numPr>
    </w:pPr>
  </w:style>
  <w:style w:type="paragraph" w:customStyle="1" w:styleId="ONUMFS">
    <w:name w:val="ONUM FS"/>
    <w:basedOn w:val="BodyText"/>
    <w:rsid w:val="00495192"/>
    <w:pPr>
      <w:numPr>
        <w:numId w:val="14"/>
      </w:numPr>
    </w:pPr>
  </w:style>
  <w:style w:type="paragraph" w:styleId="Salutation">
    <w:name w:val="Salutation"/>
    <w:basedOn w:val="Normal"/>
    <w:next w:val="Normal"/>
    <w:semiHidden/>
    <w:rsid w:val="00495192"/>
  </w:style>
  <w:style w:type="paragraph" w:styleId="Signature">
    <w:name w:val="Signature"/>
    <w:basedOn w:val="Normal"/>
    <w:semiHidden/>
    <w:rsid w:val="00495192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95192"/>
    <w:pPr>
      <w:ind w:left="720"/>
      <w:contextualSpacing/>
    </w:pPr>
  </w:style>
  <w:style w:type="character" w:styleId="EndnoteReference">
    <w:name w:val="endnote reference"/>
    <w:basedOn w:val="DefaultParagraphFont"/>
    <w:semiHidden/>
    <w:unhideWhenUsed/>
    <w:rsid w:val="00EF395F"/>
    <w:rPr>
      <w:vertAlign w:val="superscript"/>
    </w:rPr>
  </w:style>
  <w:style w:type="paragraph" w:customStyle="1" w:styleId="Meetingplacedate">
    <w:name w:val="Meeting place &amp; date"/>
    <w:basedOn w:val="Normal"/>
    <w:next w:val="Normal"/>
    <w:rsid w:val="00495192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495192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styleId="Hyperlink">
    <w:name w:val="Hyperlink"/>
    <w:basedOn w:val="DefaultParagraphFont"/>
    <w:semiHidden/>
    <w:unhideWhenUsed/>
    <w:rsid w:val="005B5C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95672-FB6C-47D9-8865-AC422B2AF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2583</Words>
  <Characters>14081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lastModifiedBy>DIAZ Natacha</cp:lastModifiedBy>
  <cp:revision>7</cp:revision>
  <cp:lastPrinted>2018-07-02T08:57:00Z</cp:lastPrinted>
  <dcterms:created xsi:type="dcterms:W3CDTF">2019-06-06T09:27:00Z</dcterms:created>
  <dcterms:modified xsi:type="dcterms:W3CDTF">2019-06-07T13:55:00Z</dcterms:modified>
</cp:coreProperties>
</file>