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CA7293" w:rsidRPr="00CA7293" w14:paraId="1CB7EC0B" w14:textId="77777777" w:rsidTr="00777ACD">
        <w:tc>
          <w:tcPr>
            <w:tcW w:w="4513" w:type="dxa"/>
            <w:tcBorders>
              <w:bottom w:val="single" w:sz="4" w:space="0" w:color="auto"/>
            </w:tcBorders>
            <w:tcMar>
              <w:bottom w:w="170" w:type="dxa"/>
            </w:tcMar>
          </w:tcPr>
          <w:p w14:paraId="2F5171B8" w14:textId="77777777" w:rsidR="00CA7293" w:rsidRPr="00CA7293" w:rsidRDefault="00CA7293" w:rsidP="00777ACD">
            <w:pPr>
              <w:rPr>
                <w:lang w:val="fr-FR"/>
              </w:rPr>
            </w:pPr>
          </w:p>
        </w:tc>
        <w:tc>
          <w:tcPr>
            <w:tcW w:w="4337" w:type="dxa"/>
            <w:tcBorders>
              <w:bottom w:val="single" w:sz="4" w:space="0" w:color="auto"/>
            </w:tcBorders>
            <w:tcMar>
              <w:left w:w="0" w:type="dxa"/>
              <w:right w:w="0" w:type="dxa"/>
            </w:tcMar>
          </w:tcPr>
          <w:p w14:paraId="6284745C" w14:textId="77777777" w:rsidR="00CA7293" w:rsidRPr="00CA7293" w:rsidRDefault="00CA7293" w:rsidP="00777ACD">
            <w:pPr>
              <w:rPr>
                <w:lang w:val="fr-FR"/>
              </w:rPr>
            </w:pPr>
            <w:r w:rsidRPr="00CA7293">
              <w:rPr>
                <w:noProof/>
                <w:lang w:val="en-US" w:eastAsia="en-US"/>
              </w:rPr>
              <w:drawing>
                <wp:inline distT="0" distB="0" distL="0" distR="0" wp14:anchorId="53308D1D" wp14:editId="08A272DF">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E70E96E" w14:textId="77777777" w:rsidR="00CA7293" w:rsidRPr="00CA7293" w:rsidRDefault="00CA7293" w:rsidP="00777ACD">
            <w:pPr>
              <w:jc w:val="right"/>
              <w:rPr>
                <w:lang w:val="fr-FR"/>
              </w:rPr>
            </w:pPr>
            <w:r w:rsidRPr="00CA7293">
              <w:rPr>
                <w:b/>
                <w:sz w:val="40"/>
                <w:szCs w:val="40"/>
                <w:lang w:val="fr-FR"/>
              </w:rPr>
              <w:t>F</w:t>
            </w:r>
          </w:p>
        </w:tc>
      </w:tr>
      <w:tr w:rsidR="00CA7293" w:rsidRPr="00CA7293" w14:paraId="7A35545E" w14:textId="77777777" w:rsidTr="00777ACD">
        <w:trPr>
          <w:trHeight w:hRule="exact" w:val="357"/>
        </w:trPr>
        <w:tc>
          <w:tcPr>
            <w:tcW w:w="9356" w:type="dxa"/>
            <w:gridSpan w:val="3"/>
            <w:tcBorders>
              <w:top w:val="single" w:sz="4" w:space="0" w:color="auto"/>
            </w:tcBorders>
            <w:tcMar>
              <w:top w:w="170" w:type="dxa"/>
              <w:left w:w="0" w:type="dxa"/>
              <w:right w:w="0" w:type="dxa"/>
            </w:tcMar>
            <w:vAlign w:val="bottom"/>
          </w:tcPr>
          <w:p w14:paraId="56E7159F" w14:textId="7D1691F5" w:rsidR="00CA7293" w:rsidRPr="00CA7293" w:rsidRDefault="00CA7293" w:rsidP="00CA7293">
            <w:pPr>
              <w:jc w:val="right"/>
              <w:rPr>
                <w:rFonts w:ascii="Arial Black" w:hAnsi="Arial Black"/>
                <w:caps/>
                <w:sz w:val="15"/>
                <w:lang w:val="fr-FR"/>
              </w:rPr>
            </w:pPr>
            <w:r w:rsidRPr="00CA7293">
              <w:rPr>
                <w:rFonts w:ascii="Arial Black" w:hAnsi="Arial Black"/>
                <w:caps/>
                <w:sz w:val="15"/>
                <w:lang w:val="fr-FR"/>
              </w:rPr>
              <w:t>mm/Ld/wg/17/</w:t>
            </w:r>
            <w:bookmarkStart w:id="0" w:name="Code"/>
            <w:bookmarkEnd w:id="0"/>
            <w:r w:rsidRPr="00CA7293">
              <w:rPr>
                <w:rFonts w:ascii="Arial Black" w:hAnsi="Arial Black"/>
                <w:caps/>
                <w:sz w:val="15"/>
                <w:lang w:val="fr-FR"/>
              </w:rPr>
              <w:t>5</w:t>
            </w:r>
          </w:p>
        </w:tc>
      </w:tr>
      <w:tr w:rsidR="00CA7293" w:rsidRPr="00CA7293" w14:paraId="76CACF71" w14:textId="77777777" w:rsidTr="00777ACD">
        <w:trPr>
          <w:trHeight w:hRule="exact" w:val="170"/>
        </w:trPr>
        <w:tc>
          <w:tcPr>
            <w:tcW w:w="9356" w:type="dxa"/>
            <w:gridSpan w:val="3"/>
            <w:noWrap/>
            <w:tcMar>
              <w:left w:w="0" w:type="dxa"/>
              <w:right w:w="0" w:type="dxa"/>
            </w:tcMar>
            <w:vAlign w:val="bottom"/>
          </w:tcPr>
          <w:p w14:paraId="6AF291A8" w14:textId="2C10C982" w:rsidR="00CA7293" w:rsidRPr="00CA7293" w:rsidRDefault="00CA7293" w:rsidP="00777ACD">
            <w:pPr>
              <w:jc w:val="right"/>
              <w:rPr>
                <w:rFonts w:ascii="Arial Black" w:hAnsi="Arial Black"/>
                <w:caps/>
                <w:sz w:val="15"/>
                <w:lang w:val="fr-FR"/>
              </w:rPr>
            </w:pPr>
            <w:r w:rsidRPr="00CA7293">
              <w:rPr>
                <w:rFonts w:ascii="Arial Black" w:hAnsi="Arial Black"/>
                <w:caps/>
                <w:sz w:val="15"/>
                <w:lang w:val="fr-FR"/>
              </w:rPr>
              <w:t>ORIGINAL</w:t>
            </w:r>
            <w:r w:rsidR="00482989">
              <w:rPr>
                <w:rFonts w:ascii="Arial Black" w:hAnsi="Arial Black"/>
                <w:caps/>
                <w:sz w:val="15"/>
                <w:lang w:val="fr-FR"/>
              </w:rPr>
              <w:t> :</w:t>
            </w:r>
            <w:bookmarkStart w:id="1" w:name="Original"/>
            <w:bookmarkEnd w:id="1"/>
            <w:r w:rsidRPr="00CA7293">
              <w:rPr>
                <w:rFonts w:ascii="Arial Black" w:hAnsi="Arial Black"/>
                <w:caps/>
                <w:sz w:val="15"/>
                <w:lang w:val="fr-FR"/>
              </w:rPr>
              <w:t xml:space="preserve"> anglais </w:t>
            </w:r>
          </w:p>
        </w:tc>
      </w:tr>
      <w:tr w:rsidR="00CA7293" w:rsidRPr="00CA7293" w14:paraId="556381AC" w14:textId="77777777" w:rsidTr="00777ACD">
        <w:trPr>
          <w:trHeight w:hRule="exact" w:val="198"/>
        </w:trPr>
        <w:tc>
          <w:tcPr>
            <w:tcW w:w="9356" w:type="dxa"/>
            <w:gridSpan w:val="3"/>
            <w:tcMar>
              <w:left w:w="0" w:type="dxa"/>
              <w:right w:w="0" w:type="dxa"/>
            </w:tcMar>
            <w:vAlign w:val="bottom"/>
          </w:tcPr>
          <w:p w14:paraId="5D85142A" w14:textId="374F389D" w:rsidR="00CA7293" w:rsidRPr="00CA7293" w:rsidRDefault="00CA7293" w:rsidP="00CE4C36">
            <w:pPr>
              <w:jc w:val="right"/>
              <w:rPr>
                <w:rFonts w:ascii="Arial Black" w:hAnsi="Arial Black"/>
                <w:caps/>
                <w:sz w:val="15"/>
                <w:lang w:val="fr-FR"/>
              </w:rPr>
            </w:pPr>
            <w:r w:rsidRPr="00CA7293">
              <w:rPr>
                <w:rFonts w:ascii="Arial Black" w:hAnsi="Arial Black"/>
                <w:caps/>
                <w:sz w:val="15"/>
                <w:lang w:val="fr-FR"/>
              </w:rPr>
              <w:t>DATE</w:t>
            </w:r>
            <w:r w:rsidR="00482989">
              <w:rPr>
                <w:rFonts w:ascii="Arial Black" w:hAnsi="Arial Black"/>
                <w:caps/>
                <w:sz w:val="15"/>
                <w:lang w:val="fr-FR"/>
              </w:rPr>
              <w:t> :</w:t>
            </w:r>
            <w:bookmarkStart w:id="2" w:name="Date"/>
            <w:bookmarkEnd w:id="2"/>
            <w:r w:rsidR="00F27757">
              <w:rPr>
                <w:rFonts w:ascii="Arial Black" w:hAnsi="Arial Black"/>
                <w:caps/>
                <w:sz w:val="15"/>
                <w:lang w:val="fr-FR"/>
              </w:rPr>
              <w:t xml:space="preserve"> 1</w:t>
            </w:r>
            <w:r w:rsidR="00CE4C36">
              <w:rPr>
                <w:rFonts w:ascii="Arial Black" w:hAnsi="Arial Black"/>
                <w:caps/>
                <w:sz w:val="15"/>
                <w:lang w:val="fr-FR"/>
              </w:rPr>
              <w:t>6</w:t>
            </w:r>
            <w:r w:rsidR="00F27757">
              <w:rPr>
                <w:rFonts w:ascii="Arial Black" w:hAnsi="Arial Black"/>
                <w:caps/>
                <w:sz w:val="15"/>
                <w:lang w:val="fr-FR"/>
              </w:rPr>
              <w:t xml:space="preserve"> Mai</w:t>
            </w:r>
            <w:r w:rsidR="00482989">
              <w:rPr>
                <w:rFonts w:ascii="Arial Black" w:hAnsi="Arial Black"/>
                <w:caps/>
                <w:sz w:val="15"/>
                <w:lang w:val="fr-FR"/>
              </w:rPr>
              <w:t> </w:t>
            </w:r>
            <w:r w:rsidR="00482989" w:rsidRPr="00CA7293">
              <w:rPr>
                <w:rFonts w:ascii="Arial Black" w:hAnsi="Arial Black"/>
                <w:caps/>
                <w:sz w:val="15"/>
                <w:lang w:val="fr-FR"/>
              </w:rPr>
              <w:t>20</w:t>
            </w:r>
            <w:r w:rsidRPr="00CA7293">
              <w:rPr>
                <w:rFonts w:ascii="Arial Black" w:hAnsi="Arial Black"/>
                <w:caps/>
                <w:sz w:val="15"/>
                <w:lang w:val="fr-FR"/>
              </w:rPr>
              <w:t xml:space="preserve">19 </w:t>
            </w:r>
          </w:p>
        </w:tc>
      </w:tr>
    </w:tbl>
    <w:p w14:paraId="65728B55" w14:textId="77777777" w:rsidR="00CA7293" w:rsidRPr="00CA7293" w:rsidRDefault="00CA7293" w:rsidP="00CA7293">
      <w:pPr>
        <w:rPr>
          <w:lang w:val="fr-FR"/>
        </w:rPr>
      </w:pPr>
    </w:p>
    <w:p w14:paraId="765832A3" w14:textId="77777777" w:rsidR="00CA7293" w:rsidRPr="00CA7293" w:rsidRDefault="00CA7293" w:rsidP="00CA7293">
      <w:pPr>
        <w:rPr>
          <w:lang w:val="fr-FR"/>
        </w:rPr>
      </w:pPr>
    </w:p>
    <w:p w14:paraId="309B9399" w14:textId="77777777" w:rsidR="00CA7293" w:rsidRPr="00CA7293" w:rsidRDefault="00CA7293" w:rsidP="00CA7293">
      <w:pPr>
        <w:rPr>
          <w:lang w:val="fr-FR"/>
        </w:rPr>
      </w:pPr>
    </w:p>
    <w:p w14:paraId="5B7A1C23" w14:textId="77777777" w:rsidR="00CA7293" w:rsidRPr="00CA7293" w:rsidRDefault="00CA7293" w:rsidP="00CA7293">
      <w:pPr>
        <w:rPr>
          <w:lang w:val="fr-FR"/>
        </w:rPr>
      </w:pPr>
    </w:p>
    <w:p w14:paraId="76965675" w14:textId="77777777" w:rsidR="00CA7293" w:rsidRPr="00CA7293" w:rsidRDefault="00CA7293" w:rsidP="00CA7293">
      <w:pPr>
        <w:rPr>
          <w:lang w:val="fr-FR"/>
        </w:rPr>
      </w:pPr>
    </w:p>
    <w:p w14:paraId="007FCE5A" w14:textId="2194546F" w:rsidR="00CA7293" w:rsidRPr="00CA7293" w:rsidRDefault="00CA7293" w:rsidP="00CA7293">
      <w:pPr>
        <w:rPr>
          <w:b/>
          <w:sz w:val="28"/>
          <w:szCs w:val="28"/>
          <w:lang w:val="fr-FR"/>
        </w:rPr>
      </w:pPr>
      <w:r w:rsidRPr="00CA7293">
        <w:rPr>
          <w:b/>
          <w:sz w:val="28"/>
          <w:szCs w:val="28"/>
          <w:lang w:val="fr-FR"/>
        </w:rPr>
        <w:t>Groupe de travail sur le développement juridique du système de Madrid concernant l</w:t>
      </w:r>
      <w:r w:rsidR="00482989">
        <w:rPr>
          <w:b/>
          <w:sz w:val="28"/>
          <w:szCs w:val="28"/>
          <w:lang w:val="fr-FR"/>
        </w:rPr>
        <w:t>’</w:t>
      </w:r>
      <w:r w:rsidRPr="00CA7293">
        <w:rPr>
          <w:b/>
          <w:sz w:val="28"/>
          <w:szCs w:val="28"/>
          <w:lang w:val="fr-FR"/>
        </w:rPr>
        <w:t>enregistrement international des marques</w:t>
      </w:r>
    </w:p>
    <w:p w14:paraId="421C124F" w14:textId="77777777" w:rsidR="00CA7293" w:rsidRPr="00CA7293" w:rsidRDefault="00CA7293" w:rsidP="00CA7293">
      <w:pPr>
        <w:rPr>
          <w:lang w:val="fr-FR"/>
        </w:rPr>
      </w:pPr>
    </w:p>
    <w:p w14:paraId="49F742B5" w14:textId="77777777" w:rsidR="00CA7293" w:rsidRPr="00CA7293" w:rsidRDefault="00CA7293" w:rsidP="00CA7293">
      <w:pPr>
        <w:rPr>
          <w:lang w:val="fr-FR"/>
        </w:rPr>
      </w:pPr>
    </w:p>
    <w:p w14:paraId="2DC6EF2C" w14:textId="5F0DCDB4" w:rsidR="00CA7293" w:rsidRPr="00CA7293" w:rsidRDefault="00CA7293" w:rsidP="00CA7293">
      <w:pPr>
        <w:rPr>
          <w:b/>
          <w:sz w:val="24"/>
          <w:szCs w:val="24"/>
          <w:lang w:val="fr-FR"/>
        </w:rPr>
      </w:pPr>
      <w:r w:rsidRPr="00CA7293">
        <w:rPr>
          <w:b/>
          <w:sz w:val="24"/>
          <w:szCs w:val="24"/>
          <w:lang w:val="fr-FR"/>
        </w:rPr>
        <w:t>Dix</w:t>
      </w:r>
      <w:r w:rsidR="00482989">
        <w:rPr>
          <w:b/>
          <w:sz w:val="24"/>
          <w:szCs w:val="24"/>
          <w:lang w:val="fr-FR"/>
        </w:rPr>
        <w:t>-</w:t>
      </w:r>
      <w:r w:rsidRPr="00CA7293">
        <w:rPr>
          <w:b/>
          <w:sz w:val="24"/>
          <w:szCs w:val="24"/>
          <w:lang w:val="fr-FR"/>
        </w:rPr>
        <w:t>sept</w:t>
      </w:r>
      <w:r w:rsidR="00482989">
        <w:rPr>
          <w:b/>
          <w:sz w:val="24"/>
          <w:szCs w:val="24"/>
          <w:lang w:val="fr-FR"/>
        </w:rPr>
        <w:t>ième session</w:t>
      </w:r>
    </w:p>
    <w:p w14:paraId="43D24785" w14:textId="6C944A5C" w:rsidR="00CA7293" w:rsidRPr="00CA7293" w:rsidRDefault="00CA7293" w:rsidP="00CA7293">
      <w:pPr>
        <w:rPr>
          <w:b/>
          <w:sz w:val="24"/>
          <w:szCs w:val="24"/>
          <w:lang w:val="fr-FR"/>
        </w:rPr>
      </w:pPr>
      <w:r w:rsidRPr="00CA7293">
        <w:rPr>
          <w:b/>
          <w:sz w:val="24"/>
          <w:szCs w:val="24"/>
          <w:lang w:val="fr-FR"/>
        </w:rPr>
        <w:t>Genève, 22 – 26</w:t>
      </w:r>
      <w:r w:rsidR="00F328A4">
        <w:rPr>
          <w:b/>
          <w:sz w:val="24"/>
          <w:szCs w:val="24"/>
          <w:lang w:val="fr-FR"/>
        </w:rPr>
        <w:t> </w:t>
      </w:r>
      <w:r w:rsidRPr="00CA7293">
        <w:rPr>
          <w:b/>
          <w:sz w:val="24"/>
          <w:szCs w:val="24"/>
          <w:lang w:val="fr-FR"/>
        </w:rPr>
        <w:t>juillet</w:t>
      </w:r>
      <w:r w:rsidR="00F328A4">
        <w:rPr>
          <w:b/>
          <w:sz w:val="24"/>
          <w:szCs w:val="24"/>
          <w:lang w:val="fr-FR"/>
        </w:rPr>
        <w:t> </w:t>
      </w:r>
      <w:r w:rsidRPr="00CA7293">
        <w:rPr>
          <w:b/>
          <w:sz w:val="24"/>
          <w:szCs w:val="24"/>
          <w:lang w:val="fr-FR"/>
        </w:rPr>
        <w:t>2019</w:t>
      </w:r>
    </w:p>
    <w:p w14:paraId="750E9FAA" w14:textId="77777777" w:rsidR="00CA7293" w:rsidRPr="00CA7293" w:rsidRDefault="00CA7293" w:rsidP="00CA7293">
      <w:pPr>
        <w:rPr>
          <w:lang w:val="fr-FR"/>
        </w:rPr>
      </w:pPr>
    </w:p>
    <w:p w14:paraId="4D10419B" w14:textId="77777777" w:rsidR="00CA7293" w:rsidRPr="00CA7293" w:rsidRDefault="00CA7293" w:rsidP="00CA7293">
      <w:pPr>
        <w:rPr>
          <w:lang w:val="fr-FR"/>
        </w:rPr>
      </w:pPr>
    </w:p>
    <w:p w14:paraId="03B1B31A" w14:textId="77777777" w:rsidR="00CA7293" w:rsidRPr="00CA7293" w:rsidRDefault="00CA7293" w:rsidP="00CA7293">
      <w:pPr>
        <w:rPr>
          <w:lang w:val="fr-FR"/>
        </w:rPr>
      </w:pPr>
    </w:p>
    <w:p w14:paraId="3937FB17" w14:textId="4F2A7331" w:rsidR="002C2160" w:rsidRPr="00314CDF" w:rsidRDefault="00CA7293" w:rsidP="00041CB0">
      <w:pPr>
        <w:rPr>
          <w:caps/>
          <w:sz w:val="24"/>
          <w:lang w:val="fr-FR"/>
        </w:rPr>
      </w:pPr>
      <w:bookmarkStart w:id="3" w:name="TitleOfDoc"/>
      <w:bookmarkEnd w:id="3"/>
      <w:r w:rsidRPr="00314CDF">
        <w:rPr>
          <w:caps/>
          <w:sz w:val="24"/>
          <w:lang w:val="fr-FR"/>
        </w:rPr>
        <w:t>Notification de refus provisoire</w:t>
      </w:r>
      <w:r w:rsidR="00482989">
        <w:rPr>
          <w:caps/>
          <w:sz w:val="24"/>
          <w:lang w:val="fr-FR"/>
        </w:rPr>
        <w:t> :</w:t>
      </w:r>
      <w:r w:rsidRPr="00314CDF">
        <w:rPr>
          <w:caps/>
          <w:sz w:val="24"/>
          <w:lang w:val="fr-FR"/>
        </w:rPr>
        <w:t xml:space="preserve"> délai de réponse et modes de</w:t>
      </w:r>
      <w:r w:rsidR="003750EB">
        <w:rPr>
          <w:caps/>
          <w:sz w:val="24"/>
          <w:lang w:val="fr-FR"/>
        </w:rPr>
        <w:t> </w:t>
      </w:r>
      <w:r w:rsidRPr="00314CDF">
        <w:rPr>
          <w:caps/>
          <w:sz w:val="24"/>
          <w:lang w:val="fr-FR"/>
        </w:rPr>
        <w:t>calcul de ce délai</w:t>
      </w:r>
    </w:p>
    <w:p w14:paraId="33A870DB" w14:textId="77777777" w:rsidR="002C2160" w:rsidRPr="00CA7293" w:rsidRDefault="002C2160" w:rsidP="008B2CC1">
      <w:pPr>
        <w:rPr>
          <w:caps/>
          <w:sz w:val="24"/>
          <w:lang w:val="fr-FR"/>
        </w:rPr>
      </w:pPr>
    </w:p>
    <w:p w14:paraId="3A6A1C39" w14:textId="77777777" w:rsidR="002C2160" w:rsidRPr="00CA7293" w:rsidRDefault="00010CF2" w:rsidP="008F1E8D">
      <w:pPr>
        <w:rPr>
          <w:i/>
          <w:lang w:val="fr-FR"/>
        </w:rPr>
      </w:pPr>
      <w:bookmarkStart w:id="4" w:name="Prepared"/>
      <w:bookmarkEnd w:id="4"/>
      <w:r w:rsidRPr="00CA7293">
        <w:rPr>
          <w:i/>
          <w:lang w:val="fr-FR"/>
        </w:rPr>
        <w:t xml:space="preserve">Document </w:t>
      </w:r>
      <w:r w:rsidR="008F1E8D" w:rsidRPr="00CA7293">
        <w:rPr>
          <w:i/>
          <w:lang w:val="fr-FR"/>
        </w:rPr>
        <w:t xml:space="preserve">établi par le </w:t>
      </w:r>
      <w:r w:rsidRPr="00CA7293">
        <w:rPr>
          <w:i/>
          <w:lang w:val="fr-FR"/>
        </w:rPr>
        <w:t>Bureau</w:t>
      </w:r>
      <w:r w:rsidR="008F1E8D" w:rsidRPr="00CA7293">
        <w:rPr>
          <w:i/>
          <w:lang w:val="fr-FR"/>
        </w:rPr>
        <w:t xml:space="preserve"> international</w:t>
      </w:r>
    </w:p>
    <w:p w14:paraId="13C97799" w14:textId="77777777" w:rsidR="002C2160" w:rsidRPr="00CA7293" w:rsidRDefault="002C2160">
      <w:pPr>
        <w:rPr>
          <w:lang w:val="fr-FR"/>
        </w:rPr>
      </w:pPr>
    </w:p>
    <w:p w14:paraId="32FDE799" w14:textId="77777777" w:rsidR="002C2160" w:rsidRPr="00CA7293" w:rsidRDefault="002C2160">
      <w:pPr>
        <w:rPr>
          <w:lang w:val="fr-FR"/>
        </w:rPr>
      </w:pPr>
    </w:p>
    <w:p w14:paraId="51AAA934" w14:textId="77777777" w:rsidR="002C2160" w:rsidRPr="00CA7293" w:rsidRDefault="002C2160" w:rsidP="0053057A">
      <w:pPr>
        <w:rPr>
          <w:lang w:val="fr-FR"/>
        </w:rPr>
      </w:pPr>
    </w:p>
    <w:p w14:paraId="1B2A1AD1" w14:textId="77777777" w:rsidR="002C2160" w:rsidRPr="00CA7293" w:rsidRDefault="002C2160" w:rsidP="0053057A">
      <w:pPr>
        <w:rPr>
          <w:lang w:val="fr-FR"/>
        </w:rPr>
      </w:pPr>
    </w:p>
    <w:p w14:paraId="53408EC5" w14:textId="77777777" w:rsidR="002C2160" w:rsidRPr="00CA7293" w:rsidRDefault="00010CF2" w:rsidP="00010CF2">
      <w:pPr>
        <w:pStyle w:val="Heading1"/>
        <w:rPr>
          <w:lang w:val="fr-FR"/>
        </w:rPr>
      </w:pPr>
      <w:r w:rsidRPr="00CA7293">
        <w:rPr>
          <w:lang w:val="fr-FR"/>
        </w:rPr>
        <w:t>Introduction</w:t>
      </w:r>
    </w:p>
    <w:p w14:paraId="6EB1F27B" w14:textId="77777777" w:rsidR="002C2160" w:rsidRPr="00CA7293" w:rsidRDefault="002C2160" w:rsidP="005B6B85">
      <w:pPr>
        <w:rPr>
          <w:lang w:val="fr-FR"/>
        </w:rPr>
      </w:pPr>
    </w:p>
    <w:p w14:paraId="7599E1DE" w14:textId="27B54AC7" w:rsidR="002C2160" w:rsidRPr="00CA7293" w:rsidRDefault="000618CE" w:rsidP="00314CDF">
      <w:pPr>
        <w:pStyle w:val="ONUMFS"/>
        <w:rPr>
          <w:lang w:val="fr-FR"/>
        </w:rPr>
      </w:pPr>
      <w:r w:rsidRPr="00CA7293">
        <w:rPr>
          <w:lang w:val="fr-FR"/>
        </w:rPr>
        <w:t xml:space="preserve">Le Bureau </w:t>
      </w:r>
      <w:r w:rsidR="00CA7293">
        <w:rPr>
          <w:lang w:val="fr-FR"/>
        </w:rPr>
        <w:t>i</w:t>
      </w:r>
      <w:r w:rsidRPr="00CA7293">
        <w:rPr>
          <w:lang w:val="fr-FR"/>
        </w:rPr>
        <w:t>nternational reçoit régulièrement des plaintes des utilisateurs du système de Madrid concernant l</w:t>
      </w:r>
      <w:r w:rsidR="00482989">
        <w:rPr>
          <w:lang w:val="fr-FR"/>
        </w:rPr>
        <w:t>’</w:t>
      </w:r>
      <w:r w:rsidRPr="00CA7293">
        <w:rPr>
          <w:lang w:val="fr-FR"/>
        </w:rPr>
        <w:t>enregistrement international des marques (ci</w:t>
      </w:r>
      <w:r w:rsidR="00482989">
        <w:rPr>
          <w:lang w:val="fr-FR"/>
        </w:rPr>
        <w:t>-</w:t>
      </w:r>
      <w:r w:rsidRPr="00CA7293">
        <w:rPr>
          <w:lang w:val="fr-FR"/>
        </w:rPr>
        <w:t xml:space="preserve">après dénommé </w:t>
      </w:r>
      <w:r w:rsidR="00CA7293">
        <w:rPr>
          <w:lang w:val="fr-FR"/>
        </w:rPr>
        <w:t>“</w:t>
      </w:r>
      <w:r w:rsidRPr="00CA7293">
        <w:rPr>
          <w:lang w:val="fr-FR"/>
        </w:rPr>
        <w:t>système de Madrid</w:t>
      </w:r>
      <w:r w:rsidR="00CA7293">
        <w:rPr>
          <w:lang w:val="fr-FR"/>
        </w:rPr>
        <w:t>”</w:t>
      </w:r>
      <w:r w:rsidRPr="00CA7293">
        <w:rPr>
          <w:lang w:val="fr-FR"/>
        </w:rPr>
        <w:t xml:space="preserve">) au sujet </w:t>
      </w:r>
      <w:r w:rsidR="00A626CE" w:rsidRPr="00CA7293">
        <w:rPr>
          <w:lang w:val="fr-FR"/>
        </w:rPr>
        <w:t>de la durée, selon eux trop courte, des délais de réponse aux notifications de refus provisoi</w:t>
      </w:r>
      <w:r w:rsidR="00867EFE" w:rsidRPr="00CA7293">
        <w:rPr>
          <w:lang w:val="fr-FR"/>
        </w:rPr>
        <w:t>re</w:t>
      </w:r>
      <w:r w:rsidR="00867EFE">
        <w:rPr>
          <w:lang w:val="fr-FR"/>
        </w:rPr>
        <w:t>.  L</w:t>
      </w:r>
      <w:r w:rsidR="00867EFE" w:rsidRPr="00CA7293">
        <w:rPr>
          <w:lang w:val="fr-FR"/>
        </w:rPr>
        <w:t>e</w:t>
      </w:r>
      <w:r w:rsidR="00B05DD8" w:rsidRPr="00CA7293">
        <w:rPr>
          <w:lang w:val="fr-FR"/>
        </w:rPr>
        <w:t>s utilisateurs font également part de la difficulté qu</w:t>
      </w:r>
      <w:r w:rsidR="00482989">
        <w:rPr>
          <w:lang w:val="fr-FR"/>
        </w:rPr>
        <w:t>’</w:t>
      </w:r>
      <w:r w:rsidR="00B05DD8" w:rsidRPr="00CA7293">
        <w:rPr>
          <w:lang w:val="fr-FR"/>
        </w:rPr>
        <w:t>ils ont à gérer ces notifications compte tenu des différents délais de réponse prévus et des différents modes de calcul de ces délais.</w:t>
      </w:r>
    </w:p>
    <w:p w14:paraId="4FD47655" w14:textId="726DBA41" w:rsidR="00BF5F92" w:rsidRPr="00BF5F92" w:rsidRDefault="007F26FF" w:rsidP="00BF5F92">
      <w:pPr>
        <w:pStyle w:val="ONUMFS"/>
        <w:rPr>
          <w:lang w:val="fr-FR"/>
        </w:rPr>
      </w:pPr>
      <w:r w:rsidRPr="00CA7293">
        <w:rPr>
          <w:lang w:val="fr-FR"/>
        </w:rPr>
        <w:t xml:space="preserve">Compte tenu de ce qui précède, </w:t>
      </w:r>
      <w:r w:rsidR="00482989" w:rsidRPr="00CA7293">
        <w:rPr>
          <w:lang w:val="fr-FR"/>
        </w:rPr>
        <w:t>en</w:t>
      </w:r>
      <w:r w:rsidR="00482989">
        <w:rPr>
          <w:lang w:val="fr-FR"/>
        </w:rPr>
        <w:t> </w:t>
      </w:r>
      <w:r w:rsidR="00482989" w:rsidRPr="00CA7293">
        <w:rPr>
          <w:lang w:val="fr-FR"/>
        </w:rPr>
        <w:t>2014</w:t>
      </w:r>
      <w:r w:rsidRPr="00CA7293">
        <w:rPr>
          <w:lang w:val="fr-FR"/>
        </w:rPr>
        <w:t xml:space="preserve">, le Bureau </w:t>
      </w:r>
      <w:r w:rsidR="00806B1F" w:rsidRPr="00CA7293">
        <w:rPr>
          <w:lang w:val="fr-FR"/>
        </w:rPr>
        <w:t>i</w:t>
      </w:r>
      <w:r w:rsidRPr="00CA7293">
        <w:rPr>
          <w:lang w:val="fr-FR"/>
        </w:rPr>
        <w:t xml:space="preserve">nternational a mené une enquête auprès des </w:t>
      </w:r>
      <w:r w:rsidR="00542E15" w:rsidRPr="00CA7293">
        <w:rPr>
          <w:lang w:val="fr-FR"/>
        </w:rPr>
        <w:t>o</w:t>
      </w:r>
      <w:r w:rsidRPr="00CA7293">
        <w:rPr>
          <w:lang w:val="fr-FR"/>
        </w:rPr>
        <w:t>ffices des parties contractantes du système de Madrid sur les divers délais prescrits pour répondre aux notifications susmentionnées et, en particulier, sur la manière dont ces délais</w:t>
      </w:r>
      <w:r w:rsidR="00804802" w:rsidRPr="00CA7293">
        <w:rPr>
          <w:lang w:val="fr-FR"/>
        </w:rPr>
        <w:t xml:space="preserve"> sont calcul</w:t>
      </w:r>
      <w:r w:rsidR="00867EFE" w:rsidRPr="00CA7293">
        <w:rPr>
          <w:lang w:val="fr-FR"/>
        </w:rPr>
        <w:t>és</w:t>
      </w:r>
      <w:r w:rsidR="00867EFE">
        <w:rPr>
          <w:lang w:val="fr-FR"/>
        </w:rPr>
        <w:t>.  L</w:t>
      </w:r>
      <w:r w:rsidR="00867EFE" w:rsidRPr="00CA7293">
        <w:rPr>
          <w:lang w:val="fr-FR"/>
        </w:rPr>
        <w:t>e</w:t>
      </w:r>
      <w:r w:rsidRPr="00CA7293">
        <w:rPr>
          <w:lang w:val="fr-FR"/>
        </w:rPr>
        <w:t>s conclusions de cette enquête ont été présentées en octobre</w:t>
      </w:r>
      <w:r w:rsidR="00F328A4">
        <w:rPr>
          <w:lang w:val="fr-FR"/>
        </w:rPr>
        <w:t> </w:t>
      </w:r>
      <w:r w:rsidRPr="00CA7293">
        <w:rPr>
          <w:lang w:val="fr-FR"/>
        </w:rPr>
        <w:t>2014 à la table ronde de la douz</w:t>
      </w:r>
      <w:r w:rsidR="00482989">
        <w:rPr>
          <w:lang w:val="fr-FR"/>
        </w:rPr>
        <w:t>ième session</w:t>
      </w:r>
      <w:r w:rsidRPr="00CA7293">
        <w:rPr>
          <w:lang w:val="fr-FR"/>
        </w:rPr>
        <w:t xml:space="preserve"> du Groupe de travail sur le développement juridique du système de Madrid concernant l</w:t>
      </w:r>
      <w:r w:rsidR="00482989">
        <w:rPr>
          <w:lang w:val="fr-FR"/>
        </w:rPr>
        <w:t>’</w:t>
      </w:r>
      <w:r w:rsidRPr="00CA7293">
        <w:rPr>
          <w:lang w:val="fr-FR"/>
        </w:rPr>
        <w:t>enregistrement international des marques (ci</w:t>
      </w:r>
      <w:r w:rsidR="00482989">
        <w:rPr>
          <w:lang w:val="fr-FR"/>
        </w:rPr>
        <w:t>-</w:t>
      </w:r>
      <w:r w:rsidRPr="00CA7293">
        <w:rPr>
          <w:lang w:val="fr-FR"/>
        </w:rPr>
        <w:t xml:space="preserve">après dénommé </w:t>
      </w:r>
      <w:r w:rsidR="00CA7293">
        <w:rPr>
          <w:lang w:val="fr-FR"/>
        </w:rPr>
        <w:t>“</w:t>
      </w:r>
      <w:r w:rsidRPr="00CA7293">
        <w:rPr>
          <w:lang w:val="fr-FR"/>
        </w:rPr>
        <w:t>groupe de travail</w:t>
      </w:r>
      <w:r w:rsidR="00CA7293">
        <w:rPr>
          <w:lang w:val="fr-FR"/>
        </w:rPr>
        <w:t>”</w:t>
      </w:r>
      <w:r w:rsidRPr="00CA7293">
        <w:rPr>
          <w:lang w:val="fr-FR"/>
        </w:rPr>
        <w:t>)</w:t>
      </w:r>
      <w:r w:rsidRPr="00CA7293">
        <w:rPr>
          <w:rStyle w:val="FootnoteReference"/>
          <w:lang w:val="fr-FR"/>
        </w:rPr>
        <w:footnoteReference w:id="2"/>
      </w:r>
      <w:r w:rsidRPr="00CA7293">
        <w:rPr>
          <w:lang w:val="fr-FR"/>
        </w:rPr>
        <w:t>.</w:t>
      </w:r>
    </w:p>
    <w:p w14:paraId="14DFF240" w14:textId="40228B25" w:rsidR="002C2160" w:rsidRPr="00CA7293" w:rsidRDefault="00302AC0" w:rsidP="003A13C1">
      <w:pPr>
        <w:pStyle w:val="ONUMFS"/>
        <w:rPr>
          <w:lang w:val="fr-FR"/>
        </w:rPr>
      </w:pPr>
      <w:r w:rsidRPr="00CA7293">
        <w:rPr>
          <w:lang w:val="fr-FR"/>
        </w:rPr>
        <w:lastRenderedPageBreak/>
        <w:t>À sa quatorz</w:t>
      </w:r>
      <w:r w:rsidR="00482989">
        <w:rPr>
          <w:lang w:val="fr-FR"/>
        </w:rPr>
        <w:t>ième session</w:t>
      </w:r>
      <w:r w:rsidRPr="00CA7293">
        <w:rPr>
          <w:lang w:val="fr-FR"/>
        </w:rPr>
        <w:t>, en juin</w:t>
      </w:r>
      <w:r w:rsidR="00F328A4">
        <w:rPr>
          <w:lang w:val="fr-FR"/>
        </w:rPr>
        <w:t> </w:t>
      </w:r>
      <w:r w:rsidRPr="00CA7293">
        <w:rPr>
          <w:lang w:val="fr-FR"/>
        </w:rPr>
        <w:t>2016, le groupe de travail est convenu d</w:t>
      </w:r>
      <w:r w:rsidR="00482989">
        <w:rPr>
          <w:lang w:val="fr-FR"/>
        </w:rPr>
        <w:t>’</w:t>
      </w:r>
      <w:r w:rsidRPr="00CA7293">
        <w:rPr>
          <w:lang w:val="fr-FR"/>
        </w:rPr>
        <w:t xml:space="preserve">une liste de </w:t>
      </w:r>
      <w:r w:rsidR="00541D21" w:rsidRPr="00CA7293">
        <w:rPr>
          <w:lang w:val="fr-FR"/>
        </w:rPr>
        <w:t>points</w:t>
      </w:r>
      <w:r w:rsidRPr="00CA7293">
        <w:rPr>
          <w:lang w:val="fr-FR"/>
        </w:rPr>
        <w:t xml:space="preserve"> à examiner à court, moyen et long terme</w:t>
      </w:r>
      <w:r w:rsidRPr="00CA7293">
        <w:rPr>
          <w:rStyle w:val="FootnoteReference"/>
          <w:lang w:val="fr-FR"/>
        </w:rPr>
        <w:footnoteReference w:id="3"/>
      </w:r>
      <w:r w:rsidR="00541D21" w:rsidRPr="00CA7293">
        <w:rPr>
          <w:lang w:val="fr-FR"/>
        </w:rPr>
        <w:t xml:space="preserve">, </w:t>
      </w:r>
      <w:r w:rsidR="008E2125" w:rsidRPr="00CA7293">
        <w:rPr>
          <w:lang w:val="fr-FR"/>
        </w:rPr>
        <w:t>p</w:t>
      </w:r>
      <w:r w:rsidRPr="00CA7293">
        <w:rPr>
          <w:lang w:val="fr-FR"/>
        </w:rPr>
        <w:t>armi les</w:t>
      </w:r>
      <w:r w:rsidR="008E2125" w:rsidRPr="00CA7293">
        <w:rPr>
          <w:lang w:val="fr-FR"/>
        </w:rPr>
        <w:t xml:space="preserve">quels figuraient, pour le </w:t>
      </w:r>
      <w:r w:rsidRPr="00CA7293">
        <w:rPr>
          <w:lang w:val="fr-FR"/>
        </w:rPr>
        <w:t>moyen terme</w:t>
      </w:r>
      <w:r w:rsidR="008E2125" w:rsidRPr="00CA7293">
        <w:rPr>
          <w:lang w:val="fr-FR"/>
        </w:rPr>
        <w:t>,</w:t>
      </w:r>
      <w:r w:rsidRPr="00CA7293">
        <w:rPr>
          <w:lang w:val="fr-FR"/>
        </w:rPr>
        <w:t xml:space="preserve"> </w:t>
      </w:r>
      <w:r w:rsidR="00CA7293">
        <w:rPr>
          <w:lang w:val="fr-FR"/>
        </w:rPr>
        <w:t>“</w:t>
      </w:r>
      <w:r w:rsidRPr="00CA7293">
        <w:rPr>
          <w:lang w:val="fr-FR"/>
        </w:rPr>
        <w:t>les refus provisoires et leurs délais</w:t>
      </w:r>
      <w:r w:rsidR="00CA7293">
        <w:rPr>
          <w:lang w:val="fr-FR"/>
        </w:rPr>
        <w:t>”</w:t>
      </w:r>
      <w:r w:rsidRPr="00CA7293">
        <w:rPr>
          <w:lang w:val="fr-FR"/>
        </w:rPr>
        <w:t>.</w:t>
      </w:r>
    </w:p>
    <w:p w14:paraId="0B90F4A8" w14:textId="3F50BE58" w:rsidR="002C2160" w:rsidRPr="00CA7293" w:rsidRDefault="00BC3722" w:rsidP="003A13C1">
      <w:pPr>
        <w:pStyle w:val="ONUMFS"/>
        <w:rPr>
          <w:lang w:val="fr-FR"/>
        </w:rPr>
      </w:pPr>
      <w:r w:rsidRPr="00CA7293">
        <w:rPr>
          <w:lang w:val="fr-FR"/>
        </w:rPr>
        <w:t>Le présent document fournit des informations sur les notifications de refus provisoire, en particulier</w:t>
      </w:r>
      <w:r w:rsidR="00482989">
        <w:rPr>
          <w:lang w:val="fr-FR"/>
        </w:rPr>
        <w:t> :</w:t>
      </w:r>
    </w:p>
    <w:p w14:paraId="511FAA91" w14:textId="77777777" w:rsidR="00314CDF" w:rsidRDefault="00BC3722" w:rsidP="00F27757">
      <w:pPr>
        <w:pStyle w:val="ONUMFS"/>
        <w:numPr>
          <w:ilvl w:val="0"/>
          <w:numId w:val="21"/>
        </w:numPr>
        <w:ind w:left="567" w:firstLine="0"/>
        <w:rPr>
          <w:lang w:val="fr-FR"/>
        </w:rPr>
      </w:pPr>
      <w:r w:rsidRPr="00CA7293">
        <w:rPr>
          <w:lang w:val="fr-FR"/>
        </w:rPr>
        <w:t>le délai dans lequel les offices des parties contractantes doivent envoyer ces notifications;</w:t>
      </w:r>
    </w:p>
    <w:p w14:paraId="7A462010" w14:textId="77777777" w:rsidR="00314CDF" w:rsidRDefault="00BC3722" w:rsidP="00F27757">
      <w:pPr>
        <w:pStyle w:val="ONUMFS"/>
        <w:numPr>
          <w:ilvl w:val="0"/>
          <w:numId w:val="21"/>
        </w:numPr>
        <w:ind w:left="567" w:firstLine="0"/>
        <w:rPr>
          <w:lang w:val="fr-FR"/>
        </w:rPr>
      </w:pPr>
      <w:r w:rsidRPr="00CA7293">
        <w:rPr>
          <w:lang w:val="fr-FR"/>
        </w:rPr>
        <w:t>le délai dont dispose le titulaire pour répondre;</w:t>
      </w:r>
    </w:p>
    <w:p w14:paraId="19F87933" w14:textId="4D15EB02" w:rsidR="00314CDF" w:rsidRDefault="00BC3722" w:rsidP="00F27757">
      <w:pPr>
        <w:pStyle w:val="ONUMFS"/>
        <w:numPr>
          <w:ilvl w:val="0"/>
          <w:numId w:val="21"/>
        </w:numPr>
        <w:ind w:left="567" w:firstLine="0"/>
        <w:rPr>
          <w:lang w:val="fr-FR"/>
        </w:rPr>
      </w:pPr>
      <w:r w:rsidRPr="00CA7293">
        <w:rPr>
          <w:lang w:val="fr-FR"/>
        </w:rPr>
        <w:t>les difficultés pratiques auxquelles se heurtent les titulaires lorsqu</w:t>
      </w:r>
      <w:r w:rsidR="00482989">
        <w:rPr>
          <w:lang w:val="fr-FR"/>
        </w:rPr>
        <w:t>’</w:t>
      </w:r>
      <w:r w:rsidRPr="00CA7293">
        <w:rPr>
          <w:lang w:val="fr-FR"/>
        </w:rPr>
        <w:t>ils reçoivent ces notifications;</w:t>
      </w:r>
    </w:p>
    <w:p w14:paraId="40246318" w14:textId="60DD043D" w:rsidR="002C2160" w:rsidRPr="00CA7293" w:rsidRDefault="00BC3722" w:rsidP="00CE4C36">
      <w:pPr>
        <w:pStyle w:val="ONUMFS"/>
        <w:numPr>
          <w:ilvl w:val="0"/>
          <w:numId w:val="21"/>
        </w:numPr>
        <w:spacing w:after="0"/>
        <w:ind w:left="567" w:firstLine="0"/>
        <w:rPr>
          <w:lang w:val="fr-FR"/>
        </w:rPr>
      </w:pPr>
      <w:r w:rsidRPr="00CA7293">
        <w:rPr>
          <w:lang w:val="fr-FR"/>
        </w:rPr>
        <w:t>les questions à examiner par le groupe de travail.</w:t>
      </w:r>
    </w:p>
    <w:p w14:paraId="750FC2E1" w14:textId="3C43088C" w:rsidR="002C2160" w:rsidRPr="00314CDF" w:rsidRDefault="009D1D65" w:rsidP="00314CDF">
      <w:pPr>
        <w:pStyle w:val="Heading1"/>
        <w:rPr>
          <w:lang w:val="fr-FR"/>
        </w:rPr>
      </w:pPr>
      <w:r w:rsidRPr="00314CDF">
        <w:rPr>
          <w:lang w:val="fr-FR"/>
        </w:rPr>
        <w:t>Délai de notification d</w:t>
      </w:r>
      <w:r w:rsidR="00482989">
        <w:rPr>
          <w:lang w:val="fr-FR"/>
        </w:rPr>
        <w:t>’</w:t>
      </w:r>
      <w:r w:rsidRPr="00314CDF">
        <w:rPr>
          <w:lang w:val="fr-FR"/>
        </w:rPr>
        <w:t>un refus provisoire par les parties contractantes</w:t>
      </w:r>
    </w:p>
    <w:p w14:paraId="78B436BC" w14:textId="77777777" w:rsidR="002C2160" w:rsidRPr="00CA7293" w:rsidRDefault="002C2160" w:rsidP="00343C9A">
      <w:pPr>
        <w:rPr>
          <w:lang w:val="fr-FR"/>
        </w:rPr>
      </w:pPr>
    </w:p>
    <w:p w14:paraId="2D9B090C" w14:textId="1B90E321" w:rsidR="002C2160" w:rsidRPr="00CA7293" w:rsidRDefault="00595113" w:rsidP="003A13C1">
      <w:pPr>
        <w:pStyle w:val="ONUMFS"/>
        <w:rPr>
          <w:lang w:val="fr-FR"/>
        </w:rPr>
      </w:pPr>
      <w:bookmarkStart w:id="5" w:name="_Ref5780023"/>
      <w:r w:rsidRPr="00CA7293">
        <w:rPr>
          <w:lang w:val="fr-FR"/>
        </w:rPr>
        <w:t>En vertu de l</w:t>
      </w:r>
      <w:r w:rsidR="00482989">
        <w:rPr>
          <w:lang w:val="fr-FR"/>
        </w:rPr>
        <w:t>’</w:t>
      </w:r>
      <w:r w:rsidRPr="00CA7293">
        <w:rPr>
          <w:lang w:val="fr-FR"/>
        </w:rPr>
        <w:t>alinéa</w:t>
      </w:r>
      <w:r w:rsidR="00F328A4">
        <w:rPr>
          <w:lang w:val="fr-FR"/>
        </w:rPr>
        <w:t> </w:t>
      </w:r>
      <w:r w:rsidRPr="00CA7293">
        <w:rPr>
          <w:lang w:val="fr-FR"/>
        </w:rPr>
        <w:t>2</w:t>
      </w:r>
      <w:r w:rsidR="00B14D98" w:rsidRPr="00CA7293">
        <w:rPr>
          <w:lang w:val="fr-FR"/>
        </w:rPr>
        <w:t>)</w:t>
      </w:r>
      <w:r w:rsidRPr="00CA7293">
        <w:rPr>
          <w:lang w:val="fr-FR"/>
        </w:rPr>
        <w:t>b) de l</w:t>
      </w:r>
      <w:r w:rsidR="00482989">
        <w:rPr>
          <w:lang w:val="fr-FR"/>
        </w:rPr>
        <w:t>’</w:t>
      </w:r>
      <w:r w:rsidRPr="00CA7293">
        <w:rPr>
          <w:lang w:val="fr-FR"/>
        </w:rPr>
        <w:t>article</w:t>
      </w:r>
      <w:r w:rsidR="00F328A4">
        <w:rPr>
          <w:lang w:val="fr-FR"/>
        </w:rPr>
        <w:t> </w:t>
      </w:r>
      <w:r w:rsidRPr="00CA7293">
        <w:rPr>
          <w:lang w:val="fr-FR"/>
        </w:rPr>
        <w:t>5 du Protocole relatif à l</w:t>
      </w:r>
      <w:r w:rsidR="00482989">
        <w:rPr>
          <w:lang w:val="fr-FR"/>
        </w:rPr>
        <w:t>’</w:t>
      </w:r>
      <w:r w:rsidRPr="00CA7293">
        <w:rPr>
          <w:lang w:val="fr-FR"/>
        </w:rPr>
        <w:t>Arrangement de Madrid concernant l</w:t>
      </w:r>
      <w:r w:rsidR="00482989">
        <w:rPr>
          <w:lang w:val="fr-FR"/>
        </w:rPr>
        <w:t>’</w:t>
      </w:r>
      <w:r w:rsidRPr="00CA7293">
        <w:rPr>
          <w:lang w:val="fr-FR"/>
        </w:rPr>
        <w:t>enregistrement international des marques (ci</w:t>
      </w:r>
      <w:r w:rsidR="00482989">
        <w:rPr>
          <w:lang w:val="fr-FR"/>
        </w:rPr>
        <w:t>-</w:t>
      </w:r>
      <w:r w:rsidRPr="00CA7293">
        <w:rPr>
          <w:lang w:val="fr-FR"/>
        </w:rPr>
        <w:t xml:space="preserve">après dénommés respectivement </w:t>
      </w:r>
      <w:r w:rsidR="00CA7293">
        <w:rPr>
          <w:lang w:val="fr-FR"/>
        </w:rPr>
        <w:t>“</w:t>
      </w:r>
      <w:r w:rsidRPr="00CA7293">
        <w:rPr>
          <w:lang w:val="fr-FR"/>
        </w:rPr>
        <w:t>Protocole</w:t>
      </w:r>
      <w:r w:rsidR="00CA7293">
        <w:rPr>
          <w:lang w:val="fr-FR"/>
        </w:rPr>
        <w:t>”</w:t>
      </w:r>
      <w:r w:rsidRPr="00CA7293">
        <w:rPr>
          <w:lang w:val="fr-FR"/>
        </w:rPr>
        <w:t xml:space="preserve"> et </w:t>
      </w:r>
      <w:r w:rsidR="00CA7293">
        <w:rPr>
          <w:lang w:val="fr-FR"/>
        </w:rPr>
        <w:t>“</w:t>
      </w:r>
      <w:r w:rsidRPr="00CA7293">
        <w:rPr>
          <w:lang w:val="fr-FR"/>
        </w:rPr>
        <w:t>Arrangement</w:t>
      </w:r>
      <w:r w:rsidR="00CA7293">
        <w:rPr>
          <w:lang w:val="fr-FR"/>
        </w:rPr>
        <w:t>”</w:t>
      </w:r>
      <w:r w:rsidRPr="00CA7293">
        <w:rPr>
          <w:lang w:val="fr-FR"/>
        </w:rPr>
        <w:t>), une partie contractante peut déclarer que le délai d</w:t>
      </w:r>
      <w:r w:rsidR="00482989">
        <w:rPr>
          <w:lang w:val="fr-FR"/>
        </w:rPr>
        <w:t>’</w:t>
      </w:r>
      <w:r w:rsidRPr="00CA7293">
        <w:rPr>
          <w:lang w:val="fr-FR"/>
        </w:rPr>
        <w:t>un an prévu pour notifier un refus provisoire peut être remplacé par 18</w:t>
      </w:r>
      <w:r w:rsidR="00F328A4">
        <w:rPr>
          <w:lang w:val="fr-FR"/>
        </w:rPr>
        <w:t> </w:t>
      </w:r>
      <w:r w:rsidRPr="00CA7293">
        <w:rPr>
          <w:lang w:val="fr-FR"/>
        </w:rPr>
        <w:t>mois</w:t>
      </w:r>
      <w:r w:rsidR="003F2B86" w:rsidRPr="00CA7293">
        <w:rPr>
          <w:lang w:val="fr-FR"/>
        </w:rPr>
        <w:t xml:space="preserve"> et, selon</w:t>
      </w:r>
      <w:r w:rsidR="00E071B7" w:rsidRPr="00CA7293">
        <w:rPr>
          <w:lang w:val="fr-FR"/>
        </w:rPr>
        <w:t xml:space="preserve"> l</w:t>
      </w:r>
      <w:r w:rsidR="00482989">
        <w:rPr>
          <w:lang w:val="fr-FR"/>
        </w:rPr>
        <w:t>’</w:t>
      </w:r>
      <w:r w:rsidR="00E071B7" w:rsidRPr="00CA7293">
        <w:rPr>
          <w:lang w:val="fr-FR"/>
        </w:rPr>
        <w:t>alinéa</w:t>
      </w:r>
      <w:r w:rsidR="00F328A4">
        <w:rPr>
          <w:lang w:val="fr-FR"/>
        </w:rPr>
        <w:t> </w:t>
      </w:r>
      <w:r w:rsidR="00E071B7" w:rsidRPr="00CA7293">
        <w:rPr>
          <w:lang w:val="fr-FR"/>
        </w:rPr>
        <w:t>2</w:t>
      </w:r>
      <w:r w:rsidR="00B14D98" w:rsidRPr="00CA7293">
        <w:rPr>
          <w:lang w:val="fr-FR"/>
        </w:rPr>
        <w:t>)</w:t>
      </w:r>
      <w:r w:rsidR="00E071B7" w:rsidRPr="00CA7293">
        <w:rPr>
          <w:lang w:val="fr-FR"/>
        </w:rPr>
        <w:t>c) du même article, cette période peut être prolongée au</w:t>
      </w:r>
      <w:r w:rsidR="00482989">
        <w:rPr>
          <w:lang w:val="fr-FR"/>
        </w:rPr>
        <w:t>-</w:t>
      </w:r>
      <w:r w:rsidR="00E071B7" w:rsidRPr="00CA7293">
        <w:rPr>
          <w:lang w:val="fr-FR"/>
        </w:rPr>
        <w:t>delà de 18</w:t>
      </w:r>
      <w:r w:rsidR="00F328A4">
        <w:rPr>
          <w:lang w:val="fr-FR"/>
        </w:rPr>
        <w:t> </w:t>
      </w:r>
      <w:r w:rsidR="00E071B7" w:rsidRPr="00CA7293">
        <w:rPr>
          <w:lang w:val="fr-FR"/>
        </w:rPr>
        <w:t>mois en cas d</w:t>
      </w:r>
      <w:r w:rsidR="00482989">
        <w:rPr>
          <w:lang w:val="fr-FR"/>
        </w:rPr>
        <w:t>’</w:t>
      </w:r>
      <w:r w:rsidR="00E071B7" w:rsidRPr="00CA7293">
        <w:rPr>
          <w:lang w:val="fr-FR"/>
        </w:rPr>
        <w:t>opposition</w:t>
      </w:r>
      <w:r w:rsidR="00DE3E92">
        <w:rPr>
          <w:lang w:val="fr-FR"/>
        </w:rPr>
        <w:t xml:space="preserve"> </w:t>
      </w:r>
      <w:r w:rsidR="00E071B7" w:rsidRPr="00CA7293">
        <w:rPr>
          <w:lang w:val="fr-FR"/>
        </w:rPr>
        <w:t>à l</w:t>
      </w:r>
      <w:r w:rsidR="00482989">
        <w:rPr>
          <w:lang w:val="fr-FR"/>
        </w:rPr>
        <w:t>’</w:t>
      </w:r>
      <w:r w:rsidR="00E071B7" w:rsidRPr="00CA7293">
        <w:rPr>
          <w:lang w:val="fr-FR"/>
        </w:rPr>
        <w:t>octroi de la protecti</w:t>
      </w:r>
      <w:bookmarkEnd w:id="5"/>
      <w:r w:rsidR="00867EFE" w:rsidRPr="00CA7293">
        <w:rPr>
          <w:lang w:val="fr-FR"/>
        </w:rPr>
        <w:t>on</w:t>
      </w:r>
      <w:r w:rsidR="00867EFE">
        <w:rPr>
          <w:lang w:val="fr-FR"/>
        </w:rPr>
        <w:t>.  S</w:t>
      </w:r>
      <w:r w:rsidR="00867EFE" w:rsidRPr="00CA7293">
        <w:rPr>
          <w:lang w:val="fr-FR"/>
        </w:rPr>
        <w:t>u</w:t>
      </w:r>
      <w:r w:rsidR="00613FF8" w:rsidRPr="00CA7293">
        <w:rPr>
          <w:lang w:val="fr-FR"/>
        </w:rPr>
        <w:t>r les 104</w:t>
      </w:r>
      <w:r w:rsidR="00613FF8" w:rsidRPr="00CA7293">
        <w:rPr>
          <w:rStyle w:val="FootnoteReference"/>
          <w:lang w:val="fr-FR"/>
        </w:rPr>
        <w:footnoteReference w:id="4"/>
      </w:r>
      <w:r w:rsidR="00F328A4">
        <w:rPr>
          <w:lang w:val="fr-FR"/>
        </w:rPr>
        <w:t> </w:t>
      </w:r>
      <w:r w:rsidR="00613FF8" w:rsidRPr="00CA7293">
        <w:rPr>
          <w:lang w:val="fr-FR"/>
        </w:rPr>
        <w:t>parties contractantes que compte actuellement le Protocole, 60</w:t>
      </w:r>
      <w:r w:rsidR="00613FF8" w:rsidRPr="00CA7293">
        <w:rPr>
          <w:rStyle w:val="FootnoteReference"/>
          <w:lang w:val="fr-FR"/>
        </w:rPr>
        <w:footnoteReference w:id="5"/>
      </w:r>
      <w:r w:rsidR="00613FF8" w:rsidRPr="00CA7293">
        <w:rPr>
          <w:lang w:val="fr-FR"/>
        </w:rPr>
        <w:t xml:space="preserve"> ont fait une déclaration au titre de l</w:t>
      </w:r>
      <w:r w:rsidR="00482989">
        <w:rPr>
          <w:lang w:val="fr-FR"/>
        </w:rPr>
        <w:t>’</w:t>
      </w:r>
      <w:r w:rsidR="00613FF8" w:rsidRPr="00CA7293">
        <w:rPr>
          <w:lang w:val="fr-FR"/>
        </w:rPr>
        <w:t>article</w:t>
      </w:r>
      <w:r w:rsidR="00F328A4">
        <w:rPr>
          <w:lang w:val="fr-FR"/>
        </w:rPr>
        <w:t> </w:t>
      </w:r>
      <w:r w:rsidR="00613FF8" w:rsidRPr="00CA7293">
        <w:rPr>
          <w:lang w:val="fr-FR"/>
        </w:rPr>
        <w:t xml:space="preserve">5.2)b) et 39 </w:t>
      </w:r>
      <w:r w:rsidR="00B84A82">
        <w:rPr>
          <w:lang w:val="fr-FR"/>
        </w:rPr>
        <w:t xml:space="preserve">ont aussi fait </w:t>
      </w:r>
      <w:r w:rsidR="00613FF8" w:rsidRPr="00CA7293">
        <w:rPr>
          <w:lang w:val="fr-FR"/>
        </w:rPr>
        <w:t>une déclaration au titre de l</w:t>
      </w:r>
      <w:r w:rsidR="00482989">
        <w:rPr>
          <w:lang w:val="fr-FR"/>
        </w:rPr>
        <w:t>’</w:t>
      </w:r>
      <w:r w:rsidR="00613FF8" w:rsidRPr="00CA7293">
        <w:rPr>
          <w:lang w:val="fr-FR"/>
        </w:rPr>
        <w:t>article</w:t>
      </w:r>
      <w:r w:rsidR="00F328A4">
        <w:rPr>
          <w:lang w:val="fr-FR"/>
        </w:rPr>
        <w:t> </w:t>
      </w:r>
      <w:r w:rsidR="00613FF8" w:rsidRPr="00CA7293">
        <w:rPr>
          <w:lang w:val="fr-FR"/>
        </w:rPr>
        <w:t>5.2)c).</w:t>
      </w:r>
    </w:p>
    <w:p w14:paraId="13F19D2A" w14:textId="6E60BDF7" w:rsidR="002C2160" w:rsidRPr="00CA7293" w:rsidRDefault="00613FF8" w:rsidP="003A13C1">
      <w:pPr>
        <w:pStyle w:val="ONUMFS"/>
        <w:rPr>
          <w:lang w:val="fr-FR"/>
        </w:rPr>
      </w:pPr>
      <w:r w:rsidRPr="00CA7293">
        <w:rPr>
          <w:lang w:val="fr-FR"/>
        </w:rPr>
        <w:t>Alors que le système de Madrid est désormais exclusivement régi par le Protocole, 55</w:t>
      </w:r>
      <w:r w:rsidRPr="00CA7293">
        <w:rPr>
          <w:rStyle w:val="FootnoteReference"/>
          <w:lang w:val="fr-FR"/>
        </w:rPr>
        <w:footnoteReference w:id="6"/>
      </w:r>
      <w:r w:rsidR="00F328A4">
        <w:rPr>
          <w:lang w:val="fr-FR"/>
        </w:rPr>
        <w:t> </w:t>
      </w:r>
      <w:r w:rsidRPr="00CA7293">
        <w:rPr>
          <w:lang w:val="fr-FR"/>
        </w:rPr>
        <w:t>parties contractantes sont liées à la fois par l</w:t>
      </w:r>
      <w:r w:rsidR="00482989">
        <w:rPr>
          <w:lang w:val="fr-FR"/>
        </w:rPr>
        <w:t>’</w:t>
      </w:r>
      <w:r w:rsidRPr="00CA7293">
        <w:rPr>
          <w:lang w:val="fr-FR"/>
        </w:rPr>
        <w:t>Arrangement et par le Protoco</w:t>
      </w:r>
      <w:r w:rsidR="00867EFE" w:rsidRPr="00CA7293">
        <w:rPr>
          <w:lang w:val="fr-FR"/>
        </w:rPr>
        <w:t>le</w:t>
      </w:r>
      <w:r w:rsidR="00867EFE">
        <w:rPr>
          <w:lang w:val="fr-FR"/>
        </w:rPr>
        <w:t>.  S</w:t>
      </w:r>
      <w:r w:rsidR="00867EFE" w:rsidRPr="00CA7293">
        <w:rPr>
          <w:lang w:val="fr-FR"/>
        </w:rPr>
        <w:t>e</w:t>
      </w:r>
      <w:r w:rsidR="006910D5" w:rsidRPr="00CA7293">
        <w:rPr>
          <w:lang w:val="fr-FR"/>
        </w:rPr>
        <w:t>ize</w:t>
      </w:r>
      <w:r w:rsidR="003750EB">
        <w:rPr>
          <w:lang w:val="fr-FR"/>
        </w:rPr>
        <w:t> </w:t>
      </w:r>
      <w:r w:rsidR="006910D5" w:rsidRPr="00CA7293">
        <w:rPr>
          <w:lang w:val="fr-FR"/>
        </w:rPr>
        <w:t>d</w:t>
      </w:r>
      <w:r w:rsidR="00482989">
        <w:rPr>
          <w:lang w:val="fr-FR"/>
        </w:rPr>
        <w:t>’</w:t>
      </w:r>
      <w:r w:rsidR="006910D5" w:rsidRPr="00CA7293">
        <w:rPr>
          <w:lang w:val="fr-FR"/>
        </w:rPr>
        <w:t>entre elles ont fait une déclaration selon l</w:t>
      </w:r>
      <w:r w:rsidR="00482989">
        <w:rPr>
          <w:lang w:val="fr-FR"/>
        </w:rPr>
        <w:t>’</w:t>
      </w:r>
      <w:r w:rsidR="006910D5" w:rsidRPr="00CA7293">
        <w:rPr>
          <w:lang w:val="fr-FR"/>
        </w:rPr>
        <w:t>article</w:t>
      </w:r>
      <w:r w:rsidR="00F328A4">
        <w:rPr>
          <w:lang w:val="fr-FR"/>
        </w:rPr>
        <w:t> </w:t>
      </w:r>
      <w:r w:rsidR="006910D5" w:rsidRPr="00CA7293">
        <w:rPr>
          <w:lang w:val="fr-FR"/>
        </w:rPr>
        <w:t>5.2)b).</w:t>
      </w:r>
      <w:r w:rsidR="00343C9A" w:rsidRPr="00CA7293">
        <w:rPr>
          <w:lang w:val="fr-FR"/>
        </w:rPr>
        <w:t xml:space="preserve"> </w:t>
      </w:r>
      <w:r w:rsidR="001D2295">
        <w:rPr>
          <w:lang w:val="fr-FR"/>
        </w:rPr>
        <w:t xml:space="preserve"> </w:t>
      </w:r>
      <w:r w:rsidR="00F328A4">
        <w:rPr>
          <w:lang w:val="fr-FR"/>
        </w:rPr>
        <w:t>T</w:t>
      </w:r>
      <w:r w:rsidR="006910D5" w:rsidRPr="00CA7293">
        <w:rPr>
          <w:lang w:val="fr-FR"/>
        </w:rPr>
        <w:t>outefois, l</w:t>
      </w:r>
      <w:r w:rsidR="00482989">
        <w:rPr>
          <w:lang w:val="fr-FR"/>
        </w:rPr>
        <w:t>’</w:t>
      </w:r>
      <w:r w:rsidR="006910D5" w:rsidRPr="00CA7293">
        <w:rPr>
          <w:lang w:val="fr-FR"/>
        </w:rPr>
        <w:t>article</w:t>
      </w:r>
      <w:r w:rsidR="00F328A4">
        <w:rPr>
          <w:lang w:val="fr-FR"/>
        </w:rPr>
        <w:t> </w:t>
      </w:r>
      <w:r w:rsidR="006910D5" w:rsidRPr="00CA7293">
        <w:rPr>
          <w:lang w:val="fr-FR"/>
        </w:rPr>
        <w:t>9</w:t>
      </w:r>
      <w:r w:rsidR="006910D5" w:rsidRPr="00867EFE">
        <w:rPr>
          <w:i/>
          <w:lang w:val="fr-FR"/>
        </w:rPr>
        <w:t>s</w:t>
      </w:r>
      <w:r w:rsidR="006910D5" w:rsidRPr="00CA7293">
        <w:rPr>
          <w:i/>
          <w:lang w:val="fr-FR"/>
        </w:rPr>
        <w:t>exies</w:t>
      </w:r>
      <w:r w:rsidR="006910D5" w:rsidRPr="00CA7293">
        <w:rPr>
          <w:lang w:val="fr-FR"/>
        </w:rPr>
        <w:t>.1)b) rend cette déclaration sans effet sur les relations mutuelles entre les États liés par les deux</w:t>
      </w:r>
      <w:r w:rsidR="001D2295">
        <w:rPr>
          <w:lang w:val="fr-FR"/>
        </w:rPr>
        <w:t> </w:t>
      </w:r>
      <w:r w:rsidR="006910D5" w:rsidRPr="00CA7293">
        <w:rPr>
          <w:lang w:val="fr-FR"/>
        </w:rPr>
        <w:t>traités.</w:t>
      </w:r>
    </w:p>
    <w:p w14:paraId="706BDCF0" w14:textId="174138D4" w:rsidR="002C2160" w:rsidRPr="00CA7293" w:rsidRDefault="006712AD" w:rsidP="003A13C1">
      <w:pPr>
        <w:pStyle w:val="ONUMFS"/>
        <w:rPr>
          <w:lang w:val="fr-FR"/>
        </w:rPr>
      </w:pPr>
      <w:r w:rsidRPr="00CA7293">
        <w:rPr>
          <w:lang w:val="fr-FR"/>
        </w:rPr>
        <w:t>Par conséquent, les 16</w:t>
      </w:r>
      <w:r w:rsidR="00F328A4">
        <w:rPr>
          <w:lang w:val="fr-FR"/>
        </w:rPr>
        <w:t> </w:t>
      </w:r>
      <w:r w:rsidRPr="00CA7293">
        <w:rPr>
          <w:lang w:val="fr-FR"/>
        </w:rPr>
        <w:t>parties contractantes susmentionnées disposent d</w:t>
      </w:r>
      <w:r w:rsidR="00482989">
        <w:rPr>
          <w:lang w:val="fr-FR"/>
        </w:rPr>
        <w:t>’</w:t>
      </w:r>
      <w:r w:rsidRPr="00CA7293">
        <w:rPr>
          <w:lang w:val="fr-FR"/>
        </w:rPr>
        <w:t>un délai d</w:t>
      </w:r>
      <w:r w:rsidR="00482989">
        <w:rPr>
          <w:lang w:val="fr-FR"/>
        </w:rPr>
        <w:t>’</w:t>
      </w:r>
      <w:r w:rsidRPr="00CA7293">
        <w:rPr>
          <w:lang w:val="fr-FR"/>
        </w:rPr>
        <w:t xml:space="preserve">un an pour notifier un refus provisoire </w:t>
      </w:r>
      <w:r w:rsidR="00482989">
        <w:rPr>
          <w:lang w:val="fr-FR"/>
        </w:rPr>
        <w:t>à l’égard</w:t>
      </w:r>
      <w:r w:rsidRPr="00CA7293">
        <w:rPr>
          <w:lang w:val="fr-FR"/>
        </w:rPr>
        <w:t xml:space="preserve"> d</w:t>
      </w:r>
      <w:r w:rsidR="00482989">
        <w:rPr>
          <w:lang w:val="fr-FR"/>
        </w:rPr>
        <w:t>’</w:t>
      </w:r>
      <w:r w:rsidRPr="00CA7293">
        <w:rPr>
          <w:lang w:val="fr-FR"/>
        </w:rPr>
        <w:t>une marque faisant l</w:t>
      </w:r>
      <w:r w:rsidR="00482989">
        <w:rPr>
          <w:lang w:val="fr-FR"/>
        </w:rPr>
        <w:t>’</w:t>
      </w:r>
      <w:r w:rsidRPr="00CA7293">
        <w:rPr>
          <w:lang w:val="fr-FR"/>
        </w:rPr>
        <w:t>objet d</w:t>
      </w:r>
      <w:r w:rsidR="00482989">
        <w:rPr>
          <w:lang w:val="fr-FR"/>
        </w:rPr>
        <w:t>’</w:t>
      </w:r>
      <w:r w:rsidRPr="00CA7293">
        <w:rPr>
          <w:lang w:val="fr-FR"/>
        </w:rPr>
        <w:t xml:space="preserve">un  enregistrement international pour </w:t>
      </w:r>
      <w:r w:rsidR="00917B63">
        <w:rPr>
          <w:lang w:val="fr-FR"/>
        </w:rPr>
        <w:t>lequel</w:t>
      </w:r>
      <w:r w:rsidRPr="00CA7293">
        <w:rPr>
          <w:lang w:val="fr-FR"/>
        </w:rPr>
        <w:t xml:space="preserve"> la partie contractante du titulaire est également liée par l</w:t>
      </w:r>
      <w:r w:rsidR="00482989">
        <w:rPr>
          <w:lang w:val="fr-FR"/>
        </w:rPr>
        <w:t>’</w:t>
      </w:r>
      <w:r w:rsidRPr="00CA7293">
        <w:rPr>
          <w:lang w:val="fr-FR"/>
        </w:rPr>
        <w:t xml:space="preserve">Arrangement, et </w:t>
      </w:r>
      <w:r w:rsidR="008A3B65" w:rsidRPr="00CA7293">
        <w:rPr>
          <w:lang w:val="fr-FR"/>
        </w:rPr>
        <w:t>d</w:t>
      </w:r>
      <w:r w:rsidR="00482989">
        <w:rPr>
          <w:lang w:val="fr-FR"/>
        </w:rPr>
        <w:t>’</w:t>
      </w:r>
      <w:r w:rsidRPr="00CA7293">
        <w:rPr>
          <w:lang w:val="fr-FR"/>
        </w:rPr>
        <w:t>un délai de 18</w:t>
      </w:r>
      <w:r w:rsidR="00F328A4">
        <w:rPr>
          <w:lang w:val="fr-FR"/>
        </w:rPr>
        <w:t> </w:t>
      </w:r>
      <w:r w:rsidRPr="00CA7293">
        <w:rPr>
          <w:lang w:val="fr-FR"/>
        </w:rPr>
        <w:t>mois dans tous les autres cas</w:t>
      </w:r>
      <w:r w:rsidR="008A3B65" w:rsidRPr="00CA7293">
        <w:rPr>
          <w:lang w:val="fr-FR"/>
        </w:rPr>
        <w:t xml:space="preserve"> d</w:t>
      </w:r>
      <w:r w:rsidR="00482989">
        <w:rPr>
          <w:lang w:val="fr-FR"/>
        </w:rPr>
        <w:t>’</w:t>
      </w:r>
      <w:r w:rsidR="008A3B65" w:rsidRPr="00CA7293">
        <w:rPr>
          <w:lang w:val="fr-FR"/>
        </w:rPr>
        <w:t>enregistrement international</w:t>
      </w:r>
      <w:r w:rsidRPr="00CA7293">
        <w:rPr>
          <w:lang w:val="fr-FR"/>
        </w:rPr>
        <w:t>.</w:t>
      </w:r>
    </w:p>
    <w:p w14:paraId="2541FA0B" w14:textId="0F2625D2" w:rsidR="005F1888" w:rsidRDefault="008A3B65" w:rsidP="00BE0B4C">
      <w:pPr>
        <w:pStyle w:val="ONUMFS"/>
        <w:rPr>
          <w:lang w:val="fr-FR"/>
        </w:rPr>
      </w:pPr>
      <w:r w:rsidRPr="00BF5F92">
        <w:rPr>
          <w:lang w:val="fr-FR"/>
        </w:rPr>
        <w:t>À</w:t>
      </w:r>
      <w:r w:rsidR="00D07D71" w:rsidRPr="00BF5F92">
        <w:rPr>
          <w:lang w:val="fr-FR"/>
        </w:rPr>
        <w:t xml:space="preserve"> titre d</w:t>
      </w:r>
      <w:r w:rsidR="00482989">
        <w:rPr>
          <w:lang w:val="fr-FR"/>
        </w:rPr>
        <w:t>’</w:t>
      </w:r>
      <w:r w:rsidR="00D07D71" w:rsidRPr="00BF5F92">
        <w:rPr>
          <w:lang w:val="fr-FR"/>
        </w:rPr>
        <w:t>exemple, les offices de l</w:t>
      </w:r>
      <w:r w:rsidR="00482989">
        <w:rPr>
          <w:lang w:val="fr-FR"/>
        </w:rPr>
        <w:t>’</w:t>
      </w:r>
      <w:r w:rsidR="00D07D71" w:rsidRPr="00BF5F92">
        <w:rPr>
          <w:lang w:val="fr-FR"/>
        </w:rPr>
        <w:t>Algérie, de l</w:t>
      </w:r>
      <w:r w:rsidR="00482989">
        <w:rPr>
          <w:lang w:val="fr-FR"/>
        </w:rPr>
        <w:t>’</w:t>
      </w:r>
      <w:r w:rsidR="00D07D71" w:rsidRPr="00BF5F92">
        <w:rPr>
          <w:lang w:val="fr-FR"/>
        </w:rPr>
        <w:t xml:space="preserve">Arménie, du </w:t>
      </w:r>
      <w:proofErr w:type="spellStart"/>
      <w:r w:rsidR="00D07D71" w:rsidRPr="00BF5F92">
        <w:rPr>
          <w:lang w:val="fr-FR"/>
        </w:rPr>
        <w:t>Bélarus</w:t>
      </w:r>
      <w:proofErr w:type="spellEnd"/>
      <w:r w:rsidR="00D07D71" w:rsidRPr="00BF5F92">
        <w:rPr>
          <w:lang w:val="fr-FR"/>
        </w:rPr>
        <w:t>, de la Bulgarie, de la Chine, de Chypre, de l</w:t>
      </w:r>
      <w:r w:rsidR="00482989">
        <w:rPr>
          <w:lang w:val="fr-FR"/>
        </w:rPr>
        <w:t>’</w:t>
      </w:r>
      <w:r w:rsidR="00D07D71" w:rsidRPr="00BF5F92">
        <w:rPr>
          <w:lang w:val="fr-FR"/>
        </w:rPr>
        <w:t xml:space="preserve">Italie, du Kenya, du Liechtenstein, de la Pologne, </w:t>
      </w:r>
      <w:r w:rsidR="004A1C2A" w:rsidRPr="00BF5F92">
        <w:rPr>
          <w:lang w:val="fr-FR"/>
        </w:rPr>
        <w:t>de la République islamique d</w:t>
      </w:r>
      <w:r w:rsidR="004A1C2A">
        <w:rPr>
          <w:lang w:val="fr-FR"/>
        </w:rPr>
        <w:t>’</w:t>
      </w:r>
      <w:r w:rsidR="004A1C2A" w:rsidRPr="00BF5F92">
        <w:rPr>
          <w:lang w:val="fr-FR"/>
        </w:rPr>
        <w:t xml:space="preserve">Iran, </w:t>
      </w:r>
      <w:r w:rsidR="00D07D71" w:rsidRPr="00BF5F92">
        <w:rPr>
          <w:lang w:val="fr-FR"/>
        </w:rPr>
        <w:t>de Saint</w:t>
      </w:r>
      <w:r w:rsidR="00482989">
        <w:rPr>
          <w:lang w:val="fr-FR"/>
        </w:rPr>
        <w:t>-</w:t>
      </w:r>
      <w:r w:rsidR="00D07D71" w:rsidRPr="00BF5F92">
        <w:rPr>
          <w:lang w:val="fr-FR"/>
        </w:rPr>
        <w:t>Marin, de la Slovaquie, de la Suisse, du</w:t>
      </w:r>
      <w:r w:rsidRPr="00BF5F92">
        <w:rPr>
          <w:lang w:val="fr-FR"/>
        </w:rPr>
        <w:t xml:space="preserve"> </w:t>
      </w:r>
      <w:r w:rsidR="00D07D71" w:rsidRPr="00BF5F92">
        <w:rPr>
          <w:lang w:val="fr-FR"/>
        </w:rPr>
        <w:t>Tadjikistan et de l</w:t>
      </w:r>
      <w:r w:rsidR="00482989">
        <w:rPr>
          <w:lang w:val="fr-FR"/>
        </w:rPr>
        <w:t>’</w:t>
      </w:r>
      <w:r w:rsidR="00D07D71" w:rsidRPr="00BF5F92">
        <w:rPr>
          <w:lang w:val="fr-FR"/>
        </w:rPr>
        <w:t>Ukraine, qui sont liés par l</w:t>
      </w:r>
      <w:r w:rsidR="00482989">
        <w:rPr>
          <w:lang w:val="fr-FR"/>
        </w:rPr>
        <w:t>’</w:t>
      </w:r>
      <w:r w:rsidR="00D07D71" w:rsidRPr="00BF5F92">
        <w:rPr>
          <w:lang w:val="fr-FR"/>
        </w:rPr>
        <w:t>Arrangement et le Protocole et ont fait une déclaration au titre de l</w:t>
      </w:r>
      <w:r w:rsidR="00482989">
        <w:rPr>
          <w:lang w:val="fr-FR"/>
        </w:rPr>
        <w:t>’</w:t>
      </w:r>
      <w:r w:rsidR="00D07D71" w:rsidRPr="00BF5F92">
        <w:rPr>
          <w:lang w:val="fr-FR"/>
        </w:rPr>
        <w:t>article</w:t>
      </w:r>
      <w:r w:rsidR="00F328A4" w:rsidRPr="00BF5F92">
        <w:rPr>
          <w:lang w:val="fr-FR"/>
        </w:rPr>
        <w:t> </w:t>
      </w:r>
      <w:r w:rsidR="00D07D71" w:rsidRPr="00BF5F92">
        <w:rPr>
          <w:lang w:val="fr-FR"/>
        </w:rPr>
        <w:t>5.2)b), aurai</w:t>
      </w:r>
      <w:r w:rsidR="00632295" w:rsidRPr="00BF5F92">
        <w:rPr>
          <w:lang w:val="fr-FR"/>
        </w:rPr>
        <w:t>en</w:t>
      </w:r>
      <w:r w:rsidR="00D07D71" w:rsidRPr="00BF5F92">
        <w:rPr>
          <w:lang w:val="fr-FR"/>
        </w:rPr>
        <w:t>t un délai d</w:t>
      </w:r>
      <w:r w:rsidR="00482989">
        <w:rPr>
          <w:lang w:val="fr-FR"/>
        </w:rPr>
        <w:t>’</w:t>
      </w:r>
      <w:r w:rsidR="00D07D71" w:rsidRPr="00BF5F92">
        <w:rPr>
          <w:lang w:val="fr-FR"/>
        </w:rPr>
        <w:t>un an pour notifier le refus provisoire d</w:t>
      </w:r>
      <w:r w:rsidR="00482989">
        <w:rPr>
          <w:lang w:val="fr-FR"/>
        </w:rPr>
        <w:t>’</w:t>
      </w:r>
      <w:r w:rsidR="00D07D71" w:rsidRPr="00BF5F92">
        <w:rPr>
          <w:lang w:val="fr-FR"/>
        </w:rPr>
        <w:t>une marque faisant l</w:t>
      </w:r>
      <w:r w:rsidR="00482989">
        <w:rPr>
          <w:lang w:val="fr-FR"/>
        </w:rPr>
        <w:t>’</w:t>
      </w:r>
      <w:r w:rsidR="00D07D71" w:rsidRPr="00BF5F92">
        <w:rPr>
          <w:lang w:val="fr-FR"/>
        </w:rPr>
        <w:t>objet d</w:t>
      </w:r>
      <w:r w:rsidR="00482989">
        <w:rPr>
          <w:lang w:val="fr-FR"/>
        </w:rPr>
        <w:t>’</w:t>
      </w:r>
      <w:r w:rsidR="00D07D71" w:rsidRPr="00BF5F92">
        <w:rPr>
          <w:lang w:val="fr-FR"/>
        </w:rPr>
        <w:t>un enregistrement international pour lequel la partie contractante du titulaire serait l</w:t>
      </w:r>
      <w:r w:rsidR="00482989">
        <w:rPr>
          <w:lang w:val="fr-FR"/>
        </w:rPr>
        <w:t>’</w:t>
      </w:r>
      <w:r w:rsidR="00D07D71" w:rsidRPr="00BF5F92">
        <w:rPr>
          <w:lang w:val="fr-FR"/>
        </w:rPr>
        <w:t>Albanie, qui est également liée par les deux</w:t>
      </w:r>
      <w:r w:rsidR="001D2295">
        <w:rPr>
          <w:lang w:val="fr-FR"/>
        </w:rPr>
        <w:t> </w:t>
      </w:r>
      <w:r w:rsidR="00D07D71" w:rsidRPr="00BF5F92">
        <w:rPr>
          <w:lang w:val="fr-FR"/>
        </w:rPr>
        <w:t>traités, mais un délai de 18</w:t>
      </w:r>
      <w:r w:rsidR="00F328A4" w:rsidRPr="00BF5F92">
        <w:rPr>
          <w:lang w:val="fr-FR"/>
        </w:rPr>
        <w:t> </w:t>
      </w:r>
      <w:r w:rsidR="00D07D71" w:rsidRPr="00BF5F92">
        <w:rPr>
          <w:lang w:val="fr-FR"/>
        </w:rPr>
        <w:t>mois si la partie contractante du titulaire était l</w:t>
      </w:r>
      <w:r w:rsidR="00482989">
        <w:rPr>
          <w:lang w:val="fr-FR"/>
        </w:rPr>
        <w:t>’</w:t>
      </w:r>
      <w:r w:rsidR="00D07D71" w:rsidRPr="00BF5F92">
        <w:rPr>
          <w:lang w:val="fr-FR"/>
        </w:rPr>
        <w:t>Afghanistan, qui est uniquement partie au Protocole.</w:t>
      </w:r>
    </w:p>
    <w:p w14:paraId="58BDEBA2" w14:textId="6A767F5D" w:rsidR="0043161B" w:rsidRPr="005F1888" w:rsidRDefault="004D0E13" w:rsidP="003750EB">
      <w:pPr>
        <w:pStyle w:val="ONUMFS"/>
        <w:keepNext/>
        <w:keepLines/>
        <w:rPr>
          <w:lang w:val="fr-FR"/>
        </w:rPr>
      </w:pPr>
      <w:r w:rsidRPr="005F1888">
        <w:rPr>
          <w:lang w:val="fr-FR"/>
        </w:rPr>
        <w:lastRenderedPageBreak/>
        <w:t>Les différents délais actuellement prévus pour notifier un refus provisoire, selon qu</w:t>
      </w:r>
      <w:r w:rsidR="00482989">
        <w:rPr>
          <w:lang w:val="fr-FR"/>
        </w:rPr>
        <w:t>’</w:t>
      </w:r>
      <w:r w:rsidRPr="005F1888">
        <w:rPr>
          <w:lang w:val="fr-FR"/>
        </w:rPr>
        <w:t>une partie contractante a fait ou non des déclarations au titre de l</w:t>
      </w:r>
      <w:r w:rsidR="00482989">
        <w:rPr>
          <w:lang w:val="fr-FR"/>
        </w:rPr>
        <w:t>’</w:t>
      </w:r>
      <w:r w:rsidRPr="005F1888">
        <w:rPr>
          <w:lang w:val="fr-FR"/>
        </w:rPr>
        <w:t>article</w:t>
      </w:r>
      <w:r w:rsidR="00F328A4" w:rsidRPr="005F1888">
        <w:rPr>
          <w:lang w:val="fr-FR"/>
        </w:rPr>
        <w:t> </w:t>
      </w:r>
      <w:r w:rsidRPr="005F1888">
        <w:rPr>
          <w:lang w:val="fr-FR"/>
        </w:rPr>
        <w:t>5.2), selon que le refus provisoire résulte ou non d</w:t>
      </w:r>
      <w:r w:rsidR="00482989">
        <w:rPr>
          <w:lang w:val="fr-FR"/>
        </w:rPr>
        <w:t>’</w:t>
      </w:r>
      <w:r w:rsidRPr="005F1888">
        <w:rPr>
          <w:lang w:val="fr-FR"/>
        </w:rPr>
        <w:t>une opposition et selon que l</w:t>
      </w:r>
      <w:r w:rsidR="00482989">
        <w:rPr>
          <w:lang w:val="fr-FR"/>
        </w:rPr>
        <w:t>’</w:t>
      </w:r>
      <w:r w:rsidRPr="005F1888">
        <w:rPr>
          <w:lang w:val="fr-FR"/>
        </w:rPr>
        <w:t>article</w:t>
      </w:r>
      <w:r w:rsidR="00F328A4" w:rsidRPr="005F1888">
        <w:rPr>
          <w:lang w:val="fr-FR"/>
        </w:rPr>
        <w:t> </w:t>
      </w:r>
      <w:r w:rsidRPr="00314CDF">
        <w:rPr>
          <w:lang w:val="fr-FR"/>
        </w:rPr>
        <w:t>9</w:t>
      </w:r>
      <w:r w:rsidRPr="00867EFE">
        <w:rPr>
          <w:i/>
          <w:lang w:val="fr-FR"/>
        </w:rPr>
        <w:t>sexies</w:t>
      </w:r>
      <w:r w:rsidRPr="005F1888">
        <w:rPr>
          <w:lang w:val="fr-FR"/>
        </w:rPr>
        <w:t xml:space="preserve"> s</w:t>
      </w:r>
      <w:r w:rsidR="00482989">
        <w:rPr>
          <w:lang w:val="fr-FR"/>
        </w:rPr>
        <w:t>’</w:t>
      </w:r>
      <w:r w:rsidRPr="005F1888">
        <w:rPr>
          <w:lang w:val="fr-FR"/>
        </w:rPr>
        <w:t>applique ou non, font qu</w:t>
      </w:r>
      <w:r w:rsidR="00482989">
        <w:rPr>
          <w:lang w:val="fr-FR"/>
        </w:rPr>
        <w:t>’</w:t>
      </w:r>
      <w:r w:rsidRPr="005F1888">
        <w:rPr>
          <w:lang w:val="fr-FR"/>
        </w:rPr>
        <w:t xml:space="preserve">il est difficile pour les utilisateurs du système de Madrid, </w:t>
      </w:r>
      <w:r w:rsidR="00482989">
        <w:rPr>
          <w:lang w:val="fr-FR"/>
        </w:rPr>
        <w:t>à savoir</w:t>
      </w:r>
      <w:r w:rsidR="005C2927" w:rsidRPr="005F1888">
        <w:rPr>
          <w:lang w:val="fr-FR"/>
        </w:rPr>
        <w:t xml:space="preserve"> les titulaires, les offices </w:t>
      </w:r>
      <w:r w:rsidRPr="005F1888">
        <w:rPr>
          <w:lang w:val="fr-FR"/>
        </w:rPr>
        <w:t>et les tiers, de déterminer si un refus provisoire peut encore être notifié.</w:t>
      </w:r>
    </w:p>
    <w:p w14:paraId="3DAA3001" w14:textId="52982F42" w:rsidR="002C2160" w:rsidRPr="00CA7293" w:rsidRDefault="00482989" w:rsidP="003A13C1">
      <w:pPr>
        <w:pStyle w:val="ONUMFS"/>
        <w:rPr>
          <w:lang w:val="fr-FR"/>
        </w:rPr>
      </w:pPr>
      <w:bookmarkStart w:id="6" w:name="_Ref8730832"/>
      <w:r w:rsidRPr="00CA7293">
        <w:rPr>
          <w:lang w:val="fr-FR"/>
        </w:rPr>
        <w:t>En</w:t>
      </w:r>
      <w:r>
        <w:rPr>
          <w:lang w:val="fr-FR"/>
        </w:rPr>
        <w:t> </w:t>
      </w:r>
      <w:r w:rsidRPr="00CA7293">
        <w:rPr>
          <w:lang w:val="fr-FR"/>
        </w:rPr>
        <w:t>2017</w:t>
      </w:r>
      <w:r w:rsidR="004D0E13" w:rsidRPr="00CA7293">
        <w:rPr>
          <w:lang w:val="fr-FR"/>
        </w:rPr>
        <w:t>, le Bureau international a reçu 110</w:t>
      </w:r>
      <w:r w:rsidR="003A13C1">
        <w:rPr>
          <w:lang w:val="fr-FR"/>
        </w:rPr>
        <w:t> </w:t>
      </w:r>
      <w:r w:rsidR="004D0E13" w:rsidRPr="00CA7293">
        <w:rPr>
          <w:lang w:val="fr-FR"/>
        </w:rPr>
        <w:t>668</w:t>
      </w:r>
      <w:r w:rsidR="00F328A4">
        <w:rPr>
          <w:lang w:val="fr-FR"/>
        </w:rPr>
        <w:t> </w:t>
      </w:r>
      <w:r w:rsidR="004D0E13" w:rsidRPr="00CA7293">
        <w:rPr>
          <w:lang w:val="fr-FR"/>
        </w:rPr>
        <w:t>notifications de refus provisoire</w:t>
      </w:r>
      <w:r>
        <w:rPr>
          <w:lang w:val="fr-FR"/>
        </w:rPr>
        <w:t> :</w:t>
      </w:r>
      <w:bookmarkEnd w:id="6"/>
    </w:p>
    <w:p w14:paraId="3AC6A49E" w14:textId="6C53B9F1" w:rsidR="002C2160" w:rsidRPr="00CA7293" w:rsidRDefault="003A13C1" w:rsidP="00F27757">
      <w:pPr>
        <w:pStyle w:val="ONUMFS"/>
        <w:numPr>
          <w:ilvl w:val="0"/>
          <w:numId w:val="22"/>
        </w:numPr>
        <w:ind w:left="567" w:firstLine="0"/>
        <w:rPr>
          <w:lang w:val="fr-FR"/>
        </w:rPr>
      </w:pPr>
      <w:r>
        <w:rPr>
          <w:lang w:val="fr-FR"/>
        </w:rPr>
        <w:t>101 </w:t>
      </w:r>
      <w:r w:rsidR="00522979" w:rsidRPr="00CA7293">
        <w:rPr>
          <w:lang w:val="fr-FR"/>
        </w:rPr>
        <w:t>593 (91,80%) de ces notifications ont été reçues dans un délai de 12</w:t>
      </w:r>
      <w:r w:rsidR="00F328A4">
        <w:rPr>
          <w:lang w:val="fr-FR"/>
        </w:rPr>
        <w:t> </w:t>
      </w:r>
      <w:r w:rsidR="00522979" w:rsidRPr="00CA7293">
        <w:rPr>
          <w:lang w:val="fr-FR"/>
        </w:rPr>
        <w:t xml:space="preserve">mois à compter de la date à laquelle commençait à courir le délai de refus (date de la notification par le Bureau international); </w:t>
      </w:r>
      <w:r w:rsidR="001D2295">
        <w:rPr>
          <w:lang w:val="fr-FR"/>
        </w:rPr>
        <w:t xml:space="preserve"> </w:t>
      </w:r>
      <w:r w:rsidR="00522979" w:rsidRPr="00CA7293">
        <w:rPr>
          <w:lang w:val="fr-FR"/>
        </w:rPr>
        <w:t>4963 (4,48%) entre 12 et 15</w:t>
      </w:r>
      <w:r w:rsidR="00F328A4">
        <w:rPr>
          <w:lang w:val="fr-FR"/>
        </w:rPr>
        <w:t> </w:t>
      </w:r>
      <w:r>
        <w:rPr>
          <w:lang w:val="fr-FR"/>
        </w:rPr>
        <w:t xml:space="preserve">mois; </w:t>
      </w:r>
      <w:r w:rsidR="001D2295">
        <w:rPr>
          <w:lang w:val="fr-FR"/>
        </w:rPr>
        <w:t xml:space="preserve"> </w:t>
      </w:r>
      <w:r>
        <w:rPr>
          <w:lang w:val="fr-FR"/>
        </w:rPr>
        <w:t>4</w:t>
      </w:r>
      <w:r w:rsidR="00522979" w:rsidRPr="00CA7293">
        <w:rPr>
          <w:lang w:val="fr-FR"/>
        </w:rPr>
        <w:t>067 (3,67%), entre 15 et 18</w:t>
      </w:r>
      <w:r w:rsidR="00F328A4">
        <w:rPr>
          <w:lang w:val="fr-FR"/>
        </w:rPr>
        <w:t> </w:t>
      </w:r>
      <w:r w:rsidR="00522979" w:rsidRPr="00CA7293">
        <w:rPr>
          <w:lang w:val="fr-FR"/>
        </w:rPr>
        <w:t>mois;</w:t>
      </w:r>
      <w:r w:rsidR="001D2295">
        <w:rPr>
          <w:lang w:val="fr-FR"/>
        </w:rPr>
        <w:t xml:space="preserve"> </w:t>
      </w:r>
      <w:r w:rsidR="00522979" w:rsidRPr="00CA7293">
        <w:rPr>
          <w:lang w:val="fr-FR"/>
        </w:rPr>
        <w:t xml:space="preserve"> et 45 (0,04%) au</w:t>
      </w:r>
      <w:r w:rsidR="00482989">
        <w:rPr>
          <w:lang w:val="fr-FR"/>
        </w:rPr>
        <w:t>-</w:t>
      </w:r>
      <w:r w:rsidR="00522979" w:rsidRPr="00CA7293">
        <w:rPr>
          <w:lang w:val="fr-FR"/>
        </w:rPr>
        <w:t>delà de 18</w:t>
      </w:r>
      <w:r w:rsidR="00F328A4">
        <w:rPr>
          <w:lang w:val="fr-FR"/>
        </w:rPr>
        <w:t> </w:t>
      </w:r>
      <w:r w:rsidR="00522979" w:rsidRPr="00CA7293">
        <w:rPr>
          <w:lang w:val="fr-FR"/>
        </w:rPr>
        <w:t>mois.</w:t>
      </w:r>
    </w:p>
    <w:p w14:paraId="0C41C6E8" w14:textId="2B6B8AA5" w:rsidR="002C2160" w:rsidRPr="00CA7293" w:rsidRDefault="00A1072F" w:rsidP="00F27757">
      <w:pPr>
        <w:pStyle w:val="ONUMFS"/>
        <w:numPr>
          <w:ilvl w:val="0"/>
          <w:numId w:val="22"/>
        </w:numPr>
        <w:ind w:left="567" w:firstLine="0"/>
        <w:rPr>
          <w:lang w:val="fr-FR"/>
        </w:rPr>
      </w:pPr>
      <w:r w:rsidRPr="00CA7293">
        <w:rPr>
          <w:lang w:val="fr-FR"/>
        </w:rPr>
        <w:t xml:space="preserve">le délai le plus court </w:t>
      </w:r>
      <w:r w:rsidR="009E5030" w:rsidRPr="00CA7293">
        <w:rPr>
          <w:lang w:val="fr-FR"/>
        </w:rPr>
        <w:t>observé pour la notification d</w:t>
      </w:r>
      <w:r w:rsidR="00482989">
        <w:rPr>
          <w:lang w:val="fr-FR"/>
        </w:rPr>
        <w:t>’</w:t>
      </w:r>
      <w:r w:rsidRPr="00CA7293">
        <w:rPr>
          <w:lang w:val="fr-FR"/>
        </w:rPr>
        <w:t>un refus provisoire d</w:t>
      </w:r>
      <w:r w:rsidR="00482989">
        <w:rPr>
          <w:lang w:val="fr-FR"/>
        </w:rPr>
        <w:t>’</w:t>
      </w:r>
      <w:r w:rsidRPr="00CA7293">
        <w:rPr>
          <w:lang w:val="fr-FR"/>
        </w:rPr>
        <w:t xml:space="preserve">office </w:t>
      </w:r>
      <w:r w:rsidR="009E5030" w:rsidRPr="00CA7293">
        <w:rPr>
          <w:lang w:val="fr-FR"/>
        </w:rPr>
        <w:t>était</w:t>
      </w:r>
      <w:r w:rsidRPr="00CA7293">
        <w:rPr>
          <w:lang w:val="fr-FR"/>
        </w:rPr>
        <w:t xml:space="preserve"> de</w:t>
      </w:r>
      <w:r w:rsidR="005C2927" w:rsidRPr="00CA7293">
        <w:rPr>
          <w:lang w:val="fr-FR"/>
        </w:rPr>
        <w:t xml:space="preserve"> </w:t>
      </w:r>
      <w:r w:rsidRPr="00CA7293">
        <w:rPr>
          <w:lang w:val="fr-FR"/>
        </w:rPr>
        <w:t>19</w:t>
      </w:r>
      <w:r w:rsidR="00F328A4">
        <w:rPr>
          <w:lang w:val="fr-FR"/>
        </w:rPr>
        <w:t> </w:t>
      </w:r>
      <w:r w:rsidRPr="00CA7293">
        <w:rPr>
          <w:lang w:val="fr-FR"/>
        </w:rPr>
        <w:t>jours civils et le délai le plus long, de 453</w:t>
      </w:r>
      <w:r w:rsidR="00F328A4">
        <w:rPr>
          <w:lang w:val="fr-FR"/>
        </w:rPr>
        <w:t> </w:t>
      </w:r>
      <w:r w:rsidRPr="00CA7293">
        <w:rPr>
          <w:lang w:val="fr-FR"/>
        </w:rPr>
        <w:t>jou</w:t>
      </w:r>
      <w:r w:rsidR="00867EFE" w:rsidRPr="00CA7293">
        <w:rPr>
          <w:lang w:val="fr-FR"/>
        </w:rPr>
        <w:t>rs</w:t>
      </w:r>
      <w:r w:rsidR="00867EFE">
        <w:rPr>
          <w:lang w:val="fr-FR"/>
        </w:rPr>
        <w:t>.  D</w:t>
      </w:r>
      <w:r w:rsidR="00867EFE" w:rsidRPr="00CA7293">
        <w:rPr>
          <w:lang w:val="fr-FR"/>
        </w:rPr>
        <w:t>a</w:t>
      </w:r>
      <w:r w:rsidRPr="00CA7293">
        <w:rPr>
          <w:lang w:val="fr-FR"/>
        </w:rPr>
        <w:t xml:space="preserve">ns le cas des refus provisoires fondés sur une opposition, les délais </w:t>
      </w:r>
      <w:r w:rsidR="00E44603" w:rsidRPr="00CA7293">
        <w:rPr>
          <w:lang w:val="fr-FR"/>
        </w:rPr>
        <w:t xml:space="preserve">de notification </w:t>
      </w:r>
      <w:r w:rsidRPr="00CA7293">
        <w:rPr>
          <w:lang w:val="fr-FR"/>
        </w:rPr>
        <w:t xml:space="preserve">correspondants </w:t>
      </w:r>
      <w:r w:rsidR="00E44603" w:rsidRPr="00CA7293">
        <w:rPr>
          <w:lang w:val="fr-FR"/>
        </w:rPr>
        <w:t>étaient</w:t>
      </w:r>
      <w:r w:rsidRPr="00CA7293">
        <w:rPr>
          <w:lang w:val="fr-FR"/>
        </w:rPr>
        <w:t xml:space="preserve"> respectivement de 76 et 447</w:t>
      </w:r>
      <w:r w:rsidR="00F328A4">
        <w:rPr>
          <w:lang w:val="fr-FR"/>
        </w:rPr>
        <w:t> </w:t>
      </w:r>
      <w:r w:rsidRPr="00CA7293">
        <w:rPr>
          <w:lang w:val="fr-FR"/>
        </w:rPr>
        <w:t>jours.</w:t>
      </w:r>
    </w:p>
    <w:p w14:paraId="3313A324" w14:textId="3C3C9C4D" w:rsidR="00E265A7" w:rsidRPr="00CA7293" w:rsidRDefault="00A1072F" w:rsidP="003A13C1">
      <w:pPr>
        <w:pStyle w:val="ONUMFS"/>
        <w:rPr>
          <w:lang w:val="fr-FR"/>
        </w:rPr>
      </w:pPr>
      <w:bookmarkStart w:id="7" w:name="_Ref8730840"/>
      <w:r w:rsidRPr="00CA7293">
        <w:rPr>
          <w:lang w:val="fr-FR"/>
        </w:rPr>
        <w:t>Le tableau ci</w:t>
      </w:r>
      <w:r w:rsidR="00482989">
        <w:rPr>
          <w:lang w:val="fr-FR"/>
        </w:rPr>
        <w:t>-</w:t>
      </w:r>
      <w:r w:rsidRPr="00CA7293">
        <w:rPr>
          <w:lang w:val="fr-FR"/>
        </w:rPr>
        <w:t>dessous indique le délai moyen, en nombre de</w:t>
      </w:r>
      <w:r w:rsidR="00542E15" w:rsidRPr="00CA7293">
        <w:rPr>
          <w:lang w:val="fr-FR"/>
        </w:rPr>
        <w:t xml:space="preserve"> jours civils, dans lequel les o</w:t>
      </w:r>
      <w:r w:rsidRPr="00CA7293">
        <w:rPr>
          <w:lang w:val="fr-FR"/>
        </w:rPr>
        <w:t xml:space="preserve">ffices des parties contractantes ont notifié leurs refus provisoires </w:t>
      </w:r>
      <w:r w:rsidR="00482989" w:rsidRPr="00CA7293">
        <w:rPr>
          <w:lang w:val="fr-FR"/>
        </w:rPr>
        <w:t>en</w:t>
      </w:r>
      <w:r w:rsidR="00482989">
        <w:rPr>
          <w:lang w:val="fr-FR"/>
        </w:rPr>
        <w:t> </w:t>
      </w:r>
      <w:r w:rsidR="00482989" w:rsidRPr="00CA7293">
        <w:rPr>
          <w:lang w:val="fr-FR"/>
        </w:rPr>
        <w:t>2017</w:t>
      </w:r>
      <w:r w:rsidR="00482989">
        <w:rPr>
          <w:lang w:val="fr-FR"/>
        </w:rPr>
        <w:t> :</w:t>
      </w:r>
      <w:bookmarkEnd w:id="7"/>
    </w:p>
    <w:tbl>
      <w:tblPr>
        <w:tblW w:w="0" w:type="auto"/>
        <w:jc w:val="center"/>
        <w:tblCellMar>
          <w:top w:w="57" w:type="dxa"/>
          <w:bottom w:w="57" w:type="dxa"/>
        </w:tblCellMar>
        <w:tblLook w:val="04A0" w:firstRow="1" w:lastRow="0" w:firstColumn="1" w:lastColumn="0" w:noHBand="0" w:noVBand="1"/>
      </w:tblPr>
      <w:tblGrid>
        <w:gridCol w:w="2948"/>
        <w:gridCol w:w="2474"/>
        <w:gridCol w:w="1689"/>
        <w:gridCol w:w="2235"/>
      </w:tblGrid>
      <w:tr w:rsidR="00451751" w:rsidRPr="00CA7293" w14:paraId="40B83E50" w14:textId="77777777" w:rsidTr="00E321C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666908" w14:textId="7805422C" w:rsidR="00E265A7" w:rsidRPr="00CA7293" w:rsidRDefault="00A1072F" w:rsidP="00314CDF">
            <w:pPr>
              <w:pStyle w:val="ONUME"/>
              <w:numPr>
                <w:ilvl w:val="0"/>
                <w:numId w:val="0"/>
              </w:numPr>
              <w:spacing w:after="0"/>
              <w:rPr>
                <w:b/>
                <w:lang w:val="fr-FR"/>
              </w:rPr>
            </w:pPr>
            <w:r w:rsidRPr="00CA7293">
              <w:rPr>
                <w:b/>
                <w:lang w:val="fr-FR"/>
              </w:rPr>
              <w:t>Partie contractante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5AD82049" w14:textId="2E6C2DE1" w:rsidR="00E265A7" w:rsidRPr="00CA7293" w:rsidRDefault="00A1072F" w:rsidP="00314CDF">
            <w:pPr>
              <w:pStyle w:val="ONUME"/>
              <w:numPr>
                <w:ilvl w:val="0"/>
                <w:numId w:val="0"/>
              </w:numPr>
              <w:spacing w:after="0"/>
              <w:rPr>
                <w:b/>
                <w:lang w:val="fr-FR"/>
              </w:rPr>
            </w:pPr>
            <w:r w:rsidRPr="00CA7293">
              <w:rPr>
                <w:b/>
                <w:lang w:val="fr-FR"/>
              </w:rPr>
              <w:t>Refus provisoire d</w:t>
            </w:r>
            <w:r w:rsidR="00482989">
              <w:rPr>
                <w:b/>
                <w:lang w:val="fr-FR"/>
              </w:rPr>
              <w:t>’</w:t>
            </w:r>
            <w:r w:rsidRPr="00CA7293">
              <w:rPr>
                <w:b/>
                <w:lang w:val="fr-FR"/>
              </w:rPr>
              <w:t>office</w:t>
            </w:r>
          </w:p>
        </w:tc>
        <w:tc>
          <w:tcPr>
            <w:tcW w:w="0" w:type="auto"/>
            <w:tcBorders>
              <w:top w:val="single" w:sz="4" w:space="0" w:color="auto"/>
              <w:left w:val="nil"/>
              <w:bottom w:val="single" w:sz="4" w:space="0" w:color="auto"/>
              <w:right w:val="single" w:sz="4" w:space="0" w:color="auto"/>
            </w:tcBorders>
            <w:shd w:val="clear" w:color="000000" w:fill="E7E6E6"/>
            <w:vAlign w:val="center"/>
            <w:hideMark/>
          </w:tcPr>
          <w:p w14:paraId="305B7C31" w14:textId="7BADFE02" w:rsidR="00E265A7" w:rsidRPr="00CA7293" w:rsidRDefault="00A1072F" w:rsidP="00314CDF">
            <w:pPr>
              <w:pStyle w:val="ONUME"/>
              <w:numPr>
                <w:ilvl w:val="0"/>
                <w:numId w:val="0"/>
              </w:numPr>
              <w:spacing w:after="0"/>
              <w:rPr>
                <w:b/>
                <w:lang w:val="fr-FR"/>
              </w:rPr>
            </w:pPr>
            <w:r w:rsidRPr="00CA7293">
              <w:rPr>
                <w:b/>
                <w:lang w:val="fr-FR"/>
              </w:rPr>
              <w:t>Refus provisoire fondé sur une opposition</w:t>
            </w:r>
          </w:p>
        </w:tc>
      </w:tr>
      <w:tr w:rsidR="00451751" w:rsidRPr="00CA7293" w14:paraId="39B8EFA7" w14:textId="77777777" w:rsidTr="00E321C5">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B6D15" w14:textId="444F48E2" w:rsidR="00E265A7" w:rsidRPr="00CA7293" w:rsidRDefault="00AB530F" w:rsidP="00314CDF">
            <w:pPr>
              <w:pStyle w:val="ONUME"/>
              <w:numPr>
                <w:ilvl w:val="0"/>
                <w:numId w:val="0"/>
              </w:numPr>
              <w:spacing w:after="0"/>
              <w:rPr>
                <w:lang w:val="fr-FR"/>
              </w:rPr>
            </w:pPr>
            <w:r w:rsidRPr="00CA7293">
              <w:rPr>
                <w:lang w:val="fr-FR"/>
              </w:rPr>
              <w:t>Pas de déclaration selon l</w:t>
            </w:r>
            <w:r w:rsidR="00482989">
              <w:rPr>
                <w:lang w:val="fr-FR"/>
              </w:rPr>
              <w:t>’</w:t>
            </w:r>
            <w:r w:rsidRPr="00CA7293">
              <w:rPr>
                <w:lang w:val="fr-FR"/>
              </w:rPr>
              <w:t>article</w:t>
            </w:r>
            <w:r w:rsidR="00F328A4">
              <w:rPr>
                <w:lang w:val="fr-FR"/>
              </w:rPr>
              <w:t> </w:t>
            </w:r>
            <w:r w:rsidRPr="00CA7293">
              <w:rPr>
                <w:lang w:val="fr-FR"/>
              </w:rPr>
              <w:t xml:space="preserve">5.2)b) </w:t>
            </w:r>
          </w:p>
        </w:tc>
        <w:tc>
          <w:tcPr>
            <w:tcW w:w="0" w:type="auto"/>
            <w:tcBorders>
              <w:top w:val="nil"/>
              <w:left w:val="nil"/>
              <w:bottom w:val="single" w:sz="4" w:space="0" w:color="auto"/>
              <w:right w:val="single" w:sz="4" w:space="0" w:color="auto"/>
            </w:tcBorders>
            <w:shd w:val="clear" w:color="auto" w:fill="auto"/>
            <w:noWrap/>
            <w:vAlign w:val="center"/>
            <w:hideMark/>
          </w:tcPr>
          <w:p w14:paraId="3DD4BFA8" w14:textId="469F4E16" w:rsidR="00E265A7" w:rsidRPr="00CA7293" w:rsidRDefault="00AB530F" w:rsidP="00314CDF">
            <w:pPr>
              <w:pStyle w:val="ONUME"/>
              <w:numPr>
                <w:ilvl w:val="0"/>
                <w:numId w:val="0"/>
              </w:numPr>
              <w:spacing w:after="0"/>
              <w:rPr>
                <w:lang w:val="fr-FR"/>
              </w:rPr>
            </w:pPr>
            <w:r w:rsidRPr="00CA7293">
              <w:rPr>
                <w:lang w:val="fr-FR"/>
              </w:rPr>
              <w:t>277</w:t>
            </w:r>
          </w:p>
        </w:tc>
        <w:tc>
          <w:tcPr>
            <w:tcW w:w="0" w:type="auto"/>
            <w:tcBorders>
              <w:top w:val="nil"/>
              <w:left w:val="nil"/>
              <w:bottom w:val="single" w:sz="4" w:space="0" w:color="auto"/>
              <w:right w:val="single" w:sz="4" w:space="0" w:color="auto"/>
            </w:tcBorders>
            <w:shd w:val="clear" w:color="auto" w:fill="auto"/>
            <w:noWrap/>
            <w:vAlign w:val="center"/>
            <w:hideMark/>
          </w:tcPr>
          <w:p w14:paraId="25C961C8" w14:textId="52A92051" w:rsidR="00E265A7" w:rsidRPr="00CA7293" w:rsidRDefault="00AB530F" w:rsidP="00314CDF">
            <w:pPr>
              <w:pStyle w:val="ONUME"/>
              <w:numPr>
                <w:ilvl w:val="0"/>
                <w:numId w:val="0"/>
              </w:numPr>
              <w:spacing w:after="0"/>
              <w:rPr>
                <w:lang w:val="fr-FR"/>
              </w:rPr>
            </w:pPr>
            <w:r w:rsidRPr="00CA7293">
              <w:rPr>
                <w:lang w:val="fr-FR"/>
              </w:rPr>
              <w:t>212</w:t>
            </w:r>
          </w:p>
        </w:tc>
      </w:tr>
      <w:tr w:rsidR="00451751" w:rsidRPr="00CA7293" w14:paraId="4A9D7E57" w14:textId="77777777" w:rsidTr="00E321C5">
        <w:trPr>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6CEA3C7" w14:textId="4B4DE2A6" w:rsidR="00E265A7" w:rsidRPr="00CA7293" w:rsidRDefault="0064238F" w:rsidP="00314CDF">
            <w:pPr>
              <w:pStyle w:val="ONUME"/>
              <w:numPr>
                <w:ilvl w:val="0"/>
                <w:numId w:val="0"/>
              </w:numPr>
              <w:spacing w:after="0"/>
              <w:rPr>
                <w:lang w:val="fr-FR"/>
              </w:rPr>
            </w:pPr>
            <w:r w:rsidRPr="00CA7293">
              <w:rPr>
                <w:lang w:val="fr-FR"/>
              </w:rPr>
              <w:t>Déclaration selon l</w:t>
            </w:r>
            <w:r w:rsidR="00482989">
              <w:rPr>
                <w:lang w:val="fr-FR"/>
              </w:rPr>
              <w:t>’</w:t>
            </w:r>
            <w:r w:rsidRPr="00CA7293">
              <w:rPr>
                <w:lang w:val="fr-FR"/>
              </w:rPr>
              <w:t>article</w:t>
            </w:r>
            <w:r w:rsidR="00F328A4">
              <w:rPr>
                <w:lang w:val="fr-FR"/>
              </w:rPr>
              <w:t> </w:t>
            </w:r>
            <w:r w:rsidRPr="00CA7293">
              <w:rPr>
                <w:lang w:val="fr-FR"/>
              </w:rPr>
              <w:t>5.2)b) et liée par le Protocole uniquement</w:t>
            </w:r>
          </w:p>
        </w:tc>
        <w:tc>
          <w:tcPr>
            <w:tcW w:w="0" w:type="auto"/>
            <w:tcBorders>
              <w:top w:val="nil"/>
              <w:left w:val="nil"/>
              <w:bottom w:val="single" w:sz="4" w:space="0" w:color="auto"/>
              <w:right w:val="single" w:sz="4" w:space="0" w:color="auto"/>
            </w:tcBorders>
            <w:shd w:val="clear" w:color="auto" w:fill="auto"/>
            <w:vAlign w:val="center"/>
            <w:hideMark/>
          </w:tcPr>
          <w:p w14:paraId="406DAF0F" w14:textId="4D44198E" w:rsidR="00E265A7" w:rsidRPr="00CA7293" w:rsidRDefault="0064238F" w:rsidP="00314CDF">
            <w:pPr>
              <w:pStyle w:val="ONUME"/>
              <w:numPr>
                <w:ilvl w:val="0"/>
                <w:numId w:val="0"/>
              </w:numPr>
              <w:spacing w:after="0"/>
              <w:rPr>
                <w:lang w:val="fr-FR"/>
              </w:rPr>
            </w:pPr>
            <w:r w:rsidRPr="00CA7293">
              <w:rPr>
                <w:lang w:val="fr-FR"/>
              </w:rPr>
              <w:t>Pas de déclaration selon l</w:t>
            </w:r>
            <w:r w:rsidR="00482989">
              <w:rPr>
                <w:lang w:val="fr-FR"/>
              </w:rPr>
              <w:t>’</w:t>
            </w:r>
            <w:r w:rsidRPr="00CA7293">
              <w:rPr>
                <w:lang w:val="fr-FR"/>
              </w:rPr>
              <w:t>article</w:t>
            </w:r>
            <w:r w:rsidR="00F328A4">
              <w:rPr>
                <w:lang w:val="fr-FR"/>
              </w:rPr>
              <w:t> </w:t>
            </w:r>
            <w:r w:rsidRPr="00CA7293">
              <w:rPr>
                <w:lang w:val="fr-FR"/>
              </w:rPr>
              <w:t xml:space="preserve">5.2)c)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AE19AE8" w14:textId="57201DB9" w:rsidR="00E265A7" w:rsidRPr="00CA7293" w:rsidRDefault="0064238F" w:rsidP="00314CDF">
            <w:pPr>
              <w:pStyle w:val="ONUME"/>
              <w:numPr>
                <w:ilvl w:val="0"/>
                <w:numId w:val="0"/>
              </w:numPr>
              <w:spacing w:after="0"/>
              <w:rPr>
                <w:lang w:val="fr-FR"/>
              </w:rPr>
            </w:pPr>
            <w:r w:rsidRPr="00CA7293">
              <w:rPr>
                <w:lang w:val="fr-FR"/>
              </w:rPr>
              <w:t>149</w:t>
            </w:r>
          </w:p>
        </w:tc>
        <w:tc>
          <w:tcPr>
            <w:tcW w:w="0" w:type="auto"/>
            <w:tcBorders>
              <w:top w:val="nil"/>
              <w:left w:val="nil"/>
              <w:bottom w:val="single" w:sz="4" w:space="0" w:color="auto"/>
              <w:right w:val="single" w:sz="4" w:space="0" w:color="auto"/>
            </w:tcBorders>
            <w:shd w:val="clear" w:color="auto" w:fill="auto"/>
            <w:noWrap/>
            <w:vAlign w:val="center"/>
            <w:hideMark/>
          </w:tcPr>
          <w:p w14:paraId="4C00828F" w14:textId="08C4F847" w:rsidR="00E265A7" w:rsidRPr="00CA7293" w:rsidRDefault="0064238F" w:rsidP="00314CDF">
            <w:pPr>
              <w:pStyle w:val="ONUME"/>
              <w:numPr>
                <w:ilvl w:val="0"/>
                <w:numId w:val="0"/>
              </w:numPr>
              <w:spacing w:after="0"/>
              <w:rPr>
                <w:lang w:val="fr-FR"/>
              </w:rPr>
            </w:pPr>
            <w:r w:rsidRPr="00CA7293">
              <w:rPr>
                <w:lang w:val="fr-FR"/>
              </w:rPr>
              <w:t>210</w:t>
            </w:r>
          </w:p>
        </w:tc>
      </w:tr>
      <w:tr w:rsidR="00451751" w:rsidRPr="00CA7293" w14:paraId="1B696F52" w14:textId="77777777" w:rsidTr="00E321C5">
        <w:trPr>
          <w:jc w:val="center"/>
        </w:trPr>
        <w:tc>
          <w:tcPr>
            <w:tcW w:w="0" w:type="auto"/>
            <w:vMerge/>
            <w:tcBorders>
              <w:top w:val="nil"/>
              <w:left w:val="single" w:sz="4" w:space="0" w:color="auto"/>
              <w:bottom w:val="single" w:sz="4" w:space="0" w:color="000000"/>
              <w:right w:val="single" w:sz="4" w:space="0" w:color="auto"/>
            </w:tcBorders>
            <w:vAlign w:val="center"/>
            <w:hideMark/>
          </w:tcPr>
          <w:p w14:paraId="1704BA02" w14:textId="77777777" w:rsidR="00E265A7" w:rsidRPr="00CA7293" w:rsidRDefault="00E265A7" w:rsidP="00314CDF">
            <w:pPr>
              <w:pStyle w:val="ONUME"/>
              <w:spacing w:after="0"/>
              <w:rPr>
                <w:lang w:val="fr-FR"/>
              </w:rPr>
            </w:pPr>
          </w:p>
        </w:tc>
        <w:tc>
          <w:tcPr>
            <w:tcW w:w="0" w:type="auto"/>
            <w:tcBorders>
              <w:top w:val="nil"/>
              <w:left w:val="nil"/>
              <w:bottom w:val="single" w:sz="4" w:space="0" w:color="auto"/>
              <w:right w:val="single" w:sz="4" w:space="0" w:color="auto"/>
            </w:tcBorders>
            <w:shd w:val="clear" w:color="auto" w:fill="auto"/>
            <w:vAlign w:val="center"/>
            <w:hideMark/>
          </w:tcPr>
          <w:p w14:paraId="2B608F82" w14:textId="21021201" w:rsidR="00E265A7" w:rsidRPr="00CA7293" w:rsidRDefault="0064238F" w:rsidP="00314CDF">
            <w:pPr>
              <w:pStyle w:val="ONUME"/>
              <w:numPr>
                <w:ilvl w:val="0"/>
                <w:numId w:val="0"/>
              </w:numPr>
              <w:spacing w:after="0"/>
              <w:rPr>
                <w:lang w:val="fr-FR"/>
              </w:rPr>
            </w:pPr>
            <w:r w:rsidRPr="00CA7293">
              <w:rPr>
                <w:lang w:val="fr-FR"/>
              </w:rPr>
              <w:t>Déclaration selon l</w:t>
            </w:r>
            <w:r w:rsidR="00482989">
              <w:rPr>
                <w:lang w:val="fr-FR"/>
              </w:rPr>
              <w:t>’</w:t>
            </w:r>
            <w:r w:rsidRPr="00CA7293">
              <w:rPr>
                <w:lang w:val="fr-FR"/>
              </w:rPr>
              <w:t>article</w:t>
            </w:r>
            <w:r w:rsidR="00F328A4">
              <w:rPr>
                <w:lang w:val="fr-FR"/>
              </w:rPr>
              <w:t> </w:t>
            </w:r>
            <w:r w:rsidRPr="00CA7293">
              <w:rPr>
                <w:lang w:val="fr-FR"/>
              </w:rPr>
              <w:t>5.2)c)</w:t>
            </w:r>
          </w:p>
        </w:tc>
        <w:tc>
          <w:tcPr>
            <w:tcW w:w="0" w:type="auto"/>
            <w:vMerge/>
            <w:tcBorders>
              <w:top w:val="nil"/>
              <w:left w:val="single" w:sz="4" w:space="0" w:color="auto"/>
              <w:bottom w:val="single" w:sz="4" w:space="0" w:color="000000"/>
              <w:right w:val="single" w:sz="4" w:space="0" w:color="auto"/>
            </w:tcBorders>
            <w:vAlign w:val="center"/>
            <w:hideMark/>
          </w:tcPr>
          <w:p w14:paraId="326E2B38" w14:textId="77777777" w:rsidR="00E265A7" w:rsidRPr="00CA7293" w:rsidRDefault="00E265A7" w:rsidP="00314CDF">
            <w:pPr>
              <w:pStyle w:val="ONUME"/>
              <w:spacing w:after="0"/>
              <w:rPr>
                <w:lang w:val="fr-FR"/>
              </w:rPr>
            </w:pPr>
          </w:p>
        </w:tc>
        <w:tc>
          <w:tcPr>
            <w:tcW w:w="0" w:type="auto"/>
            <w:tcBorders>
              <w:top w:val="nil"/>
              <w:left w:val="nil"/>
              <w:bottom w:val="single" w:sz="4" w:space="0" w:color="auto"/>
              <w:right w:val="single" w:sz="4" w:space="0" w:color="auto"/>
            </w:tcBorders>
            <w:shd w:val="clear" w:color="auto" w:fill="auto"/>
            <w:noWrap/>
            <w:vAlign w:val="center"/>
            <w:hideMark/>
          </w:tcPr>
          <w:p w14:paraId="477CD7A3" w14:textId="53CEAEE9" w:rsidR="00E265A7" w:rsidRPr="00CA7293" w:rsidRDefault="0064238F" w:rsidP="00314CDF">
            <w:pPr>
              <w:pStyle w:val="ONUME"/>
              <w:numPr>
                <w:ilvl w:val="0"/>
                <w:numId w:val="0"/>
              </w:numPr>
              <w:spacing w:after="0"/>
              <w:rPr>
                <w:lang w:val="fr-FR"/>
              </w:rPr>
            </w:pPr>
            <w:r w:rsidRPr="00CA7293">
              <w:rPr>
                <w:lang w:val="fr-FR"/>
              </w:rPr>
              <w:t>259</w:t>
            </w:r>
          </w:p>
        </w:tc>
      </w:tr>
      <w:tr w:rsidR="00451751" w:rsidRPr="00CA7293" w14:paraId="64264667" w14:textId="77777777" w:rsidTr="00E321C5">
        <w:trPr>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E04DDE" w14:textId="00FBD8B3" w:rsidR="00E265A7" w:rsidRPr="00CA7293" w:rsidRDefault="0064238F" w:rsidP="00314CDF">
            <w:pPr>
              <w:pStyle w:val="ONUME"/>
              <w:numPr>
                <w:ilvl w:val="0"/>
                <w:numId w:val="0"/>
              </w:numPr>
              <w:spacing w:after="0"/>
              <w:rPr>
                <w:lang w:val="fr-FR"/>
              </w:rPr>
            </w:pPr>
            <w:r w:rsidRPr="00CA7293">
              <w:rPr>
                <w:lang w:val="fr-FR"/>
              </w:rPr>
              <w:t>Déclaration selon l</w:t>
            </w:r>
            <w:r w:rsidR="00482989">
              <w:rPr>
                <w:lang w:val="fr-FR"/>
              </w:rPr>
              <w:t>’</w:t>
            </w:r>
            <w:r w:rsidRPr="00CA7293">
              <w:rPr>
                <w:lang w:val="fr-FR"/>
              </w:rPr>
              <w:t>article</w:t>
            </w:r>
            <w:r w:rsidR="00F328A4">
              <w:rPr>
                <w:lang w:val="fr-FR"/>
              </w:rPr>
              <w:t> </w:t>
            </w:r>
            <w:r w:rsidRPr="00CA7293">
              <w:rPr>
                <w:lang w:val="fr-FR"/>
              </w:rPr>
              <w:t>5.2)b) et liée par les deux</w:t>
            </w:r>
            <w:r w:rsidR="001D2295">
              <w:rPr>
                <w:lang w:val="fr-FR"/>
              </w:rPr>
              <w:t> </w:t>
            </w:r>
            <w:r w:rsidRPr="00CA7293">
              <w:rPr>
                <w:lang w:val="fr-FR"/>
              </w:rPr>
              <w:t>traités</w:t>
            </w:r>
          </w:p>
        </w:tc>
        <w:tc>
          <w:tcPr>
            <w:tcW w:w="0" w:type="auto"/>
            <w:tcBorders>
              <w:top w:val="nil"/>
              <w:left w:val="nil"/>
              <w:bottom w:val="single" w:sz="4" w:space="0" w:color="auto"/>
              <w:right w:val="single" w:sz="4" w:space="0" w:color="auto"/>
            </w:tcBorders>
            <w:shd w:val="clear" w:color="auto" w:fill="auto"/>
            <w:vAlign w:val="center"/>
            <w:hideMark/>
          </w:tcPr>
          <w:p w14:paraId="56181683" w14:textId="7E9B641F" w:rsidR="00E265A7" w:rsidRPr="00CA7293" w:rsidRDefault="0064238F" w:rsidP="00314CDF">
            <w:pPr>
              <w:pStyle w:val="ONUME"/>
              <w:numPr>
                <w:ilvl w:val="0"/>
                <w:numId w:val="0"/>
              </w:numPr>
              <w:spacing w:after="0"/>
              <w:rPr>
                <w:lang w:val="fr-FR"/>
              </w:rPr>
            </w:pPr>
            <w:r w:rsidRPr="00CA7293">
              <w:rPr>
                <w:lang w:val="fr-FR"/>
              </w:rPr>
              <w:t>Déclaration applicable</w:t>
            </w:r>
          </w:p>
        </w:tc>
        <w:tc>
          <w:tcPr>
            <w:tcW w:w="0" w:type="auto"/>
            <w:tcBorders>
              <w:top w:val="nil"/>
              <w:left w:val="nil"/>
              <w:bottom w:val="single" w:sz="4" w:space="0" w:color="auto"/>
              <w:right w:val="single" w:sz="4" w:space="0" w:color="auto"/>
            </w:tcBorders>
            <w:shd w:val="clear" w:color="auto" w:fill="auto"/>
            <w:noWrap/>
            <w:vAlign w:val="center"/>
            <w:hideMark/>
          </w:tcPr>
          <w:p w14:paraId="752489C3" w14:textId="23E60DA8" w:rsidR="00E265A7" w:rsidRPr="00CA7293" w:rsidRDefault="0064238F" w:rsidP="00314CDF">
            <w:pPr>
              <w:pStyle w:val="ONUME"/>
              <w:numPr>
                <w:ilvl w:val="0"/>
                <w:numId w:val="0"/>
              </w:numPr>
              <w:spacing w:after="0"/>
              <w:rPr>
                <w:lang w:val="fr-FR"/>
              </w:rPr>
            </w:pPr>
            <w:r w:rsidRPr="00CA7293">
              <w:rPr>
                <w:lang w:val="fr-FR"/>
              </w:rPr>
              <w:t>312</w:t>
            </w:r>
          </w:p>
        </w:tc>
        <w:tc>
          <w:tcPr>
            <w:tcW w:w="0" w:type="auto"/>
            <w:tcBorders>
              <w:top w:val="nil"/>
              <w:left w:val="nil"/>
              <w:bottom w:val="single" w:sz="4" w:space="0" w:color="auto"/>
              <w:right w:val="single" w:sz="4" w:space="0" w:color="auto"/>
            </w:tcBorders>
            <w:shd w:val="clear" w:color="auto" w:fill="auto"/>
            <w:noWrap/>
            <w:vAlign w:val="center"/>
            <w:hideMark/>
          </w:tcPr>
          <w:p w14:paraId="15C5E671" w14:textId="279CC679" w:rsidR="00E265A7" w:rsidRPr="00CA7293" w:rsidRDefault="0064238F" w:rsidP="00314CDF">
            <w:pPr>
              <w:pStyle w:val="ONUME"/>
              <w:numPr>
                <w:ilvl w:val="0"/>
                <w:numId w:val="0"/>
              </w:numPr>
              <w:spacing w:after="0"/>
              <w:rPr>
                <w:lang w:val="fr-FR"/>
              </w:rPr>
            </w:pPr>
            <w:r w:rsidRPr="00CA7293">
              <w:rPr>
                <w:lang w:val="fr-FR"/>
              </w:rPr>
              <w:t>197</w:t>
            </w:r>
          </w:p>
        </w:tc>
      </w:tr>
      <w:tr w:rsidR="00451751" w:rsidRPr="00CA7293" w14:paraId="77C056AA" w14:textId="77777777" w:rsidTr="00E321C5">
        <w:trPr>
          <w:jc w:val="center"/>
        </w:trPr>
        <w:tc>
          <w:tcPr>
            <w:tcW w:w="0" w:type="auto"/>
            <w:vMerge/>
            <w:tcBorders>
              <w:top w:val="nil"/>
              <w:left w:val="single" w:sz="4" w:space="0" w:color="auto"/>
              <w:bottom w:val="single" w:sz="4" w:space="0" w:color="auto"/>
              <w:right w:val="single" w:sz="4" w:space="0" w:color="auto"/>
            </w:tcBorders>
            <w:vAlign w:val="center"/>
            <w:hideMark/>
          </w:tcPr>
          <w:p w14:paraId="2B67D6F4" w14:textId="77777777" w:rsidR="00E265A7" w:rsidRPr="00CA7293" w:rsidRDefault="00E265A7" w:rsidP="00314CDF">
            <w:pPr>
              <w:pStyle w:val="ONUME"/>
              <w:spacing w:after="0"/>
              <w:rPr>
                <w:lang w:val="fr-FR"/>
              </w:rPr>
            </w:pPr>
          </w:p>
        </w:tc>
        <w:tc>
          <w:tcPr>
            <w:tcW w:w="0" w:type="auto"/>
            <w:tcBorders>
              <w:top w:val="nil"/>
              <w:left w:val="nil"/>
              <w:bottom w:val="single" w:sz="4" w:space="0" w:color="auto"/>
              <w:right w:val="single" w:sz="4" w:space="0" w:color="auto"/>
            </w:tcBorders>
            <w:shd w:val="clear" w:color="auto" w:fill="auto"/>
            <w:vAlign w:val="center"/>
            <w:hideMark/>
          </w:tcPr>
          <w:p w14:paraId="49AE19F1" w14:textId="19B4CCA7" w:rsidR="00226852" w:rsidRPr="00CA7293" w:rsidRDefault="0064238F" w:rsidP="00F27757">
            <w:pPr>
              <w:pStyle w:val="ONUME"/>
              <w:numPr>
                <w:ilvl w:val="0"/>
                <w:numId w:val="0"/>
              </w:numPr>
              <w:spacing w:after="0"/>
              <w:rPr>
                <w:lang w:val="fr-FR"/>
              </w:rPr>
            </w:pPr>
            <w:r w:rsidRPr="00CA7293">
              <w:rPr>
                <w:lang w:val="fr-FR"/>
              </w:rPr>
              <w:t>Déclaration non applicable (</w:t>
            </w:r>
            <w:r w:rsidR="00F27757">
              <w:rPr>
                <w:lang w:val="fr-FR"/>
              </w:rPr>
              <w:t>article </w:t>
            </w:r>
            <w:proofErr w:type="spellStart"/>
            <w:r w:rsidRPr="00CA7293">
              <w:rPr>
                <w:lang w:val="fr-FR"/>
              </w:rPr>
              <w:t>9</w:t>
            </w:r>
            <w:r w:rsidRPr="00CA7293">
              <w:rPr>
                <w:i/>
                <w:lang w:val="fr-FR"/>
              </w:rPr>
              <w:t>sexies</w:t>
            </w:r>
            <w:proofErr w:type="spellEnd"/>
            <w:r w:rsidR="00402A6C" w:rsidRPr="00CA7293">
              <w:rPr>
                <w:lang w:val="fr-FR"/>
              </w:rPr>
              <w:t>)</w:t>
            </w:r>
          </w:p>
        </w:tc>
        <w:tc>
          <w:tcPr>
            <w:tcW w:w="0" w:type="auto"/>
            <w:tcBorders>
              <w:top w:val="nil"/>
              <w:left w:val="nil"/>
              <w:bottom w:val="single" w:sz="4" w:space="0" w:color="auto"/>
              <w:right w:val="single" w:sz="4" w:space="0" w:color="auto"/>
            </w:tcBorders>
            <w:shd w:val="clear" w:color="auto" w:fill="auto"/>
            <w:noWrap/>
            <w:vAlign w:val="center"/>
            <w:hideMark/>
          </w:tcPr>
          <w:p w14:paraId="37262172" w14:textId="7F348EED" w:rsidR="00E265A7" w:rsidRPr="00CA7293" w:rsidRDefault="0064238F" w:rsidP="00314CDF">
            <w:pPr>
              <w:pStyle w:val="ONUME"/>
              <w:numPr>
                <w:ilvl w:val="0"/>
                <w:numId w:val="0"/>
              </w:numPr>
              <w:spacing w:after="0"/>
              <w:rPr>
                <w:lang w:val="fr-FR"/>
              </w:rPr>
            </w:pPr>
            <w:r w:rsidRPr="00CA7293">
              <w:rPr>
                <w:lang w:val="fr-FR"/>
              </w:rPr>
              <w:t>278</w:t>
            </w:r>
          </w:p>
        </w:tc>
        <w:tc>
          <w:tcPr>
            <w:tcW w:w="0" w:type="auto"/>
            <w:tcBorders>
              <w:top w:val="nil"/>
              <w:left w:val="nil"/>
              <w:bottom w:val="single" w:sz="4" w:space="0" w:color="auto"/>
              <w:right w:val="single" w:sz="4" w:space="0" w:color="auto"/>
            </w:tcBorders>
            <w:shd w:val="clear" w:color="auto" w:fill="auto"/>
            <w:noWrap/>
            <w:vAlign w:val="center"/>
            <w:hideMark/>
          </w:tcPr>
          <w:p w14:paraId="4CDDE5A9" w14:textId="2F3E0F27" w:rsidR="00E265A7" w:rsidRPr="00CA7293" w:rsidRDefault="0064238F" w:rsidP="00314CDF">
            <w:pPr>
              <w:pStyle w:val="ONUME"/>
              <w:numPr>
                <w:ilvl w:val="0"/>
                <w:numId w:val="0"/>
              </w:numPr>
              <w:spacing w:after="0"/>
              <w:rPr>
                <w:lang w:val="fr-FR"/>
              </w:rPr>
            </w:pPr>
            <w:r w:rsidRPr="00CA7293">
              <w:rPr>
                <w:lang w:val="fr-FR"/>
              </w:rPr>
              <w:t>210</w:t>
            </w:r>
          </w:p>
        </w:tc>
      </w:tr>
    </w:tbl>
    <w:p w14:paraId="6E857460" w14:textId="77777777" w:rsidR="002C2160" w:rsidRPr="00CA7293" w:rsidRDefault="002C2160" w:rsidP="00E265A7">
      <w:pPr>
        <w:rPr>
          <w:lang w:val="fr-FR"/>
        </w:rPr>
      </w:pPr>
    </w:p>
    <w:p w14:paraId="2271C0FD" w14:textId="77D9E4B3" w:rsidR="005F1888" w:rsidRDefault="0098200D" w:rsidP="009D1C69">
      <w:pPr>
        <w:pStyle w:val="ONUMFS"/>
        <w:rPr>
          <w:lang w:val="fr-FR"/>
        </w:rPr>
      </w:pPr>
      <w:bookmarkStart w:id="8" w:name="_Ref5780044"/>
      <w:r w:rsidRPr="0043161B">
        <w:rPr>
          <w:lang w:val="fr-FR"/>
        </w:rPr>
        <w:t>Il est rappelé</w:t>
      </w:r>
      <w:r w:rsidR="00CB05A5" w:rsidRPr="0043161B">
        <w:rPr>
          <w:lang w:val="fr-FR"/>
        </w:rPr>
        <w:t xml:space="preserve"> que, conformément à l</w:t>
      </w:r>
      <w:r w:rsidR="00482989">
        <w:rPr>
          <w:lang w:val="fr-FR"/>
        </w:rPr>
        <w:t>’</w:t>
      </w:r>
      <w:r w:rsidR="00CB05A5" w:rsidRPr="0043161B">
        <w:rPr>
          <w:lang w:val="fr-FR"/>
        </w:rPr>
        <w:t>alinéa</w:t>
      </w:r>
      <w:r w:rsidR="00F328A4" w:rsidRPr="0043161B">
        <w:rPr>
          <w:lang w:val="fr-FR"/>
        </w:rPr>
        <w:t> </w:t>
      </w:r>
      <w:r w:rsidR="00CB05A5" w:rsidRPr="0043161B">
        <w:rPr>
          <w:lang w:val="fr-FR"/>
        </w:rPr>
        <w:t>2)</w:t>
      </w:r>
      <w:r w:rsidRPr="0043161B">
        <w:rPr>
          <w:lang w:val="fr-FR"/>
        </w:rPr>
        <w:t>e) de l</w:t>
      </w:r>
      <w:r w:rsidR="00482989">
        <w:rPr>
          <w:lang w:val="fr-FR"/>
        </w:rPr>
        <w:t>’</w:t>
      </w:r>
      <w:r w:rsidRPr="0043161B">
        <w:rPr>
          <w:lang w:val="fr-FR"/>
        </w:rPr>
        <w:t>article</w:t>
      </w:r>
      <w:r w:rsidR="00F328A4" w:rsidRPr="0043161B">
        <w:rPr>
          <w:lang w:val="fr-FR"/>
        </w:rPr>
        <w:t> </w:t>
      </w:r>
      <w:r w:rsidRPr="0043161B">
        <w:rPr>
          <w:lang w:val="fr-FR"/>
        </w:rPr>
        <w:t>5 du Protocole, l</w:t>
      </w:r>
      <w:r w:rsidR="00482989">
        <w:rPr>
          <w:lang w:val="fr-FR"/>
        </w:rPr>
        <w:t>’</w:t>
      </w:r>
      <w:r w:rsidRPr="0043161B">
        <w:rPr>
          <w:lang w:val="fr-FR"/>
        </w:rPr>
        <w:t>Assemblée de l</w:t>
      </w:r>
      <w:r w:rsidR="00482989">
        <w:rPr>
          <w:lang w:val="fr-FR"/>
        </w:rPr>
        <w:t>’</w:t>
      </w:r>
      <w:r w:rsidRPr="0043161B">
        <w:rPr>
          <w:lang w:val="fr-FR"/>
        </w:rPr>
        <w:t>Union de Madrid (c</w:t>
      </w:r>
      <w:r w:rsidR="0097630B" w:rsidRPr="0043161B">
        <w:rPr>
          <w:lang w:val="fr-FR"/>
        </w:rPr>
        <w:t>i</w:t>
      </w:r>
      <w:r w:rsidR="00482989">
        <w:rPr>
          <w:lang w:val="fr-FR"/>
        </w:rPr>
        <w:t>-</w:t>
      </w:r>
      <w:r w:rsidR="0097630B" w:rsidRPr="0043161B">
        <w:rPr>
          <w:lang w:val="fr-FR"/>
        </w:rPr>
        <w:t xml:space="preserve">après dénommée </w:t>
      </w:r>
      <w:r w:rsidR="00CA7293" w:rsidRPr="0043161B">
        <w:rPr>
          <w:lang w:val="fr-FR"/>
        </w:rPr>
        <w:t>“</w:t>
      </w:r>
      <w:r w:rsidR="0097630B" w:rsidRPr="0043161B">
        <w:rPr>
          <w:lang w:val="fr-FR"/>
        </w:rPr>
        <w:t>l</w:t>
      </w:r>
      <w:r w:rsidR="00482989">
        <w:rPr>
          <w:lang w:val="fr-FR"/>
        </w:rPr>
        <w:t>’</w:t>
      </w:r>
      <w:r w:rsidR="0097630B" w:rsidRPr="0043161B">
        <w:rPr>
          <w:lang w:val="fr-FR"/>
        </w:rPr>
        <w:t>Assemblée</w:t>
      </w:r>
      <w:r w:rsidR="00CA7293" w:rsidRPr="0043161B">
        <w:rPr>
          <w:lang w:val="fr-FR"/>
        </w:rPr>
        <w:t>”</w:t>
      </w:r>
      <w:r w:rsidR="0097630B" w:rsidRPr="0043161B">
        <w:rPr>
          <w:lang w:val="fr-FR"/>
        </w:rPr>
        <w:t>)</w:t>
      </w:r>
      <w:r w:rsidRPr="0043161B">
        <w:rPr>
          <w:lang w:val="fr-FR"/>
        </w:rPr>
        <w:t xml:space="preserve"> peut à tout moment vérifier le fonctionnement du système établi par les alinéas</w:t>
      </w:r>
      <w:r w:rsidR="00F328A4" w:rsidRPr="0043161B">
        <w:rPr>
          <w:lang w:val="fr-FR"/>
        </w:rPr>
        <w:t> </w:t>
      </w:r>
      <w:r w:rsidRPr="0043161B">
        <w:rPr>
          <w:lang w:val="fr-FR"/>
        </w:rPr>
        <w:t>2)a) à 2)d) du même article et peut, à l</w:t>
      </w:r>
      <w:r w:rsidR="00482989">
        <w:rPr>
          <w:lang w:val="fr-FR"/>
        </w:rPr>
        <w:t>’</w:t>
      </w:r>
      <w:r w:rsidRPr="0043161B">
        <w:rPr>
          <w:lang w:val="fr-FR"/>
        </w:rPr>
        <w:t>unanimité, adopter des modifications à apporter à ces aliné</w:t>
      </w:r>
      <w:bookmarkEnd w:id="8"/>
      <w:r w:rsidR="00867EFE" w:rsidRPr="0043161B">
        <w:rPr>
          <w:lang w:val="fr-FR"/>
        </w:rPr>
        <w:t>as</w:t>
      </w:r>
      <w:r w:rsidR="00867EFE">
        <w:rPr>
          <w:lang w:val="fr-FR"/>
        </w:rPr>
        <w:t xml:space="preserve">.  </w:t>
      </w:r>
      <w:r w:rsidR="00867EFE" w:rsidRPr="0043161B">
        <w:rPr>
          <w:lang w:val="fr-FR"/>
        </w:rPr>
        <w:t>Le</w:t>
      </w:r>
      <w:r w:rsidR="004224A4" w:rsidRPr="0043161B">
        <w:rPr>
          <w:lang w:val="fr-FR"/>
        </w:rPr>
        <w:t xml:space="preserve"> caractère permanent de cette disposition est clairement indiqué dans une déclaration interprétative adoptée par l</w:t>
      </w:r>
      <w:r w:rsidR="00482989">
        <w:rPr>
          <w:lang w:val="fr-FR"/>
        </w:rPr>
        <w:t>’</w:t>
      </w:r>
      <w:r w:rsidR="004224A4" w:rsidRPr="0043161B">
        <w:rPr>
          <w:lang w:val="fr-FR"/>
        </w:rPr>
        <w:t>Assemblée à sa trente</w:t>
      </w:r>
      <w:r w:rsidR="00482989">
        <w:rPr>
          <w:lang w:val="fr-FR"/>
        </w:rPr>
        <w:t>-</w:t>
      </w:r>
      <w:r w:rsidR="004224A4" w:rsidRPr="0043161B">
        <w:rPr>
          <w:lang w:val="fr-FR"/>
        </w:rPr>
        <w:t>sept</w:t>
      </w:r>
      <w:r w:rsidR="00482989">
        <w:rPr>
          <w:lang w:val="fr-FR"/>
        </w:rPr>
        <w:t>ième session</w:t>
      </w:r>
      <w:r w:rsidR="004224A4" w:rsidRPr="0043161B">
        <w:rPr>
          <w:lang w:val="fr-FR"/>
        </w:rPr>
        <w:t xml:space="preserve"> </w:t>
      </w:r>
      <w:r w:rsidR="00482989" w:rsidRPr="0043161B">
        <w:rPr>
          <w:lang w:val="fr-FR"/>
        </w:rPr>
        <w:t>en</w:t>
      </w:r>
      <w:r w:rsidR="00482989">
        <w:rPr>
          <w:lang w:val="fr-FR"/>
        </w:rPr>
        <w:t> </w:t>
      </w:r>
      <w:r w:rsidR="00482989" w:rsidRPr="0043161B">
        <w:rPr>
          <w:lang w:val="fr-FR"/>
        </w:rPr>
        <w:t>2006</w:t>
      </w:r>
      <w:r w:rsidR="004224A4" w:rsidRPr="00CA7293">
        <w:rPr>
          <w:rStyle w:val="FootnoteReference"/>
          <w:lang w:val="fr-FR"/>
        </w:rPr>
        <w:footnoteReference w:id="7"/>
      </w:r>
      <w:r w:rsidR="004224A4" w:rsidRPr="0043161B">
        <w:rPr>
          <w:lang w:val="fr-FR"/>
        </w:rPr>
        <w:t>.</w:t>
      </w:r>
    </w:p>
    <w:p w14:paraId="0A6E599D" w14:textId="2E596916" w:rsidR="0043161B" w:rsidRPr="005F1888" w:rsidRDefault="00451751" w:rsidP="00010285">
      <w:pPr>
        <w:pStyle w:val="ONUMFS"/>
        <w:rPr>
          <w:lang w:val="fr-FR"/>
        </w:rPr>
      </w:pPr>
      <w:r w:rsidRPr="005F1888">
        <w:rPr>
          <w:lang w:val="fr-FR"/>
        </w:rPr>
        <w:t xml:space="preserve">Compte tenu de ce qui précède, le groupe de travail pourrait </w:t>
      </w:r>
      <w:r w:rsidR="00F23C86" w:rsidRPr="005F1888">
        <w:rPr>
          <w:lang w:val="fr-FR"/>
        </w:rPr>
        <w:t>se demander s</w:t>
      </w:r>
      <w:r w:rsidR="00482989">
        <w:rPr>
          <w:lang w:val="fr-FR"/>
        </w:rPr>
        <w:t>’</w:t>
      </w:r>
      <w:r w:rsidR="00F23C86" w:rsidRPr="005F1888">
        <w:rPr>
          <w:lang w:val="fr-FR"/>
        </w:rPr>
        <w:t>il y a lieu</w:t>
      </w:r>
      <w:r w:rsidRPr="005F1888">
        <w:rPr>
          <w:lang w:val="fr-FR"/>
        </w:rPr>
        <w:t xml:space="preserve"> de revoir le fonctionnement du système établi par l</w:t>
      </w:r>
      <w:r w:rsidR="00482989">
        <w:rPr>
          <w:lang w:val="fr-FR"/>
        </w:rPr>
        <w:t>’</w:t>
      </w:r>
      <w:r w:rsidRPr="005F1888">
        <w:rPr>
          <w:lang w:val="fr-FR"/>
        </w:rPr>
        <w:t>alinéa</w:t>
      </w:r>
      <w:r w:rsidR="00F328A4" w:rsidRPr="005F1888">
        <w:rPr>
          <w:lang w:val="fr-FR"/>
        </w:rPr>
        <w:t> </w:t>
      </w:r>
      <w:r w:rsidRPr="005F1888">
        <w:rPr>
          <w:lang w:val="fr-FR"/>
        </w:rPr>
        <w:t>2)b) de l</w:t>
      </w:r>
      <w:r w:rsidR="00482989">
        <w:rPr>
          <w:lang w:val="fr-FR"/>
        </w:rPr>
        <w:t>’</w:t>
      </w:r>
      <w:r w:rsidRPr="005F1888">
        <w:rPr>
          <w:lang w:val="fr-FR"/>
        </w:rPr>
        <w:t>article</w:t>
      </w:r>
      <w:r w:rsidR="00F328A4" w:rsidRPr="005F1888">
        <w:rPr>
          <w:lang w:val="fr-FR"/>
        </w:rPr>
        <w:t> </w:t>
      </w:r>
      <w:r w:rsidRPr="005F1888">
        <w:rPr>
          <w:lang w:val="fr-FR"/>
        </w:rPr>
        <w:t>5 du Protocole</w:t>
      </w:r>
      <w:r w:rsidR="00F23C86" w:rsidRPr="005F1888">
        <w:rPr>
          <w:lang w:val="fr-FR"/>
        </w:rPr>
        <w:t>,</w:t>
      </w:r>
      <w:r w:rsidRPr="005F1888">
        <w:rPr>
          <w:lang w:val="fr-FR"/>
        </w:rPr>
        <w:t xml:space="preserve"> en vue d</w:t>
      </w:r>
      <w:r w:rsidR="00482989">
        <w:rPr>
          <w:lang w:val="fr-FR"/>
        </w:rPr>
        <w:t>’</w:t>
      </w:r>
      <w:r w:rsidRPr="005F1888">
        <w:rPr>
          <w:lang w:val="fr-FR"/>
        </w:rPr>
        <w:t>harmoniser le délai prévu pour la notification par les offices d</w:t>
      </w:r>
      <w:r w:rsidR="00482989">
        <w:rPr>
          <w:lang w:val="fr-FR"/>
        </w:rPr>
        <w:t>’</w:t>
      </w:r>
      <w:r w:rsidRPr="005F1888">
        <w:rPr>
          <w:lang w:val="fr-FR"/>
        </w:rPr>
        <w:t>un refus provisoire d</w:t>
      </w:r>
      <w:r w:rsidR="00482989">
        <w:rPr>
          <w:lang w:val="fr-FR"/>
        </w:rPr>
        <w:t>’</w:t>
      </w:r>
      <w:r w:rsidRPr="005F1888">
        <w:rPr>
          <w:lang w:val="fr-FR"/>
        </w:rPr>
        <w:t xml:space="preserve">office et de le fixer à un </w:t>
      </w:r>
      <w:r w:rsidR="00867EFE" w:rsidRPr="005F1888">
        <w:rPr>
          <w:lang w:val="fr-FR"/>
        </w:rPr>
        <w:t>an</w:t>
      </w:r>
      <w:r w:rsidR="00867EFE">
        <w:rPr>
          <w:lang w:val="fr-FR"/>
        </w:rPr>
        <w:t xml:space="preserve">.  </w:t>
      </w:r>
      <w:r w:rsidR="00867EFE" w:rsidRPr="005F1888">
        <w:rPr>
          <w:lang w:val="fr-FR"/>
        </w:rPr>
        <w:t>D</w:t>
      </w:r>
      <w:r w:rsidR="00867EFE">
        <w:rPr>
          <w:lang w:val="fr-FR"/>
        </w:rPr>
        <w:t>’</w:t>
      </w:r>
      <w:r w:rsidR="00867EFE" w:rsidRPr="005F1888">
        <w:rPr>
          <w:lang w:val="fr-FR"/>
        </w:rPr>
        <w:t>a</w:t>
      </w:r>
      <w:r w:rsidRPr="005F1888">
        <w:rPr>
          <w:lang w:val="fr-FR"/>
        </w:rPr>
        <w:t>près les informations fournies aux paragraphes</w:t>
      </w:r>
      <w:r w:rsidR="00F328A4" w:rsidRPr="005F1888">
        <w:rPr>
          <w:lang w:val="fr-FR"/>
        </w:rPr>
        <w:t> </w:t>
      </w:r>
      <w:r w:rsidR="00E85830">
        <w:rPr>
          <w:lang w:val="fr-FR"/>
        </w:rPr>
        <w:fldChar w:fldCharType="begin"/>
      </w:r>
      <w:r w:rsidR="00E85830">
        <w:rPr>
          <w:lang w:val="fr-FR"/>
        </w:rPr>
        <w:instrText xml:space="preserve"> REF _Ref8730832 \r \h </w:instrText>
      </w:r>
      <w:r w:rsidR="00E85830">
        <w:rPr>
          <w:lang w:val="fr-FR"/>
        </w:rPr>
      </w:r>
      <w:r w:rsidR="00E85830">
        <w:rPr>
          <w:lang w:val="fr-FR"/>
        </w:rPr>
        <w:fldChar w:fldCharType="separate"/>
      </w:r>
      <w:r w:rsidR="00E85830">
        <w:rPr>
          <w:lang w:val="fr-FR"/>
        </w:rPr>
        <w:t>10</w:t>
      </w:r>
      <w:r w:rsidR="00E85830">
        <w:rPr>
          <w:lang w:val="fr-FR"/>
        </w:rPr>
        <w:fldChar w:fldCharType="end"/>
      </w:r>
      <w:r w:rsidR="00DE11E1">
        <w:rPr>
          <w:lang w:val="fr-FR"/>
        </w:rPr>
        <w:t xml:space="preserve"> et </w:t>
      </w:r>
      <w:r w:rsidR="00E85830">
        <w:rPr>
          <w:lang w:val="fr-FR"/>
        </w:rPr>
        <w:fldChar w:fldCharType="begin"/>
      </w:r>
      <w:r w:rsidR="00E85830">
        <w:rPr>
          <w:lang w:val="fr-FR"/>
        </w:rPr>
        <w:instrText xml:space="preserve"> REF _Ref8730840 \r \h </w:instrText>
      </w:r>
      <w:r w:rsidR="00E85830">
        <w:rPr>
          <w:lang w:val="fr-FR"/>
        </w:rPr>
      </w:r>
      <w:r w:rsidR="00E85830">
        <w:rPr>
          <w:lang w:val="fr-FR"/>
        </w:rPr>
        <w:fldChar w:fldCharType="separate"/>
      </w:r>
      <w:r w:rsidR="00E85830">
        <w:rPr>
          <w:lang w:val="fr-FR"/>
        </w:rPr>
        <w:t>11</w:t>
      </w:r>
      <w:r w:rsidR="00E85830">
        <w:rPr>
          <w:lang w:val="fr-FR"/>
        </w:rPr>
        <w:fldChar w:fldCharType="end"/>
      </w:r>
      <w:r w:rsidR="00DE11E1">
        <w:rPr>
          <w:lang w:val="fr-FR"/>
        </w:rPr>
        <w:t xml:space="preserve"> </w:t>
      </w:r>
      <w:r w:rsidR="000868C2" w:rsidRPr="005F1888">
        <w:rPr>
          <w:lang w:val="fr-FR"/>
        </w:rPr>
        <w:t>ci</w:t>
      </w:r>
      <w:r w:rsidR="00482989">
        <w:rPr>
          <w:lang w:val="fr-FR"/>
        </w:rPr>
        <w:t>-</w:t>
      </w:r>
      <w:r w:rsidRPr="005F1888">
        <w:rPr>
          <w:lang w:val="fr-FR"/>
        </w:rPr>
        <w:t xml:space="preserve">dessus, la </w:t>
      </w:r>
      <w:r w:rsidR="00001254">
        <w:rPr>
          <w:lang w:val="fr-FR"/>
        </w:rPr>
        <w:t xml:space="preserve">grande </w:t>
      </w:r>
      <w:r w:rsidRPr="005F1888">
        <w:rPr>
          <w:lang w:val="fr-FR"/>
        </w:rPr>
        <w:t xml:space="preserve">majorité des offices observent déjà ce délai et cette harmonisation </w:t>
      </w:r>
      <w:r w:rsidR="00ED2977" w:rsidRPr="005F1888">
        <w:rPr>
          <w:lang w:val="fr-FR"/>
        </w:rPr>
        <w:t>serait un avantage pour le</w:t>
      </w:r>
      <w:r w:rsidRPr="005F1888">
        <w:rPr>
          <w:lang w:val="fr-FR"/>
        </w:rPr>
        <w:t xml:space="preserve"> système de Madrid </w:t>
      </w:r>
      <w:r w:rsidR="00ED2977" w:rsidRPr="005F1888">
        <w:rPr>
          <w:lang w:val="fr-FR"/>
        </w:rPr>
        <w:t>en termes de simplicité et d</w:t>
      </w:r>
      <w:r w:rsidR="00482989">
        <w:rPr>
          <w:lang w:val="fr-FR"/>
        </w:rPr>
        <w:t>’</w:t>
      </w:r>
      <w:r w:rsidRPr="005F1888">
        <w:rPr>
          <w:lang w:val="fr-FR"/>
        </w:rPr>
        <w:t>efficacité.</w:t>
      </w:r>
    </w:p>
    <w:p w14:paraId="2E412594" w14:textId="7085DCD8" w:rsidR="002C2160" w:rsidRPr="00314CDF" w:rsidRDefault="00451751" w:rsidP="00314CDF">
      <w:pPr>
        <w:pStyle w:val="Heading1"/>
        <w:rPr>
          <w:lang w:val="fr-FR"/>
        </w:rPr>
      </w:pPr>
      <w:r w:rsidRPr="00314CDF">
        <w:rPr>
          <w:lang w:val="fr-FR"/>
        </w:rPr>
        <w:lastRenderedPageBreak/>
        <w:t>Délai de réponse à un refus provisoire et calcul de ce délai</w:t>
      </w:r>
    </w:p>
    <w:p w14:paraId="144B5E28" w14:textId="77777777" w:rsidR="002C2160" w:rsidRPr="00CA7293" w:rsidRDefault="002C2160" w:rsidP="00314CDF">
      <w:pPr>
        <w:keepNext/>
        <w:rPr>
          <w:lang w:val="fr-FR"/>
        </w:rPr>
      </w:pPr>
    </w:p>
    <w:p w14:paraId="70ADAA2B" w14:textId="66895E60" w:rsidR="002C2160" w:rsidRPr="00CA7293" w:rsidRDefault="00F71FC7" w:rsidP="003A13C1">
      <w:pPr>
        <w:pStyle w:val="ONUMFS"/>
        <w:rPr>
          <w:lang w:val="fr-FR"/>
        </w:rPr>
      </w:pPr>
      <w:bookmarkStart w:id="9" w:name="_Ref5781685"/>
      <w:r w:rsidRPr="00CA7293">
        <w:rPr>
          <w:lang w:val="fr-FR"/>
        </w:rPr>
        <w:t>Une notification de refus provisoire doit contenir ou indiquer les informations visées à la règle</w:t>
      </w:r>
      <w:r w:rsidR="00F328A4">
        <w:rPr>
          <w:lang w:val="fr-FR"/>
        </w:rPr>
        <w:t> </w:t>
      </w:r>
      <w:r w:rsidRPr="00CA7293">
        <w:rPr>
          <w:lang w:val="fr-FR"/>
        </w:rPr>
        <w:t>17 du règlement d</w:t>
      </w:r>
      <w:r w:rsidR="00482989">
        <w:rPr>
          <w:lang w:val="fr-FR"/>
        </w:rPr>
        <w:t>’</w:t>
      </w:r>
      <w:r w:rsidRPr="00CA7293">
        <w:rPr>
          <w:lang w:val="fr-FR"/>
        </w:rPr>
        <w:t>exécution commun à l</w:t>
      </w:r>
      <w:r w:rsidR="00482989">
        <w:rPr>
          <w:lang w:val="fr-FR"/>
        </w:rPr>
        <w:t>’</w:t>
      </w:r>
      <w:r w:rsidRPr="00CA7293">
        <w:rPr>
          <w:lang w:val="fr-FR"/>
        </w:rPr>
        <w:t>Arrangement de Madrid concernant l</w:t>
      </w:r>
      <w:r w:rsidR="00482989">
        <w:rPr>
          <w:lang w:val="fr-FR"/>
        </w:rPr>
        <w:t>’</w:t>
      </w:r>
      <w:r w:rsidRPr="00CA7293">
        <w:rPr>
          <w:lang w:val="fr-FR"/>
        </w:rPr>
        <w:t>enregistrement international des marques et au Protocole relatif à cet Arrangement (ci</w:t>
      </w:r>
      <w:r w:rsidR="00482989">
        <w:rPr>
          <w:lang w:val="fr-FR"/>
        </w:rPr>
        <w:t>-</w:t>
      </w:r>
      <w:r w:rsidRPr="00CA7293">
        <w:rPr>
          <w:lang w:val="fr-FR"/>
        </w:rPr>
        <w:t xml:space="preserve">après dénommé </w:t>
      </w:r>
      <w:r w:rsidR="00CA7293">
        <w:rPr>
          <w:lang w:val="fr-FR"/>
        </w:rPr>
        <w:t>“</w:t>
      </w:r>
      <w:r w:rsidRPr="00CA7293">
        <w:rPr>
          <w:lang w:val="fr-FR"/>
        </w:rPr>
        <w:t>règlement d</w:t>
      </w:r>
      <w:r w:rsidR="00482989">
        <w:rPr>
          <w:lang w:val="fr-FR"/>
        </w:rPr>
        <w:t>’</w:t>
      </w:r>
      <w:r w:rsidRPr="00CA7293">
        <w:rPr>
          <w:lang w:val="fr-FR"/>
        </w:rPr>
        <w:t>exécution commun</w:t>
      </w:r>
      <w:r w:rsidR="00CA7293">
        <w:rPr>
          <w:lang w:val="fr-FR"/>
        </w:rPr>
        <w:t>”</w:t>
      </w:r>
      <w:r w:rsidRPr="00CA7293">
        <w:rPr>
          <w:lang w:val="fr-FR"/>
        </w:rPr>
        <w:t>).</w:t>
      </w:r>
      <w:r w:rsidR="00E265A7" w:rsidRPr="00CA7293">
        <w:rPr>
          <w:lang w:val="fr-FR"/>
        </w:rPr>
        <w:t xml:space="preserve"> </w:t>
      </w:r>
      <w:r w:rsidR="00F328A4">
        <w:rPr>
          <w:lang w:val="fr-FR"/>
        </w:rPr>
        <w:t xml:space="preserve"> L</w:t>
      </w:r>
      <w:r w:rsidR="00B14AD8" w:rsidRPr="00CA7293">
        <w:rPr>
          <w:lang w:val="fr-FR"/>
        </w:rPr>
        <w:t>e règlement d</w:t>
      </w:r>
      <w:r w:rsidR="00482989">
        <w:rPr>
          <w:lang w:val="fr-FR"/>
        </w:rPr>
        <w:t>’</w:t>
      </w:r>
      <w:r w:rsidR="00B14AD8" w:rsidRPr="00CA7293">
        <w:rPr>
          <w:lang w:val="fr-FR"/>
        </w:rPr>
        <w:t>exécution commun ne prévoit pas de délai spécifique pour la réponse du titulaire à une notification de refus provisoire,</w:t>
      </w:r>
      <w:r w:rsidR="00E265A7" w:rsidRPr="00CA7293">
        <w:rPr>
          <w:lang w:val="fr-FR"/>
        </w:rPr>
        <w:t xml:space="preserve"> </w:t>
      </w:r>
      <w:bookmarkEnd w:id="9"/>
      <w:r w:rsidR="00B14AD8" w:rsidRPr="00CA7293">
        <w:rPr>
          <w:lang w:val="fr-FR"/>
        </w:rPr>
        <w:t xml:space="preserve">mais la </w:t>
      </w:r>
      <w:r w:rsidR="00482989" w:rsidRPr="00CA7293">
        <w:rPr>
          <w:lang w:val="fr-FR"/>
        </w:rPr>
        <w:t>règle</w:t>
      </w:r>
      <w:r w:rsidR="00482989">
        <w:rPr>
          <w:lang w:val="fr-FR"/>
        </w:rPr>
        <w:t> </w:t>
      </w:r>
      <w:r w:rsidR="00482989" w:rsidRPr="00CA7293">
        <w:rPr>
          <w:lang w:val="fr-FR"/>
        </w:rPr>
        <w:t>1</w:t>
      </w:r>
      <w:r w:rsidR="00B14AD8" w:rsidRPr="00CA7293">
        <w:rPr>
          <w:lang w:val="fr-FR"/>
        </w:rPr>
        <w:t xml:space="preserve">7.2)vii) précise toutefois que ce délai doit être </w:t>
      </w:r>
      <w:r w:rsidR="00CA7293">
        <w:rPr>
          <w:lang w:val="fr-FR"/>
        </w:rPr>
        <w:t>“</w:t>
      </w:r>
      <w:r w:rsidR="00B14AD8" w:rsidRPr="00CA7293">
        <w:rPr>
          <w:lang w:val="fr-FR"/>
        </w:rPr>
        <w:t>raisonnable eu égard aux circonstances</w:t>
      </w:r>
      <w:r w:rsidR="00CA7293">
        <w:rPr>
          <w:lang w:val="fr-FR"/>
        </w:rPr>
        <w:t>”</w:t>
      </w:r>
      <w:r w:rsidR="00B14AD8" w:rsidRPr="00CA7293">
        <w:rPr>
          <w:lang w:val="fr-FR"/>
        </w:rPr>
        <w:t>.</w:t>
      </w:r>
    </w:p>
    <w:p w14:paraId="548F290F" w14:textId="51D9BF6A" w:rsidR="002C2160" w:rsidRPr="00CA7293" w:rsidRDefault="00545490" w:rsidP="003A13C1">
      <w:pPr>
        <w:pStyle w:val="ONUMFS"/>
        <w:rPr>
          <w:lang w:val="fr-FR"/>
        </w:rPr>
      </w:pPr>
      <w:r w:rsidRPr="00CA7293">
        <w:rPr>
          <w:lang w:val="fr-FR"/>
        </w:rPr>
        <w:t>En l</w:t>
      </w:r>
      <w:r w:rsidR="00482989">
        <w:rPr>
          <w:lang w:val="fr-FR"/>
        </w:rPr>
        <w:t>’</w:t>
      </w:r>
      <w:r w:rsidRPr="00CA7293">
        <w:rPr>
          <w:lang w:val="fr-FR"/>
        </w:rPr>
        <w:t xml:space="preserve">absence de stipulation </w:t>
      </w:r>
      <w:r w:rsidR="008C74CA" w:rsidRPr="00CA7293">
        <w:rPr>
          <w:lang w:val="fr-FR"/>
        </w:rPr>
        <w:t>indicati</w:t>
      </w:r>
      <w:r w:rsidRPr="00CA7293">
        <w:rPr>
          <w:lang w:val="fr-FR"/>
        </w:rPr>
        <w:t xml:space="preserve">ve ou </w:t>
      </w:r>
      <w:r w:rsidR="008C74CA" w:rsidRPr="00CA7293">
        <w:rPr>
          <w:lang w:val="fr-FR"/>
        </w:rPr>
        <w:t>obligatoire en la matière, les parties contractantes sont libres d</w:t>
      </w:r>
      <w:r w:rsidR="00482989">
        <w:rPr>
          <w:lang w:val="fr-FR"/>
        </w:rPr>
        <w:t>’</w:t>
      </w:r>
      <w:r w:rsidR="008C74CA" w:rsidRPr="00CA7293">
        <w:rPr>
          <w:lang w:val="fr-FR"/>
        </w:rPr>
        <w:t>indiquer, conformément à leur législation et à leurs pratiques nationales</w:t>
      </w:r>
      <w:r w:rsidR="004245A7">
        <w:rPr>
          <w:lang w:val="fr-FR"/>
        </w:rPr>
        <w:t xml:space="preserve"> ou régionales</w:t>
      </w:r>
      <w:r w:rsidR="008C74CA" w:rsidRPr="00CA7293">
        <w:rPr>
          <w:lang w:val="fr-FR"/>
        </w:rPr>
        <w:t xml:space="preserve">, la durée dudit délai et la manière dont il doit être calculé, en précisant de préférence la date à laquelle </w:t>
      </w:r>
      <w:r w:rsidR="006E320B" w:rsidRPr="00CA7293">
        <w:rPr>
          <w:lang w:val="fr-FR"/>
        </w:rPr>
        <w:t>il</w:t>
      </w:r>
      <w:r w:rsidR="008C74CA" w:rsidRPr="00CA7293">
        <w:rPr>
          <w:lang w:val="fr-FR"/>
        </w:rPr>
        <w:t xml:space="preserve"> expire.</w:t>
      </w:r>
    </w:p>
    <w:p w14:paraId="5C6032C0" w14:textId="5CE6A807" w:rsidR="002C2160" w:rsidRPr="00CA7293" w:rsidRDefault="008C74CA" w:rsidP="00CE4C36">
      <w:pPr>
        <w:pStyle w:val="ONUMFS"/>
        <w:spacing w:after="0"/>
        <w:rPr>
          <w:lang w:val="fr-FR"/>
        </w:rPr>
      </w:pPr>
      <w:bookmarkStart w:id="10" w:name="_Ref5781699"/>
      <w:r w:rsidRPr="00CA7293">
        <w:rPr>
          <w:lang w:val="fr-FR"/>
        </w:rPr>
        <w:t>Les parties contractantes ont des interprétations différentes de ce qu</w:t>
      </w:r>
      <w:r w:rsidR="00482989">
        <w:rPr>
          <w:lang w:val="fr-FR"/>
        </w:rPr>
        <w:t>’</w:t>
      </w:r>
      <w:r w:rsidRPr="00CA7293">
        <w:rPr>
          <w:lang w:val="fr-FR"/>
        </w:rPr>
        <w:t xml:space="preserve">il faut entendre par </w:t>
      </w:r>
      <w:r w:rsidR="00CA7293">
        <w:rPr>
          <w:lang w:val="fr-FR"/>
        </w:rPr>
        <w:t>“</w:t>
      </w:r>
      <w:r w:rsidRPr="00CA7293">
        <w:rPr>
          <w:lang w:val="fr-FR"/>
        </w:rPr>
        <w:t>raisonnable eu égard aux circonstances</w:t>
      </w:r>
      <w:r w:rsidR="00CA7293">
        <w:rPr>
          <w:lang w:val="fr-FR"/>
        </w:rPr>
        <w:t>”</w:t>
      </w:r>
      <w:r w:rsidRPr="00CA7293">
        <w:rPr>
          <w:lang w:val="fr-FR"/>
        </w:rPr>
        <w:t>.</w:t>
      </w:r>
      <w:r w:rsidR="00E265A7" w:rsidRPr="00CA7293">
        <w:rPr>
          <w:lang w:val="fr-FR"/>
        </w:rPr>
        <w:t xml:space="preserve"> </w:t>
      </w:r>
      <w:r w:rsidR="00F328A4">
        <w:rPr>
          <w:lang w:val="fr-FR"/>
        </w:rPr>
        <w:t xml:space="preserve"> L</w:t>
      </w:r>
      <w:r w:rsidRPr="00CA7293">
        <w:rPr>
          <w:lang w:val="fr-FR"/>
        </w:rPr>
        <w:t>es conclusions de l</w:t>
      </w:r>
      <w:r w:rsidR="00482989">
        <w:rPr>
          <w:lang w:val="fr-FR"/>
        </w:rPr>
        <w:t>’</w:t>
      </w:r>
      <w:r w:rsidRPr="00CA7293">
        <w:rPr>
          <w:lang w:val="fr-FR"/>
        </w:rPr>
        <w:t xml:space="preserve">enquête </w:t>
      </w:r>
      <w:r w:rsidR="00482989" w:rsidRPr="00CA7293">
        <w:rPr>
          <w:lang w:val="fr-FR"/>
        </w:rPr>
        <w:t>de</w:t>
      </w:r>
      <w:r w:rsidR="00482989">
        <w:rPr>
          <w:lang w:val="fr-FR"/>
        </w:rPr>
        <w:t> </w:t>
      </w:r>
      <w:r w:rsidR="00482989" w:rsidRPr="00CA7293">
        <w:rPr>
          <w:lang w:val="fr-FR"/>
        </w:rPr>
        <w:t>2014</w:t>
      </w:r>
      <w:r w:rsidR="00B52318" w:rsidRPr="00CA7293">
        <w:rPr>
          <w:rStyle w:val="FootnoteReference"/>
          <w:lang w:val="fr-FR"/>
        </w:rPr>
        <w:footnoteReference w:id="8"/>
      </w:r>
      <w:r w:rsidR="00B52318" w:rsidRPr="00CA7293">
        <w:rPr>
          <w:lang w:val="fr-FR"/>
        </w:rPr>
        <w:t xml:space="preserve"> </w:t>
      </w:r>
      <w:r w:rsidRPr="00CA7293">
        <w:rPr>
          <w:lang w:val="fr-FR"/>
        </w:rPr>
        <w:t>susmentionnée montrent que les parties contractantes ont fixé des délais différents, allant de</w:t>
      </w:r>
      <w:r w:rsidR="00F27757">
        <w:rPr>
          <w:lang w:val="fr-FR"/>
        </w:rPr>
        <w:t> </w:t>
      </w:r>
      <w:r w:rsidRPr="00CA7293">
        <w:rPr>
          <w:lang w:val="fr-FR"/>
        </w:rPr>
        <w:t>15</w:t>
      </w:r>
      <w:r w:rsidR="00F27757">
        <w:rPr>
          <w:lang w:val="fr-FR"/>
        </w:rPr>
        <w:t> </w:t>
      </w:r>
      <w:r w:rsidRPr="00CA7293">
        <w:rPr>
          <w:lang w:val="fr-FR"/>
        </w:rPr>
        <w:t>jours à 15</w:t>
      </w:r>
      <w:r w:rsidR="00F328A4">
        <w:rPr>
          <w:lang w:val="fr-FR"/>
        </w:rPr>
        <w:t> </w:t>
      </w:r>
      <w:r w:rsidRPr="00CA7293">
        <w:rPr>
          <w:lang w:val="fr-FR"/>
        </w:rPr>
        <w:t>mois, pour la réponse à un refus provisoire, et qu</w:t>
      </w:r>
      <w:r w:rsidR="00482989">
        <w:rPr>
          <w:lang w:val="fr-FR"/>
        </w:rPr>
        <w:t>’</w:t>
      </w:r>
      <w:r w:rsidRPr="00CA7293">
        <w:rPr>
          <w:lang w:val="fr-FR"/>
        </w:rPr>
        <w:t>elles calculent en outre ces délais différemme</w:t>
      </w:r>
      <w:r w:rsidR="00867EFE" w:rsidRPr="00CA7293">
        <w:rPr>
          <w:lang w:val="fr-FR"/>
        </w:rPr>
        <w:t>nt</w:t>
      </w:r>
      <w:r w:rsidR="00867EFE">
        <w:rPr>
          <w:lang w:val="fr-FR"/>
        </w:rPr>
        <w:t>.  S</w:t>
      </w:r>
      <w:r w:rsidR="00867EFE" w:rsidRPr="00CA7293">
        <w:rPr>
          <w:lang w:val="fr-FR"/>
        </w:rPr>
        <w:t>e</w:t>
      </w:r>
      <w:r w:rsidR="001A369A" w:rsidRPr="00CA7293">
        <w:rPr>
          <w:lang w:val="fr-FR"/>
        </w:rPr>
        <w:t>lon la manière dont la partie contractante concernée calcule le délai, le temps dont dispose effectivement le titulaire pour répondre à une notification de refus provisoire peut varier considérableme</w:t>
      </w:r>
      <w:bookmarkEnd w:id="10"/>
      <w:r w:rsidR="00867EFE" w:rsidRPr="00CA7293">
        <w:rPr>
          <w:lang w:val="fr-FR"/>
        </w:rPr>
        <w:t>nt</w:t>
      </w:r>
      <w:r w:rsidR="00867EFE">
        <w:rPr>
          <w:lang w:val="fr-FR"/>
        </w:rPr>
        <w:t>.  L</w:t>
      </w:r>
      <w:r w:rsidR="00867EFE" w:rsidRPr="00CA7293">
        <w:rPr>
          <w:lang w:val="fr-FR"/>
        </w:rPr>
        <w:t>a</w:t>
      </w:r>
      <w:r w:rsidR="001A369A" w:rsidRPr="00CA7293">
        <w:rPr>
          <w:lang w:val="fr-FR"/>
        </w:rPr>
        <w:t xml:space="preserve"> plupart des offices utilisent l</w:t>
      </w:r>
      <w:r w:rsidR="00482989">
        <w:rPr>
          <w:lang w:val="fr-FR"/>
        </w:rPr>
        <w:t>’</w:t>
      </w:r>
      <w:r w:rsidR="001A369A" w:rsidRPr="00CA7293">
        <w:rPr>
          <w:lang w:val="fr-FR"/>
        </w:rPr>
        <w:t>un des trois</w:t>
      </w:r>
      <w:r w:rsidR="001D2295">
        <w:rPr>
          <w:lang w:val="fr-FR"/>
        </w:rPr>
        <w:t> </w:t>
      </w:r>
      <w:r w:rsidR="001A369A" w:rsidRPr="00CA7293">
        <w:rPr>
          <w:lang w:val="fr-FR"/>
        </w:rPr>
        <w:t>modes de calcul suivants</w:t>
      </w:r>
      <w:r w:rsidR="00482989">
        <w:rPr>
          <w:lang w:val="fr-FR"/>
        </w:rPr>
        <w:t> :</w:t>
      </w:r>
    </w:p>
    <w:p w14:paraId="00AF5EA5" w14:textId="636EFCF1" w:rsidR="002C2160" w:rsidRDefault="003A13C1" w:rsidP="00E321C5">
      <w:pPr>
        <w:pStyle w:val="Heading4"/>
        <w:spacing w:after="0"/>
      </w:pPr>
      <w:r w:rsidRPr="00314CDF">
        <w:t>i)</w:t>
      </w:r>
      <w:r w:rsidR="006576C0" w:rsidRPr="00314CDF">
        <w:tab/>
      </w:r>
      <w:r w:rsidR="001A369A" w:rsidRPr="00314CDF">
        <w:t>la date à laquelle le délai commence à courir est la date à laquelle l</w:t>
      </w:r>
      <w:r w:rsidR="00482989">
        <w:t>’</w:t>
      </w:r>
      <w:r w:rsidR="001A369A" w:rsidRPr="00314CDF">
        <w:t xml:space="preserve">office émet le refus provisoire ou envoie la notification au Bureau </w:t>
      </w:r>
      <w:r w:rsidR="00806B1F" w:rsidRPr="00314CDF">
        <w:t>i</w:t>
      </w:r>
      <w:r w:rsidR="001A369A" w:rsidRPr="00314CDF">
        <w:t>nternational</w:t>
      </w:r>
    </w:p>
    <w:p w14:paraId="0B934814" w14:textId="77777777" w:rsidR="00314CDF" w:rsidRPr="00314CDF" w:rsidRDefault="00314CDF" w:rsidP="00314CDF">
      <w:pPr>
        <w:rPr>
          <w:lang w:val="fr-FR"/>
        </w:rPr>
      </w:pPr>
    </w:p>
    <w:p w14:paraId="2964C845" w14:textId="4C19C7F4" w:rsidR="002C2160" w:rsidRPr="00CA7293" w:rsidRDefault="004C3B93" w:rsidP="00CE4C36">
      <w:pPr>
        <w:pStyle w:val="ONUMFS"/>
        <w:numPr>
          <w:ilvl w:val="0"/>
          <w:numId w:val="0"/>
        </w:numPr>
        <w:spacing w:after="0"/>
        <w:ind w:left="567"/>
        <w:rPr>
          <w:lang w:val="fr-FR"/>
        </w:rPr>
      </w:pPr>
      <w:r w:rsidRPr="00CA7293">
        <w:rPr>
          <w:lang w:val="fr-FR"/>
        </w:rPr>
        <w:t>Lorsque le début du délai est déterminé par la date à laquelle l</w:t>
      </w:r>
      <w:r w:rsidR="00482989">
        <w:rPr>
          <w:lang w:val="fr-FR"/>
        </w:rPr>
        <w:t>’</w:t>
      </w:r>
      <w:r w:rsidRPr="00CA7293">
        <w:rPr>
          <w:lang w:val="fr-FR"/>
        </w:rPr>
        <w:t xml:space="preserve">office émet le refus ou envoie la notification au Bureau </w:t>
      </w:r>
      <w:r w:rsidR="00CA7293">
        <w:rPr>
          <w:lang w:val="fr-FR"/>
        </w:rPr>
        <w:t>i</w:t>
      </w:r>
      <w:r w:rsidRPr="00CA7293">
        <w:rPr>
          <w:lang w:val="fr-FR"/>
        </w:rPr>
        <w:t>nternational, il n</w:t>
      </w:r>
      <w:r w:rsidR="00482989">
        <w:rPr>
          <w:lang w:val="fr-FR"/>
        </w:rPr>
        <w:t>’</w:t>
      </w:r>
      <w:r w:rsidRPr="00CA7293">
        <w:rPr>
          <w:lang w:val="fr-FR"/>
        </w:rPr>
        <w:t xml:space="preserve">est pas difficile, en principe, de calculer la date à laquelle le délai expire, dès lors que </w:t>
      </w:r>
      <w:r w:rsidR="00484425" w:rsidRPr="00CA7293">
        <w:rPr>
          <w:lang w:val="fr-FR"/>
        </w:rPr>
        <w:t>la</w:t>
      </w:r>
      <w:r w:rsidRPr="00CA7293">
        <w:rPr>
          <w:lang w:val="fr-FR"/>
        </w:rPr>
        <w:t xml:space="preserve"> date </w:t>
      </w:r>
      <w:r w:rsidR="00DB2E31">
        <w:rPr>
          <w:lang w:val="fr-FR"/>
        </w:rPr>
        <w:t xml:space="preserve">d’émission </w:t>
      </w:r>
      <w:r w:rsidR="00484425" w:rsidRPr="00CA7293">
        <w:rPr>
          <w:lang w:val="fr-FR"/>
        </w:rPr>
        <w:t xml:space="preserve">du refus ou </w:t>
      </w:r>
      <w:r w:rsidR="00DB2E31">
        <w:rPr>
          <w:lang w:val="fr-FR"/>
        </w:rPr>
        <w:t xml:space="preserve">d’envoi </w:t>
      </w:r>
      <w:r w:rsidR="00484425" w:rsidRPr="00CA7293">
        <w:rPr>
          <w:lang w:val="fr-FR"/>
        </w:rPr>
        <w:t xml:space="preserve">de la notification </w:t>
      </w:r>
      <w:r w:rsidRPr="00CA7293">
        <w:rPr>
          <w:lang w:val="fr-FR"/>
        </w:rPr>
        <w:t>est clairement indiquée dans la communication.</w:t>
      </w:r>
    </w:p>
    <w:p w14:paraId="02CA365D" w14:textId="440A6DE3" w:rsidR="002C2160" w:rsidRDefault="004C3B93" w:rsidP="00E321C5">
      <w:pPr>
        <w:pStyle w:val="Heading4"/>
        <w:spacing w:after="0"/>
      </w:pPr>
      <w:r w:rsidRPr="00CA7293">
        <w:t>ii)</w:t>
      </w:r>
      <w:r w:rsidR="006576C0" w:rsidRPr="00CA7293">
        <w:tab/>
      </w:r>
      <w:r w:rsidRPr="00CA7293">
        <w:t>la date à laquelle le délai commence à courir e</w:t>
      </w:r>
      <w:r w:rsidR="00806B1F" w:rsidRPr="00CA7293">
        <w:t>st la date à laquelle le Bureau i</w:t>
      </w:r>
      <w:r w:rsidRPr="00CA7293">
        <w:t>nternational transmet la notification au titulaire</w:t>
      </w:r>
    </w:p>
    <w:p w14:paraId="5F267FD8" w14:textId="77777777" w:rsidR="00314CDF" w:rsidRPr="00314CDF" w:rsidRDefault="00314CDF" w:rsidP="00314CDF">
      <w:pPr>
        <w:rPr>
          <w:lang w:val="fr-FR"/>
        </w:rPr>
      </w:pPr>
    </w:p>
    <w:p w14:paraId="4D3905F2" w14:textId="2286F340" w:rsidR="00482989" w:rsidRDefault="004C3B93" w:rsidP="00CE4C36">
      <w:pPr>
        <w:pStyle w:val="ONUMFS"/>
        <w:numPr>
          <w:ilvl w:val="0"/>
          <w:numId w:val="0"/>
        </w:numPr>
        <w:spacing w:after="0"/>
        <w:ind w:left="567"/>
        <w:rPr>
          <w:lang w:val="fr-FR"/>
        </w:rPr>
      </w:pPr>
      <w:r w:rsidRPr="00CA7293">
        <w:rPr>
          <w:lang w:val="fr-FR"/>
        </w:rPr>
        <w:t xml:space="preserve">Lorsque le début du délai est la date à </w:t>
      </w:r>
      <w:r w:rsidR="003E02E7" w:rsidRPr="00CA7293">
        <w:rPr>
          <w:lang w:val="fr-FR"/>
        </w:rPr>
        <w:t>laquelle le Bureau i</w:t>
      </w:r>
      <w:r w:rsidRPr="00CA7293">
        <w:rPr>
          <w:lang w:val="fr-FR"/>
        </w:rPr>
        <w:t xml:space="preserve">nternational transmet la notification au titulaire, il est assez simple de connaître </w:t>
      </w:r>
      <w:r w:rsidR="00806B1F" w:rsidRPr="00CA7293">
        <w:rPr>
          <w:lang w:val="fr-FR"/>
        </w:rPr>
        <w:t>cette date parce que le Bureau i</w:t>
      </w:r>
      <w:r w:rsidRPr="00CA7293">
        <w:rPr>
          <w:lang w:val="fr-FR"/>
        </w:rPr>
        <w:t>nternational l</w:t>
      </w:r>
      <w:r w:rsidR="00482989">
        <w:rPr>
          <w:lang w:val="fr-FR"/>
        </w:rPr>
        <w:t>’</w:t>
      </w:r>
      <w:r w:rsidRPr="00CA7293">
        <w:rPr>
          <w:lang w:val="fr-FR"/>
        </w:rPr>
        <w:t>indique clairement dans la communication transmise avec la notification.</w:t>
      </w:r>
    </w:p>
    <w:p w14:paraId="16419F2B" w14:textId="4167FBF0" w:rsidR="002C2160" w:rsidRDefault="004C3B93" w:rsidP="00E321C5">
      <w:pPr>
        <w:pStyle w:val="Heading4"/>
        <w:spacing w:after="0"/>
      </w:pPr>
      <w:r w:rsidRPr="00CA7293">
        <w:t>iii)</w:t>
      </w:r>
      <w:r w:rsidR="006576C0" w:rsidRPr="00CA7293">
        <w:tab/>
      </w:r>
      <w:r w:rsidRPr="00CA7293">
        <w:t>la date à laquelle le délai commence à courir est la date à laquelle le titulaire reçoit la notification du Bureau international</w:t>
      </w:r>
    </w:p>
    <w:p w14:paraId="799AF1E5" w14:textId="77777777" w:rsidR="00314CDF" w:rsidRPr="00314CDF" w:rsidRDefault="00314CDF" w:rsidP="00314CDF">
      <w:pPr>
        <w:rPr>
          <w:lang w:val="fr-FR"/>
        </w:rPr>
      </w:pPr>
    </w:p>
    <w:p w14:paraId="66A58F51" w14:textId="747ECFFF" w:rsidR="00482989" w:rsidRDefault="006518C6" w:rsidP="00314CDF">
      <w:pPr>
        <w:pStyle w:val="ONUMFS"/>
        <w:numPr>
          <w:ilvl w:val="0"/>
          <w:numId w:val="0"/>
        </w:numPr>
        <w:ind w:left="567"/>
        <w:rPr>
          <w:lang w:val="fr-FR"/>
        </w:rPr>
      </w:pPr>
      <w:r w:rsidRPr="00CA7293">
        <w:rPr>
          <w:lang w:val="fr-FR"/>
        </w:rPr>
        <w:t>Étant donné que la date à laquelle le titulaire reçoit la notification n</w:t>
      </w:r>
      <w:r w:rsidR="00482989">
        <w:rPr>
          <w:lang w:val="fr-FR"/>
        </w:rPr>
        <w:t>’</w:t>
      </w:r>
      <w:r w:rsidRPr="00CA7293">
        <w:rPr>
          <w:lang w:val="fr-FR"/>
        </w:rPr>
        <w:t>est pas inscrite au registre international, il peut y avoir un doute quant à la date à laquelle le délai a commencé à courir et quant au respect par le titulaire du délai de répon</w:t>
      </w:r>
      <w:r w:rsidR="00867EFE" w:rsidRPr="00CA7293">
        <w:rPr>
          <w:lang w:val="fr-FR"/>
        </w:rPr>
        <w:t>se</w:t>
      </w:r>
      <w:r w:rsidR="00867EFE">
        <w:rPr>
          <w:lang w:val="fr-FR"/>
        </w:rPr>
        <w:t>.  L</w:t>
      </w:r>
      <w:r w:rsidR="00867EFE" w:rsidRPr="00CA7293">
        <w:rPr>
          <w:lang w:val="fr-FR"/>
        </w:rPr>
        <w:t>e</w:t>
      </w:r>
      <w:r w:rsidRPr="00CA7293">
        <w:rPr>
          <w:lang w:val="fr-FR"/>
        </w:rPr>
        <w:t>s offices des parties contractantes qui ont opté pour ce calcul peuvent exiger une preuve de la date de réception qui peut être source d</w:t>
      </w:r>
      <w:r w:rsidR="00482989">
        <w:rPr>
          <w:lang w:val="fr-FR"/>
        </w:rPr>
        <w:t>’</w:t>
      </w:r>
      <w:r w:rsidRPr="00CA7293">
        <w:rPr>
          <w:lang w:val="fr-FR"/>
        </w:rPr>
        <w:t>incertitude lorsque, par exemple, le cachet de la poste est illisible ou absent.</w:t>
      </w:r>
    </w:p>
    <w:p w14:paraId="2F03B2F3" w14:textId="31540685" w:rsidR="00482989" w:rsidRDefault="00C22310" w:rsidP="00E321C5">
      <w:pPr>
        <w:pStyle w:val="ONUMFS"/>
        <w:keepNext/>
        <w:keepLines/>
        <w:spacing w:after="0"/>
        <w:rPr>
          <w:lang w:val="fr-FR"/>
        </w:rPr>
      </w:pPr>
      <w:r w:rsidRPr="005F1888">
        <w:rPr>
          <w:lang w:val="fr-FR"/>
        </w:rPr>
        <w:lastRenderedPageBreak/>
        <w:t>Compte tenu des informations figurant aux paragraphes</w:t>
      </w:r>
      <w:r w:rsidR="00F328A4" w:rsidRPr="005F1888">
        <w:rPr>
          <w:lang w:val="fr-FR"/>
        </w:rPr>
        <w:t> </w:t>
      </w:r>
      <w:r w:rsidRPr="005F1888">
        <w:rPr>
          <w:lang w:val="fr-FR"/>
        </w:rPr>
        <w:fldChar w:fldCharType="begin"/>
      </w:r>
      <w:r w:rsidRPr="005F1888">
        <w:rPr>
          <w:lang w:val="fr-FR"/>
        </w:rPr>
        <w:instrText xml:space="preserve"> REF _Ref5781685 \r \h  \* MERGEFORMAT </w:instrText>
      </w:r>
      <w:r w:rsidRPr="005F1888">
        <w:rPr>
          <w:lang w:val="fr-FR"/>
        </w:rPr>
      </w:r>
      <w:r w:rsidRPr="005F1888">
        <w:rPr>
          <w:lang w:val="fr-FR"/>
        </w:rPr>
        <w:fldChar w:fldCharType="separate"/>
      </w:r>
      <w:r w:rsidR="00C4792F">
        <w:rPr>
          <w:lang w:val="fr-FR"/>
        </w:rPr>
        <w:t>14</w:t>
      </w:r>
      <w:r w:rsidRPr="005F1888">
        <w:rPr>
          <w:lang w:val="fr-FR"/>
        </w:rPr>
        <w:fldChar w:fldCharType="end"/>
      </w:r>
      <w:r w:rsidR="0059386B" w:rsidRPr="005F1888">
        <w:rPr>
          <w:lang w:val="fr-FR"/>
        </w:rPr>
        <w:t xml:space="preserve"> </w:t>
      </w:r>
      <w:r w:rsidRPr="005F1888">
        <w:rPr>
          <w:lang w:val="fr-FR"/>
        </w:rPr>
        <w:t xml:space="preserve">à </w:t>
      </w:r>
      <w:r w:rsidRPr="005F1888">
        <w:rPr>
          <w:lang w:val="fr-FR"/>
        </w:rPr>
        <w:fldChar w:fldCharType="begin"/>
      </w:r>
      <w:r w:rsidRPr="005F1888">
        <w:rPr>
          <w:lang w:val="fr-FR"/>
        </w:rPr>
        <w:instrText xml:space="preserve"> REF _Ref5781699 \r \h  \* MERGEFORMAT </w:instrText>
      </w:r>
      <w:r w:rsidRPr="005F1888">
        <w:rPr>
          <w:lang w:val="fr-FR"/>
        </w:rPr>
      </w:r>
      <w:r w:rsidRPr="005F1888">
        <w:rPr>
          <w:lang w:val="fr-FR"/>
        </w:rPr>
        <w:fldChar w:fldCharType="separate"/>
      </w:r>
      <w:r w:rsidR="00C4792F">
        <w:rPr>
          <w:lang w:val="fr-FR"/>
        </w:rPr>
        <w:t>16</w:t>
      </w:r>
      <w:r w:rsidRPr="005F1888">
        <w:rPr>
          <w:lang w:val="fr-FR"/>
        </w:rPr>
        <w:fldChar w:fldCharType="end"/>
      </w:r>
      <w:r w:rsidRPr="005F1888">
        <w:rPr>
          <w:lang w:val="fr-FR"/>
        </w:rPr>
        <w:t xml:space="preserve">, le groupe de travail pourrait </w:t>
      </w:r>
      <w:r w:rsidR="00322F16" w:rsidRPr="005F1888">
        <w:rPr>
          <w:lang w:val="fr-FR"/>
        </w:rPr>
        <w:t>se demander</w:t>
      </w:r>
      <w:r w:rsidRPr="005F1888">
        <w:rPr>
          <w:lang w:val="fr-FR"/>
        </w:rPr>
        <w:t xml:space="preserve"> s</w:t>
      </w:r>
      <w:r w:rsidR="00482989">
        <w:rPr>
          <w:lang w:val="fr-FR"/>
        </w:rPr>
        <w:t>’</w:t>
      </w:r>
      <w:r w:rsidRPr="005F1888">
        <w:rPr>
          <w:lang w:val="fr-FR"/>
        </w:rPr>
        <w:t xml:space="preserve">il y a lieu de modifier le cadre juridique du système de Madrid </w:t>
      </w:r>
      <w:r w:rsidR="00EC694F">
        <w:rPr>
          <w:lang w:val="fr-FR"/>
        </w:rPr>
        <w:t>de manière à prévoir</w:t>
      </w:r>
      <w:r w:rsidRPr="005F1888">
        <w:rPr>
          <w:lang w:val="fr-FR"/>
        </w:rPr>
        <w:t xml:space="preserve"> un délai minimum pour répondre à une notification de refus provisoire ainsi </w:t>
      </w:r>
      <w:r w:rsidR="00EC694F">
        <w:rPr>
          <w:lang w:val="fr-FR"/>
        </w:rPr>
        <w:t>qu’</w:t>
      </w:r>
      <w:r w:rsidRPr="005F1888">
        <w:rPr>
          <w:lang w:val="fr-FR"/>
        </w:rPr>
        <w:t>un mode de calcul harmonisé de ce délai.</w:t>
      </w:r>
    </w:p>
    <w:p w14:paraId="6EA94309" w14:textId="78780278" w:rsidR="002C2160" w:rsidRPr="00CA7293" w:rsidRDefault="00C22310" w:rsidP="00C22310">
      <w:pPr>
        <w:pStyle w:val="Heading1"/>
        <w:rPr>
          <w:lang w:val="fr-FR"/>
        </w:rPr>
      </w:pPr>
      <w:r w:rsidRPr="00CA7293">
        <w:rPr>
          <w:lang w:val="fr-FR"/>
        </w:rPr>
        <w:t>Difficultés pratiques et incertitude juridique éventuelle pour les titulaires</w:t>
      </w:r>
    </w:p>
    <w:p w14:paraId="6704A269" w14:textId="77777777" w:rsidR="002C2160" w:rsidRPr="00CA7293" w:rsidRDefault="00C22310" w:rsidP="00C22310">
      <w:pPr>
        <w:pStyle w:val="Heading2"/>
        <w:rPr>
          <w:lang w:val="fr-FR"/>
        </w:rPr>
      </w:pPr>
      <w:r w:rsidRPr="00CA7293">
        <w:rPr>
          <w:lang w:val="fr-FR"/>
        </w:rPr>
        <w:t>Les différents délais et leurs modes de calcul</w:t>
      </w:r>
    </w:p>
    <w:p w14:paraId="37D773BB" w14:textId="77777777" w:rsidR="002C2160" w:rsidRPr="00CA7293" w:rsidRDefault="002C2160" w:rsidP="000F455D">
      <w:pPr>
        <w:rPr>
          <w:lang w:val="fr-FR"/>
        </w:rPr>
      </w:pPr>
    </w:p>
    <w:p w14:paraId="3E6D3444" w14:textId="48BF7AC6" w:rsidR="002C2160" w:rsidRPr="00CA7293" w:rsidRDefault="00C22310" w:rsidP="003A13C1">
      <w:pPr>
        <w:pStyle w:val="ONUMFS"/>
        <w:rPr>
          <w:lang w:val="fr-FR"/>
        </w:rPr>
      </w:pPr>
      <w:r w:rsidRPr="00CA7293">
        <w:rPr>
          <w:lang w:val="fr-FR"/>
        </w:rPr>
        <w:t>Le Bureau international transmet aux titulaires une copie de toutes les notifications de refus provisoire qu</w:t>
      </w:r>
      <w:r w:rsidR="00482989">
        <w:rPr>
          <w:lang w:val="fr-FR"/>
        </w:rPr>
        <w:t>’</w:t>
      </w:r>
      <w:r w:rsidRPr="00CA7293">
        <w:rPr>
          <w:lang w:val="fr-FR"/>
        </w:rPr>
        <w:t>il reço</w:t>
      </w:r>
      <w:r w:rsidR="00867EFE" w:rsidRPr="00CA7293">
        <w:rPr>
          <w:lang w:val="fr-FR"/>
        </w:rPr>
        <w:t>it</w:t>
      </w:r>
      <w:r w:rsidR="00867EFE">
        <w:rPr>
          <w:lang w:val="fr-FR"/>
        </w:rPr>
        <w:t>.  C</w:t>
      </w:r>
      <w:r w:rsidR="00867EFE" w:rsidRPr="00CA7293">
        <w:rPr>
          <w:lang w:val="fr-FR"/>
        </w:rPr>
        <w:t>e</w:t>
      </w:r>
      <w:r w:rsidR="00D85CE2" w:rsidRPr="00CA7293">
        <w:rPr>
          <w:lang w:val="fr-FR"/>
        </w:rPr>
        <w:t>tte copie est accompagnée d</w:t>
      </w:r>
      <w:r w:rsidR="00482989">
        <w:rPr>
          <w:lang w:val="fr-FR"/>
        </w:rPr>
        <w:t>’</w:t>
      </w:r>
      <w:r w:rsidR="00D85CE2" w:rsidRPr="00CA7293">
        <w:rPr>
          <w:lang w:val="fr-FR"/>
        </w:rPr>
        <w:t>une communication type dans la langue de travail choisie par le titulaire, indiquant la date à laquelle</w:t>
      </w:r>
      <w:r w:rsidR="00482989">
        <w:rPr>
          <w:lang w:val="fr-FR"/>
        </w:rPr>
        <w:t> :</w:t>
      </w:r>
    </w:p>
    <w:p w14:paraId="4E2F2FE2" w14:textId="66DDF700" w:rsidR="002C2160" w:rsidRPr="00CA7293" w:rsidRDefault="00D85CE2" w:rsidP="00CE4C36">
      <w:pPr>
        <w:pStyle w:val="ONUMFS"/>
        <w:numPr>
          <w:ilvl w:val="0"/>
          <w:numId w:val="23"/>
        </w:numPr>
        <w:ind w:left="567"/>
        <w:rPr>
          <w:lang w:val="fr-FR"/>
        </w:rPr>
      </w:pPr>
      <w:r w:rsidRPr="00CA7293">
        <w:rPr>
          <w:lang w:val="fr-FR"/>
        </w:rPr>
        <w:t>l</w:t>
      </w:r>
      <w:r w:rsidR="00482989">
        <w:rPr>
          <w:lang w:val="fr-FR"/>
        </w:rPr>
        <w:t>’</w:t>
      </w:r>
      <w:r w:rsidRPr="00CA7293">
        <w:rPr>
          <w:lang w:val="fr-FR"/>
        </w:rPr>
        <w:t>office a envoyé la notification, lorsque cette date est indiquée dans la notification ou lorsque celle</w:t>
      </w:r>
      <w:r w:rsidR="00482989">
        <w:rPr>
          <w:lang w:val="fr-FR"/>
        </w:rPr>
        <w:t>-</w:t>
      </w:r>
      <w:r w:rsidRPr="00CA7293">
        <w:rPr>
          <w:lang w:val="fr-FR"/>
        </w:rPr>
        <w:t>ci a été envoyée par voie électronique;</w:t>
      </w:r>
    </w:p>
    <w:p w14:paraId="32D61F73" w14:textId="53AB0F8D" w:rsidR="002C2160" w:rsidRPr="00CA7293" w:rsidRDefault="0092512A" w:rsidP="00CE4C36">
      <w:pPr>
        <w:pStyle w:val="ONUMFS"/>
        <w:numPr>
          <w:ilvl w:val="0"/>
          <w:numId w:val="23"/>
        </w:numPr>
        <w:ind w:left="567"/>
        <w:rPr>
          <w:lang w:val="fr-FR"/>
        </w:rPr>
      </w:pPr>
      <w:r w:rsidRPr="00CA7293">
        <w:rPr>
          <w:lang w:val="fr-FR"/>
        </w:rPr>
        <w:t>le Bureau international a reçu la notification, ce qui devrait coïncider avec la date de l</w:t>
      </w:r>
      <w:r w:rsidR="00482989">
        <w:rPr>
          <w:lang w:val="fr-FR"/>
        </w:rPr>
        <w:t>’</w:t>
      </w:r>
      <w:r w:rsidRPr="00CA7293">
        <w:rPr>
          <w:lang w:val="fr-FR"/>
        </w:rPr>
        <w:t>envoi lorsque celui</w:t>
      </w:r>
      <w:r w:rsidR="00482989">
        <w:rPr>
          <w:lang w:val="fr-FR"/>
        </w:rPr>
        <w:t>-</w:t>
      </w:r>
      <w:r w:rsidRPr="00CA7293">
        <w:rPr>
          <w:lang w:val="fr-FR"/>
        </w:rPr>
        <w:t>ci a été effectué par voie électronique;</w:t>
      </w:r>
      <w:r w:rsidR="00810A8F">
        <w:rPr>
          <w:lang w:val="fr-FR"/>
        </w:rPr>
        <w:t xml:space="preserve"> </w:t>
      </w:r>
      <w:r w:rsidR="00E85830">
        <w:rPr>
          <w:lang w:val="fr-FR"/>
        </w:rPr>
        <w:t xml:space="preserve"> </w:t>
      </w:r>
      <w:r w:rsidR="00810A8F">
        <w:rPr>
          <w:lang w:val="fr-FR"/>
        </w:rPr>
        <w:t>et,</w:t>
      </w:r>
    </w:p>
    <w:p w14:paraId="0B121B02" w14:textId="7D4FB886" w:rsidR="002C2160" w:rsidRPr="00CA7293" w:rsidRDefault="00B50940" w:rsidP="00CE4C36">
      <w:pPr>
        <w:pStyle w:val="ONUMFS"/>
        <w:numPr>
          <w:ilvl w:val="0"/>
          <w:numId w:val="23"/>
        </w:numPr>
        <w:ind w:left="567"/>
        <w:rPr>
          <w:lang w:val="fr-FR"/>
        </w:rPr>
      </w:pPr>
      <w:r w:rsidRPr="00CA7293">
        <w:rPr>
          <w:lang w:val="fr-FR"/>
        </w:rPr>
        <w:t xml:space="preserve">le </w:t>
      </w:r>
      <w:r w:rsidR="0092512A" w:rsidRPr="00CA7293">
        <w:rPr>
          <w:lang w:val="fr-FR"/>
        </w:rPr>
        <w:t>Bureau international a transmis la notification au titulaire.</w:t>
      </w:r>
    </w:p>
    <w:p w14:paraId="3DB90E12" w14:textId="1F02A78B" w:rsidR="00482989" w:rsidRDefault="00296F6A" w:rsidP="00CE4C36">
      <w:pPr>
        <w:pStyle w:val="ONUMFS"/>
        <w:spacing w:after="0"/>
        <w:rPr>
          <w:lang w:val="fr-FR"/>
        </w:rPr>
      </w:pPr>
      <w:r w:rsidRPr="00CA7293">
        <w:rPr>
          <w:lang w:val="fr-FR"/>
        </w:rPr>
        <w:t>L</w:t>
      </w:r>
      <w:r w:rsidR="00482989">
        <w:rPr>
          <w:lang w:val="fr-FR"/>
        </w:rPr>
        <w:t>’</w:t>
      </w:r>
      <w:r w:rsidRPr="00CA7293">
        <w:rPr>
          <w:lang w:val="fr-FR"/>
        </w:rPr>
        <w:t>exemple ci</w:t>
      </w:r>
      <w:r w:rsidR="00482989">
        <w:rPr>
          <w:lang w:val="fr-FR"/>
        </w:rPr>
        <w:t>-</w:t>
      </w:r>
      <w:r w:rsidRPr="00CA7293">
        <w:rPr>
          <w:lang w:val="fr-FR"/>
        </w:rPr>
        <w:t>après illustre les difficultés pratiques auxquelles se heurtent les titulaires lorsqu</w:t>
      </w:r>
      <w:r w:rsidR="00482989">
        <w:rPr>
          <w:lang w:val="fr-FR"/>
        </w:rPr>
        <w:t>’</w:t>
      </w:r>
      <w:r w:rsidRPr="00CA7293">
        <w:rPr>
          <w:lang w:val="fr-FR"/>
        </w:rPr>
        <w:t>ils reçoivent plusieurs notifications de refus provisoi</w:t>
      </w:r>
      <w:r w:rsidR="00867EFE" w:rsidRPr="00CA7293">
        <w:rPr>
          <w:lang w:val="fr-FR"/>
        </w:rPr>
        <w:t>re</w:t>
      </w:r>
      <w:r w:rsidR="00867EFE">
        <w:rPr>
          <w:lang w:val="fr-FR"/>
        </w:rPr>
        <w:t>.  E</w:t>
      </w:r>
      <w:r w:rsidR="00867EFE" w:rsidRPr="00CA7293">
        <w:rPr>
          <w:lang w:val="fr-FR"/>
        </w:rPr>
        <w:t>n</w:t>
      </w:r>
      <w:r w:rsidR="009B4893" w:rsidRPr="00CA7293">
        <w:rPr>
          <w:lang w:val="fr-FR"/>
        </w:rPr>
        <w:t xml:space="preserve"> l</w:t>
      </w:r>
      <w:r w:rsidR="00482989">
        <w:rPr>
          <w:lang w:val="fr-FR"/>
        </w:rPr>
        <w:t>’</w:t>
      </w:r>
      <w:r w:rsidR="009B4893" w:rsidRPr="00CA7293">
        <w:rPr>
          <w:lang w:val="fr-FR"/>
        </w:rPr>
        <w:t xml:space="preserve">occurrence, </w:t>
      </w:r>
      <w:r w:rsidR="00EC6537" w:rsidRPr="00CA7293">
        <w:rPr>
          <w:lang w:val="fr-FR"/>
        </w:rPr>
        <w:t xml:space="preserve">le titulaire a déposé </w:t>
      </w:r>
      <w:r w:rsidR="000978FE" w:rsidRPr="00CA7293">
        <w:rPr>
          <w:lang w:val="fr-FR"/>
        </w:rPr>
        <w:t>une</w:t>
      </w:r>
      <w:r w:rsidR="00EC6537" w:rsidRPr="00CA7293">
        <w:rPr>
          <w:lang w:val="fr-FR"/>
        </w:rPr>
        <w:t xml:space="preserve"> demande d</w:t>
      </w:r>
      <w:r w:rsidR="00482989">
        <w:rPr>
          <w:lang w:val="fr-FR"/>
        </w:rPr>
        <w:t>’</w:t>
      </w:r>
      <w:r w:rsidRPr="00CA7293">
        <w:rPr>
          <w:lang w:val="fr-FR"/>
        </w:rPr>
        <w:t xml:space="preserve">enregistrement international </w:t>
      </w:r>
      <w:r w:rsidR="00D03064" w:rsidRPr="00CA7293">
        <w:rPr>
          <w:lang w:val="fr-FR"/>
        </w:rPr>
        <w:t>par l</w:t>
      </w:r>
      <w:r w:rsidR="00482989">
        <w:rPr>
          <w:lang w:val="fr-FR"/>
        </w:rPr>
        <w:t>’</w:t>
      </w:r>
      <w:r w:rsidR="00D03064" w:rsidRPr="00CA7293">
        <w:rPr>
          <w:lang w:val="fr-FR"/>
        </w:rPr>
        <w:t>intermédiaire de l</w:t>
      </w:r>
      <w:r w:rsidR="00482989">
        <w:rPr>
          <w:lang w:val="fr-FR"/>
        </w:rPr>
        <w:t>’</w:t>
      </w:r>
      <w:r w:rsidR="00D03064" w:rsidRPr="00CA7293">
        <w:rPr>
          <w:lang w:val="fr-FR"/>
        </w:rPr>
        <w:t>office de l</w:t>
      </w:r>
      <w:r w:rsidR="00482989">
        <w:rPr>
          <w:lang w:val="fr-FR"/>
        </w:rPr>
        <w:t>’</w:t>
      </w:r>
      <w:r w:rsidR="00D03064" w:rsidRPr="00CA7293">
        <w:rPr>
          <w:lang w:val="fr-FR"/>
        </w:rPr>
        <w:t>Islande (l</w:t>
      </w:r>
      <w:r w:rsidR="00482989">
        <w:rPr>
          <w:lang w:val="fr-FR"/>
        </w:rPr>
        <w:t>’</w:t>
      </w:r>
      <w:r w:rsidR="00D03064" w:rsidRPr="00CA7293">
        <w:rPr>
          <w:lang w:val="fr-FR"/>
        </w:rPr>
        <w:t>o</w:t>
      </w:r>
      <w:r w:rsidRPr="00CA7293">
        <w:rPr>
          <w:lang w:val="fr-FR"/>
        </w:rPr>
        <w:t>ffice d</w:t>
      </w:r>
      <w:r w:rsidR="00482989">
        <w:rPr>
          <w:lang w:val="fr-FR"/>
        </w:rPr>
        <w:t>’</w:t>
      </w:r>
      <w:r w:rsidRPr="00CA7293">
        <w:rPr>
          <w:lang w:val="fr-FR"/>
        </w:rPr>
        <w:t xml:space="preserve">origine) </w:t>
      </w:r>
      <w:r w:rsidR="009B4893" w:rsidRPr="00CA7293">
        <w:rPr>
          <w:lang w:val="fr-FR"/>
        </w:rPr>
        <w:t xml:space="preserve">et </w:t>
      </w:r>
      <w:r w:rsidR="00EC6537" w:rsidRPr="00CA7293">
        <w:rPr>
          <w:lang w:val="fr-FR"/>
        </w:rPr>
        <w:t xml:space="preserve">les parties contractantes désignées sont </w:t>
      </w:r>
      <w:r w:rsidRPr="00CA7293">
        <w:rPr>
          <w:lang w:val="fr-FR"/>
        </w:rPr>
        <w:t>l</w:t>
      </w:r>
      <w:r w:rsidR="00482989">
        <w:rPr>
          <w:lang w:val="fr-FR"/>
        </w:rPr>
        <w:t>’</w:t>
      </w:r>
      <w:r w:rsidRPr="00CA7293">
        <w:rPr>
          <w:lang w:val="fr-FR"/>
        </w:rPr>
        <w:t>Australie, la Chine, l</w:t>
      </w:r>
      <w:r w:rsidR="00482989">
        <w:rPr>
          <w:lang w:val="fr-FR"/>
        </w:rPr>
        <w:t>’</w:t>
      </w:r>
      <w:r w:rsidRPr="00CA7293">
        <w:rPr>
          <w:lang w:val="fr-FR"/>
        </w:rPr>
        <w:t>Égypte, la France, le Mexique, la Norvège et la Fédération de Russ</w:t>
      </w:r>
      <w:r w:rsidR="00867EFE" w:rsidRPr="00CA7293">
        <w:rPr>
          <w:lang w:val="fr-FR"/>
        </w:rPr>
        <w:t>ie</w:t>
      </w:r>
      <w:r w:rsidR="00867EFE">
        <w:rPr>
          <w:lang w:val="fr-FR"/>
        </w:rPr>
        <w:t>.  S</w:t>
      </w:r>
      <w:r w:rsidR="00867EFE" w:rsidRPr="00CA7293">
        <w:rPr>
          <w:lang w:val="fr-FR"/>
        </w:rPr>
        <w:t>i</w:t>
      </w:r>
      <w:r w:rsidR="00DB4F00" w:rsidRPr="00CA7293">
        <w:rPr>
          <w:lang w:val="fr-FR"/>
        </w:rPr>
        <w:t xml:space="preserve"> le titulaire recevait une notification de refus provisoire de</w:t>
      </w:r>
      <w:r w:rsidR="000978FE" w:rsidRPr="00CA7293">
        <w:rPr>
          <w:lang w:val="fr-FR"/>
        </w:rPr>
        <w:t xml:space="preserve"> la part de</w:t>
      </w:r>
      <w:r w:rsidR="00DB4F00" w:rsidRPr="00CA7293">
        <w:rPr>
          <w:lang w:val="fr-FR"/>
        </w:rPr>
        <w:t xml:space="preserve"> chacune de</w:t>
      </w:r>
      <w:r w:rsidR="00591205" w:rsidRPr="00CA7293">
        <w:rPr>
          <w:lang w:val="fr-FR"/>
        </w:rPr>
        <w:t xml:space="preserve"> ce</w:t>
      </w:r>
      <w:r w:rsidR="00DB4F00" w:rsidRPr="00CA7293">
        <w:rPr>
          <w:lang w:val="fr-FR"/>
        </w:rPr>
        <w:t xml:space="preserve">s parties, il </w:t>
      </w:r>
      <w:r w:rsidR="00C85546" w:rsidRPr="00CA7293">
        <w:rPr>
          <w:lang w:val="fr-FR"/>
        </w:rPr>
        <w:t>aurait les problèmes suivant</w:t>
      </w:r>
      <w:r w:rsidR="00DB4F00" w:rsidRPr="00CA7293">
        <w:rPr>
          <w:lang w:val="fr-FR"/>
        </w:rPr>
        <w:t>s</w:t>
      </w:r>
      <w:r w:rsidR="00482989">
        <w:rPr>
          <w:lang w:val="fr-FR"/>
        </w:rPr>
        <w:t> :</w:t>
      </w:r>
    </w:p>
    <w:p w14:paraId="15832AEB" w14:textId="3BF4E9C5" w:rsidR="002C2160" w:rsidRDefault="003A13C1" w:rsidP="00E321C5">
      <w:pPr>
        <w:pStyle w:val="Heading4"/>
        <w:spacing w:after="0"/>
      </w:pPr>
      <w:r>
        <w:t>i)</w:t>
      </w:r>
      <w:r w:rsidR="00D03064" w:rsidRPr="00CA7293">
        <w:tab/>
      </w:r>
      <w:r w:rsidR="00BF5F92">
        <w:t>D</w:t>
      </w:r>
      <w:r w:rsidR="00DB4F00" w:rsidRPr="00CA7293">
        <w:t>es délais différents, calculés différemment</w:t>
      </w:r>
    </w:p>
    <w:p w14:paraId="35F91BDF" w14:textId="77777777" w:rsidR="00314CDF" w:rsidRPr="00314CDF" w:rsidRDefault="00314CDF" w:rsidP="00314CDF">
      <w:pPr>
        <w:rPr>
          <w:lang w:val="fr-FR"/>
        </w:rPr>
      </w:pPr>
    </w:p>
    <w:p w14:paraId="2AAAF759" w14:textId="562018DA" w:rsidR="002C2160" w:rsidRPr="00CA7293" w:rsidRDefault="00302A13" w:rsidP="00314CDF">
      <w:pPr>
        <w:pStyle w:val="ONUMFS"/>
        <w:numPr>
          <w:ilvl w:val="0"/>
          <w:numId w:val="0"/>
        </w:numPr>
        <w:ind w:left="567"/>
        <w:rPr>
          <w:lang w:val="fr-FR"/>
        </w:rPr>
      </w:pPr>
      <w:r w:rsidRPr="00CA7293">
        <w:rPr>
          <w:lang w:val="fr-FR"/>
        </w:rPr>
        <w:t>Délais de réponse indiqués dans les notifications de refus provisoire reçues par le titulaire</w:t>
      </w:r>
      <w:r w:rsidR="00482989">
        <w:rPr>
          <w:lang w:val="fr-FR"/>
        </w:rPr>
        <w:t> :</w:t>
      </w:r>
    </w:p>
    <w:p w14:paraId="55066E6B" w14:textId="562AB38E" w:rsidR="002C2160" w:rsidRPr="00CA7293" w:rsidRDefault="00302A13" w:rsidP="00CE4C36">
      <w:pPr>
        <w:pStyle w:val="ONUMFS"/>
        <w:numPr>
          <w:ilvl w:val="0"/>
          <w:numId w:val="24"/>
        </w:numPr>
        <w:ind w:left="567"/>
        <w:rPr>
          <w:lang w:val="fr-FR"/>
        </w:rPr>
      </w:pPr>
      <w:r w:rsidRPr="00CA7293">
        <w:rPr>
          <w:lang w:val="fr-FR"/>
        </w:rPr>
        <w:t>Australie</w:t>
      </w:r>
      <w:r w:rsidR="00482989">
        <w:rPr>
          <w:lang w:val="fr-FR"/>
        </w:rPr>
        <w:t> :</w:t>
      </w:r>
      <w:r w:rsidR="00B524D3" w:rsidRPr="00CA7293">
        <w:rPr>
          <w:lang w:val="fr-FR"/>
        </w:rPr>
        <w:t xml:space="preserve"> </w:t>
      </w:r>
      <w:r w:rsidRPr="00CA7293">
        <w:rPr>
          <w:lang w:val="fr-FR"/>
        </w:rPr>
        <w:t>15 mois à compter de la date de la notification par l</w:t>
      </w:r>
      <w:r w:rsidR="00482989">
        <w:rPr>
          <w:lang w:val="fr-FR"/>
        </w:rPr>
        <w:t>’</w:t>
      </w:r>
      <w:r w:rsidRPr="00CA7293">
        <w:rPr>
          <w:lang w:val="fr-FR"/>
        </w:rPr>
        <w:t>office;</w:t>
      </w:r>
    </w:p>
    <w:p w14:paraId="6FBA9DDC" w14:textId="442CDDA0" w:rsidR="00BB7767" w:rsidRPr="00BB7767" w:rsidRDefault="00302A13" w:rsidP="00CE4C36">
      <w:pPr>
        <w:pStyle w:val="ONUMFS"/>
        <w:numPr>
          <w:ilvl w:val="0"/>
          <w:numId w:val="24"/>
        </w:numPr>
        <w:ind w:left="567"/>
        <w:rPr>
          <w:i/>
          <w:lang w:val="fr-FR"/>
        </w:rPr>
      </w:pPr>
      <w:r w:rsidRPr="00CA7293">
        <w:rPr>
          <w:lang w:val="fr-FR"/>
        </w:rPr>
        <w:t>Chine</w:t>
      </w:r>
      <w:r w:rsidR="00482989">
        <w:rPr>
          <w:lang w:val="fr-FR"/>
        </w:rPr>
        <w:t> :</w:t>
      </w:r>
      <w:r w:rsidRPr="00CA7293">
        <w:rPr>
          <w:lang w:val="fr-FR"/>
        </w:rPr>
        <w:t xml:space="preserve"> 15 jours à compter de la date de réception de la notification par le titulaire;</w:t>
      </w:r>
    </w:p>
    <w:p w14:paraId="723F0C34" w14:textId="458367D3" w:rsidR="002C2160" w:rsidRPr="00CA7293" w:rsidRDefault="00302A13" w:rsidP="00CE4C36">
      <w:pPr>
        <w:pStyle w:val="ONUMFS"/>
        <w:numPr>
          <w:ilvl w:val="0"/>
          <w:numId w:val="24"/>
        </w:numPr>
        <w:ind w:left="567"/>
        <w:rPr>
          <w:lang w:val="fr-FR"/>
        </w:rPr>
      </w:pPr>
      <w:r w:rsidRPr="00CA7293">
        <w:rPr>
          <w:lang w:val="fr-FR"/>
        </w:rPr>
        <w:t>France</w:t>
      </w:r>
      <w:r w:rsidR="00482989">
        <w:rPr>
          <w:lang w:val="fr-FR"/>
        </w:rPr>
        <w:t> :</w:t>
      </w:r>
      <w:r w:rsidRPr="00CA7293">
        <w:rPr>
          <w:lang w:val="fr-FR"/>
        </w:rPr>
        <w:t xml:space="preserve"> un mois à compter de la date à laquelle l</w:t>
      </w:r>
      <w:r w:rsidR="00482989">
        <w:rPr>
          <w:lang w:val="fr-FR"/>
        </w:rPr>
        <w:t>’</w:t>
      </w:r>
      <w:r w:rsidRPr="00CA7293">
        <w:rPr>
          <w:lang w:val="fr-FR"/>
        </w:rPr>
        <w:t>office a envoyé la notification au Bureau international;</w:t>
      </w:r>
    </w:p>
    <w:p w14:paraId="3864F4C3" w14:textId="397010D1" w:rsidR="002C2160" w:rsidRPr="00CA7293" w:rsidRDefault="00302A13" w:rsidP="00CE4C36">
      <w:pPr>
        <w:pStyle w:val="ONUMFS"/>
        <w:numPr>
          <w:ilvl w:val="0"/>
          <w:numId w:val="24"/>
        </w:numPr>
        <w:ind w:left="567"/>
        <w:rPr>
          <w:lang w:val="fr-FR"/>
        </w:rPr>
      </w:pPr>
      <w:r w:rsidRPr="00CA7293">
        <w:rPr>
          <w:lang w:val="fr-FR"/>
        </w:rPr>
        <w:t>Mexique</w:t>
      </w:r>
      <w:r w:rsidR="00482989">
        <w:rPr>
          <w:lang w:val="fr-FR"/>
        </w:rPr>
        <w:t> :</w:t>
      </w:r>
      <w:r w:rsidRPr="00CA7293">
        <w:rPr>
          <w:lang w:val="fr-FR"/>
        </w:rPr>
        <w:t xml:space="preserve"> deux</w:t>
      </w:r>
      <w:r w:rsidR="001D2295">
        <w:rPr>
          <w:lang w:val="fr-FR"/>
        </w:rPr>
        <w:t> </w:t>
      </w:r>
      <w:r w:rsidRPr="00CA7293">
        <w:rPr>
          <w:lang w:val="fr-FR"/>
        </w:rPr>
        <w:t>mois à compter de la date à laquelle le Bureau international a transmis la notification au titulaire;</w:t>
      </w:r>
    </w:p>
    <w:p w14:paraId="147A37C4" w14:textId="6778C356" w:rsidR="002C2160" w:rsidRPr="00CA7293" w:rsidRDefault="00B50940" w:rsidP="00CE4C36">
      <w:pPr>
        <w:pStyle w:val="ONUMFS"/>
        <w:numPr>
          <w:ilvl w:val="0"/>
          <w:numId w:val="24"/>
        </w:numPr>
        <w:ind w:left="567"/>
        <w:rPr>
          <w:lang w:val="fr-FR"/>
        </w:rPr>
      </w:pPr>
      <w:r w:rsidRPr="00CA7293">
        <w:rPr>
          <w:lang w:val="fr-FR"/>
        </w:rPr>
        <w:t>É</w:t>
      </w:r>
      <w:r w:rsidR="00302A13" w:rsidRPr="00CA7293">
        <w:rPr>
          <w:lang w:val="fr-FR"/>
        </w:rPr>
        <w:t>gypte</w:t>
      </w:r>
      <w:r w:rsidR="00482989">
        <w:rPr>
          <w:lang w:val="fr-FR"/>
        </w:rPr>
        <w:t> :</w:t>
      </w:r>
      <w:r w:rsidR="00302A13" w:rsidRPr="00CA7293">
        <w:rPr>
          <w:lang w:val="fr-FR"/>
        </w:rPr>
        <w:t xml:space="preserve"> 60 jours à compter de la date de la notification par l</w:t>
      </w:r>
      <w:r w:rsidR="00482989">
        <w:rPr>
          <w:lang w:val="fr-FR"/>
        </w:rPr>
        <w:t>’</w:t>
      </w:r>
      <w:r w:rsidR="00302A13" w:rsidRPr="00CA7293">
        <w:rPr>
          <w:lang w:val="fr-FR"/>
        </w:rPr>
        <w:t>office;</w:t>
      </w:r>
    </w:p>
    <w:p w14:paraId="0E3BAE71" w14:textId="083F0A03" w:rsidR="002C2160" w:rsidRPr="00CA7293" w:rsidRDefault="00302A13" w:rsidP="00CE4C36">
      <w:pPr>
        <w:pStyle w:val="ONUMFS"/>
        <w:numPr>
          <w:ilvl w:val="0"/>
          <w:numId w:val="24"/>
        </w:numPr>
        <w:ind w:left="567"/>
        <w:rPr>
          <w:lang w:val="fr-FR"/>
        </w:rPr>
      </w:pPr>
      <w:r w:rsidRPr="00CA7293">
        <w:rPr>
          <w:lang w:val="fr-FR"/>
        </w:rPr>
        <w:t>Norvège</w:t>
      </w:r>
      <w:r w:rsidR="00482989">
        <w:rPr>
          <w:lang w:val="fr-FR"/>
        </w:rPr>
        <w:t> :</w:t>
      </w:r>
      <w:r w:rsidRPr="00CA7293">
        <w:rPr>
          <w:lang w:val="fr-FR"/>
        </w:rPr>
        <w:t xml:space="preserve"> trois</w:t>
      </w:r>
      <w:r w:rsidR="001D2295">
        <w:rPr>
          <w:lang w:val="fr-FR"/>
        </w:rPr>
        <w:t> </w:t>
      </w:r>
      <w:r w:rsidRPr="00CA7293">
        <w:rPr>
          <w:lang w:val="fr-FR"/>
        </w:rPr>
        <w:t>mois à compter de la date de la décision par l</w:t>
      </w:r>
      <w:r w:rsidR="00482989">
        <w:rPr>
          <w:lang w:val="fr-FR"/>
        </w:rPr>
        <w:t>’</w:t>
      </w:r>
      <w:r w:rsidRPr="00CA7293">
        <w:rPr>
          <w:lang w:val="fr-FR"/>
        </w:rPr>
        <w:t>office;</w:t>
      </w:r>
    </w:p>
    <w:p w14:paraId="75C8F310" w14:textId="1C4BFBB2" w:rsidR="002C2160" w:rsidRPr="00CA7293" w:rsidRDefault="00302A13" w:rsidP="00CE4C36">
      <w:pPr>
        <w:pStyle w:val="ONUMFS"/>
        <w:numPr>
          <w:ilvl w:val="0"/>
          <w:numId w:val="24"/>
        </w:numPr>
        <w:spacing w:after="0"/>
        <w:ind w:left="567"/>
        <w:rPr>
          <w:i/>
          <w:lang w:val="fr-FR"/>
        </w:rPr>
      </w:pPr>
      <w:r w:rsidRPr="00CA7293">
        <w:rPr>
          <w:lang w:val="fr-FR"/>
        </w:rPr>
        <w:t>Fédération de Russie</w:t>
      </w:r>
      <w:r w:rsidR="00482989">
        <w:rPr>
          <w:lang w:val="fr-FR"/>
        </w:rPr>
        <w:t> :</w:t>
      </w:r>
      <w:r w:rsidRPr="00CA7293">
        <w:rPr>
          <w:lang w:val="fr-FR"/>
        </w:rPr>
        <w:t xml:space="preserve"> six</w:t>
      </w:r>
      <w:r w:rsidR="001D2295">
        <w:rPr>
          <w:lang w:val="fr-FR"/>
        </w:rPr>
        <w:t> </w:t>
      </w:r>
      <w:r w:rsidRPr="00CA7293">
        <w:rPr>
          <w:lang w:val="fr-FR"/>
        </w:rPr>
        <w:t>mois à compter de la date de la notification par l</w:t>
      </w:r>
      <w:r w:rsidR="00482989">
        <w:rPr>
          <w:lang w:val="fr-FR"/>
        </w:rPr>
        <w:t>’</w:t>
      </w:r>
      <w:r w:rsidRPr="00CA7293">
        <w:rPr>
          <w:lang w:val="fr-FR"/>
        </w:rPr>
        <w:t>office.</w:t>
      </w:r>
    </w:p>
    <w:p w14:paraId="5B9B4856" w14:textId="50AF9AE9" w:rsidR="002C2160" w:rsidRDefault="003A13C1" w:rsidP="00E321C5">
      <w:pPr>
        <w:pStyle w:val="Heading4"/>
        <w:keepLines/>
        <w:spacing w:after="0"/>
      </w:pPr>
      <w:r>
        <w:lastRenderedPageBreak/>
        <w:t>ii)</w:t>
      </w:r>
      <w:r w:rsidR="00BF5F92">
        <w:tab/>
        <w:t>D</w:t>
      </w:r>
      <w:r w:rsidR="00302A13" w:rsidRPr="00CA7293">
        <w:t>es langues différentes</w:t>
      </w:r>
    </w:p>
    <w:p w14:paraId="7BD6B881" w14:textId="77777777" w:rsidR="00314CDF" w:rsidRPr="00314CDF" w:rsidRDefault="00314CDF" w:rsidP="00E321C5">
      <w:pPr>
        <w:keepNext/>
        <w:keepLines/>
        <w:rPr>
          <w:lang w:val="fr-FR"/>
        </w:rPr>
      </w:pPr>
    </w:p>
    <w:p w14:paraId="4790146D" w14:textId="760A17B8" w:rsidR="0043161B" w:rsidRDefault="00C5391D" w:rsidP="00E321C5">
      <w:pPr>
        <w:pStyle w:val="ONUMFS"/>
        <w:keepNext/>
        <w:keepLines/>
        <w:numPr>
          <w:ilvl w:val="0"/>
          <w:numId w:val="0"/>
        </w:numPr>
        <w:spacing w:after="0"/>
        <w:ind w:left="567"/>
        <w:rPr>
          <w:lang w:val="fr-FR"/>
        </w:rPr>
      </w:pPr>
      <w:r w:rsidRPr="00CA7293">
        <w:rPr>
          <w:lang w:val="fr-FR"/>
        </w:rPr>
        <w:t xml:space="preserve">La notification de refus provisoire serait rédigée dans la langue </w:t>
      </w:r>
      <w:r w:rsidR="007E7614">
        <w:rPr>
          <w:lang w:val="fr-FR"/>
        </w:rPr>
        <w:t xml:space="preserve">de </w:t>
      </w:r>
      <w:r w:rsidR="007E7614" w:rsidRPr="00CA7293">
        <w:rPr>
          <w:lang w:val="fr-FR"/>
        </w:rPr>
        <w:t xml:space="preserve">communication </w:t>
      </w:r>
      <w:r w:rsidRPr="00CA7293">
        <w:rPr>
          <w:lang w:val="fr-FR"/>
        </w:rPr>
        <w:t>choisie par l</w:t>
      </w:r>
      <w:r w:rsidR="00482989">
        <w:rPr>
          <w:lang w:val="fr-FR"/>
        </w:rPr>
        <w:t>’</w:t>
      </w:r>
      <w:r w:rsidRPr="00CA7293">
        <w:rPr>
          <w:lang w:val="fr-FR"/>
        </w:rPr>
        <w:t>office</w:t>
      </w:r>
      <w:r w:rsidR="00867EFE">
        <w:rPr>
          <w:lang w:val="fr-FR"/>
        </w:rPr>
        <w:t>.  D</w:t>
      </w:r>
      <w:r w:rsidR="00867EFE" w:rsidRPr="00CA7293">
        <w:rPr>
          <w:lang w:val="fr-FR"/>
        </w:rPr>
        <w:t>a</w:t>
      </w:r>
      <w:r w:rsidR="00CC5665" w:rsidRPr="00CA7293">
        <w:rPr>
          <w:lang w:val="fr-FR"/>
        </w:rPr>
        <w:t>ns l</w:t>
      </w:r>
      <w:r w:rsidR="00482989">
        <w:rPr>
          <w:lang w:val="fr-FR"/>
        </w:rPr>
        <w:t>’</w:t>
      </w:r>
      <w:r w:rsidR="00CC5665" w:rsidRPr="00CA7293">
        <w:rPr>
          <w:lang w:val="fr-FR"/>
        </w:rPr>
        <w:t>exemple ci</w:t>
      </w:r>
      <w:r w:rsidR="00482989">
        <w:rPr>
          <w:lang w:val="fr-FR"/>
        </w:rPr>
        <w:t>-</w:t>
      </w:r>
      <w:r w:rsidR="00CC5665" w:rsidRPr="00CA7293">
        <w:rPr>
          <w:lang w:val="fr-FR"/>
        </w:rPr>
        <w:t>dessus, le titulaire recevrait donc des notifications de refus provisoire en anglais (Australie, Chine, Égypte, Norvège et Fédération de Russie), en français (France) et en espagnol (Mexiq</w:t>
      </w:r>
      <w:r w:rsidR="00867EFE" w:rsidRPr="00CA7293">
        <w:rPr>
          <w:lang w:val="fr-FR"/>
        </w:rPr>
        <w:t>ue)</w:t>
      </w:r>
      <w:r w:rsidR="00867EFE">
        <w:rPr>
          <w:lang w:val="fr-FR"/>
        </w:rPr>
        <w:t>.  E</w:t>
      </w:r>
      <w:r w:rsidR="00867EFE" w:rsidRPr="00CA7293">
        <w:rPr>
          <w:lang w:val="fr-FR"/>
        </w:rPr>
        <w:t>n</w:t>
      </w:r>
      <w:r w:rsidR="00F27757">
        <w:rPr>
          <w:lang w:val="fr-FR"/>
        </w:rPr>
        <w:t> </w:t>
      </w:r>
      <w:r w:rsidRPr="00CA7293">
        <w:rPr>
          <w:lang w:val="fr-FR"/>
        </w:rPr>
        <w:t>outre, selon la règle</w:t>
      </w:r>
      <w:r w:rsidR="00F328A4">
        <w:rPr>
          <w:lang w:val="fr-FR"/>
        </w:rPr>
        <w:t> </w:t>
      </w:r>
      <w:r w:rsidRPr="00CA7293">
        <w:rPr>
          <w:lang w:val="fr-FR"/>
        </w:rPr>
        <w:t>17.2)v) du règlement d</w:t>
      </w:r>
      <w:r w:rsidR="00482989">
        <w:rPr>
          <w:lang w:val="fr-FR"/>
        </w:rPr>
        <w:t>’</w:t>
      </w:r>
      <w:r w:rsidRPr="00CA7293">
        <w:rPr>
          <w:lang w:val="fr-FR"/>
        </w:rPr>
        <w:t>exécution commun, les offices peuvent inclure dans la notification la liste des produits et services faisant l</w:t>
      </w:r>
      <w:r w:rsidR="00482989">
        <w:rPr>
          <w:lang w:val="fr-FR"/>
        </w:rPr>
        <w:t>’</w:t>
      </w:r>
      <w:r w:rsidRPr="00CA7293">
        <w:rPr>
          <w:lang w:val="fr-FR"/>
        </w:rPr>
        <w:t>objet d</w:t>
      </w:r>
      <w:r w:rsidR="00482989">
        <w:rPr>
          <w:lang w:val="fr-FR"/>
        </w:rPr>
        <w:t>’</w:t>
      </w:r>
      <w:r w:rsidRPr="00CA7293">
        <w:rPr>
          <w:lang w:val="fr-FR"/>
        </w:rPr>
        <w:t>éventuel</w:t>
      </w:r>
      <w:r w:rsidR="00C22C59">
        <w:rPr>
          <w:lang w:val="fr-FR"/>
        </w:rPr>
        <w:t>s droits</w:t>
      </w:r>
      <w:r w:rsidRPr="00CA7293">
        <w:rPr>
          <w:lang w:val="fr-FR"/>
        </w:rPr>
        <w:t xml:space="preserve"> </w:t>
      </w:r>
      <w:r w:rsidR="00C22C59">
        <w:rPr>
          <w:lang w:val="fr-FR"/>
        </w:rPr>
        <w:t>antérieurs</w:t>
      </w:r>
      <w:r w:rsidRPr="00CA7293">
        <w:rPr>
          <w:lang w:val="fr-FR"/>
        </w:rPr>
        <w:t>, étant entendu que cette liste peut être rédigée dans la langue de l</w:t>
      </w:r>
      <w:r w:rsidR="00482989">
        <w:rPr>
          <w:lang w:val="fr-FR"/>
        </w:rPr>
        <w:t>’</w:t>
      </w:r>
      <w:r w:rsidRPr="00CA7293">
        <w:rPr>
          <w:lang w:val="fr-FR"/>
        </w:rPr>
        <w:t>office concer</w:t>
      </w:r>
      <w:r w:rsidR="00867EFE" w:rsidRPr="00CA7293">
        <w:rPr>
          <w:lang w:val="fr-FR"/>
        </w:rPr>
        <w:t>né</w:t>
      </w:r>
      <w:r w:rsidR="00867EFE">
        <w:rPr>
          <w:lang w:val="fr-FR"/>
        </w:rPr>
        <w:t>.  E</w:t>
      </w:r>
      <w:r w:rsidR="00867EFE" w:rsidRPr="00CA7293">
        <w:rPr>
          <w:lang w:val="fr-FR"/>
        </w:rPr>
        <w:t>n</w:t>
      </w:r>
      <w:r w:rsidRPr="00CA7293">
        <w:rPr>
          <w:lang w:val="fr-FR"/>
        </w:rPr>
        <w:t xml:space="preserve"> </w:t>
      </w:r>
      <w:r w:rsidR="00542B0A" w:rsidRPr="00CA7293">
        <w:rPr>
          <w:lang w:val="fr-FR"/>
        </w:rPr>
        <w:t>c</w:t>
      </w:r>
      <w:r w:rsidRPr="00CA7293">
        <w:rPr>
          <w:lang w:val="fr-FR"/>
        </w:rPr>
        <w:t>onséquence, le titulaire pourrait aussi recevoir des notifications de refus provisoire fondé sur des droits antérieurs qui contiendraient des listes de produits et services en arabe, en chinois, en norvégien et en russe.</w:t>
      </w:r>
    </w:p>
    <w:p w14:paraId="132B6BF2" w14:textId="33FA74A7" w:rsidR="002C2160" w:rsidRDefault="003A13C1" w:rsidP="00E321C5">
      <w:pPr>
        <w:pStyle w:val="Heading4"/>
        <w:spacing w:after="0"/>
      </w:pPr>
      <w:r>
        <w:t>iii)</w:t>
      </w:r>
      <w:r w:rsidR="003E02FF" w:rsidRPr="00CA7293">
        <w:tab/>
      </w:r>
      <w:r>
        <w:t>A</w:t>
      </w:r>
      <w:r w:rsidR="00D04FDA" w:rsidRPr="00CA7293">
        <w:t xml:space="preserve">utres </w:t>
      </w:r>
      <w:r w:rsidR="00CB7901" w:rsidRPr="00CA7293">
        <w:t>exigences</w:t>
      </w:r>
    </w:p>
    <w:p w14:paraId="2A59F9A5" w14:textId="77777777" w:rsidR="00314CDF" w:rsidRPr="00314CDF" w:rsidRDefault="00314CDF" w:rsidP="00314CDF">
      <w:pPr>
        <w:rPr>
          <w:lang w:val="fr-FR"/>
        </w:rPr>
      </w:pPr>
    </w:p>
    <w:p w14:paraId="3083248E" w14:textId="1CF290B5" w:rsidR="002C2160" w:rsidRPr="00CA7293" w:rsidRDefault="00D04FDA" w:rsidP="00CE4C36">
      <w:pPr>
        <w:pStyle w:val="ONUMFS"/>
        <w:numPr>
          <w:ilvl w:val="0"/>
          <w:numId w:val="0"/>
        </w:numPr>
        <w:spacing w:after="0"/>
        <w:ind w:left="567"/>
        <w:rPr>
          <w:lang w:val="fr-FR"/>
        </w:rPr>
      </w:pPr>
      <w:r w:rsidRPr="00CA7293">
        <w:rPr>
          <w:lang w:val="fr-FR"/>
        </w:rPr>
        <w:t>Les offices peuvent avoir</w:t>
      </w:r>
      <w:r w:rsidR="003E02FF" w:rsidRPr="00CA7293">
        <w:rPr>
          <w:lang w:val="fr-FR"/>
        </w:rPr>
        <w:t xml:space="preserve"> d</w:t>
      </w:r>
      <w:r w:rsidR="00482989">
        <w:rPr>
          <w:lang w:val="fr-FR"/>
        </w:rPr>
        <w:t>’</w:t>
      </w:r>
      <w:r w:rsidR="003E02FF" w:rsidRPr="00CA7293">
        <w:rPr>
          <w:lang w:val="fr-FR"/>
        </w:rPr>
        <w:t>autres exigences</w:t>
      </w:r>
      <w:r w:rsidR="007D6B8F" w:rsidRPr="00CA7293">
        <w:rPr>
          <w:lang w:val="fr-FR"/>
        </w:rPr>
        <w:t xml:space="preserve">, </w:t>
      </w:r>
      <w:r w:rsidR="003E02FF" w:rsidRPr="00CA7293">
        <w:rPr>
          <w:lang w:val="fr-FR"/>
        </w:rPr>
        <w:t>par exemple</w:t>
      </w:r>
      <w:r w:rsidR="007D6B8F" w:rsidRPr="00CA7293">
        <w:rPr>
          <w:lang w:val="fr-FR"/>
        </w:rPr>
        <w:t xml:space="preserve"> l</w:t>
      </w:r>
      <w:r w:rsidR="00482989">
        <w:rPr>
          <w:lang w:val="fr-FR"/>
        </w:rPr>
        <w:t>’</w:t>
      </w:r>
      <w:r w:rsidR="007D6B8F" w:rsidRPr="00CA7293">
        <w:rPr>
          <w:lang w:val="fr-FR"/>
        </w:rPr>
        <w:t xml:space="preserve">obligation </w:t>
      </w:r>
      <w:r w:rsidR="00B050ED" w:rsidRPr="00CA7293">
        <w:rPr>
          <w:lang w:val="fr-FR"/>
        </w:rPr>
        <w:t>pour le</w:t>
      </w:r>
      <w:r w:rsidR="007D6B8F" w:rsidRPr="00CA7293">
        <w:rPr>
          <w:lang w:val="fr-FR"/>
        </w:rPr>
        <w:t xml:space="preserve"> titulaire</w:t>
      </w:r>
      <w:r w:rsidR="003E02FF" w:rsidRPr="00CA7293">
        <w:rPr>
          <w:lang w:val="fr-FR"/>
        </w:rPr>
        <w:t xml:space="preserve"> </w:t>
      </w:r>
      <w:r w:rsidRPr="00CA7293">
        <w:rPr>
          <w:lang w:val="fr-FR"/>
        </w:rPr>
        <w:t xml:space="preserve">de désigner un agent ou un avocat local, </w:t>
      </w:r>
      <w:r w:rsidR="00B050ED" w:rsidRPr="00CA7293">
        <w:rPr>
          <w:lang w:val="fr-FR"/>
        </w:rPr>
        <w:t xml:space="preserve">devant </w:t>
      </w:r>
      <w:r w:rsidR="0010553D" w:rsidRPr="00CA7293">
        <w:rPr>
          <w:lang w:val="fr-FR"/>
        </w:rPr>
        <w:t>parfois</w:t>
      </w:r>
      <w:r w:rsidR="00B050ED" w:rsidRPr="00CA7293">
        <w:rPr>
          <w:lang w:val="fr-FR"/>
        </w:rPr>
        <w:t xml:space="preserve"> être</w:t>
      </w:r>
      <w:r w:rsidR="0010553D" w:rsidRPr="00CA7293">
        <w:rPr>
          <w:lang w:val="fr-FR"/>
        </w:rPr>
        <w:t xml:space="preserve"> </w:t>
      </w:r>
      <w:r w:rsidRPr="00CA7293">
        <w:rPr>
          <w:lang w:val="fr-FR"/>
        </w:rPr>
        <w:t>choisi sur une liste d</w:t>
      </w:r>
      <w:r w:rsidR="00482989">
        <w:rPr>
          <w:lang w:val="fr-FR"/>
        </w:rPr>
        <w:t>’</w:t>
      </w:r>
      <w:r w:rsidRPr="00CA7293">
        <w:rPr>
          <w:lang w:val="fr-FR"/>
        </w:rPr>
        <w:t>agents ou d</w:t>
      </w:r>
      <w:r w:rsidR="00482989">
        <w:rPr>
          <w:lang w:val="fr-FR"/>
        </w:rPr>
        <w:t>’</w:t>
      </w:r>
      <w:r w:rsidRPr="00CA7293">
        <w:rPr>
          <w:lang w:val="fr-FR"/>
        </w:rPr>
        <w:t>avocats agréés, pour répondre à la notification.</w:t>
      </w:r>
    </w:p>
    <w:p w14:paraId="4C30C58E" w14:textId="7975A743" w:rsidR="002C2160" w:rsidRPr="00314CDF" w:rsidRDefault="00314CDF" w:rsidP="00314CDF">
      <w:pPr>
        <w:pStyle w:val="Heading2"/>
        <w:rPr>
          <w:lang w:val="fr-FR"/>
        </w:rPr>
      </w:pPr>
      <w:r w:rsidRPr="00314CDF">
        <w:rPr>
          <w:lang w:val="fr-FR"/>
        </w:rPr>
        <w:t xml:space="preserve">Transmission </w:t>
      </w:r>
      <w:r w:rsidR="00D04FDA" w:rsidRPr="00314CDF">
        <w:rPr>
          <w:lang w:val="fr-FR"/>
        </w:rPr>
        <w:t>de la notif</w:t>
      </w:r>
      <w:r w:rsidR="00777ACD" w:rsidRPr="00314CDF">
        <w:rPr>
          <w:lang w:val="fr-FR"/>
        </w:rPr>
        <w:t>ication au Bureau international</w:t>
      </w:r>
    </w:p>
    <w:p w14:paraId="0617A82A" w14:textId="77777777" w:rsidR="002C2160" w:rsidRPr="00CA7293" w:rsidRDefault="002C2160" w:rsidP="000F455D">
      <w:pPr>
        <w:rPr>
          <w:lang w:val="fr-FR"/>
        </w:rPr>
      </w:pPr>
    </w:p>
    <w:p w14:paraId="59CE726F" w14:textId="00E3ED50" w:rsidR="002C2160" w:rsidRPr="00CA7293" w:rsidRDefault="00AC3CFE" w:rsidP="00BF5F92">
      <w:pPr>
        <w:pStyle w:val="ONUMFS"/>
        <w:rPr>
          <w:lang w:val="fr-FR"/>
        </w:rPr>
      </w:pPr>
      <w:r w:rsidRPr="00CA7293">
        <w:rPr>
          <w:lang w:val="fr-FR"/>
        </w:rPr>
        <w:t>Outre les différents modes de calcul des délais indiqués ci</w:t>
      </w:r>
      <w:r w:rsidR="00482989">
        <w:rPr>
          <w:lang w:val="fr-FR"/>
        </w:rPr>
        <w:t>-</w:t>
      </w:r>
      <w:r w:rsidRPr="00CA7293">
        <w:rPr>
          <w:lang w:val="fr-FR"/>
        </w:rPr>
        <w:t>dessus, le temps dont dispose effectivement le titulaire pour répondre à la notification peut être encore raccourci par</w:t>
      </w:r>
      <w:r w:rsidR="00482989">
        <w:rPr>
          <w:lang w:val="fr-FR"/>
        </w:rPr>
        <w:t> :</w:t>
      </w:r>
    </w:p>
    <w:p w14:paraId="52839322" w14:textId="23DB5AFE" w:rsidR="002C2160" w:rsidRPr="00CA7293" w:rsidRDefault="00AC3CFE" w:rsidP="00CE4C36">
      <w:pPr>
        <w:pStyle w:val="ONUMFS"/>
        <w:numPr>
          <w:ilvl w:val="0"/>
          <w:numId w:val="25"/>
        </w:numPr>
        <w:ind w:left="567"/>
        <w:rPr>
          <w:lang w:val="fr-FR"/>
        </w:rPr>
      </w:pPr>
      <w:r w:rsidRPr="00CA7293">
        <w:rPr>
          <w:lang w:val="fr-FR"/>
        </w:rPr>
        <w:t>les moyens de communication entre l</w:t>
      </w:r>
      <w:r w:rsidR="00482989">
        <w:rPr>
          <w:lang w:val="fr-FR"/>
        </w:rPr>
        <w:t>’</w:t>
      </w:r>
      <w:r w:rsidRPr="00CA7293">
        <w:rPr>
          <w:lang w:val="fr-FR"/>
        </w:rPr>
        <w:t>office et le Bureau international;</w:t>
      </w:r>
    </w:p>
    <w:p w14:paraId="35A22FBB" w14:textId="558D4509" w:rsidR="002C2160" w:rsidRPr="00CA7293" w:rsidRDefault="00894D33" w:rsidP="00CE4C36">
      <w:pPr>
        <w:pStyle w:val="ONUMFS"/>
        <w:numPr>
          <w:ilvl w:val="0"/>
          <w:numId w:val="25"/>
        </w:numPr>
        <w:ind w:left="567"/>
        <w:rPr>
          <w:lang w:val="fr-FR"/>
        </w:rPr>
      </w:pPr>
      <w:r w:rsidRPr="00CA7293">
        <w:rPr>
          <w:lang w:val="fr-FR"/>
        </w:rPr>
        <w:t xml:space="preserve">la procédure de traitement </w:t>
      </w:r>
      <w:r w:rsidR="009F5650" w:rsidRPr="00CA7293">
        <w:rPr>
          <w:lang w:val="fr-FR"/>
        </w:rPr>
        <w:t>appliquée</w:t>
      </w:r>
      <w:r w:rsidRPr="00CA7293">
        <w:rPr>
          <w:lang w:val="fr-FR"/>
        </w:rPr>
        <w:t xml:space="preserve"> par le Bureau international (saisie, examen, </w:t>
      </w:r>
      <w:r w:rsidR="00351BA4">
        <w:rPr>
          <w:lang w:val="fr-FR"/>
        </w:rPr>
        <w:t>inscription</w:t>
      </w:r>
      <w:r w:rsidRPr="00CA7293">
        <w:rPr>
          <w:lang w:val="fr-FR"/>
        </w:rPr>
        <w:t xml:space="preserve"> et notification), laquelle dure en moyenne</w:t>
      </w:r>
      <w:r w:rsidR="006540F5" w:rsidRPr="00CA7293">
        <w:rPr>
          <w:lang w:val="fr-FR"/>
        </w:rPr>
        <w:t xml:space="preserve"> 1</w:t>
      </w:r>
      <w:r w:rsidRPr="00CA7293">
        <w:rPr>
          <w:lang w:val="fr-FR"/>
        </w:rPr>
        <w:t>2</w:t>
      </w:r>
      <w:r w:rsidR="00F328A4">
        <w:rPr>
          <w:lang w:val="fr-FR"/>
        </w:rPr>
        <w:t> </w:t>
      </w:r>
      <w:r w:rsidRPr="00CA7293">
        <w:rPr>
          <w:lang w:val="fr-FR"/>
        </w:rPr>
        <w:t>jours civils</w:t>
      </w:r>
      <w:r w:rsidRPr="00CA7293">
        <w:rPr>
          <w:rStyle w:val="FootnoteReference"/>
          <w:lang w:val="fr-FR"/>
        </w:rPr>
        <w:footnoteReference w:id="9"/>
      </w:r>
      <w:r w:rsidRPr="00CA7293">
        <w:rPr>
          <w:lang w:val="fr-FR"/>
        </w:rPr>
        <w:t>;</w:t>
      </w:r>
    </w:p>
    <w:p w14:paraId="72ABF8AB" w14:textId="36BC5F38" w:rsidR="002C2160" w:rsidRPr="00CA7293" w:rsidRDefault="00FD447E" w:rsidP="00CE4C36">
      <w:pPr>
        <w:pStyle w:val="ONUMFS"/>
        <w:numPr>
          <w:ilvl w:val="0"/>
          <w:numId w:val="25"/>
        </w:numPr>
        <w:ind w:left="567"/>
        <w:rPr>
          <w:lang w:val="fr-FR"/>
        </w:rPr>
      </w:pPr>
      <w:r w:rsidRPr="00CA7293">
        <w:rPr>
          <w:lang w:val="fr-FR"/>
        </w:rPr>
        <w:t>les moyens de communication entre le Bureau international et le titulaire.</w:t>
      </w:r>
    </w:p>
    <w:p w14:paraId="3BF64EC7" w14:textId="30D8C280" w:rsidR="002C2160" w:rsidRPr="00CA7293" w:rsidRDefault="002D4398" w:rsidP="00A368AF">
      <w:pPr>
        <w:pStyle w:val="ONUMFS"/>
        <w:rPr>
          <w:lang w:val="fr-FR"/>
        </w:rPr>
      </w:pPr>
      <w:r w:rsidRPr="00CA7293">
        <w:rPr>
          <w:lang w:val="fr-FR"/>
        </w:rPr>
        <w:t xml:space="preserve">Les informations que reçoit le Bureau international ne sont pas toutes déchiffrables par </w:t>
      </w:r>
      <w:r w:rsidR="00B33F25" w:rsidRPr="00CA7293">
        <w:rPr>
          <w:lang w:val="fr-FR"/>
        </w:rPr>
        <w:t>machi</w:t>
      </w:r>
      <w:r w:rsidR="00867EFE" w:rsidRPr="00CA7293">
        <w:rPr>
          <w:lang w:val="fr-FR"/>
        </w:rPr>
        <w:t>ne</w:t>
      </w:r>
      <w:r w:rsidR="00867EFE">
        <w:rPr>
          <w:lang w:val="fr-FR"/>
        </w:rPr>
        <w:t xml:space="preserve">.  </w:t>
      </w:r>
      <w:r w:rsidR="00A368AF">
        <w:rPr>
          <w:lang w:val="fr-FR"/>
        </w:rPr>
        <w:t>L</w:t>
      </w:r>
      <w:r w:rsidR="00F11DED" w:rsidRPr="00CA7293">
        <w:rPr>
          <w:lang w:val="fr-FR"/>
        </w:rPr>
        <w:t>es informations transmises en langage XML (</w:t>
      </w:r>
      <w:proofErr w:type="spellStart"/>
      <w:r w:rsidR="00F11DED" w:rsidRPr="00CA7293">
        <w:rPr>
          <w:lang w:val="fr-FR"/>
        </w:rPr>
        <w:t>eXtended</w:t>
      </w:r>
      <w:proofErr w:type="spellEnd"/>
      <w:r w:rsidR="00F11DED" w:rsidRPr="00CA7293">
        <w:rPr>
          <w:lang w:val="fr-FR"/>
        </w:rPr>
        <w:t xml:space="preserve"> </w:t>
      </w:r>
      <w:proofErr w:type="spellStart"/>
      <w:r w:rsidR="00F11DED" w:rsidRPr="00CA7293">
        <w:rPr>
          <w:lang w:val="fr-FR"/>
        </w:rPr>
        <w:t>Markup</w:t>
      </w:r>
      <w:proofErr w:type="spellEnd"/>
      <w:r w:rsidR="00F11DED" w:rsidRPr="00CA7293">
        <w:rPr>
          <w:lang w:val="fr-FR"/>
        </w:rPr>
        <w:t xml:space="preserve"> </w:t>
      </w:r>
      <w:proofErr w:type="spellStart"/>
      <w:r w:rsidR="00F11DED" w:rsidRPr="00CA7293">
        <w:rPr>
          <w:lang w:val="fr-FR"/>
        </w:rPr>
        <w:t>Language</w:t>
      </w:r>
      <w:proofErr w:type="spellEnd"/>
      <w:r w:rsidR="00F11DED" w:rsidRPr="00CA7293">
        <w:rPr>
          <w:lang w:val="fr-FR"/>
        </w:rPr>
        <w:t>), conformément aux normes</w:t>
      </w:r>
      <w:r w:rsidR="001D2295">
        <w:rPr>
          <w:lang w:val="fr-FR"/>
        </w:rPr>
        <w:t> </w:t>
      </w:r>
      <w:proofErr w:type="spellStart"/>
      <w:r w:rsidR="00F11DED" w:rsidRPr="00CA7293">
        <w:rPr>
          <w:lang w:val="fr-FR"/>
        </w:rPr>
        <w:t>MECA</w:t>
      </w:r>
      <w:proofErr w:type="spellEnd"/>
      <w:r w:rsidR="00F11DED" w:rsidRPr="00CA7293">
        <w:rPr>
          <w:lang w:val="fr-FR"/>
        </w:rPr>
        <w:t xml:space="preserve"> (Madrid </w:t>
      </w:r>
      <w:proofErr w:type="spellStart"/>
      <w:r w:rsidR="00F11DED" w:rsidRPr="00CA7293">
        <w:rPr>
          <w:lang w:val="fr-FR"/>
        </w:rPr>
        <w:t>Electronic</w:t>
      </w:r>
      <w:proofErr w:type="spellEnd"/>
      <w:r w:rsidR="00F11DED" w:rsidRPr="00CA7293">
        <w:rPr>
          <w:lang w:val="fr-FR"/>
        </w:rPr>
        <w:t xml:space="preserve"> </w:t>
      </w:r>
      <w:proofErr w:type="spellStart"/>
      <w:r w:rsidR="00F11DED" w:rsidRPr="00CA7293">
        <w:rPr>
          <w:lang w:val="fr-FR"/>
        </w:rPr>
        <w:t>CommunicAtion</w:t>
      </w:r>
      <w:proofErr w:type="spellEnd"/>
      <w:r w:rsidR="00F11DED" w:rsidRPr="00CA7293">
        <w:rPr>
          <w:lang w:val="fr-FR"/>
        </w:rPr>
        <w:t>)</w:t>
      </w:r>
      <w:r w:rsidR="00A368AF" w:rsidRPr="00A368AF">
        <w:t xml:space="preserve"> </w:t>
      </w:r>
      <w:r w:rsidR="00A368AF">
        <w:t xml:space="preserve">le </w:t>
      </w:r>
      <w:r w:rsidR="00A368AF" w:rsidRPr="00A368AF">
        <w:rPr>
          <w:lang w:val="fr-FR"/>
        </w:rPr>
        <w:t>sont</w:t>
      </w:r>
      <w:r w:rsidR="00A368AF">
        <w:rPr>
          <w:lang w:val="fr-FR"/>
        </w:rPr>
        <w:t xml:space="preserve"> tandis que celles transmises par d’autres moyens</w:t>
      </w:r>
      <w:r w:rsidR="007D23B7" w:rsidRPr="00CA7293">
        <w:rPr>
          <w:lang w:val="fr-FR"/>
        </w:rPr>
        <w:t>,</w:t>
      </w:r>
      <w:r w:rsidR="00EA6367">
        <w:rPr>
          <w:lang w:val="fr-FR"/>
        </w:rPr>
        <w:t xml:space="preserve"> </w:t>
      </w:r>
      <w:r w:rsidR="00383DD6" w:rsidRPr="00CA7293">
        <w:rPr>
          <w:lang w:val="fr-FR"/>
        </w:rPr>
        <w:t>comme</w:t>
      </w:r>
      <w:r w:rsidR="00A33E6F">
        <w:rPr>
          <w:lang w:val="fr-FR"/>
        </w:rPr>
        <w:t xml:space="preserve"> par exemple </w:t>
      </w:r>
      <w:r w:rsidR="00FF2F26" w:rsidRPr="00CA7293">
        <w:rPr>
          <w:lang w:val="fr-FR"/>
        </w:rPr>
        <w:t xml:space="preserve"> les images de documents </w:t>
      </w:r>
      <w:r w:rsidR="00383DD6" w:rsidRPr="00CA7293">
        <w:rPr>
          <w:lang w:val="fr-FR"/>
        </w:rPr>
        <w:t>au</w:t>
      </w:r>
      <w:r w:rsidR="00FF2F26" w:rsidRPr="00CA7293">
        <w:rPr>
          <w:lang w:val="fr-FR"/>
        </w:rPr>
        <w:t xml:space="preserve"> format PDF (Portable Document Format) transmises par l</w:t>
      </w:r>
      <w:r w:rsidR="00482989">
        <w:rPr>
          <w:lang w:val="fr-FR"/>
        </w:rPr>
        <w:t>’</w:t>
      </w:r>
      <w:r w:rsidR="00FF2F26" w:rsidRPr="00CA7293">
        <w:rPr>
          <w:lang w:val="fr-FR"/>
        </w:rPr>
        <w:t xml:space="preserve">intermédiaire du Portail des offices du système de Madrid ou du formulaire en ligne </w:t>
      </w:r>
      <w:r w:rsidR="00FF2F26" w:rsidRPr="003750EB">
        <w:rPr>
          <w:i/>
          <w:lang w:val="fr-FR"/>
        </w:rPr>
        <w:t>Contact Madrid</w:t>
      </w:r>
      <w:r w:rsidR="00FF2F26" w:rsidRPr="00CA7293">
        <w:rPr>
          <w:lang w:val="fr-FR"/>
        </w:rPr>
        <w:t>, ainsi que les documents papier envoyés par l</w:t>
      </w:r>
      <w:r w:rsidR="00482989">
        <w:rPr>
          <w:lang w:val="fr-FR"/>
        </w:rPr>
        <w:t>’</w:t>
      </w:r>
      <w:r w:rsidR="00FF2F26" w:rsidRPr="00CA7293">
        <w:rPr>
          <w:lang w:val="fr-FR"/>
        </w:rPr>
        <w:t>in</w:t>
      </w:r>
      <w:r w:rsidR="00383DD6" w:rsidRPr="00CA7293">
        <w:rPr>
          <w:lang w:val="fr-FR"/>
        </w:rPr>
        <w:t>termédiaire d</w:t>
      </w:r>
      <w:r w:rsidR="00482989">
        <w:rPr>
          <w:lang w:val="fr-FR"/>
        </w:rPr>
        <w:t>’</w:t>
      </w:r>
      <w:r w:rsidR="00383DD6" w:rsidRPr="00CA7293">
        <w:rPr>
          <w:lang w:val="fr-FR"/>
        </w:rPr>
        <w:t>un service postal</w:t>
      </w:r>
      <w:r w:rsidR="00A33E6F">
        <w:rPr>
          <w:lang w:val="fr-FR"/>
        </w:rPr>
        <w:t>, ne le sont pas</w:t>
      </w:r>
      <w:r w:rsidR="00FF2F26" w:rsidRPr="00CA7293">
        <w:rPr>
          <w:lang w:val="fr-FR"/>
        </w:rPr>
        <w:t>.</w:t>
      </w:r>
    </w:p>
    <w:p w14:paraId="6CAF088C" w14:textId="2BFEB9CC" w:rsidR="002C2160" w:rsidRDefault="00F11DED" w:rsidP="00BF5F92">
      <w:pPr>
        <w:pStyle w:val="ONUMFS"/>
        <w:rPr>
          <w:lang w:val="fr-FR"/>
        </w:rPr>
      </w:pPr>
      <w:r w:rsidRPr="00CA7293">
        <w:rPr>
          <w:lang w:val="fr-FR"/>
        </w:rPr>
        <w:t>Lorsque les offices transmettent des informations au format XML, celles</w:t>
      </w:r>
      <w:r w:rsidR="00482989">
        <w:rPr>
          <w:lang w:val="fr-FR"/>
        </w:rPr>
        <w:t>-</w:t>
      </w:r>
      <w:r w:rsidRPr="00CA7293">
        <w:rPr>
          <w:lang w:val="fr-FR"/>
        </w:rPr>
        <w:t>ci sont enregistrées directement dans le système de traitement interne du Bureau international, ce qui permet l</w:t>
      </w:r>
      <w:r w:rsidR="00482989">
        <w:rPr>
          <w:lang w:val="fr-FR"/>
        </w:rPr>
        <w:t>’</w:t>
      </w:r>
      <w:r w:rsidRPr="00CA7293">
        <w:rPr>
          <w:lang w:val="fr-FR"/>
        </w:rPr>
        <w:t>automatisation de la saisie</w:t>
      </w:r>
      <w:r w:rsidR="001B58EE" w:rsidRPr="001B58EE">
        <w:rPr>
          <w:lang w:val="fr-FR"/>
        </w:rPr>
        <w:t xml:space="preserve"> </w:t>
      </w:r>
      <w:r w:rsidR="001B58EE" w:rsidRPr="00CA7293">
        <w:rPr>
          <w:lang w:val="fr-FR"/>
        </w:rPr>
        <w:t>des données</w:t>
      </w:r>
      <w:r w:rsidRPr="00CA7293">
        <w:rPr>
          <w:lang w:val="fr-FR"/>
        </w:rPr>
        <w:t>, de l</w:t>
      </w:r>
      <w:r w:rsidR="00482989">
        <w:rPr>
          <w:lang w:val="fr-FR"/>
        </w:rPr>
        <w:t>’</w:t>
      </w:r>
      <w:r w:rsidRPr="00CA7293">
        <w:rPr>
          <w:lang w:val="fr-FR"/>
        </w:rPr>
        <w:t xml:space="preserve">examen et de la transmission des </w:t>
      </w:r>
      <w:r w:rsidR="001B58EE">
        <w:rPr>
          <w:lang w:val="fr-FR"/>
        </w:rPr>
        <w:t>informations</w:t>
      </w:r>
      <w:r w:rsidRPr="00CA7293">
        <w:rPr>
          <w:lang w:val="fr-FR"/>
        </w:rPr>
        <w:t xml:space="preserve"> au titulai</w:t>
      </w:r>
      <w:r w:rsidR="00867EFE" w:rsidRPr="00CA7293">
        <w:rPr>
          <w:lang w:val="fr-FR"/>
        </w:rPr>
        <w:t>re</w:t>
      </w:r>
      <w:r w:rsidR="00867EFE">
        <w:rPr>
          <w:lang w:val="fr-FR"/>
        </w:rPr>
        <w:t>.  C</w:t>
      </w:r>
      <w:r w:rsidR="00867EFE" w:rsidRPr="00CA7293">
        <w:rPr>
          <w:lang w:val="fr-FR"/>
        </w:rPr>
        <w:t>e</w:t>
      </w:r>
      <w:r w:rsidR="009001F6" w:rsidRPr="00CA7293">
        <w:rPr>
          <w:lang w:val="fr-FR"/>
        </w:rPr>
        <w:t>tte forme de communication n</w:t>
      </w:r>
      <w:r w:rsidR="00482989">
        <w:rPr>
          <w:lang w:val="fr-FR"/>
        </w:rPr>
        <w:t>’</w:t>
      </w:r>
      <w:r w:rsidR="009001F6" w:rsidRPr="00CA7293">
        <w:rPr>
          <w:lang w:val="fr-FR"/>
        </w:rPr>
        <w:t>a pas en soi d</w:t>
      </w:r>
      <w:r w:rsidR="00482989">
        <w:rPr>
          <w:lang w:val="fr-FR"/>
        </w:rPr>
        <w:t>’</w:t>
      </w:r>
      <w:r w:rsidR="009001F6" w:rsidRPr="00CA7293">
        <w:rPr>
          <w:lang w:val="fr-FR"/>
        </w:rPr>
        <w:t>incidence négative sur le délai de réponse à une notification.</w:t>
      </w:r>
    </w:p>
    <w:p w14:paraId="476D266D" w14:textId="1EE510DB" w:rsidR="00482989" w:rsidRDefault="00F642FD" w:rsidP="00513147">
      <w:pPr>
        <w:pStyle w:val="ONUMFS"/>
        <w:rPr>
          <w:lang w:val="fr-FR"/>
        </w:rPr>
      </w:pPr>
      <w:r w:rsidRPr="00BF5F92">
        <w:rPr>
          <w:lang w:val="fr-FR"/>
        </w:rPr>
        <w:t xml:space="preserve">Lorsque les informations transmises par les offices ne sont pas déchiffrables par </w:t>
      </w:r>
      <w:r w:rsidR="00B33F25" w:rsidRPr="00BF5F92">
        <w:rPr>
          <w:lang w:val="fr-FR"/>
        </w:rPr>
        <w:t>machine</w:t>
      </w:r>
      <w:r w:rsidRPr="00BF5F92">
        <w:rPr>
          <w:lang w:val="fr-FR"/>
        </w:rPr>
        <w:t>, le Bureau international doit les traiter manuellement afin de saisir les données, de les examiner et de les transmettre au titulai</w:t>
      </w:r>
      <w:r w:rsidR="00867EFE" w:rsidRPr="00BF5F92">
        <w:rPr>
          <w:lang w:val="fr-FR"/>
        </w:rPr>
        <w:t>re</w:t>
      </w:r>
      <w:r w:rsidR="00867EFE">
        <w:rPr>
          <w:lang w:val="fr-FR"/>
        </w:rPr>
        <w:t xml:space="preserve">.  </w:t>
      </w:r>
      <w:r w:rsidR="00867EFE" w:rsidRPr="00BF5F92">
        <w:rPr>
          <w:lang w:val="fr-FR"/>
        </w:rPr>
        <w:t>Ce</w:t>
      </w:r>
      <w:r w:rsidR="00687EDB" w:rsidRPr="00BF5F92">
        <w:rPr>
          <w:lang w:val="fr-FR"/>
        </w:rPr>
        <w:t xml:space="preserve"> traitement manuel peut avoir un effet négatif sur le délai de réponse à une notification, selon la manière dont il doit être calcu</w:t>
      </w:r>
      <w:r w:rsidR="00867EFE" w:rsidRPr="00BF5F92">
        <w:rPr>
          <w:lang w:val="fr-FR"/>
        </w:rPr>
        <w:t>lé</w:t>
      </w:r>
      <w:r w:rsidR="00867EFE">
        <w:rPr>
          <w:lang w:val="fr-FR"/>
        </w:rPr>
        <w:t xml:space="preserve">.  </w:t>
      </w:r>
      <w:r w:rsidR="00867EFE" w:rsidRPr="00BF5F92">
        <w:rPr>
          <w:lang w:val="fr-FR"/>
        </w:rPr>
        <w:t>L</w:t>
      </w:r>
      <w:r w:rsidR="00867EFE">
        <w:rPr>
          <w:lang w:val="fr-FR"/>
        </w:rPr>
        <w:t>’</w:t>
      </w:r>
      <w:r w:rsidR="00867EFE" w:rsidRPr="00BF5F92">
        <w:rPr>
          <w:lang w:val="fr-FR"/>
        </w:rPr>
        <w:t>e</w:t>
      </w:r>
      <w:r w:rsidR="001C70B4" w:rsidRPr="00BF5F92">
        <w:rPr>
          <w:lang w:val="fr-FR"/>
        </w:rPr>
        <w:t>nvoi de documents papier par l</w:t>
      </w:r>
      <w:r w:rsidR="00482989">
        <w:rPr>
          <w:lang w:val="fr-FR"/>
        </w:rPr>
        <w:t>’</w:t>
      </w:r>
      <w:r w:rsidR="001C70B4" w:rsidRPr="00BF5F92">
        <w:rPr>
          <w:lang w:val="fr-FR"/>
        </w:rPr>
        <w:t>intermédiaire d</w:t>
      </w:r>
      <w:r w:rsidR="00482989">
        <w:rPr>
          <w:lang w:val="fr-FR"/>
        </w:rPr>
        <w:t>’</w:t>
      </w:r>
      <w:r w:rsidR="001C70B4" w:rsidRPr="00BF5F92">
        <w:rPr>
          <w:lang w:val="fr-FR"/>
        </w:rPr>
        <w:t xml:space="preserve">un service postal peut avoir un impact encore plus négatif sur ce délai en raison des retards de livraison </w:t>
      </w:r>
      <w:r w:rsidR="00F36F32" w:rsidRPr="00BF5F92">
        <w:rPr>
          <w:lang w:val="fr-FR"/>
        </w:rPr>
        <w:t>inhérents à l</w:t>
      </w:r>
      <w:r w:rsidR="00482989">
        <w:rPr>
          <w:lang w:val="fr-FR"/>
        </w:rPr>
        <w:t>’</w:t>
      </w:r>
      <w:r w:rsidR="00F36F32" w:rsidRPr="00BF5F92">
        <w:rPr>
          <w:lang w:val="fr-FR"/>
        </w:rPr>
        <w:t>utilisation de ce mode d</w:t>
      </w:r>
      <w:r w:rsidR="00482989">
        <w:rPr>
          <w:lang w:val="fr-FR"/>
        </w:rPr>
        <w:t>’</w:t>
      </w:r>
      <w:r w:rsidR="00F36F32" w:rsidRPr="00BF5F92">
        <w:rPr>
          <w:lang w:val="fr-FR"/>
        </w:rPr>
        <w:t>acheminement</w:t>
      </w:r>
      <w:r w:rsidR="001C70B4" w:rsidRPr="00BF5F92">
        <w:rPr>
          <w:lang w:val="fr-FR"/>
        </w:rPr>
        <w:t>.</w:t>
      </w:r>
    </w:p>
    <w:p w14:paraId="07677ADA" w14:textId="1B67894D" w:rsidR="002C2160" w:rsidRPr="00BF5F92" w:rsidRDefault="00482989" w:rsidP="00BF5F92">
      <w:pPr>
        <w:pStyle w:val="ONUMFS"/>
        <w:rPr>
          <w:lang w:val="fr-FR"/>
        </w:rPr>
      </w:pPr>
      <w:r w:rsidRPr="00BF5F92">
        <w:rPr>
          <w:lang w:val="fr-FR"/>
        </w:rPr>
        <w:lastRenderedPageBreak/>
        <w:t>En</w:t>
      </w:r>
      <w:r>
        <w:rPr>
          <w:lang w:val="fr-FR"/>
        </w:rPr>
        <w:t> </w:t>
      </w:r>
      <w:r w:rsidRPr="00BF5F92">
        <w:rPr>
          <w:lang w:val="fr-FR"/>
        </w:rPr>
        <w:t>2018</w:t>
      </w:r>
      <w:r w:rsidR="004A4C21" w:rsidRPr="00BF5F92">
        <w:rPr>
          <w:lang w:val="fr-FR"/>
        </w:rPr>
        <w:t xml:space="preserve">, le </w:t>
      </w:r>
      <w:r w:rsidR="0043161B">
        <w:rPr>
          <w:lang w:val="fr-FR"/>
        </w:rPr>
        <w:t>Bureau international a reçu 134</w:t>
      </w:r>
      <w:r w:rsidR="007A1C17">
        <w:rPr>
          <w:lang w:val="fr-FR"/>
        </w:rPr>
        <w:t> </w:t>
      </w:r>
      <w:r w:rsidR="004A4C21" w:rsidRPr="00BF5F92">
        <w:rPr>
          <w:lang w:val="fr-FR"/>
        </w:rPr>
        <w:t>600</w:t>
      </w:r>
      <w:r w:rsidR="00F328A4" w:rsidRPr="00BF5F92">
        <w:rPr>
          <w:lang w:val="fr-FR"/>
        </w:rPr>
        <w:t> </w:t>
      </w:r>
      <w:r w:rsidR="004A4C21" w:rsidRPr="00BF5F92">
        <w:rPr>
          <w:lang w:val="fr-FR"/>
        </w:rPr>
        <w:t>notifications de refus provisoire, dont</w:t>
      </w:r>
      <w:r w:rsidR="00E265A7" w:rsidRPr="00BF5F92">
        <w:rPr>
          <w:lang w:val="fr-FR"/>
        </w:rPr>
        <w:t xml:space="preserve"> </w:t>
      </w:r>
      <w:r w:rsidR="007A1C17">
        <w:rPr>
          <w:lang w:val="fr-FR"/>
        </w:rPr>
        <w:t>112 </w:t>
      </w:r>
      <w:r w:rsidR="004A4C21" w:rsidRPr="00BF5F92">
        <w:rPr>
          <w:lang w:val="fr-FR"/>
        </w:rPr>
        <w:t>000 (83%) au format XML;</w:t>
      </w:r>
      <w:r w:rsidR="00777ACD" w:rsidRPr="00BF5F92">
        <w:rPr>
          <w:lang w:val="fr-FR"/>
        </w:rPr>
        <w:t xml:space="preserve"> </w:t>
      </w:r>
      <w:r w:rsidR="004A4C21" w:rsidRPr="00BF5F92">
        <w:rPr>
          <w:lang w:val="fr-FR"/>
        </w:rPr>
        <w:t xml:space="preserve"> toutefois</w:t>
      </w:r>
      <w:r>
        <w:rPr>
          <w:lang w:val="fr-FR"/>
        </w:rPr>
        <w:t> :</w:t>
      </w:r>
    </w:p>
    <w:p w14:paraId="74284E29" w14:textId="7C024129" w:rsidR="002C2160" w:rsidRPr="00CA7293" w:rsidRDefault="00C77029" w:rsidP="00CE4C36">
      <w:pPr>
        <w:pStyle w:val="ONUMFS"/>
        <w:numPr>
          <w:ilvl w:val="0"/>
          <w:numId w:val="26"/>
        </w:numPr>
        <w:ind w:left="567"/>
        <w:rPr>
          <w:lang w:val="fr-FR"/>
        </w:rPr>
      </w:pPr>
      <w:r w:rsidRPr="00CA7293">
        <w:rPr>
          <w:lang w:val="fr-FR"/>
        </w:rPr>
        <w:t>29 offices seulement transmettent leurs informations au format XML;</w:t>
      </w:r>
    </w:p>
    <w:p w14:paraId="6C4607DD" w14:textId="0D1BFB96" w:rsidR="002C2160" w:rsidRPr="00CA7293" w:rsidRDefault="00C77029" w:rsidP="00CE4C36">
      <w:pPr>
        <w:pStyle w:val="ONUMFS"/>
        <w:numPr>
          <w:ilvl w:val="0"/>
          <w:numId w:val="26"/>
        </w:numPr>
        <w:ind w:left="567"/>
        <w:rPr>
          <w:lang w:val="fr-FR"/>
        </w:rPr>
      </w:pPr>
      <w:r w:rsidRPr="00CA7293">
        <w:rPr>
          <w:lang w:val="fr-FR"/>
        </w:rPr>
        <w:t>28 offices transmettent leurs informations par l</w:t>
      </w:r>
      <w:r w:rsidR="00482989">
        <w:rPr>
          <w:lang w:val="fr-FR"/>
        </w:rPr>
        <w:t>’</w:t>
      </w:r>
      <w:r w:rsidRPr="00CA7293">
        <w:rPr>
          <w:lang w:val="fr-FR"/>
        </w:rPr>
        <w:t xml:space="preserve">intermédiaire du Portail des offices du système de Madrid ou du formulaire en ligne </w:t>
      </w:r>
      <w:r w:rsidRPr="003750EB">
        <w:rPr>
          <w:i/>
          <w:lang w:val="fr-FR"/>
        </w:rPr>
        <w:t>Contact Madrid</w:t>
      </w:r>
      <w:r w:rsidRPr="00CA7293">
        <w:rPr>
          <w:lang w:val="fr-FR"/>
        </w:rPr>
        <w:t>, dans des fichiers PDF;</w:t>
      </w:r>
    </w:p>
    <w:p w14:paraId="3FDD305D" w14:textId="5A978EE0" w:rsidR="002C2160" w:rsidRPr="00CA7293" w:rsidRDefault="00C77029" w:rsidP="00E321C5">
      <w:pPr>
        <w:pStyle w:val="ONUMFS"/>
        <w:numPr>
          <w:ilvl w:val="0"/>
          <w:numId w:val="26"/>
        </w:numPr>
        <w:spacing w:after="0"/>
        <w:ind w:left="567"/>
        <w:rPr>
          <w:lang w:val="fr-FR"/>
        </w:rPr>
      </w:pPr>
      <w:r w:rsidRPr="00CA7293">
        <w:rPr>
          <w:lang w:val="fr-FR"/>
        </w:rPr>
        <w:t>36 offices continuent de transmettre leurs informations par l</w:t>
      </w:r>
      <w:r w:rsidR="00482989">
        <w:rPr>
          <w:lang w:val="fr-FR"/>
        </w:rPr>
        <w:t>’</w:t>
      </w:r>
      <w:r w:rsidRPr="00CA7293">
        <w:rPr>
          <w:lang w:val="fr-FR"/>
        </w:rPr>
        <w:t>intermédiaire d</w:t>
      </w:r>
      <w:r w:rsidR="00482989">
        <w:rPr>
          <w:lang w:val="fr-FR"/>
        </w:rPr>
        <w:t>’</w:t>
      </w:r>
      <w:r w:rsidRPr="00CA7293">
        <w:rPr>
          <w:lang w:val="fr-FR"/>
        </w:rPr>
        <w:t>un service postal.</w:t>
      </w:r>
    </w:p>
    <w:p w14:paraId="31010794" w14:textId="4A2F93E1" w:rsidR="002C2160" w:rsidRPr="00314CDF" w:rsidRDefault="00314CDF" w:rsidP="00314CDF">
      <w:pPr>
        <w:pStyle w:val="Heading2"/>
        <w:rPr>
          <w:lang w:val="fr-FR"/>
        </w:rPr>
      </w:pPr>
      <w:r w:rsidRPr="00314CDF">
        <w:rPr>
          <w:lang w:val="fr-FR"/>
        </w:rPr>
        <w:t>Transmission de la notification au titulaire</w:t>
      </w:r>
    </w:p>
    <w:p w14:paraId="0F8C942E" w14:textId="77777777" w:rsidR="002C2160" w:rsidRPr="00CA7293" w:rsidRDefault="002C2160" w:rsidP="00C955F6">
      <w:pPr>
        <w:rPr>
          <w:lang w:val="fr-FR"/>
        </w:rPr>
      </w:pPr>
    </w:p>
    <w:p w14:paraId="708BD21F" w14:textId="12A31DDE" w:rsidR="0043161B" w:rsidRPr="00AE1810" w:rsidRDefault="00F71126" w:rsidP="006720BC">
      <w:pPr>
        <w:pStyle w:val="ONUMFS"/>
        <w:rPr>
          <w:lang w:val="fr-FR"/>
        </w:rPr>
      </w:pPr>
      <w:bookmarkStart w:id="11" w:name="_Ref5089697"/>
      <w:bookmarkStart w:id="12" w:name="_Ref8817003"/>
      <w:r w:rsidRPr="00AE1810">
        <w:rPr>
          <w:lang w:val="fr-FR"/>
        </w:rPr>
        <w:t>Les titulaires ou les mandataires qui ont opté pour les communications électroniques avec le Bureau international reçoivent une copie de la notification de refus provisoire par courrier électroniq</w:t>
      </w:r>
      <w:bookmarkEnd w:id="11"/>
      <w:r w:rsidR="00867EFE" w:rsidRPr="00AE1810">
        <w:rPr>
          <w:lang w:val="fr-FR"/>
        </w:rPr>
        <w:t>ue</w:t>
      </w:r>
      <w:r w:rsidR="00867EFE">
        <w:rPr>
          <w:lang w:val="fr-FR"/>
        </w:rPr>
        <w:t xml:space="preserve">.  </w:t>
      </w:r>
      <w:r w:rsidR="00867EFE" w:rsidRPr="00AE1810">
        <w:rPr>
          <w:lang w:val="fr-FR"/>
        </w:rPr>
        <w:t>Ce</w:t>
      </w:r>
      <w:r w:rsidRPr="00AE1810">
        <w:rPr>
          <w:lang w:val="fr-FR"/>
        </w:rPr>
        <w:t xml:space="preserve"> mode de transmission n</w:t>
      </w:r>
      <w:r w:rsidR="00482989">
        <w:rPr>
          <w:lang w:val="fr-FR"/>
        </w:rPr>
        <w:t>’</w:t>
      </w:r>
      <w:r w:rsidRPr="00AE1810">
        <w:rPr>
          <w:lang w:val="fr-FR"/>
        </w:rPr>
        <w:t>a aucune incidence négative sur le délai dont dispose le titulaire pour répondre à la notification.</w:t>
      </w:r>
      <w:bookmarkEnd w:id="12"/>
    </w:p>
    <w:p w14:paraId="152606FE" w14:textId="4E520146" w:rsidR="002C2160" w:rsidRPr="00CA7293" w:rsidRDefault="001C79E6" w:rsidP="00BF5F92">
      <w:pPr>
        <w:pStyle w:val="ONUMFS"/>
        <w:rPr>
          <w:lang w:val="fr-FR"/>
        </w:rPr>
      </w:pPr>
      <w:r w:rsidRPr="00CA7293">
        <w:rPr>
          <w:lang w:val="fr-FR"/>
        </w:rPr>
        <w:t>Les titulaires ou les mandataires qui n</w:t>
      </w:r>
      <w:r w:rsidR="00482989">
        <w:rPr>
          <w:lang w:val="fr-FR"/>
        </w:rPr>
        <w:t>’</w:t>
      </w:r>
      <w:r w:rsidRPr="00CA7293">
        <w:rPr>
          <w:lang w:val="fr-FR"/>
        </w:rPr>
        <w:t>ont pas opté pour les communications électroniques avec le Bureau international reçoivent une copie de la notification de refus provisoire expédiée par l</w:t>
      </w:r>
      <w:r w:rsidR="00482989">
        <w:rPr>
          <w:lang w:val="fr-FR"/>
        </w:rPr>
        <w:t>’</w:t>
      </w:r>
      <w:r w:rsidRPr="00CA7293">
        <w:rPr>
          <w:lang w:val="fr-FR"/>
        </w:rPr>
        <w:t>intermédiaire du service postal, ce qui peut réduire le délai dont dispose effectivement le titulaire pour répondre à la notificati</w:t>
      </w:r>
      <w:r w:rsidR="00867EFE" w:rsidRPr="00CA7293">
        <w:rPr>
          <w:lang w:val="fr-FR"/>
        </w:rPr>
        <w:t>on</w:t>
      </w:r>
      <w:r w:rsidR="00867EFE">
        <w:rPr>
          <w:lang w:val="fr-FR"/>
        </w:rPr>
        <w:t>.  L</w:t>
      </w:r>
      <w:r w:rsidR="00867EFE" w:rsidRPr="00CA7293">
        <w:rPr>
          <w:lang w:val="fr-FR"/>
        </w:rPr>
        <w:t>a</w:t>
      </w:r>
      <w:r w:rsidRPr="00CA7293">
        <w:rPr>
          <w:lang w:val="fr-FR"/>
        </w:rPr>
        <w:t xml:space="preserve"> notification par courrier peut prendre, en moyenne, </w:t>
      </w:r>
      <w:r w:rsidR="00FC3179" w:rsidRPr="00CA7293">
        <w:rPr>
          <w:lang w:val="fr-FR"/>
        </w:rPr>
        <w:t>de</w:t>
      </w:r>
      <w:r w:rsidRPr="00CA7293">
        <w:rPr>
          <w:lang w:val="fr-FR"/>
        </w:rPr>
        <w:t xml:space="preserve"> deux </w:t>
      </w:r>
      <w:r w:rsidR="00FC3179" w:rsidRPr="00CA7293">
        <w:rPr>
          <w:lang w:val="fr-FR"/>
        </w:rPr>
        <w:t>à</w:t>
      </w:r>
      <w:r w:rsidRPr="00CA7293">
        <w:rPr>
          <w:lang w:val="fr-FR"/>
        </w:rPr>
        <w:t xml:space="preserve"> quatre</w:t>
      </w:r>
      <w:r w:rsidR="001D2295">
        <w:rPr>
          <w:lang w:val="fr-FR"/>
        </w:rPr>
        <w:t> </w:t>
      </w:r>
      <w:r w:rsidRPr="00CA7293">
        <w:rPr>
          <w:lang w:val="fr-FR"/>
        </w:rPr>
        <w:t xml:space="preserve">jours si le destinataire se trouve en Europe, </w:t>
      </w:r>
      <w:r w:rsidR="00FC3179" w:rsidRPr="00CA7293">
        <w:rPr>
          <w:lang w:val="fr-FR"/>
        </w:rPr>
        <w:t>de</w:t>
      </w:r>
      <w:r w:rsidRPr="00CA7293">
        <w:rPr>
          <w:lang w:val="fr-FR"/>
        </w:rPr>
        <w:t xml:space="preserve"> quatre</w:t>
      </w:r>
      <w:r w:rsidR="001D2295">
        <w:rPr>
          <w:lang w:val="fr-FR"/>
        </w:rPr>
        <w:t> </w:t>
      </w:r>
      <w:r w:rsidR="00FC3179" w:rsidRPr="00CA7293">
        <w:rPr>
          <w:lang w:val="fr-FR"/>
        </w:rPr>
        <w:t>à</w:t>
      </w:r>
      <w:r w:rsidRPr="00CA7293">
        <w:rPr>
          <w:lang w:val="fr-FR"/>
        </w:rPr>
        <w:t xml:space="preserve"> sept</w:t>
      </w:r>
      <w:r w:rsidR="001D2295">
        <w:rPr>
          <w:lang w:val="fr-FR"/>
        </w:rPr>
        <w:t> </w:t>
      </w:r>
      <w:r w:rsidRPr="00CA7293">
        <w:rPr>
          <w:lang w:val="fr-FR"/>
        </w:rPr>
        <w:t>jours s</w:t>
      </w:r>
      <w:r w:rsidR="00482989">
        <w:rPr>
          <w:lang w:val="fr-FR"/>
        </w:rPr>
        <w:t>’</w:t>
      </w:r>
      <w:r w:rsidRPr="00CA7293">
        <w:rPr>
          <w:lang w:val="fr-FR"/>
        </w:rPr>
        <w:t>il se trouve aux États</w:t>
      </w:r>
      <w:r w:rsidR="00482989">
        <w:rPr>
          <w:lang w:val="fr-FR"/>
        </w:rPr>
        <w:t>-</w:t>
      </w:r>
      <w:r w:rsidRPr="00CA7293">
        <w:rPr>
          <w:lang w:val="fr-FR"/>
        </w:rPr>
        <w:t>Unis d</w:t>
      </w:r>
      <w:r w:rsidR="00482989">
        <w:rPr>
          <w:lang w:val="fr-FR"/>
        </w:rPr>
        <w:t>’</w:t>
      </w:r>
      <w:r w:rsidRPr="00CA7293">
        <w:rPr>
          <w:lang w:val="fr-FR"/>
        </w:rPr>
        <w:t xml:space="preserve">Amérique, et </w:t>
      </w:r>
      <w:r w:rsidR="00FC3179" w:rsidRPr="00CA7293">
        <w:rPr>
          <w:lang w:val="fr-FR"/>
        </w:rPr>
        <w:t>de</w:t>
      </w:r>
      <w:r w:rsidRPr="00CA7293">
        <w:rPr>
          <w:lang w:val="fr-FR"/>
        </w:rPr>
        <w:t xml:space="preserve"> </w:t>
      </w:r>
      <w:r w:rsidR="001C0737" w:rsidRPr="00CA7293">
        <w:rPr>
          <w:lang w:val="fr-FR"/>
        </w:rPr>
        <w:t>quatre</w:t>
      </w:r>
      <w:r w:rsidRPr="00CA7293">
        <w:rPr>
          <w:lang w:val="fr-FR"/>
        </w:rPr>
        <w:t xml:space="preserve"> </w:t>
      </w:r>
      <w:r w:rsidR="00FC3179" w:rsidRPr="00CA7293">
        <w:rPr>
          <w:lang w:val="fr-FR"/>
        </w:rPr>
        <w:t>à</w:t>
      </w:r>
      <w:r w:rsidR="001C0737" w:rsidRPr="00CA7293">
        <w:rPr>
          <w:lang w:val="fr-FR"/>
        </w:rPr>
        <w:t xml:space="preserve"> dix </w:t>
      </w:r>
      <w:r w:rsidRPr="00CA7293">
        <w:rPr>
          <w:lang w:val="fr-FR"/>
        </w:rPr>
        <w:t>jours pour le reste du monde.</w:t>
      </w:r>
    </w:p>
    <w:p w14:paraId="2EE60CA1" w14:textId="776C0F8F" w:rsidR="002C2160" w:rsidRPr="00CA7293" w:rsidRDefault="005A32BB" w:rsidP="00BF5F92">
      <w:pPr>
        <w:pStyle w:val="ONUMFS"/>
        <w:rPr>
          <w:lang w:val="fr-FR"/>
        </w:rPr>
      </w:pPr>
      <w:r w:rsidRPr="00CA7293">
        <w:rPr>
          <w:lang w:val="fr-FR"/>
        </w:rPr>
        <w:t>Lorsqu</w:t>
      </w:r>
      <w:r w:rsidR="00482989">
        <w:rPr>
          <w:lang w:val="fr-FR"/>
        </w:rPr>
        <w:t>’</w:t>
      </w:r>
      <w:r w:rsidRPr="00CA7293">
        <w:rPr>
          <w:lang w:val="fr-FR"/>
        </w:rPr>
        <w:t>une communication électronique ne parvient pas à son destinataire, le Bureau international reçoit un message automatique de non</w:t>
      </w:r>
      <w:r w:rsidR="00482989">
        <w:rPr>
          <w:lang w:val="fr-FR"/>
        </w:rPr>
        <w:t>-</w:t>
      </w:r>
      <w:r w:rsidRPr="00CA7293">
        <w:rPr>
          <w:lang w:val="fr-FR"/>
        </w:rPr>
        <w:t>transmission émanant du prestataire de service de messagerie électroniq</w:t>
      </w:r>
      <w:r w:rsidR="00867EFE" w:rsidRPr="00CA7293">
        <w:rPr>
          <w:lang w:val="fr-FR"/>
        </w:rPr>
        <w:t>ue</w:t>
      </w:r>
      <w:r w:rsidR="00867EFE">
        <w:rPr>
          <w:lang w:val="fr-FR"/>
        </w:rPr>
        <w:t>.  C</w:t>
      </w:r>
      <w:r w:rsidR="00867EFE" w:rsidRPr="00CA7293">
        <w:rPr>
          <w:lang w:val="fr-FR"/>
        </w:rPr>
        <w:t>e</w:t>
      </w:r>
      <w:r w:rsidR="001E09AC" w:rsidRPr="00CA7293">
        <w:rPr>
          <w:lang w:val="fr-FR"/>
        </w:rPr>
        <w:t>la permet au Bureau international de réexpédier la communication par voie électronique et, en cas de nouvel avis de non</w:t>
      </w:r>
      <w:r w:rsidR="00482989">
        <w:rPr>
          <w:lang w:val="fr-FR"/>
        </w:rPr>
        <w:t>-</w:t>
      </w:r>
      <w:r w:rsidR="001E09AC" w:rsidRPr="00CA7293">
        <w:rPr>
          <w:lang w:val="fr-FR"/>
        </w:rPr>
        <w:t>transmission, de l</w:t>
      </w:r>
      <w:r w:rsidR="00482989">
        <w:rPr>
          <w:lang w:val="fr-FR"/>
        </w:rPr>
        <w:t>’</w:t>
      </w:r>
      <w:r w:rsidR="001E09AC" w:rsidRPr="00CA7293">
        <w:rPr>
          <w:lang w:val="fr-FR"/>
        </w:rPr>
        <w:t>envoyer au titulaire par l</w:t>
      </w:r>
      <w:r w:rsidR="00482989">
        <w:rPr>
          <w:lang w:val="fr-FR"/>
        </w:rPr>
        <w:t>’</w:t>
      </w:r>
      <w:r w:rsidR="001E09AC" w:rsidRPr="00CA7293">
        <w:rPr>
          <w:lang w:val="fr-FR"/>
        </w:rPr>
        <w:t>intermédiaire du service postal.</w:t>
      </w:r>
    </w:p>
    <w:p w14:paraId="0DAD5967" w14:textId="795F696A" w:rsidR="002C2160" w:rsidRPr="00CA7293" w:rsidRDefault="00C8682B" w:rsidP="00BF5F92">
      <w:pPr>
        <w:pStyle w:val="ONUMFS"/>
        <w:rPr>
          <w:lang w:val="fr-FR"/>
        </w:rPr>
      </w:pPr>
      <w:r w:rsidRPr="00CA7293">
        <w:rPr>
          <w:lang w:val="fr-FR"/>
        </w:rPr>
        <w:t xml:space="preserve">Les titulaires et les mandataires peuvent également utiliser le </w:t>
      </w:r>
      <w:r w:rsidRPr="003750EB">
        <w:rPr>
          <w:i/>
          <w:lang w:val="fr-FR"/>
        </w:rPr>
        <w:t>Madrid Portfolio Manager</w:t>
      </w:r>
      <w:r w:rsidRPr="00CA7293">
        <w:rPr>
          <w:lang w:val="fr-FR"/>
        </w:rPr>
        <w:t xml:space="preserve"> (MPM), un outil en ligne sécurisé qui permet l</w:t>
      </w:r>
      <w:r w:rsidR="00482989">
        <w:rPr>
          <w:lang w:val="fr-FR"/>
        </w:rPr>
        <w:t>’</w:t>
      </w:r>
      <w:r w:rsidRPr="00CA7293">
        <w:rPr>
          <w:lang w:val="fr-FR"/>
        </w:rPr>
        <w:t>échange électronique de communications avec le</w:t>
      </w:r>
      <w:r w:rsidR="00E321C5">
        <w:rPr>
          <w:lang w:val="fr-FR"/>
        </w:rPr>
        <w:t> </w:t>
      </w:r>
      <w:r w:rsidRPr="00CA7293">
        <w:rPr>
          <w:lang w:val="fr-FR"/>
        </w:rPr>
        <w:t>Bureau internation</w:t>
      </w:r>
      <w:r w:rsidR="00867EFE" w:rsidRPr="00CA7293">
        <w:rPr>
          <w:lang w:val="fr-FR"/>
        </w:rPr>
        <w:t>al</w:t>
      </w:r>
      <w:r w:rsidR="00867EFE">
        <w:rPr>
          <w:lang w:val="fr-FR"/>
        </w:rPr>
        <w:t>.  C</w:t>
      </w:r>
      <w:r w:rsidR="00867EFE" w:rsidRPr="00CA7293">
        <w:rPr>
          <w:lang w:val="fr-FR"/>
        </w:rPr>
        <w:t>o</w:t>
      </w:r>
      <w:r w:rsidR="003C713B" w:rsidRPr="00CA7293">
        <w:rPr>
          <w:lang w:val="fr-FR"/>
        </w:rPr>
        <w:t>mme les autres communications électroniques, ce mode de transmission n</w:t>
      </w:r>
      <w:r w:rsidR="00482989">
        <w:rPr>
          <w:lang w:val="fr-FR"/>
        </w:rPr>
        <w:t>’</w:t>
      </w:r>
      <w:r w:rsidR="003C713B" w:rsidRPr="00CA7293">
        <w:rPr>
          <w:lang w:val="fr-FR"/>
        </w:rPr>
        <w:t>a aucune incidence négative sur le délai dont dispose le titulaire pour répondre à</w:t>
      </w:r>
      <w:r w:rsidR="00E321C5">
        <w:rPr>
          <w:lang w:val="fr-FR"/>
        </w:rPr>
        <w:t> </w:t>
      </w:r>
      <w:r w:rsidR="003C713B" w:rsidRPr="00CA7293">
        <w:rPr>
          <w:lang w:val="fr-FR"/>
        </w:rPr>
        <w:t>la notification.</w:t>
      </w:r>
    </w:p>
    <w:p w14:paraId="434B7AF2" w14:textId="61A5BB8C" w:rsidR="002C2160" w:rsidRPr="00CA7293" w:rsidRDefault="00482989" w:rsidP="00BF5F92">
      <w:pPr>
        <w:pStyle w:val="ONUMFS"/>
        <w:rPr>
          <w:lang w:val="fr-FR"/>
        </w:rPr>
      </w:pPr>
      <w:bookmarkStart w:id="13" w:name="_Ref8817020"/>
      <w:r w:rsidRPr="00CA7293">
        <w:rPr>
          <w:lang w:val="fr-FR"/>
        </w:rPr>
        <w:t>En</w:t>
      </w:r>
      <w:r>
        <w:rPr>
          <w:lang w:val="fr-FR"/>
        </w:rPr>
        <w:t> </w:t>
      </w:r>
      <w:r w:rsidRPr="00CA7293">
        <w:rPr>
          <w:lang w:val="fr-FR"/>
        </w:rPr>
        <w:t>2018</w:t>
      </w:r>
      <w:r w:rsidR="003C713B" w:rsidRPr="00CA7293">
        <w:rPr>
          <w:lang w:val="fr-FR"/>
        </w:rPr>
        <w:t>, le Bu</w:t>
      </w:r>
      <w:r w:rsidR="00BF5F92">
        <w:rPr>
          <w:lang w:val="fr-FR"/>
        </w:rPr>
        <w:t>reau international a envoyé 325 </w:t>
      </w:r>
      <w:r w:rsidR="003C713B" w:rsidRPr="00CA7293">
        <w:rPr>
          <w:lang w:val="fr-FR"/>
        </w:rPr>
        <w:t>670</w:t>
      </w:r>
      <w:r w:rsidR="00F328A4">
        <w:rPr>
          <w:lang w:val="fr-FR"/>
        </w:rPr>
        <w:t> </w:t>
      </w:r>
      <w:r w:rsidR="003C713B" w:rsidRPr="00CA7293">
        <w:rPr>
          <w:lang w:val="fr-FR"/>
        </w:rPr>
        <w:t xml:space="preserve">notifications à des titulaires ou à leurs </w:t>
      </w:r>
      <w:r w:rsidR="0022241A">
        <w:rPr>
          <w:lang w:val="fr-FR"/>
        </w:rPr>
        <w:t>mandataires</w:t>
      </w:r>
      <w:r w:rsidR="003C713B" w:rsidRPr="00CA7293">
        <w:rPr>
          <w:lang w:val="fr-FR"/>
        </w:rPr>
        <w:t>, dont 88% par voie électroniq</w:t>
      </w:r>
      <w:r w:rsidR="00867EFE" w:rsidRPr="00CA7293">
        <w:rPr>
          <w:lang w:val="fr-FR"/>
        </w:rPr>
        <w:t>ue</w:t>
      </w:r>
      <w:r w:rsidR="00867EFE">
        <w:rPr>
          <w:lang w:val="fr-FR"/>
        </w:rPr>
        <w:t>.  L</w:t>
      </w:r>
      <w:r w:rsidR="00867EFE" w:rsidRPr="00CA7293">
        <w:rPr>
          <w:lang w:val="fr-FR"/>
        </w:rPr>
        <w:t>a</w:t>
      </w:r>
      <w:r w:rsidR="00141FD3" w:rsidRPr="00CA7293">
        <w:rPr>
          <w:lang w:val="fr-FR"/>
        </w:rPr>
        <w:t xml:space="preserve"> même année, le Bureau international a enregistré 52</w:t>
      </w:r>
      <w:r w:rsidR="001D2295">
        <w:rPr>
          <w:lang w:val="fr-FR"/>
        </w:rPr>
        <w:t> </w:t>
      </w:r>
      <w:r w:rsidR="00141FD3" w:rsidRPr="00CA7293">
        <w:rPr>
          <w:lang w:val="fr-FR"/>
        </w:rPr>
        <w:t>989</w:t>
      </w:r>
      <w:r w:rsidR="00F328A4">
        <w:rPr>
          <w:lang w:val="fr-FR"/>
        </w:rPr>
        <w:t> </w:t>
      </w:r>
      <w:r w:rsidR="00141FD3" w:rsidRPr="00CA7293">
        <w:rPr>
          <w:lang w:val="fr-FR"/>
        </w:rPr>
        <w:t>marques et, dans 87% des cas, le titulaire ou le mandataire avait indiqué une adresse électronique.</w:t>
      </w:r>
      <w:bookmarkEnd w:id="13"/>
    </w:p>
    <w:p w14:paraId="5B8D11D2" w14:textId="5A1CC4B4" w:rsidR="002C2160" w:rsidRDefault="002A2A69" w:rsidP="00CE4C36">
      <w:pPr>
        <w:pStyle w:val="ONUMFS"/>
        <w:spacing w:after="0"/>
        <w:rPr>
          <w:lang w:val="fr-FR"/>
        </w:rPr>
      </w:pPr>
      <w:r w:rsidRPr="00CA7293">
        <w:rPr>
          <w:lang w:val="fr-FR"/>
        </w:rPr>
        <w:t>Compte tenu des informations présentées aux paragraphes</w:t>
      </w:r>
      <w:r w:rsidR="00F328A4">
        <w:rPr>
          <w:lang w:val="fr-FR"/>
        </w:rPr>
        <w:t> </w:t>
      </w:r>
      <w:r w:rsidR="00F27757">
        <w:rPr>
          <w:lang w:val="fr-FR"/>
        </w:rPr>
        <w:fldChar w:fldCharType="begin"/>
      </w:r>
      <w:r w:rsidR="00F27757">
        <w:rPr>
          <w:lang w:val="fr-FR"/>
        </w:rPr>
        <w:instrText xml:space="preserve"> REF _Ref8817003 \r \h </w:instrText>
      </w:r>
      <w:r w:rsidR="00F27757">
        <w:rPr>
          <w:lang w:val="fr-FR"/>
        </w:rPr>
      </w:r>
      <w:r w:rsidR="00F27757">
        <w:rPr>
          <w:lang w:val="fr-FR"/>
        </w:rPr>
        <w:fldChar w:fldCharType="separate"/>
      </w:r>
      <w:r w:rsidR="00F27757">
        <w:rPr>
          <w:lang w:val="fr-FR"/>
        </w:rPr>
        <w:t>25</w:t>
      </w:r>
      <w:r w:rsidR="00F27757">
        <w:rPr>
          <w:lang w:val="fr-FR"/>
        </w:rPr>
        <w:fldChar w:fldCharType="end"/>
      </w:r>
      <w:r w:rsidRPr="00CA7293">
        <w:rPr>
          <w:lang w:val="fr-FR"/>
        </w:rPr>
        <w:t xml:space="preserve"> à </w:t>
      </w:r>
      <w:r w:rsidR="00F27757">
        <w:rPr>
          <w:lang w:val="fr-FR"/>
        </w:rPr>
        <w:fldChar w:fldCharType="begin"/>
      </w:r>
      <w:r w:rsidR="00F27757">
        <w:rPr>
          <w:lang w:val="fr-FR"/>
        </w:rPr>
        <w:instrText xml:space="preserve"> REF _Ref8817020 \r \h </w:instrText>
      </w:r>
      <w:r w:rsidR="00F27757">
        <w:rPr>
          <w:lang w:val="fr-FR"/>
        </w:rPr>
      </w:r>
      <w:r w:rsidR="00F27757">
        <w:rPr>
          <w:lang w:val="fr-FR"/>
        </w:rPr>
        <w:fldChar w:fldCharType="separate"/>
      </w:r>
      <w:r w:rsidR="00F27757">
        <w:rPr>
          <w:lang w:val="fr-FR"/>
        </w:rPr>
        <w:t>29</w:t>
      </w:r>
      <w:r w:rsidR="00F27757">
        <w:rPr>
          <w:lang w:val="fr-FR"/>
        </w:rPr>
        <w:fldChar w:fldCharType="end"/>
      </w:r>
      <w:r w:rsidRPr="00CA7293">
        <w:rPr>
          <w:lang w:val="fr-FR"/>
        </w:rPr>
        <w:t xml:space="preserve"> ci</w:t>
      </w:r>
      <w:r w:rsidR="00482989">
        <w:rPr>
          <w:lang w:val="fr-FR"/>
        </w:rPr>
        <w:t>-</w:t>
      </w:r>
      <w:r w:rsidRPr="00CA7293">
        <w:rPr>
          <w:lang w:val="fr-FR"/>
        </w:rPr>
        <w:t xml:space="preserve">dessus, le groupe de travail pourrait envisager </w:t>
      </w:r>
      <w:r w:rsidR="00F01AC4">
        <w:rPr>
          <w:lang w:val="fr-FR"/>
        </w:rPr>
        <w:t xml:space="preserve">la possibilité </w:t>
      </w:r>
      <w:r w:rsidRPr="00CA7293">
        <w:rPr>
          <w:lang w:val="fr-FR"/>
        </w:rPr>
        <w:t>d</w:t>
      </w:r>
      <w:r w:rsidR="00482989">
        <w:rPr>
          <w:lang w:val="fr-FR"/>
        </w:rPr>
        <w:t>’</w:t>
      </w:r>
      <w:r w:rsidR="00F01AC4">
        <w:rPr>
          <w:lang w:val="fr-FR"/>
        </w:rPr>
        <w:t>exiger</w:t>
      </w:r>
      <w:r w:rsidRPr="00CA7293">
        <w:rPr>
          <w:lang w:val="fr-FR"/>
        </w:rPr>
        <w:t xml:space="preserve"> </w:t>
      </w:r>
      <w:r w:rsidR="000B3753">
        <w:rPr>
          <w:lang w:val="fr-FR"/>
        </w:rPr>
        <w:t>d</w:t>
      </w:r>
      <w:r w:rsidRPr="00CA7293">
        <w:rPr>
          <w:lang w:val="fr-FR"/>
        </w:rPr>
        <w:t xml:space="preserve">es déposants et </w:t>
      </w:r>
      <w:r w:rsidR="000B3753">
        <w:rPr>
          <w:lang w:val="fr-FR"/>
        </w:rPr>
        <w:t>d</w:t>
      </w:r>
      <w:r w:rsidRPr="00CA7293">
        <w:rPr>
          <w:lang w:val="fr-FR"/>
        </w:rPr>
        <w:t xml:space="preserve">es mandataires </w:t>
      </w:r>
      <w:r w:rsidR="000B3753">
        <w:rPr>
          <w:lang w:val="fr-FR"/>
        </w:rPr>
        <w:t>de</w:t>
      </w:r>
      <w:r w:rsidRPr="00CA7293">
        <w:rPr>
          <w:lang w:val="fr-FR"/>
        </w:rPr>
        <w:t xml:space="preserve"> fournir une adresse électronique dans la demande internationale et </w:t>
      </w:r>
      <w:r w:rsidR="000B3753">
        <w:rPr>
          <w:lang w:val="fr-FR"/>
        </w:rPr>
        <w:t>de</w:t>
      </w:r>
      <w:r w:rsidRPr="00CA7293">
        <w:rPr>
          <w:lang w:val="fr-FR"/>
        </w:rPr>
        <w:t xml:space="preserve"> faire de la communication par voie électronique l</w:t>
      </w:r>
      <w:r w:rsidR="00482989">
        <w:rPr>
          <w:lang w:val="fr-FR"/>
        </w:rPr>
        <w:t>’</w:t>
      </w:r>
      <w:r w:rsidRPr="00CA7293">
        <w:rPr>
          <w:lang w:val="fr-FR"/>
        </w:rPr>
        <w:t xml:space="preserve">option par défaut pour </w:t>
      </w:r>
      <w:r w:rsidR="000B3753">
        <w:rPr>
          <w:lang w:val="fr-FR"/>
        </w:rPr>
        <w:t>les communications</w:t>
      </w:r>
      <w:r w:rsidR="00350102" w:rsidRPr="00CA7293">
        <w:rPr>
          <w:lang w:val="fr-FR"/>
        </w:rPr>
        <w:t xml:space="preserve"> </w:t>
      </w:r>
      <w:r w:rsidR="000D0490">
        <w:rPr>
          <w:lang w:val="fr-FR"/>
        </w:rPr>
        <w:t>adressées par le</w:t>
      </w:r>
      <w:r w:rsidRPr="00CA7293">
        <w:rPr>
          <w:lang w:val="fr-FR"/>
        </w:rPr>
        <w:t xml:space="preserve"> Bureau international</w:t>
      </w:r>
      <w:r w:rsidR="000D0490">
        <w:rPr>
          <w:lang w:val="fr-FR"/>
        </w:rPr>
        <w:t xml:space="preserve"> aux déposants </w:t>
      </w:r>
      <w:r w:rsidR="00835BED">
        <w:rPr>
          <w:lang w:val="fr-FR"/>
        </w:rPr>
        <w:t xml:space="preserve">et </w:t>
      </w:r>
      <w:r w:rsidR="000D0490">
        <w:rPr>
          <w:lang w:val="fr-FR"/>
        </w:rPr>
        <w:t>titulaires</w:t>
      </w:r>
      <w:r w:rsidRPr="00CA7293">
        <w:rPr>
          <w:lang w:val="fr-FR"/>
        </w:rPr>
        <w:t>.</w:t>
      </w:r>
    </w:p>
    <w:p w14:paraId="43C6B0BF" w14:textId="29A5F082" w:rsidR="002C2160" w:rsidRPr="00CA7293" w:rsidRDefault="00314CDF" w:rsidP="00E321C5">
      <w:pPr>
        <w:pStyle w:val="Heading1"/>
        <w:keepLines/>
        <w:rPr>
          <w:lang w:val="fr-FR"/>
        </w:rPr>
      </w:pPr>
      <w:r w:rsidRPr="00CA7293">
        <w:rPr>
          <w:lang w:val="fr-FR"/>
        </w:rPr>
        <w:lastRenderedPageBreak/>
        <w:t>Questions à examiner</w:t>
      </w:r>
    </w:p>
    <w:p w14:paraId="38777750" w14:textId="77777777" w:rsidR="002C2160" w:rsidRPr="00CA7293" w:rsidRDefault="002C2160" w:rsidP="00E321C5">
      <w:pPr>
        <w:keepNext/>
        <w:keepLines/>
        <w:rPr>
          <w:lang w:val="fr-FR"/>
        </w:rPr>
      </w:pPr>
    </w:p>
    <w:p w14:paraId="3767D3B6" w14:textId="55BE7CDC" w:rsidR="0043161B" w:rsidRDefault="00670D06" w:rsidP="00E321C5">
      <w:pPr>
        <w:pStyle w:val="ONUMFS"/>
        <w:keepNext/>
        <w:keepLines/>
        <w:rPr>
          <w:lang w:val="fr-FR"/>
        </w:rPr>
      </w:pPr>
      <w:r w:rsidRPr="0043161B">
        <w:rPr>
          <w:lang w:val="fr-FR"/>
        </w:rPr>
        <w:t>La situation actuelle, dans laquelle les délais de réponse à une notification de refus provisoire et leur mode de calcul varient selon les offices, pose des difficultés aux titulaires d</w:t>
      </w:r>
      <w:r w:rsidR="00482989">
        <w:rPr>
          <w:lang w:val="fr-FR"/>
        </w:rPr>
        <w:t>’</w:t>
      </w:r>
      <w:r w:rsidRPr="0043161B">
        <w:rPr>
          <w:lang w:val="fr-FR"/>
        </w:rPr>
        <w:t>enregistrements internationaux.</w:t>
      </w:r>
    </w:p>
    <w:p w14:paraId="5785B66B" w14:textId="0D1ACE46" w:rsidR="002C2160" w:rsidRPr="0043161B" w:rsidRDefault="00EC71C4" w:rsidP="00CB2D41">
      <w:pPr>
        <w:pStyle w:val="ONUMFS"/>
        <w:rPr>
          <w:lang w:val="fr-FR"/>
        </w:rPr>
      </w:pPr>
      <w:r w:rsidRPr="0043161B">
        <w:rPr>
          <w:lang w:val="fr-FR"/>
        </w:rPr>
        <w:t>Le temps dont dispose effectivement un titulaire pour répondre à la notification dépend d</w:t>
      </w:r>
      <w:r w:rsidR="00482989">
        <w:rPr>
          <w:lang w:val="fr-FR"/>
        </w:rPr>
        <w:t>’</w:t>
      </w:r>
      <w:r w:rsidRPr="0043161B">
        <w:rPr>
          <w:lang w:val="fr-FR"/>
        </w:rPr>
        <w:t>un certain nombre de facteurs, tels que la durée du délai de réponse, la manière dont il est calculé, la manière dont l</w:t>
      </w:r>
      <w:r w:rsidR="00482989">
        <w:rPr>
          <w:lang w:val="fr-FR"/>
        </w:rPr>
        <w:t>’</w:t>
      </w:r>
      <w:r w:rsidRPr="0043161B">
        <w:rPr>
          <w:lang w:val="fr-FR"/>
        </w:rPr>
        <w:t xml:space="preserve">office transmet la notification au Bureau international, le format déchiffrable par </w:t>
      </w:r>
      <w:r w:rsidR="00205A9B">
        <w:rPr>
          <w:lang w:val="fr-FR"/>
        </w:rPr>
        <w:t>machine</w:t>
      </w:r>
      <w:r w:rsidRPr="0043161B">
        <w:rPr>
          <w:lang w:val="fr-FR"/>
        </w:rPr>
        <w:t xml:space="preserve"> ou non des informations reçues par le Bureau international et la manière dont la notification est transmise au titulaire.</w:t>
      </w:r>
    </w:p>
    <w:p w14:paraId="7B5A8BF2" w14:textId="4A2E923D" w:rsidR="002C2160" w:rsidRPr="00CA7293" w:rsidRDefault="00EC71C4" w:rsidP="00BF5F92">
      <w:pPr>
        <w:pStyle w:val="ONUMFS"/>
        <w:rPr>
          <w:lang w:val="fr-FR"/>
        </w:rPr>
      </w:pPr>
      <w:r w:rsidRPr="00CA7293">
        <w:rPr>
          <w:lang w:val="fr-FR"/>
        </w:rPr>
        <w:t>Il est tout à fait plausible que, dans le pire des cas, au moment où le titulaire reçoit une notification, le délai pour y répondre ait déjà expi</w:t>
      </w:r>
      <w:r w:rsidR="00867EFE" w:rsidRPr="00CA7293">
        <w:rPr>
          <w:lang w:val="fr-FR"/>
        </w:rPr>
        <w:t>ré</w:t>
      </w:r>
      <w:r w:rsidR="00867EFE">
        <w:rPr>
          <w:lang w:val="fr-FR"/>
        </w:rPr>
        <w:t>.  P</w:t>
      </w:r>
      <w:r w:rsidR="00867EFE" w:rsidRPr="00CA7293">
        <w:rPr>
          <w:lang w:val="fr-FR"/>
        </w:rPr>
        <w:t>o</w:t>
      </w:r>
      <w:r w:rsidR="00B50940" w:rsidRPr="00CA7293">
        <w:rPr>
          <w:lang w:val="fr-FR"/>
        </w:rPr>
        <w:t>ur éviter ce scénario, le Bureau international donne la priorité, lorsqu</w:t>
      </w:r>
      <w:r w:rsidR="00482989">
        <w:rPr>
          <w:lang w:val="fr-FR"/>
        </w:rPr>
        <w:t>’</w:t>
      </w:r>
      <w:r w:rsidR="00B50940" w:rsidRPr="00CA7293">
        <w:rPr>
          <w:lang w:val="fr-FR"/>
        </w:rPr>
        <w:t xml:space="preserve">il examine les notifications envoyées par les parties contractantes, à celles qui ont les délais de réponse les plus courts et à celles dont le délai de réponse se calcule à compter de la date à laquelle le refus </w:t>
      </w:r>
      <w:r w:rsidR="006642D7">
        <w:rPr>
          <w:lang w:val="fr-FR"/>
        </w:rPr>
        <w:t xml:space="preserve">a été émis </w:t>
      </w:r>
      <w:r w:rsidR="00B50940" w:rsidRPr="00CA7293">
        <w:rPr>
          <w:lang w:val="fr-FR"/>
        </w:rPr>
        <w:t>ou la notification</w:t>
      </w:r>
      <w:r w:rsidR="00576694" w:rsidRPr="00CA7293">
        <w:rPr>
          <w:lang w:val="fr-FR"/>
        </w:rPr>
        <w:t xml:space="preserve"> </w:t>
      </w:r>
      <w:r w:rsidR="006642D7">
        <w:rPr>
          <w:lang w:val="fr-FR"/>
        </w:rPr>
        <w:t xml:space="preserve">envoyée </w:t>
      </w:r>
      <w:r w:rsidR="00B50940" w:rsidRPr="00CA7293">
        <w:rPr>
          <w:lang w:val="fr-FR"/>
        </w:rPr>
        <w:t>par l</w:t>
      </w:r>
      <w:r w:rsidR="00482989">
        <w:rPr>
          <w:lang w:val="fr-FR"/>
        </w:rPr>
        <w:t>’</w:t>
      </w:r>
      <w:r w:rsidR="00B50940" w:rsidRPr="00CA7293">
        <w:rPr>
          <w:lang w:val="fr-FR"/>
        </w:rPr>
        <w:t>office.</w:t>
      </w:r>
    </w:p>
    <w:p w14:paraId="77C850E3" w14:textId="014DFFEB" w:rsidR="002C2160" w:rsidRPr="005F1888" w:rsidRDefault="00B509C0" w:rsidP="00CB6E3C">
      <w:pPr>
        <w:pStyle w:val="ONUMFS"/>
        <w:rPr>
          <w:lang w:val="fr-FR"/>
        </w:rPr>
      </w:pPr>
      <w:r w:rsidRPr="005F1888">
        <w:rPr>
          <w:lang w:val="fr-FR"/>
        </w:rPr>
        <w:t>Il faudrait encourager les offices des parties contractantes du système de Madrid à poursuivre leurs efforts en vue de transmettre dans un format déchiffrable par machine les communications qu</w:t>
      </w:r>
      <w:r w:rsidR="00482989">
        <w:rPr>
          <w:lang w:val="fr-FR"/>
        </w:rPr>
        <w:t>’</w:t>
      </w:r>
      <w:r w:rsidRPr="005F1888">
        <w:rPr>
          <w:lang w:val="fr-FR"/>
        </w:rPr>
        <w:t>ils envoient au Bureau international, afin d</w:t>
      </w:r>
      <w:r w:rsidR="00482989">
        <w:rPr>
          <w:lang w:val="fr-FR"/>
        </w:rPr>
        <w:t>’</w:t>
      </w:r>
      <w:r w:rsidRPr="005F1888">
        <w:rPr>
          <w:lang w:val="fr-FR"/>
        </w:rPr>
        <w:t>accélérer le traitement de ces communications et, par conséquent, de réduire le délai dans lequel elles sont transmises aux titulaires.</w:t>
      </w:r>
    </w:p>
    <w:p w14:paraId="3CFBAC2D" w14:textId="79275764" w:rsidR="002C2160" w:rsidRPr="00CA7293" w:rsidRDefault="00612343" w:rsidP="00BF5F92">
      <w:pPr>
        <w:pStyle w:val="ONUMFS"/>
        <w:rPr>
          <w:lang w:val="fr-FR"/>
        </w:rPr>
      </w:pPr>
      <w:r w:rsidRPr="00CA7293">
        <w:rPr>
          <w:lang w:val="fr-FR"/>
        </w:rPr>
        <w:t>Les offices susmentionnés devraient aussi indiquer clairement le délai dont dispose le titulaire pour répondre à une communication et la date d</w:t>
      </w:r>
      <w:r w:rsidR="00482989">
        <w:rPr>
          <w:lang w:val="fr-FR"/>
        </w:rPr>
        <w:t>’</w:t>
      </w:r>
      <w:r w:rsidRPr="00CA7293">
        <w:rPr>
          <w:lang w:val="fr-FR"/>
        </w:rPr>
        <w:t>expiration de ce délai ou, en tout état de cause, expliquer clairement la manière dont le délai doit être calcu</w:t>
      </w:r>
      <w:r w:rsidR="00867EFE" w:rsidRPr="00CA7293">
        <w:rPr>
          <w:lang w:val="fr-FR"/>
        </w:rPr>
        <w:t>lé</w:t>
      </w:r>
      <w:r w:rsidR="00867EFE">
        <w:rPr>
          <w:lang w:val="fr-FR"/>
        </w:rPr>
        <w:t>.  E</w:t>
      </w:r>
      <w:r w:rsidR="00867EFE" w:rsidRPr="00CA7293">
        <w:rPr>
          <w:lang w:val="fr-FR"/>
        </w:rPr>
        <w:t>n</w:t>
      </w:r>
      <w:r w:rsidR="00827794" w:rsidRPr="00CA7293">
        <w:rPr>
          <w:lang w:val="fr-FR"/>
        </w:rPr>
        <w:t xml:space="preserve"> outre, ils devraient mettre à la disposition des utilisateurs, de façon aisément accessible dans la base de données sur le profil des membres du système de Madrid, des informations détaillées sur toute autre </w:t>
      </w:r>
      <w:r w:rsidR="00E03FFF" w:rsidRPr="00CA7293">
        <w:rPr>
          <w:lang w:val="fr-FR"/>
        </w:rPr>
        <w:t xml:space="preserve">exigence </w:t>
      </w:r>
      <w:r w:rsidR="00827794" w:rsidRPr="00CA7293">
        <w:rPr>
          <w:lang w:val="fr-FR"/>
        </w:rPr>
        <w:t xml:space="preserve">à </w:t>
      </w:r>
      <w:r w:rsidR="00E03FFF" w:rsidRPr="00CA7293">
        <w:rPr>
          <w:lang w:val="fr-FR"/>
        </w:rPr>
        <w:t>satisfaire</w:t>
      </w:r>
      <w:r w:rsidR="00827794" w:rsidRPr="00CA7293">
        <w:rPr>
          <w:lang w:val="fr-FR"/>
        </w:rPr>
        <w:t xml:space="preserve"> pour répondre à une notification.</w:t>
      </w:r>
    </w:p>
    <w:p w14:paraId="5D414824" w14:textId="09A7B96F" w:rsidR="002C2160" w:rsidRPr="00CA7293" w:rsidRDefault="008918DB" w:rsidP="00BF5F92">
      <w:pPr>
        <w:pStyle w:val="ONUMFS"/>
        <w:rPr>
          <w:lang w:val="fr-FR"/>
        </w:rPr>
      </w:pPr>
      <w:r w:rsidRPr="00CA7293">
        <w:rPr>
          <w:lang w:val="fr-FR"/>
        </w:rPr>
        <w:t>Les déposants, les titulaires et les mandataires pourraient être tenus de recevoir les communications du Bureau international sous forme électronique (option par défaut), ce mode de transmission étant à la fois le plus fiable, le plus rapide et le plus économique, et encouragés à utiliser le</w:t>
      </w:r>
      <w:r w:rsidR="00A46D6E">
        <w:rPr>
          <w:lang w:val="fr-FR"/>
        </w:rPr>
        <w:t xml:space="preserve"> </w:t>
      </w:r>
      <w:proofErr w:type="spellStart"/>
      <w:r w:rsidR="00A46D6E">
        <w:rPr>
          <w:lang w:val="fr-FR"/>
        </w:rPr>
        <w:t>MPM</w:t>
      </w:r>
      <w:proofErr w:type="spellEnd"/>
      <w:r w:rsidRPr="00CA7293">
        <w:rPr>
          <w:lang w:val="fr-FR"/>
        </w:rPr>
        <w:t>.</w:t>
      </w:r>
    </w:p>
    <w:p w14:paraId="4D4D9EEA" w14:textId="2071A3B9" w:rsidR="002C2160" w:rsidRPr="00CA7293" w:rsidRDefault="00545674" w:rsidP="00BF5F92">
      <w:pPr>
        <w:pStyle w:val="ONUMFS"/>
        <w:rPr>
          <w:lang w:val="fr-FR"/>
        </w:rPr>
      </w:pPr>
      <w:r w:rsidRPr="00CA7293">
        <w:rPr>
          <w:lang w:val="fr-FR"/>
        </w:rPr>
        <w:t>Tous les acteurs du système de Madrid (déposants, titulaires, mandataires et offices) pourraient être encouragés à opter pour les communications électroniques déchiffrables par machine dans leurs échanges avec le Bureau international.</w:t>
      </w:r>
    </w:p>
    <w:p w14:paraId="7C04CE30" w14:textId="1D00DBD3" w:rsidR="002C2160" w:rsidRPr="00CA7293" w:rsidRDefault="00545674" w:rsidP="00BF5F92">
      <w:pPr>
        <w:pStyle w:val="ONUMFS"/>
        <w:rPr>
          <w:lang w:val="fr-FR"/>
        </w:rPr>
      </w:pPr>
      <w:r w:rsidRPr="00CA7293">
        <w:rPr>
          <w:lang w:val="fr-FR"/>
        </w:rPr>
        <w:t>D</w:t>
      </w:r>
      <w:r w:rsidR="00482989">
        <w:rPr>
          <w:lang w:val="fr-FR"/>
        </w:rPr>
        <w:t>’</w:t>
      </w:r>
      <w:r w:rsidRPr="00CA7293">
        <w:rPr>
          <w:lang w:val="fr-FR"/>
        </w:rPr>
        <w:t xml:space="preserve">autres mesures </w:t>
      </w:r>
      <w:r w:rsidR="00C84B29" w:rsidRPr="00CA7293">
        <w:rPr>
          <w:lang w:val="fr-FR"/>
        </w:rPr>
        <w:t>concernant</w:t>
      </w:r>
      <w:r w:rsidRPr="00CA7293">
        <w:rPr>
          <w:lang w:val="fr-FR"/>
        </w:rPr>
        <w:t xml:space="preserve"> la question à l</w:t>
      </w:r>
      <w:r w:rsidR="00482989">
        <w:rPr>
          <w:lang w:val="fr-FR"/>
        </w:rPr>
        <w:t>’</w:t>
      </w:r>
      <w:r w:rsidRPr="00CA7293">
        <w:rPr>
          <w:lang w:val="fr-FR"/>
        </w:rPr>
        <w:t>examen nécessiteraient d</w:t>
      </w:r>
      <w:r w:rsidR="00482989">
        <w:rPr>
          <w:lang w:val="fr-FR"/>
        </w:rPr>
        <w:t>’</w:t>
      </w:r>
      <w:r w:rsidRPr="00CA7293">
        <w:rPr>
          <w:lang w:val="fr-FR"/>
        </w:rPr>
        <w:t>apporter des modifications au cadre juridique du système de Madrid ou de ses parties contractant</w:t>
      </w:r>
      <w:r w:rsidR="00867EFE" w:rsidRPr="00CA7293">
        <w:rPr>
          <w:lang w:val="fr-FR"/>
        </w:rPr>
        <w:t>es</w:t>
      </w:r>
      <w:r w:rsidR="00867EFE">
        <w:rPr>
          <w:lang w:val="fr-FR"/>
        </w:rPr>
        <w:t>.  L</w:t>
      </w:r>
      <w:r w:rsidR="00867EFE" w:rsidRPr="00CA7293">
        <w:rPr>
          <w:lang w:val="fr-FR"/>
        </w:rPr>
        <w:t>e</w:t>
      </w:r>
      <w:r w:rsidR="00E321C5">
        <w:rPr>
          <w:lang w:val="fr-FR"/>
        </w:rPr>
        <w:t> </w:t>
      </w:r>
      <w:r w:rsidRPr="00CA7293">
        <w:rPr>
          <w:lang w:val="fr-FR"/>
        </w:rPr>
        <w:t>groupe de travail souhaitera peut</w:t>
      </w:r>
      <w:r w:rsidR="00482989">
        <w:rPr>
          <w:lang w:val="fr-FR"/>
        </w:rPr>
        <w:t>-</w:t>
      </w:r>
      <w:r w:rsidRPr="00CA7293">
        <w:rPr>
          <w:lang w:val="fr-FR"/>
        </w:rPr>
        <w:t>être examiner plus avant si</w:t>
      </w:r>
      <w:r w:rsidR="00482989">
        <w:rPr>
          <w:lang w:val="fr-FR"/>
        </w:rPr>
        <w:t> :</w:t>
      </w:r>
    </w:p>
    <w:p w14:paraId="0D6C3E09" w14:textId="25806899" w:rsidR="002C2160" w:rsidRPr="00867EFE" w:rsidRDefault="003478C5" w:rsidP="00867EFE">
      <w:pPr>
        <w:pStyle w:val="ONUMFS"/>
        <w:numPr>
          <w:ilvl w:val="1"/>
          <w:numId w:val="20"/>
        </w:numPr>
      </w:pPr>
      <w:r w:rsidRPr="00867EFE">
        <w:t>la durée du délai pour répondre à une notification de refus provisoire et son calcul devraient continuer d</w:t>
      </w:r>
      <w:r w:rsidR="00482989" w:rsidRPr="00867EFE">
        <w:t>’</w:t>
      </w:r>
      <w:r w:rsidRPr="00867EFE">
        <w:t>être uniquement déterminés par la partie contractante désignée concernée;</w:t>
      </w:r>
    </w:p>
    <w:p w14:paraId="3E01B633" w14:textId="5C14EE5F" w:rsidR="002C2160" w:rsidRPr="00867EFE" w:rsidRDefault="005375B1" w:rsidP="00867EFE">
      <w:pPr>
        <w:pStyle w:val="ONUMFS"/>
        <w:numPr>
          <w:ilvl w:val="1"/>
          <w:numId w:val="20"/>
        </w:numPr>
      </w:pPr>
      <w:r w:rsidRPr="00867EFE">
        <w:t>le règlement d</w:t>
      </w:r>
      <w:r w:rsidR="00482989" w:rsidRPr="00867EFE">
        <w:t>’</w:t>
      </w:r>
      <w:r w:rsidRPr="00867EFE">
        <w:t>exécution commun pourrait prévoir un délai harmonisé pour répondre à un refus provisoire ou, à défaut, fixer un délai minimum, étant entendu qu</w:t>
      </w:r>
      <w:r w:rsidR="00482989" w:rsidRPr="00867EFE">
        <w:t>’</w:t>
      </w:r>
      <w:r w:rsidRPr="00867EFE">
        <w:t xml:space="preserve">un délai plus long pourrait être accordé conformément à la législation nationale </w:t>
      </w:r>
      <w:r w:rsidR="00112907">
        <w:t xml:space="preserve">ou régionale </w:t>
      </w:r>
      <w:r w:rsidRPr="00867EFE">
        <w:t>applicable;</w:t>
      </w:r>
    </w:p>
    <w:p w14:paraId="3B1B9B1F" w14:textId="186BEB85" w:rsidR="002C2160" w:rsidRPr="00867EFE" w:rsidRDefault="004B5066" w:rsidP="00E321C5">
      <w:pPr>
        <w:pStyle w:val="ONUMFS"/>
        <w:keepNext/>
        <w:keepLines/>
        <w:numPr>
          <w:ilvl w:val="1"/>
          <w:numId w:val="20"/>
        </w:numPr>
      </w:pPr>
      <w:bookmarkStart w:id="14" w:name="_GoBack"/>
      <w:bookmarkEnd w:id="14"/>
      <w:r w:rsidRPr="00867EFE">
        <w:lastRenderedPageBreak/>
        <w:t>le fonctionnement du système prévu à l</w:t>
      </w:r>
      <w:r w:rsidR="00482989" w:rsidRPr="00867EFE">
        <w:t>’</w:t>
      </w:r>
      <w:r w:rsidRPr="00867EFE">
        <w:t>article</w:t>
      </w:r>
      <w:r w:rsidR="00F328A4" w:rsidRPr="00867EFE">
        <w:t> </w:t>
      </w:r>
      <w:r w:rsidRPr="00867EFE">
        <w:t>5.2)b) du Protocole devrait être revu, afin d</w:t>
      </w:r>
      <w:r w:rsidR="00482989" w:rsidRPr="00867EFE">
        <w:t>’</w:t>
      </w:r>
      <w:r w:rsidRPr="00867EFE">
        <w:t xml:space="preserve">harmoniser </w:t>
      </w:r>
      <w:r w:rsidR="00741826" w:rsidRPr="00867EFE">
        <w:t xml:space="preserve">et de fixer à un an </w:t>
      </w:r>
      <w:r w:rsidRPr="00867EFE">
        <w:t>le délai dont disposent les offices pour notifier un refus provisoire d</w:t>
      </w:r>
      <w:r w:rsidR="00482989" w:rsidRPr="00867EFE">
        <w:t>’</w:t>
      </w:r>
      <w:r w:rsidRPr="00867EFE">
        <w:t>office.</w:t>
      </w:r>
    </w:p>
    <w:p w14:paraId="076B177C" w14:textId="1CA5AFB2" w:rsidR="00BF5F92" w:rsidRPr="00867EFE" w:rsidRDefault="008C1E02" w:rsidP="00867EFE">
      <w:pPr>
        <w:pStyle w:val="ONUMFS"/>
        <w:ind w:left="5533"/>
        <w:rPr>
          <w:i/>
          <w:lang w:val="fr-FR"/>
        </w:rPr>
      </w:pPr>
      <w:r w:rsidRPr="00867EFE">
        <w:rPr>
          <w:i/>
          <w:lang w:val="fr-FR"/>
        </w:rPr>
        <w:t>Le groupe de travail est invité à examiner les informations exposées dans le présent document et à donner des orientations au Bureau international sur les mesures qui pourraient être prises.</w:t>
      </w:r>
    </w:p>
    <w:p w14:paraId="58D1DF73" w14:textId="1601034A" w:rsidR="00BF5F92" w:rsidRDefault="00BF5F92" w:rsidP="00BF5F92">
      <w:pPr>
        <w:pStyle w:val="Endofdocument-Annex"/>
        <w:rPr>
          <w:lang w:val="fr-FR"/>
        </w:rPr>
      </w:pPr>
    </w:p>
    <w:p w14:paraId="3FE7F61D" w14:textId="77777777" w:rsidR="00BF5F92" w:rsidRPr="00BF5F92" w:rsidRDefault="00BF5F92" w:rsidP="00BF5F92">
      <w:pPr>
        <w:pStyle w:val="Endofdocument-Annex"/>
        <w:rPr>
          <w:lang w:val="fr-FR"/>
        </w:rPr>
      </w:pPr>
    </w:p>
    <w:p w14:paraId="7824CAAA" w14:textId="4A846ECE" w:rsidR="002C2160" w:rsidRPr="00CA7293" w:rsidRDefault="008C1E02" w:rsidP="00BF5F92">
      <w:pPr>
        <w:pStyle w:val="Endofdocument-Annex"/>
        <w:rPr>
          <w:lang w:val="fr-FR"/>
        </w:rPr>
      </w:pPr>
      <w:r w:rsidRPr="00CA7293">
        <w:rPr>
          <w:lang w:val="fr-FR"/>
        </w:rPr>
        <w:t>[Fin du document]</w:t>
      </w:r>
    </w:p>
    <w:sectPr w:rsidR="002C2160" w:rsidRPr="00CA7293" w:rsidSect="00314CDF">
      <w:headerReference w:type="default" r:id="rId9"/>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B4D3" w14:textId="77777777" w:rsidR="00777ACD" w:rsidRDefault="00777ACD">
      <w:r>
        <w:separator/>
      </w:r>
    </w:p>
  </w:endnote>
  <w:endnote w:type="continuationSeparator" w:id="0">
    <w:p w14:paraId="18C217B0" w14:textId="77777777" w:rsidR="00777ACD" w:rsidRDefault="00777ACD" w:rsidP="003B38C1">
      <w:r>
        <w:separator/>
      </w:r>
    </w:p>
    <w:p w14:paraId="6913833E" w14:textId="77777777" w:rsidR="00777ACD" w:rsidRPr="00C4792F" w:rsidRDefault="00777ACD" w:rsidP="003B38C1">
      <w:pPr>
        <w:spacing w:after="60"/>
        <w:rPr>
          <w:sz w:val="17"/>
          <w:lang w:val="en-US"/>
        </w:rPr>
      </w:pPr>
      <w:r w:rsidRPr="00C4792F">
        <w:rPr>
          <w:sz w:val="17"/>
          <w:lang w:val="en-US"/>
        </w:rPr>
        <w:t>[Endnote continued from previous page]</w:t>
      </w:r>
    </w:p>
  </w:endnote>
  <w:endnote w:type="continuationNotice" w:id="1">
    <w:p w14:paraId="62277DB4" w14:textId="77777777" w:rsidR="00777ACD" w:rsidRPr="00C4792F" w:rsidRDefault="00777ACD" w:rsidP="003B38C1">
      <w:pPr>
        <w:spacing w:before="60"/>
        <w:jc w:val="right"/>
        <w:rPr>
          <w:sz w:val="17"/>
          <w:szCs w:val="17"/>
          <w:lang w:val="en-US"/>
        </w:rPr>
      </w:pPr>
      <w:r w:rsidRPr="00C4792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1DCD" w14:textId="77777777" w:rsidR="00777ACD" w:rsidRDefault="00777ACD">
      <w:r>
        <w:separator/>
      </w:r>
    </w:p>
  </w:footnote>
  <w:footnote w:type="continuationSeparator" w:id="0">
    <w:p w14:paraId="138AB886" w14:textId="77777777" w:rsidR="00777ACD" w:rsidRDefault="00777ACD" w:rsidP="008B60B2">
      <w:r>
        <w:separator/>
      </w:r>
    </w:p>
    <w:p w14:paraId="4BD5BAF1" w14:textId="77777777" w:rsidR="00777ACD" w:rsidRPr="00C4792F" w:rsidRDefault="00777ACD" w:rsidP="008B60B2">
      <w:pPr>
        <w:spacing w:after="60"/>
        <w:rPr>
          <w:sz w:val="17"/>
          <w:szCs w:val="17"/>
          <w:lang w:val="en-US"/>
        </w:rPr>
      </w:pPr>
      <w:r w:rsidRPr="00C4792F">
        <w:rPr>
          <w:sz w:val="17"/>
          <w:szCs w:val="17"/>
          <w:lang w:val="en-US"/>
        </w:rPr>
        <w:t>[Footnote continued from previous page]</w:t>
      </w:r>
    </w:p>
  </w:footnote>
  <w:footnote w:type="continuationNotice" w:id="1">
    <w:p w14:paraId="5CF9B427" w14:textId="77777777" w:rsidR="00777ACD" w:rsidRPr="00C4792F" w:rsidRDefault="00777ACD" w:rsidP="008B60B2">
      <w:pPr>
        <w:spacing w:before="60"/>
        <w:jc w:val="right"/>
        <w:rPr>
          <w:sz w:val="17"/>
          <w:szCs w:val="17"/>
          <w:lang w:val="en-US"/>
        </w:rPr>
      </w:pPr>
      <w:r w:rsidRPr="00C4792F">
        <w:rPr>
          <w:sz w:val="17"/>
          <w:szCs w:val="17"/>
          <w:lang w:val="en-US"/>
        </w:rPr>
        <w:t>[Footnote continued on next page]</w:t>
      </w:r>
    </w:p>
  </w:footnote>
  <w:footnote w:id="2">
    <w:p w14:paraId="5647956B" w14:textId="1D7A1139" w:rsidR="00777ACD" w:rsidRPr="003A13C1" w:rsidRDefault="00777ACD" w:rsidP="007F26FF">
      <w:pPr>
        <w:pStyle w:val="FootnoteText"/>
        <w:rPr>
          <w:lang w:val="fr-FR"/>
        </w:rPr>
      </w:pPr>
      <w:r w:rsidRPr="003A13C1">
        <w:rPr>
          <w:rStyle w:val="FootnoteReference"/>
          <w:lang w:val="fr-FR"/>
        </w:rPr>
        <w:footnoteRef/>
      </w:r>
      <w:r w:rsidRPr="003A13C1">
        <w:rPr>
          <w:lang w:val="fr-FR"/>
        </w:rPr>
        <w:t xml:space="preserve"> </w:t>
      </w:r>
      <w:r w:rsidRPr="003A13C1">
        <w:rPr>
          <w:lang w:val="fr-FR"/>
        </w:rPr>
        <w:tab/>
        <w:t>Voir le document “</w:t>
      </w:r>
      <w:r w:rsidR="00F27757">
        <w:rPr>
          <w:i/>
          <w:lang w:val="fr-FR"/>
        </w:rPr>
        <w:t xml:space="preserve">Information on </w:t>
      </w:r>
      <w:proofErr w:type="spellStart"/>
      <w:r w:rsidR="00F27757">
        <w:rPr>
          <w:i/>
          <w:lang w:val="fr-FR"/>
        </w:rPr>
        <w:t>P</w:t>
      </w:r>
      <w:r w:rsidRPr="00F27757">
        <w:rPr>
          <w:i/>
          <w:lang w:val="fr-FR"/>
        </w:rPr>
        <w:t>rovisional</w:t>
      </w:r>
      <w:proofErr w:type="spellEnd"/>
      <w:r w:rsidRPr="00F27757">
        <w:rPr>
          <w:i/>
          <w:lang w:val="fr-FR"/>
        </w:rPr>
        <w:t xml:space="preserve"> </w:t>
      </w:r>
      <w:proofErr w:type="spellStart"/>
      <w:r w:rsidR="00F27757">
        <w:rPr>
          <w:i/>
          <w:lang w:val="fr-FR"/>
        </w:rPr>
        <w:t>R</w:t>
      </w:r>
      <w:r w:rsidRPr="00F27757">
        <w:rPr>
          <w:i/>
          <w:lang w:val="fr-FR"/>
        </w:rPr>
        <w:t>efusals</w:t>
      </w:r>
      <w:proofErr w:type="spellEnd"/>
      <w:r w:rsidRPr="003A13C1">
        <w:rPr>
          <w:lang w:val="fr-FR"/>
        </w:rPr>
        <w:t>”, disponible à l</w:t>
      </w:r>
      <w:r w:rsidR="00066E1D">
        <w:rPr>
          <w:lang w:val="fr-FR"/>
        </w:rPr>
        <w:t>’</w:t>
      </w:r>
      <w:r w:rsidRPr="003A13C1">
        <w:rPr>
          <w:lang w:val="fr-FR"/>
        </w:rPr>
        <w:t>adresse</w:t>
      </w:r>
      <w:r w:rsidR="00066E1D">
        <w:rPr>
          <w:lang w:val="fr-FR"/>
        </w:rPr>
        <w:t> :</w:t>
      </w:r>
      <w:r w:rsidRPr="003A13C1">
        <w:rPr>
          <w:lang w:val="fr-FR"/>
        </w:rPr>
        <w:t xml:space="preserve"> </w:t>
      </w:r>
      <w:hyperlink r:id="rId1" w:history="1">
        <w:r w:rsidRPr="00CE4C36">
          <w:rPr>
            <w:rStyle w:val="Hyperlink"/>
            <w:color w:val="auto"/>
            <w:lang w:val="fr-FR"/>
          </w:rPr>
          <w:t>https://www.wipo.int/edocs/mdocs/madrid/en/mm_ld_wg_12_rt/mm_ld_wg_12_rt_information_on_provisional_refusals.pdf</w:t>
        </w:r>
      </w:hyperlink>
      <w:r w:rsidRPr="00CE4C36">
        <w:rPr>
          <w:lang w:val="fr-FR"/>
        </w:rPr>
        <w:t>.</w:t>
      </w:r>
    </w:p>
  </w:footnote>
  <w:footnote w:id="3">
    <w:p w14:paraId="34D244E6" w14:textId="532D362A" w:rsidR="00777ACD" w:rsidRPr="003A13C1" w:rsidRDefault="00777ACD">
      <w:pPr>
        <w:pStyle w:val="FootnoteText"/>
        <w:rPr>
          <w:lang w:val="fr-FR"/>
        </w:rPr>
      </w:pPr>
      <w:r w:rsidRPr="003A13C1">
        <w:rPr>
          <w:rStyle w:val="FootnoteReference"/>
          <w:lang w:val="fr-FR"/>
        </w:rPr>
        <w:footnoteRef/>
      </w:r>
      <w:r w:rsidR="00867EFE">
        <w:rPr>
          <w:lang w:val="fr-FR"/>
        </w:rPr>
        <w:t xml:space="preserve"> </w:t>
      </w:r>
      <w:r w:rsidR="00867EFE">
        <w:rPr>
          <w:lang w:val="fr-FR"/>
        </w:rPr>
        <w:tab/>
      </w:r>
      <w:r w:rsidRPr="003A13C1">
        <w:rPr>
          <w:lang w:val="fr-FR"/>
        </w:rPr>
        <w:t xml:space="preserve">Voir les </w:t>
      </w:r>
      <w:r w:rsidR="00066E1D" w:rsidRPr="003A13C1">
        <w:rPr>
          <w:lang w:val="fr-FR"/>
        </w:rPr>
        <w:t>documents</w:t>
      </w:r>
      <w:r w:rsidR="00066E1D">
        <w:rPr>
          <w:lang w:val="fr-FR"/>
        </w:rPr>
        <w:t xml:space="preserve"> </w:t>
      </w:r>
      <w:r w:rsidR="00066E1D" w:rsidRPr="003A13C1">
        <w:rPr>
          <w:lang w:val="fr-FR"/>
        </w:rPr>
        <w:t>MM</w:t>
      </w:r>
      <w:r w:rsidRPr="003A13C1">
        <w:rPr>
          <w:lang w:val="fr-FR"/>
        </w:rPr>
        <w:t>/LD/WG/14/6, annexe IV, et MM/LD/WG/15/5, annexe II.</w:t>
      </w:r>
    </w:p>
  </w:footnote>
  <w:footnote w:id="4">
    <w:p w14:paraId="367E8C78" w14:textId="00A93C67" w:rsidR="00777ACD" w:rsidRPr="003A13C1" w:rsidRDefault="00777ACD" w:rsidP="00613FF8">
      <w:pPr>
        <w:pStyle w:val="FootnoteText"/>
        <w:rPr>
          <w:lang w:val="fr-FR"/>
        </w:rPr>
      </w:pPr>
      <w:r w:rsidRPr="003A13C1">
        <w:rPr>
          <w:rStyle w:val="FootnoteReference"/>
          <w:lang w:val="fr-FR"/>
        </w:rPr>
        <w:footnoteRef/>
      </w:r>
      <w:r w:rsidRPr="003A13C1">
        <w:rPr>
          <w:lang w:val="fr-FR"/>
        </w:rPr>
        <w:t xml:space="preserve"> </w:t>
      </w:r>
      <w:r w:rsidRPr="003A13C1">
        <w:rPr>
          <w:lang w:val="fr-FR"/>
        </w:rPr>
        <w:tab/>
        <w:t>Le 17 mars 2019, après le dépôt de l</w:t>
      </w:r>
      <w:r w:rsidR="00066E1D">
        <w:rPr>
          <w:lang w:val="fr-FR"/>
        </w:rPr>
        <w:t>’</w:t>
      </w:r>
      <w:r w:rsidRPr="003A13C1">
        <w:rPr>
          <w:lang w:val="fr-FR"/>
        </w:rPr>
        <w:t>instrument d</w:t>
      </w:r>
      <w:r w:rsidR="00066E1D">
        <w:rPr>
          <w:lang w:val="fr-FR"/>
        </w:rPr>
        <w:t>’</w:t>
      </w:r>
      <w:r w:rsidRPr="003A13C1">
        <w:rPr>
          <w:lang w:val="fr-FR"/>
        </w:rPr>
        <w:t>adhésion du Canada.</w:t>
      </w:r>
    </w:p>
  </w:footnote>
  <w:footnote w:id="5">
    <w:p w14:paraId="4DB544E6" w14:textId="197FEBA8" w:rsidR="00777ACD" w:rsidRPr="00CE4C36" w:rsidRDefault="00777ACD" w:rsidP="00613FF8">
      <w:pPr>
        <w:pStyle w:val="FootnoteText"/>
        <w:rPr>
          <w:lang w:val="fr-FR"/>
        </w:rPr>
      </w:pPr>
      <w:r w:rsidRPr="003A13C1">
        <w:rPr>
          <w:rStyle w:val="FootnoteReference"/>
          <w:lang w:val="fr-FR"/>
        </w:rPr>
        <w:footnoteRef/>
      </w:r>
      <w:r w:rsidRPr="003A13C1">
        <w:rPr>
          <w:lang w:val="fr-FR"/>
        </w:rPr>
        <w:t xml:space="preserve"> </w:t>
      </w:r>
      <w:r w:rsidRPr="003A13C1">
        <w:rPr>
          <w:lang w:val="fr-FR"/>
        </w:rPr>
        <w:tab/>
      </w:r>
      <w:hyperlink r:id="rId2" w:history="1">
        <w:r w:rsidRPr="00CE4C36">
          <w:rPr>
            <w:rStyle w:val="Hyperlink"/>
            <w:color w:val="auto"/>
            <w:lang w:val="fr-FR"/>
          </w:rPr>
          <w:t>https://www.wipo.int/madrid/fr/members/declarations.html</w:t>
        </w:r>
      </w:hyperlink>
      <w:r w:rsidRPr="00CE4C36">
        <w:rPr>
          <w:lang w:val="fr-FR"/>
        </w:rPr>
        <w:t>.</w:t>
      </w:r>
    </w:p>
  </w:footnote>
  <w:footnote w:id="6">
    <w:p w14:paraId="35018D47" w14:textId="10892977" w:rsidR="00777ACD" w:rsidRPr="003A13C1" w:rsidRDefault="00777ACD" w:rsidP="006910D5">
      <w:pPr>
        <w:pStyle w:val="FootnoteText"/>
        <w:rPr>
          <w:lang w:val="fr-FR"/>
        </w:rPr>
      </w:pPr>
      <w:r w:rsidRPr="00CE4C36">
        <w:rPr>
          <w:rStyle w:val="FootnoteReference"/>
          <w:lang w:val="fr-FR"/>
        </w:rPr>
        <w:footnoteRef/>
      </w:r>
      <w:r w:rsidRPr="00CE4C36">
        <w:rPr>
          <w:lang w:val="fr-FR"/>
        </w:rPr>
        <w:t xml:space="preserve"> </w:t>
      </w:r>
      <w:r w:rsidRPr="00CE4C36">
        <w:rPr>
          <w:lang w:val="fr-FR"/>
        </w:rPr>
        <w:tab/>
      </w:r>
      <w:hyperlink r:id="rId3" w:history="1">
        <w:r w:rsidRPr="00CE4C36">
          <w:rPr>
            <w:rStyle w:val="Hyperlink"/>
            <w:color w:val="auto"/>
            <w:lang w:val="fr-FR"/>
          </w:rPr>
          <w:t>https://www.wipo.int/export/sites/www/treaties/fr/documents/pdf/madrid_marks.pdf</w:t>
        </w:r>
      </w:hyperlink>
      <w:r w:rsidRPr="00CE4C36">
        <w:rPr>
          <w:lang w:val="fr-FR"/>
        </w:rPr>
        <w:t>.</w:t>
      </w:r>
    </w:p>
  </w:footnote>
  <w:footnote w:id="7">
    <w:p w14:paraId="340DE6EC" w14:textId="3A1E11C2" w:rsidR="00777ACD" w:rsidRPr="003A13C1" w:rsidRDefault="00777ACD" w:rsidP="004224A4">
      <w:pPr>
        <w:pStyle w:val="FootnoteText"/>
        <w:rPr>
          <w:lang w:val="fr-FR"/>
        </w:rPr>
      </w:pPr>
      <w:r w:rsidRPr="003A13C1">
        <w:rPr>
          <w:rStyle w:val="FootnoteReference"/>
          <w:lang w:val="fr-FR"/>
        </w:rPr>
        <w:footnoteRef/>
      </w:r>
      <w:r w:rsidRPr="003A13C1">
        <w:rPr>
          <w:lang w:val="fr-FR"/>
        </w:rPr>
        <w:t xml:space="preserve"> </w:t>
      </w:r>
      <w:r w:rsidRPr="003A13C1">
        <w:rPr>
          <w:lang w:val="fr-FR"/>
        </w:rPr>
        <w:tab/>
        <w:t xml:space="preserve">Voir le </w:t>
      </w:r>
      <w:r w:rsidR="00066E1D" w:rsidRPr="003A13C1">
        <w:rPr>
          <w:lang w:val="fr-FR"/>
        </w:rPr>
        <w:t>document</w:t>
      </w:r>
      <w:r w:rsidR="00066E1D">
        <w:rPr>
          <w:lang w:val="fr-FR"/>
        </w:rPr>
        <w:t xml:space="preserve"> </w:t>
      </w:r>
      <w:r w:rsidR="00066E1D" w:rsidRPr="003A13C1">
        <w:rPr>
          <w:lang w:val="fr-FR"/>
        </w:rPr>
        <w:t>MM</w:t>
      </w:r>
      <w:r w:rsidRPr="003A13C1">
        <w:rPr>
          <w:lang w:val="fr-FR"/>
        </w:rPr>
        <w:t>/A/37/4.</w:t>
      </w:r>
    </w:p>
  </w:footnote>
  <w:footnote w:id="8">
    <w:p w14:paraId="0F43BCA3" w14:textId="5A916505" w:rsidR="00777ACD" w:rsidRPr="003A13C1" w:rsidRDefault="00777ACD" w:rsidP="00B52318">
      <w:pPr>
        <w:pStyle w:val="FootnoteText"/>
        <w:rPr>
          <w:lang w:val="fr-FR"/>
        </w:rPr>
      </w:pPr>
      <w:r w:rsidRPr="003A13C1">
        <w:rPr>
          <w:rStyle w:val="FootnoteReference"/>
          <w:lang w:val="fr-FR"/>
        </w:rPr>
        <w:footnoteRef/>
      </w:r>
      <w:r w:rsidRPr="003A13C1">
        <w:rPr>
          <w:lang w:val="fr-FR"/>
        </w:rPr>
        <w:t xml:space="preserve"> </w:t>
      </w:r>
      <w:r w:rsidRPr="003A13C1">
        <w:rPr>
          <w:lang w:val="fr-FR"/>
        </w:rPr>
        <w:tab/>
      </w:r>
      <w:r w:rsidRPr="003A13C1">
        <w:rPr>
          <w:color w:val="000000"/>
          <w:lang w:val="fr-FR"/>
        </w:rPr>
        <w:t>Voir le document “</w:t>
      </w:r>
      <w:r w:rsidRPr="00F27757">
        <w:rPr>
          <w:i/>
          <w:color w:val="000000"/>
          <w:lang w:val="fr-FR"/>
        </w:rPr>
        <w:t xml:space="preserve">Information on </w:t>
      </w:r>
      <w:proofErr w:type="spellStart"/>
      <w:r w:rsidRPr="00F27757">
        <w:rPr>
          <w:i/>
          <w:color w:val="000000"/>
          <w:lang w:val="fr-FR"/>
        </w:rPr>
        <w:t>Provisional</w:t>
      </w:r>
      <w:proofErr w:type="spellEnd"/>
      <w:r w:rsidRPr="00F27757">
        <w:rPr>
          <w:i/>
          <w:color w:val="000000"/>
          <w:lang w:val="fr-FR"/>
        </w:rPr>
        <w:t xml:space="preserve"> </w:t>
      </w:r>
      <w:proofErr w:type="spellStart"/>
      <w:r w:rsidRPr="00F27757">
        <w:rPr>
          <w:i/>
          <w:color w:val="000000"/>
          <w:lang w:val="fr-FR"/>
        </w:rPr>
        <w:t>Refusals</w:t>
      </w:r>
      <w:proofErr w:type="spellEnd"/>
      <w:r w:rsidRPr="003A13C1">
        <w:rPr>
          <w:color w:val="000000"/>
          <w:lang w:val="fr-FR"/>
        </w:rPr>
        <w:t>”, à l</w:t>
      </w:r>
      <w:r w:rsidR="00066E1D">
        <w:rPr>
          <w:color w:val="000000"/>
          <w:lang w:val="fr-FR"/>
        </w:rPr>
        <w:t>’</w:t>
      </w:r>
      <w:r w:rsidRPr="003A13C1">
        <w:rPr>
          <w:color w:val="000000"/>
          <w:lang w:val="fr-FR"/>
        </w:rPr>
        <w:t>adresse</w:t>
      </w:r>
      <w:r w:rsidR="00066E1D">
        <w:rPr>
          <w:color w:val="000000"/>
          <w:lang w:val="fr-FR"/>
        </w:rPr>
        <w:t> :</w:t>
      </w:r>
      <w:r w:rsidRPr="003A13C1">
        <w:rPr>
          <w:color w:val="000000"/>
          <w:lang w:val="fr-FR"/>
        </w:rPr>
        <w:t xml:space="preserve"> </w:t>
      </w:r>
      <w:hyperlink r:id="rId4" w:history="1">
        <w:r w:rsidRPr="00CE4C36">
          <w:rPr>
            <w:rStyle w:val="Hyperlink"/>
            <w:color w:val="auto"/>
            <w:lang w:val="fr-FR"/>
          </w:rPr>
          <w:t>https://www.wipo.int/edocs/mdocs/madrid/en/mm_ld_wg_12_rt/mm_ld_wg_12_rt_information_on_provisional_refusals.pdf</w:t>
        </w:r>
      </w:hyperlink>
      <w:r w:rsidRPr="00CE4C36">
        <w:rPr>
          <w:lang w:val="fr-FR"/>
        </w:rPr>
        <w:t>.</w:t>
      </w:r>
    </w:p>
  </w:footnote>
  <w:footnote w:id="9">
    <w:p w14:paraId="37577531" w14:textId="0A5C7FBF" w:rsidR="00777ACD" w:rsidRPr="00CE4C36" w:rsidRDefault="00777ACD" w:rsidP="00894D33">
      <w:pPr>
        <w:pStyle w:val="FootnoteText"/>
        <w:rPr>
          <w:lang w:val="fr-FR"/>
        </w:rPr>
      </w:pPr>
      <w:r w:rsidRPr="003A13C1">
        <w:rPr>
          <w:rStyle w:val="FootnoteReference"/>
          <w:lang w:val="fr-FR"/>
        </w:rPr>
        <w:footnoteRef/>
      </w:r>
      <w:r w:rsidRPr="003A13C1">
        <w:rPr>
          <w:lang w:val="fr-FR"/>
        </w:rPr>
        <w:t xml:space="preserve"> </w:t>
      </w:r>
      <w:r w:rsidRPr="003A13C1">
        <w:rPr>
          <w:lang w:val="fr-FR"/>
        </w:rPr>
        <w:tab/>
        <w:t>Délai de traitement des décisions (moyenne mensuelle) en mars 2019</w:t>
      </w:r>
      <w:r w:rsidR="00066E1D">
        <w:rPr>
          <w:lang w:val="fr-FR"/>
        </w:rPr>
        <w:t> :</w:t>
      </w:r>
      <w:r w:rsidRPr="003A13C1">
        <w:rPr>
          <w:lang w:val="fr-FR"/>
        </w:rPr>
        <w:t xml:space="preserve"> </w:t>
      </w:r>
      <w:hyperlink r:id="rId5" w:history="1">
        <w:r w:rsidR="00BF5F92" w:rsidRPr="00CE4C36">
          <w:rPr>
            <w:rStyle w:val="Hyperlink"/>
            <w:color w:val="auto"/>
            <w:lang w:val="fr-FR"/>
          </w:rPr>
          <w:t>www.wipo.int/export/sites/www/madrid/fr/docs/madrid_pendency_rates.pdf</w:t>
        </w:r>
      </w:hyperlink>
      <w:r w:rsidRPr="00CE4C36">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B336" w14:textId="77777777" w:rsidR="00AE1810" w:rsidRDefault="00AE1810" w:rsidP="00314CDF">
    <w:pPr>
      <w:pStyle w:val="Header"/>
      <w:jc w:val="right"/>
    </w:pPr>
    <w:r>
      <w:t>MM/LD/WG/17/5</w:t>
    </w:r>
  </w:p>
  <w:p w14:paraId="42A602DF" w14:textId="0A6FAEF0" w:rsidR="00AE1810" w:rsidRDefault="00AE1810" w:rsidP="00314CDF">
    <w:pPr>
      <w:pStyle w:val="Header"/>
      <w:jc w:val="right"/>
    </w:pPr>
    <w:r>
      <w:t xml:space="preserve">page </w:t>
    </w:r>
    <w:r>
      <w:fldChar w:fldCharType="begin"/>
    </w:r>
    <w:r>
      <w:instrText>PAGE   \* MERGEFORMAT</w:instrText>
    </w:r>
    <w:r>
      <w:fldChar w:fldCharType="separate"/>
    </w:r>
    <w:r w:rsidR="00E321C5" w:rsidRPr="00E321C5">
      <w:rPr>
        <w:noProof/>
        <w:lang w:val="fr-FR"/>
      </w:rPr>
      <w:t>9</w:t>
    </w:r>
    <w:r>
      <w:fldChar w:fldCharType="end"/>
    </w:r>
  </w:p>
  <w:p w14:paraId="783DB9A4" w14:textId="04205EE3" w:rsidR="00AE1810" w:rsidRDefault="00AE1810" w:rsidP="00314C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1E7A30"/>
    <w:multiLevelType w:val="multilevel"/>
    <w:tmpl w:val="CDA4C866"/>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6E1C28"/>
    <w:multiLevelType w:val="hybridMultilevel"/>
    <w:tmpl w:val="999A21B0"/>
    <w:lvl w:ilvl="0" w:tplc="DB34F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D1FA9"/>
    <w:multiLevelType w:val="hybridMultilevel"/>
    <w:tmpl w:val="D2FA527C"/>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20C0"/>
    <w:multiLevelType w:val="hybridMultilevel"/>
    <w:tmpl w:val="6FCA39DA"/>
    <w:lvl w:ilvl="0" w:tplc="E9283144">
      <w:numFmt w:val="bullet"/>
      <w:lvlText w:val="-"/>
      <w:lvlJc w:val="left"/>
      <w:pPr>
        <w:ind w:left="927" w:hanging="360"/>
      </w:pPr>
      <w:rPr>
        <w:rFonts w:ascii="Arial" w:eastAsia="SimSu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6" w15:restartNumberingAfterBreak="0">
    <w:nsid w:val="168F2271"/>
    <w:multiLevelType w:val="multilevel"/>
    <w:tmpl w:val="DE1EB182"/>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995A93"/>
    <w:multiLevelType w:val="hybridMultilevel"/>
    <w:tmpl w:val="2896756C"/>
    <w:lvl w:ilvl="0" w:tplc="CFF09F96">
      <w:start w:val="3"/>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BE64E7C"/>
    <w:multiLevelType w:val="hybridMultilevel"/>
    <w:tmpl w:val="539618B0"/>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04F74"/>
    <w:multiLevelType w:val="hybridMultilevel"/>
    <w:tmpl w:val="6CC68238"/>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517F3"/>
    <w:multiLevelType w:val="hybridMultilevel"/>
    <w:tmpl w:val="E3944D88"/>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C93041"/>
    <w:multiLevelType w:val="multilevel"/>
    <w:tmpl w:val="E8D273BA"/>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D07FF4"/>
    <w:multiLevelType w:val="hybridMultilevel"/>
    <w:tmpl w:val="BC6E5E02"/>
    <w:lvl w:ilvl="0" w:tplc="73BA24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7E5E32"/>
    <w:multiLevelType w:val="multilevel"/>
    <w:tmpl w:val="DC761C88"/>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6220233C"/>
    <w:multiLevelType w:val="hybridMultilevel"/>
    <w:tmpl w:val="FFDA0644"/>
    <w:lvl w:ilvl="0" w:tplc="C61C9C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619D2"/>
    <w:multiLevelType w:val="hybridMultilevel"/>
    <w:tmpl w:val="6C0A4B00"/>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B97D47"/>
    <w:multiLevelType w:val="hybridMultilevel"/>
    <w:tmpl w:val="5C6C1F06"/>
    <w:lvl w:ilvl="0" w:tplc="1BCCAB96">
      <w:start w:val="1"/>
      <w:numFmt w:val="decimal"/>
      <w:lvlText w:val="(%1)"/>
      <w:lvlJc w:val="left"/>
      <w:pPr>
        <w:ind w:left="720" w:hanging="360"/>
      </w:pPr>
      <w:rPr>
        <w:rFonts w:hint="default"/>
      </w:rPr>
    </w:lvl>
    <w:lvl w:ilvl="1" w:tplc="C61C9C7A">
      <w:start w:val="1"/>
      <w:numFmt w:val="bullet"/>
      <w:lvlText w:val="̶"/>
      <w:lvlJc w:val="left"/>
      <w:pPr>
        <w:ind w:left="1440" w:hanging="360"/>
      </w:pPr>
      <w:rPr>
        <w:rFonts w:ascii="Arial" w:hAnsi="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D345C"/>
    <w:multiLevelType w:val="hybridMultilevel"/>
    <w:tmpl w:val="F2E6E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E6EAF"/>
    <w:multiLevelType w:val="hybridMultilevel"/>
    <w:tmpl w:val="E376B0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15"/>
  </w:num>
  <w:num w:numId="5">
    <w:abstractNumId w:val="1"/>
  </w:num>
  <w:num w:numId="6">
    <w:abstractNumId w:val="9"/>
  </w:num>
  <w:num w:numId="7">
    <w:abstractNumId w:val="21"/>
  </w:num>
  <w:num w:numId="8">
    <w:abstractNumId w:val="18"/>
  </w:num>
  <w:num w:numId="9">
    <w:abstractNumId w:val="4"/>
  </w:num>
  <w:num w:numId="10">
    <w:abstractNumId w:val="20"/>
  </w:num>
  <w:num w:numId="11">
    <w:abstractNumId w:val="11"/>
  </w:num>
  <w:num w:numId="12">
    <w:abstractNumId w:val="22"/>
  </w:num>
  <w:num w:numId="13">
    <w:abstractNumId w:val="16"/>
  </w:num>
  <w:num w:numId="14">
    <w:abstractNumId w:val="3"/>
  </w:num>
  <w:num w:numId="15">
    <w:abstractNumId w:val="10"/>
  </w:num>
  <w:num w:numId="16">
    <w:abstractNumId w:val="8"/>
  </w:num>
  <w:num w:numId="17">
    <w:abstractNumId w:val="5"/>
  </w:num>
  <w:num w:numId="18">
    <w:abstractNumId w:val="15"/>
  </w:num>
  <w:num w:numId="19">
    <w:abstractNumId w:val="1"/>
  </w:num>
  <w:num w:numId="20">
    <w:abstractNumId w:val="9"/>
  </w:num>
  <w:num w:numId="21">
    <w:abstractNumId w:val="12"/>
  </w:num>
  <w:num w:numId="22">
    <w:abstractNumId w:val="19"/>
  </w:num>
  <w:num w:numId="23">
    <w:abstractNumId w:val="6"/>
  </w:num>
  <w:num w:numId="24">
    <w:abstractNumId w:val="2"/>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Brands, Designs &amp; DN\Madrid|TextBase TMs\WorkspaceFTS\xLegacy\Trademarks|TextBase TMs\WorkspaceFTS\Treaties &amp; Laws\WIPO Treaties|TextBase TMs\WorkspaceFTS\xLegacy\Treaties|TextBase TMs\WorkspaceFTS\Outreach\Academy|TextBase TMs\WorkspaceFTS\Outreach\ACE|TextBase TMs\WorkspaceFTS\Outreach\Communications|TextBase TMs\WorkspaceFTS\Outreach\Outreach|TextBase TMs\WorkspaceFTS\Outreach\Publications|TextBase TMs\WorkspaceFTS\Treaties &amp; Laws\WIPO Lex|TextBase TMs\WorkspaceFTS\Administration &amp; Finance\Administration|TextBase TMs\WorkspaceFTS\Ad-hoc\Glossaires"/>
    <w:docVar w:name="TextBaseURL" w:val="empty"/>
    <w:docVar w:name="UILng" w:val="en"/>
  </w:docVars>
  <w:rsids>
    <w:rsidRoot w:val="000C3895"/>
    <w:rsid w:val="00001254"/>
    <w:rsid w:val="00010CF2"/>
    <w:rsid w:val="0001206C"/>
    <w:rsid w:val="00012C29"/>
    <w:rsid w:val="00030695"/>
    <w:rsid w:val="0003486E"/>
    <w:rsid w:val="00041CB0"/>
    <w:rsid w:val="00043CAA"/>
    <w:rsid w:val="00046F15"/>
    <w:rsid w:val="000618CE"/>
    <w:rsid w:val="00066E1D"/>
    <w:rsid w:val="00075432"/>
    <w:rsid w:val="000775C6"/>
    <w:rsid w:val="000836DE"/>
    <w:rsid w:val="000868C2"/>
    <w:rsid w:val="00092B78"/>
    <w:rsid w:val="000968ED"/>
    <w:rsid w:val="000978FE"/>
    <w:rsid w:val="000B3753"/>
    <w:rsid w:val="000C3895"/>
    <w:rsid w:val="000C5E75"/>
    <w:rsid w:val="000D0490"/>
    <w:rsid w:val="000D5BAE"/>
    <w:rsid w:val="000E4F75"/>
    <w:rsid w:val="000F1EBB"/>
    <w:rsid w:val="000F455D"/>
    <w:rsid w:val="000F5E56"/>
    <w:rsid w:val="0010553D"/>
    <w:rsid w:val="00112907"/>
    <w:rsid w:val="00117964"/>
    <w:rsid w:val="00127BB6"/>
    <w:rsid w:val="00131601"/>
    <w:rsid w:val="001362EE"/>
    <w:rsid w:val="00141FD3"/>
    <w:rsid w:val="00145C7B"/>
    <w:rsid w:val="0015155C"/>
    <w:rsid w:val="001651F4"/>
    <w:rsid w:val="001653F9"/>
    <w:rsid w:val="00180B57"/>
    <w:rsid w:val="001832A6"/>
    <w:rsid w:val="001A2B24"/>
    <w:rsid w:val="001A369A"/>
    <w:rsid w:val="001B2940"/>
    <w:rsid w:val="001B58EE"/>
    <w:rsid w:val="001C0737"/>
    <w:rsid w:val="001C70B4"/>
    <w:rsid w:val="001C79E6"/>
    <w:rsid w:val="001D2295"/>
    <w:rsid w:val="001D5374"/>
    <w:rsid w:val="001E09AC"/>
    <w:rsid w:val="001E1D23"/>
    <w:rsid w:val="001F7399"/>
    <w:rsid w:val="00201B24"/>
    <w:rsid w:val="00205A9B"/>
    <w:rsid w:val="00215BAC"/>
    <w:rsid w:val="0022241A"/>
    <w:rsid w:val="00222D72"/>
    <w:rsid w:val="00226852"/>
    <w:rsid w:val="00232E14"/>
    <w:rsid w:val="00243B94"/>
    <w:rsid w:val="0024626D"/>
    <w:rsid w:val="0025164C"/>
    <w:rsid w:val="00252ADC"/>
    <w:rsid w:val="002602E3"/>
    <w:rsid w:val="00260E7C"/>
    <w:rsid w:val="002634C4"/>
    <w:rsid w:val="00270C47"/>
    <w:rsid w:val="00270EE1"/>
    <w:rsid w:val="0027218F"/>
    <w:rsid w:val="0028526D"/>
    <w:rsid w:val="0028752D"/>
    <w:rsid w:val="002928D3"/>
    <w:rsid w:val="002945BA"/>
    <w:rsid w:val="00296F6A"/>
    <w:rsid w:val="002A2A69"/>
    <w:rsid w:val="002A68DD"/>
    <w:rsid w:val="002C1DCA"/>
    <w:rsid w:val="002C2160"/>
    <w:rsid w:val="002D2790"/>
    <w:rsid w:val="002D4398"/>
    <w:rsid w:val="002E562C"/>
    <w:rsid w:val="002F1FE6"/>
    <w:rsid w:val="002F4E68"/>
    <w:rsid w:val="00302A13"/>
    <w:rsid w:val="00302AC0"/>
    <w:rsid w:val="00312F7F"/>
    <w:rsid w:val="00314CDF"/>
    <w:rsid w:val="00322F16"/>
    <w:rsid w:val="00335EA3"/>
    <w:rsid w:val="00343C9A"/>
    <w:rsid w:val="003478C5"/>
    <w:rsid w:val="00350102"/>
    <w:rsid w:val="00351BA4"/>
    <w:rsid w:val="00353F61"/>
    <w:rsid w:val="00354E43"/>
    <w:rsid w:val="00361450"/>
    <w:rsid w:val="00363737"/>
    <w:rsid w:val="003642FE"/>
    <w:rsid w:val="003673CF"/>
    <w:rsid w:val="003705FB"/>
    <w:rsid w:val="003736C0"/>
    <w:rsid w:val="003750EB"/>
    <w:rsid w:val="00381FCE"/>
    <w:rsid w:val="00383DD6"/>
    <w:rsid w:val="003845C1"/>
    <w:rsid w:val="00386DEF"/>
    <w:rsid w:val="00397196"/>
    <w:rsid w:val="003A1340"/>
    <w:rsid w:val="003A13C1"/>
    <w:rsid w:val="003A6F89"/>
    <w:rsid w:val="003B3638"/>
    <w:rsid w:val="003B38C1"/>
    <w:rsid w:val="003B3AF6"/>
    <w:rsid w:val="003C5432"/>
    <w:rsid w:val="003C713B"/>
    <w:rsid w:val="003D1198"/>
    <w:rsid w:val="003E02E7"/>
    <w:rsid w:val="003E02FF"/>
    <w:rsid w:val="003E2CED"/>
    <w:rsid w:val="003F2B86"/>
    <w:rsid w:val="00401425"/>
    <w:rsid w:val="00402A6C"/>
    <w:rsid w:val="00406E5A"/>
    <w:rsid w:val="00414DE5"/>
    <w:rsid w:val="004224A4"/>
    <w:rsid w:val="00423E3E"/>
    <w:rsid w:val="004245A7"/>
    <w:rsid w:val="0042463F"/>
    <w:rsid w:val="00427AF4"/>
    <w:rsid w:val="0043161B"/>
    <w:rsid w:val="004456D5"/>
    <w:rsid w:val="00446FE0"/>
    <w:rsid w:val="00451751"/>
    <w:rsid w:val="0046302F"/>
    <w:rsid w:val="004647DA"/>
    <w:rsid w:val="00465FFD"/>
    <w:rsid w:val="004722FA"/>
    <w:rsid w:val="00474062"/>
    <w:rsid w:val="00477D6B"/>
    <w:rsid w:val="00480612"/>
    <w:rsid w:val="00482989"/>
    <w:rsid w:val="00484425"/>
    <w:rsid w:val="00487B30"/>
    <w:rsid w:val="004A1C2A"/>
    <w:rsid w:val="004A4C21"/>
    <w:rsid w:val="004A4F73"/>
    <w:rsid w:val="004B3A8C"/>
    <w:rsid w:val="004B5066"/>
    <w:rsid w:val="004C057F"/>
    <w:rsid w:val="004C3B93"/>
    <w:rsid w:val="004D0E13"/>
    <w:rsid w:val="004D0E6F"/>
    <w:rsid w:val="004E6B5D"/>
    <w:rsid w:val="004F07A7"/>
    <w:rsid w:val="0050164B"/>
    <w:rsid w:val="005019FF"/>
    <w:rsid w:val="00522979"/>
    <w:rsid w:val="00527C25"/>
    <w:rsid w:val="0053057A"/>
    <w:rsid w:val="00536882"/>
    <w:rsid w:val="005375B1"/>
    <w:rsid w:val="0054150D"/>
    <w:rsid w:val="00541D21"/>
    <w:rsid w:val="00542B0A"/>
    <w:rsid w:val="00542E15"/>
    <w:rsid w:val="00545490"/>
    <w:rsid w:val="00545674"/>
    <w:rsid w:val="00552566"/>
    <w:rsid w:val="00560A29"/>
    <w:rsid w:val="00574923"/>
    <w:rsid w:val="00576694"/>
    <w:rsid w:val="00591205"/>
    <w:rsid w:val="0059386B"/>
    <w:rsid w:val="00594C0F"/>
    <w:rsid w:val="00595113"/>
    <w:rsid w:val="00597066"/>
    <w:rsid w:val="005A142B"/>
    <w:rsid w:val="005A32BB"/>
    <w:rsid w:val="005B05D8"/>
    <w:rsid w:val="005B6B85"/>
    <w:rsid w:val="005B79E0"/>
    <w:rsid w:val="005C0698"/>
    <w:rsid w:val="005C11D7"/>
    <w:rsid w:val="005C2927"/>
    <w:rsid w:val="005C2E38"/>
    <w:rsid w:val="005C306B"/>
    <w:rsid w:val="005C479F"/>
    <w:rsid w:val="005C6649"/>
    <w:rsid w:val="005D09FB"/>
    <w:rsid w:val="005D14EB"/>
    <w:rsid w:val="005F1888"/>
    <w:rsid w:val="005F1C7E"/>
    <w:rsid w:val="005F2005"/>
    <w:rsid w:val="00601ECA"/>
    <w:rsid w:val="006041E7"/>
    <w:rsid w:val="00605827"/>
    <w:rsid w:val="00612343"/>
    <w:rsid w:val="00613FF8"/>
    <w:rsid w:val="00623EFA"/>
    <w:rsid w:val="00632295"/>
    <w:rsid w:val="0064238F"/>
    <w:rsid w:val="00646050"/>
    <w:rsid w:val="006472E8"/>
    <w:rsid w:val="00647763"/>
    <w:rsid w:val="00647D4C"/>
    <w:rsid w:val="006518C6"/>
    <w:rsid w:val="00653500"/>
    <w:rsid w:val="006540F5"/>
    <w:rsid w:val="006576C0"/>
    <w:rsid w:val="00660B1A"/>
    <w:rsid w:val="006642D7"/>
    <w:rsid w:val="00670D06"/>
    <w:rsid w:val="006712AD"/>
    <w:rsid w:val="006713CA"/>
    <w:rsid w:val="00676C5C"/>
    <w:rsid w:val="00681884"/>
    <w:rsid w:val="00682871"/>
    <w:rsid w:val="00684BDD"/>
    <w:rsid w:val="00687EDB"/>
    <w:rsid w:val="006910D5"/>
    <w:rsid w:val="006A4A80"/>
    <w:rsid w:val="006A6546"/>
    <w:rsid w:val="006D364F"/>
    <w:rsid w:val="006E320B"/>
    <w:rsid w:val="006E5AC0"/>
    <w:rsid w:val="006F06C5"/>
    <w:rsid w:val="007001CA"/>
    <w:rsid w:val="007249C4"/>
    <w:rsid w:val="00735D69"/>
    <w:rsid w:val="00741826"/>
    <w:rsid w:val="00743D2F"/>
    <w:rsid w:val="00751AF1"/>
    <w:rsid w:val="007556E0"/>
    <w:rsid w:val="0076680C"/>
    <w:rsid w:val="00770094"/>
    <w:rsid w:val="00777ACD"/>
    <w:rsid w:val="00777C57"/>
    <w:rsid w:val="00782387"/>
    <w:rsid w:val="0079209A"/>
    <w:rsid w:val="00792A15"/>
    <w:rsid w:val="007950AD"/>
    <w:rsid w:val="007A0AE4"/>
    <w:rsid w:val="007A1C17"/>
    <w:rsid w:val="007A1DAE"/>
    <w:rsid w:val="007A658A"/>
    <w:rsid w:val="007B5D69"/>
    <w:rsid w:val="007B6AAA"/>
    <w:rsid w:val="007C7800"/>
    <w:rsid w:val="007D1613"/>
    <w:rsid w:val="007D23B7"/>
    <w:rsid w:val="007D5842"/>
    <w:rsid w:val="007D6B8F"/>
    <w:rsid w:val="007E05C8"/>
    <w:rsid w:val="007E5850"/>
    <w:rsid w:val="007E7614"/>
    <w:rsid w:val="007F26FF"/>
    <w:rsid w:val="007F2BF5"/>
    <w:rsid w:val="00802ADF"/>
    <w:rsid w:val="00804802"/>
    <w:rsid w:val="00806B1F"/>
    <w:rsid w:val="00810A8F"/>
    <w:rsid w:val="00816D05"/>
    <w:rsid w:val="008256E7"/>
    <w:rsid w:val="00827794"/>
    <w:rsid w:val="0083530B"/>
    <w:rsid w:val="00835BED"/>
    <w:rsid w:val="0084057B"/>
    <w:rsid w:val="00840CDD"/>
    <w:rsid w:val="00842850"/>
    <w:rsid w:val="0084477D"/>
    <w:rsid w:val="008555FF"/>
    <w:rsid w:val="0086299D"/>
    <w:rsid w:val="00867EFE"/>
    <w:rsid w:val="008918DB"/>
    <w:rsid w:val="00894D33"/>
    <w:rsid w:val="008A2629"/>
    <w:rsid w:val="008A3878"/>
    <w:rsid w:val="008A3B65"/>
    <w:rsid w:val="008A51B5"/>
    <w:rsid w:val="008B2CC1"/>
    <w:rsid w:val="008B60B2"/>
    <w:rsid w:val="008C1E02"/>
    <w:rsid w:val="008C74CA"/>
    <w:rsid w:val="008D2073"/>
    <w:rsid w:val="008E2125"/>
    <w:rsid w:val="008F1E8D"/>
    <w:rsid w:val="008F3415"/>
    <w:rsid w:val="009001F6"/>
    <w:rsid w:val="009042E8"/>
    <w:rsid w:val="0090727A"/>
    <w:rsid w:val="0090731E"/>
    <w:rsid w:val="00913CA4"/>
    <w:rsid w:val="00916EE2"/>
    <w:rsid w:val="00917B63"/>
    <w:rsid w:val="00923A92"/>
    <w:rsid w:val="009248C8"/>
    <w:rsid w:val="0092512A"/>
    <w:rsid w:val="00932C36"/>
    <w:rsid w:val="00950C37"/>
    <w:rsid w:val="00951635"/>
    <w:rsid w:val="00966A22"/>
    <w:rsid w:val="0096722F"/>
    <w:rsid w:val="0097630B"/>
    <w:rsid w:val="00980843"/>
    <w:rsid w:val="0098200D"/>
    <w:rsid w:val="00983DA2"/>
    <w:rsid w:val="00987D77"/>
    <w:rsid w:val="0099674C"/>
    <w:rsid w:val="0099737D"/>
    <w:rsid w:val="009A6E26"/>
    <w:rsid w:val="009B26A5"/>
    <w:rsid w:val="009B3316"/>
    <w:rsid w:val="009B4893"/>
    <w:rsid w:val="009B6AAB"/>
    <w:rsid w:val="009C463D"/>
    <w:rsid w:val="009D1D65"/>
    <w:rsid w:val="009E2791"/>
    <w:rsid w:val="009E3F6F"/>
    <w:rsid w:val="009E5030"/>
    <w:rsid w:val="009F499F"/>
    <w:rsid w:val="009F5650"/>
    <w:rsid w:val="009F66AE"/>
    <w:rsid w:val="00A1072F"/>
    <w:rsid w:val="00A15E24"/>
    <w:rsid w:val="00A33E6F"/>
    <w:rsid w:val="00A368AF"/>
    <w:rsid w:val="00A426FA"/>
    <w:rsid w:val="00A42DAF"/>
    <w:rsid w:val="00A45BD8"/>
    <w:rsid w:val="00A46D6E"/>
    <w:rsid w:val="00A51F8D"/>
    <w:rsid w:val="00A549FE"/>
    <w:rsid w:val="00A626CE"/>
    <w:rsid w:val="00A6558D"/>
    <w:rsid w:val="00A6673C"/>
    <w:rsid w:val="00A869B7"/>
    <w:rsid w:val="00A9139E"/>
    <w:rsid w:val="00AB3414"/>
    <w:rsid w:val="00AB530F"/>
    <w:rsid w:val="00AB6202"/>
    <w:rsid w:val="00AB6545"/>
    <w:rsid w:val="00AB6FC4"/>
    <w:rsid w:val="00AC205C"/>
    <w:rsid w:val="00AC3CFE"/>
    <w:rsid w:val="00AC54CE"/>
    <w:rsid w:val="00AD288F"/>
    <w:rsid w:val="00AD5F99"/>
    <w:rsid w:val="00AE1810"/>
    <w:rsid w:val="00AE79B7"/>
    <w:rsid w:val="00AE7EC4"/>
    <w:rsid w:val="00AF0A6B"/>
    <w:rsid w:val="00AF394F"/>
    <w:rsid w:val="00B004E1"/>
    <w:rsid w:val="00B050ED"/>
    <w:rsid w:val="00B05A69"/>
    <w:rsid w:val="00B05DD8"/>
    <w:rsid w:val="00B14AD8"/>
    <w:rsid w:val="00B14D98"/>
    <w:rsid w:val="00B24110"/>
    <w:rsid w:val="00B33F25"/>
    <w:rsid w:val="00B50940"/>
    <w:rsid w:val="00B509C0"/>
    <w:rsid w:val="00B52318"/>
    <w:rsid w:val="00B524D3"/>
    <w:rsid w:val="00B560A8"/>
    <w:rsid w:val="00B61F76"/>
    <w:rsid w:val="00B70B9F"/>
    <w:rsid w:val="00B7115A"/>
    <w:rsid w:val="00B71C4B"/>
    <w:rsid w:val="00B8384B"/>
    <w:rsid w:val="00B84A82"/>
    <w:rsid w:val="00B93492"/>
    <w:rsid w:val="00B94897"/>
    <w:rsid w:val="00B9734B"/>
    <w:rsid w:val="00BB21A2"/>
    <w:rsid w:val="00BB2F88"/>
    <w:rsid w:val="00BB7767"/>
    <w:rsid w:val="00BC3722"/>
    <w:rsid w:val="00BD3EEA"/>
    <w:rsid w:val="00BF5F92"/>
    <w:rsid w:val="00C00CF7"/>
    <w:rsid w:val="00C03030"/>
    <w:rsid w:val="00C11BFE"/>
    <w:rsid w:val="00C13DF7"/>
    <w:rsid w:val="00C22310"/>
    <w:rsid w:val="00C22C59"/>
    <w:rsid w:val="00C22CAA"/>
    <w:rsid w:val="00C4792F"/>
    <w:rsid w:val="00C51317"/>
    <w:rsid w:val="00C5391D"/>
    <w:rsid w:val="00C56B19"/>
    <w:rsid w:val="00C6022B"/>
    <w:rsid w:val="00C70A99"/>
    <w:rsid w:val="00C77029"/>
    <w:rsid w:val="00C84B29"/>
    <w:rsid w:val="00C85546"/>
    <w:rsid w:val="00C8682B"/>
    <w:rsid w:val="00C90A9B"/>
    <w:rsid w:val="00C955F6"/>
    <w:rsid w:val="00C95E30"/>
    <w:rsid w:val="00C96F77"/>
    <w:rsid w:val="00CA7293"/>
    <w:rsid w:val="00CB05A5"/>
    <w:rsid w:val="00CB7901"/>
    <w:rsid w:val="00CC0472"/>
    <w:rsid w:val="00CC5665"/>
    <w:rsid w:val="00CE0402"/>
    <w:rsid w:val="00CE2680"/>
    <w:rsid w:val="00CE4C36"/>
    <w:rsid w:val="00CE4D7B"/>
    <w:rsid w:val="00CF0D3B"/>
    <w:rsid w:val="00CF2E76"/>
    <w:rsid w:val="00CF59DA"/>
    <w:rsid w:val="00D02FD0"/>
    <w:rsid w:val="00D03064"/>
    <w:rsid w:val="00D03DD8"/>
    <w:rsid w:val="00D04FDA"/>
    <w:rsid w:val="00D07D71"/>
    <w:rsid w:val="00D177A6"/>
    <w:rsid w:val="00D1792B"/>
    <w:rsid w:val="00D25439"/>
    <w:rsid w:val="00D32457"/>
    <w:rsid w:val="00D41C55"/>
    <w:rsid w:val="00D45252"/>
    <w:rsid w:val="00D55944"/>
    <w:rsid w:val="00D62433"/>
    <w:rsid w:val="00D64DC8"/>
    <w:rsid w:val="00D666F1"/>
    <w:rsid w:val="00D71B4D"/>
    <w:rsid w:val="00D74C60"/>
    <w:rsid w:val="00D85CE2"/>
    <w:rsid w:val="00D85DB6"/>
    <w:rsid w:val="00D93D55"/>
    <w:rsid w:val="00DA0767"/>
    <w:rsid w:val="00DB2E31"/>
    <w:rsid w:val="00DB4F00"/>
    <w:rsid w:val="00DC0174"/>
    <w:rsid w:val="00DC2080"/>
    <w:rsid w:val="00DC4268"/>
    <w:rsid w:val="00DD1048"/>
    <w:rsid w:val="00DD357A"/>
    <w:rsid w:val="00DE11E1"/>
    <w:rsid w:val="00DE21FD"/>
    <w:rsid w:val="00DE3E92"/>
    <w:rsid w:val="00DE73D0"/>
    <w:rsid w:val="00DF4AE1"/>
    <w:rsid w:val="00E03FFF"/>
    <w:rsid w:val="00E071B7"/>
    <w:rsid w:val="00E245CF"/>
    <w:rsid w:val="00E265A7"/>
    <w:rsid w:val="00E26C26"/>
    <w:rsid w:val="00E321C5"/>
    <w:rsid w:val="00E335FE"/>
    <w:rsid w:val="00E44603"/>
    <w:rsid w:val="00E5238C"/>
    <w:rsid w:val="00E54770"/>
    <w:rsid w:val="00E72E5D"/>
    <w:rsid w:val="00E77376"/>
    <w:rsid w:val="00E80B06"/>
    <w:rsid w:val="00E83108"/>
    <w:rsid w:val="00E842C2"/>
    <w:rsid w:val="00E84E33"/>
    <w:rsid w:val="00E85830"/>
    <w:rsid w:val="00E86FA5"/>
    <w:rsid w:val="00E97A43"/>
    <w:rsid w:val="00EA1D1B"/>
    <w:rsid w:val="00EA6367"/>
    <w:rsid w:val="00EB117B"/>
    <w:rsid w:val="00EB2D9E"/>
    <w:rsid w:val="00EC4E49"/>
    <w:rsid w:val="00EC6537"/>
    <w:rsid w:val="00EC694F"/>
    <w:rsid w:val="00EC71C4"/>
    <w:rsid w:val="00ED2977"/>
    <w:rsid w:val="00ED4495"/>
    <w:rsid w:val="00ED6723"/>
    <w:rsid w:val="00ED77FB"/>
    <w:rsid w:val="00ED7ED8"/>
    <w:rsid w:val="00EE1CE7"/>
    <w:rsid w:val="00EE45FA"/>
    <w:rsid w:val="00F00BAF"/>
    <w:rsid w:val="00F01AC4"/>
    <w:rsid w:val="00F11DED"/>
    <w:rsid w:val="00F11FEE"/>
    <w:rsid w:val="00F238C0"/>
    <w:rsid w:val="00F23C86"/>
    <w:rsid w:val="00F23F46"/>
    <w:rsid w:val="00F25FAD"/>
    <w:rsid w:val="00F27757"/>
    <w:rsid w:val="00F328A4"/>
    <w:rsid w:val="00F36F32"/>
    <w:rsid w:val="00F456FA"/>
    <w:rsid w:val="00F642FD"/>
    <w:rsid w:val="00F64F97"/>
    <w:rsid w:val="00F66152"/>
    <w:rsid w:val="00F71126"/>
    <w:rsid w:val="00F71FC7"/>
    <w:rsid w:val="00F7372C"/>
    <w:rsid w:val="00F81130"/>
    <w:rsid w:val="00F91636"/>
    <w:rsid w:val="00FC3179"/>
    <w:rsid w:val="00FD447E"/>
    <w:rsid w:val="00FF2F26"/>
    <w:rsid w:val="00FF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3389EE9"/>
  <w15:docId w15:val="{A192F1DE-B288-43EE-99FF-A4BE985F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DF"/>
    <w:rPr>
      <w:rFonts w:ascii="Arial" w:eastAsia="SimSun" w:hAnsi="Arial" w:cs="Arial"/>
      <w:sz w:val="22"/>
      <w:lang w:val="fr-CH" w:eastAsia="zh-CN"/>
    </w:rPr>
  </w:style>
  <w:style w:type="paragraph" w:styleId="Heading1">
    <w:name w:val="heading 1"/>
    <w:basedOn w:val="Normal"/>
    <w:next w:val="Normal"/>
    <w:qFormat/>
    <w:rsid w:val="00314CDF"/>
    <w:pPr>
      <w:keepNext/>
      <w:spacing w:before="240" w:after="60"/>
      <w:outlineLvl w:val="0"/>
    </w:pPr>
    <w:rPr>
      <w:b/>
      <w:bCs/>
      <w:caps/>
      <w:kern w:val="32"/>
      <w:szCs w:val="32"/>
    </w:rPr>
  </w:style>
  <w:style w:type="paragraph" w:styleId="Heading2">
    <w:name w:val="heading 2"/>
    <w:basedOn w:val="Normal"/>
    <w:next w:val="Normal"/>
    <w:qFormat/>
    <w:rsid w:val="00314CDF"/>
    <w:pPr>
      <w:keepNext/>
      <w:spacing w:before="240" w:after="60"/>
      <w:outlineLvl w:val="1"/>
    </w:pPr>
    <w:rPr>
      <w:bCs/>
      <w:iCs/>
      <w:caps/>
      <w:szCs w:val="28"/>
    </w:rPr>
  </w:style>
  <w:style w:type="paragraph" w:styleId="Heading3">
    <w:name w:val="heading 3"/>
    <w:basedOn w:val="Normal"/>
    <w:next w:val="Normal"/>
    <w:qFormat/>
    <w:rsid w:val="00314CDF"/>
    <w:pPr>
      <w:keepNext/>
      <w:spacing w:before="240" w:after="60"/>
      <w:outlineLvl w:val="2"/>
    </w:pPr>
    <w:rPr>
      <w:bCs/>
      <w:szCs w:val="26"/>
      <w:u w:val="single"/>
    </w:rPr>
  </w:style>
  <w:style w:type="paragraph" w:styleId="Heading4">
    <w:name w:val="heading 4"/>
    <w:basedOn w:val="Normal"/>
    <w:next w:val="Normal"/>
    <w:qFormat/>
    <w:rsid w:val="00314CDF"/>
    <w:pPr>
      <w:keepNext/>
      <w:spacing w:before="240" w:after="60"/>
      <w:ind w:left="567"/>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14CDF"/>
    <w:pPr>
      <w:ind w:left="5534"/>
    </w:pPr>
    <w:rPr>
      <w:lang w:val="en-US"/>
    </w:rPr>
  </w:style>
  <w:style w:type="paragraph" w:styleId="BodyText">
    <w:name w:val="Body Text"/>
    <w:basedOn w:val="Normal"/>
    <w:rsid w:val="00314CDF"/>
    <w:pPr>
      <w:spacing w:after="220"/>
    </w:pPr>
  </w:style>
  <w:style w:type="paragraph" w:styleId="Caption">
    <w:name w:val="caption"/>
    <w:basedOn w:val="Normal"/>
    <w:next w:val="Normal"/>
    <w:qFormat/>
    <w:rsid w:val="00314CDF"/>
    <w:rPr>
      <w:b/>
      <w:bCs/>
      <w:sz w:val="18"/>
    </w:rPr>
  </w:style>
  <w:style w:type="paragraph" w:styleId="CommentText">
    <w:name w:val="annotation text"/>
    <w:basedOn w:val="Normal"/>
    <w:link w:val="CommentTextChar"/>
    <w:semiHidden/>
    <w:rsid w:val="00314CDF"/>
    <w:rPr>
      <w:sz w:val="18"/>
    </w:rPr>
  </w:style>
  <w:style w:type="paragraph" w:styleId="EndnoteText">
    <w:name w:val="endnote text"/>
    <w:basedOn w:val="Normal"/>
    <w:semiHidden/>
    <w:rsid w:val="00314CDF"/>
    <w:rPr>
      <w:sz w:val="18"/>
    </w:rPr>
  </w:style>
  <w:style w:type="paragraph" w:styleId="Footer">
    <w:name w:val="footer"/>
    <w:basedOn w:val="Normal"/>
    <w:semiHidden/>
    <w:rsid w:val="00314CDF"/>
    <w:pPr>
      <w:tabs>
        <w:tab w:val="center" w:pos="4320"/>
        <w:tab w:val="right" w:pos="8640"/>
      </w:tabs>
    </w:pPr>
  </w:style>
  <w:style w:type="paragraph" w:styleId="FootnoteText">
    <w:name w:val="footnote text"/>
    <w:basedOn w:val="Normal"/>
    <w:link w:val="FootnoteTextChar"/>
    <w:semiHidden/>
    <w:rsid w:val="00314CDF"/>
    <w:rPr>
      <w:sz w:val="18"/>
    </w:rPr>
  </w:style>
  <w:style w:type="paragraph" w:styleId="Header">
    <w:name w:val="header"/>
    <w:basedOn w:val="Normal"/>
    <w:semiHidden/>
    <w:rsid w:val="00314CDF"/>
    <w:pPr>
      <w:tabs>
        <w:tab w:val="center" w:pos="4536"/>
        <w:tab w:val="right" w:pos="9072"/>
      </w:tabs>
    </w:pPr>
  </w:style>
  <w:style w:type="paragraph" w:styleId="ListNumber">
    <w:name w:val="List Number"/>
    <w:basedOn w:val="Normal"/>
    <w:semiHidden/>
    <w:rsid w:val="00314CDF"/>
    <w:pPr>
      <w:numPr>
        <w:numId w:val="18"/>
      </w:numPr>
    </w:pPr>
  </w:style>
  <w:style w:type="paragraph" w:customStyle="1" w:styleId="ONUME">
    <w:name w:val="ONUM E"/>
    <w:basedOn w:val="BodyText"/>
    <w:rsid w:val="00314CDF"/>
    <w:pPr>
      <w:numPr>
        <w:numId w:val="19"/>
      </w:numPr>
    </w:pPr>
  </w:style>
  <w:style w:type="paragraph" w:customStyle="1" w:styleId="ONUMFS">
    <w:name w:val="ONUM FS"/>
    <w:basedOn w:val="BodyText"/>
    <w:rsid w:val="00314CDF"/>
    <w:pPr>
      <w:numPr>
        <w:numId w:val="20"/>
      </w:numPr>
    </w:pPr>
  </w:style>
  <w:style w:type="paragraph" w:styleId="Salutation">
    <w:name w:val="Salutation"/>
    <w:basedOn w:val="Normal"/>
    <w:next w:val="Normal"/>
    <w:semiHidden/>
    <w:rsid w:val="00314CDF"/>
  </w:style>
  <w:style w:type="paragraph" w:styleId="Signature">
    <w:name w:val="Signature"/>
    <w:basedOn w:val="Normal"/>
    <w:semiHidden/>
    <w:rsid w:val="00314CDF"/>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010CF2"/>
    <w:rPr>
      <w:rFonts w:ascii="Arial" w:eastAsia="SimSun" w:hAnsi="Arial" w:cs="Arial"/>
      <w:sz w:val="18"/>
      <w:lang w:val="fr-CH" w:eastAsia="zh-CN"/>
    </w:rPr>
  </w:style>
  <w:style w:type="paragraph" w:customStyle="1" w:styleId="Default">
    <w:name w:val="Default"/>
    <w:rsid w:val="00010CF2"/>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314CDF"/>
    <w:pPr>
      <w:ind w:left="720"/>
      <w:contextualSpacing/>
    </w:pPr>
  </w:style>
  <w:style w:type="character" w:styleId="Hyperlink">
    <w:name w:val="Hyperlink"/>
    <w:basedOn w:val="DefaultParagraphFont"/>
    <w:uiPriority w:val="99"/>
    <w:unhideWhenUsed/>
    <w:rsid w:val="00AB3414"/>
    <w:rPr>
      <w:color w:val="0000FF" w:themeColor="hyperlink"/>
      <w:u w:val="single"/>
    </w:rPr>
  </w:style>
  <w:style w:type="paragraph" w:styleId="NoSpacing">
    <w:name w:val="No Spacing"/>
    <w:uiPriority w:val="1"/>
    <w:qFormat/>
    <w:rsid w:val="000C5E75"/>
    <w:rPr>
      <w:rFonts w:ascii="Arial" w:eastAsia="SimSun" w:hAnsi="Arial" w:cs="Arial"/>
      <w:sz w:val="22"/>
      <w:lang w:eastAsia="zh-CN"/>
    </w:rPr>
  </w:style>
  <w:style w:type="character" w:styleId="CommentReference">
    <w:name w:val="annotation reference"/>
    <w:basedOn w:val="DefaultParagraphFont"/>
    <w:semiHidden/>
    <w:unhideWhenUsed/>
    <w:rsid w:val="00363737"/>
    <w:rPr>
      <w:sz w:val="16"/>
      <w:szCs w:val="16"/>
    </w:rPr>
  </w:style>
  <w:style w:type="paragraph" w:styleId="CommentSubject">
    <w:name w:val="annotation subject"/>
    <w:basedOn w:val="CommentText"/>
    <w:next w:val="CommentText"/>
    <w:link w:val="CommentSubjectChar"/>
    <w:semiHidden/>
    <w:unhideWhenUsed/>
    <w:rsid w:val="00363737"/>
    <w:rPr>
      <w:b/>
      <w:bCs/>
      <w:sz w:val="20"/>
    </w:rPr>
  </w:style>
  <w:style w:type="character" w:customStyle="1" w:styleId="CommentTextChar">
    <w:name w:val="Comment Text Char"/>
    <w:basedOn w:val="DefaultParagraphFont"/>
    <w:link w:val="CommentText"/>
    <w:semiHidden/>
    <w:rsid w:val="00363737"/>
    <w:rPr>
      <w:rFonts w:ascii="Arial" w:eastAsia="SimSun" w:hAnsi="Arial" w:cs="Arial"/>
      <w:sz w:val="18"/>
      <w:lang w:val="fr-CH" w:eastAsia="zh-CN"/>
    </w:rPr>
  </w:style>
  <w:style w:type="character" w:customStyle="1" w:styleId="CommentSubjectChar">
    <w:name w:val="Comment Subject Char"/>
    <w:basedOn w:val="CommentTextChar"/>
    <w:link w:val="CommentSubject"/>
    <w:semiHidden/>
    <w:rsid w:val="00363737"/>
    <w:rPr>
      <w:rFonts w:ascii="Arial" w:eastAsia="SimSun" w:hAnsi="Arial" w:cs="Arial"/>
      <w:b/>
      <w:bCs/>
      <w:sz w:val="18"/>
      <w:lang w:val="fr-CH" w:eastAsia="zh-CN"/>
    </w:rPr>
  </w:style>
  <w:style w:type="character" w:styleId="FollowedHyperlink">
    <w:name w:val="FollowedHyperlink"/>
    <w:basedOn w:val="DefaultParagraphFont"/>
    <w:semiHidden/>
    <w:unhideWhenUsed/>
    <w:rsid w:val="00777ACD"/>
    <w:rPr>
      <w:color w:val="800080" w:themeColor="followedHyperlink"/>
      <w:u w:val="single"/>
    </w:rPr>
  </w:style>
  <w:style w:type="paragraph" w:customStyle="1" w:styleId="Meetingplacedate">
    <w:name w:val="Meeting place &amp; date"/>
    <w:basedOn w:val="Normal"/>
    <w:next w:val="Normal"/>
    <w:rsid w:val="00314CD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14CDF"/>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xport/sites/www/treaties/fr/documents/pdf/madrid_marks.pdf" TargetMode="External"/><Relationship Id="rId2" Type="http://schemas.openxmlformats.org/officeDocument/2006/relationships/hyperlink" Target="https://www.wipo.int/madrid/fr/members/declarations.html" TargetMode="External"/><Relationship Id="rId1" Type="http://schemas.openxmlformats.org/officeDocument/2006/relationships/hyperlink" Target="https://www.wipo.int/edocs/mdocs/madrid/en/mm_ld_wg_12_rt/mm_ld_wg_12_rt_information_on_provisional_refusals.pdf" TargetMode="External"/><Relationship Id="rId5" Type="http://schemas.openxmlformats.org/officeDocument/2006/relationships/hyperlink" Target="http://www.wipo.int/export/sites/www/madrid/fr/docs/madrid_pendency_rates.pdf" TargetMode="External"/><Relationship Id="rId4" Type="http://schemas.openxmlformats.org/officeDocument/2006/relationships/hyperlink" Target="https://www.wipo.int/edocs/mdocs/madrid/en/mm_ld_wg_12_rt/mm_ld_wg_12_rt_information_on_provisional_refus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C2B8-73C2-42BA-8B01-DB1E5D8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3484</Words>
  <Characters>19154</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8</cp:revision>
  <cp:lastPrinted>2019-05-02T11:56:00Z</cp:lastPrinted>
  <dcterms:created xsi:type="dcterms:W3CDTF">2019-05-13T12:58:00Z</dcterms:created>
  <dcterms:modified xsi:type="dcterms:W3CDTF">2019-05-15T14:28:00Z</dcterms:modified>
</cp:coreProperties>
</file>