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B97B33" w:rsidRPr="00B97B33" w:rsidTr="004C63C4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9F5948" w:rsidRPr="00B97B33" w:rsidRDefault="009F5948" w:rsidP="004C63C4">
            <w:pPr>
              <w:rPr>
                <w:lang w:val="fr-FR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9F5948" w:rsidRPr="00B97B33" w:rsidRDefault="009F5948" w:rsidP="004C63C4">
            <w:pPr>
              <w:rPr>
                <w:lang w:val="fr-FR"/>
              </w:rPr>
            </w:pPr>
            <w:r w:rsidRPr="00B97B33">
              <w:rPr>
                <w:noProof/>
                <w:lang w:eastAsia="en-US"/>
              </w:rPr>
              <w:drawing>
                <wp:inline distT="0" distB="0" distL="0" distR="0" wp14:anchorId="0DBF13FD" wp14:editId="766E989D">
                  <wp:extent cx="1856740" cy="1323975"/>
                  <wp:effectExtent l="0" t="0" r="0" b="0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74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9F5948" w:rsidRPr="00B97B33" w:rsidRDefault="009F5948" w:rsidP="004C63C4">
            <w:pPr>
              <w:jc w:val="right"/>
              <w:rPr>
                <w:lang w:val="fr-FR"/>
              </w:rPr>
            </w:pPr>
            <w:r w:rsidRPr="00B97B33">
              <w:rPr>
                <w:b/>
                <w:sz w:val="40"/>
                <w:szCs w:val="40"/>
                <w:lang w:val="fr-FR"/>
              </w:rPr>
              <w:t>F</w:t>
            </w:r>
          </w:p>
        </w:tc>
      </w:tr>
      <w:tr w:rsidR="00B97B33" w:rsidRPr="00B97B33" w:rsidTr="004C63C4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9F5948" w:rsidRPr="00B97B33" w:rsidRDefault="009F5948" w:rsidP="004C63C4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B97B33">
              <w:rPr>
                <w:rFonts w:ascii="Arial Black" w:hAnsi="Arial Black"/>
                <w:caps/>
                <w:sz w:val="15"/>
                <w:lang w:val="fr-FR"/>
              </w:rPr>
              <w:t>mm/Ld/wg/16/</w:t>
            </w:r>
            <w:bookmarkStart w:id="0" w:name="Code"/>
            <w:bookmarkEnd w:id="0"/>
            <w:r w:rsidRPr="00B97B33">
              <w:rPr>
                <w:rFonts w:ascii="Arial Black" w:hAnsi="Arial Black"/>
                <w:caps/>
                <w:sz w:val="15"/>
                <w:lang w:val="fr-FR"/>
              </w:rPr>
              <w:t>3</w:t>
            </w:r>
          </w:p>
        </w:tc>
      </w:tr>
      <w:tr w:rsidR="00B97B33" w:rsidRPr="00B97B33" w:rsidTr="004C63C4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9F5948" w:rsidRPr="00B97B33" w:rsidRDefault="009F5948" w:rsidP="004C63C4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B97B33">
              <w:rPr>
                <w:rFonts w:ascii="Arial Black" w:hAnsi="Arial Black"/>
                <w:caps/>
                <w:sz w:val="15"/>
                <w:lang w:val="fr-FR"/>
              </w:rPr>
              <w:t>ORIGINAL</w:t>
            </w:r>
            <w:r w:rsidR="00681343" w:rsidRPr="00B97B33">
              <w:rPr>
                <w:rFonts w:ascii="Arial Black" w:hAnsi="Arial Black"/>
                <w:caps/>
                <w:sz w:val="15"/>
                <w:lang w:val="fr-FR"/>
              </w:rPr>
              <w:t> :</w:t>
            </w:r>
            <w:bookmarkStart w:id="1" w:name="Original"/>
            <w:bookmarkEnd w:id="1"/>
            <w:r w:rsidR="00D0221E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r w:rsidRPr="00B97B33">
              <w:rPr>
                <w:rFonts w:ascii="Arial Black" w:hAnsi="Arial Black"/>
                <w:caps/>
                <w:sz w:val="15"/>
                <w:lang w:val="fr-FR"/>
              </w:rPr>
              <w:t xml:space="preserve">anglais </w:t>
            </w:r>
          </w:p>
        </w:tc>
      </w:tr>
      <w:tr w:rsidR="009F5948" w:rsidRPr="00B97B33" w:rsidTr="004C63C4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9F5948" w:rsidRPr="00B97B33" w:rsidRDefault="009F5948" w:rsidP="00D0221E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D0221E">
              <w:rPr>
                <w:rFonts w:ascii="Arial Black" w:hAnsi="Arial Black"/>
                <w:caps/>
                <w:sz w:val="15"/>
                <w:lang w:val="fr-FR"/>
              </w:rPr>
              <w:t>DATE</w:t>
            </w:r>
            <w:r w:rsidR="00681343" w:rsidRPr="00D0221E">
              <w:rPr>
                <w:rFonts w:ascii="Arial Black" w:hAnsi="Arial Black"/>
                <w:caps/>
                <w:sz w:val="15"/>
                <w:lang w:val="fr-FR"/>
              </w:rPr>
              <w:t> :</w:t>
            </w:r>
            <w:bookmarkStart w:id="2" w:name="Date"/>
            <w:bookmarkEnd w:id="2"/>
            <w:r w:rsidR="00B8496B" w:rsidRPr="00D0221E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r w:rsidR="00D0221E">
              <w:rPr>
                <w:rFonts w:ascii="Arial Black" w:hAnsi="Arial Black"/>
                <w:caps/>
                <w:sz w:val="15"/>
                <w:lang w:val="fr-FR"/>
              </w:rPr>
              <w:t>2 MAI</w:t>
            </w:r>
            <w:r w:rsidR="00681343" w:rsidRPr="00D0221E">
              <w:rPr>
                <w:rFonts w:ascii="Arial Black" w:hAnsi="Arial Black"/>
                <w:caps/>
                <w:sz w:val="15"/>
                <w:lang w:val="fr-FR"/>
              </w:rPr>
              <w:t> 20</w:t>
            </w:r>
            <w:r w:rsidRPr="00D0221E">
              <w:rPr>
                <w:rFonts w:ascii="Arial Black" w:hAnsi="Arial Black"/>
                <w:caps/>
                <w:sz w:val="15"/>
                <w:lang w:val="fr-FR"/>
              </w:rPr>
              <w:t>18</w:t>
            </w:r>
            <w:r w:rsidRPr="00B97B33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</w:p>
        </w:tc>
      </w:tr>
    </w:tbl>
    <w:p w:rsidR="009F5948" w:rsidRPr="00B97B33" w:rsidRDefault="009F5948" w:rsidP="009F5948">
      <w:pPr>
        <w:rPr>
          <w:lang w:val="fr-FR"/>
        </w:rPr>
      </w:pPr>
    </w:p>
    <w:p w:rsidR="009F5948" w:rsidRPr="00B97B33" w:rsidRDefault="009F5948" w:rsidP="009F5948">
      <w:pPr>
        <w:rPr>
          <w:lang w:val="fr-FR"/>
        </w:rPr>
      </w:pPr>
    </w:p>
    <w:p w:rsidR="009F5948" w:rsidRPr="00B97B33" w:rsidRDefault="009F5948" w:rsidP="009F5948">
      <w:pPr>
        <w:rPr>
          <w:lang w:val="fr-FR"/>
        </w:rPr>
      </w:pPr>
    </w:p>
    <w:p w:rsidR="009F5948" w:rsidRPr="00B97B33" w:rsidRDefault="009F5948" w:rsidP="009F5948">
      <w:pPr>
        <w:rPr>
          <w:lang w:val="fr-FR"/>
        </w:rPr>
      </w:pPr>
    </w:p>
    <w:p w:rsidR="009F5948" w:rsidRPr="00B97B33" w:rsidRDefault="009F5948" w:rsidP="009F5948">
      <w:pPr>
        <w:rPr>
          <w:lang w:val="fr-FR"/>
        </w:rPr>
      </w:pPr>
    </w:p>
    <w:p w:rsidR="009F5948" w:rsidRPr="00B97B33" w:rsidRDefault="009F5948" w:rsidP="009F5948">
      <w:pPr>
        <w:rPr>
          <w:b/>
          <w:sz w:val="28"/>
          <w:szCs w:val="28"/>
          <w:lang w:val="fr-FR"/>
        </w:rPr>
      </w:pPr>
      <w:r w:rsidRPr="00B97B33">
        <w:rPr>
          <w:b/>
          <w:sz w:val="28"/>
          <w:szCs w:val="28"/>
          <w:lang w:val="fr-FR"/>
        </w:rPr>
        <w:t>Groupe de travail sur le développement juridique du système de Madrid concernant l</w:t>
      </w:r>
      <w:r w:rsidR="00681343" w:rsidRPr="00B97B33">
        <w:rPr>
          <w:b/>
          <w:sz w:val="28"/>
          <w:szCs w:val="28"/>
          <w:lang w:val="fr-FR"/>
        </w:rPr>
        <w:t>’</w:t>
      </w:r>
      <w:r w:rsidRPr="00B97B33">
        <w:rPr>
          <w:b/>
          <w:sz w:val="28"/>
          <w:szCs w:val="28"/>
          <w:lang w:val="fr-FR"/>
        </w:rPr>
        <w:t>enregistrement international des marques</w:t>
      </w:r>
    </w:p>
    <w:p w:rsidR="009F5948" w:rsidRPr="00B97B33" w:rsidRDefault="009F5948" w:rsidP="009F5948">
      <w:pPr>
        <w:rPr>
          <w:lang w:val="fr-FR"/>
        </w:rPr>
      </w:pPr>
    </w:p>
    <w:p w:rsidR="009F5948" w:rsidRPr="00B97B33" w:rsidRDefault="009F5948" w:rsidP="009F5948">
      <w:pPr>
        <w:rPr>
          <w:lang w:val="fr-FR"/>
        </w:rPr>
      </w:pPr>
    </w:p>
    <w:p w:rsidR="009F5948" w:rsidRPr="00B97B33" w:rsidRDefault="009F5948" w:rsidP="009F5948">
      <w:pPr>
        <w:rPr>
          <w:b/>
          <w:sz w:val="24"/>
          <w:szCs w:val="24"/>
          <w:lang w:val="fr-FR"/>
        </w:rPr>
      </w:pPr>
      <w:r w:rsidRPr="00B97B33">
        <w:rPr>
          <w:b/>
          <w:sz w:val="24"/>
          <w:szCs w:val="24"/>
          <w:lang w:val="fr-FR"/>
        </w:rPr>
        <w:t>Seiz</w:t>
      </w:r>
      <w:r w:rsidR="00681343" w:rsidRPr="00B97B33">
        <w:rPr>
          <w:b/>
          <w:sz w:val="24"/>
          <w:szCs w:val="24"/>
          <w:lang w:val="fr-FR"/>
        </w:rPr>
        <w:t>ième session</w:t>
      </w:r>
    </w:p>
    <w:p w:rsidR="009F5948" w:rsidRPr="00B97B33" w:rsidRDefault="009F5948" w:rsidP="009F5948">
      <w:pPr>
        <w:rPr>
          <w:b/>
          <w:sz w:val="24"/>
          <w:szCs w:val="24"/>
          <w:lang w:val="fr-FR"/>
        </w:rPr>
      </w:pPr>
      <w:r w:rsidRPr="00B97B33">
        <w:rPr>
          <w:b/>
          <w:sz w:val="24"/>
          <w:szCs w:val="24"/>
          <w:lang w:val="fr-FR"/>
        </w:rPr>
        <w:t xml:space="preserve">Genève, 2 – </w:t>
      </w:r>
      <w:r w:rsidR="00681343" w:rsidRPr="00B97B33">
        <w:rPr>
          <w:b/>
          <w:sz w:val="24"/>
          <w:szCs w:val="24"/>
          <w:lang w:val="fr-FR"/>
        </w:rPr>
        <w:t>6 juillet 20</w:t>
      </w:r>
      <w:r w:rsidRPr="00B97B33">
        <w:rPr>
          <w:b/>
          <w:sz w:val="24"/>
          <w:szCs w:val="24"/>
          <w:lang w:val="fr-FR"/>
        </w:rPr>
        <w:t>18</w:t>
      </w:r>
    </w:p>
    <w:p w:rsidR="009F5948" w:rsidRPr="00B97B33" w:rsidRDefault="009F5948" w:rsidP="009F5948">
      <w:pPr>
        <w:rPr>
          <w:lang w:val="fr-FR"/>
        </w:rPr>
      </w:pPr>
    </w:p>
    <w:p w:rsidR="009F5948" w:rsidRPr="00B97B33" w:rsidRDefault="009F5948" w:rsidP="009F5948">
      <w:pPr>
        <w:rPr>
          <w:lang w:val="fr-FR"/>
        </w:rPr>
      </w:pPr>
    </w:p>
    <w:p w:rsidR="009F5948" w:rsidRPr="00B97B33" w:rsidRDefault="009F5948" w:rsidP="009F5948">
      <w:pPr>
        <w:rPr>
          <w:lang w:val="fr-FR"/>
        </w:rPr>
      </w:pPr>
    </w:p>
    <w:p w:rsidR="00674977" w:rsidRPr="00B97B33" w:rsidRDefault="006273D4" w:rsidP="006273D4">
      <w:pPr>
        <w:rPr>
          <w:caps/>
          <w:sz w:val="24"/>
          <w:lang w:val="fr-FR"/>
        </w:rPr>
      </w:pPr>
      <w:r w:rsidRPr="00B97B33">
        <w:rPr>
          <w:caps/>
          <w:sz w:val="24"/>
          <w:lang w:val="fr-FR"/>
        </w:rPr>
        <w:t>transformation</w:t>
      </w:r>
    </w:p>
    <w:p w:rsidR="00674977" w:rsidRPr="00B97B33" w:rsidRDefault="00674977" w:rsidP="008B2CC1">
      <w:pPr>
        <w:rPr>
          <w:lang w:val="fr-FR"/>
        </w:rPr>
      </w:pPr>
    </w:p>
    <w:p w:rsidR="00674977" w:rsidRPr="00B97B33" w:rsidRDefault="006273D4" w:rsidP="006273D4">
      <w:pPr>
        <w:rPr>
          <w:i/>
          <w:lang w:val="fr-FR"/>
        </w:rPr>
      </w:pPr>
      <w:bookmarkStart w:id="3" w:name="Prepared"/>
      <w:bookmarkEnd w:id="3"/>
      <w:r w:rsidRPr="00B97B33">
        <w:rPr>
          <w:i/>
          <w:lang w:val="fr-FR"/>
        </w:rPr>
        <w:t>Document établi par le Bureau international</w:t>
      </w:r>
    </w:p>
    <w:p w:rsidR="00674977" w:rsidRPr="00B97B33" w:rsidRDefault="00674977">
      <w:pPr>
        <w:rPr>
          <w:lang w:val="fr-FR"/>
        </w:rPr>
      </w:pPr>
    </w:p>
    <w:p w:rsidR="00674977" w:rsidRPr="00B97B33" w:rsidRDefault="00674977">
      <w:pPr>
        <w:rPr>
          <w:lang w:val="fr-FR"/>
        </w:rPr>
      </w:pPr>
    </w:p>
    <w:p w:rsidR="00674977" w:rsidRPr="00B97B33" w:rsidRDefault="00674977" w:rsidP="0053057A">
      <w:pPr>
        <w:rPr>
          <w:lang w:val="fr-FR"/>
        </w:rPr>
      </w:pPr>
    </w:p>
    <w:p w:rsidR="00674977" w:rsidRPr="00B97B33" w:rsidRDefault="006273D4" w:rsidP="006273D4">
      <w:pPr>
        <w:pStyle w:val="Heading1"/>
        <w:rPr>
          <w:lang w:val="fr-FR"/>
        </w:rPr>
      </w:pPr>
      <w:r w:rsidRPr="00B97B33">
        <w:rPr>
          <w:lang w:val="fr-FR"/>
        </w:rPr>
        <w:t>Introduction</w:t>
      </w:r>
    </w:p>
    <w:p w:rsidR="00674977" w:rsidRPr="00B97B33" w:rsidRDefault="00674977" w:rsidP="00831722">
      <w:pPr>
        <w:rPr>
          <w:lang w:val="fr-FR"/>
        </w:rPr>
      </w:pPr>
    </w:p>
    <w:p w:rsidR="00681343" w:rsidRPr="00B97B33" w:rsidRDefault="005D6EEE" w:rsidP="0089636B">
      <w:pPr>
        <w:pStyle w:val="ONUMFS"/>
        <w:rPr>
          <w:lang w:val="fr-FR"/>
        </w:rPr>
      </w:pPr>
      <w:r w:rsidRPr="00B97B33">
        <w:rPr>
          <w:lang w:val="fr-FR"/>
        </w:rPr>
        <w:t>À sa quatorz</w:t>
      </w:r>
      <w:r w:rsidR="00681343" w:rsidRPr="00B97B33">
        <w:rPr>
          <w:lang w:val="fr-FR"/>
        </w:rPr>
        <w:t>ième session</w:t>
      </w:r>
      <w:r w:rsidRPr="00B97B33">
        <w:rPr>
          <w:lang w:val="fr-FR"/>
        </w:rPr>
        <w:t xml:space="preserve"> tenue à Genève du 13</w:t>
      </w:r>
      <w:r w:rsidR="00B80B10" w:rsidRPr="00B97B33">
        <w:rPr>
          <w:lang w:val="fr-FR"/>
        </w:rPr>
        <w:t> </w:t>
      </w:r>
      <w:r w:rsidRPr="00B97B33">
        <w:rPr>
          <w:lang w:val="fr-FR"/>
        </w:rPr>
        <w:t>au</w:t>
      </w:r>
      <w:r w:rsidR="00B80B10" w:rsidRPr="00B97B33">
        <w:rPr>
          <w:lang w:val="fr-FR"/>
        </w:rPr>
        <w:t> </w:t>
      </w:r>
      <w:r w:rsidRPr="00B97B33">
        <w:rPr>
          <w:lang w:val="fr-FR"/>
        </w:rPr>
        <w:t>17</w:t>
      </w:r>
      <w:r w:rsidR="00B80B10" w:rsidRPr="00B97B33">
        <w:rPr>
          <w:lang w:val="fr-FR"/>
        </w:rPr>
        <w:t> </w:t>
      </w:r>
      <w:r w:rsidRPr="00B97B33">
        <w:rPr>
          <w:lang w:val="fr-FR"/>
        </w:rPr>
        <w:t>juin 2016, le Groupe de travail sur le développement juridique du système de Madrid concernant l</w:t>
      </w:r>
      <w:r w:rsidR="00681343" w:rsidRPr="00B97B33">
        <w:rPr>
          <w:lang w:val="fr-FR"/>
        </w:rPr>
        <w:t>’</w:t>
      </w:r>
      <w:r w:rsidRPr="00B97B33">
        <w:rPr>
          <w:lang w:val="fr-FR"/>
        </w:rPr>
        <w:t>enregistrement international des marques (ci</w:t>
      </w:r>
      <w:r w:rsidR="006B7734" w:rsidRPr="00B97B33">
        <w:rPr>
          <w:lang w:val="fr-FR"/>
        </w:rPr>
        <w:noBreakHyphen/>
      </w:r>
      <w:r w:rsidRPr="00B97B33">
        <w:rPr>
          <w:lang w:val="fr-FR"/>
        </w:rPr>
        <w:t xml:space="preserve">après dénommés respectivement “groupe de travail” et “système de Madrid”) </w:t>
      </w:r>
      <w:r w:rsidR="00200819">
        <w:rPr>
          <w:lang w:val="fr-FR"/>
        </w:rPr>
        <w:t>est</w:t>
      </w:r>
      <w:r w:rsidRPr="00B97B33">
        <w:rPr>
          <w:lang w:val="fr-FR"/>
        </w:rPr>
        <w:t xml:space="preserve"> convenu d</w:t>
      </w:r>
      <w:r w:rsidR="00681343" w:rsidRPr="00B97B33">
        <w:rPr>
          <w:lang w:val="fr-FR"/>
        </w:rPr>
        <w:t>’</w:t>
      </w:r>
      <w:r w:rsidRPr="00B97B33">
        <w:rPr>
          <w:lang w:val="fr-FR"/>
        </w:rPr>
        <w:t xml:space="preserve">une liste de </w:t>
      </w:r>
      <w:r w:rsidR="00200819">
        <w:rPr>
          <w:lang w:val="fr-FR"/>
        </w:rPr>
        <w:t>questions</w:t>
      </w:r>
      <w:r w:rsidRPr="00B97B33">
        <w:rPr>
          <w:lang w:val="fr-FR"/>
        </w:rPr>
        <w:t xml:space="preserve"> à examiner </w:t>
      </w:r>
      <w:r w:rsidR="00200819" w:rsidRPr="00B97B33">
        <w:rPr>
          <w:lang w:val="fr-FR"/>
        </w:rPr>
        <w:t>(“feuille de route”)</w:t>
      </w:r>
      <w:r w:rsidR="00200819" w:rsidRPr="00B97B33">
        <w:rPr>
          <w:rStyle w:val="FootnoteReference"/>
          <w:lang w:val="fr-FR"/>
        </w:rPr>
        <w:footnoteReference w:id="2"/>
      </w:r>
      <w:r w:rsidR="00200819">
        <w:rPr>
          <w:lang w:val="fr-FR"/>
        </w:rPr>
        <w:t xml:space="preserve"> </w:t>
      </w:r>
      <w:r w:rsidRPr="00B97B33">
        <w:rPr>
          <w:lang w:val="fr-FR"/>
        </w:rPr>
        <w:t>à court, moyen et long terme</w:t>
      </w:r>
      <w:r w:rsidR="004F3337">
        <w:rPr>
          <w:lang w:val="fr-FR"/>
        </w:rPr>
        <w:t>s</w:t>
      </w:r>
      <w:r w:rsidRPr="00B97B33">
        <w:rPr>
          <w:lang w:val="fr-FR"/>
        </w:rPr>
        <w:t>.</w:t>
      </w:r>
      <w:r w:rsidR="00831722" w:rsidRPr="00B97B33">
        <w:rPr>
          <w:lang w:val="fr-FR"/>
        </w:rPr>
        <w:t xml:space="preserve">  </w:t>
      </w:r>
      <w:r w:rsidRPr="00B97B33">
        <w:rPr>
          <w:lang w:val="fr-FR"/>
        </w:rPr>
        <w:t>Le</w:t>
      </w:r>
      <w:r w:rsidR="00001D9B">
        <w:rPr>
          <w:lang w:val="fr-FR"/>
        </w:rPr>
        <w:t> </w:t>
      </w:r>
      <w:r w:rsidRPr="00B97B33">
        <w:rPr>
          <w:lang w:val="fr-FR"/>
        </w:rPr>
        <w:t xml:space="preserve">groupe de travail a </w:t>
      </w:r>
      <w:r w:rsidR="00200819">
        <w:rPr>
          <w:lang w:val="fr-FR"/>
        </w:rPr>
        <w:t>révisé</w:t>
      </w:r>
      <w:r w:rsidRPr="00B97B33">
        <w:rPr>
          <w:lang w:val="fr-FR"/>
        </w:rPr>
        <w:t xml:space="preserve"> la feuille de route à sa quinz</w:t>
      </w:r>
      <w:r w:rsidR="00681343" w:rsidRPr="00B97B33">
        <w:rPr>
          <w:lang w:val="fr-FR"/>
        </w:rPr>
        <w:t>ième session</w:t>
      </w:r>
      <w:r w:rsidRPr="00B97B33">
        <w:rPr>
          <w:rStyle w:val="FootnoteReference"/>
          <w:lang w:val="fr-FR"/>
        </w:rPr>
        <w:footnoteReference w:id="3"/>
      </w:r>
      <w:r w:rsidRPr="00B97B33">
        <w:rPr>
          <w:lang w:val="fr-FR"/>
        </w:rPr>
        <w:t>, tenue à Genève du</w:t>
      </w:r>
      <w:r w:rsidR="00D0221E">
        <w:rPr>
          <w:lang w:val="fr-FR"/>
        </w:rPr>
        <w:t> </w:t>
      </w:r>
      <w:r w:rsidRPr="00B97B33">
        <w:rPr>
          <w:lang w:val="fr-FR"/>
        </w:rPr>
        <w:t>19</w:t>
      </w:r>
      <w:r w:rsidR="00B80B10" w:rsidRPr="00B97B33">
        <w:rPr>
          <w:lang w:val="fr-FR"/>
        </w:rPr>
        <w:t> </w:t>
      </w:r>
      <w:r w:rsidRPr="00B97B33">
        <w:rPr>
          <w:lang w:val="fr-FR"/>
        </w:rPr>
        <w:t>au</w:t>
      </w:r>
      <w:r w:rsidR="00B80B10" w:rsidRPr="00B97B33">
        <w:rPr>
          <w:lang w:val="fr-FR"/>
        </w:rPr>
        <w:t> </w:t>
      </w:r>
      <w:r w:rsidRPr="00B97B33">
        <w:rPr>
          <w:lang w:val="fr-FR"/>
        </w:rPr>
        <w:t>22</w:t>
      </w:r>
      <w:r w:rsidR="00B80B10" w:rsidRPr="00B97B33">
        <w:rPr>
          <w:lang w:val="fr-FR"/>
        </w:rPr>
        <w:t> </w:t>
      </w:r>
      <w:r w:rsidRPr="00B97B33">
        <w:rPr>
          <w:lang w:val="fr-FR"/>
        </w:rPr>
        <w:t>juin 2017.</w:t>
      </w:r>
      <w:r w:rsidR="00831722" w:rsidRPr="00B97B33">
        <w:rPr>
          <w:lang w:val="fr-FR"/>
        </w:rPr>
        <w:t xml:space="preserve">  </w:t>
      </w:r>
      <w:r w:rsidRPr="00B97B33">
        <w:rPr>
          <w:lang w:val="fr-FR"/>
        </w:rPr>
        <w:t>La transformation est l</w:t>
      </w:r>
      <w:r w:rsidR="00681343" w:rsidRPr="00B97B33">
        <w:rPr>
          <w:lang w:val="fr-FR"/>
        </w:rPr>
        <w:t>’</w:t>
      </w:r>
      <w:r w:rsidRPr="00B97B33">
        <w:rPr>
          <w:lang w:val="fr-FR"/>
        </w:rPr>
        <w:t>un des thèmes qui y</w:t>
      </w:r>
      <w:r w:rsidR="00B80B10" w:rsidRPr="00B97B33">
        <w:rPr>
          <w:lang w:val="fr-FR"/>
        </w:rPr>
        <w:t> </w:t>
      </w:r>
      <w:r w:rsidRPr="00B97B33">
        <w:rPr>
          <w:lang w:val="fr-FR"/>
        </w:rPr>
        <w:t>figurent.</w:t>
      </w:r>
      <w:r w:rsidR="007D7801">
        <w:rPr>
          <w:lang w:val="fr-FR"/>
        </w:rPr>
        <w:t xml:space="preserve">  </w:t>
      </w:r>
    </w:p>
    <w:p w:rsidR="002654A1" w:rsidRDefault="00CC6926" w:rsidP="0089636B">
      <w:pPr>
        <w:pStyle w:val="ONUMFS"/>
        <w:rPr>
          <w:lang w:val="fr-FR"/>
        </w:rPr>
      </w:pPr>
      <w:r w:rsidRPr="00B97B33">
        <w:rPr>
          <w:lang w:val="fr-FR"/>
        </w:rPr>
        <w:t>La transformation a été introduite à l</w:t>
      </w:r>
      <w:r w:rsidR="00681343" w:rsidRPr="00B97B33">
        <w:rPr>
          <w:lang w:val="fr-FR"/>
        </w:rPr>
        <w:t>’</w:t>
      </w:r>
      <w:r w:rsidRPr="00B97B33">
        <w:rPr>
          <w:lang w:val="fr-FR"/>
        </w:rPr>
        <w:t>article</w:t>
      </w:r>
      <w:r w:rsidR="00B80B10" w:rsidRPr="00B97B33">
        <w:rPr>
          <w:lang w:val="fr-FR"/>
        </w:rPr>
        <w:t> </w:t>
      </w:r>
      <w:r w:rsidRPr="00B97B33">
        <w:rPr>
          <w:lang w:val="fr-FR"/>
        </w:rPr>
        <w:t>9</w:t>
      </w:r>
      <w:r w:rsidRPr="00B97B33">
        <w:rPr>
          <w:i/>
          <w:lang w:val="fr-FR"/>
        </w:rPr>
        <w:t>quinquies</w:t>
      </w:r>
      <w:r w:rsidRPr="00B97B33">
        <w:rPr>
          <w:lang w:val="fr-FR"/>
        </w:rPr>
        <w:t xml:space="preserve"> du Protocole relatif à l</w:t>
      </w:r>
      <w:r w:rsidR="00681343" w:rsidRPr="00B97B33">
        <w:rPr>
          <w:lang w:val="fr-FR"/>
        </w:rPr>
        <w:t>’</w:t>
      </w:r>
      <w:r w:rsidRPr="00B97B33">
        <w:rPr>
          <w:lang w:val="fr-FR"/>
        </w:rPr>
        <w:t>Arrangement de Madrid concernant l</w:t>
      </w:r>
      <w:r w:rsidR="00681343" w:rsidRPr="00B97B33">
        <w:rPr>
          <w:lang w:val="fr-FR"/>
        </w:rPr>
        <w:t>’</w:t>
      </w:r>
      <w:r w:rsidRPr="00B97B33">
        <w:rPr>
          <w:lang w:val="fr-FR"/>
        </w:rPr>
        <w:t>enregistrement international des marques (ci</w:t>
      </w:r>
      <w:r w:rsidR="006B7734" w:rsidRPr="00B97B33">
        <w:rPr>
          <w:lang w:val="fr-FR"/>
        </w:rPr>
        <w:noBreakHyphen/>
      </w:r>
      <w:r w:rsidRPr="00B97B33">
        <w:rPr>
          <w:lang w:val="fr-FR"/>
        </w:rPr>
        <w:t>après dénommé “Protocole”).</w:t>
      </w:r>
      <w:r w:rsidR="00831722" w:rsidRPr="00B97B33">
        <w:rPr>
          <w:lang w:val="fr-FR"/>
        </w:rPr>
        <w:t xml:space="preserve">  </w:t>
      </w:r>
      <w:r w:rsidR="005239EF" w:rsidRPr="00B97B33">
        <w:rPr>
          <w:lang w:val="fr-FR"/>
        </w:rPr>
        <w:t>Il vise à atténuer les conséquences des radiations d</w:t>
      </w:r>
      <w:r w:rsidR="00681343" w:rsidRPr="00B97B33">
        <w:rPr>
          <w:lang w:val="fr-FR"/>
        </w:rPr>
        <w:t>’</w:t>
      </w:r>
      <w:r w:rsidR="005239EF" w:rsidRPr="00B97B33">
        <w:rPr>
          <w:lang w:val="fr-FR"/>
        </w:rPr>
        <w:t>enregistrements internationaux demandées par l</w:t>
      </w:r>
      <w:r w:rsidR="00681343" w:rsidRPr="00B97B33">
        <w:rPr>
          <w:lang w:val="fr-FR"/>
        </w:rPr>
        <w:t>’</w:t>
      </w:r>
      <w:r w:rsidR="00A772FD" w:rsidRPr="00B97B33">
        <w:rPr>
          <w:lang w:val="fr-FR"/>
        </w:rPr>
        <w:t>o</w:t>
      </w:r>
      <w:r w:rsidR="005239EF" w:rsidRPr="00B97B33">
        <w:rPr>
          <w:lang w:val="fr-FR"/>
        </w:rPr>
        <w:t>ffice d</w:t>
      </w:r>
      <w:r w:rsidR="00681343" w:rsidRPr="00B97B33">
        <w:rPr>
          <w:lang w:val="fr-FR"/>
        </w:rPr>
        <w:t>’</w:t>
      </w:r>
      <w:r w:rsidR="005239EF" w:rsidRPr="00B97B33">
        <w:rPr>
          <w:lang w:val="fr-FR"/>
        </w:rPr>
        <w:t>origine suite à la cessation des effets de la demande de base ou de l</w:t>
      </w:r>
      <w:r w:rsidR="00681343" w:rsidRPr="00B97B33">
        <w:rPr>
          <w:lang w:val="fr-FR"/>
        </w:rPr>
        <w:t>’</w:t>
      </w:r>
      <w:r w:rsidR="005239EF" w:rsidRPr="00B97B33">
        <w:rPr>
          <w:lang w:val="fr-FR"/>
        </w:rPr>
        <w:t>enregistrement qui en est issu (“marque de base”).</w:t>
      </w:r>
      <w:r w:rsidR="00831722" w:rsidRPr="00B97B33">
        <w:rPr>
          <w:lang w:val="fr-FR"/>
        </w:rPr>
        <w:t xml:space="preserve"> </w:t>
      </w:r>
      <w:r w:rsidR="00D0221E">
        <w:rPr>
          <w:lang w:val="fr-FR"/>
        </w:rPr>
        <w:t xml:space="preserve"> </w:t>
      </w:r>
    </w:p>
    <w:p w:rsidR="007D7801" w:rsidRDefault="00DE74E6" w:rsidP="0089636B">
      <w:pPr>
        <w:pStyle w:val="ONUMFS"/>
        <w:rPr>
          <w:lang w:val="fr-FR"/>
        </w:rPr>
      </w:pPr>
      <w:r w:rsidRPr="00B97B33">
        <w:rPr>
          <w:lang w:val="fr-FR"/>
        </w:rPr>
        <w:t>Lorsqu</w:t>
      </w:r>
      <w:r w:rsidR="00681343" w:rsidRPr="00B97B33">
        <w:rPr>
          <w:lang w:val="fr-FR"/>
        </w:rPr>
        <w:t>’</w:t>
      </w:r>
      <w:r w:rsidRPr="00B97B33">
        <w:rPr>
          <w:lang w:val="fr-FR"/>
        </w:rPr>
        <w:t xml:space="preserve">un enregistrement international </w:t>
      </w:r>
      <w:r w:rsidR="00A772FD" w:rsidRPr="00B97B33">
        <w:rPr>
          <w:lang w:val="fr-FR"/>
        </w:rPr>
        <w:t>est radié à la demande de l</w:t>
      </w:r>
      <w:r w:rsidR="00681343" w:rsidRPr="00B97B33">
        <w:rPr>
          <w:lang w:val="fr-FR"/>
        </w:rPr>
        <w:t>’</w:t>
      </w:r>
      <w:r w:rsidR="00A772FD" w:rsidRPr="00B97B33">
        <w:rPr>
          <w:lang w:val="fr-FR"/>
        </w:rPr>
        <w:t>of</w:t>
      </w:r>
      <w:r w:rsidRPr="00B97B33">
        <w:rPr>
          <w:lang w:val="fr-FR"/>
        </w:rPr>
        <w:t>fice d</w:t>
      </w:r>
      <w:r w:rsidR="00681343" w:rsidRPr="00B97B33">
        <w:rPr>
          <w:lang w:val="fr-FR"/>
        </w:rPr>
        <w:t>’</w:t>
      </w:r>
      <w:r w:rsidRPr="00B97B33">
        <w:rPr>
          <w:lang w:val="fr-FR"/>
        </w:rPr>
        <w:t>origine en vertu de l</w:t>
      </w:r>
      <w:r w:rsidR="00681343" w:rsidRPr="00B97B33">
        <w:rPr>
          <w:lang w:val="fr-FR"/>
        </w:rPr>
        <w:t>’</w:t>
      </w:r>
      <w:r w:rsidRPr="00B97B33">
        <w:rPr>
          <w:lang w:val="fr-FR"/>
        </w:rPr>
        <w:t>article</w:t>
      </w:r>
      <w:r w:rsidR="00B80B10" w:rsidRPr="00B97B33">
        <w:rPr>
          <w:lang w:val="fr-FR"/>
        </w:rPr>
        <w:t> </w:t>
      </w:r>
      <w:r w:rsidRPr="00B97B33">
        <w:rPr>
          <w:lang w:val="fr-FR"/>
        </w:rPr>
        <w:t>6.4) du Protocole, le titulaire peut obtenir la continuation de la protection dans les territoires couverts précédemment par l</w:t>
      </w:r>
      <w:r w:rsidR="00681343" w:rsidRPr="00B97B33">
        <w:rPr>
          <w:lang w:val="fr-FR"/>
        </w:rPr>
        <w:t>’</w:t>
      </w:r>
      <w:r w:rsidRPr="00B97B33">
        <w:rPr>
          <w:lang w:val="fr-FR"/>
        </w:rPr>
        <w:t>enregistrement international, en déposant une demande de protection nationale ou régionale directement auprès des offices des parties contractantes précédemment désigné</w:t>
      </w:r>
      <w:r w:rsidR="006B7734" w:rsidRPr="00B97B33">
        <w:rPr>
          <w:lang w:val="fr-FR"/>
        </w:rPr>
        <w:t>es.  La</w:t>
      </w:r>
      <w:r w:rsidRPr="00B97B33">
        <w:rPr>
          <w:lang w:val="fr-FR"/>
        </w:rPr>
        <w:t xml:space="preserve"> date de dépôt de la nouvelle demande (transformation) est la date de l</w:t>
      </w:r>
      <w:r w:rsidR="00681343" w:rsidRPr="00B97B33">
        <w:rPr>
          <w:lang w:val="fr-FR"/>
        </w:rPr>
        <w:t>’</w:t>
      </w:r>
      <w:r w:rsidRPr="00B97B33">
        <w:rPr>
          <w:lang w:val="fr-FR"/>
        </w:rPr>
        <w:t>enregistrement international ou la date de la désignation postérieure, selon le cas.</w:t>
      </w:r>
      <w:r w:rsidR="007D7801">
        <w:rPr>
          <w:lang w:val="fr-FR"/>
        </w:rPr>
        <w:t xml:space="preserve">  </w:t>
      </w:r>
      <w:r w:rsidR="007D7801">
        <w:rPr>
          <w:lang w:val="fr-FR"/>
        </w:rPr>
        <w:br w:type="page"/>
      </w:r>
    </w:p>
    <w:p w:rsidR="00681343" w:rsidRPr="00B97B33" w:rsidRDefault="00EB1BDD" w:rsidP="0089636B">
      <w:pPr>
        <w:pStyle w:val="ONUMFS"/>
        <w:rPr>
          <w:lang w:val="fr-FR"/>
        </w:rPr>
      </w:pPr>
      <w:r w:rsidRPr="00B97B33">
        <w:rPr>
          <w:lang w:val="fr-FR"/>
        </w:rPr>
        <w:lastRenderedPageBreak/>
        <w:t>Les conclusions d</w:t>
      </w:r>
      <w:r w:rsidR="00681343" w:rsidRPr="00B97B33">
        <w:rPr>
          <w:lang w:val="fr-FR"/>
        </w:rPr>
        <w:t>’</w:t>
      </w:r>
      <w:r w:rsidRPr="00B97B33">
        <w:rPr>
          <w:lang w:val="fr-FR"/>
        </w:rPr>
        <w:t>une enquête menée auprès des utilisateurs sur les questions relatives au principe de dépendance dans le système de Madrid</w:t>
      </w:r>
      <w:r w:rsidRPr="00B97B33">
        <w:rPr>
          <w:rStyle w:val="FootnoteReference"/>
          <w:lang w:val="fr-FR"/>
        </w:rPr>
        <w:footnoteReference w:id="4"/>
      </w:r>
      <w:r w:rsidRPr="00B97B33">
        <w:rPr>
          <w:lang w:val="fr-FR"/>
        </w:rPr>
        <w:t>, qui avaient été présentées à la treiz</w:t>
      </w:r>
      <w:r w:rsidR="00681343" w:rsidRPr="00B97B33">
        <w:rPr>
          <w:lang w:val="fr-FR"/>
        </w:rPr>
        <w:t>ième session</w:t>
      </w:r>
      <w:r w:rsidRPr="00B97B33">
        <w:rPr>
          <w:lang w:val="fr-FR"/>
        </w:rPr>
        <w:t xml:space="preserve"> du groupe de travail, </w:t>
      </w:r>
      <w:r w:rsidR="00A772FD" w:rsidRPr="00B97B33">
        <w:rPr>
          <w:lang w:val="fr-FR"/>
        </w:rPr>
        <w:t>conten</w:t>
      </w:r>
      <w:r w:rsidRPr="00B97B33">
        <w:rPr>
          <w:lang w:val="fr-FR"/>
        </w:rPr>
        <w:t xml:space="preserve">aient des </w:t>
      </w:r>
      <w:r w:rsidR="00A772FD" w:rsidRPr="00B97B33">
        <w:rPr>
          <w:lang w:val="fr-FR"/>
        </w:rPr>
        <w:t>commentaires</w:t>
      </w:r>
      <w:r w:rsidRPr="00B97B33">
        <w:rPr>
          <w:lang w:val="fr-FR"/>
        </w:rPr>
        <w:t xml:space="preserve"> sur la transformati</w:t>
      </w:r>
      <w:r w:rsidR="006B7734" w:rsidRPr="00B97B33">
        <w:rPr>
          <w:lang w:val="fr-FR"/>
        </w:rPr>
        <w:t>on.  Le</w:t>
      </w:r>
      <w:r w:rsidRPr="00B97B33">
        <w:rPr>
          <w:lang w:val="fr-FR"/>
        </w:rPr>
        <w:t>s utilisateurs mentionn</w:t>
      </w:r>
      <w:r w:rsidR="00134750" w:rsidRPr="00B97B33">
        <w:rPr>
          <w:lang w:val="fr-FR"/>
        </w:rPr>
        <w:t>aient</w:t>
      </w:r>
      <w:r w:rsidRPr="00B97B33">
        <w:rPr>
          <w:lang w:val="fr-FR"/>
        </w:rPr>
        <w:t xml:space="preserve"> en très grande majorité que le coût était la principale raison pour laquelle ils choisissaient de ne pas avoir recours à la transformation, bien que cette procédure soit à leur dispositi</w:t>
      </w:r>
      <w:r w:rsidR="006B7734" w:rsidRPr="00B97B33">
        <w:rPr>
          <w:lang w:val="fr-FR"/>
        </w:rPr>
        <w:t>on.  Il</w:t>
      </w:r>
      <w:r w:rsidR="00296937" w:rsidRPr="00B97B33">
        <w:rPr>
          <w:lang w:val="fr-FR"/>
        </w:rPr>
        <w:t xml:space="preserve">s </w:t>
      </w:r>
      <w:r w:rsidR="00134750" w:rsidRPr="00B97B33">
        <w:rPr>
          <w:lang w:val="fr-FR"/>
        </w:rPr>
        <w:t>faisaien</w:t>
      </w:r>
      <w:r w:rsidR="00296937" w:rsidRPr="00B97B33">
        <w:rPr>
          <w:lang w:val="fr-FR"/>
        </w:rPr>
        <w:t>t plus précisément état des coûts de dépôt et des autres coûts associés au dépôt direct, notamment les exigences relatives à la constitution d</w:t>
      </w:r>
      <w:r w:rsidR="00681343" w:rsidRPr="00B97B33">
        <w:rPr>
          <w:lang w:val="fr-FR"/>
        </w:rPr>
        <w:t>’</w:t>
      </w:r>
      <w:r w:rsidR="00296937" w:rsidRPr="00B97B33">
        <w:rPr>
          <w:lang w:val="fr-FR"/>
        </w:rPr>
        <w:t>un mandataire, l</w:t>
      </w:r>
      <w:r w:rsidR="00A772FD" w:rsidRPr="00B97B33">
        <w:rPr>
          <w:lang w:val="fr-FR"/>
        </w:rPr>
        <w:t>a</w:t>
      </w:r>
      <w:r w:rsidR="00296937" w:rsidRPr="00B97B33">
        <w:rPr>
          <w:lang w:val="fr-FR"/>
        </w:rPr>
        <w:t xml:space="preserve"> traduction et d</w:t>
      </w:r>
      <w:r w:rsidR="00681343" w:rsidRPr="00B97B33">
        <w:rPr>
          <w:lang w:val="fr-FR"/>
        </w:rPr>
        <w:t>’</w:t>
      </w:r>
      <w:r w:rsidR="00296937" w:rsidRPr="00B97B33">
        <w:rPr>
          <w:lang w:val="fr-FR"/>
        </w:rPr>
        <w:t>autres exigences de forme, les procédures supplémentaires éventuelles et les coûts de maintien en vigueur.</w:t>
      </w:r>
    </w:p>
    <w:p w:rsidR="00681343" w:rsidRPr="00B97B33" w:rsidRDefault="00296937" w:rsidP="0089636B">
      <w:pPr>
        <w:pStyle w:val="ONUMFS"/>
        <w:rPr>
          <w:lang w:val="fr-FR"/>
        </w:rPr>
      </w:pPr>
      <w:r w:rsidRPr="00B97B33">
        <w:rPr>
          <w:lang w:val="fr-FR"/>
        </w:rPr>
        <w:t xml:space="preserve">Les utilisateurs </w:t>
      </w:r>
      <w:r w:rsidR="00A772FD" w:rsidRPr="00B97B33">
        <w:rPr>
          <w:lang w:val="fr-FR"/>
        </w:rPr>
        <w:t>indiqu</w:t>
      </w:r>
      <w:r w:rsidR="00134750" w:rsidRPr="00B97B33">
        <w:rPr>
          <w:lang w:val="fr-FR"/>
        </w:rPr>
        <w:t>aient</w:t>
      </w:r>
      <w:r w:rsidRPr="00B97B33">
        <w:rPr>
          <w:lang w:val="fr-FR"/>
        </w:rPr>
        <w:t xml:space="preserve"> que certains offices </w:t>
      </w:r>
      <w:r w:rsidR="00233081" w:rsidRPr="00B97B33">
        <w:rPr>
          <w:lang w:val="fr-FR"/>
        </w:rPr>
        <w:t>apportaient une aide</w:t>
      </w:r>
      <w:r w:rsidRPr="00B97B33">
        <w:rPr>
          <w:lang w:val="fr-FR"/>
        </w:rPr>
        <w:t xml:space="preserve"> en matière de transformation, tout en </w:t>
      </w:r>
      <w:r w:rsidR="00134750" w:rsidRPr="00B97B33">
        <w:rPr>
          <w:lang w:val="fr-FR"/>
        </w:rPr>
        <w:t>releva</w:t>
      </w:r>
      <w:r w:rsidRPr="00B97B33">
        <w:rPr>
          <w:lang w:val="fr-FR"/>
        </w:rPr>
        <w:t>nt que d</w:t>
      </w:r>
      <w:r w:rsidR="00681343" w:rsidRPr="00B97B33">
        <w:rPr>
          <w:lang w:val="fr-FR"/>
        </w:rPr>
        <w:t>’</w:t>
      </w:r>
      <w:r w:rsidRPr="00B97B33">
        <w:rPr>
          <w:lang w:val="fr-FR"/>
        </w:rPr>
        <w:t>autres offices n</w:t>
      </w:r>
      <w:r w:rsidR="00681343" w:rsidRPr="00B97B33">
        <w:rPr>
          <w:lang w:val="fr-FR"/>
        </w:rPr>
        <w:t>’</w:t>
      </w:r>
      <w:r w:rsidR="00233081" w:rsidRPr="00B97B33">
        <w:rPr>
          <w:lang w:val="fr-FR"/>
        </w:rPr>
        <w:t xml:space="preserve">avaient pas encore mis en œuvre des dispositions </w:t>
      </w:r>
      <w:r w:rsidRPr="00B97B33">
        <w:rPr>
          <w:lang w:val="fr-FR"/>
        </w:rPr>
        <w:t xml:space="preserve">prévoyant </w:t>
      </w:r>
      <w:r w:rsidR="00233081" w:rsidRPr="00B97B33">
        <w:rPr>
          <w:lang w:val="fr-FR"/>
        </w:rPr>
        <w:t>une telle procédu</w:t>
      </w:r>
      <w:r w:rsidR="006B7734" w:rsidRPr="00B97B33">
        <w:rPr>
          <w:lang w:val="fr-FR"/>
        </w:rPr>
        <w:t>re.  Le</w:t>
      </w:r>
      <w:r w:rsidR="00134750" w:rsidRPr="00B97B33">
        <w:rPr>
          <w:lang w:val="fr-FR"/>
        </w:rPr>
        <w:t>s</w:t>
      </w:r>
      <w:r w:rsidRPr="00B97B33">
        <w:rPr>
          <w:lang w:val="fr-FR"/>
        </w:rPr>
        <w:t xml:space="preserve"> utilisateurs </w:t>
      </w:r>
      <w:r w:rsidR="00134750" w:rsidRPr="00B97B33">
        <w:rPr>
          <w:lang w:val="fr-FR"/>
        </w:rPr>
        <w:t>jugeaie</w:t>
      </w:r>
      <w:r w:rsidRPr="00B97B33">
        <w:rPr>
          <w:lang w:val="fr-FR"/>
        </w:rPr>
        <w:t xml:space="preserve">nt </w:t>
      </w:r>
      <w:r w:rsidR="00134750" w:rsidRPr="00B97B33">
        <w:rPr>
          <w:lang w:val="fr-FR"/>
        </w:rPr>
        <w:t>en outre</w:t>
      </w:r>
      <w:r w:rsidRPr="00B97B33">
        <w:rPr>
          <w:lang w:val="fr-FR"/>
        </w:rPr>
        <w:t xml:space="preserve"> la procédure coûteuse, complexe et contraignan</w:t>
      </w:r>
      <w:r w:rsidR="006B7734" w:rsidRPr="00B97B33">
        <w:rPr>
          <w:lang w:val="fr-FR"/>
        </w:rPr>
        <w:t>te.  Co</w:t>
      </w:r>
      <w:r w:rsidRPr="00B97B33">
        <w:rPr>
          <w:lang w:val="fr-FR"/>
        </w:rPr>
        <w:t>mpte tenu de ces facteurs et de l</w:t>
      </w:r>
      <w:r w:rsidR="00681343" w:rsidRPr="00B97B33">
        <w:rPr>
          <w:lang w:val="fr-FR"/>
        </w:rPr>
        <w:t>’</w:t>
      </w:r>
      <w:r w:rsidRPr="00B97B33">
        <w:rPr>
          <w:lang w:val="fr-FR"/>
        </w:rPr>
        <w:t>issue incertaine</w:t>
      </w:r>
      <w:r w:rsidR="00233081" w:rsidRPr="00B97B33">
        <w:rPr>
          <w:lang w:val="fr-FR"/>
        </w:rPr>
        <w:t xml:space="preserve"> de la procédure</w:t>
      </w:r>
      <w:r w:rsidRPr="00B97B33">
        <w:rPr>
          <w:lang w:val="fr-FR"/>
        </w:rPr>
        <w:t>, il</w:t>
      </w:r>
      <w:r w:rsidR="00134750" w:rsidRPr="00B97B33">
        <w:rPr>
          <w:lang w:val="fr-FR"/>
        </w:rPr>
        <w:t>s estimaient dès lors</w:t>
      </w:r>
      <w:r w:rsidRPr="00B97B33">
        <w:rPr>
          <w:lang w:val="fr-FR"/>
        </w:rPr>
        <w:t xml:space="preserve"> souvent préférable ou plus simple de déposer une nouvelle demande</w:t>
      </w:r>
      <w:r w:rsidRPr="00B97B33">
        <w:rPr>
          <w:rStyle w:val="FootnoteReference"/>
          <w:lang w:val="fr-FR"/>
        </w:rPr>
        <w:footnoteReference w:id="5"/>
      </w:r>
      <w:r w:rsidRPr="00B97B33">
        <w:rPr>
          <w:lang w:val="fr-FR"/>
        </w:rPr>
        <w:t>.</w:t>
      </w:r>
    </w:p>
    <w:p w:rsidR="00674977" w:rsidRPr="00B97B33" w:rsidRDefault="00296937" w:rsidP="0089636B">
      <w:pPr>
        <w:pStyle w:val="ONUMFS"/>
        <w:rPr>
          <w:lang w:val="fr-FR"/>
        </w:rPr>
      </w:pPr>
      <w:r w:rsidRPr="00B97B33">
        <w:rPr>
          <w:lang w:val="fr-FR"/>
        </w:rPr>
        <w:t>Dans leurs retours d</w:t>
      </w:r>
      <w:r w:rsidR="00681343" w:rsidRPr="00B97B33">
        <w:rPr>
          <w:lang w:val="fr-FR"/>
        </w:rPr>
        <w:t>’</w:t>
      </w:r>
      <w:r w:rsidRPr="00B97B33">
        <w:rPr>
          <w:lang w:val="fr-FR"/>
        </w:rPr>
        <w:t>information, les utilisateurs ont par ailleurs mis en évidence la nette sous</w:t>
      </w:r>
      <w:r w:rsidR="006B7734" w:rsidRPr="00B97B33">
        <w:rPr>
          <w:lang w:val="fr-FR"/>
        </w:rPr>
        <w:noBreakHyphen/>
      </w:r>
      <w:r w:rsidRPr="00B97B33">
        <w:rPr>
          <w:lang w:val="fr-FR"/>
        </w:rPr>
        <w:t>utilisation de la transformati</w:t>
      </w:r>
      <w:r w:rsidR="006B7734" w:rsidRPr="00B97B33">
        <w:rPr>
          <w:lang w:val="fr-FR"/>
        </w:rPr>
        <w:t>on.  Le</w:t>
      </w:r>
      <w:r w:rsidR="008D2123" w:rsidRPr="00B97B33">
        <w:rPr>
          <w:lang w:val="fr-FR"/>
        </w:rPr>
        <w:t xml:space="preserve"> Service d</w:t>
      </w:r>
      <w:r w:rsidR="00681343" w:rsidRPr="00B97B33">
        <w:rPr>
          <w:lang w:val="fr-FR"/>
        </w:rPr>
        <w:t>’</w:t>
      </w:r>
      <w:r w:rsidR="008D2123" w:rsidRPr="00B97B33">
        <w:rPr>
          <w:lang w:val="fr-FR"/>
        </w:rPr>
        <w:t>enregistrement de Madrid ne dispose pas de statistiques actualisées sur le nombre de transformations sollicitées chaque année auprès des offices nationaux ou régiona</w:t>
      </w:r>
      <w:r w:rsidR="006B7734" w:rsidRPr="00B97B33">
        <w:rPr>
          <w:lang w:val="fr-FR"/>
        </w:rPr>
        <w:t>ux.  Lo</w:t>
      </w:r>
      <w:r w:rsidR="008D2123" w:rsidRPr="00B97B33">
        <w:rPr>
          <w:lang w:val="fr-FR"/>
        </w:rPr>
        <w:t>rs de</w:t>
      </w:r>
      <w:r w:rsidR="00134750" w:rsidRPr="00B97B33">
        <w:rPr>
          <w:lang w:val="fr-FR"/>
        </w:rPr>
        <w:t>s</w:t>
      </w:r>
      <w:r w:rsidR="008D2123" w:rsidRPr="00B97B33">
        <w:rPr>
          <w:lang w:val="fr-FR"/>
        </w:rPr>
        <w:t xml:space="preserve"> sessions précédentes du groupe de travail, dans le cadre de l</w:t>
      </w:r>
      <w:r w:rsidR="00681343" w:rsidRPr="00B97B33">
        <w:rPr>
          <w:lang w:val="fr-FR"/>
        </w:rPr>
        <w:t>’</w:t>
      </w:r>
      <w:r w:rsidR="008D2123" w:rsidRPr="00B97B33">
        <w:rPr>
          <w:lang w:val="fr-FR"/>
        </w:rPr>
        <w:t xml:space="preserve">examen de la question de la cessation des effets, les offices ont fait état de 96 demandes de transformation en 2010 et </w:t>
      </w:r>
      <w:r w:rsidR="00134750" w:rsidRPr="00B97B33">
        <w:rPr>
          <w:lang w:val="fr-FR"/>
        </w:rPr>
        <w:t>recensé</w:t>
      </w:r>
      <w:r w:rsidR="008D2123" w:rsidRPr="00B97B33">
        <w:rPr>
          <w:lang w:val="fr-FR"/>
        </w:rPr>
        <w:t xml:space="preserve"> 127 demandes </w:t>
      </w:r>
      <w:r w:rsidR="00134750" w:rsidRPr="00B97B33">
        <w:rPr>
          <w:lang w:val="fr-FR"/>
        </w:rPr>
        <w:t xml:space="preserve">de ce type </w:t>
      </w:r>
      <w:r w:rsidR="008D2123" w:rsidRPr="00B97B33">
        <w:rPr>
          <w:lang w:val="fr-FR"/>
        </w:rPr>
        <w:t>en 2012</w:t>
      </w:r>
      <w:r w:rsidR="008D2123" w:rsidRPr="00B97B33">
        <w:rPr>
          <w:rStyle w:val="FootnoteReference"/>
          <w:lang w:val="fr-FR"/>
        </w:rPr>
        <w:footnoteReference w:id="6"/>
      </w:r>
      <w:r w:rsidR="008D2123" w:rsidRPr="00B97B33">
        <w:rPr>
          <w:lang w:val="fr-FR"/>
        </w:rPr>
        <w:t>.</w:t>
      </w:r>
    </w:p>
    <w:p w:rsidR="00674977" w:rsidRPr="00B97B33" w:rsidRDefault="008D2123" w:rsidP="008D2123">
      <w:pPr>
        <w:pStyle w:val="Heading1"/>
        <w:rPr>
          <w:lang w:val="fr-FR"/>
        </w:rPr>
      </w:pPr>
      <w:r w:rsidRPr="00B97B33">
        <w:rPr>
          <w:lang w:val="fr-FR"/>
        </w:rPr>
        <w:t>LA PROCÉDURE DE TRANSFORMATION</w:t>
      </w:r>
    </w:p>
    <w:p w:rsidR="00674977" w:rsidRPr="00B97B33" w:rsidRDefault="00674977" w:rsidP="008568E8">
      <w:pPr>
        <w:rPr>
          <w:lang w:val="fr-FR"/>
        </w:rPr>
      </w:pPr>
    </w:p>
    <w:p w:rsidR="00681343" w:rsidRPr="00B97B33" w:rsidRDefault="008D2123" w:rsidP="0089636B">
      <w:pPr>
        <w:pStyle w:val="ONUMFS"/>
        <w:rPr>
          <w:lang w:val="fr-FR"/>
        </w:rPr>
      </w:pPr>
      <w:r w:rsidRPr="00B97B33">
        <w:rPr>
          <w:lang w:val="fr-FR"/>
        </w:rPr>
        <w:t>L</w:t>
      </w:r>
      <w:r w:rsidR="00681343" w:rsidRPr="00B97B33">
        <w:rPr>
          <w:lang w:val="fr-FR"/>
        </w:rPr>
        <w:t>’</w:t>
      </w:r>
      <w:r w:rsidRPr="00B97B33">
        <w:rPr>
          <w:lang w:val="fr-FR"/>
        </w:rPr>
        <w:t>article</w:t>
      </w:r>
      <w:r w:rsidR="00134750" w:rsidRPr="00B97B33">
        <w:rPr>
          <w:lang w:val="fr-FR"/>
        </w:rPr>
        <w:t> </w:t>
      </w:r>
      <w:r w:rsidRPr="00B97B33">
        <w:rPr>
          <w:lang w:val="fr-FR"/>
        </w:rPr>
        <w:t>9</w:t>
      </w:r>
      <w:r w:rsidRPr="00B97B33">
        <w:rPr>
          <w:i/>
          <w:lang w:val="fr-FR"/>
        </w:rPr>
        <w:t>quinquies</w:t>
      </w:r>
      <w:r w:rsidRPr="00B97B33">
        <w:rPr>
          <w:lang w:val="fr-FR"/>
        </w:rPr>
        <w:t xml:space="preserve"> du Protocole établit certaines exigences minimales </w:t>
      </w:r>
      <w:r w:rsidR="00233081" w:rsidRPr="00B97B33">
        <w:rPr>
          <w:lang w:val="fr-FR"/>
        </w:rPr>
        <w:t xml:space="preserve">auxquelles est subordonnée toute </w:t>
      </w:r>
      <w:r w:rsidRPr="00B97B33">
        <w:rPr>
          <w:lang w:val="fr-FR"/>
        </w:rPr>
        <w:t>demande de transformation</w:t>
      </w:r>
      <w:r w:rsidR="00681343" w:rsidRPr="00B97B33">
        <w:rPr>
          <w:lang w:val="fr-FR"/>
        </w:rPr>
        <w:t> :</w:t>
      </w:r>
    </w:p>
    <w:p w:rsidR="00681343" w:rsidRPr="00B97B33" w:rsidRDefault="008D2123" w:rsidP="00D0221E">
      <w:pPr>
        <w:pStyle w:val="ONUMFS"/>
        <w:numPr>
          <w:ilvl w:val="2"/>
          <w:numId w:val="6"/>
        </w:numPr>
        <w:tabs>
          <w:tab w:val="clear" w:pos="1701"/>
          <w:tab w:val="num" w:pos="1134"/>
        </w:tabs>
        <w:ind w:left="567"/>
        <w:rPr>
          <w:lang w:val="fr-FR"/>
        </w:rPr>
      </w:pPr>
      <w:r w:rsidRPr="00B97B33">
        <w:rPr>
          <w:lang w:val="fr-FR"/>
        </w:rPr>
        <w:t>la demande doit être déposée dans les trois</w:t>
      </w:r>
      <w:r w:rsidR="00134750" w:rsidRPr="00B97B33">
        <w:rPr>
          <w:lang w:val="fr-FR"/>
        </w:rPr>
        <w:t> </w:t>
      </w:r>
      <w:r w:rsidRPr="00B97B33">
        <w:rPr>
          <w:lang w:val="fr-FR"/>
        </w:rPr>
        <w:t>mois qui suivent la date d</w:t>
      </w:r>
      <w:r w:rsidR="00681343" w:rsidRPr="00B97B33">
        <w:rPr>
          <w:lang w:val="fr-FR"/>
        </w:rPr>
        <w:t>’</w:t>
      </w:r>
      <w:r w:rsidRPr="00B97B33">
        <w:rPr>
          <w:lang w:val="fr-FR"/>
        </w:rPr>
        <w:t>inscription de la radiation de l</w:t>
      </w:r>
      <w:r w:rsidR="00681343" w:rsidRPr="00B97B33">
        <w:rPr>
          <w:lang w:val="fr-FR"/>
        </w:rPr>
        <w:t>’</w:t>
      </w:r>
      <w:r w:rsidRPr="00B97B33">
        <w:rPr>
          <w:lang w:val="fr-FR"/>
        </w:rPr>
        <w:t>enregistrement international dans le registre international;</w:t>
      </w:r>
      <w:r w:rsidR="007D7801">
        <w:rPr>
          <w:lang w:val="fr-FR"/>
        </w:rPr>
        <w:t xml:space="preserve">  </w:t>
      </w:r>
    </w:p>
    <w:p w:rsidR="00681343" w:rsidRPr="00B97B33" w:rsidRDefault="008D2123" w:rsidP="00D0221E">
      <w:pPr>
        <w:pStyle w:val="ONUMFS"/>
        <w:numPr>
          <w:ilvl w:val="2"/>
          <w:numId w:val="6"/>
        </w:numPr>
        <w:tabs>
          <w:tab w:val="clear" w:pos="1701"/>
          <w:tab w:val="num" w:pos="1134"/>
        </w:tabs>
        <w:ind w:left="567"/>
        <w:rPr>
          <w:lang w:val="fr-FR"/>
        </w:rPr>
      </w:pPr>
      <w:r w:rsidRPr="00B97B33">
        <w:rPr>
          <w:lang w:val="fr-FR"/>
        </w:rPr>
        <w:t>les produits et services énumérés dans la demande doivent être couverts par la liste des produits et des services figurant dans l</w:t>
      </w:r>
      <w:r w:rsidR="00681343" w:rsidRPr="00B97B33">
        <w:rPr>
          <w:lang w:val="fr-FR"/>
        </w:rPr>
        <w:t>’</w:t>
      </w:r>
      <w:r w:rsidRPr="00B97B33">
        <w:rPr>
          <w:lang w:val="fr-FR"/>
        </w:rPr>
        <w:t xml:space="preserve">enregistrement international </w:t>
      </w:r>
      <w:r w:rsidR="00681343" w:rsidRPr="00B97B33">
        <w:rPr>
          <w:lang w:val="fr-FR"/>
        </w:rPr>
        <w:t>à l’égard</w:t>
      </w:r>
      <w:r w:rsidRPr="00B97B33">
        <w:rPr>
          <w:lang w:val="fr-FR"/>
        </w:rPr>
        <w:t xml:space="preserve"> de la </w:t>
      </w:r>
      <w:r w:rsidR="00134750" w:rsidRPr="00B97B33">
        <w:rPr>
          <w:lang w:val="fr-FR"/>
        </w:rPr>
        <w:t>p</w:t>
      </w:r>
      <w:r w:rsidRPr="00B97B33">
        <w:rPr>
          <w:lang w:val="fr-FR"/>
        </w:rPr>
        <w:t>artie contractante concernée;  et</w:t>
      </w:r>
    </w:p>
    <w:p w:rsidR="00681343" w:rsidRPr="00B97B33" w:rsidRDefault="009D6C22" w:rsidP="00D0221E">
      <w:pPr>
        <w:pStyle w:val="ONUMFS"/>
        <w:numPr>
          <w:ilvl w:val="2"/>
          <w:numId w:val="6"/>
        </w:numPr>
        <w:tabs>
          <w:tab w:val="clear" w:pos="1701"/>
          <w:tab w:val="num" w:pos="1134"/>
        </w:tabs>
        <w:ind w:left="567"/>
        <w:rPr>
          <w:lang w:val="fr-FR"/>
        </w:rPr>
      </w:pPr>
      <w:r w:rsidRPr="00B97B33">
        <w:rPr>
          <w:lang w:val="fr-FR"/>
        </w:rPr>
        <w:t xml:space="preserve">la demande doit être conforme aux exigences nationales ou régionales applicables prévues par la loi de la </w:t>
      </w:r>
      <w:r w:rsidR="00134750" w:rsidRPr="00B97B33">
        <w:rPr>
          <w:lang w:val="fr-FR"/>
        </w:rPr>
        <w:t>p</w:t>
      </w:r>
      <w:r w:rsidRPr="00B97B33">
        <w:rPr>
          <w:lang w:val="fr-FR"/>
        </w:rPr>
        <w:t xml:space="preserve">artie contractante, </w:t>
      </w:r>
      <w:r w:rsidR="00681343" w:rsidRPr="00B97B33">
        <w:rPr>
          <w:lang w:val="fr-FR"/>
        </w:rPr>
        <w:t>y compris</w:t>
      </w:r>
      <w:r w:rsidRPr="00B97B33">
        <w:rPr>
          <w:lang w:val="fr-FR"/>
        </w:rPr>
        <w:t xml:space="preserve"> celles qui ont trait au domicile élu ou à la constitution d</w:t>
      </w:r>
      <w:r w:rsidR="00681343" w:rsidRPr="00B97B33">
        <w:rPr>
          <w:lang w:val="fr-FR"/>
        </w:rPr>
        <w:t>’</w:t>
      </w:r>
      <w:r w:rsidRPr="00B97B33">
        <w:rPr>
          <w:lang w:val="fr-FR"/>
        </w:rPr>
        <w:t>un mandataire local et au paiement des taxes.</w:t>
      </w:r>
    </w:p>
    <w:p w:rsidR="00681343" w:rsidRPr="00B97B33" w:rsidRDefault="00640D33" w:rsidP="0089636B">
      <w:pPr>
        <w:pStyle w:val="ONUMFS"/>
        <w:rPr>
          <w:lang w:val="fr-FR"/>
        </w:rPr>
      </w:pPr>
      <w:r>
        <w:rPr>
          <w:lang w:val="fr-FR"/>
        </w:rPr>
        <w:t>Le R</w:t>
      </w:r>
      <w:bookmarkStart w:id="4" w:name="_GoBack"/>
      <w:bookmarkEnd w:id="4"/>
      <w:r w:rsidR="009D6C22" w:rsidRPr="00B97B33">
        <w:rPr>
          <w:lang w:val="fr-FR"/>
        </w:rPr>
        <w:t>èglement d</w:t>
      </w:r>
      <w:r w:rsidR="00681343" w:rsidRPr="00B97B33">
        <w:rPr>
          <w:lang w:val="fr-FR"/>
        </w:rPr>
        <w:t>’</w:t>
      </w:r>
      <w:r w:rsidR="009D6C22" w:rsidRPr="00B97B33">
        <w:rPr>
          <w:lang w:val="fr-FR"/>
        </w:rPr>
        <w:t>exécution commun à l</w:t>
      </w:r>
      <w:r w:rsidR="00681343" w:rsidRPr="00B97B33">
        <w:rPr>
          <w:lang w:val="fr-FR"/>
        </w:rPr>
        <w:t>’</w:t>
      </w:r>
      <w:r w:rsidR="009D6C22" w:rsidRPr="00B97B33">
        <w:rPr>
          <w:lang w:val="fr-FR"/>
        </w:rPr>
        <w:t>Arrangement de Madrid concernant l</w:t>
      </w:r>
      <w:r w:rsidR="00681343" w:rsidRPr="00B97B33">
        <w:rPr>
          <w:lang w:val="fr-FR"/>
        </w:rPr>
        <w:t>’</w:t>
      </w:r>
      <w:r w:rsidR="009D6C22" w:rsidRPr="00B97B33">
        <w:rPr>
          <w:lang w:val="fr-FR"/>
        </w:rPr>
        <w:t>enregistrement international des marques et au Protocole relatif à cet Arrangement (ci</w:t>
      </w:r>
      <w:r w:rsidR="006B7734" w:rsidRPr="00B97B33">
        <w:rPr>
          <w:lang w:val="fr-FR"/>
        </w:rPr>
        <w:noBreakHyphen/>
      </w:r>
      <w:r w:rsidR="009D6C22" w:rsidRPr="00B97B33">
        <w:rPr>
          <w:lang w:val="fr-FR"/>
        </w:rPr>
        <w:t>après dénommé “règlement d</w:t>
      </w:r>
      <w:r w:rsidR="00681343" w:rsidRPr="00B97B33">
        <w:rPr>
          <w:lang w:val="fr-FR"/>
        </w:rPr>
        <w:t>’</w:t>
      </w:r>
      <w:r w:rsidR="009D6C22" w:rsidRPr="00B97B33">
        <w:rPr>
          <w:lang w:val="fr-FR"/>
        </w:rPr>
        <w:t>exécution commun”) ne contient pas de dispositions sur la transformati</w:t>
      </w:r>
      <w:r w:rsidR="006B7734" w:rsidRPr="00B97B33">
        <w:rPr>
          <w:lang w:val="fr-FR"/>
        </w:rPr>
        <w:t>on.  Ho</w:t>
      </w:r>
      <w:r w:rsidR="009D6C22" w:rsidRPr="00B97B33">
        <w:rPr>
          <w:lang w:val="fr-FR"/>
        </w:rPr>
        <w:t>rmis les exigences prévues aux sous</w:t>
      </w:r>
      <w:r w:rsidR="006B7734" w:rsidRPr="00B97B33">
        <w:rPr>
          <w:lang w:val="fr-FR"/>
        </w:rPr>
        <w:noBreakHyphen/>
      </w:r>
      <w:r w:rsidR="009D6C22" w:rsidRPr="00B97B33">
        <w:rPr>
          <w:lang w:val="fr-FR"/>
        </w:rPr>
        <w:t>alinéas</w:t>
      </w:r>
      <w:r w:rsidR="00134750" w:rsidRPr="00B97B33">
        <w:rPr>
          <w:lang w:val="fr-FR"/>
        </w:rPr>
        <w:t> </w:t>
      </w:r>
      <w:r w:rsidR="009D6C22" w:rsidRPr="00B97B33">
        <w:rPr>
          <w:lang w:val="fr-FR"/>
        </w:rPr>
        <w:t>i) et</w:t>
      </w:r>
      <w:r w:rsidR="00134750" w:rsidRPr="00B97B33">
        <w:rPr>
          <w:lang w:val="fr-FR"/>
        </w:rPr>
        <w:t> </w:t>
      </w:r>
      <w:r w:rsidR="009D6C22" w:rsidRPr="00B97B33">
        <w:rPr>
          <w:lang w:val="fr-FR"/>
        </w:rPr>
        <w:t>ii) ci</w:t>
      </w:r>
      <w:r w:rsidR="006B7734" w:rsidRPr="00B97B33">
        <w:rPr>
          <w:lang w:val="fr-FR"/>
        </w:rPr>
        <w:noBreakHyphen/>
      </w:r>
      <w:r w:rsidR="009D6C22" w:rsidRPr="00B97B33">
        <w:rPr>
          <w:lang w:val="fr-FR"/>
        </w:rPr>
        <w:t xml:space="preserve">dessus, la question de la transformation doit être traitée </w:t>
      </w:r>
      <w:r w:rsidR="00134750" w:rsidRPr="00B97B33">
        <w:rPr>
          <w:lang w:val="fr-FR"/>
        </w:rPr>
        <w:t xml:space="preserve">exclusivement </w:t>
      </w:r>
      <w:r w:rsidR="009D6C22" w:rsidRPr="00B97B33">
        <w:rPr>
          <w:lang w:val="fr-FR"/>
        </w:rPr>
        <w:t>dans le cadre de la loi de la partie contractante désignée</w:t>
      </w:r>
      <w:r w:rsidR="00134750" w:rsidRPr="00B97B33">
        <w:rPr>
          <w:lang w:val="fr-FR"/>
        </w:rPr>
        <w:t xml:space="preserve"> concernée</w:t>
      </w:r>
      <w:r w:rsidR="009D6C22" w:rsidRPr="00B97B33">
        <w:rPr>
          <w:lang w:val="fr-FR"/>
        </w:rPr>
        <w:t>.</w:t>
      </w:r>
      <w:r w:rsidR="007D7801">
        <w:rPr>
          <w:lang w:val="fr-FR"/>
        </w:rPr>
        <w:t xml:space="preserve">  </w:t>
      </w:r>
    </w:p>
    <w:p w:rsidR="007D7801" w:rsidRDefault="007D7801" w:rsidP="004F425F">
      <w:pPr>
        <w:pStyle w:val="Heading1"/>
        <w:keepLines/>
        <w:rPr>
          <w:lang w:val="fr-FR"/>
        </w:rPr>
      </w:pPr>
      <w:r>
        <w:rPr>
          <w:lang w:val="fr-FR"/>
        </w:rPr>
        <w:br w:type="page"/>
      </w:r>
    </w:p>
    <w:p w:rsidR="00674977" w:rsidRPr="00B97B33" w:rsidRDefault="004F425F" w:rsidP="004F425F">
      <w:pPr>
        <w:pStyle w:val="Heading1"/>
        <w:keepLines/>
        <w:rPr>
          <w:lang w:val="fr-FR"/>
        </w:rPr>
      </w:pPr>
      <w:r w:rsidRPr="00B97B33">
        <w:rPr>
          <w:lang w:val="fr-FR"/>
        </w:rPr>
        <w:lastRenderedPageBreak/>
        <w:t>RECOMMANDATIONS A</w:t>
      </w:r>
      <w:r w:rsidR="007F3165" w:rsidRPr="00B97B33">
        <w:rPr>
          <w:lang w:val="fr-FR"/>
        </w:rPr>
        <w:t>UX FIN</w:t>
      </w:r>
      <w:r w:rsidRPr="00B97B33">
        <w:rPr>
          <w:lang w:val="fr-FR"/>
        </w:rPr>
        <w:t>S</w:t>
      </w:r>
      <w:r w:rsidR="007F3165" w:rsidRPr="00B97B33">
        <w:rPr>
          <w:lang w:val="fr-FR"/>
        </w:rPr>
        <w:t xml:space="preserve"> DE</w:t>
      </w:r>
      <w:r w:rsidRPr="00B97B33">
        <w:rPr>
          <w:lang w:val="fr-FR"/>
        </w:rPr>
        <w:t xml:space="preserve"> LA PROCÉDURE DE TRANSFORMATION PAR LES PARTIES CONTRACTANTES DÉSIGNÉES</w:t>
      </w:r>
    </w:p>
    <w:p w:rsidR="00674977" w:rsidRPr="00B97B33" w:rsidRDefault="00674977" w:rsidP="008568E8">
      <w:pPr>
        <w:keepNext/>
        <w:keepLines/>
        <w:rPr>
          <w:lang w:val="fr-FR"/>
        </w:rPr>
      </w:pPr>
    </w:p>
    <w:p w:rsidR="00674977" w:rsidRPr="00B97B33" w:rsidRDefault="004F425F" w:rsidP="0089636B">
      <w:pPr>
        <w:pStyle w:val="ONUMFS"/>
        <w:rPr>
          <w:lang w:val="fr-FR"/>
        </w:rPr>
      </w:pPr>
      <w:r w:rsidRPr="00B97B33">
        <w:rPr>
          <w:lang w:val="fr-FR"/>
        </w:rPr>
        <w:t>Alors que la transformation a été introduite afin d</w:t>
      </w:r>
      <w:r w:rsidR="00681343" w:rsidRPr="00B97B33">
        <w:rPr>
          <w:lang w:val="fr-FR"/>
        </w:rPr>
        <w:t>’</w:t>
      </w:r>
      <w:r w:rsidRPr="00B97B33">
        <w:rPr>
          <w:lang w:val="fr-FR"/>
        </w:rPr>
        <w:t>accroître la sécurité juridique pour les titulaires d</w:t>
      </w:r>
      <w:r w:rsidR="00681343" w:rsidRPr="00B97B33">
        <w:rPr>
          <w:lang w:val="fr-FR"/>
        </w:rPr>
        <w:t>’</w:t>
      </w:r>
      <w:r w:rsidRPr="00B97B33">
        <w:rPr>
          <w:lang w:val="fr-FR"/>
        </w:rPr>
        <w:t xml:space="preserve">enregistrements internationaux en vertu du Protocole, les </w:t>
      </w:r>
      <w:r w:rsidR="00251FF7" w:rsidRPr="00B97B33">
        <w:rPr>
          <w:lang w:val="fr-FR"/>
        </w:rPr>
        <w:t>commentaires</w:t>
      </w:r>
      <w:r w:rsidRPr="00B97B33">
        <w:rPr>
          <w:lang w:val="fr-FR"/>
        </w:rPr>
        <w:t xml:space="preserve"> des utilisateurs suggèrent que la </w:t>
      </w:r>
      <w:r w:rsidR="00251FF7" w:rsidRPr="00B97B33">
        <w:rPr>
          <w:lang w:val="fr-FR"/>
        </w:rPr>
        <w:t xml:space="preserve">relative rigidité du </w:t>
      </w:r>
      <w:r w:rsidRPr="00B97B33">
        <w:rPr>
          <w:lang w:val="fr-FR"/>
        </w:rPr>
        <w:t xml:space="preserve">mécanisme </w:t>
      </w:r>
      <w:r w:rsidR="00251FF7" w:rsidRPr="00B97B33">
        <w:rPr>
          <w:lang w:val="fr-FR"/>
        </w:rPr>
        <w:t xml:space="preserve">de transformation tend à </w:t>
      </w:r>
      <w:r w:rsidRPr="00B97B33">
        <w:rPr>
          <w:lang w:val="fr-FR"/>
        </w:rPr>
        <w:t>compromet</w:t>
      </w:r>
      <w:r w:rsidR="00251FF7" w:rsidRPr="00B97B33">
        <w:rPr>
          <w:lang w:val="fr-FR"/>
        </w:rPr>
        <w:t>tre</w:t>
      </w:r>
      <w:r w:rsidRPr="00B97B33">
        <w:rPr>
          <w:lang w:val="fr-FR"/>
        </w:rPr>
        <w:t xml:space="preserve"> son utilisati</w:t>
      </w:r>
      <w:r w:rsidR="006B7734" w:rsidRPr="00B97B33">
        <w:rPr>
          <w:lang w:val="fr-FR"/>
        </w:rPr>
        <w:t>on.  Le</w:t>
      </w:r>
      <w:r w:rsidR="00145A77" w:rsidRPr="00B97B33">
        <w:rPr>
          <w:lang w:val="fr-FR"/>
        </w:rPr>
        <w:t xml:space="preserve"> groupe de travail voudra peut</w:t>
      </w:r>
      <w:r w:rsidR="006B7734" w:rsidRPr="00B97B33">
        <w:rPr>
          <w:lang w:val="fr-FR"/>
        </w:rPr>
        <w:noBreakHyphen/>
      </w:r>
      <w:r w:rsidR="00145A77" w:rsidRPr="00B97B33">
        <w:rPr>
          <w:lang w:val="fr-FR"/>
        </w:rPr>
        <w:t xml:space="preserve">être réfléchir à des améliorations possibles de la procédure de transformation et présenter des recommandations </w:t>
      </w:r>
      <w:r w:rsidR="00251FF7" w:rsidRPr="00B97B33">
        <w:rPr>
          <w:lang w:val="fr-FR"/>
        </w:rPr>
        <w:t xml:space="preserve">visant à </w:t>
      </w:r>
      <w:r w:rsidR="00145A77" w:rsidRPr="00B97B33">
        <w:rPr>
          <w:lang w:val="fr-FR"/>
        </w:rPr>
        <w:t>répondre aux attentes des utilisateu</w:t>
      </w:r>
      <w:r w:rsidR="006B7734" w:rsidRPr="00B97B33">
        <w:rPr>
          <w:lang w:val="fr-FR"/>
        </w:rPr>
        <w:t>rs.  Le</w:t>
      </w:r>
      <w:r w:rsidR="00145A77" w:rsidRPr="00B97B33">
        <w:rPr>
          <w:lang w:val="fr-FR"/>
        </w:rPr>
        <w:t xml:space="preserve">s améliorations </w:t>
      </w:r>
      <w:r w:rsidR="00251FF7" w:rsidRPr="00B97B33">
        <w:rPr>
          <w:lang w:val="fr-FR"/>
        </w:rPr>
        <w:t>ci</w:t>
      </w:r>
      <w:r w:rsidR="006B7734" w:rsidRPr="00B97B33">
        <w:rPr>
          <w:lang w:val="fr-FR"/>
        </w:rPr>
        <w:noBreakHyphen/>
      </w:r>
      <w:r w:rsidR="00251FF7" w:rsidRPr="00B97B33">
        <w:rPr>
          <w:lang w:val="fr-FR"/>
        </w:rPr>
        <w:t xml:space="preserve">après </w:t>
      </w:r>
      <w:r w:rsidR="00145A77" w:rsidRPr="00B97B33">
        <w:rPr>
          <w:lang w:val="fr-FR"/>
        </w:rPr>
        <w:t>po</w:t>
      </w:r>
      <w:r w:rsidR="00251FF7" w:rsidRPr="00B97B33">
        <w:rPr>
          <w:lang w:val="fr-FR"/>
        </w:rPr>
        <w:t>urraient être envisagées</w:t>
      </w:r>
      <w:r w:rsidR="00681343" w:rsidRPr="00B97B33">
        <w:rPr>
          <w:lang w:val="fr-FR"/>
        </w:rPr>
        <w:t> :</w:t>
      </w:r>
    </w:p>
    <w:p w:rsidR="00681343" w:rsidRPr="00B97B33" w:rsidRDefault="00145A77" w:rsidP="007D7801">
      <w:pPr>
        <w:pStyle w:val="ONUMFS"/>
        <w:numPr>
          <w:ilvl w:val="2"/>
          <w:numId w:val="6"/>
        </w:numPr>
        <w:tabs>
          <w:tab w:val="clear" w:pos="1701"/>
          <w:tab w:val="num" w:pos="1134"/>
        </w:tabs>
        <w:ind w:left="567"/>
        <w:rPr>
          <w:lang w:val="fr-FR"/>
        </w:rPr>
      </w:pPr>
      <w:r w:rsidRPr="00B97B33">
        <w:rPr>
          <w:lang w:val="fr-FR"/>
        </w:rPr>
        <w:t>L</w:t>
      </w:r>
      <w:r w:rsidR="00681343" w:rsidRPr="00B97B33">
        <w:rPr>
          <w:lang w:val="fr-FR"/>
        </w:rPr>
        <w:t>’</w:t>
      </w:r>
      <w:r w:rsidRPr="00B97B33">
        <w:rPr>
          <w:lang w:val="fr-FR"/>
        </w:rPr>
        <w:t>article 9</w:t>
      </w:r>
      <w:r w:rsidRPr="00B97B33">
        <w:rPr>
          <w:i/>
          <w:lang w:val="fr-FR"/>
        </w:rPr>
        <w:t>quinquies</w:t>
      </w:r>
      <w:r w:rsidRPr="00B97B33">
        <w:rPr>
          <w:lang w:val="fr-FR"/>
        </w:rPr>
        <w:t xml:space="preserve"> est une disposition obligatoire du Protoco</w:t>
      </w:r>
      <w:r w:rsidR="006B7734" w:rsidRPr="00B97B33">
        <w:rPr>
          <w:lang w:val="fr-FR"/>
        </w:rPr>
        <w:t>le.  Le</w:t>
      </w:r>
      <w:r w:rsidRPr="00B97B33">
        <w:rPr>
          <w:lang w:val="fr-FR"/>
        </w:rPr>
        <w:t>s parties contractantes qui n</w:t>
      </w:r>
      <w:r w:rsidR="00681343" w:rsidRPr="00B97B33">
        <w:rPr>
          <w:lang w:val="fr-FR"/>
        </w:rPr>
        <w:t>’</w:t>
      </w:r>
      <w:r w:rsidRPr="00B97B33">
        <w:rPr>
          <w:lang w:val="fr-FR"/>
        </w:rPr>
        <w:t xml:space="preserve">ont pas encore introduit une disposition spécifique couvrant la transformation dans leur législation nationale </w:t>
      </w:r>
      <w:r w:rsidR="000362DD">
        <w:rPr>
          <w:lang w:val="fr-FR"/>
        </w:rPr>
        <w:t xml:space="preserve">ou régionale </w:t>
      </w:r>
      <w:r w:rsidRPr="00B97B33">
        <w:rPr>
          <w:lang w:val="fr-FR"/>
        </w:rPr>
        <w:t>doivent le faire dès que possib</w:t>
      </w:r>
      <w:r w:rsidR="006B7734" w:rsidRPr="00B97B33">
        <w:rPr>
          <w:lang w:val="fr-FR"/>
        </w:rPr>
        <w:t>le.  Le</w:t>
      </w:r>
      <w:r w:rsidR="00251FF7" w:rsidRPr="00B97B33">
        <w:rPr>
          <w:lang w:val="fr-FR"/>
        </w:rPr>
        <w:t> </w:t>
      </w:r>
      <w:r w:rsidRPr="00B97B33">
        <w:rPr>
          <w:lang w:val="fr-FR"/>
        </w:rPr>
        <w:t>Service d</w:t>
      </w:r>
      <w:r w:rsidR="00681343" w:rsidRPr="00B97B33">
        <w:rPr>
          <w:lang w:val="fr-FR"/>
        </w:rPr>
        <w:t>’</w:t>
      </w:r>
      <w:r w:rsidRPr="00B97B33">
        <w:rPr>
          <w:lang w:val="fr-FR"/>
        </w:rPr>
        <w:t xml:space="preserve">enregistrement de Madrid a publié des dispositions types </w:t>
      </w:r>
      <w:r w:rsidR="00251FF7" w:rsidRPr="00B97B33">
        <w:rPr>
          <w:lang w:val="fr-FR"/>
        </w:rPr>
        <w:t>visant à assurer la conformité de la</w:t>
      </w:r>
      <w:r w:rsidRPr="00B97B33">
        <w:rPr>
          <w:lang w:val="fr-FR"/>
        </w:rPr>
        <w:t xml:space="preserve"> législation nationale</w:t>
      </w:r>
      <w:r w:rsidR="00251FF7" w:rsidRPr="00B97B33">
        <w:rPr>
          <w:lang w:val="fr-FR"/>
        </w:rPr>
        <w:t xml:space="preserve"> </w:t>
      </w:r>
      <w:r w:rsidR="00202C01">
        <w:rPr>
          <w:lang w:val="fr-FR"/>
        </w:rPr>
        <w:t xml:space="preserve">ou régionale </w:t>
      </w:r>
      <w:r w:rsidRPr="00B97B33">
        <w:rPr>
          <w:lang w:val="fr-FR"/>
        </w:rPr>
        <w:t xml:space="preserve">avec le Protocole de Madrid, notamment une disposition </w:t>
      </w:r>
      <w:r w:rsidR="00251FF7" w:rsidRPr="00B97B33">
        <w:rPr>
          <w:lang w:val="fr-FR"/>
        </w:rPr>
        <w:t xml:space="preserve">relative à </w:t>
      </w:r>
      <w:r w:rsidRPr="00B97B33">
        <w:rPr>
          <w:lang w:val="fr-FR"/>
        </w:rPr>
        <w:t>la transformation</w:t>
      </w:r>
      <w:r w:rsidRPr="00B97B33">
        <w:rPr>
          <w:rStyle w:val="FootnoteReference"/>
          <w:lang w:val="fr-FR"/>
        </w:rPr>
        <w:footnoteReference w:id="7"/>
      </w:r>
      <w:r w:rsidRPr="00B97B33">
        <w:rPr>
          <w:lang w:val="fr-FR"/>
        </w:rPr>
        <w:t>.</w:t>
      </w:r>
      <w:r w:rsidR="00C37CC5">
        <w:rPr>
          <w:lang w:val="fr-FR"/>
        </w:rPr>
        <w:t xml:space="preserve">  </w:t>
      </w:r>
    </w:p>
    <w:p w:rsidR="00681343" w:rsidRPr="00B97B33" w:rsidRDefault="008D05B7" w:rsidP="007D7801">
      <w:pPr>
        <w:pStyle w:val="ONUMFS"/>
        <w:keepNext/>
        <w:keepLines/>
        <w:numPr>
          <w:ilvl w:val="2"/>
          <w:numId w:val="6"/>
        </w:numPr>
        <w:tabs>
          <w:tab w:val="clear" w:pos="1701"/>
          <w:tab w:val="num" w:pos="1134"/>
        </w:tabs>
        <w:ind w:left="567"/>
        <w:rPr>
          <w:lang w:val="fr-FR"/>
        </w:rPr>
      </w:pPr>
      <w:r w:rsidRPr="00B97B33">
        <w:rPr>
          <w:lang w:val="fr-FR"/>
        </w:rPr>
        <w:t>En cas de radiation d</w:t>
      </w:r>
      <w:r w:rsidR="00681343" w:rsidRPr="00B97B33">
        <w:rPr>
          <w:lang w:val="fr-FR"/>
        </w:rPr>
        <w:t>’</w:t>
      </w:r>
      <w:r w:rsidRPr="00B97B33">
        <w:rPr>
          <w:lang w:val="fr-FR"/>
        </w:rPr>
        <w:t>enregistrements internationaux, les utilisateurs doivent disposer d</w:t>
      </w:r>
      <w:r w:rsidR="00681343" w:rsidRPr="00B97B33">
        <w:rPr>
          <w:lang w:val="fr-FR"/>
        </w:rPr>
        <w:t>’</w:t>
      </w:r>
      <w:r w:rsidRPr="00B97B33">
        <w:rPr>
          <w:lang w:val="fr-FR"/>
        </w:rPr>
        <w:t>informations fiables et détaillées sur la procédure de transformati</w:t>
      </w:r>
      <w:r w:rsidR="006B7734" w:rsidRPr="00B97B33">
        <w:rPr>
          <w:lang w:val="fr-FR"/>
        </w:rPr>
        <w:t>on.  Le</w:t>
      </w:r>
      <w:r w:rsidRPr="00B97B33">
        <w:rPr>
          <w:lang w:val="fr-FR"/>
        </w:rPr>
        <w:t>s</w:t>
      </w:r>
      <w:r w:rsidR="00001D9B">
        <w:rPr>
          <w:lang w:val="fr-FR"/>
        </w:rPr>
        <w:t> </w:t>
      </w:r>
      <w:r w:rsidRPr="00B97B33">
        <w:rPr>
          <w:lang w:val="fr-FR"/>
        </w:rPr>
        <w:t xml:space="preserve">parties contractantes doivent faire en sorte de fournir les indications utiles concernant leurs exigences nationales </w:t>
      </w:r>
      <w:r w:rsidR="002D6B88">
        <w:rPr>
          <w:lang w:val="fr-FR"/>
        </w:rPr>
        <w:t xml:space="preserve">ou régionales </w:t>
      </w:r>
      <w:r w:rsidRPr="00B97B33">
        <w:rPr>
          <w:lang w:val="fr-FR"/>
        </w:rPr>
        <w:t>qui seront publiées dans la base de données sur le profil des membres du système de Madrid</w:t>
      </w:r>
      <w:r w:rsidRPr="00B97B33">
        <w:rPr>
          <w:rStyle w:val="FootnoteReference"/>
          <w:lang w:val="fr-FR"/>
        </w:rPr>
        <w:footnoteReference w:id="8"/>
      </w:r>
      <w:r w:rsidRPr="00B97B33">
        <w:rPr>
          <w:lang w:val="fr-FR"/>
        </w:rPr>
        <w:t>.</w:t>
      </w:r>
      <w:r w:rsidR="00831722" w:rsidRPr="00B97B33">
        <w:rPr>
          <w:lang w:val="fr-FR"/>
        </w:rPr>
        <w:t xml:space="preserve">  </w:t>
      </w:r>
      <w:r w:rsidR="0038089C" w:rsidRPr="00B97B33">
        <w:rPr>
          <w:lang w:val="fr-FR"/>
        </w:rPr>
        <w:t>Lancée en mai </w:t>
      </w:r>
      <w:r w:rsidR="00445008" w:rsidRPr="00B97B33">
        <w:rPr>
          <w:lang w:val="fr-FR"/>
        </w:rPr>
        <w:t>2017, cette base de données fournit actuellement les informations reçues de 96 offices, dont 89 ont, au moins, indiqué qu</w:t>
      </w:r>
      <w:r w:rsidR="00681343" w:rsidRPr="00B97B33">
        <w:rPr>
          <w:lang w:val="fr-FR"/>
        </w:rPr>
        <w:t>’</w:t>
      </w:r>
      <w:r w:rsidR="00445008" w:rsidRPr="00B97B33">
        <w:rPr>
          <w:lang w:val="fr-FR"/>
        </w:rPr>
        <w:t>une procédure de transformation est prév</w:t>
      </w:r>
      <w:r w:rsidR="006B7734" w:rsidRPr="00B97B33">
        <w:rPr>
          <w:lang w:val="fr-FR"/>
        </w:rPr>
        <w:t>ue.  Le</w:t>
      </w:r>
      <w:r w:rsidR="00445008" w:rsidRPr="00B97B33">
        <w:rPr>
          <w:lang w:val="fr-FR"/>
        </w:rPr>
        <w:t>s offices pourraient cependant fournir des informations plus précises sur la façon dont ils traitent les demandes de transformation en vue d</w:t>
      </w:r>
      <w:r w:rsidR="00681343" w:rsidRPr="00B97B33">
        <w:rPr>
          <w:lang w:val="fr-FR"/>
        </w:rPr>
        <w:t>’</w:t>
      </w:r>
      <w:r w:rsidR="00445008" w:rsidRPr="00B97B33">
        <w:rPr>
          <w:lang w:val="fr-FR"/>
        </w:rPr>
        <w:t>accroître la prévisibilité au profit des utilisateurs.</w:t>
      </w:r>
      <w:r w:rsidR="00C37CC5">
        <w:rPr>
          <w:lang w:val="fr-FR"/>
        </w:rPr>
        <w:t xml:space="preserve">  </w:t>
      </w:r>
    </w:p>
    <w:p w:rsidR="00681343" w:rsidRPr="00B97B33" w:rsidRDefault="00445008" w:rsidP="007D7801">
      <w:pPr>
        <w:pStyle w:val="ONUMFS"/>
        <w:numPr>
          <w:ilvl w:val="2"/>
          <w:numId w:val="6"/>
        </w:numPr>
        <w:tabs>
          <w:tab w:val="clear" w:pos="1701"/>
          <w:tab w:val="left" w:pos="1134"/>
        </w:tabs>
        <w:ind w:left="567"/>
        <w:rPr>
          <w:lang w:val="fr-FR"/>
        </w:rPr>
      </w:pPr>
      <w:r w:rsidRPr="00B97B33">
        <w:rPr>
          <w:lang w:val="fr-FR"/>
        </w:rPr>
        <w:t xml:space="preserve">Les utilisateurs ont cité les coûts supplémentaires </w:t>
      </w:r>
      <w:r w:rsidRPr="003D7B6E">
        <w:rPr>
          <w:lang w:val="fr-FR"/>
        </w:rPr>
        <w:t>qu</w:t>
      </w:r>
      <w:r w:rsidR="00681343" w:rsidRPr="004410D7">
        <w:rPr>
          <w:lang w:val="fr-FR"/>
        </w:rPr>
        <w:t>’</w:t>
      </w:r>
      <w:r w:rsidRPr="00955957">
        <w:rPr>
          <w:lang w:val="fr-FR"/>
        </w:rPr>
        <w:t>entraîne la procédure</w:t>
      </w:r>
      <w:r w:rsidR="0038089C" w:rsidRPr="00955957">
        <w:rPr>
          <w:lang w:val="fr-FR"/>
        </w:rPr>
        <w:t xml:space="preserve"> de transformation</w:t>
      </w:r>
      <w:r w:rsidRPr="00B97B33">
        <w:rPr>
          <w:lang w:val="fr-FR"/>
        </w:rPr>
        <w:t xml:space="preserve"> comme étant une raison de ne pas </w:t>
      </w:r>
      <w:r w:rsidR="0038089C" w:rsidRPr="00B97B33">
        <w:rPr>
          <w:lang w:val="fr-FR"/>
        </w:rPr>
        <w:t>y </w:t>
      </w:r>
      <w:r w:rsidRPr="00B97B33">
        <w:rPr>
          <w:lang w:val="fr-FR"/>
        </w:rPr>
        <w:t>recour</w:t>
      </w:r>
      <w:r w:rsidR="006B7734" w:rsidRPr="00B97B33">
        <w:rPr>
          <w:lang w:val="fr-FR"/>
        </w:rPr>
        <w:t>ir.  Il</w:t>
      </w:r>
      <w:r w:rsidR="00BC4BEB" w:rsidRPr="00B97B33">
        <w:rPr>
          <w:lang w:val="fr-FR"/>
        </w:rPr>
        <w:t xml:space="preserve"> n</w:t>
      </w:r>
      <w:r w:rsidR="00681343" w:rsidRPr="00B97B33">
        <w:rPr>
          <w:lang w:val="fr-FR"/>
        </w:rPr>
        <w:t>’</w:t>
      </w:r>
      <w:r w:rsidR="00BC4BEB" w:rsidRPr="00B97B33">
        <w:rPr>
          <w:lang w:val="fr-FR"/>
        </w:rPr>
        <w:t>existe pas de politique uniforme en matière de taxe de transformation</w:t>
      </w:r>
      <w:r w:rsidR="0033081F">
        <w:rPr>
          <w:lang w:val="fr-FR"/>
        </w:rPr>
        <w:t xml:space="preserve"> dans les parties contractantes</w:t>
      </w:r>
      <w:r w:rsidR="00BC4BEB" w:rsidRPr="00B97B33">
        <w:rPr>
          <w:lang w:val="fr-FR"/>
        </w:rPr>
        <w:t xml:space="preserve">;  dans certaines </w:t>
      </w:r>
      <w:r w:rsidR="001770A2">
        <w:rPr>
          <w:lang w:val="fr-FR"/>
        </w:rPr>
        <w:t>d’entre elles</w:t>
      </w:r>
      <w:r w:rsidR="00BC4BEB" w:rsidRPr="00B97B33">
        <w:rPr>
          <w:lang w:val="fr-FR"/>
        </w:rPr>
        <w:t>, la demande de transformation ne donne pas lieu au paiement de taxes alors qu</w:t>
      </w:r>
      <w:r w:rsidR="00681343" w:rsidRPr="00B97B33">
        <w:rPr>
          <w:lang w:val="fr-FR"/>
        </w:rPr>
        <w:t>’</w:t>
      </w:r>
      <w:r w:rsidR="00BC4BEB" w:rsidRPr="00B97B33">
        <w:rPr>
          <w:lang w:val="fr-FR"/>
        </w:rPr>
        <w:t>une taxe de transformation est exigible dans d</w:t>
      </w:r>
      <w:r w:rsidR="00681343" w:rsidRPr="00B97B33">
        <w:rPr>
          <w:lang w:val="fr-FR"/>
        </w:rPr>
        <w:t>’</w:t>
      </w:r>
      <w:r w:rsidR="00BC4BEB" w:rsidRPr="00B97B33">
        <w:rPr>
          <w:lang w:val="fr-FR"/>
        </w:rPr>
        <w:t>autr</w:t>
      </w:r>
      <w:r w:rsidR="006B7734" w:rsidRPr="00B97B33">
        <w:rPr>
          <w:lang w:val="fr-FR"/>
        </w:rPr>
        <w:t>es.  Le</w:t>
      </w:r>
      <w:r w:rsidR="00BC4BEB" w:rsidRPr="00B97B33">
        <w:rPr>
          <w:lang w:val="fr-FR"/>
        </w:rPr>
        <w:t>s parties contractantes pourraient envisager une exonération ou une réduction des taxes, dans le cas d</w:t>
      </w:r>
      <w:r w:rsidR="00681343" w:rsidRPr="00B97B33">
        <w:rPr>
          <w:lang w:val="fr-FR"/>
        </w:rPr>
        <w:t>’</w:t>
      </w:r>
      <w:r w:rsidR="00BC4BEB" w:rsidRPr="00B97B33">
        <w:rPr>
          <w:lang w:val="fr-FR"/>
        </w:rPr>
        <w:t>une demande de transformation, en particulier lorsque l</w:t>
      </w:r>
      <w:r w:rsidR="00681343" w:rsidRPr="00B97B33">
        <w:rPr>
          <w:lang w:val="fr-FR"/>
        </w:rPr>
        <w:t>’</w:t>
      </w:r>
      <w:r w:rsidR="00BC4BEB" w:rsidRPr="00B97B33">
        <w:rPr>
          <w:lang w:val="fr-FR"/>
        </w:rPr>
        <w:t>office concerné a déjà perçu une taxe individuelle au titre de l</w:t>
      </w:r>
      <w:r w:rsidR="00681343" w:rsidRPr="00B97B33">
        <w:rPr>
          <w:lang w:val="fr-FR"/>
        </w:rPr>
        <w:t>’</w:t>
      </w:r>
      <w:r w:rsidR="00BC4BEB" w:rsidRPr="00B97B33">
        <w:rPr>
          <w:lang w:val="fr-FR"/>
        </w:rPr>
        <w:t>enregistrement international en question.</w:t>
      </w:r>
      <w:r w:rsidR="00C37CC5">
        <w:rPr>
          <w:lang w:val="fr-FR"/>
        </w:rPr>
        <w:t xml:space="preserve">  </w:t>
      </w:r>
    </w:p>
    <w:p w:rsidR="00681343" w:rsidRPr="00B97B33" w:rsidRDefault="00BC4BEB" w:rsidP="007D7801">
      <w:pPr>
        <w:pStyle w:val="ONUMFS"/>
        <w:numPr>
          <w:ilvl w:val="2"/>
          <w:numId w:val="6"/>
        </w:numPr>
        <w:tabs>
          <w:tab w:val="clear" w:pos="1701"/>
        </w:tabs>
        <w:ind w:left="567"/>
        <w:rPr>
          <w:lang w:val="fr-FR"/>
        </w:rPr>
      </w:pPr>
      <w:r w:rsidRPr="00B97B33">
        <w:rPr>
          <w:lang w:val="fr-FR"/>
        </w:rPr>
        <w:t>Lorsque certaines mesures ont déjà été prises pour l</w:t>
      </w:r>
      <w:r w:rsidR="00681343" w:rsidRPr="00B97B33">
        <w:rPr>
          <w:lang w:val="fr-FR"/>
        </w:rPr>
        <w:t>’</w:t>
      </w:r>
      <w:r w:rsidRPr="00B97B33">
        <w:rPr>
          <w:lang w:val="fr-FR"/>
        </w:rPr>
        <w:t>examen quant au fond d</w:t>
      </w:r>
      <w:r w:rsidR="00681343" w:rsidRPr="00B97B33">
        <w:rPr>
          <w:lang w:val="fr-FR"/>
        </w:rPr>
        <w:t>’</w:t>
      </w:r>
      <w:r w:rsidRPr="00B97B33">
        <w:rPr>
          <w:lang w:val="fr-FR"/>
        </w:rPr>
        <w:t>une marque internationale, le bénéfice de ces mesures devrait être reporté sur la demande résultant d</w:t>
      </w:r>
      <w:r w:rsidR="00681343" w:rsidRPr="00B97B33">
        <w:rPr>
          <w:lang w:val="fr-FR"/>
        </w:rPr>
        <w:t>’</w:t>
      </w:r>
      <w:r w:rsidRPr="00B97B33">
        <w:rPr>
          <w:lang w:val="fr-FR"/>
        </w:rPr>
        <w:t>une transformation, qui devrait ensuite être traitée comme une demande standa</w:t>
      </w:r>
      <w:r w:rsidR="006B7734" w:rsidRPr="00B97B33">
        <w:rPr>
          <w:lang w:val="fr-FR"/>
        </w:rPr>
        <w:t>rd.  Ce</w:t>
      </w:r>
      <w:r w:rsidRPr="00B97B33">
        <w:rPr>
          <w:lang w:val="fr-FR"/>
        </w:rPr>
        <w:t>tte solution permet d</w:t>
      </w:r>
      <w:r w:rsidR="00681343" w:rsidRPr="00B97B33">
        <w:rPr>
          <w:lang w:val="fr-FR"/>
        </w:rPr>
        <w:t>’</w:t>
      </w:r>
      <w:r w:rsidRPr="00B97B33">
        <w:rPr>
          <w:lang w:val="fr-FR"/>
        </w:rPr>
        <w:t xml:space="preserve">éviter une répétition inutile </w:t>
      </w:r>
      <w:r w:rsidR="00CF7FEE">
        <w:rPr>
          <w:lang w:val="fr-FR"/>
        </w:rPr>
        <w:t>du travail</w:t>
      </w:r>
      <w:r w:rsidRPr="00B97B33">
        <w:rPr>
          <w:lang w:val="fr-FR"/>
        </w:rPr>
        <w:t xml:space="preserve"> et des dépenses, tant pour les utilisateurs que pour l</w:t>
      </w:r>
      <w:r w:rsidR="00681343" w:rsidRPr="00B97B33">
        <w:rPr>
          <w:lang w:val="fr-FR"/>
        </w:rPr>
        <w:t>’</w:t>
      </w:r>
      <w:r w:rsidRPr="00B97B33">
        <w:rPr>
          <w:lang w:val="fr-FR"/>
        </w:rPr>
        <w:t>office.</w:t>
      </w:r>
    </w:p>
    <w:p w:rsidR="00681343" w:rsidRPr="00B97B33" w:rsidRDefault="00DC7F09" w:rsidP="007D7801">
      <w:pPr>
        <w:pStyle w:val="ONUMFS"/>
        <w:numPr>
          <w:ilvl w:val="2"/>
          <w:numId w:val="6"/>
        </w:numPr>
        <w:tabs>
          <w:tab w:val="clear" w:pos="1701"/>
          <w:tab w:val="num" w:pos="1134"/>
        </w:tabs>
        <w:ind w:left="567"/>
        <w:rPr>
          <w:lang w:val="fr-FR"/>
        </w:rPr>
      </w:pPr>
      <w:r w:rsidRPr="00B97B33">
        <w:rPr>
          <w:lang w:val="fr-FR"/>
        </w:rPr>
        <w:t>Enfin, lorsqu</w:t>
      </w:r>
      <w:r w:rsidR="00681343" w:rsidRPr="00B97B33">
        <w:rPr>
          <w:lang w:val="fr-FR"/>
        </w:rPr>
        <w:t>’</w:t>
      </w:r>
      <w:r w:rsidRPr="00B97B33">
        <w:rPr>
          <w:lang w:val="fr-FR"/>
        </w:rPr>
        <w:t>une marque qui fait l</w:t>
      </w:r>
      <w:r w:rsidR="00681343" w:rsidRPr="00B97B33">
        <w:rPr>
          <w:lang w:val="fr-FR"/>
        </w:rPr>
        <w:t>’</w:t>
      </w:r>
      <w:r w:rsidRPr="00B97B33">
        <w:rPr>
          <w:lang w:val="fr-FR"/>
        </w:rPr>
        <w:t>objet d</w:t>
      </w:r>
      <w:r w:rsidR="00681343" w:rsidRPr="00B97B33">
        <w:rPr>
          <w:lang w:val="fr-FR"/>
        </w:rPr>
        <w:t>’</w:t>
      </w:r>
      <w:r w:rsidRPr="00B97B33">
        <w:rPr>
          <w:lang w:val="fr-FR"/>
        </w:rPr>
        <w:t>un enregistrement international est devenue protégée dans la partie contractante concernée à la date de radiation de l</w:t>
      </w:r>
      <w:r w:rsidR="00681343" w:rsidRPr="00B97B33">
        <w:rPr>
          <w:lang w:val="fr-FR"/>
        </w:rPr>
        <w:t>’</w:t>
      </w:r>
      <w:r w:rsidRPr="00B97B33">
        <w:rPr>
          <w:lang w:val="fr-FR"/>
        </w:rPr>
        <w:t>enregistrement international ou avant cette date, et pour autant que toutes les exigences applicables aux demandes résultant d</w:t>
      </w:r>
      <w:r w:rsidR="00681343" w:rsidRPr="00B97B33">
        <w:rPr>
          <w:lang w:val="fr-FR"/>
        </w:rPr>
        <w:t>’</w:t>
      </w:r>
      <w:r w:rsidRPr="00B97B33">
        <w:rPr>
          <w:lang w:val="fr-FR"/>
        </w:rPr>
        <w:t xml:space="preserve">une transformation </w:t>
      </w:r>
      <w:r w:rsidR="0038089C" w:rsidRPr="00B97B33">
        <w:rPr>
          <w:lang w:val="fr-FR"/>
        </w:rPr>
        <w:t>aie</w:t>
      </w:r>
      <w:r w:rsidRPr="00B97B33">
        <w:rPr>
          <w:lang w:val="fr-FR"/>
        </w:rPr>
        <w:t xml:space="preserve">nt été </w:t>
      </w:r>
      <w:r w:rsidRPr="00B8496B">
        <w:rPr>
          <w:lang w:val="fr-FR"/>
        </w:rPr>
        <w:t xml:space="preserve">observées, il </w:t>
      </w:r>
      <w:r w:rsidR="00EE11D9" w:rsidRPr="00B8496B">
        <w:rPr>
          <w:lang w:val="fr-FR"/>
        </w:rPr>
        <w:t>convient d</w:t>
      </w:r>
      <w:r w:rsidRPr="00B8496B">
        <w:rPr>
          <w:lang w:val="fr-FR"/>
        </w:rPr>
        <w:t>e procéd</w:t>
      </w:r>
      <w:r w:rsidR="00EE11D9" w:rsidRPr="00B8496B">
        <w:rPr>
          <w:lang w:val="fr-FR"/>
        </w:rPr>
        <w:t>er</w:t>
      </w:r>
      <w:r w:rsidRPr="00B8496B">
        <w:rPr>
          <w:lang w:val="fr-FR"/>
        </w:rPr>
        <w:t xml:space="preserve"> à l</w:t>
      </w:r>
      <w:r w:rsidR="00681343" w:rsidRPr="00B8496B">
        <w:rPr>
          <w:lang w:val="fr-FR"/>
        </w:rPr>
        <w:t>’</w:t>
      </w:r>
      <w:r w:rsidRPr="00B8496B">
        <w:rPr>
          <w:lang w:val="fr-FR"/>
        </w:rPr>
        <w:t>enregistrement de cette marq</w:t>
      </w:r>
      <w:r w:rsidR="006B7734" w:rsidRPr="00B8496B">
        <w:rPr>
          <w:lang w:val="fr-FR"/>
        </w:rPr>
        <w:t>ue.  L’e</w:t>
      </w:r>
      <w:r w:rsidRPr="00B8496B">
        <w:rPr>
          <w:lang w:val="fr-FR"/>
        </w:rPr>
        <w:t xml:space="preserve">ffet </w:t>
      </w:r>
      <w:r w:rsidR="00EE11D9" w:rsidRPr="00B8496B">
        <w:rPr>
          <w:lang w:val="fr-FR"/>
        </w:rPr>
        <w:t xml:space="preserve">produit </w:t>
      </w:r>
      <w:r w:rsidRPr="00B8496B">
        <w:rPr>
          <w:lang w:val="fr-FR"/>
        </w:rPr>
        <w:t xml:space="preserve">est </w:t>
      </w:r>
      <w:r w:rsidR="00EE11D9" w:rsidRPr="00B8496B">
        <w:rPr>
          <w:lang w:val="fr-FR"/>
        </w:rPr>
        <w:t>à l</w:t>
      </w:r>
      <w:r w:rsidR="00681343" w:rsidRPr="00B8496B">
        <w:rPr>
          <w:lang w:val="fr-FR"/>
        </w:rPr>
        <w:t>’</w:t>
      </w:r>
      <w:r w:rsidR="00EE11D9" w:rsidRPr="00B8496B">
        <w:rPr>
          <w:lang w:val="fr-FR"/>
        </w:rPr>
        <w:t xml:space="preserve">évidence positif pour </w:t>
      </w:r>
      <w:r w:rsidRPr="00B8496B">
        <w:rPr>
          <w:lang w:val="fr-FR"/>
        </w:rPr>
        <w:t>les utilisateurs et juridiquement valable puis</w:t>
      </w:r>
      <w:r w:rsidRPr="00B97B33">
        <w:rPr>
          <w:lang w:val="fr-FR"/>
        </w:rPr>
        <w:t>que l</w:t>
      </w:r>
      <w:r w:rsidR="00681343" w:rsidRPr="00B97B33">
        <w:rPr>
          <w:lang w:val="fr-FR"/>
        </w:rPr>
        <w:t>’</w:t>
      </w:r>
      <w:r w:rsidRPr="00B97B33">
        <w:rPr>
          <w:lang w:val="fr-FR"/>
        </w:rPr>
        <w:t>enregistrement international radié bénéficiait d</w:t>
      </w:r>
      <w:r w:rsidR="00681343" w:rsidRPr="00B97B33">
        <w:rPr>
          <w:lang w:val="fr-FR"/>
        </w:rPr>
        <w:t>’</w:t>
      </w:r>
      <w:r w:rsidRPr="00B97B33">
        <w:rPr>
          <w:lang w:val="fr-FR"/>
        </w:rPr>
        <w:t>une protection dans les parties contractantes désignées concernées.</w:t>
      </w:r>
    </w:p>
    <w:p w:rsidR="00681343" w:rsidRPr="00CA0E56" w:rsidRDefault="00DC7F09" w:rsidP="00CA0E56">
      <w:pPr>
        <w:pStyle w:val="ONUMFS"/>
        <w:ind w:left="5534"/>
        <w:rPr>
          <w:i/>
          <w:lang w:val="fr-FR"/>
        </w:rPr>
      </w:pPr>
      <w:r w:rsidRPr="00CA0E56">
        <w:rPr>
          <w:i/>
          <w:lang w:val="fr-FR"/>
        </w:rPr>
        <w:t xml:space="preserve">Le groupe de travail est invité à examiner les recommandations </w:t>
      </w:r>
      <w:r w:rsidR="007F3165" w:rsidRPr="00CA0E56">
        <w:rPr>
          <w:i/>
          <w:lang w:val="fr-FR"/>
        </w:rPr>
        <w:t xml:space="preserve">aux fins de </w:t>
      </w:r>
      <w:r w:rsidRPr="00CA0E56">
        <w:rPr>
          <w:i/>
          <w:lang w:val="fr-FR"/>
        </w:rPr>
        <w:t>la procédure de transformation par les parties contractantes désignées figur</w:t>
      </w:r>
      <w:r w:rsidR="0038089C" w:rsidRPr="00CA0E56">
        <w:rPr>
          <w:i/>
          <w:lang w:val="fr-FR"/>
        </w:rPr>
        <w:t>a</w:t>
      </w:r>
      <w:r w:rsidRPr="00CA0E56">
        <w:rPr>
          <w:i/>
          <w:lang w:val="fr-FR"/>
        </w:rPr>
        <w:t>nt au paragraphe 9 du présent document ou à suggérer toute autre amélioration éventuelle.</w:t>
      </w:r>
    </w:p>
    <w:p w:rsidR="00674977" w:rsidRPr="00B97B33" w:rsidRDefault="00674977" w:rsidP="005B6B85">
      <w:pPr>
        <w:rPr>
          <w:lang w:val="fr-FR"/>
        </w:rPr>
      </w:pPr>
    </w:p>
    <w:p w:rsidR="00674977" w:rsidRPr="00B97B33" w:rsidRDefault="00674977" w:rsidP="005B6B85">
      <w:pPr>
        <w:rPr>
          <w:lang w:val="fr-FR"/>
        </w:rPr>
      </w:pPr>
    </w:p>
    <w:p w:rsidR="00674977" w:rsidRPr="00B97B33" w:rsidRDefault="00DC7F09" w:rsidP="00DC7F09">
      <w:pPr>
        <w:pStyle w:val="Endofdocument-Annex"/>
        <w:rPr>
          <w:lang w:val="fr-FR"/>
        </w:rPr>
      </w:pPr>
      <w:r w:rsidRPr="00B97B33">
        <w:rPr>
          <w:lang w:val="fr-FR"/>
        </w:rPr>
        <w:t>[Fin du document]</w:t>
      </w:r>
    </w:p>
    <w:p w:rsidR="00674977" w:rsidRPr="00B97B33" w:rsidRDefault="00674977" w:rsidP="005B6B85">
      <w:pPr>
        <w:pStyle w:val="Endofdocument-Annex"/>
        <w:rPr>
          <w:lang w:val="fr-FR"/>
        </w:rPr>
      </w:pPr>
    </w:p>
    <w:sectPr w:rsidR="00674977" w:rsidRPr="00B97B33" w:rsidSect="007D7801">
      <w:headerReference w:type="default" r:id="rId10"/>
      <w:endnotePr>
        <w:numFmt w:val="decimal"/>
      </w:endnotePr>
      <w:pgSz w:w="11907" w:h="16840" w:code="9"/>
      <w:pgMar w:top="567" w:right="1134" w:bottom="1134" w:left="1417" w:header="510" w:footer="10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EBA" w:rsidRDefault="008F1EBA">
      <w:r>
        <w:separator/>
      </w:r>
    </w:p>
  </w:endnote>
  <w:endnote w:type="continuationSeparator" w:id="0">
    <w:p w:rsidR="008F1EBA" w:rsidRDefault="008F1EBA" w:rsidP="003B38C1">
      <w:r>
        <w:separator/>
      </w:r>
    </w:p>
    <w:p w:rsidR="008F1EBA" w:rsidRPr="003B38C1" w:rsidRDefault="008F1EBA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8F1EBA" w:rsidRPr="003B38C1" w:rsidRDefault="008F1EBA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EBA" w:rsidRDefault="008F1EBA">
      <w:r>
        <w:separator/>
      </w:r>
    </w:p>
  </w:footnote>
  <w:footnote w:type="continuationSeparator" w:id="0">
    <w:p w:rsidR="008F1EBA" w:rsidRDefault="008F1EBA" w:rsidP="008B60B2">
      <w:r>
        <w:separator/>
      </w:r>
    </w:p>
    <w:p w:rsidR="008F1EBA" w:rsidRPr="00ED77FB" w:rsidRDefault="008F1EBA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8F1EBA" w:rsidRPr="00ED77FB" w:rsidRDefault="008F1EBA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200819" w:rsidRPr="00E45949" w:rsidRDefault="00200819" w:rsidP="00200819">
      <w:pPr>
        <w:pStyle w:val="FootnoteText"/>
        <w:rPr>
          <w:lang w:val="fr-CH"/>
        </w:rPr>
      </w:pPr>
      <w:r>
        <w:rPr>
          <w:rStyle w:val="FootnoteReference"/>
        </w:rPr>
        <w:footnoteRef/>
      </w:r>
      <w:r w:rsidRPr="00CC6926">
        <w:rPr>
          <w:lang w:val="fr-CH"/>
        </w:rPr>
        <w:t xml:space="preserve"> </w:t>
      </w:r>
      <w:r>
        <w:rPr>
          <w:lang w:val="fr-CH"/>
        </w:rPr>
        <w:tab/>
      </w:r>
      <w:r w:rsidRPr="00E45949">
        <w:rPr>
          <w:lang w:val="fr-CH"/>
        </w:rPr>
        <w:t>Voir l</w:t>
      </w:r>
      <w:r w:rsidR="008A1625">
        <w:rPr>
          <w:lang w:val="fr-CH"/>
        </w:rPr>
        <w:t>’</w:t>
      </w:r>
      <w:r w:rsidRPr="00E45949">
        <w:rPr>
          <w:lang w:val="fr-CH"/>
        </w:rPr>
        <w:t>annexe IV du document MM/LD/WG/14/6.</w:t>
      </w:r>
      <w:r w:rsidR="00D0221E">
        <w:rPr>
          <w:lang w:val="fr-CH"/>
        </w:rPr>
        <w:t xml:space="preserve">  </w:t>
      </w:r>
    </w:p>
  </w:footnote>
  <w:footnote w:id="3">
    <w:p w:rsidR="005D6EEE" w:rsidRPr="00E45949" w:rsidRDefault="005D6EEE" w:rsidP="00CC6926">
      <w:pPr>
        <w:pStyle w:val="FootnoteText"/>
        <w:rPr>
          <w:lang w:val="fr-CH"/>
        </w:rPr>
      </w:pPr>
      <w:r w:rsidRPr="00E45949">
        <w:rPr>
          <w:rStyle w:val="FootnoteReference"/>
        </w:rPr>
        <w:footnoteRef/>
      </w:r>
      <w:r w:rsidRPr="00E45949">
        <w:rPr>
          <w:lang w:val="fr-CH"/>
        </w:rPr>
        <w:t xml:space="preserve"> </w:t>
      </w:r>
      <w:r w:rsidRPr="00E45949">
        <w:rPr>
          <w:lang w:val="fr-CH"/>
        </w:rPr>
        <w:tab/>
      </w:r>
      <w:r w:rsidR="00CC6926" w:rsidRPr="00E45949">
        <w:rPr>
          <w:lang w:val="fr-CH"/>
        </w:rPr>
        <w:t>Voir l</w:t>
      </w:r>
      <w:r w:rsidR="008A1625">
        <w:rPr>
          <w:lang w:val="fr-CH"/>
        </w:rPr>
        <w:t>’</w:t>
      </w:r>
      <w:r w:rsidR="00CC6926" w:rsidRPr="00E45949">
        <w:rPr>
          <w:lang w:val="fr-CH"/>
        </w:rPr>
        <w:t>annexe</w:t>
      </w:r>
      <w:r w:rsidR="00B80B10" w:rsidRPr="00E45949">
        <w:rPr>
          <w:lang w:val="fr-CH"/>
        </w:rPr>
        <w:t> </w:t>
      </w:r>
      <w:r w:rsidR="00CC6926" w:rsidRPr="00E45949">
        <w:rPr>
          <w:lang w:val="fr-CH"/>
        </w:rPr>
        <w:t>II du document</w:t>
      </w:r>
      <w:r w:rsidR="006B7734" w:rsidRPr="00E45949">
        <w:rPr>
          <w:lang w:val="fr-CH"/>
        </w:rPr>
        <w:t> </w:t>
      </w:r>
      <w:r w:rsidR="00CC6926" w:rsidRPr="00E45949">
        <w:rPr>
          <w:lang w:val="fr-CH"/>
        </w:rPr>
        <w:t>MM/LD/WG/15/5.</w:t>
      </w:r>
    </w:p>
  </w:footnote>
  <w:footnote w:id="4">
    <w:p w:rsidR="00EB1BDD" w:rsidRPr="00E45949" w:rsidRDefault="00EB1BDD" w:rsidP="00296937">
      <w:pPr>
        <w:pStyle w:val="FootnoteText"/>
        <w:rPr>
          <w:lang w:val="fr-CH"/>
        </w:rPr>
      </w:pPr>
      <w:r>
        <w:rPr>
          <w:rStyle w:val="FootnoteReference"/>
        </w:rPr>
        <w:footnoteRef/>
      </w:r>
      <w:r w:rsidRPr="00296937">
        <w:rPr>
          <w:lang w:val="fr-CH"/>
        </w:rPr>
        <w:t xml:space="preserve"> </w:t>
      </w:r>
      <w:r w:rsidRPr="00296937">
        <w:rPr>
          <w:lang w:val="fr-CH"/>
        </w:rPr>
        <w:tab/>
      </w:r>
      <w:r w:rsidR="00296937" w:rsidRPr="00E45949">
        <w:rPr>
          <w:lang w:val="fr-CH"/>
        </w:rPr>
        <w:t>Voir le document</w:t>
      </w:r>
      <w:r w:rsidR="006B7734" w:rsidRPr="00E45949">
        <w:rPr>
          <w:lang w:val="fr-CH"/>
        </w:rPr>
        <w:t> </w:t>
      </w:r>
      <w:r w:rsidR="00296937" w:rsidRPr="00E45949">
        <w:rPr>
          <w:lang w:val="fr-CH"/>
        </w:rPr>
        <w:t>MM/LD/WG/13/6.</w:t>
      </w:r>
      <w:r w:rsidR="007D7801">
        <w:rPr>
          <w:lang w:val="fr-CH"/>
        </w:rPr>
        <w:t xml:space="preserve">  </w:t>
      </w:r>
    </w:p>
  </w:footnote>
  <w:footnote w:id="5">
    <w:p w:rsidR="00296937" w:rsidRPr="00E45949" w:rsidRDefault="00296937" w:rsidP="00296937">
      <w:pPr>
        <w:pStyle w:val="FootnoteText"/>
        <w:rPr>
          <w:lang w:val="fr-CH"/>
        </w:rPr>
      </w:pPr>
      <w:r w:rsidRPr="00E45949">
        <w:rPr>
          <w:rStyle w:val="FootnoteReference"/>
        </w:rPr>
        <w:footnoteRef/>
      </w:r>
      <w:r w:rsidRPr="00E45949">
        <w:rPr>
          <w:lang w:val="fr-CH"/>
        </w:rPr>
        <w:t xml:space="preserve"> </w:t>
      </w:r>
      <w:r w:rsidRPr="00E45949">
        <w:rPr>
          <w:lang w:val="fr-CH"/>
        </w:rPr>
        <w:tab/>
        <w:t xml:space="preserve">Voir les </w:t>
      </w:r>
      <w:r w:rsidR="006B10DF" w:rsidRPr="00E45949">
        <w:rPr>
          <w:lang w:val="fr-CH"/>
        </w:rPr>
        <w:t>paragraphes 3</w:t>
      </w:r>
      <w:r w:rsidRPr="00E45949">
        <w:rPr>
          <w:lang w:val="fr-CH"/>
        </w:rPr>
        <w:t>3 à 36 du document</w:t>
      </w:r>
      <w:r w:rsidR="006B7734" w:rsidRPr="00E45949">
        <w:rPr>
          <w:lang w:val="fr-CH"/>
        </w:rPr>
        <w:t> </w:t>
      </w:r>
      <w:r w:rsidRPr="00E45949">
        <w:rPr>
          <w:lang w:val="fr-CH"/>
        </w:rPr>
        <w:t>MM/LD/WG/13/6.</w:t>
      </w:r>
    </w:p>
  </w:footnote>
  <w:footnote w:id="6">
    <w:p w:rsidR="008D2123" w:rsidRPr="00E45949" w:rsidRDefault="008D2123" w:rsidP="008D2123">
      <w:pPr>
        <w:pStyle w:val="FootnoteText"/>
        <w:rPr>
          <w:lang w:val="fr-CH"/>
        </w:rPr>
      </w:pPr>
      <w:r w:rsidRPr="00E45949">
        <w:rPr>
          <w:rStyle w:val="FootnoteReference"/>
        </w:rPr>
        <w:footnoteRef/>
      </w:r>
      <w:r w:rsidRPr="00E45949">
        <w:rPr>
          <w:lang w:val="fr-CH"/>
        </w:rPr>
        <w:t xml:space="preserve"> </w:t>
      </w:r>
      <w:r w:rsidRPr="00E45949">
        <w:rPr>
          <w:lang w:val="fr-CH"/>
        </w:rPr>
        <w:tab/>
        <w:t>Voir les documents</w:t>
      </w:r>
      <w:r w:rsidR="006B7734" w:rsidRPr="00E45949">
        <w:rPr>
          <w:lang w:val="fr-CH"/>
        </w:rPr>
        <w:t> </w:t>
      </w:r>
      <w:r w:rsidRPr="00E45949">
        <w:rPr>
          <w:lang w:val="fr-CH"/>
        </w:rPr>
        <w:t>MM/LD/WG/9/3 et MM/LD/WG/11/4.</w:t>
      </w:r>
      <w:r w:rsidR="007D7801">
        <w:rPr>
          <w:lang w:val="fr-CH"/>
        </w:rPr>
        <w:t xml:space="preserve">  </w:t>
      </w:r>
    </w:p>
  </w:footnote>
  <w:footnote w:id="7">
    <w:p w:rsidR="00145A77" w:rsidRPr="0089636B" w:rsidRDefault="00145A77" w:rsidP="00674977">
      <w:pPr>
        <w:pStyle w:val="FootnoteText"/>
        <w:rPr>
          <w:spacing w:val="-2"/>
          <w:lang w:val="fr-CH"/>
        </w:rPr>
      </w:pPr>
      <w:r>
        <w:rPr>
          <w:rStyle w:val="FootnoteReference"/>
        </w:rPr>
        <w:footnoteRef/>
      </w:r>
      <w:r w:rsidRPr="00145A77">
        <w:rPr>
          <w:lang w:val="fr-CH"/>
        </w:rPr>
        <w:t xml:space="preserve"> </w:t>
      </w:r>
      <w:r>
        <w:rPr>
          <w:lang w:val="fr-CH"/>
        </w:rPr>
        <w:tab/>
      </w:r>
      <w:r w:rsidR="00674977" w:rsidRPr="0089636B">
        <w:rPr>
          <w:color w:val="000000"/>
          <w:spacing w:val="-2"/>
          <w:lang w:val="fr-CH"/>
        </w:rPr>
        <w:t>Voir le paragraphe</w:t>
      </w:r>
      <w:r w:rsidR="00251FF7" w:rsidRPr="0089636B">
        <w:rPr>
          <w:color w:val="000000"/>
          <w:spacing w:val="-2"/>
          <w:lang w:val="fr-CH"/>
        </w:rPr>
        <w:t> </w:t>
      </w:r>
      <w:r w:rsidR="00B96626">
        <w:rPr>
          <w:color w:val="000000"/>
          <w:spacing w:val="-2"/>
          <w:lang w:val="fr-CH"/>
        </w:rPr>
        <w:t>2</w:t>
      </w:r>
      <w:r w:rsidR="00674977" w:rsidRPr="0089636B">
        <w:rPr>
          <w:color w:val="000000"/>
          <w:spacing w:val="-2"/>
          <w:lang w:val="fr-CH"/>
        </w:rPr>
        <w:t>2</w:t>
      </w:r>
      <w:r w:rsidR="00251FF7" w:rsidRPr="0089636B">
        <w:rPr>
          <w:color w:val="000000"/>
          <w:spacing w:val="-2"/>
          <w:lang w:val="fr-CH"/>
        </w:rPr>
        <w:t xml:space="preserve"> </w:t>
      </w:r>
      <w:r w:rsidR="008A1625">
        <w:rPr>
          <w:color w:val="000000"/>
          <w:spacing w:val="-2"/>
          <w:lang w:val="fr-CH"/>
        </w:rPr>
        <w:t>“</w:t>
      </w:r>
      <w:r w:rsidR="00251FF7" w:rsidRPr="0089636B">
        <w:rPr>
          <w:color w:val="000000"/>
          <w:spacing w:val="-2"/>
          <w:lang w:val="fr-CH"/>
        </w:rPr>
        <w:t>Transformation</w:t>
      </w:r>
      <w:r w:rsidR="008A1625">
        <w:rPr>
          <w:color w:val="000000"/>
          <w:spacing w:val="-2"/>
          <w:lang w:val="fr-CH"/>
        </w:rPr>
        <w:t>”</w:t>
      </w:r>
      <w:r w:rsidR="00251FF7" w:rsidRPr="0089636B">
        <w:rPr>
          <w:color w:val="000000"/>
          <w:spacing w:val="-2"/>
          <w:lang w:val="fr-CH"/>
        </w:rPr>
        <w:t xml:space="preserve">, à la </w:t>
      </w:r>
      <w:r w:rsidR="00674977" w:rsidRPr="0089636B">
        <w:rPr>
          <w:color w:val="000000"/>
          <w:spacing w:val="-2"/>
          <w:lang w:val="fr-CH"/>
        </w:rPr>
        <w:t>page</w:t>
      </w:r>
      <w:r w:rsidR="00251FF7" w:rsidRPr="0089636B">
        <w:rPr>
          <w:color w:val="000000"/>
          <w:spacing w:val="-2"/>
          <w:lang w:val="fr-CH"/>
        </w:rPr>
        <w:t> </w:t>
      </w:r>
      <w:r w:rsidR="00674977" w:rsidRPr="0089636B">
        <w:rPr>
          <w:color w:val="000000"/>
          <w:spacing w:val="-2"/>
          <w:lang w:val="fr-CH"/>
        </w:rPr>
        <w:t>1</w:t>
      </w:r>
      <w:r w:rsidR="002333A7">
        <w:rPr>
          <w:color w:val="000000"/>
          <w:spacing w:val="-2"/>
          <w:lang w:val="fr-CH"/>
        </w:rPr>
        <w:t>1</w:t>
      </w:r>
      <w:r w:rsidR="00674977" w:rsidRPr="0089636B">
        <w:rPr>
          <w:color w:val="000000"/>
          <w:spacing w:val="-2"/>
          <w:lang w:val="fr-CH"/>
        </w:rPr>
        <w:t xml:space="preserve"> de l</w:t>
      </w:r>
      <w:r w:rsidR="008A1625">
        <w:rPr>
          <w:color w:val="000000"/>
          <w:spacing w:val="-2"/>
          <w:lang w:val="fr-CH"/>
        </w:rPr>
        <w:t>’</w:t>
      </w:r>
      <w:r w:rsidR="00674977" w:rsidRPr="0089636B">
        <w:rPr>
          <w:color w:val="000000"/>
          <w:spacing w:val="-2"/>
          <w:lang w:val="fr-CH"/>
        </w:rPr>
        <w:t>annexe</w:t>
      </w:r>
      <w:r w:rsidR="00251FF7" w:rsidRPr="0089636B">
        <w:rPr>
          <w:color w:val="000000"/>
          <w:spacing w:val="-2"/>
          <w:lang w:val="fr-CH"/>
        </w:rPr>
        <w:t> </w:t>
      </w:r>
      <w:r w:rsidR="00674977" w:rsidRPr="0089636B">
        <w:rPr>
          <w:color w:val="000000"/>
          <w:spacing w:val="-2"/>
          <w:lang w:val="fr-CH"/>
        </w:rPr>
        <w:t xml:space="preserve">II du </w:t>
      </w:r>
      <w:r w:rsidR="008A1625">
        <w:rPr>
          <w:color w:val="000000"/>
          <w:spacing w:val="-2"/>
          <w:lang w:val="fr-CH"/>
        </w:rPr>
        <w:t>“</w:t>
      </w:r>
      <w:r w:rsidR="00674977" w:rsidRPr="0089636B">
        <w:rPr>
          <w:color w:val="000000"/>
          <w:spacing w:val="-2"/>
          <w:lang w:val="fr-CH"/>
        </w:rPr>
        <w:t>kit d</w:t>
      </w:r>
      <w:r w:rsidR="008A1625">
        <w:rPr>
          <w:color w:val="000000"/>
          <w:spacing w:val="-2"/>
          <w:lang w:val="fr-CH"/>
        </w:rPr>
        <w:t>’</w:t>
      </w:r>
      <w:r w:rsidR="00674977" w:rsidRPr="0089636B">
        <w:rPr>
          <w:color w:val="000000"/>
          <w:spacing w:val="-2"/>
          <w:lang w:val="fr-CH"/>
        </w:rPr>
        <w:t>adhésion</w:t>
      </w:r>
      <w:r w:rsidR="008A1625">
        <w:rPr>
          <w:color w:val="000000"/>
          <w:spacing w:val="-2"/>
          <w:lang w:val="fr-CH"/>
        </w:rPr>
        <w:t>”</w:t>
      </w:r>
      <w:r w:rsidR="00674977" w:rsidRPr="0089636B">
        <w:rPr>
          <w:color w:val="000000"/>
          <w:spacing w:val="-2"/>
          <w:lang w:val="fr-CH"/>
        </w:rPr>
        <w:t>, à l</w:t>
      </w:r>
      <w:r w:rsidR="008A1625">
        <w:rPr>
          <w:color w:val="000000"/>
          <w:spacing w:val="-2"/>
          <w:lang w:val="fr-CH"/>
        </w:rPr>
        <w:t>’</w:t>
      </w:r>
      <w:r w:rsidR="00674977" w:rsidRPr="0089636B">
        <w:rPr>
          <w:color w:val="000000"/>
          <w:spacing w:val="-2"/>
          <w:lang w:val="fr-CH"/>
        </w:rPr>
        <w:t xml:space="preserve">adresse </w:t>
      </w:r>
      <w:r w:rsidR="00674977" w:rsidRPr="00A843AE">
        <w:rPr>
          <w:color w:val="000000"/>
          <w:spacing w:val="-2"/>
          <w:u w:val="single"/>
          <w:lang w:val="fr-CH"/>
        </w:rPr>
        <w:t>www.wipo.int/export/sites/www/madrid/fr/contracting_parties/pdf/accession_kit.pdf</w:t>
      </w:r>
      <w:r w:rsidR="00674977" w:rsidRPr="0089636B">
        <w:rPr>
          <w:color w:val="000000"/>
          <w:spacing w:val="-2"/>
          <w:lang w:val="fr-CH"/>
        </w:rPr>
        <w:t>.</w:t>
      </w:r>
      <w:r w:rsidRPr="0089636B">
        <w:rPr>
          <w:color w:val="000000"/>
          <w:spacing w:val="-2"/>
          <w:lang w:val="fr-CH"/>
        </w:rPr>
        <w:t xml:space="preserve">  </w:t>
      </w:r>
      <w:r w:rsidR="00674977" w:rsidRPr="0089636B">
        <w:rPr>
          <w:color w:val="000000"/>
          <w:spacing w:val="-2"/>
          <w:lang w:val="fr-CH"/>
        </w:rPr>
        <w:t>La disposition type sur la transformation est ainsi libellée</w:t>
      </w:r>
      <w:r w:rsidR="006B10DF" w:rsidRPr="0089636B">
        <w:rPr>
          <w:color w:val="000000"/>
          <w:spacing w:val="-2"/>
          <w:lang w:val="fr-CH"/>
        </w:rPr>
        <w:t> :</w:t>
      </w:r>
      <w:r w:rsidRPr="0089636B">
        <w:rPr>
          <w:spacing w:val="-2"/>
          <w:lang w:val="fr-CH"/>
        </w:rPr>
        <w:t xml:space="preserve"> </w:t>
      </w:r>
    </w:p>
    <w:p w:rsidR="00674977" w:rsidRPr="0089636B" w:rsidRDefault="00674977">
      <w:pPr>
        <w:pStyle w:val="FootnoteText"/>
        <w:rPr>
          <w:spacing w:val="-2"/>
          <w:sz w:val="12"/>
          <w:lang w:val="fr-CH"/>
        </w:rPr>
      </w:pPr>
    </w:p>
    <w:p w:rsidR="00674977" w:rsidRPr="0089636B" w:rsidRDefault="003316A8" w:rsidP="007D7801">
      <w:pPr>
        <w:pStyle w:val="FootnoteText"/>
        <w:ind w:left="567"/>
        <w:rPr>
          <w:spacing w:val="-2"/>
          <w:lang w:val="fr-CH"/>
        </w:rPr>
      </w:pPr>
      <w:r>
        <w:rPr>
          <w:spacing w:val="-2"/>
          <w:lang w:val="fr-CH"/>
        </w:rPr>
        <w:tab/>
      </w:r>
      <w:r w:rsidR="008A1625">
        <w:rPr>
          <w:spacing w:val="-2"/>
          <w:lang w:val="fr-CH"/>
        </w:rPr>
        <w:t>“</w:t>
      </w:r>
      <w:r w:rsidR="00D41F12" w:rsidRPr="0089636B">
        <w:rPr>
          <w:spacing w:val="-2"/>
          <w:lang w:val="fr-CH"/>
        </w:rPr>
        <w:t>1)</w:t>
      </w:r>
      <w:r w:rsidR="00D41F12" w:rsidRPr="0089636B">
        <w:rPr>
          <w:spacing w:val="-2"/>
          <w:lang w:val="fr-CH"/>
        </w:rPr>
        <w:tab/>
        <w:t>a)</w:t>
      </w:r>
      <w:r w:rsidR="00D41F12" w:rsidRPr="0089636B">
        <w:rPr>
          <w:spacing w:val="-2"/>
          <w:lang w:val="fr-CH"/>
        </w:rPr>
        <w:tab/>
        <w:t>Lorsqu</w:t>
      </w:r>
      <w:r w:rsidR="008A1625">
        <w:rPr>
          <w:spacing w:val="-2"/>
          <w:lang w:val="fr-CH"/>
        </w:rPr>
        <w:t>’</w:t>
      </w:r>
      <w:r w:rsidR="00D41F12" w:rsidRPr="0089636B">
        <w:rPr>
          <w:spacing w:val="-2"/>
          <w:lang w:val="fr-CH"/>
        </w:rPr>
        <w:t>un enregistrement international désignant [nom du pays ou de l</w:t>
      </w:r>
      <w:r w:rsidR="008A1625">
        <w:rPr>
          <w:spacing w:val="-2"/>
          <w:lang w:val="fr-CH"/>
        </w:rPr>
        <w:t>’</w:t>
      </w:r>
      <w:r w:rsidR="00D41F12" w:rsidRPr="0089636B">
        <w:rPr>
          <w:spacing w:val="-2"/>
          <w:lang w:val="fr-CH"/>
        </w:rPr>
        <w:t>organisation intergouvernementale] est radié à la demande de l</w:t>
      </w:r>
      <w:r w:rsidR="008A1625">
        <w:rPr>
          <w:spacing w:val="-2"/>
          <w:lang w:val="fr-CH"/>
        </w:rPr>
        <w:t>’</w:t>
      </w:r>
      <w:r w:rsidR="00D41F12" w:rsidRPr="0089636B">
        <w:rPr>
          <w:spacing w:val="-2"/>
          <w:lang w:val="fr-CH"/>
        </w:rPr>
        <w:t>Office d</w:t>
      </w:r>
      <w:r w:rsidR="008A1625">
        <w:rPr>
          <w:spacing w:val="-2"/>
          <w:lang w:val="fr-CH"/>
        </w:rPr>
        <w:t>’</w:t>
      </w:r>
      <w:r w:rsidR="00D41F12" w:rsidRPr="0089636B">
        <w:rPr>
          <w:spacing w:val="-2"/>
          <w:lang w:val="fr-CH"/>
        </w:rPr>
        <w:t>origine, conformément à l</w:t>
      </w:r>
      <w:r w:rsidR="008A1625">
        <w:rPr>
          <w:spacing w:val="-2"/>
          <w:lang w:val="fr-CH"/>
        </w:rPr>
        <w:t>’</w:t>
      </w:r>
      <w:r w:rsidR="00D41F12" w:rsidRPr="0089636B">
        <w:rPr>
          <w:spacing w:val="-2"/>
          <w:lang w:val="fr-CH"/>
        </w:rPr>
        <w:t>article</w:t>
      </w:r>
      <w:r w:rsidR="0038089C" w:rsidRPr="0089636B">
        <w:rPr>
          <w:spacing w:val="-2"/>
          <w:lang w:val="fr-CH"/>
        </w:rPr>
        <w:t> </w:t>
      </w:r>
      <w:r w:rsidR="00D41F12" w:rsidRPr="0089636B">
        <w:rPr>
          <w:spacing w:val="-2"/>
          <w:lang w:val="fr-CH"/>
        </w:rPr>
        <w:t xml:space="preserve">6.4) du Protocole de Madrid, </w:t>
      </w:r>
      <w:r w:rsidR="006B10DF" w:rsidRPr="0089636B">
        <w:rPr>
          <w:spacing w:val="-2"/>
          <w:lang w:val="fr-CH"/>
        </w:rPr>
        <w:t>à l</w:t>
      </w:r>
      <w:r w:rsidR="008A1625">
        <w:rPr>
          <w:spacing w:val="-2"/>
          <w:lang w:val="fr-CH"/>
        </w:rPr>
        <w:t>’</w:t>
      </w:r>
      <w:r w:rsidR="006B10DF" w:rsidRPr="0089636B">
        <w:rPr>
          <w:spacing w:val="-2"/>
          <w:lang w:val="fr-CH"/>
        </w:rPr>
        <w:t>égard</w:t>
      </w:r>
      <w:r w:rsidR="00D41F12" w:rsidRPr="0089636B">
        <w:rPr>
          <w:spacing w:val="-2"/>
          <w:lang w:val="fr-CH"/>
        </w:rPr>
        <w:t xml:space="preserve"> de la totalité ou d</w:t>
      </w:r>
      <w:r w:rsidR="008A1625">
        <w:rPr>
          <w:spacing w:val="-2"/>
          <w:lang w:val="fr-CH"/>
        </w:rPr>
        <w:t>’</w:t>
      </w:r>
      <w:r w:rsidR="00D41F12" w:rsidRPr="0089636B">
        <w:rPr>
          <w:spacing w:val="-2"/>
          <w:lang w:val="fr-CH"/>
        </w:rPr>
        <w:t>une partie des produits et des services énumérés dans l</w:t>
      </w:r>
      <w:r w:rsidR="008A1625">
        <w:rPr>
          <w:spacing w:val="-2"/>
          <w:lang w:val="fr-CH"/>
        </w:rPr>
        <w:t>’</w:t>
      </w:r>
      <w:r w:rsidR="00D41F12" w:rsidRPr="0089636B">
        <w:rPr>
          <w:spacing w:val="-2"/>
          <w:lang w:val="fr-CH"/>
        </w:rPr>
        <w:t>enregistrement international, une demande d</w:t>
      </w:r>
      <w:r w:rsidR="008A1625">
        <w:rPr>
          <w:spacing w:val="-2"/>
          <w:lang w:val="fr-CH"/>
        </w:rPr>
        <w:t>’</w:t>
      </w:r>
      <w:r w:rsidR="00D41F12" w:rsidRPr="0089636B">
        <w:rPr>
          <w:spacing w:val="-2"/>
          <w:lang w:val="fr-CH"/>
        </w:rPr>
        <w:t>enregistrement portant sur la même marque (ci</w:t>
      </w:r>
      <w:r w:rsidR="006B7734" w:rsidRPr="0089636B">
        <w:rPr>
          <w:spacing w:val="-2"/>
          <w:lang w:val="fr-CH"/>
        </w:rPr>
        <w:noBreakHyphen/>
      </w:r>
      <w:r w:rsidR="00D41F12" w:rsidRPr="0089636B">
        <w:rPr>
          <w:spacing w:val="-2"/>
          <w:lang w:val="fr-CH"/>
        </w:rPr>
        <w:t xml:space="preserve">après dénommée </w:t>
      </w:r>
      <w:r w:rsidR="008A1625">
        <w:rPr>
          <w:spacing w:val="-2"/>
          <w:lang w:val="fr-CH"/>
        </w:rPr>
        <w:t>“</w:t>
      </w:r>
      <w:r w:rsidR="00D41F12" w:rsidRPr="0089636B">
        <w:rPr>
          <w:spacing w:val="-2"/>
          <w:lang w:val="fr-CH"/>
        </w:rPr>
        <w:t>demande résultant d</w:t>
      </w:r>
      <w:r w:rsidR="008A1625">
        <w:rPr>
          <w:spacing w:val="-2"/>
          <w:lang w:val="fr-CH"/>
        </w:rPr>
        <w:t>’</w:t>
      </w:r>
      <w:r w:rsidR="00D41F12" w:rsidRPr="0089636B">
        <w:rPr>
          <w:spacing w:val="-2"/>
          <w:lang w:val="fr-CH"/>
        </w:rPr>
        <w:t>une transformation</w:t>
      </w:r>
      <w:r w:rsidR="008A1625">
        <w:rPr>
          <w:spacing w:val="-2"/>
          <w:lang w:val="fr-CH"/>
        </w:rPr>
        <w:t>”</w:t>
      </w:r>
      <w:r w:rsidR="00D41F12" w:rsidRPr="0089636B">
        <w:rPr>
          <w:spacing w:val="-2"/>
          <w:lang w:val="fr-CH"/>
        </w:rPr>
        <w:t>) peut être déposée auprès du [Directeur de l</w:t>
      </w:r>
      <w:r w:rsidR="008A1625">
        <w:rPr>
          <w:spacing w:val="-2"/>
          <w:lang w:val="fr-CH"/>
        </w:rPr>
        <w:t>’</w:t>
      </w:r>
      <w:r w:rsidR="00D41F12" w:rsidRPr="0089636B">
        <w:rPr>
          <w:spacing w:val="-2"/>
          <w:lang w:val="fr-CH"/>
        </w:rPr>
        <w:t>enregistrement] dans les trois</w:t>
      </w:r>
      <w:r w:rsidR="0038089C" w:rsidRPr="0089636B">
        <w:rPr>
          <w:spacing w:val="-2"/>
          <w:lang w:val="fr-CH"/>
        </w:rPr>
        <w:t> </w:t>
      </w:r>
      <w:r w:rsidR="00D41F12" w:rsidRPr="0089636B">
        <w:rPr>
          <w:spacing w:val="-2"/>
          <w:lang w:val="fr-CH"/>
        </w:rPr>
        <w:t>mois à compter de la date à laquelle l</w:t>
      </w:r>
      <w:r w:rsidR="008A1625">
        <w:rPr>
          <w:spacing w:val="-2"/>
          <w:lang w:val="fr-CH"/>
        </w:rPr>
        <w:t>’</w:t>
      </w:r>
      <w:r w:rsidR="00D41F12" w:rsidRPr="0089636B">
        <w:rPr>
          <w:spacing w:val="-2"/>
          <w:lang w:val="fr-CH"/>
        </w:rPr>
        <w:t>enregistrement international a été radié, par la personne qui était le titulaire de l</w:t>
      </w:r>
      <w:r w:rsidR="008A1625">
        <w:rPr>
          <w:spacing w:val="-2"/>
          <w:lang w:val="fr-CH"/>
        </w:rPr>
        <w:t>’</w:t>
      </w:r>
      <w:r w:rsidR="00D41F12" w:rsidRPr="0089636B">
        <w:rPr>
          <w:spacing w:val="-2"/>
          <w:lang w:val="fr-CH"/>
        </w:rPr>
        <w:t xml:space="preserve">enregistrement international à la date de sa radiation, </w:t>
      </w:r>
      <w:r w:rsidR="006B10DF" w:rsidRPr="0089636B">
        <w:rPr>
          <w:spacing w:val="-2"/>
          <w:lang w:val="fr-CH"/>
        </w:rPr>
        <w:t>à l</w:t>
      </w:r>
      <w:r w:rsidR="008A1625">
        <w:rPr>
          <w:spacing w:val="-2"/>
          <w:lang w:val="fr-CH"/>
        </w:rPr>
        <w:t>’</w:t>
      </w:r>
      <w:r w:rsidR="006B10DF" w:rsidRPr="0089636B">
        <w:rPr>
          <w:spacing w:val="-2"/>
          <w:lang w:val="fr-CH"/>
        </w:rPr>
        <w:t>égard</w:t>
      </w:r>
      <w:r w:rsidR="00D41F12" w:rsidRPr="0089636B">
        <w:rPr>
          <w:spacing w:val="-2"/>
          <w:lang w:val="fr-CH"/>
        </w:rPr>
        <w:t xml:space="preserve"> des produits et des services couverts par la liste des produits et des services figurant dans l</w:t>
      </w:r>
      <w:r w:rsidR="008A1625">
        <w:rPr>
          <w:spacing w:val="-2"/>
          <w:lang w:val="fr-CH"/>
        </w:rPr>
        <w:t>’</w:t>
      </w:r>
      <w:r w:rsidR="00D41F12" w:rsidRPr="0089636B">
        <w:rPr>
          <w:spacing w:val="-2"/>
          <w:lang w:val="fr-CH"/>
        </w:rPr>
        <w:t>enregistrement international.</w:t>
      </w:r>
      <w:r w:rsidR="00145A77" w:rsidRPr="0089636B">
        <w:rPr>
          <w:spacing w:val="-2"/>
          <w:lang w:val="fr-CH"/>
        </w:rPr>
        <w:t xml:space="preserve">  </w:t>
      </w:r>
    </w:p>
    <w:p w:rsidR="00674977" w:rsidRPr="0089636B" w:rsidRDefault="003316A8" w:rsidP="007D7801">
      <w:pPr>
        <w:pStyle w:val="FootnoteText"/>
        <w:ind w:left="567"/>
        <w:rPr>
          <w:spacing w:val="-2"/>
          <w:lang w:val="fr-CH"/>
        </w:rPr>
      </w:pPr>
      <w:r>
        <w:rPr>
          <w:spacing w:val="-2"/>
          <w:lang w:val="fr-CH"/>
        </w:rPr>
        <w:tab/>
      </w:r>
      <w:r w:rsidR="00145A77" w:rsidRPr="0089636B">
        <w:rPr>
          <w:spacing w:val="-2"/>
          <w:lang w:val="fr-CH"/>
        </w:rPr>
        <w:tab/>
      </w:r>
      <w:r w:rsidR="008A1625">
        <w:rPr>
          <w:spacing w:val="-2"/>
          <w:lang w:val="fr-CH"/>
        </w:rPr>
        <w:t>“</w:t>
      </w:r>
      <w:r w:rsidR="00D41F12" w:rsidRPr="0089636B">
        <w:rPr>
          <w:spacing w:val="-2"/>
          <w:lang w:val="fr-CH"/>
        </w:rPr>
        <w:t>b)</w:t>
      </w:r>
      <w:r w:rsidR="00D41F12" w:rsidRPr="0089636B">
        <w:rPr>
          <w:spacing w:val="-2"/>
          <w:lang w:val="fr-CH"/>
        </w:rPr>
        <w:tab/>
        <w:t>Sous réserve des alinéas</w:t>
      </w:r>
      <w:r w:rsidR="0038089C" w:rsidRPr="0089636B">
        <w:rPr>
          <w:spacing w:val="-2"/>
          <w:lang w:val="fr-CH"/>
        </w:rPr>
        <w:t> </w:t>
      </w:r>
      <w:r w:rsidR="00D41F12" w:rsidRPr="0089636B">
        <w:rPr>
          <w:spacing w:val="-2"/>
          <w:lang w:val="fr-CH"/>
        </w:rPr>
        <w:t>2) et</w:t>
      </w:r>
      <w:r w:rsidR="0038089C" w:rsidRPr="0089636B">
        <w:rPr>
          <w:spacing w:val="-2"/>
          <w:lang w:val="fr-CH"/>
        </w:rPr>
        <w:t> </w:t>
      </w:r>
      <w:r w:rsidR="00D41F12" w:rsidRPr="0089636B">
        <w:rPr>
          <w:spacing w:val="-2"/>
          <w:lang w:val="fr-CH"/>
        </w:rPr>
        <w:t>3), les dispositions applicables à une demande d</w:t>
      </w:r>
      <w:r w:rsidR="008A1625">
        <w:rPr>
          <w:spacing w:val="-2"/>
          <w:lang w:val="fr-CH"/>
        </w:rPr>
        <w:t>’</w:t>
      </w:r>
      <w:r w:rsidR="00D41F12" w:rsidRPr="0089636B">
        <w:rPr>
          <w:spacing w:val="-2"/>
          <w:lang w:val="fr-CH"/>
        </w:rPr>
        <w:t>enregistrement déposée directement auprès du [Directeur de l</w:t>
      </w:r>
      <w:r w:rsidR="008A1625">
        <w:rPr>
          <w:spacing w:val="-2"/>
          <w:lang w:val="fr-CH"/>
        </w:rPr>
        <w:t>’</w:t>
      </w:r>
      <w:r w:rsidR="00D41F12" w:rsidRPr="0089636B">
        <w:rPr>
          <w:spacing w:val="-2"/>
          <w:lang w:val="fr-CH"/>
        </w:rPr>
        <w:t xml:space="preserve">enregistrement] sont applicables </w:t>
      </w:r>
      <w:r w:rsidR="00D41F12" w:rsidRPr="0031123E">
        <w:rPr>
          <w:i/>
          <w:spacing w:val="-2"/>
          <w:lang w:val="fr-CH"/>
          <w:rPrChange w:id="5" w:author="MLD" w:date="2018-04-27T15:23:00Z">
            <w:rPr>
              <w:spacing w:val="-2"/>
              <w:lang w:val="fr-CH"/>
            </w:rPr>
          </w:rPrChange>
        </w:rPr>
        <w:t>mutatis mutandis</w:t>
      </w:r>
      <w:r w:rsidR="00D41F12" w:rsidRPr="0089636B">
        <w:rPr>
          <w:spacing w:val="-2"/>
          <w:lang w:val="fr-CH"/>
        </w:rPr>
        <w:t xml:space="preserve"> à une demande résultant d</w:t>
      </w:r>
      <w:r w:rsidR="008A1625">
        <w:rPr>
          <w:spacing w:val="-2"/>
          <w:lang w:val="fr-CH"/>
        </w:rPr>
        <w:t>’</w:t>
      </w:r>
      <w:r w:rsidR="00D41F12" w:rsidRPr="0089636B">
        <w:rPr>
          <w:spacing w:val="-2"/>
          <w:lang w:val="fr-CH"/>
        </w:rPr>
        <w:t>une transformation.</w:t>
      </w:r>
      <w:r w:rsidR="00145A77" w:rsidRPr="0089636B">
        <w:rPr>
          <w:spacing w:val="-2"/>
          <w:lang w:val="fr-CH"/>
        </w:rPr>
        <w:t xml:space="preserve">  </w:t>
      </w:r>
    </w:p>
    <w:p w:rsidR="00674977" w:rsidRPr="0089636B" w:rsidRDefault="00674977" w:rsidP="007D7801">
      <w:pPr>
        <w:pStyle w:val="FootnoteText"/>
        <w:ind w:left="567"/>
        <w:rPr>
          <w:spacing w:val="-2"/>
          <w:sz w:val="12"/>
          <w:lang w:val="fr-CH"/>
        </w:rPr>
      </w:pPr>
    </w:p>
    <w:p w:rsidR="00674977" w:rsidRPr="0089636B" w:rsidRDefault="003316A8" w:rsidP="007D7801">
      <w:pPr>
        <w:pStyle w:val="FootnoteText"/>
        <w:ind w:left="567"/>
        <w:rPr>
          <w:spacing w:val="-2"/>
          <w:lang w:val="fr-CH"/>
        </w:rPr>
      </w:pPr>
      <w:r>
        <w:rPr>
          <w:spacing w:val="-2"/>
          <w:lang w:val="fr-CH"/>
        </w:rPr>
        <w:tab/>
      </w:r>
      <w:r w:rsidR="008A1625">
        <w:rPr>
          <w:spacing w:val="-2"/>
          <w:lang w:val="fr-CH"/>
        </w:rPr>
        <w:t>“</w:t>
      </w:r>
      <w:r w:rsidR="00D41F12" w:rsidRPr="0089636B">
        <w:rPr>
          <w:spacing w:val="-2"/>
          <w:lang w:val="fr-CH"/>
        </w:rPr>
        <w:t>2)</w:t>
      </w:r>
      <w:r w:rsidR="00D41F12" w:rsidRPr="0089636B">
        <w:rPr>
          <w:spacing w:val="-2"/>
          <w:lang w:val="fr-CH"/>
        </w:rPr>
        <w:tab/>
      </w:r>
      <w:proofErr w:type="gramStart"/>
      <w:r w:rsidR="00D41F12" w:rsidRPr="0089636B">
        <w:rPr>
          <w:spacing w:val="-2"/>
          <w:lang w:val="fr-CH"/>
        </w:rPr>
        <w:t>a</w:t>
      </w:r>
      <w:proofErr w:type="gramEnd"/>
      <w:r w:rsidR="00D41F12" w:rsidRPr="0089636B">
        <w:rPr>
          <w:spacing w:val="-2"/>
          <w:lang w:val="fr-CH"/>
        </w:rPr>
        <w:t>)</w:t>
      </w:r>
      <w:r w:rsidR="00D41F12" w:rsidRPr="0089636B">
        <w:rPr>
          <w:spacing w:val="-2"/>
          <w:lang w:val="fr-CH"/>
        </w:rPr>
        <w:tab/>
        <w:t>Toute demande résultant d</w:t>
      </w:r>
      <w:r w:rsidR="008A1625">
        <w:rPr>
          <w:spacing w:val="-2"/>
          <w:lang w:val="fr-CH"/>
        </w:rPr>
        <w:t>’</w:t>
      </w:r>
      <w:r w:rsidR="00D41F12" w:rsidRPr="0089636B">
        <w:rPr>
          <w:spacing w:val="-2"/>
          <w:lang w:val="fr-CH"/>
        </w:rPr>
        <w:t>une transformation doit être présentée au moyen du formulaire</w:t>
      </w:r>
      <w:r w:rsidR="007B363F" w:rsidRPr="0089636B">
        <w:rPr>
          <w:spacing w:val="-2"/>
          <w:lang w:val="fr-CH"/>
        </w:rPr>
        <w:t> </w:t>
      </w:r>
      <w:r w:rsidR="00D41F12" w:rsidRPr="0089636B">
        <w:rPr>
          <w:spacing w:val="-2"/>
          <w:lang w:val="fr-CH"/>
        </w:rPr>
        <w:t>[…] et doit, en</w:t>
      </w:r>
      <w:r w:rsidR="00001D9B">
        <w:rPr>
          <w:spacing w:val="-2"/>
          <w:lang w:val="fr-CH"/>
        </w:rPr>
        <w:t> </w:t>
      </w:r>
      <w:r w:rsidR="00D41F12" w:rsidRPr="0089636B">
        <w:rPr>
          <w:spacing w:val="-2"/>
          <w:lang w:val="fr-CH"/>
        </w:rPr>
        <w:t>outre, comporter les éléments suivants</w:t>
      </w:r>
      <w:r w:rsidR="006B10DF" w:rsidRPr="0089636B">
        <w:rPr>
          <w:spacing w:val="-2"/>
          <w:lang w:val="fr-CH"/>
        </w:rPr>
        <w:t> :</w:t>
      </w:r>
      <w:r w:rsidR="00145A77" w:rsidRPr="0089636B">
        <w:rPr>
          <w:spacing w:val="-2"/>
          <w:lang w:val="fr-CH"/>
        </w:rPr>
        <w:t xml:space="preserve"> </w:t>
      </w:r>
    </w:p>
    <w:p w:rsidR="00674977" w:rsidRPr="0089636B" w:rsidRDefault="00145A77" w:rsidP="007D7801">
      <w:pPr>
        <w:pStyle w:val="FootnoteText"/>
        <w:ind w:left="567"/>
        <w:rPr>
          <w:spacing w:val="-2"/>
          <w:lang w:val="fr-CH"/>
        </w:rPr>
      </w:pPr>
      <w:r w:rsidRPr="0089636B">
        <w:rPr>
          <w:spacing w:val="-2"/>
          <w:lang w:val="fr-CH"/>
        </w:rPr>
        <w:tab/>
      </w:r>
      <w:r w:rsidRPr="0089636B">
        <w:rPr>
          <w:spacing w:val="-2"/>
          <w:lang w:val="fr-CH"/>
        </w:rPr>
        <w:tab/>
      </w:r>
      <w:r w:rsidR="008A1625">
        <w:rPr>
          <w:spacing w:val="-2"/>
          <w:lang w:val="fr-CH"/>
        </w:rPr>
        <w:t>“</w:t>
      </w:r>
      <w:r w:rsidR="00D41F12" w:rsidRPr="0089636B">
        <w:rPr>
          <w:spacing w:val="-2"/>
          <w:lang w:val="fr-CH"/>
        </w:rPr>
        <w:t>i)</w:t>
      </w:r>
      <w:r w:rsidR="00D41F12" w:rsidRPr="0089636B">
        <w:rPr>
          <w:spacing w:val="-2"/>
          <w:lang w:val="fr-CH"/>
        </w:rPr>
        <w:tab/>
        <w:t>une déclaration selon laquelle la demande déposée résulte d</w:t>
      </w:r>
      <w:r w:rsidR="008A1625">
        <w:rPr>
          <w:spacing w:val="-2"/>
          <w:lang w:val="fr-CH"/>
        </w:rPr>
        <w:t>’</w:t>
      </w:r>
      <w:r w:rsidR="00D41F12" w:rsidRPr="0089636B">
        <w:rPr>
          <w:spacing w:val="-2"/>
          <w:lang w:val="fr-CH"/>
        </w:rPr>
        <w:t>une transformation,</w:t>
      </w:r>
    </w:p>
    <w:p w:rsidR="00674977" w:rsidRPr="0089636B" w:rsidRDefault="00145A77" w:rsidP="007D7801">
      <w:pPr>
        <w:pStyle w:val="FootnoteText"/>
        <w:ind w:left="567"/>
        <w:rPr>
          <w:spacing w:val="-2"/>
          <w:lang w:val="fr-CH"/>
        </w:rPr>
      </w:pPr>
      <w:r w:rsidRPr="0089636B">
        <w:rPr>
          <w:spacing w:val="-2"/>
          <w:lang w:val="fr-CH"/>
        </w:rPr>
        <w:tab/>
      </w:r>
      <w:r w:rsidRPr="0089636B">
        <w:rPr>
          <w:spacing w:val="-2"/>
          <w:lang w:val="fr-CH"/>
        </w:rPr>
        <w:tab/>
      </w:r>
      <w:r w:rsidR="008A1625">
        <w:rPr>
          <w:spacing w:val="-2"/>
          <w:lang w:val="fr-CH"/>
        </w:rPr>
        <w:t>“</w:t>
      </w:r>
      <w:r w:rsidR="00D41F12" w:rsidRPr="0089636B">
        <w:rPr>
          <w:spacing w:val="-2"/>
          <w:lang w:val="fr-CH"/>
        </w:rPr>
        <w:t>ii)</w:t>
      </w:r>
      <w:r w:rsidR="00D41F12" w:rsidRPr="0089636B">
        <w:rPr>
          <w:spacing w:val="-2"/>
          <w:lang w:val="fr-CH"/>
        </w:rPr>
        <w:tab/>
        <w:t>le numéro de l</w:t>
      </w:r>
      <w:r w:rsidR="008A1625">
        <w:rPr>
          <w:spacing w:val="-2"/>
          <w:lang w:val="fr-CH"/>
        </w:rPr>
        <w:t>’</w:t>
      </w:r>
      <w:r w:rsidR="00D41F12" w:rsidRPr="0089636B">
        <w:rPr>
          <w:spacing w:val="-2"/>
          <w:lang w:val="fr-CH"/>
        </w:rPr>
        <w:t>enregistrement international qui a été radié,</w:t>
      </w:r>
    </w:p>
    <w:p w:rsidR="00674977" w:rsidRPr="0089636B" w:rsidRDefault="00145A77" w:rsidP="007D7801">
      <w:pPr>
        <w:pStyle w:val="FootnoteText"/>
        <w:ind w:left="567"/>
        <w:rPr>
          <w:spacing w:val="-2"/>
          <w:lang w:val="fr-CH"/>
        </w:rPr>
      </w:pPr>
      <w:r w:rsidRPr="0089636B">
        <w:rPr>
          <w:spacing w:val="-2"/>
          <w:lang w:val="fr-CH"/>
        </w:rPr>
        <w:tab/>
      </w:r>
      <w:r w:rsidRPr="0089636B">
        <w:rPr>
          <w:spacing w:val="-2"/>
          <w:lang w:val="fr-CH"/>
        </w:rPr>
        <w:tab/>
      </w:r>
      <w:r w:rsidR="008A1625">
        <w:rPr>
          <w:spacing w:val="-2"/>
          <w:lang w:val="fr-CH"/>
        </w:rPr>
        <w:t>“</w:t>
      </w:r>
      <w:r w:rsidR="00D41F12" w:rsidRPr="0089636B">
        <w:rPr>
          <w:spacing w:val="-2"/>
          <w:lang w:val="fr-CH"/>
        </w:rPr>
        <w:t>iii)</w:t>
      </w:r>
      <w:r w:rsidR="00D41F12" w:rsidRPr="0089636B">
        <w:rPr>
          <w:spacing w:val="-2"/>
          <w:lang w:val="fr-CH"/>
        </w:rPr>
        <w:tab/>
        <w:t>la date dudit enregistrement international ou la date de la désignation postérieure, selon le cas,</w:t>
      </w:r>
    </w:p>
    <w:p w:rsidR="00674977" w:rsidRPr="0089636B" w:rsidRDefault="00145A77" w:rsidP="007D7801">
      <w:pPr>
        <w:pStyle w:val="FootnoteText"/>
        <w:ind w:left="567"/>
        <w:rPr>
          <w:spacing w:val="-2"/>
          <w:lang w:val="fr-CH"/>
        </w:rPr>
      </w:pPr>
      <w:r w:rsidRPr="0089636B">
        <w:rPr>
          <w:spacing w:val="-2"/>
          <w:lang w:val="fr-CH"/>
        </w:rPr>
        <w:tab/>
      </w:r>
      <w:r w:rsidRPr="0089636B">
        <w:rPr>
          <w:spacing w:val="-2"/>
          <w:lang w:val="fr-CH"/>
        </w:rPr>
        <w:tab/>
      </w:r>
      <w:r w:rsidR="008A1625">
        <w:rPr>
          <w:spacing w:val="-2"/>
          <w:lang w:val="fr-CH"/>
        </w:rPr>
        <w:t>“</w:t>
      </w:r>
      <w:r w:rsidR="00D41F12" w:rsidRPr="0089636B">
        <w:rPr>
          <w:spacing w:val="-2"/>
          <w:lang w:val="fr-CH"/>
        </w:rPr>
        <w:t>iv)</w:t>
      </w:r>
      <w:r w:rsidR="00D41F12" w:rsidRPr="0089636B">
        <w:rPr>
          <w:spacing w:val="-2"/>
          <w:lang w:val="fr-CH"/>
        </w:rPr>
        <w:tab/>
        <w:t>la date à laquelle la radiation de l</w:t>
      </w:r>
      <w:r w:rsidR="008A1625">
        <w:rPr>
          <w:spacing w:val="-2"/>
          <w:lang w:val="fr-CH"/>
        </w:rPr>
        <w:t>’</w:t>
      </w:r>
      <w:r w:rsidR="00D41F12" w:rsidRPr="0089636B">
        <w:rPr>
          <w:spacing w:val="-2"/>
          <w:lang w:val="fr-CH"/>
        </w:rPr>
        <w:t>enregistrement international a été inscrite,</w:t>
      </w:r>
    </w:p>
    <w:p w:rsidR="00674977" w:rsidRPr="0089636B" w:rsidRDefault="00145A77" w:rsidP="007D7801">
      <w:pPr>
        <w:pStyle w:val="FootnoteText"/>
        <w:ind w:left="567"/>
        <w:rPr>
          <w:spacing w:val="-2"/>
          <w:lang w:val="fr-CH"/>
        </w:rPr>
      </w:pPr>
      <w:r w:rsidRPr="0089636B">
        <w:rPr>
          <w:spacing w:val="-2"/>
          <w:lang w:val="fr-CH"/>
        </w:rPr>
        <w:tab/>
      </w:r>
      <w:r w:rsidRPr="0089636B">
        <w:rPr>
          <w:spacing w:val="-2"/>
          <w:lang w:val="fr-CH"/>
        </w:rPr>
        <w:tab/>
      </w:r>
      <w:r w:rsidR="008A1625">
        <w:rPr>
          <w:spacing w:val="-2"/>
          <w:lang w:val="fr-CH"/>
        </w:rPr>
        <w:t>“</w:t>
      </w:r>
      <w:r w:rsidR="00D41F12" w:rsidRPr="0089636B">
        <w:rPr>
          <w:spacing w:val="-2"/>
          <w:lang w:val="fr-CH"/>
        </w:rPr>
        <w:t>v)</w:t>
      </w:r>
      <w:r w:rsidR="00D41F12" w:rsidRPr="0089636B">
        <w:rPr>
          <w:spacing w:val="-2"/>
          <w:lang w:val="fr-CH"/>
        </w:rPr>
        <w:tab/>
        <w:t>le cas échéant, la date de toute priorité revendiquée dans la demande internationale et inscrite au registre international.</w:t>
      </w:r>
      <w:r w:rsidRPr="0089636B">
        <w:rPr>
          <w:spacing w:val="-2"/>
          <w:lang w:val="fr-CH"/>
        </w:rPr>
        <w:t xml:space="preserve">  </w:t>
      </w:r>
    </w:p>
    <w:p w:rsidR="00674977" w:rsidRPr="0089636B" w:rsidRDefault="003316A8" w:rsidP="007D7801">
      <w:pPr>
        <w:pStyle w:val="FootnoteText"/>
        <w:ind w:left="567"/>
        <w:rPr>
          <w:spacing w:val="-2"/>
          <w:lang w:val="fr-CH"/>
        </w:rPr>
      </w:pPr>
      <w:r>
        <w:rPr>
          <w:spacing w:val="-2"/>
          <w:lang w:val="fr-CH"/>
        </w:rPr>
        <w:tab/>
      </w:r>
      <w:r w:rsidR="00145A77" w:rsidRPr="0089636B">
        <w:rPr>
          <w:spacing w:val="-2"/>
          <w:lang w:val="fr-CH"/>
        </w:rPr>
        <w:tab/>
      </w:r>
      <w:r w:rsidR="008A1625">
        <w:rPr>
          <w:spacing w:val="-2"/>
          <w:lang w:val="fr-CH"/>
        </w:rPr>
        <w:t>“</w:t>
      </w:r>
      <w:proofErr w:type="gramStart"/>
      <w:r w:rsidR="00D41F12" w:rsidRPr="0089636B">
        <w:rPr>
          <w:spacing w:val="-2"/>
          <w:lang w:val="fr-CH"/>
        </w:rPr>
        <w:t>b</w:t>
      </w:r>
      <w:proofErr w:type="gramEnd"/>
      <w:r w:rsidR="00D41F12" w:rsidRPr="0089636B">
        <w:rPr>
          <w:spacing w:val="-2"/>
          <w:lang w:val="fr-CH"/>
        </w:rPr>
        <w:t>)</w:t>
      </w:r>
      <w:r w:rsidR="00D41F12" w:rsidRPr="0089636B">
        <w:rPr>
          <w:spacing w:val="-2"/>
          <w:lang w:val="fr-CH"/>
        </w:rPr>
        <w:tab/>
        <w:t>Toute demande résultant d</w:t>
      </w:r>
      <w:r w:rsidR="008A1625">
        <w:rPr>
          <w:spacing w:val="-2"/>
          <w:lang w:val="fr-CH"/>
        </w:rPr>
        <w:t>’</w:t>
      </w:r>
      <w:r w:rsidR="00D41F12" w:rsidRPr="0089636B">
        <w:rPr>
          <w:spacing w:val="-2"/>
          <w:lang w:val="fr-CH"/>
        </w:rPr>
        <w:t>une transformation [est soumise au paiement de la [des] taxe[s] de [transformation] prescrite[s]] [est exemptée du paiement d</w:t>
      </w:r>
      <w:r w:rsidR="008A1625">
        <w:rPr>
          <w:spacing w:val="-2"/>
          <w:lang w:val="fr-CH"/>
        </w:rPr>
        <w:t>’</w:t>
      </w:r>
      <w:r w:rsidR="00D41F12" w:rsidRPr="0089636B">
        <w:rPr>
          <w:spacing w:val="-2"/>
          <w:lang w:val="fr-CH"/>
        </w:rPr>
        <w:t>une [de la] taxe [de dépôt standard]].</w:t>
      </w:r>
      <w:r w:rsidR="00145A77" w:rsidRPr="0089636B">
        <w:rPr>
          <w:spacing w:val="-2"/>
          <w:lang w:val="fr-CH"/>
        </w:rPr>
        <w:t xml:space="preserve">  </w:t>
      </w:r>
    </w:p>
    <w:p w:rsidR="00674977" w:rsidRPr="0089636B" w:rsidRDefault="00674977" w:rsidP="007D7801">
      <w:pPr>
        <w:pStyle w:val="FootnoteText"/>
        <w:ind w:left="567"/>
        <w:rPr>
          <w:spacing w:val="-2"/>
          <w:sz w:val="12"/>
          <w:lang w:val="fr-CH"/>
        </w:rPr>
      </w:pPr>
    </w:p>
    <w:p w:rsidR="00674977" w:rsidRPr="0089636B" w:rsidRDefault="003316A8" w:rsidP="007D7801">
      <w:pPr>
        <w:pStyle w:val="FootnoteText"/>
        <w:ind w:left="567"/>
        <w:rPr>
          <w:spacing w:val="-2"/>
          <w:lang w:val="fr-CH"/>
        </w:rPr>
      </w:pPr>
      <w:r>
        <w:rPr>
          <w:spacing w:val="-2"/>
          <w:lang w:val="fr-CH"/>
        </w:rPr>
        <w:tab/>
      </w:r>
      <w:r w:rsidR="008A1625">
        <w:rPr>
          <w:spacing w:val="-2"/>
          <w:lang w:val="fr-CH"/>
        </w:rPr>
        <w:t>“</w:t>
      </w:r>
      <w:r w:rsidR="00D41F12" w:rsidRPr="0089636B">
        <w:rPr>
          <w:spacing w:val="-2"/>
          <w:lang w:val="fr-CH"/>
        </w:rPr>
        <w:t>3)</w:t>
      </w:r>
      <w:r w:rsidR="00D41F12" w:rsidRPr="0089636B">
        <w:rPr>
          <w:spacing w:val="-2"/>
          <w:lang w:val="fr-CH"/>
        </w:rPr>
        <w:tab/>
      </w:r>
      <w:proofErr w:type="gramStart"/>
      <w:r w:rsidR="00D41F12" w:rsidRPr="0089636B">
        <w:rPr>
          <w:spacing w:val="-2"/>
          <w:lang w:val="fr-CH"/>
        </w:rPr>
        <w:t>a</w:t>
      </w:r>
      <w:proofErr w:type="gramEnd"/>
      <w:r w:rsidR="00D41F12" w:rsidRPr="0089636B">
        <w:rPr>
          <w:spacing w:val="-2"/>
          <w:lang w:val="fr-CH"/>
        </w:rPr>
        <w:t>)</w:t>
      </w:r>
      <w:r w:rsidR="00D41F12" w:rsidRPr="0089636B">
        <w:rPr>
          <w:spacing w:val="-2"/>
          <w:lang w:val="fr-CH"/>
        </w:rPr>
        <w:tab/>
        <w:t>Lorsqu</w:t>
      </w:r>
      <w:r w:rsidR="008A1625">
        <w:rPr>
          <w:spacing w:val="-2"/>
          <w:lang w:val="fr-CH"/>
        </w:rPr>
        <w:t>’</w:t>
      </w:r>
      <w:r w:rsidR="00D41F12" w:rsidRPr="0089636B">
        <w:rPr>
          <w:spacing w:val="-2"/>
          <w:lang w:val="fr-CH"/>
        </w:rPr>
        <w:t>une marque faisant l</w:t>
      </w:r>
      <w:r w:rsidR="008A1625">
        <w:rPr>
          <w:spacing w:val="-2"/>
          <w:lang w:val="fr-CH"/>
        </w:rPr>
        <w:t>’</w:t>
      </w:r>
      <w:r w:rsidR="00D41F12" w:rsidRPr="0089636B">
        <w:rPr>
          <w:spacing w:val="-2"/>
          <w:lang w:val="fr-CH"/>
        </w:rPr>
        <w:t>objet d</w:t>
      </w:r>
      <w:r w:rsidR="008A1625">
        <w:rPr>
          <w:spacing w:val="-2"/>
          <w:lang w:val="fr-CH"/>
        </w:rPr>
        <w:t>’</w:t>
      </w:r>
      <w:r w:rsidR="00D41F12" w:rsidRPr="0089636B">
        <w:rPr>
          <w:spacing w:val="-2"/>
          <w:lang w:val="fr-CH"/>
        </w:rPr>
        <w:t>un enregistrement international est devenue protégée dans [nom du pays ou de l</w:t>
      </w:r>
      <w:r w:rsidR="008A1625">
        <w:rPr>
          <w:spacing w:val="-2"/>
          <w:lang w:val="fr-CH"/>
        </w:rPr>
        <w:t>’</w:t>
      </w:r>
      <w:r w:rsidR="00D41F12" w:rsidRPr="0089636B">
        <w:rPr>
          <w:spacing w:val="-2"/>
          <w:lang w:val="fr-CH"/>
        </w:rPr>
        <w:t>organisation intergouvernementale] à la date à laquelle l</w:t>
      </w:r>
      <w:r w:rsidR="008A1625">
        <w:rPr>
          <w:spacing w:val="-2"/>
          <w:lang w:val="fr-CH"/>
        </w:rPr>
        <w:t>’</w:t>
      </w:r>
      <w:r w:rsidR="00D41F12" w:rsidRPr="0089636B">
        <w:rPr>
          <w:spacing w:val="-2"/>
          <w:lang w:val="fr-CH"/>
        </w:rPr>
        <w:t>enregistrement international a été radié ou avant cette date, et pour autant que toutes les exigences applicables aux demandes résultant d</w:t>
      </w:r>
      <w:r w:rsidR="008A1625">
        <w:rPr>
          <w:spacing w:val="-2"/>
          <w:lang w:val="fr-CH"/>
        </w:rPr>
        <w:t>’</w:t>
      </w:r>
      <w:r w:rsidR="00D41F12" w:rsidRPr="0089636B">
        <w:rPr>
          <w:spacing w:val="-2"/>
          <w:lang w:val="fr-CH"/>
        </w:rPr>
        <w:t>une</w:t>
      </w:r>
      <w:r w:rsidR="00D41F12" w:rsidRPr="00B8496B">
        <w:rPr>
          <w:spacing w:val="-2"/>
          <w:shd w:val="clear" w:color="auto" w:fill="FFFFFF" w:themeFill="background1"/>
          <w:lang w:val="fr-CH"/>
          <w:rPrChange w:id="6" w:author="Madrid Registry" w:date="2018-04-30T13:20:00Z">
            <w:rPr>
              <w:spacing w:val="-2"/>
              <w:lang w:val="fr-CH"/>
            </w:rPr>
          </w:rPrChange>
        </w:rPr>
        <w:t xml:space="preserve"> transfor</w:t>
      </w:r>
      <w:r w:rsidR="00D41F12" w:rsidRPr="00B8496B">
        <w:rPr>
          <w:spacing w:val="-2"/>
          <w:lang w:val="fr-CH"/>
        </w:rPr>
        <w:t xml:space="preserve">mation </w:t>
      </w:r>
      <w:r w:rsidR="0038089C" w:rsidRPr="00B8496B">
        <w:rPr>
          <w:spacing w:val="-2"/>
          <w:lang w:val="fr-CH"/>
        </w:rPr>
        <w:t>aie</w:t>
      </w:r>
      <w:r w:rsidR="00D41F12" w:rsidRPr="00B8496B">
        <w:rPr>
          <w:spacing w:val="-2"/>
          <w:lang w:val="fr-CH"/>
        </w:rPr>
        <w:t xml:space="preserve">nt </w:t>
      </w:r>
      <w:r w:rsidR="00D41F12" w:rsidRPr="0089636B">
        <w:rPr>
          <w:spacing w:val="-2"/>
          <w:lang w:val="fr-CH"/>
        </w:rPr>
        <w:t>été remplies, le [Directeur de l</w:t>
      </w:r>
      <w:r w:rsidR="008A1625">
        <w:rPr>
          <w:spacing w:val="-2"/>
          <w:lang w:val="fr-CH"/>
        </w:rPr>
        <w:t>’</w:t>
      </w:r>
      <w:r w:rsidR="00D41F12" w:rsidRPr="0089636B">
        <w:rPr>
          <w:spacing w:val="-2"/>
          <w:lang w:val="fr-CH"/>
        </w:rPr>
        <w:t>enregistrement] procède à l</w:t>
      </w:r>
      <w:r w:rsidR="008A1625">
        <w:rPr>
          <w:spacing w:val="-2"/>
          <w:lang w:val="fr-CH"/>
        </w:rPr>
        <w:t>’</w:t>
      </w:r>
      <w:r w:rsidR="00D41F12" w:rsidRPr="0089636B">
        <w:rPr>
          <w:spacing w:val="-2"/>
          <w:lang w:val="fr-CH"/>
        </w:rPr>
        <w:t>enregistrement de cette marque.</w:t>
      </w:r>
      <w:r w:rsidR="00145A77" w:rsidRPr="0089636B">
        <w:rPr>
          <w:spacing w:val="-2"/>
          <w:lang w:val="fr-CH"/>
        </w:rPr>
        <w:t xml:space="preserve">  </w:t>
      </w:r>
      <w:r w:rsidR="00D41F12" w:rsidRPr="0089636B">
        <w:rPr>
          <w:spacing w:val="-2"/>
          <w:lang w:val="fr-CH"/>
        </w:rPr>
        <w:t>La date de l</w:t>
      </w:r>
      <w:r w:rsidR="008A1625">
        <w:rPr>
          <w:spacing w:val="-2"/>
          <w:lang w:val="fr-CH"/>
        </w:rPr>
        <w:t>’</w:t>
      </w:r>
      <w:r w:rsidR="00D41F12" w:rsidRPr="0089636B">
        <w:rPr>
          <w:spacing w:val="-2"/>
          <w:lang w:val="fr-CH"/>
        </w:rPr>
        <w:t>enregistrement est la date de l</w:t>
      </w:r>
      <w:r w:rsidR="008A1625">
        <w:rPr>
          <w:spacing w:val="-2"/>
          <w:lang w:val="fr-CH"/>
        </w:rPr>
        <w:t>’</w:t>
      </w:r>
      <w:r w:rsidR="00D41F12" w:rsidRPr="0089636B">
        <w:rPr>
          <w:spacing w:val="-2"/>
          <w:lang w:val="fr-CH"/>
        </w:rPr>
        <w:t>enregistrement international radié ou la date de la désignation postérieure, selon le cas, et cet enregistrement jouit de toute priorité dont jouissait l</w:t>
      </w:r>
      <w:r w:rsidR="008A1625">
        <w:rPr>
          <w:spacing w:val="-2"/>
          <w:lang w:val="fr-CH"/>
        </w:rPr>
        <w:t>’</w:t>
      </w:r>
      <w:r w:rsidR="00D41F12" w:rsidRPr="0089636B">
        <w:rPr>
          <w:spacing w:val="-2"/>
          <w:lang w:val="fr-CH"/>
        </w:rPr>
        <w:t>enregistrement international radié.</w:t>
      </w:r>
      <w:r w:rsidR="00145A77" w:rsidRPr="0089636B">
        <w:rPr>
          <w:spacing w:val="-2"/>
          <w:lang w:val="fr-CH"/>
        </w:rPr>
        <w:t xml:space="preserve">  </w:t>
      </w:r>
    </w:p>
    <w:p w:rsidR="00145A77" w:rsidRPr="0089636B" w:rsidRDefault="003316A8" w:rsidP="007D7801">
      <w:pPr>
        <w:pStyle w:val="FootnoteText"/>
        <w:ind w:left="567"/>
        <w:rPr>
          <w:spacing w:val="-2"/>
          <w:lang w:val="fr-CH"/>
        </w:rPr>
      </w:pPr>
      <w:r>
        <w:rPr>
          <w:spacing w:val="-2"/>
          <w:lang w:val="fr-CH"/>
        </w:rPr>
        <w:tab/>
      </w:r>
      <w:r w:rsidR="00145A77" w:rsidRPr="0089636B">
        <w:rPr>
          <w:spacing w:val="-2"/>
          <w:lang w:val="fr-CH"/>
        </w:rPr>
        <w:tab/>
      </w:r>
      <w:r w:rsidR="008A1625">
        <w:rPr>
          <w:spacing w:val="-2"/>
          <w:lang w:val="fr-CH"/>
        </w:rPr>
        <w:t>“</w:t>
      </w:r>
      <w:r w:rsidR="00D41F12" w:rsidRPr="0089636B">
        <w:rPr>
          <w:spacing w:val="-2"/>
          <w:lang w:val="fr-CH"/>
        </w:rPr>
        <w:t>b)</w:t>
      </w:r>
      <w:r w:rsidR="00D41F12" w:rsidRPr="0089636B">
        <w:rPr>
          <w:spacing w:val="-2"/>
          <w:lang w:val="fr-CH"/>
        </w:rPr>
        <w:tab/>
        <w:t>Lorsqu</w:t>
      </w:r>
      <w:r w:rsidR="008A1625">
        <w:rPr>
          <w:spacing w:val="-2"/>
          <w:lang w:val="fr-CH"/>
        </w:rPr>
        <w:t>’</w:t>
      </w:r>
      <w:r w:rsidR="00D41F12" w:rsidRPr="0089636B">
        <w:rPr>
          <w:spacing w:val="-2"/>
          <w:lang w:val="fr-CH"/>
        </w:rPr>
        <w:t>une marque faisant l</w:t>
      </w:r>
      <w:r w:rsidR="008A1625">
        <w:rPr>
          <w:spacing w:val="-2"/>
          <w:lang w:val="fr-CH"/>
        </w:rPr>
        <w:t>’</w:t>
      </w:r>
      <w:r w:rsidR="00D41F12" w:rsidRPr="0089636B">
        <w:rPr>
          <w:spacing w:val="-2"/>
          <w:lang w:val="fr-CH"/>
        </w:rPr>
        <w:t>objet d</w:t>
      </w:r>
      <w:r w:rsidR="008A1625">
        <w:rPr>
          <w:spacing w:val="-2"/>
          <w:lang w:val="fr-CH"/>
        </w:rPr>
        <w:t>’</w:t>
      </w:r>
      <w:r w:rsidR="00D41F12" w:rsidRPr="0089636B">
        <w:rPr>
          <w:spacing w:val="-2"/>
          <w:lang w:val="fr-CH"/>
        </w:rPr>
        <w:t>un enregistrement international n</w:t>
      </w:r>
      <w:r w:rsidR="008A1625">
        <w:rPr>
          <w:spacing w:val="-2"/>
          <w:lang w:val="fr-CH"/>
        </w:rPr>
        <w:t>’</w:t>
      </w:r>
      <w:r w:rsidR="00D41F12" w:rsidRPr="0089636B">
        <w:rPr>
          <w:spacing w:val="-2"/>
          <w:lang w:val="fr-CH"/>
        </w:rPr>
        <w:t>est pas encore devenue protégée dans [nom du pays ou de l</w:t>
      </w:r>
      <w:r w:rsidR="008A1625">
        <w:rPr>
          <w:spacing w:val="-2"/>
          <w:lang w:val="fr-CH"/>
        </w:rPr>
        <w:t>’</w:t>
      </w:r>
      <w:r w:rsidR="00D41F12" w:rsidRPr="0089636B">
        <w:rPr>
          <w:spacing w:val="-2"/>
          <w:lang w:val="fr-CH"/>
        </w:rPr>
        <w:t>organisation intergouvernementale] à la date à laquelle l</w:t>
      </w:r>
      <w:r w:rsidR="008A1625">
        <w:rPr>
          <w:spacing w:val="-2"/>
          <w:lang w:val="fr-CH"/>
        </w:rPr>
        <w:t>’</w:t>
      </w:r>
      <w:r w:rsidR="00D41F12" w:rsidRPr="0089636B">
        <w:rPr>
          <w:spacing w:val="-2"/>
          <w:lang w:val="fr-CH"/>
        </w:rPr>
        <w:t>enregistrement international a été radié ou avant cette date, toute procédure ou mesure déjà mise en œuvre à la date à laquelle une demande résultant d</w:t>
      </w:r>
      <w:r w:rsidR="008A1625">
        <w:rPr>
          <w:spacing w:val="-2"/>
          <w:lang w:val="fr-CH"/>
        </w:rPr>
        <w:t>’</w:t>
      </w:r>
      <w:r w:rsidR="00D41F12" w:rsidRPr="0089636B">
        <w:rPr>
          <w:spacing w:val="-2"/>
          <w:lang w:val="fr-CH"/>
        </w:rPr>
        <w:t>une transformation est déposée aux fins de l</w:t>
      </w:r>
      <w:r w:rsidR="008A1625">
        <w:rPr>
          <w:spacing w:val="-2"/>
          <w:lang w:val="fr-CH"/>
        </w:rPr>
        <w:t>’</w:t>
      </w:r>
      <w:r w:rsidR="00D41F12" w:rsidRPr="0089636B">
        <w:rPr>
          <w:spacing w:val="-2"/>
          <w:lang w:val="fr-CH"/>
        </w:rPr>
        <w:t>enregistrement international ou avant cette date est considérée comme ayant été mise en œuvre aux fins de la demande résultant d</w:t>
      </w:r>
      <w:r w:rsidR="008A1625">
        <w:rPr>
          <w:spacing w:val="-2"/>
          <w:lang w:val="fr-CH"/>
        </w:rPr>
        <w:t>’</w:t>
      </w:r>
      <w:r w:rsidR="00D41F12" w:rsidRPr="0089636B">
        <w:rPr>
          <w:spacing w:val="-2"/>
          <w:lang w:val="fr-CH"/>
        </w:rPr>
        <w:t>une transformation.</w:t>
      </w:r>
      <w:r w:rsidR="00145A77" w:rsidRPr="0089636B">
        <w:rPr>
          <w:spacing w:val="-2"/>
          <w:lang w:val="fr-CH"/>
        </w:rPr>
        <w:t xml:space="preserve">  </w:t>
      </w:r>
      <w:r w:rsidR="00D41F12" w:rsidRPr="0089636B">
        <w:rPr>
          <w:spacing w:val="-2"/>
          <w:lang w:val="fr-CH"/>
        </w:rPr>
        <w:t>La date de dépôt de la</w:t>
      </w:r>
      <w:r w:rsidR="00D41F12" w:rsidRPr="00E45949">
        <w:rPr>
          <w:lang w:val="fr-CH"/>
        </w:rPr>
        <w:t xml:space="preserve"> demande </w:t>
      </w:r>
      <w:r w:rsidR="00D41F12" w:rsidRPr="0089636B">
        <w:rPr>
          <w:spacing w:val="-2"/>
          <w:lang w:val="fr-CH"/>
        </w:rPr>
        <w:t>résultant d</w:t>
      </w:r>
      <w:r w:rsidR="008A1625">
        <w:rPr>
          <w:spacing w:val="-2"/>
          <w:lang w:val="fr-CH"/>
        </w:rPr>
        <w:t>’</w:t>
      </w:r>
      <w:r w:rsidR="00D41F12" w:rsidRPr="0089636B">
        <w:rPr>
          <w:spacing w:val="-2"/>
          <w:lang w:val="fr-CH"/>
        </w:rPr>
        <w:t>une transformation est la date de l</w:t>
      </w:r>
      <w:r w:rsidR="008A1625">
        <w:rPr>
          <w:spacing w:val="-2"/>
          <w:lang w:val="fr-CH"/>
        </w:rPr>
        <w:t>’</w:t>
      </w:r>
      <w:r w:rsidR="00D41F12" w:rsidRPr="0089636B">
        <w:rPr>
          <w:spacing w:val="-2"/>
          <w:lang w:val="fr-CH"/>
        </w:rPr>
        <w:t>enregistrement international ou la date de la désignation postérieure, selon le cas</w:t>
      </w:r>
      <w:r w:rsidR="006B10DF" w:rsidRPr="0089636B">
        <w:rPr>
          <w:spacing w:val="-2"/>
          <w:lang w:val="fr-CH"/>
        </w:rPr>
        <w:t>.</w:t>
      </w:r>
      <w:r w:rsidR="008A1625">
        <w:rPr>
          <w:spacing w:val="-2"/>
          <w:lang w:val="fr-CH"/>
        </w:rPr>
        <w:t>”</w:t>
      </w:r>
    </w:p>
  </w:footnote>
  <w:footnote w:id="8">
    <w:p w:rsidR="008D05B7" w:rsidRPr="00E45949" w:rsidRDefault="008D05B7" w:rsidP="00445008">
      <w:pPr>
        <w:pStyle w:val="FootnoteText"/>
        <w:rPr>
          <w:lang w:val="fr-CH"/>
        </w:rPr>
      </w:pPr>
      <w:r w:rsidRPr="00E45949">
        <w:rPr>
          <w:rStyle w:val="FootnoteReference"/>
        </w:rPr>
        <w:footnoteRef/>
      </w:r>
      <w:r w:rsidRPr="00E45949">
        <w:rPr>
          <w:lang w:val="fr-CH"/>
        </w:rPr>
        <w:t xml:space="preserve"> </w:t>
      </w:r>
      <w:r w:rsidRPr="00E45949">
        <w:rPr>
          <w:lang w:val="fr-CH"/>
        </w:rPr>
        <w:tab/>
      </w:r>
      <w:r w:rsidR="00445008" w:rsidRPr="00E45949">
        <w:rPr>
          <w:lang w:val="fr-CH"/>
        </w:rPr>
        <w:t>La base de données sur les profils des membres du système de Madrid peut être consultée à l</w:t>
      </w:r>
      <w:r w:rsidR="008A1625">
        <w:rPr>
          <w:lang w:val="fr-CH"/>
        </w:rPr>
        <w:t>’</w:t>
      </w:r>
      <w:r w:rsidR="00445008" w:rsidRPr="00E45949">
        <w:rPr>
          <w:lang w:val="fr-CH"/>
        </w:rPr>
        <w:t xml:space="preserve">adresse </w:t>
      </w:r>
      <w:r w:rsidR="00445008" w:rsidRPr="00C65B8B">
        <w:rPr>
          <w:u w:val="single"/>
          <w:lang w:val="fr-CH"/>
        </w:rPr>
        <w:t>www.wipo.int/madrid/memberprofiles/#/</w:t>
      </w:r>
      <w:r w:rsidR="00445008" w:rsidRPr="00E45949">
        <w:rPr>
          <w:lang w:val="fr-CH"/>
        </w:rPr>
        <w:t>.</w:t>
      </w:r>
      <w:r w:rsidRPr="00E45949">
        <w:rPr>
          <w:lang w:val="fr-CH"/>
        </w:rPr>
        <w:t xml:space="preserve">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0C3895" w:rsidP="00477D6B">
    <w:pPr>
      <w:jc w:val="right"/>
    </w:pPr>
    <w:bookmarkStart w:id="7" w:name="Code2"/>
    <w:bookmarkEnd w:id="7"/>
    <w:r>
      <w:t>MM/LD/WG/1</w:t>
    </w:r>
    <w:r w:rsidR="00DC0174">
      <w:t>6</w:t>
    </w:r>
    <w:r>
      <w:t>/</w:t>
    </w:r>
    <w:r w:rsidR="00D32EB9">
      <w:t>3</w:t>
    </w:r>
  </w:p>
  <w:p w:rsidR="00EC4E49" w:rsidRDefault="00EC4E49" w:rsidP="00477D6B">
    <w:pPr>
      <w:jc w:val="right"/>
    </w:pPr>
    <w:proofErr w:type="gramStart"/>
    <w:r>
      <w:t>page</w:t>
    </w:r>
    <w:proofErr w:type="gramEnd"/>
    <w:r w:rsidR="006B7734">
      <w:t> </w:t>
    </w:r>
    <w:r>
      <w:fldChar w:fldCharType="begin"/>
    </w:r>
    <w:r>
      <w:instrText xml:space="preserve"> PAGE  \* MERGEFORMAT </w:instrText>
    </w:r>
    <w:r>
      <w:fldChar w:fldCharType="separate"/>
    </w:r>
    <w:r w:rsidR="00640D33">
      <w:rPr>
        <w:noProof/>
      </w:rPr>
      <w:t>2</w:t>
    </w:r>
    <w:r>
      <w:fldChar w:fldCharType="end"/>
    </w:r>
  </w:p>
  <w:p w:rsidR="00EC4E49" w:rsidRDefault="00EC4E49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B5ACF62A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24063054"/>
    <w:multiLevelType w:val="hybridMultilevel"/>
    <w:tmpl w:val="984895AE"/>
    <w:lvl w:ilvl="0" w:tplc="C4CC375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4623101"/>
    <w:multiLevelType w:val="hybridMultilevel"/>
    <w:tmpl w:val="6882A5E0"/>
    <w:lvl w:ilvl="0" w:tplc="8700B06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4E27E4"/>
    <w:multiLevelType w:val="hybridMultilevel"/>
    <w:tmpl w:val="04C07FCE"/>
    <w:lvl w:ilvl="0" w:tplc="C4CC375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EFF08E84">
      <w:start w:val="1"/>
      <w:numFmt w:val="lowerRoman"/>
      <w:lvlText w:val="%3)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6C84506"/>
    <w:multiLevelType w:val="hybridMultilevel"/>
    <w:tmpl w:val="487C15C6"/>
    <w:lvl w:ilvl="0" w:tplc="8700B06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EFF08E84">
      <w:start w:val="1"/>
      <w:numFmt w:val="lowerRoman"/>
      <w:lvlText w:val="%3)"/>
      <w:lvlJc w:val="left"/>
      <w:pPr>
        <w:ind w:left="2160" w:hanging="180"/>
      </w:pPr>
      <w:rPr>
        <w:rFonts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8"/>
  </w:num>
  <w:num w:numId="5">
    <w:abstractNumId w:val="1"/>
  </w:num>
  <w:num w:numId="6">
    <w:abstractNumId w:val="3"/>
  </w:num>
  <w:num w:numId="7">
    <w:abstractNumId w:val="4"/>
  </w:num>
  <w:num w:numId="8">
    <w:abstractNumId w:val="7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3788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WIPOLDTERM"/>
    <w:docVar w:name="TermBaseURL" w:val="empty"/>
    <w:docVar w:name="TextBases" w:val="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am Server TMs\Default"/>
    <w:docVar w:name="TextBaseURL" w:val="empty"/>
    <w:docVar w:name="UILng" w:val="en"/>
  </w:docVars>
  <w:rsids>
    <w:rsidRoot w:val="000C3895"/>
    <w:rsid w:val="00000C82"/>
    <w:rsid w:val="00001D9B"/>
    <w:rsid w:val="000362DD"/>
    <w:rsid w:val="00043CAA"/>
    <w:rsid w:val="00046F15"/>
    <w:rsid w:val="00075432"/>
    <w:rsid w:val="000968ED"/>
    <w:rsid w:val="000C3895"/>
    <w:rsid w:val="000E59B7"/>
    <w:rsid w:val="000F1EBB"/>
    <w:rsid w:val="000F5E56"/>
    <w:rsid w:val="00117964"/>
    <w:rsid w:val="00134750"/>
    <w:rsid w:val="001362EE"/>
    <w:rsid w:val="00145A77"/>
    <w:rsid w:val="00145C7B"/>
    <w:rsid w:val="0015155C"/>
    <w:rsid w:val="001770A2"/>
    <w:rsid w:val="00180B57"/>
    <w:rsid w:val="001832A6"/>
    <w:rsid w:val="001D5374"/>
    <w:rsid w:val="00200819"/>
    <w:rsid w:val="00202C01"/>
    <w:rsid w:val="00205D13"/>
    <w:rsid w:val="00215BAC"/>
    <w:rsid w:val="00232E14"/>
    <w:rsid w:val="00233081"/>
    <w:rsid w:val="00233201"/>
    <w:rsid w:val="002333A7"/>
    <w:rsid w:val="00243B94"/>
    <w:rsid w:val="0024626D"/>
    <w:rsid w:val="00251FF7"/>
    <w:rsid w:val="002602E3"/>
    <w:rsid w:val="002634C4"/>
    <w:rsid w:val="002654A1"/>
    <w:rsid w:val="0028752D"/>
    <w:rsid w:val="002928D3"/>
    <w:rsid w:val="002945BA"/>
    <w:rsid w:val="00296937"/>
    <w:rsid w:val="002D6B88"/>
    <w:rsid w:val="002F1FE6"/>
    <w:rsid w:val="002F4E68"/>
    <w:rsid w:val="00301DC7"/>
    <w:rsid w:val="0031123E"/>
    <w:rsid w:val="00312F7F"/>
    <w:rsid w:val="003141AD"/>
    <w:rsid w:val="0033081F"/>
    <w:rsid w:val="003316A8"/>
    <w:rsid w:val="00361450"/>
    <w:rsid w:val="003673CF"/>
    <w:rsid w:val="003705FB"/>
    <w:rsid w:val="0038089C"/>
    <w:rsid w:val="003845C1"/>
    <w:rsid w:val="00397196"/>
    <w:rsid w:val="003A6F89"/>
    <w:rsid w:val="003B38C1"/>
    <w:rsid w:val="003C5432"/>
    <w:rsid w:val="003C6F44"/>
    <w:rsid w:val="003D7B6E"/>
    <w:rsid w:val="003E2CED"/>
    <w:rsid w:val="00410839"/>
    <w:rsid w:val="00414DE5"/>
    <w:rsid w:val="00423E3E"/>
    <w:rsid w:val="00427AF4"/>
    <w:rsid w:val="004410D7"/>
    <w:rsid w:val="00445008"/>
    <w:rsid w:val="004647DA"/>
    <w:rsid w:val="00474062"/>
    <w:rsid w:val="00477D6B"/>
    <w:rsid w:val="004D12D8"/>
    <w:rsid w:val="004E0D54"/>
    <w:rsid w:val="004F3337"/>
    <w:rsid w:val="004F425F"/>
    <w:rsid w:val="005019FF"/>
    <w:rsid w:val="0052024E"/>
    <w:rsid w:val="005239EF"/>
    <w:rsid w:val="0053057A"/>
    <w:rsid w:val="00536882"/>
    <w:rsid w:val="0054150D"/>
    <w:rsid w:val="005444BD"/>
    <w:rsid w:val="00560A29"/>
    <w:rsid w:val="00574923"/>
    <w:rsid w:val="005939D9"/>
    <w:rsid w:val="00597066"/>
    <w:rsid w:val="005A142B"/>
    <w:rsid w:val="005B05D8"/>
    <w:rsid w:val="005B6B85"/>
    <w:rsid w:val="005C2E38"/>
    <w:rsid w:val="005C306B"/>
    <w:rsid w:val="005C479F"/>
    <w:rsid w:val="005C6649"/>
    <w:rsid w:val="005D169D"/>
    <w:rsid w:val="005D6EEE"/>
    <w:rsid w:val="005F1C7E"/>
    <w:rsid w:val="005F2005"/>
    <w:rsid w:val="006041E7"/>
    <w:rsid w:val="00605827"/>
    <w:rsid w:val="00606339"/>
    <w:rsid w:val="006273D4"/>
    <w:rsid w:val="00640D33"/>
    <w:rsid w:val="00642456"/>
    <w:rsid w:val="00646050"/>
    <w:rsid w:val="00653500"/>
    <w:rsid w:val="006713CA"/>
    <w:rsid w:val="00674977"/>
    <w:rsid w:val="00676C5C"/>
    <w:rsid w:val="00681343"/>
    <w:rsid w:val="00681884"/>
    <w:rsid w:val="00682871"/>
    <w:rsid w:val="006A468D"/>
    <w:rsid w:val="006A6546"/>
    <w:rsid w:val="006B10DF"/>
    <w:rsid w:val="006B7734"/>
    <w:rsid w:val="00735D69"/>
    <w:rsid w:val="00743D2F"/>
    <w:rsid w:val="00760514"/>
    <w:rsid w:val="00773C17"/>
    <w:rsid w:val="00790DCC"/>
    <w:rsid w:val="007B363F"/>
    <w:rsid w:val="007B5D69"/>
    <w:rsid w:val="007D1613"/>
    <w:rsid w:val="007D7801"/>
    <w:rsid w:val="007F3165"/>
    <w:rsid w:val="007F53A8"/>
    <w:rsid w:val="00831722"/>
    <w:rsid w:val="00842850"/>
    <w:rsid w:val="008568E8"/>
    <w:rsid w:val="0086299D"/>
    <w:rsid w:val="0089636B"/>
    <w:rsid w:val="008A1625"/>
    <w:rsid w:val="008A3878"/>
    <w:rsid w:val="008B2CC1"/>
    <w:rsid w:val="008B4736"/>
    <w:rsid w:val="008B60B2"/>
    <w:rsid w:val="008B65FA"/>
    <w:rsid w:val="008B665B"/>
    <w:rsid w:val="008D05B7"/>
    <w:rsid w:val="008D2123"/>
    <w:rsid w:val="008E6DC0"/>
    <w:rsid w:val="008F1EBA"/>
    <w:rsid w:val="008F3415"/>
    <w:rsid w:val="00903A02"/>
    <w:rsid w:val="0090731E"/>
    <w:rsid w:val="00916EE2"/>
    <w:rsid w:val="00923A92"/>
    <w:rsid w:val="00924821"/>
    <w:rsid w:val="009248C8"/>
    <w:rsid w:val="00932C36"/>
    <w:rsid w:val="00955957"/>
    <w:rsid w:val="00956F6B"/>
    <w:rsid w:val="00966A22"/>
    <w:rsid w:val="0096722F"/>
    <w:rsid w:val="009801A4"/>
    <w:rsid w:val="00980843"/>
    <w:rsid w:val="0099674C"/>
    <w:rsid w:val="009A6E26"/>
    <w:rsid w:val="009B6AAB"/>
    <w:rsid w:val="009B7103"/>
    <w:rsid w:val="009D6C22"/>
    <w:rsid w:val="009E2791"/>
    <w:rsid w:val="009E2B62"/>
    <w:rsid w:val="009E3F6F"/>
    <w:rsid w:val="009F499F"/>
    <w:rsid w:val="009F5948"/>
    <w:rsid w:val="00A25A9F"/>
    <w:rsid w:val="00A42DAF"/>
    <w:rsid w:val="00A45BD8"/>
    <w:rsid w:val="00A46475"/>
    <w:rsid w:val="00A6558D"/>
    <w:rsid w:val="00A6673C"/>
    <w:rsid w:val="00A772FD"/>
    <w:rsid w:val="00A843AE"/>
    <w:rsid w:val="00A869B7"/>
    <w:rsid w:val="00A9139E"/>
    <w:rsid w:val="00AC205C"/>
    <w:rsid w:val="00AC54CE"/>
    <w:rsid w:val="00AD5F99"/>
    <w:rsid w:val="00AF0A6B"/>
    <w:rsid w:val="00AF236F"/>
    <w:rsid w:val="00AF394F"/>
    <w:rsid w:val="00B004E1"/>
    <w:rsid w:val="00B05A69"/>
    <w:rsid w:val="00B130BF"/>
    <w:rsid w:val="00B70B9F"/>
    <w:rsid w:val="00B7115A"/>
    <w:rsid w:val="00B71C4B"/>
    <w:rsid w:val="00B80B10"/>
    <w:rsid w:val="00B818F7"/>
    <w:rsid w:val="00B8384B"/>
    <w:rsid w:val="00B8496B"/>
    <w:rsid w:val="00B94C24"/>
    <w:rsid w:val="00B96626"/>
    <w:rsid w:val="00B9734B"/>
    <w:rsid w:val="00B97B33"/>
    <w:rsid w:val="00BC4BEB"/>
    <w:rsid w:val="00BD493C"/>
    <w:rsid w:val="00C03030"/>
    <w:rsid w:val="00C11BFE"/>
    <w:rsid w:val="00C13DF7"/>
    <w:rsid w:val="00C37CC5"/>
    <w:rsid w:val="00C4415B"/>
    <w:rsid w:val="00C447FA"/>
    <w:rsid w:val="00C51317"/>
    <w:rsid w:val="00C6022B"/>
    <w:rsid w:val="00C65B8B"/>
    <w:rsid w:val="00C844A6"/>
    <w:rsid w:val="00CA0E56"/>
    <w:rsid w:val="00CC0472"/>
    <w:rsid w:val="00CC6926"/>
    <w:rsid w:val="00CD59BF"/>
    <w:rsid w:val="00CE4D7B"/>
    <w:rsid w:val="00CF0D3B"/>
    <w:rsid w:val="00CF7FEE"/>
    <w:rsid w:val="00D0221E"/>
    <w:rsid w:val="00D177A6"/>
    <w:rsid w:val="00D1792B"/>
    <w:rsid w:val="00D32EB9"/>
    <w:rsid w:val="00D41F12"/>
    <w:rsid w:val="00D45252"/>
    <w:rsid w:val="00D62433"/>
    <w:rsid w:val="00D64DC8"/>
    <w:rsid w:val="00D71B4D"/>
    <w:rsid w:val="00D85DB6"/>
    <w:rsid w:val="00D93D55"/>
    <w:rsid w:val="00DC0174"/>
    <w:rsid w:val="00DC2080"/>
    <w:rsid w:val="00DC3C74"/>
    <w:rsid w:val="00DC4268"/>
    <w:rsid w:val="00DC7F09"/>
    <w:rsid w:val="00DE21FD"/>
    <w:rsid w:val="00DE7294"/>
    <w:rsid w:val="00DE74E6"/>
    <w:rsid w:val="00E245CF"/>
    <w:rsid w:val="00E317C5"/>
    <w:rsid w:val="00E335FE"/>
    <w:rsid w:val="00E35FB6"/>
    <w:rsid w:val="00E418B1"/>
    <w:rsid w:val="00E431DB"/>
    <w:rsid w:val="00E45949"/>
    <w:rsid w:val="00E508D2"/>
    <w:rsid w:val="00E5238C"/>
    <w:rsid w:val="00E65E44"/>
    <w:rsid w:val="00E84E33"/>
    <w:rsid w:val="00E86FA5"/>
    <w:rsid w:val="00EB117B"/>
    <w:rsid w:val="00EB1BDD"/>
    <w:rsid w:val="00EB2D9E"/>
    <w:rsid w:val="00EB6653"/>
    <w:rsid w:val="00EC4E49"/>
    <w:rsid w:val="00ED1B2F"/>
    <w:rsid w:val="00ED77FB"/>
    <w:rsid w:val="00ED7ED8"/>
    <w:rsid w:val="00EE11D9"/>
    <w:rsid w:val="00EE1CE7"/>
    <w:rsid w:val="00EE45FA"/>
    <w:rsid w:val="00EE4AAA"/>
    <w:rsid w:val="00EF1494"/>
    <w:rsid w:val="00F00BAF"/>
    <w:rsid w:val="00F23F46"/>
    <w:rsid w:val="00F25FAD"/>
    <w:rsid w:val="00F64F97"/>
    <w:rsid w:val="00F66152"/>
    <w:rsid w:val="00F9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FootnoteReference">
    <w:name w:val="footnote reference"/>
    <w:basedOn w:val="DefaultParagraphFont"/>
    <w:rsid w:val="0028752D"/>
    <w:rPr>
      <w:vertAlign w:val="superscript"/>
    </w:rPr>
  </w:style>
  <w:style w:type="paragraph" w:styleId="BalloonText">
    <w:name w:val="Balloon Text"/>
    <w:basedOn w:val="Normal"/>
    <w:link w:val="BalloonTextChar"/>
    <w:rsid w:val="00AC54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C54CE"/>
    <w:rPr>
      <w:rFonts w:ascii="Tahoma" w:eastAsia="SimSu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831722"/>
    <w:pPr>
      <w:ind w:left="720"/>
      <w:contextualSpacing/>
    </w:pPr>
  </w:style>
  <w:style w:type="character" w:styleId="Hyperlink">
    <w:name w:val="Hyperlink"/>
    <w:basedOn w:val="DefaultParagraphFont"/>
    <w:rsid w:val="0083172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000C8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FootnoteReference">
    <w:name w:val="footnote reference"/>
    <w:basedOn w:val="DefaultParagraphFont"/>
    <w:rsid w:val="0028752D"/>
    <w:rPr>
      <w:vertAlign w:val="superscript"/>
    </w:rPr>
  </w:style>
  <w:style w:type="paragraph" w:styleId="BalloonText">
    <w:name w:val="Balloon Text"/>
    <w:basedOn w:val="Normal"/>
    <w:link w:val="BalloonTextChar"/>
    <w:rsid w:val="00AC54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C54CE"/>
    <w:rPr>
      <w:rFonts w:ascii="Tahoma" w:eastAsia="SimSu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831722"/>
    <w:pPr>
      <w:ind w:left="720"/>
      <w:contextualSpacing/>
    </w:pPr>
  </w:style>
  <w:style w:type="character" w:styleId="Hyperlink">
    <w:name w:val="Hyperlink"/>
    <w:basedOn w:val="DefaultParagraphFont"/>
    <w:rsid w:val="0083172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000C8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1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6B5A5-43C9-4C47-8FC0-571733E33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1306</Words>
  <Characters>7449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8738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lastModifiedBy>Madrid Registry</cp:lastModifiedBy>
  <cp:revision>9</cp:revision>
  <cp:lastPrinted>2018-04-23T12:45:00Z</cp:lastPrinted>
  <dcterms:created xsi:type="dcterms:W3CDTF">2018-04-30T10:07:00Z</dcterms:created>
  <dcterms:modified xsi:type="dcterms:W3CDTF">2018-04-30T15:42:00Z</dcterms:modified>
</cp:coreProperties>
</file>