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DE3858" w:rsidRPr="00BC677B" w:rsidTr="00CF3E7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DE3858" w:rsidRPr="00BC677B" w:rsidRDefault="00DE3858" w:rsidP="00DE3858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E3858" w:rsidRPr="00BC677B" w:rsidRDefault="00DE3858" w:rsidP="00DE3858">
            <w:pPr>
              <w:rPr>
                <w:lang w:val="fr-FR"/>
              </w:rPr>
            </w:pPr>
            <w:r w:rsidRPr="00BC677B">
              <w:rPr>
                <w:noProof/>
                <w:lang w:eastAsia="en-US"/>
              </w:rPr>
              <w:drawing>
                <wp:inline distT="0" distB="0" distL="0" distR="0" wp14:anchorId="7B272E52" wp14:editId="2928FF18">
                  <wp:extent cx="1856740" cy="1323975"/>
                  <wp:effectExtent l="0" t="0" r="0" b="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E3858" w:rsidRPr="00BC677B" w:rsidRDefault="00DE3858" w:rsidP="00DE3858">
            <w:pPr>
              <w:jc w:val="right"/>
              <w:rPr>
                <w:lang w:val="fr-FR"/>
              </w:rPr>
            </w:pPr>
            <w:r w:rsidRPr="00BC677B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DE3858" w:rsidRPr="00BC677B" w:rsidTr="00CF3E74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DE3858" w:rsidRPr="00BC677B" w:rsidRDefault="00DE3858" w:rsidP="00DE385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BC677B">
              <w:rPr>
                <w:rFonts w:ascii="Arial Black" w:hAnsi="Arial Black"/>
                <w:caps/>
                <w:sz w:val="15"/>
                <w:lang w:val="fr-FR"/>
              </w:rPr>
              <w:t>mm/Ld/wg/16/</w:t>
            </w:r>
            <w:bookmarkStart w:id="1" w:name="Code"/>
            <w:bookmarkEnd w:id="1"/>
            <w:r w:rsidRPr="00BC677B">
              <w:rPr>
                <w:rFonts w:ascii="Arial Black" w:hAnsi="Arial Black"/>
                <w:caps/>
                <w:sz w:val="15"/>
                <w:lang w:val="fr-FR"/>
              </w:rPr>
              <w:t>2</w:t>
            </w:r>
          </w:p>
        </w:tc>
      </w:tr>
      <w:tr w:rsidR="00DE3858" w:rsidRPr="00BC677B" w:rsidTr="00CF3E74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DE3858" w:rsidRPr="00BC677B" w:rsidRDefault="00DE3858" w:rsidP="00DE385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BC677B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793C0F" w:rsidRPr="00BC677B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bookmarkStart w:id="2" w:name="Original"/>
            <w:bookmarkEnd w:id="2"/>
            <w:r w:rsidR="004E464E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Pr="00BC677B">
              <w:rPr>
                <w:rFonts w:ascii="Arial Black" w:hAnsi="Arial Black"/>
                <w:caps/>
                <w:sz w:val="15"/>
                <w:lang w:val="fr-FR"/>
              </w:rPr>
              <w:t xml:space="preserve">anglais </w:t>
            </w:r>
          </w:p>
        </w:tc>
      </w:tr>
      <w:tr w:rsidR="00DE3858" w:rsidRPr="00BC677B" w:rsidTr="00CF3E74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DE3858" w:rsidRPr="00BC677B" w:rsidRDefault="00DE3858" w:rsidP="004E464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BC677B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793C0F" w:rsidRPr="00BC677B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bookmarkStart w:id="3" w:name="Date"/>
            <w:bookmarkEnd w:id="3"/>
            <w:r w:rsidR="004E464E">
              <w:rPr>
                <w:rFonts w:ascii="Arial Black" w:hAnsi="Arial Black"/>
                <w:caps/>
                <w:sz w:val="15"/>
                <w:lang w:val="fr-FR"/>
              </w:rPr>
              <w:t xml:space="preserve"> 2 MAI</w:t>
            </w:r>
            <w:r w:rsidR="00793C0F" w:rsidRPr="00BC677B">
              <w:rPr>
                <w:rFonts w:ascii="Arial Black" w:hAnsi="Arial Black"/>
                <w:caps/>
                <w:sz w:val="15"/>
                <w:lang w:val="fr-FR"/>
              </w:rPr>
              <w:t> 20</w:t>
            </w:r>
            <w:r w:rsidRPr="00BC677B">
              <w:rPr>
                <w:rFonts w:ascii="Arial Black" w:hAnsi="Arial Black"/>
                <w:caps/>
                <w:sz w:val="15"/>
                <w:lang w:val="fr-FR"/>
              </w:rPr>
              <w:t xml:space="preserve">18 </w:t>
            </w:r>
          </w:p>
        </w:tc>
      </w:tr>
    </w:tbl>
    <w:p w:rsidR="00DE3858" w:rsidRPr="00BC677B" w:rsidRDefault="00DE3858" w:rsidP="00DE3858">
      <w:pPr>
        <w:rPr>
          <w:lang w:val="fr-FR"/>
        </w:rPr>
      </w:pPr>
    </w:p>
    <w:p w:rsidR="00DE3858" w:rsidRPr="00BC677B" w:rsidRDefault="00DE3858" w:rsidP="00DE3858">
      <w:pPr>
        <w:rPr>
          <w:lang w:val="fr-FR"/>
        </w:rPr>
      </w:pPr>
    </w:p>
    <w:p w:rsidR="00DE3858" w:rsidRPr="00BC677B" w:rsidRDefault="00DE3858" w:rsidP="00DE3858">
      <w:pPr>
        <w:rPr>
          <w:lang w:val="fr-FR"/>
        </w:rPr>
      </w:pPr>
    </w:p>
    <w:p w:rsidR="00DE3858" w:rsidRPr="00BC677B" w:rsidRDefault="00DE3858" w:rsidP="00DE3858">
      <w:pPr>
        <w:rPr>
          <w:lang w:val="fr-FR"/>
        </w:rPr>
      </w:pPr>
    </w:p>
    <w:p w:rsidR="00DE3858" w:rsidRPr="00BC677B" w:rsidRDefault="00DE3858" w:rsidP="00DE3858">
      <w:pPr>
        <w:rPr>
          <w:lang w:val="fr-FR"/>
        </w:rPr>
      </w:pPr>
    </w:p>
    <w:p w:rsidR="00DE3858" w:rsidRPr="00BC677B" w:rsidRDefault="00DE3858" w:rsidP="00DE3858">
      <w:pPr>
        <w:rPr>
          <w:b/>
          <w:sz w:val="28"/>
          <w:szCs w:val="28"/>
          <w:lang w:val="fr-FR"/>
        </w:rPr>
      </w:pPr>
      <w:r w:rsidRPr="00BC677B">
        <w:rPr>
          <w:b/>
          <w:sz w:val="28"/>
          <w:szCs w:val="28"/>
          <w:lang w:val="fr-FR"/>
        </w:rPr>
        <w:t>Groupe de travail sur le développement juridique du système de Madrid concernant l</w:t>
      </w:r>
      <w:r w:rsidR="00793C0F" w:rsidRPr="00BC677B">
        <w:rPr>
          <w:b/>
          <w:sz w:val="28"/>
          <w:szCs w:val="28"/>
          <w:lang w:val="fr-FR"/>
        </w:rPr>
        <w:t>’</w:t>
      </w:r>
      <w:r w:rsidRPr="00BC677B">
        <w:rPr>
          <w:b/>
          <w:sz w:val="28"/>
          <w:szCs w:val="28"/>
          <w:lang w:val="fr-FR"/>
        </w:rPr>
        <w:t>enregistrement international des marques</w:t>
      </w:r>
    </w:p>
    <w:p w:rsidR="00DE3858" w:rsidRPr="00BC677B" w:rsidRDefault="00DE3858" w:rsidP="00DE3858">
      <w:pPr>
        <w:rPr>
          <w:lang w:val="fr-FR"/>
        </w:rPr>
      </w:pPr>
    </w:p>
    <w:p w:rsidR="00DE3858" w:rsidRPr="00BC677B" w:rsidRDefault="00DE3858" w:rsidP="00DE3858">
      <w:pPr>
        <w:rPr>
          <w:lang w:val="fr-FR"/>
        </w:rPr>
      </w:pPr>
    </w:p>
    <w:p w:rsidR="00DE3858" w:rsidRPr="00BC677B" w:rsidRDefault="00DE3858" w:rsidP="00DE3858">
      <w:pPr>
        <w:rPr>
          <w:b/>
          <w:sz w:val="24"/>
          <w:szCs w:val="24"/>
          <w:lang w:val="fr-FR"/>
        </w:rPr>
      </w:pPr>
      <w:r w:rsidRPr="00BC677B">
        <w:rPr>
          <w:b/>
          <w:sz w:val="24"/>
          <w:szCs w:val="24"/>
          <w:lang w:val="fr-FR"/>
        </w:rPr>
        <w:t>Seiz</w:t>
      </w:r>
      <w:r w:rsidR="00793C0F" w:rsidRPr="00BC677B">
        <w:rPr>
          <w:b/>
          <w:sz w:val="24"/>
          <w:szCs w:val="24"/>
          <w:lang w:val="fr-FR"/>
        </w:rPr>
        <w:t>ième session</w:t>
      </w:r>
    </w:p>
    <w:p w:rsidR="00DE3858" w:rsidRPr="00BC677B" w:rsidRDefault="00DE3858" w:rsidP="00DE3858">
      <w:pPr>
        <w:rPr>
          <w:b/>
          <w:sz w:val="24"/>
          <w:szCs w:val="24"/>
          <w:lang w:val="fr-FR"/>
        </w:rPr>
      </w:pPr>
      <w:r w:rsidRPr="00BC677B">
        <w:rPr>
          <w:b/>
          <w:sz w:val="24"/>
          <w:szCs w:val="24"/>
          <w:lang w:val="fr-FR"/>
        </w:rPr>
        <w:t xml:space="preserve">Genève, 2 – </w:t>
      </w:r>
      <w:r w:rsidR="00793C0F" w:rsidRPr="00BC677B">
        <w:rPr>
          <w:b/>
          <w:sz w:val="24"/>
          <w:szCs w:val="24"/>
          <w:lang w:val="fr-FR"/>
        </w:rPr>
        <w:t>6 juillet 20</w:t>
      </w:r>
      <w:r w:rsidRPr="00BC677B">
        <w:rPr>
          <w:b/>
          <w:sz w:val="24"/>
          <w:szCs w:val="24"/>
          <w:lang w:val="fr-FR"/>
        </w:rPr>
        <w:t>18</w:t>
      </w:r>
    </w:p>
    <w:p w:rsidR="00DE3858" w:rsidRPr="00BC677B" w:rsidRDefault="00DE3858" w:rsidP="00DE3858">
      <w:pPr>
        <w:rPr>
          <w:lang w:val="fr-FR"/>
        </w:rPr>
      </w:pPr>
    </w:p>
    <w:p w:rsidR="00DE3858" w:rsidRPr="00BC677B" w:rsidRDefault="00DE3858" w:rsidP="00DE3858">
      <w:pPr>
        <w:rPr>
          <w:lang w:val="fr-FR"/>
        </w:rPr>
      </w:pPr>
    </w:p>
    <w:p w:rsidR="00DE3858" w:rsidRPr="00BC677B" w:rsidRDefault="00DE3858" w:rsidP="00DE3858">
      <w:pPr>
        <w:rPr>
          <w:lang w:val="fr-FR"/>
        </w:rPr>
      </w:pPr>
    </w:p>
    <w:p w:rsidR="00802EC1" w:rsidRPr="00BC677B" w:rsidRDefault="00920A3B" w:rsidP="00DE3858">
      <w:pPr>
        <w:rPr>
          <w:caps/>
          <w:sz w:val="24"/>
          <w:lang w:val="fr-FR"/>
        </w:rPr>
      </w:pPr>
      <w:r w:rsidRPr="00BC677B">
        <w:rPr>
          <w:caps/>
          <w:sz w:val="24"/>
          <w:lang w:val="fr-FR"/>
        </w:rPr>
        <w:t>REMPLACEMENT</w:t>
      </w:r>
    </w:p>
    <w:p w:rsidR="00802EC1" w:rsidRPr="00BC677B" w:rsidRDefault="00802EC1" w:rsidP="00DE3858">
      <w:pPr>
        <w:rPr>
          <w:lang w:val="fr-FR"/>
        </w:rPr>
      </w:pPr>
    </w:p>
    <w:p w:rsidR="00802EC1" w:rsidRPr="00BC677B" w:rsidRDefault="00920A3B" w:rsidP="00DE3858">
      <w:pPr>
        <w:rPr>
          <w:i/>
          <w:lang w:val="fr-FR"/>
        </w:rPr>
      </w:pPr>
      <w:bookmarkStart w:id="4" w:name="Prepared"/>
      <w:bookmarkEnd w:id="4"/>
      <w:r w:rsidRPr="00BC677B">
        <w:rPr>
          <w:i/>
          <w:lang w:val="fr-FR"/>
        </w:rPr>
        <w:t>Document établi par le Bureau international</w:t>
      </w:r>
    </w:p>
    <w:p w:rsidR="00802EC1" w:rsidRPr="00BC677B" w:rsidRDefault="00802EC1" w:rsidP="00DE3858">
      <w:pPr>
        <w:rPr>
          <w:lang w:val="fr-FR"/>
        </w:rPr>
      </w:pPr>
    </w:p>
    <w:p w:rsidR="00802EC1" w:rsidRPr="00BC677B" w:rsidRDefault="00802EC1" w:rsidP="00DE3858">
      <w:pPr>
        <w:rPr>
          <w:lang w:val="fr-FR"/>
        </w:rPr>
      </w:pPr>
    </w:p>
    <w:p w:rsidR="00802EC1" w:rsidRPr="00BC677B" w:rsidRDefault="00802EC1" w:rsidP="00DE3858">
      <w:pPr>
        <w:rPr>
          <w:lang w:val="fr-FR"/>
        </w:rPr>
      </w:pPr>
    </w:p>
    <w:p w:rsidR="00802EC1" w:rsidRPr="00BC677B" w:rsidRDefault="00920A3B" w:rsidP="00B62DA4">
      <w:pPr>
        <w:pStyle w:val="Heading1"/>
        <w:rPr>
          <w:lang w:val="fr-FR"/>
        </w:rPr>
      </w:pPr>
      <w:r w:rsidRPr="00BC677B">
        <w:rPr>
          <w:lang w:val="fr-FR"/>
        </w:rPr>
        <w:t>INTRODUCTION</w:t>
      </w:r>
    </w:p>
    <w:p w:rsidR="00802EC1" w:rsidRPr="00BC677B" w:rsidRDefault="00802EC1" w:rsidP="00DE3858">
      <w:pPr>
        <w:rPr>
          <w:lang w:val="fr-FR"/>
        </w:rPr>
      </w:pPr>
    </w:p>
    <w:p w:rsidR="00793C0F" w:rsidRPr="00BC677B" w:rsidRDefault="005628AF" w:rsidP="00E57548">
      <w:pPr>
        <w:pStyle w:val="ONUMFS"/>
        <w:rPr>
          <w:lang w:val="fr-FR"/>
        </w:rPr>
      </w:pPr>
      <w:r w:rsidRPr="00BC677B">
        <w:rPr>
          <w:lang w:val="fr-FR"/>
        </w:rPr>
        <w:t>À sa quinz</w:t>
      </w:r>
      <w:r w:rsidR="00793C0F" w:rsidRPr="00BC677B">
        <w:rPr>
          <w:lang w:val="fr-FR"/>
        </w:rPr>
        <w:t>ième session</w:t>
      </w:r>
      <w:r w:rsidRPr="00BC677B">
        <w:rPr>
          <w:lang w:val="fr-FR"/>
        </w:rPr>
        <w:t xml:space="preserve"> tenue à Genève du 19 au 2</w:t>
      </w:r>
      <w:r w:rsidR="00793C0F" w:rsidRPr="00BC677B">
        <w:rPr>
          <w:lang w:val="fr-FR"/>
        </w:rPr>
        <w:t>2 juin 20</w:t>
      </w:r>
      <w:r w:rsidRPr="00BC677B">
        <w:rPr>
          <w:lang w:val="fr-FR"/>
        </w:rPr>
        <w:t>17, le Groupe de travail sur le développement juridique du système de Madrid concernant l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>enregistrement international des marques (ci</w:t>
      </w:r>
      <w:r w:rsidR="00D72828" w:rsidRPr="00BC677B">
        <w:rPr>
          <w:lang w:val="fr-FR"/>
        </w:rPr>
        <w:noBreakHyphen/>
      </w:r>
      <w:r w:rsidRPr="00BC677B">
        <w:rPr>
          <w:lang w:val="fr-FR"/>
        </w:rPr>
        <w:t xml:space="preserve">après dénommés respectivement </w:t>
      </w:r>
      <w:r w:rsidR="00793C0F" w:rsidRPr="00BC677B">
        <w:rPr>
          <w:lang w:val="fr-FR"/>
        </w:rPr>
        <w:t>“g</w:t>
      </w:r>
      <w:r w:rsidRPr="00BC677B">
        <w:rPr>
          <w:lang w:val="fr-FR"/>
        </w:rPr>
        <w:t>roupe de travai</w:t>
      </w:r>
      <w:r w:rsidR="00793C0F" w:rsidRPr="00BC677B">
        <w:rPr>
          <w:lang w:val="fr-FR"/>
        </w:rPr>
        <w:t>l”</w:t>
      </w:r>
      <w:r w:rsidRPr="00BC677B">
        <w:rPr>
          <w:lang w:val="fr-FR"/>
        </w:rPr>
        <w:t xml:space="preserve"> et </w:t>
      </w:r>
      <w:r w:rsidR="00793C0F" w:rsidRPr="00BC677B">
        <w:rPr>
          <w:lang w:val="fr-FR"/>
        </w:rPr>
        <w:t>“s</w:t>
      </w:r>
      <w:r w:rsidRPr="00BC677B">
        <w:rPr>
          <w:lang w:val="fr-FR"/>
        </w:rPr>
        <w:t>ystème de Madri</w:t>
      </w:r>
      <w:r w:rsidR="00793C0F" w:rsidRPr="00BC677B">
        <w:rPr>
          <w:lang w:val="fr-FR"/>
        </w:rPr>
        <w:t>d”</w:t>
      </w:r>
      <w:r w:rsidRPr="00BC677B">
        <w:rPr>
          <w:lang w:val="fr-FR"/>
        </w:rPr>
        <w:t xml:space="preserve">) a approuvé, à titre provisoire, les propositions de modification de la </w:t>
      </w:r>
      <w:r w:rsidR="00793C0F" w:rsidRPr="00BC677B">
        <w:rPr>
          <w:lang w:val="fr-FR"/>
        </w:rPr>
        <w:t>règle 2</w:t>
      </w:r>
      <w:r w:rsidRPr="00BC677B">
        <w:rPr>
          <w:lang w:val="fr-FR"/>
        </w:rPr>
        <w:t xml:space="preserve">1 du </w:t>
      </w:r>
      <w:r w:rsidR="00E23801">
        <w:rPr>
          <w:lang w:val="fr-FR"/>
        </w:rPr>
        <w:t>R</w:t>
      </w:r>
      <w:bookmarkStart w:id="5" w:name="_GoBack"/>
      <w:bookmarkEnd w:id="5"/>
      <w:r w:rsidRPr="00BC677B">
        <w:rPr>
          <w:lang w:val="fr-FR"/>
        </w:rPr>
        <w:t>èglement d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>exécution commun à l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>Arrangement de Madrid concernant l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>enregistrement international des marques et au Protocole relatif à cet Arrangement (ci</w:t>
      </w:r>
      <w:r w:rsidR="00D72828" w:rsidRPr="00BC677B">
        <w:rPr>
          <w:lang w:val="fr-FR"/>
        </w:rPr>
        <w:noBreakHyphen/>
      </w:r>
      <w:r w:rsidRPr="00BC677B">
        <w:rPr>
          <w:lang w:val="fr-FR"/>
        </w:rPr>
        <w:t>après dénommés respectivement “règlement d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 xml:space="preserve">exécution commun” et “Protocole”) et le nouveau </w:t>
      </w:r>
      <w:r w:rsidR="00793C0F" w:rsidRPr="00BC677B">
        <w:rPr>
          <w:lang w:val="fr-FR"/>
        </w:rPr>
        <w:t>point 7</w:t>
      </w:r>
      <w:r w:rsidRPr="00BC677B">
        <w:rPr>
          <w:lang w:val="fr-FR"/>
        </w:rPr>
        <w:t>.8 du barème des émoluments et taxes qui figure dans l</w:t>
      </w:r>
      <w:r w:rsidR="00793C0F" w:rsidRPr="00BC677B">
        <w:rPr>
          <w:lang w:val="fr-FR"/>
        </w:rPr>
        <w:t>’annexe I</w:t>
      </w:r>
      <w:r w:rsidRPr="00BC677B">
        <w:rPr>
          <w:lang w:val="fr-FR"/>
        </w:rPr>
        <w:t xml:space="preserve"> du rapport de ladite session</w:t>
      </w:r>
      <w:r w:rsidRPr="00BC677B">
        <w:rPr>
          <w:rStyle w:val="FootnoteReference"/>
          <w:lang w:val="fr-FR"/>
        </w:rPr>
        <w:footnoteReference w:id="2"/>
      </w:r>
      <w:r w:rsidRPr="00BC677B">
        <w:rPr>
          <w:lang w:val="fr-FR"/>
        </w:rPr>
        <w:t>.</w:t>
      </w:r>
      <w:r w:rsidR="005216C2">
        <w:rPr>
          <w:lang w:val="fr-FR"/>
        </w:rPr>
        <w:t xml:space="preserve">  </w:t>
      </w:r>
    </w:p>
    <w:p w:rsidR="00793C0F" w:rsidRPr="00BC677B" w:rsidRDefault="009675B3" w:rsidP="00E57548">
      <w:pPr>
        <w:pStyle w:val="ONUMFS"/>
        <w:rPr>
          <w:lang w:val="fr-FR"/>
        </w:rPr>
      </w:pPr>
      <w:r w:rsidRPr="00BC677B">
        <w:rPr>
          <w:lang w:val="fr-FR"/>
        </w:rPr>
        <w:t>En outre, le groupe de travail a demandé au Bureau international d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>établir un document contenant une proposition concernant la date d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 xml:space="preserve">entrée en vigueur de la </w:t>
      </w:r>
      <w:r w:rsidR="00793C0F" w:rsidRPr="00BC677B">
        <w:rPr>
          <w:lang w:val="fr-FR"/>
        </w:rPr>
        <w:t>règle 2</w:t>
      </w:r>
      <w:r w:rsidRPr="00BC677B">
        <w:rPr>
          <w:lang w:val="fr-FR"/>
        </w:rPr>
        <w:t>1 du règlement d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 xml:space="preserve">exécution commun modifiée ainsi que le montant de la taxe à indiquer au nouveau </w:t>
      </w:r>
      <w:r w:rsidR="00793C0F" w:rsidRPr="00BC677B">
        <w:rPr>
          <w:lang w:val="fr-FR"/>
        </w:rPr>
        <w:t>point 7</w:t>
      </w:r>
      <w:r w:rsidRPr="00BC677B">
        <w:rPr>
          <w:lang w:val="fr-FR"/>
        </w:rPr>
        <w:t>.8 du barème des émol</w:t>
      </w:r>
      <w:r w:rsidR="0042455E" w:rsidRPr="00BC677B">
        <w:rPr>
          <w:lang w:val="fr-FR"/>
        </w:rPr>
        <w:t>uments et taxes, pour examen à l</w:t>
      </w:r>
      <w:r w:rsidRPr="00BC677B">
        <w:rPr>
          <w:lang w:val="fr-FR"/>
        </w:rPr>
        <w:t>a session</w:t>
      </w:r>
      <w:r w:rsidR="0042455E" w:rsidRPr="00BC677B">
        <w:rPr>
          <w:lang w:val="fr-FR"/>
        </w:rPr>
        <w:t xml:space="preserve"> suivante</w:t>
      </w:r>
      <w:r w:rsidRPr="00BC677B">
        <w:rPr>
          <w:lang w:val="fr-FR"/>
        </w:rPr>
        <w:t>.</w:t>
      </w:r>
      <w:r w:rsidR="005216C2">
        <w:rPr>
          <w:lang w:val="fr-FR"/>
        </w:rPr>
        <w:t xml:space="preserve">  </w:t>
      </w:r>
    </w:p>
    <w:p w:rsidR="00802EC1" w:rsidRPr="00BC677B" w:rsidRDefault="002F1219" w:rsidP="00B62DA4">
      <w:pPr>
        <w:pStyle w:val="Heading1"/>
        <w:rPr>
          <w:lang w:val="fr-FR"/>
        </w:rPr>
      </w:pPr>
      <w:r w:rsidRPr="00BC677B">
        <w:rPr>
          <w:lang w:val="fr-FR"/>
        </w:rPr>
        <w:t xml:space="preserve">MISE EN </w:t>
      </w:r>
      <w:r w:rsidR="00793C0F" w:rsidRPr="00BC677B">
        <w:rPr>
          <w:lang w:val="fr-FR"/>
        </w:rPr>
        <w:t>ŒUVRE</w:t>
      </w:r>
      <w:r w:rsidRPr="00BC677B">
        <w:rPr>
          <w:lang w:val="fr-FR"/>
        </w:rPr>
        <w:t xml:space="preserve"> DES </w:t>
      </w:r>
      <w:r w:rsidR="00FC5356" w:rsidRPr="00BC677B">
        <w:rPr>
          <w:lang w:val="fr-FR"/>
        </w:rPr>
        <w:t>PROPOSITIONS DE MODIFICATION</w:t>
      </w:r>
      <w:r w:rsidRPr="00BC677B">
        <w:rPr>
          <w:lang w:val="fr-FR"/>
        </w:rPr>
        <w:t xml:space="preserve"> PAR LES PARTIES CONTRACTANTES</w:t>
      </w:r>
    </w:p>
    <w:p w:rsidR="00802EC1" w:rsidRPr="00BC677B" w:rsidRDefault="00802EC1" w:rsidP="00BC677B">
      <w:pPr>
        <w:keepNext/>
        <w:keepLines/>
        <w:rPr>
          <w:lang w:val="fr-FR"/>
        </w:rPr>
      </w:pPr>
    </w:p>
    <w:p w:rsidR="00793C0F" w:rsidRPr="00BC677B" w:rsidRDefault="002F1219" w:rsidP="00B201FC">
      <w:pPr>
        <w:pStyle w:val="ONUMFS"/>
        <w:rPr>
          <w:lang w:val="fr-FR"/>
        </w:rPr>
      </w:pPr>
      <w:r w:rsidRPr="00BC677B">
        <w:rPr>
          <w:lang w:val="fr-FR"/>
        </w:rPr>
        <w:t>Lors des délibérations relatives à une date possibl</w:t>
      </w:r>
      <w:r w:rsidR="00BD0EA0" w:rsidRPr="00BC677B">
        <w:rPr>
          <w:lang w:val="fr-FR"/>
        </w:rPr>
        <w:t>e d</w:t>
      </w:r>
      <w:r w:rsidR="00793C0F" w:rsidRPr="00BC677B">
        <w:rPr>
          <w:lang w:val="fr-FR"/>
        </w:rPr>
        <w:t>’</w:t>
      </w:r>
      <w:proofErr w:type="spellStart"/>
      <w:r w:rsidR="00BD0EA0" w:rsidRPr="00BC677B">
        <w:rPr>
          <w:lang w:val="fr-FR"/>
        </w:rPr>
        <w:t>entrée</w:t>
      </w:r>
      <w:proofErr w:type="spellEnd"/>
      <w:r w:rsidR="00BD0EA0" w:rsidRPr="00BC677B">
        <w:rPr>
          <w:lang w:val="fr-FR"/>
        </w:rPr>
        <w:t xml:space="preserve"> </w:t>
      </w:r>
      <w:r w:rsidRPr="00BC677B">
        <w:rPr>
          <w:lang w:val="fr-FR"/>
        </w:rPr>
        <w:t xml:space="preserve">en vigueur des </w:t>
      </w:r>
      <w:r w:rsidR="009E143F" w:rsidRPr="00BC677B">
        <w:rPr>
          <w:lang w:val="fr-FR"/>
        </w:rPr>
        <w:t>propositions de modification de</w:t>
      </w:r>
      <w:r w:rsidRPr="00BC677B">
        <w:rPr>
          <w:lang w:val="fr-FR"/>
        </w:rPr>
        <w:t xml:space="preserve"> la </w:t>
      </w:r>
      <w:r w:rsidR="00793C0F" w:rsidRPr="00BC677B">
        <w:rPr>
          <w:lang w:val="fr-FR"/>
        </w:rPr>
        <w:t>règle 2</w:t>
      </w:r>
      <w:r w:rsidRPr="00BC677B">
        <w:rPr>
          <w:lang w:val="fr-FR"/>
        </w:rPr>
        <w:t>1 du règlement d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 xml:space="preserve">exécution commun, plusieurs délégations participant au groupe de travail ont fait observer que la mise en </w:t>
      </w:r>
      <w:r w:rsidR="00433BD2" w:rsidRPr="00BC677B">
        <w:rPr>
          <w:lang w:val="fr-FR"/>
        </w:rPr>
        <w:t>œuvre</w:t>
      </w:r>
      <w:r w:rsidRPr="00BC677B">
        <w:rPr>
          <w:lang w:val="fr-FR"/>
        </w:rPr>
        <w:t xml:space="preserve"> de ces modifications </w:t>
      </w:r>
      <w:r w:rsidRPr="00BC677B">
        <w:rPr>
          <w:lang w:val="fr-FR"/>
        </w:rPr>
        <w:lastRenderedPageBreak/>
        <w:t>nécessiterait d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>apporter des changements importants sur les plans des normes et des procédur</w:t>
      </w:r>
      <w:r w:rsidR="00BE4BF0" w:rsidRPr="00BC677B">
        <w:rPr>
          <w:lang w:val="fr-FR"/>
        </w:rPr>
        <w:t>es.  Ce</w:t>
      </w:r>
      <w:r w:rsidR="001B6C33" w:rsidRPr="00BC677B">
        <w:rPr>
          <w:lang w:val="fr-FR"/>
        </w:rPr>
        <w:t xml:space="preserve">rtaines délégations ont indiqué que ces </w:t>
      </w:r>
      <w:r w:rsidR="00853933" w:rsidRPr="00BC677B">
        <w:rPr>
          <w:lang w:val="fr-FR"/>
        </w:rPr>
        <w:t xml:space="preserve">changements </w:t>
      </w:r>
      <w:r w:rsidR="001B6C33" w:rsidRPr="00BC677B">
        <w:rPr>
          <w:lang w:val="fr-FR"/>
        </w:rPr>
        <w:t>pourraient être particulièrement contraignants pour les parties contractantes qui avaient déjà mis en place un</w:t>
      </w:r>
      <w:r w:rsidR="004E464E">
        <w:rPr>
          <w:lang w:val="fr-FR"/>
        </w:rPr>
        <w:t> </w:t>
      </w:r>
      <w:r w:rsidR="001B6C33" w:rsidRPr="00BC677B">
        <w:rPr>
          <w:lang w:val="fr-FR"/>
        </w:rPr>
        <w:t xml:space="preserve">cadre </w:t>
      </w:r>
      <w:r w:rsidR="004E58D3">
        <w:rPr>
          <w:lang w:val="fr-FR"/>
        </w:rPr>
        <w:t xml:space="preserve">juridique </w:t>
      </w:r>
      <w:r w:rsidR="001B6C33" w:rsidRPr="00BC677B">
        <w:rPr>
          <w:lang w:val="fr-FR"/>
        </w:rPr>
        <w:t>et des procédures pour prendre note, dans leur registre, du fait qu</w:t>
      </w:r>
      <w:r w:rsidR="00793C0F" w:rsidRPr="00BC677B">
        <w:rPr>
          <w:lang w:val="fr-FR"/>
        </w:rPr>
        <w:t>’</w:t>
      </w:r>
      <w:r w:rsidR="001B6C33" w:rsidRPr="00BC677B">
        <w:rPr>
          <w:lang w:val="fr-FR"/>
        </w:rPr>
        <w:t>un enregistrement national ou régional a été remplacé par un enregistrement international, conformément à l</w:t>
      </w:r>
      <w:r w:rsidR="00793C0F" w:rsidRPr="00BC677B">
        <w:rPr>
          <w:lang w:val="fr-FR"/>
        </w:rPr>
        <w:t>’article 4</w:t>
      </w:r>
      <w:r w:rsidR="001B6C33" w:rsidRPr="00BC677B">
        <w:rPr>
          <w:i/>
          <w:lang w:val="fr-FR"/>
        </w:rPr>
        <w:t>bis</w:t>
      </w:r>
      <w:r w:rsidR="00AA201A" w:rsidRPr="00BC677B">
        <w:rPr>
          <w:lang w:val="fr-FR"/>
        </w:rPr>
        <w:t>.2</w:t>
      </w:r>
      <w:r w:rsidR="008E6194">
        <w:rPr>
          <w:lang w:val="fr-FR"/>
        </w:rPr>
        <w:t>)</w:t>
      </w:r>
      <w:r w:rsidR="001B6C33" w:rsidRPr="00BC677B">
        <w:rPr>
          <w:lang w:val="fr-FR"/>
        </w:rPr>
        <w:t xml:space="preserve"> du Protocole de Madr</w:t>
      </w:r>
      <w:r w:rsidR="00BE4BF0" w:rsidRPr="00BC677B">
        <w:rPr>
          <w:lang w:val="fr-FR"/>
        </w:rPr>
        <w:t>id.  D’a</w:t>
      </w:r>
      <w:r w:rsidR="00BB5390" w:rsidRPr="00BC677B">
        <w:rPr>
          <w:lang w:val="fr-FR"/>
        </w:rPr>
        <w:t xml:space="preserve">utres délégations ont mentionné que </w:t>
      </w:r>
      <w:r w:rsidR="008717E6" w:rsidRPr="00BC677B">
        <w:rPr>
          <w:lang w:val="fr-FR"/>
        </w:rPr>
        <w:t>de tels</w:t>
      </w:r>
      <w:r w:rsidR="00BB5390" w:rsidRPr="00BC677B">
        <w:rPr>
          <w:lang w:val="fr-FR"/>
        </w:rPr>
        <w:t xml:space="preserve"> </w:t>
      </w:r>
      <w:r w:rsidR="00853933" w:rsidRPr="00BC677B">
        <w:rPr>
          <w:lang w:val="fr-FR"/>
        </w:rPr>
        <w:t xml:space="preserve">changements </w:t>
      </w:r>
      <w:r w:rsidR="00BB5390" w:rsidRPr="00BC677B">
        <w:rPr>
          <w:lang w:val="fr-FR"/>
        </w:rPr>
        <w:t>aurai</w:t>
      </w:r>
      <w:r w:rsidR="00760443" w:rsidRPr="00BC677B">
        <w:rPr>
          <w:lang w:val="fr-FR"/>
        </w:rPr>
        <w:t>e</w:t>
      </w:r>
      <w:r w:rsidR="00271826" w:rsidRPr="00BC677B">
        <w:rPr>
          <w:lang w:val="fr-FR"/>
        </w:rPr>
        <w:t>n</w:t>
      </w:r>
      <w:r w:rsidR="00BB5390" w:rsidRPr="00BC677B">
        <w:rPr>
          <w:lang w:val="fr-FR"/>
        </w:rPr>
        <w:t xml:space="preserve">t également des conséquences sur les systèmes </w:t>
      </w:r>
      <w:r w:rsidR="00DD084F">
        <w:rPr>
          <w:lang w:val="fr-FR"/>
        </w:rPr>
        <w:t>de</w:t>
      </w:r>
      <w:r w:rsidR="00B201FC" w:rsidRPr="00B201FC">
        <w:rPr>
          <w:lang w:val="fr-FR"/>
        </w:rPr>
        <w:t xml:space="preserve"> technologies de l’information et de la communication</w:t>
      </w:r>
      <w:r w:rsidR="00BB5390" w:rsidRPr="00BC677B">
        <w:rPr>
          <w:lang w:val="fr-FR"/>
        </w:rPr>
        <w:t xml:space="preserve"> des parties contractant</w:t>
      </w:r>
      <w:r w:rsidR="00BE4BF0" w:rsidRPr="00BC677B">
        <w:rPr>
          <w:lang w:val="fr-FR"/>
        </w:rPr>
        <w:t xml:space="preserve">es.  </w:t>
      </w:r>
      <w:r w:rsidR="00821538" w:rsidRPr="00384158">
        <w:rPr>
          <w:lang w:val="fr-FR"/>
        </w:rPr>
        <w:t>Les</w:t>
      </w:r>
      <w:r w:rsidR="00BB5390" w:rsidRPr="00BC677B">
        <w:rPr>
          <w:lang w:val="fr-FR"/>
        </w:rPr>
        <w:t xml:space="preserve"> délégations ont demandé à ce que le Bureau international tienne compte des points susmentionnés lorsqu</w:t>
      </w:r>
      <w:r w:rsidR="00793C0F" w:rsidRPr="00BC677B">
        <w:rPr>
          <w:lang w:val="fr-FR"/>
        </w:rPr>
        <w:t>’</w:t>
      </w:r>
      <w:r w:rsidR="00BB5390" w:rsidRPr="00BC677B">
        <w:rPr>
          <w:lang w:val="fr-FR"/>
        </w:rPr>
        <w:t>il proposerait une date d</w:t>
      </w:r>
      <w:r w:rsidR="00793C0F" w:rsidRPr="00BC677B">
        <w:rPr>
          <w:lang w:val="fr-FR"/>
        </w:rPr>
        <w:t>’</w:t>
      </w:r>
      <w:r w:rsidR="00BB5390" w:rsidRPr="00BC677B">
        <w:rPr>
          <w:lang w:val="fr-FR"/>
        </w:rPr>
        <w:t xml:space="preserve">entrée en vigueur des </w:t>
      </w:r>
      <w:r w:rsidR="00FC5356" w:rsidRPr="00BC677B">
        <w:rPr>
          <w:lang w:val="fr-FR"/>
        </w:rPr>
        <w:t xml:space="preserve">propositions de </w:t>
      </w:r>
      <w:r w:rsidR="00BB5390" w:rsidRPr="00BC677B">
        <w:rPr>
          <w:lang w:val="fr-FR"/>
        </w:rPr>
        <w:t>mo</w:t>
      </w:r>
      <w:r w:rsidR="00FC5356" w:rsidRPr="00BC677B">
        <w:rPr>
          <w:lang w:val="fr-FR"/>
        </w:rPr>
        <w:t>dification</w:t>
      </w:r>
      <w:r w:rsidR="00BB5390" w:rsidRPr="00BC677B">
        <w:rPr>
          <w:lang w:val="fr-FR"/>
        </w:rPr>
        <w:t>.</w:t>
      </w:r>
      <w:r w:rsidR="004E464E">
        <w:rPr>
          <w:lang w:val="fr-FR"/>
        </w:rPr>
        <w:t xml:space="preserve">  </w:t>
      </w:r>
    </w:p>
    <w:p w:rsidR="00793C0F" w:rsidRPr="00BC677B" w:rsidRDefault="00814B28" w:rsidP="00E57548">
      <w:pPr>
        <w:pStyle w:val="ONUMFS"/>
        <w:rPr>
          <w:lang w:val="fr-FR"/>
        </w:rPr>
      </w:pPr>
      <w:r w:rsidRPr="00BC677B">
        <w:rPr>
          <w:lang w:val="fr-FR"/>
        </w:rPr>
        <w:t>Par ailleurs, il semblait qu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>aucun consensus ne s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 xml:space="preserve">était dégagé sur le délai </w:t>
      </w:r>
      <w:r w:rsidR="00457EDF" w:rsidRPr="00BC677B">
        <w:rPr>
          <w:lang w:val="fr-FR"/>
        </w:rPr>
        <w:t>qui serait nécessaire aux</w:t>
      </w:r>
      <w:r w:rsidRPr="00BC677B">
        <w:rPr>
          <w:lang w:val="fr-FR"/>
        </w:rPr>
        <w:t xml:space="preserve"> parties contractantes pour mettre en </w:t>
      </w:r>
      <w:r w:rsidR="00802EC1" w:rsidRPr="00BC677B">
        <w:rPr>
          <w:lang w:val="fr-FR"/>
        </w:rPr>
        <w:t>œuvre</w:t>
      </w:r>
      <w:r w:rsidRPr="00BC677B">
        <w:rPr>
          <w:lang w:val="fr-FR"/>
        </w:rPr>
        <w:t xml:space="preserve"> les changements précit</w:t>
      </w:r>
      <w:r w:rsidR="00BE4BF0" w:rsidRPr="00BC677B">
        <w:rPr>
          <w:lang w:val="fr-FR"/>
        </w:rPr>
        <w:t>és.  Le</w:t>
      </w:r>
      <w:r w:rsidR="000337EE" w:rsidRPr="00BC677B">
        <w:rPr>
          <w:lang w:val="fr-FR"/>
        </w:rPr>
        <w:t> </w:t>
      </w:r>
      <w:r w:rsidR="003A7A79" w:rsidRPr="00BC677B">
        <w:rPr>
          <w:lang w:val="fr-FR"/>
        </w:rPr>
        <w:t xml:space="preserve">président du groupe de travail a proposé que les délégations se concertent avec les </w:t>
      </w:r>
      <w:r w:rsidR="008E6194">
        <w:rPr>
          <w:lang w:val="fr-FR"/>
        </w:rPr>
        <w:t>autorités</w:t>
      </w:r>
      <w:r w:rsidR="003A7A79" w:rsidRPr="00BC677B">
        <w:rPr>
          <w:lang w:val="fr-FR"/>
        </w:rPr>
        <w:t xml:space="preserve"> nationa</w:t>
      </w:r>
      <w:r w:rsidR="008E6194">
        <w:rPr>
          <w:lang w:val="fr-FR"/>
        </w:rPr>
        <w:t>les</w:t>
      </w:r>
      <w:r w:rsidR="003A7A79" w:rsidRPr="00BC677B">
        <w:rPr>
          <w:lang w:val="fr-FR"/>
        </w:rPr>
        <w:t xml:space="preserve"> ou régiona</w:t>
      </w:r>
      <w:r w:rsidR="008E6194">
        <w:rPr>
          <w:lang w:val="fr-FR"/>
        </w:rPr>
        <w:t>les</w:t>
      </w:r>
      <w:r w:rsidR="003A7A79" w:rsidRPr="00BC677B">
        <w:rPr>
          <w:lang w:val="fr-FR"/>
        </w:rPr>
        <w:t xml:space="preserve"> compétent</w:t>
      </w:r>
      <w:r w:rsidR="008E6194">
        <w:rPr>
          <w:lang w:val="fr-FR"/>
        </w:rPr>
        <w:t>e</w:t>
      </w:r>
      <w:r w:rsidR="003A7A79" w:rsidRPr="00BC677B">
        <w:rPr>
          <w:lang w:val="fr-FR"/>
        </w:rPr>
        <w:t xml:space="preserve">s afin de définir le délai de mise en </w:t>
      </w:r>
      <w:r w:rsidR="00433BD2" w:rsidRPr="00BC677B">
        <w:rPr>
          <w:lang w:val="fr-FR"/>
        </w:rPr>
        <w:t>œuvre</w:t>
      </w:r>
      <w:r w:rsidR="003A7A79" w:rsidRPr="00BC677B">
        <w:rPr>
          <w:lang w:val="fr-FR"/>
        </w:rPr>
        <w:t xml:space="preserve"> et que cette question soit examinée plus avant à la session suivante du groupe de travail.  </w:t>
      </w:r>
    </w:p>
    <w:p w:rsidR="00793C0F" w:rsidRPr="00BC677B" w:rsidRDefault="003A7A79" w:rsidP="00E57548">
      <w:pPr>
        <w:pStyle w:val="ONUMFS"/>
        <w:rPr>
          <w:lang w:val="fr-FR"/>
        </w:rPr>
      </w:pPr>
      <w:r w:rsidRPr="00BC677B">
        <w:rPr>
          <w:lang w:val="fr-FR"/>
        </w:rPr>
        <w:t>Le groupe de travail est invité à examiner la question exposée au paragraphe précédent e</w:t>
      </w:r>
      <w:r w:rsidR="00BA6502" w:rsidRPr="00BC677B">
        <w:rPr>
          <w:lang w:val="fr-FR"/>
        </w:rPr>
        <w:t>t à</w:t>
      </w:r>
      <w:r w:rsidRPr="00BC677B">
        <w:rPr>
          <w:lang w:val="fr-FR"/>
        </w:rPr>
        <w:t xml:space="preserve"> indiqu</w:t>
      </w:r>
      <w:r w:rsidR="00BA6502" w:rsidRPr="00BC677B">
        <w:rPr>
          <w:lang w:val="fr-FR"/>
        </w:rPr>
        <w:t>er</w:t>
      </w:r>
      <w:r w:rsidRPr="00BC677B">
        <w:rPr>
          <w:lang w:val="fr-FR"/>
        </w:rPr>
        <w:t xml:space="preserve"> le délai qui serait nécessaire aux parties contractantes pour mettre en </w:t>
      </w:r>
      <w:r w:rsidR="00433BD2" w:rsidRPr="00BC677B">
        <w:rPr>
          <w:lang w:val="fr-FR"/>
        </w:rPr>
        <w:t>œuvre</w:t>
      </w:r>
      <w:r w:rsidRPr="00BC677B">
        <w:rPr>
          <w:lang w:val="fr-FR"/>
        </w:rPr>
        <w:t xml:space="preserve"> la </w:t>
      </w:r>
      <w:r w:rsidR="00793C0F" w:rsidRPr="00BC677B">
        <w:rPr>
          <w:lang w:val="fr-FR"/>
        </w:rPr>
        <w:t>règle 2</w:t>
      </w:r>
      <w:r w:rsidRPr="00BC677B">
        <w:rPr>
          <w:lang w:val="fr-FR"/>
        </w:rPr>
        <w:t xml:space="preserve">1 modifiée et, en particulier, le mécanisme de dépôt centralisé facultatif prévu </w:t>
      </w:r>
      <w:r w:rsidR="006A5465">
        <w:rPr>
          <w:lang w:val="fr-FR"/>
        </w:rPr>
        <w:t>par</w:t>
      </w:r>
      <w:r w:rsidRPr="00BC677B">
        <w:rPr>
          <w:lang w:val="fr-FR"/>
        </w:rPr>
        <w:t xml:space="preserve"> </w:t>
      </w:r>
      <w:r w:rsidR="006257B5" w:rsidRPr="00BC677B">
        <w:rPr>
          <w:lang w:val="fr-FR"/>
        </w:rPr>
        <w:t>la</w:t>
      </w:r>
      <w:r w:rsidRPr="00BC677B">
        <w:rPr>
          <w:lang w:val="fr-FR"/>
        </w:rPr>
        <w:t xml:space="preserve"> règle</w:t>
      </w:r>
      <w:r w:rsidR="006257B5" w:rsidRPr="00BC677B">
        <w:rPr>
          <w:lang w:val="fr-FR"/>
        </w:rPr>
        <w:t xml:space="preserve"> modifiée</w:t>
      </w:r>
      <w:r w:rsidRPr="00BC677B">
        <w:rPr>
          <w:lang w:val="fr-FR"/>
        </w:rPr>
        <w:t>.</w:t>
      </w:r>
      <w:r w:rsidR="004E464E">
        <w:rPr>
          <w:lang w:val="fr-FR"/>
        </w:rPr>
        <w:t xml:space="preserve">  </w:t>
      </w:r>
    </w:p>
    <w:p w:rsidR="00802EC1" w:rsidRPr="00BC677B" w:rsidRDefault="00B62DA4" w:rsidP="00B62DA4">
      <w:pPr>
        <w:pStyle w:val="Heading1"/>
        <w:rPr>
          <w:lang w:val="fr-FR"/>
        </w:rPr>
      </w:pPr>
      <w:r w:rsidRPr="00BC677B">
        <w:rPr>
          <w:lang w:val="fr-FR"/>
        </w:rPr>
        <w:t>MISE EN ŒUVRE DES PROPOSITIONS DE MODIFICATION PAR LE BUREAU INTERNATIONAL</w:t>
      </w:r>
    </w:p>
    <w:p w:rsidR="00802EC1" w:rsidRPr="00BC677B" w:rsidRDefault="00802EC1" w:rsidP="00DE3858">
      <w:pPr>
        <w:rPr>
          <w:lang w:val="fr-FR"/>
        </w:rPr>
      </w:pPr>
    </w:p>
    <w:p w:rsidR="00793C0F" w:rsidRPr="00BC677B" w:rsidRDefault="00AE1ABE" w:rsidP="00E57548">
      <w:pPr>
        <w:pStyle w:val="ONUMFS"/>
        <w:rPr>
          <w:lang w:val="fr-FR"/>
        </w:rPr>
      </w:pPr>
      <w:r w:rsidRPr="00BC677B">
        <w:rPr>
          <w:lang w:val="fr-FR"/>
        </w:rPr>
        <w:t>À la quinz</w:t>
      </w:r>
      <w:r w:rsidR="00793C0F" w:rsidRPr="00BC677B">
        <w:rPr>
          <w:lang w:val="fr-FR"/>
        </w:rPr>
        <w:t>ième session</w:t>
      </w:r>
      <w:r w:rsidRPr="00BC677B">
        <w:rPr>
          <w:lang w:val="fr-FR"/>
        </w:rPr>
        <w:t xml:space="preserve"> du groupe de travail, le Secrétariat a indiqué que l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 xml:space="preserve">on ne savait pas, à ce stade, combien de temps et de ressources seraient nécessaires pour mettre en </w:t>
      </w:r>
      <w:r w:rsidR="00433BD2" w:rsidRPr="00BC677B">
        <w:rPr>
          <w:lang w:val="fr-FR"/>
        </w:rPr>
        <w:t>œuvre</w:t>
      </w:r>
      <w:r w:rsidRPr="00BC677B">
        <w:rPr>
          <w:lang w:val="fr-FR"/>
        </w:rPr>
        <w:t xml:space="preserve"> les </w:t>
      </w:r>
      <w:r w:rsidR="00384158">
        <w:rPr>
          <w:lang w:val="fr-FR"/>
        </w:rPr>
        <w:t>éventuelles</w:t>
      </w:r>
      <w:r w:rsidR="00384158" w:rsidRPr="00BC677B">
        <w:rPr>
          <w:lang w:val="fr-FR"/>
        </w:rPr>
        <w:t xml:space="preserve"> </w:t>
      </w:r>
      <w:r w:rsidRPr="00BC677B">
        <w:rPr>
          <w:lang w:val="fr-FR"/>
        </w:rPr>
        <w:t>nouvelles procédures</w:t>
      </w:r>
      <w:r w:rsidR="00384158">
        <w:rPr>
          <w:lang w:val="fr-FR"/>
        </w:rPr>
        <w:t xml:space="preserve"> </w:t>
      </w:r>
      <w:r w:rsidRPr="00BC677B">
        <w:rPr>
          <w:lang w:val="fr-FR"/>
        </w:rPr>
        <w:t xml:space="preserve">relatives à un mécanisme de dépôt centralisé facultatif au titre des </w:t>
      </w:r>
      <w:r w:rsidR="00E0179D" w:rsidRPr="00BC677B">
        <w:rPr>
          <w:lang w:val="fr-FR"/>
        </w:rPr>
        <w:t xml:space="preserve">propositions de modification de la </w:t>
      </w:r>
      <w:r w:rsidR="00793C0F" w:rsidRPr="00BC677B">
        <w:rPr>
          <w:lang w:val="fr-FR"/>
        </w:rPr>
        <w:t>règle 2</w:t>
      </w:r>
      <w:r w:rsidRPr="00BC677B">
        <w:rPr>
          <w:lang w:val="fr-FR"/>
        </w:rPr>
        <w:t>1 du règlement d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>exécution comm</w:t>
      </w:r>
      <w:r w:rsidR="00BE4BF0" w:rsidRPr="00BC677B">
        <w:rPr>
          <w:lang w:val="fr-FR"/>
        </w:rPr>
        <w:t>un.  Le</w:t>
      </w:r>
      <w:r w:rsidR="00161BA2" w:rsidRPr="00BC677B">
        <w:rPr>
          <w:lang w:val="fr-FR"/>
        </w:rPr>
        <w:t> </w:t>
      </w:r>
      <w:r w:rsidRPr="00BC677B">
        <w:rPr>
          <w:lang w:val="fr-FR"/>
        </w:rPr>
        <w:t>Secrétariat a indiqué que la mise au point et l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>automatisation des procédures concernées étaient plus compliquées et nécessitaient davantage de ressources qu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>il n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>y paraissait à première vue.</w:t>
      </w:r>
    </w:p>
    <w:p w:rsidR="00793C0F" w:rsidRPr="00BC677B" w:rsidRDefault="00AE1ABE" w:rsidP="00E57548">
      <w:pPr>
        <w:pStyle w:val="ONUMFS"/>
        <w:rPr>
          <w:lang w:val="fr-FR"/>
        </w:rPr>
      </w:pPr>
      <w:r w:rsidRPr="00BC677B">
        <w:rPr>
          <w:lang w:val="fr-FR"/>
        </w:rPr>
        <w:t>À cet égard, il convient de noter que, comme il ressort d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>une décision adoptée par les États membres de l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 xml:space="preserve">OMPI, le système de Madrid met actuellement en </w:t>
      </w:r>
      <w:r w:rsidR="008F1AFF" w:rsidRPr="00BC677B">
        <w:rPr>
          <w:lang w:val="fr-FR"/>
        </w:rPr>
        <w:t>œuvre</w:t>
      </w:r>
      <w:r w:rsidRPr="00BC677B">
        <w:rPr>
          <w:lang w:val="fr-FR"/>
        </w:rPr>
        <w:t xml:space="preserve"> un projet relatif à une plateforme informatique, dont l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 xml:space="preserve">objet est </w:t>
      </w:r>
      <w:r w:rsidR="00793C0F" w:rsidRPr="00BC677B">
        <w:rPr>
          <w:lang w:val="fr-FR"/>
        </w:rPr>
        <w:t>“d</w:t>
      </w:r>
      <w:r w:rsidRPr="00BC677B">
        <w:rPr>
          <w:lang w:val="fr-FR"/>
        </w:rPr>
        <w:t>e concevoir, de planifier et de mettre en œuvre les éléments essentiels d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>une solution opérationnelle complète, moderne et flexible pour tous les services fournis dan</w:t>
      </w:r>
      <w:r w:rsidR="006759C7" w:rsidRPr="00BC677B">
        <w:rPr>
          <w:lang w:val="fr-FR"/>
        </w:rPr>
        <w:t>s le cadre du système de Madrid</w:t>
      </w:r>
      <w:r w:rsidR="00BE4BF0" w:rsidRPr="00BC677B">
        <w:rPr>
          <w:lang w:val="fr-FR"/>
        </w:rPr>
        <w:t>”</w:t>
      </w:r>
      <w:r w:rsidR="004E464E" w:rsidRPr="00BC677B">
        <w:rPr>
          <w:rStyle w:val="FootnoteReference"/>
          <w:lang w:val="fr-FR"/>
        </w:rPr>
        <w:footnoteReference w:id="3"/>
      </w:r>
      <w:r w:rsidR="006759C7" w:rsidRPr="00BC677B">
        <w:rPr>
          <w:lang w:val="fr-FR"/>
        </w:rPr>
        <w:t>.</w:t>
      </w:r>
      <w:r w:rsidR="005216C2">
        <w:rPr>
          <w:lang w:val="fr-FR"/>
        </w:rPr>
        <w:t xml:space="preserve">  </w:t>
      </w:r>
    </w:p>
    <w:p w:rsidR="00793C0F" w:rsidRPr="00BC677B" w:rsidRDefault="009A6CC2" w:rsidP="00E57548">
      <w:pPr>
        <w:pStyle w:val="ONUMFS"/>
        <w:rPr>
          <w:lang w:val="fr-FR"/>
        </w:rPr>
      </w:pPr>
      <w:r w:rsidRPr="00BC677B">
        <w:rPr>
          <w:lang w:val="fr-FR"/>
        </w:rPr>
        <w:t xml:space="preserve">Dans le cadre de ce projet, le Bureau international mènera un examen approfondi de tous les services </w:t>
      </w:r>
      <w:r w:rsidR="00DA3C64" w:rsidRPr="00BC677B">
        <w:rPr>
          <w:lang w:val="fr-FR"/>
        </w:rPr>
        <w:t>qu</w:t>
      </w:r>
      <w:r w:rsidR="00793C0F" w:rsidRPr="00BC677B">
        <w:rPr>
          <w:lang w:val="fr-FR"/>
        </w:rPr>
        <w:t>’</w:t>
      </w:r>
      <w:r w:rsidR="00DA3C64" w:rsidRPr="00BC677B">
        <w:rPr>
          <w:lang w:val="fr-FR"/>
        </w:rPr>
        <w:t xml:space="preserve">il fournit dans le cadre </w:t>
      </w:r>
      <w:r w:rsidRPr="00BC677B">
        <w:rPr>
          <w:lang w:val="fr-FR"/>
        </w:rPr>
        <w:t>du système de Madrid</w:t>
      </w:r>
      <w:r w:rsidR="001E17A9" w:rsidRPr="00BC677B">
        <w:rPr>
          <w:lang w:val="fr-FR"/>
        </w:rPr>
        <w:t>,</w:t>
      </w:r>
      <w:r w:rsidRPr="00BC677B">
        <w:rPr>
          <w:lang w:val="fr-FR"/>
        </w:rPr>
        <w:t xml:space="preserve"> en vue de mettre au point une plateforme </w:t>
      </w:r>
      <w:r w:rsidR="00C74CF3" w:rsidRPr="00BC677B">
        <w:rPr>
          <w:lang w:val="fr-FR"/>
        </w:rPr>
        <w:t>complète</w:t>
      </w:r>
      <w:r w:rsidRPr="00BC677B">
        <w:rPr>
          <w:lang w:val="fr-FR"/>
        </w:rPr>
        <w:t>, axée sur les clients, afin de fournir ces services avec la qualité, la souplesse et la rapidité attendues par les utilisateurs.</w:t>
      </w:r>
    </w:p>
    <w:p w:rsidR="00793C0F" w:rsidRPr="00BC677B" w:rsidRDefault="001E0EF0" w:rsidP="00E57548">
      <w:pPr>
        <w:pStyle w:val="ONUMFS"/>
        <w:rPr>
          <w:lang w:val="fr-FR"/>
        </w:rPr>
      </w:pPr>
      <w:r w:rsidRPr="00BC677B">
        <w:rPr>
          <w:lang w:val="fr-FR"/>
        </w:rPr>
        <w:t>De ce fait, il semblerait judicieux de reporter l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>introduction de nouvelles procédures automatisées tant que l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>examen susmentionné n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 xml:space="preserve">a pas été mené à bien et que les travaux relatifs aux améliorations </w:t>
      </w:r>
      <w:r w:rsidR="00C2794B" w:rsidRPr="00BC677B">
        <w:rPr>
          <w:lang w:val="fr-FR"/>
        </w:rPr>
        <w:t xml:space="preserve">nécessaires </w:t>
      </w:r>
      <w:r w:rsidRPr="00BC677B">
        <w:rPr>
          <w:lang w:val="fr-FR"/>
        </w:rPr>
        <w:t xml:space="preserve">et à la mise au point de nouveaux systèmes </w:t>
      </w:r>
      <w:r w:rsidR="00C2794B" w:rsidRPr="00BC677B">
        <w:rPr>
          <w:lang w:val="fr-FR"/>
        </w:rPr>
        <w:t>dont il est fait mention</w:t>
      </w:r>
      <w:r w:rsidRPr="00BC677B">
        <w:rPr>
          <w:lang w:val="fr-FR"/>
        </w:rPr>
        <w:t xml:space="preserve"> au paragraphe précédent n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>ont pas commencé.</w:t>
      </w:r>
      <w:r w:rsidR="004E464E">
        <w:rPr>
          <w:lang w:val="fr-FR"/>
        </w:rPr>
        <w:t xml:space="preserve">  </w:t>
      </w:r>
    </w:p>
    <w:p w:rsidR="00793C0F" w:rsidRPr="00BC677B" w:rsidRDefault="00572110" w:rsidP="004E464E">
      <w:pPr>
        <w:pStyle w:val="ONUMFS"/>
        <w:keepNext/>
        <w:keepLines/>
        <w:rPr>
          <w:lang w:val="fr-FR"/>
        </w:rPr>
      </w:pPr>
      <w:r w:rsidRPr="00BC677B">
        <w:rPr>
          <w:lang w:val="fr-FR"/>
        </w:rPr>
        <w:lastRenderedPageBreak/>
        <w:t>Compte tenu de ce qui précède, le Bureau international n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>est pas en mesure, à ce stade, de recommander une date possible d</w:t>
      </w:r>
      <w:r w:rsidR="00793C0F" w:rsidRPr="00BC677B">
        <w:rPr>
          <w:lang w:val="fr-FR"/>
        </w:rPr>
        <w:t>’</w:t>
      </w:r>
      <w:proofErr w:type="spellStart"/>
      <w:r w:rsidRPr="00BC677B">
        <w:rPr>
          <w:lang w:val="fr-FR"/>
        </w:rPr>
        <w:t>entrée</w:t>
      </w:r>
      <w:proofErr w:type="spellEnd"/>
      <w:r w:rsidRPr="00BC677B">
        <w:rPr>
          <w:lang w:val="fr-FR"/>
        </w:rPr>
        <w:t xml:space="preserve"> en vigueur des </w:t>
      </w:r>
      <w:r w:rsidR="00DE6E59" w:rsidRPr="00BC677B">
        <w:rPr>
          <w:lang w:val="fr-FR"/>
        </w:rPr>
        <w:t xml:space="preserve">propositions de modification de la </w:t>
      </w:r>
      <w:r w:rsidR="00793C0F" w:rsidRPr="00000FEC">
        <w:rPr>
          <w:lang w:val="fr-FR"/>
        </w:rPr>
        <w:t>règle 2</w:t>
      </w:r>
      <w:r w:rsidRPr="00000FEC">
        <w:rPr>
          <w:lang w:val="fr-FR"/>
        </w:rPr>
        <w:t>1 du règlement d</w:t>
      </w:r>
      <w:r w:rsidR="00793C0F" w:rsidRPr="00000FEC">
        <w:rPr>
          <w:lang w:val="fr-FR"/>
        </w:rPr>
        <w:t>’</w:t>
      </w:r>
      <w:r w:rsidRPr="00000FEC">
        <w:rPr>
          <w:lang w:val="fr-FR"/>
        </w:rPr>
        <w:t xml:space="preserve">exécution commun, en particulier des modifications concernant la mise en </w:t>
      </w:r>
      <w:r w:rsidR="00433BD2" w:rsidRPr="00000FEC">
        <w:rPr>
          <w:lang w:val="fr-FR"/>
        </w:rPr>
        <w:t>œuvre</w:t>
      </w:r>
      <w:r w:rsidRPr="00000FEC">
        <w:rPr>
          <w:lang w:val="fr-FR"/>
        </w:rPr>
        <w:t xml:space="preserve"> d</w:t>
      </w:r>
      <w:r w:rsidR="00793C0F" w:rsidRPr="00000FEC">
        <w:rPr>
          <w:lang w:val="fr-FR"/>
        </w:rPr>
        <w:t>’</w:t>
      </w:r>
      <w:r w:rsidRPr="00000FEC">
        <w:rPr>
          <w:lang w:val="fr-FR"/>
        </w:rPr>
        <w:t xml:space="preserve">un mécanisme de dépôt centralisé facultatif pour les demandes  de </w:t>
      </w:r>
      <w:r w:rsidR="00EE55EF" w:rsidRPr="00000FEC">
        <w:rPr>
          <w:lang w:val="fr-FR"/>
        </w:rPr>
        <w:t xml:space="preserve">prendre note d'un </w:t>
      </w:r>
      <w:r w:rsidRPr="00000FEC">
        <w:rPr>
          <w:lang w:val="fr-FR"/>
        </w:rPr>
        <w:t>remplaceme</w:t>
      </w:r>
      <w:r w:rsidR="00BE4BF0" w:rsidRPr="00000FEC">
        <w:rPr>
          <w:lang w:val="fr-FR"/>
        </w:rPr>
        <w:t>nt.  U</w:t>
      </w:r>
      <w:r w:rsidR="00BE4BF0" w:rsidRPr="00BC677B">
        <w:rPr>
          <w:lang w:val="fr-FR"/>
        </w:rPr>
        <w:t>n</w:t>
      </w:r>
      <w:r w:rsidRPr="00BC677B">
        <w:rPr>
          <w:lang w:val="fr-FR"/>
        </w:rPr>
        <w:t xml:space="preserve">e telle recommandation pourra être formulée uniquement dès lors que les améliorations </w:t>
      </w:r>
      <w:r w:rsidR="00C2794B" w:rsidRPr="00BC677B">
        <w:rPr>
          <w:lang w:val="fr-FR"/>
        </w:rPr>
        <w:t xml:space="preserve">nécessaires </w:t>
      </w:r>
      <w:r w:rsidRPr="00BC677B">
        <w:rPr>
          <w:lang w:val="fr-FR"/>
        </w:rPr>
        <w:t>et la mise au point des nouveaux systèmes</w:t>
      </w:r>
      <w:r w:rsidR="00111FC0" w:rsidRPr="00BC677B">
        <w:rPr>
          <w:lang w:val="fr-FR"/>
        </w:rPr>
        <w:t xml:space="preserve"> </w:t>
      </w:r>
      <w:r w:rsidR="00C2794B" w:rsidRPr="00BC677B">
        <w:rPr>
          <w:lang w:val="fr-FR"/>
        </w:rPr>
        <w:t xml:space="preserve">dont il est fait mention </w:t>
      </w:r>
      <w:r w:rsidRPr="00BC677B">
        <w:rPr>
          <w:lang w:val="fr-FR"/>
        </w:rPr>
        <w:t xml:space="preserve">au </w:t>
      </w:r>
      <w:r w:rsidR="00793C0F" w:rsidRPr="00BC677B">
        <w:rPr>
          <w:lang w:val="fr-FR"/>
        </w:rPr>
        <w:t>paragraphe 8</w:t>
      </w:r>
      <w:r w:rsidRPr="00BC677B">
        <w:rPr>
          <w:lang w:val="fr-FR"/>
        </w:rPr>
        <w:t xml:space="preserve"> du présent document auront été effectuées.</w:t>
      </w:r>
    </w:p>
    <w:p w:rsidR="00802EC1" w:rsidRPr="00BC677B" w:rsidRDefault="009D73DD" w:rsidP="00B62DA4">
      <w:pPr>
        <w:pStyle w:val="Heading1"/>
        <w:rPr>
          <w:lang w:val="fr-FR"/>
        </w:rPr>
      </w:pPr>
      <w:r w:rsidRPr="00BC677B">
        <w:rPr>
          <w:lang w:val="fr-FR"/>
        </w:rPr>
        <w:t>TAXE POUR LA PRÉSENTATION D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>UNE DEMANDE EN VERTU DE LA RÈGLE</w:t>
      </w:r>
      <w:r w:rsidR="00BE4BF0" w:rsidRPr="00BC677B">
        <w:rPr>
          <w:lang w:val="fr-FR"/>
        </w:rPr>
        <w:t> </w:t>
      </w:r>
      <w:r w:rsidRPr="00BC677B">
        <w:rPr>
          <w:lang w:val="fr-FR"/>
        </w:rPr>
        <w:t>21 MODIFIÉE</w:t>
      </w:r>
    </w:p>
    <w:p w:rsidR="00802EC1" w:rsidRPr="00BC677B" w:rsidRDefault="00802EC1" w:rsidP="00DE3858">
      <w:pPr>
        <w:keepNext/>
        <w:keepLines/>
        <w:rPr>
          <w:lang w:val="fr-FR"/>
        </w:rPr>
      </w:pPr>
    </w:p>
    <w:p w:rsidR="00802EC1" w:rsidRPr="00BC677B" w:rsidRDefault="005109DC" w:rsidP="00E57548">
      <w:pPr>
        <w:pStyle w:val="ONUMFS"/>
        <w:rPr>
          <w:lang w:val="fr-FR"/>
        </w:rPr>
      </w:pPr>
      <w:r w:rsidRPr="00BC677B">
        <w:rPr>
          <w:lang w:val="fr-FR"/>
        </w:rPr>
        <w:t>À sa session précédente, le groupe de travail est convenu de la possibilité pour le Bureau international de percevoir une taxe pour la présentation d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 xml:space="preserve">une demande en vertu de la </w:t>
      </w:r>
      <w:r w:rsidR="00793C0F" w:rsidRPr="00BC677B">
        <w:rPr>
          <w:lang w:val="fr-FR"/>
        </w:rPr>
        <w:t>règle 2</w:t>
      </w:r>
      <w:r w:rsidRPr="00BC677B">
        <w:rPr>
          <w:lang w:val="fr-FR"/>
        </w:rPr>
        <w:t>1 du règlement d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>exécution commun modifiée</w:t>
      </w:r>
      <w:r w:rsidRPr="00BC677B">
        <w:rPr>
          <w:rStyle w:val="FootnoteReference"/>
          <w:lang w:val="fr-FR"/>
        </w:rPr>
        <w:footnoteReference w:id="4"/>
      </w:r>
      <w:r w:rsidRPr="00BC677B">
        <w:rPr>
          <w:lang w:val="fr-FR"/>
        </w:rPr>
        <w:t xml:space="preserve">; </w:t>
      </w:r>
      <w:r w:rsidR="00A124DE" w:rsidRPr="00BC677B">
        <w:rPr>
          <w:lang w:val="fr-FR"/>
        </w:rPr>
        <w:t xml:space="preserve"> </w:t>
      </w:r>
      <w:r w:rsidRPr="00BC677B">
        <w:rPr>
          <w:lang w:val="fr-FR"/>
        </w:rPr>
        <w:t>en conséquence, l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>ajout d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 xml:space="preserve">un nouveau </w:t>
      </w:r>
      <w:r w:rsidR="00793C0F" w:rsidRPr="00BC677B">
        <w:rPr>
          <w:lang w:val="fr-FR"/>
        </w:rPr>
        <w:t>point 7</w:t>
      </w:r>
      <w:r w:rsidRPr="00BC677B">
        <w:rPr>
          <w:lang w:val="fr-FR"/>
        </w:rPr>
        <w:t xml:space="preserve">.8 dans le barème des émoluments et taxes a été </w:t>
      </w:r>
      <w:r w:rsidR="001C314F" w:rsidRPr="00BC677B">
        <w:rPr>
          <w:lang w:val="fr-FR"/>
        </w:rPr>
        <w:t>approuvé</w:t>
      </w:r>
      <w:r w:rsidRPr="00BC677B">
        <w:rPr>
          <w:lang w:val="fr-FR"/>
        </w:rPr>
        <w:t xml:space="preserve"> </w:t>
      </w:r>
      <w:r w:rsidR="001C314F" w:rsidRPr="00BC677B">
        <w:rPr>
          <w:lang w:val="fr-FR"/>
        </w:rPr>
        <w:t>sur le</w:t>
      </w:r>
      <w:r w:rsidRPr="00BC677B">
        <w:rPr>
          <w:lang w:val="fr-FR"/>
        </w:rPr>
        <w:t xml:space="preserve"> princi</w:t>
      </w:r>
      <w:r w:rsidR="00BE4BF0" w:rsidRPr="00BC677B">
        <w:rPr>
          <w:lang w:val="fr-FR"/>
        </w:rPr>
        <w:t>pe.  Pl</w:t>
      </w:r>
      <w:r w:rsidR="00E5778F" w:rsidRPr="00BC677B">
        <w:rPr>
          <w:lang w:val="fr-FR"/>
        </w:rPr>
        <w:t>usieurs délégations ont demandé que le montant de cette taxe soit raisonnable et couvre les frais directement liés à la présentation de la demande et non l</w:t>
      </w:r>
      <w:r w:rsidR="00793C0F" w:rsidRPr="00BC677B">
        <w:rPr>
          <w:lang w:val="fr-FR"/>
        </w:rPr>
        <w:t>’</w:t>
      </w:r>
      <w:r w:rsidR="00E5778F" w:rsidRPr="00BC677B">
        <w:rPr>
          <w:lang w:val="fr-FR"/>
        </w:rPr>
        <w:t>investissement requis pour la mise en place du nouveau mécanisme de dépôt centralisé facultatif envisagé au titre de la règle qu</w:t>
      </w:r>
      <w:r w:rsidR="00793C0F" w:rsidRPr="00BC677B">
        <w:rPr>
          <w:lang w:val="fr-FR"/>
        </w:rPr>
        <w:t>’</w:t>
      </w:r>
      <w:r w:rsidR="00E5778F" w:rsidRPr="00BC677B">
        <w:rPr>
          <w:lang w:val="fr-FR"/>
        </w:rPr>
        <w:t>il était proposé de modifier.</w:t>
      </w:r>
    </w:p>
    <w:p w:rsidR="00793C0F" w:rsidRPr="00BC677B" w:rsidRDefault="00E5778F" w:rsidP="00E57548">
      <w:pPr>
        <w:pStyle w:val="ONUMFS"/>
        <w:rPr>
          <w:lang w:val="fr-FR"/>
        </w:rPr>
      </w:pPr>
      <w:r w:rsidRPr="00BC677B">
        <w:rPr>
          <w:lang w:val="fr-FR"/>
        </w:rPr>
        <w:t>Compte tenu de l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 xml:space="preserve">examen des services informatiques </w:t>
      </w:r>
      <w:r w:rsidR="00696045" w:rsidRPr="00BC677B">
        <w:rPr>
          <w:lang w:val="fr-FR"/>
        </w:rPr>
        <w:t xml:space="preserve">fournis dans le cadre </w:t>
      </w:r>
      <w:r w:rsidRPr="00BC677B">
        <w:rPr>
          <w:lang w:val="fr-FR"/>
        </w:rPr>
        <w:t xml:space="preserve">du système de Madrid ainsi que des probables améliorations et mise au point de nouveaux systèmes </w:t>
      </w:r>
      <w:r w:rsidR="00C2794B" w:rsidRPr="00BC677B">
        <w:rPr>
          <w:lang w:val="fr-FR"/>
        </w:rPr>
        <w:t xml:space="preserve">dont il est fait mention </w:t>
      </w:r>
      <w:r w:rsidRPr="00BC677B">
        <w:rPr>
          <w:lang w:val="fr-FR"/>
        </w:rPr>
        <w:t xml:space="preserve">au </w:t>
      </w:r>
      <w:r w:rsidR="00793C0F" w:rsidRPr="00BC677B">
        <w:rPr>
          <w:lang w:val="fr-FR"/>
        </w:rPr>
        <w:t>paragraphe 8</w:t>
      </w:r>
      <w:r w:rsidRPr="00BC677B">
        <w:rPr>
          <w:lang w:val="fr-FR"/>
        </w:rPr>
        <w:t xml:space="preserve"> du présent document, il est prématuré pour le Bureau international de proposer un montant pour le nouveau </w:t>
      </w:r>
      <w:r w:rsidR="00793C0F" w:rsidRPr="00BC677B">
        <w:rPr>
          <w:lang w:val="fr-FR"/>
        </w:rPr>
        <w:t>point 7</w:t>
      </w:r>
      <w:r w:rsidRPr="00BC677B">
        <w:rPr>
          <w:lang w:val="fr-FR"/>
        </w:rPr>
        <w:t>.8 du barème des émoluments et tax</w:t>
      </w:r>
      <w:r w:rsidR="00BE4BF0" w:rsidRPr="00BC677B">
        <w:rPr>
          <w:lang w:val="fr-FR"/>
        </w:rPr>
        <w:t>es.  Né</w:t>
      </w:r>
      <w:r w:rsidRPr="00BC677B">
        <w:rPr>
          <w:lang w:val="fr-FR"/>
        </w:rPr>
        <w:t>anmoins, lorsqu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>il réexaminera cette question, le Bureau international tiendra compte des vues exprimées par les délégations à ce sujet.</w:t>
      </w:r>
    </w:p>
    <w:p w:rsidR="00802EC1" w:rsidRPr="00BC677B" w:rsidRDefault="005F5F23" w:rsidP="00DE3858">
      <w:pPr>
        <w:rPr>
          <w:b/>
          <w:lang w:val="fr-FR"/>
        </w:rPr>
      </w:pPr>
      <w:r w:rsidRPr="00BC677B">
        <w:rPr>
          <w:b/>
          <w:lang w:val="fr-FR"/>
        </w:rPr>
        <w:t xml:space="preserve">MESURES </w:t>
      </w:r>
      <w:r w:rsidR="00314626" w:rsidRPr="00BC677B">
        <w:rPr>
          <w:b/>
          <w:lang w:val="fr-FR"/>
        </w:rPr>
        <w:t>QUI POURRAIENT ÊTRE PRISES</w:t>
      </w:r>
    </w:p>
    <w:p w:rsidR="00802EC1" w:rsidRPr="00BC677B" w:rsidRDefault="00802EC1" w:rsidP="00DE3858">
      <w:pPr>
        <w:rPr>
          <w:lang w:val="fr-FR"/>
        </w:rPr>
      </w:pPr>
    </w:p>
    <w:p w:rsidR="00793C0F" w:rsidRPr="00BC677B" w:rsidRDefault="001C314F" w:rsidP="00E57548">
      <w:pPr>
        <w:pStyle w:val="ONUMFS"/>
        <w:rPr>
          <w:lang w:val="fr-FR"/>
        </w:rPr>
      </w:pPr>
      <w:r w:rsidRPr="00BC677B">
        <w:rPr>
          <w:lang w:val="fr-FR"/>
        </w:rPr>
        <w:t>Le groupe de travail a examiné la question du remplacement à ses douzième</w:t>
      </w:r>
      <w:r w:rsidRPr="00BC677B">
        <w:rPr>
          <w:rStyle w:val="FootnoteReference"/>
          <w:lang w:val="fr-FR"/>
        </w:rPr>
        <w:footnoteReference w:id="5"/>
      </w:r>
      <w:r w:rsidRPr="00BC677B">
        <w:rPr>
          <w:lang w:val="fr-FR"/>
        </w:rPr>
        <w:t>, treizième</w:t>
      </w:r>
      <w:r w:rsidRPr="00BC677B">
        <w:rPr>
          <w:rStyle w:val="FootnoteReference"/>
          <w:lang w:val="fr-FR"/>
        </w:rPr>
        <w:footnoteReference w:id="6"/>
      </w:r>
      <w:r w:rsidRPr="00BC677B">
        <w:rPr>
          <w:lang w:val="fr-FR"/>
        </w:rPr>
        <w:t>, quatorzième</w:t>
      </w:r>
      <w:r w:rsidRPr="00BC677B">
        <w:rPr>
          <w:rStyle w:val="FootnoteReference"/>
          <w:lang w:val="fr-FR"/>
        </w:rPr>
        <w:footnoteReference w:id="7"/>
      </w:r>
      <w:r w:rsidRPr="00BC677B">
        <w:rPr>
          <w:lang w:val="fr-FR"/>
        </w:rPr>
        <w:t xml:space="preserve"> et quinzième</w:t>
      </w:r>
      <w:r w:rsidRPr="00BC677B">
        <w:rPr>
          <w:rStyle w:val="FootnoteReference"/>
          <w:lang w:val="fr-FR"/>
        </w:rPr>
        <w:footnoteReference w:id="8"/>
      </w:r>
      <w:r w:rsidRPr="00BC677B">
        <w:rPr>
          <w:lang w:val="fr-FR"/>
        </w:rPr>
        <w:t xml:space="preserve"> sessio</w:t>
      </w:r>
      <w:r w:rsidR="00BE4BF0" w:rsidRPr="00BC677B">
        <w:rPr>
          <w:lang w:val="fr-FR"/>
        </w:rPr>
        <w:t>ns.  Le</w:t>
      </w:r>
      <w:r w:rsidR="003C38A3" w:rsidRPr="00BC677B">
        <w:rPr>
          <w:lang w:val="fr-FR"/>
        </w:rPr>
        <w:t xml:space="preserve">s </w:t>
      </w:r>
      <w:r w:rsidR="00472887" w:rsidRPr="00BC677B">
        <w:rPr>
          <w:lang w:val="fr-FR"/>
        </w:rPr>
        <w:t>propositions de modification de la</w:t>
      </w:r>
      <w:r w:rsidR="003C38A3" w:rsidRPr="00BC677B">
        <w:rPr>
          <w:lang w:val="fr-FR"/>
        </w:rPr>
        <w:t xml:space="preserve"> </w:t>
      </w:r>
      <w:r w:rsidR="00793C0F" w:rsidRPr="00BC677B">
        <w:rPr>
          <w:lang w:val="fr-FR"/>
        </w:rPr>
        <w:t>règle 2</w:t>
      </w:r>
      <w:r w:rsidR="003C38A3" w:rsidRPr="00BC677B">
        <w:rPr>
          <w:lang w:val="fr-FR"/>
        </w:rPr>
        <w:t>1 du règlement d</w:t>
      </w:r>
      <w:r w:rsidR="00793C0F" w:rsidRPr="00BC677B">
        <w:rPr>
          <w:lang w:val="fr-FR"/>
        </w:rPr>
        <w:t>’</w:t>
      </w:r>
      <w:r w:rsidR="003C38A3" w:rsidRPr="00BC677B">
        <w:rPr>
          <w:lang w:val="fr-FR"/>
        </w:rPr>
        <w:t xml:space="preserve">exécution commun, approuvées sur le principe par le groupe de travail, </w:t>
      </w:r>
      <w:r w:rsidR="00B31DB5" w:rsidRPr="00BC677B">
        <w:rPr>
          <w:lang w:val="fr-FR"/>
        </w:rPr>
        <w:t>avaient</w:t>
      </w:r>
      <w:r w:rsidR="003933BF" w:rsidRPr="00BC677B">
        <w:rPr>
          <w:lang w:val="fr-FR"/>
        </w:rPr>
        <w:t xml:space="preserve"> deux</w:t>
      </w:r>
      <w:r w:rsidR="00A124DE" w:rsidRPr="00BC677B">
        <w:rPr>
          <w:lang w:val="fr-FR"/>
        </w:rPr>
        <w:t> </w:t>
      </w:r>
      <w:r w:rsidR="003933BF" w:rsidRPr="00BC677B">
        <w:rPr>
          <w:lang w:val="fr-FR"/>
        </w:rPr>
        <w:t>obje</w:t>
      </w:r>
      <w:r w:rsidR="00BE4BF0" w:rsidRPr="00BC677B">
        <w:rPr>
          <w:lang w:val="fr-FR"/>
        </w:rPr>
        <w:t>ts.  El</w:t>
      </w:r>
      <w:r w:rsidR="008D483B" w:rsidRPr="00BC677B">
        <w:rPr>
          <w:lang w:val="fr-FR"/>
        </w:rPr>
        <w:t>les</w:t>
      </w:r>
      <w:r w:rsidR="003C38A3" w:rsidRPr="00BC677B">
        <w:rPr>
          <w:lang w:val="fr-FR"/>
        </w:rPr>
        <w:t xml:space="preserve"> visaient à offrir aux utilisateurs un mécanisme de dépôt centralisé facultatif, ainsi qu</w:t>
      </w:r>
      <w:r w:rsidR="00793C0F" w:rsidRPr="00BC677B">
        <w:rPr>
          <w:lang w:val="fr-FR"/>
        </w:rPr>
        <w:t>’</w:t>
      </w:r>
      <w:r w:rsidR="003C38A3" w:rsidRPr="00BC677B">
        <w:rPr>
          <w:lang w:val="fr-FR"/>
        </w:rPr>
        <w:t>à préciser un certain nombre de principes régissant le remplaceme</w:t>
      </w:r>
      <w:r w:rsidR="00BE4BF0" w:rsidRPr="00BC677B">
        <w:rPr>
          <w:lang w:val="fr-FR"/>
        </w:rPr>
        <w:t>nt.  Le</w:t>
      </w:r>
      <w:r w:rsidR="003C38A3" w:rsidRPr="00BC677B">
        <w:rPr>
          <w:lang w:val="fr-FR"/>
        </w:rPr>
        <w:t>s quatre</w:t>
      </w:r>
      <w:r w:rsidR="00A124DE" w:rsidRPr="00BC677B">
        <w:rPr>
          <w:lang w:val="fr-FR"/>
        </w:rPr>
        <w:t> </w:t>
      </w:r>
      <w:r w:rsidR="003C38A3" w:rsidRPr="00BC677B">
        <w:rPr>
          <w:lang w:val="fr-FR"/>
        </w:rPr>
        <w:t>principes concernés, qui ont été examinés au cours des sessions précitées, sont les suivants</w:t>
      </w:r>
      <w:r w:rsidR="00A124DE" w:rsidRPr="00BC677B">
        <w:rPr>
          <w:lang w:val="fr-FR"/>
        </w:rPr>
        <w:t> </w:t>
      </w:r>
      <w:r w:rsidR="003C38A3" w:rsidRPr="00BC677B">
        <w:rPr>
          <w:lang w:val="fr-FR"/>
        </w:rPr>
        <w:t>:</w:t>
      </w:r>
    </w:p>
    <w:p w:rsidR="00802EC1" w:rsidRPr="00BC677B" w:rsidRDefault="007E6D13" w:rsidP="004E464E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left="567"/>
        <w:rPr>
          <w:lang w:val="fr-FR"/>
        </w:rPr>
      </w:pPr>
      <w:r w:rsidRPr="00BC677B">
        <w:rPr>
          <w:lang w:val="fr-FR"/>
        </w:rPr>
        <w:t>La date à laquelle le remplacement prend effet</w:t>
      </w:r>
      <w:r w:rsidR="00A124DE" w:rsidRPr="00BC677B">
        <w:rPr>
          <w:lang w:val="fr-FR"/>
        </w:rPr>
        <w:t> </w:t>
      </w:r>
      <w:r w:rsidRPr="00BC677B">
        <w:rPr>
          <w:lang w:val="fr-FR"/>
        </w:rPr>
        <w:t>: la date à laquelle le remplacement prend effet serait la date de l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>enregistrement international ou la date de la désignation postérieure.</w:t>
      </w:r>
    </w:p>
    <w:p w:rsidR="00802EC1" w:rsidRPr="00BC677B" w:rsidRDefault="007E6D13" w:rsidP="004E464E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left="567"/>
        <w:rPr>
          <w:lang w:val="fr-FR"/>
        </w:rPr>
      </w:pPr>
      <w:r w:rsidRPr="00BC677B">
        <w:rPr>
          <w:lang w:val="fr-FR"/>
        </w:rPr>
        <w:t>Moment où la demande visée à l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>article 4</w:t>
      </w:r>
      <w:r w:rsidRPr="00BC677B">
        <w:rPr>
          <w:i/>
          <w:lang w:val="fr-FR"/>
        </w:rPr>
        <w:t>bis</w:t>
      </w:r>
      <w:r w:rsidRPr="00BC677B">
        <w:rPr>
          <w:lang w:val="fr-FR"/>
        </w:rPr>
        <w:t>.2) peut être déposée auprès de l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>Office</w:t>
      </w:r>
      <w:r w:rsidR="00A124DE" w:rsidRPr="00BC677B">
        <w:rPr>
          <w:lang w:val="fr-FR"/>
        </w:rPr>
        <w:t> </w:t>
      </w:r>
      <w:r w:rsidRPr="00BC677B">
        <w:rPr>
          <w:lang w:val="fr-FR"/>
        </w:rPr>
        <w:t xml:space="preserve">: les offices devraient accepter les demandes </w:t>
      </w:r>
      <w:r w:rsidR="00EE55EF" w:rsidRPr="00EE55EF">
        <w:rPr>
          <w:lang w:val="fr-FR"/>
        </w:rPr>
        <w:t>qui leur sont faites de prendre note</w:t>
      </w:r>
      <w:r w:rsidRPr="00BC677B">
        <w:rPr>
          <w:lang w:val="fr-FR"/>
        </w:rPr>
        <w:t xml:space="preserve"> </w:t>
      </w:r>
      <w:r w:rsidR="00EE55EF">
        <w:rPr>
          <w:lang w:val="fr-FR"/>
        </w:rPr>
        <w:t>du</w:t>
      </w:r>
      <w:r w:rsidRPr="00BC677B">
        <w:rPr>
          <w:lang w:val="fr-FR"/>
        </w:rPr>
        <w:t xml:space="preserve"> remplacement à partir de la date de notification de l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>enregistrement international ou de la désignation postérieure par le Bureau international.</w:t>
      </w:r>
    </w:p>
    <w:p w:rsidR="00802EC1" w:rsidRPr="00BC677B" w:rsidRDefault="00E14223" w:rsidP="004E464E">
      <w:pPr>
        <w:pStyle w:val="ONUMFS"/>
        <w:keepNext/>
        <w:numPr>
          <w:ilvl w:val="2"/>
          <w:numId w:val="6"/>
        </w:numPr>
        <w:tabs>
          <w:tab w:val="clear" w:pos="1701"/>
          <w:tab w:val="num" w:pos="1134"/>
        </w:tabs>
        <w:ind w:left="567"/>
        <w:rPr>
          <w:lang w:val="fr-FR"/>
        </w:rPr>
      </w:pPr>
      <w:r w:rsidRPr="00BC677B">
        <w:rPr>
          <w:lang w:val="fr-FR"/>
        </w:rPr>
        <w:t>Les produits et services énumérés dans l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>enregistrement national ou régional</w:t>
      </w:r>
      <w:r w:rsidR="00A124DE" w:rsidRPr="00BC677B">
        <w:rPr>
          <w:lang w:val="fr-FR"/>
        </w:rPr>
        <w:t> </w:t>
      </w:r>
      <w:r w:rsidRPr="00BC677B">
        <w:rPr>
          <w:lang w:val="fr-FR"/>
        </w:rPr>
        <w:t xml:space="preserve">: </w:t>
      </w:r>
      <w:r w:rsidR="009051D4" w:rsidRPr="00BC677B">
        <w:rPr>
          <w:lang w:val="fr-FR"/>
        </w:rPr>
        <w:t>il</w:t>
      </w:r>
      <w:r w:rsidR="005216C2">
        <w:rPr>
          <w:lang w:val="fr-FR"/>
        </w:rPr>
        <w:t> </w:t>
      </w:r>
      <w:r w:rsidR="009051D4" w:rsidRPr="00BC677B">
        <w:rPr>
          <w:lang w:val="fr-FR"/>
        </w:rPr>
        <w:t xml:space="preserve">existe </w:t>
      </w:r>
      <w:r w:rsidRPr="00BC677B">
        <w:rPr>
          <w:lang w:val="fr-FR"/>
        </w:rPr>
        <w:t>deux</w:t>
      </w:r>
      <w:r w:rsidR="00A124DE" w:rsidRPr="00BC677B">
        <w:rPr>
          <w:lang w:val="fr-FR"/>
        </w:rPr>
        <w:t> </w:t>
      </w:r>
      <w:r w:rsidRPr="00BC677B">
        <w:rPr>
          <w:lang w:val="fr-FR"/>
        </w:rPr>
        <w:t>interprétations de l</w:t>
      </w:r>
      <w:r w:rsidR="00793C0F" w:rsidRPr="00BC677B">
        <w:rPr>
          <w:lang w:val="fr-FR"/>
        </w:rPr>
        <w:t>’article 4</w:t>
      </w:r>
      <w:r w:rsidRPr="00BC677B">
        <w:rPr>
          <w:i/>
          <w:lang w:val="fr-FR"/>
        </w:rPr>
        <w:t>bis</w:t>
      </w:r>
      <w:r w:rsidRPr="00BC677B">
        <w:rPr>
          <w:lang w:val="fr-FR"/>
        </w:rPr>
        <w:t>.2) et de la portée du remplacement</w:t>
      </w:r>
      <w:r w:rsidR="00A124DE" w:rsidRPr="00BC677B">
        <w:rPr>
          <w:lang w:val="fr-FR"/>
        </w:rPr>
        <w:t> </w:t>
      </w:r>
      <w:r w:rsidRPr="00BC677B">
        <w:rPr>
          <w:lang w:val="fr-FR"/>
        </w:rPr>
        <w:t>:</w:t>
      </w:r>
    </w:p>
    <w:p w:rsidR="00802EC1" w:rsidRPr="00BC677B" w:rsidRDefault="00E14223" w:rsidP="004E464E">
      <w:pPr>
        <w:pStyle w:val="ONUME"/>
        <w:numPr>
          <w:ilvl w:val="0"/>
          <w:numId w:val="20"/>
        </w:numPr>
        <w:ind w:left="1134" w:firstLine="0"/>
        <w:rPr>
          <w:lang w:val="fr-FR"/>
        </w:rPr>
      </w:pPr>
      <w:r w:rsidRPr="00BC677B">
        <w:rPr>
          <w:lang w:val="fr-FR"/>
        </w:rPr>
        <w:t>une interprétation littérale, en vertu de laquelle les noms des produits et services dans l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>enregistrement national ou régional ou dans les enregistrements nationaux ou régionaux concernés par le remplacement doivent être identiques ou équivalents à ceux couverts par l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 xml:space="preserve">enregistrement international; </w:t>
      </w:r>
      <w:r w:rsidR="00A124DE" w:rsidRPr="00BC677B">
        <w:rPr>
          <w:lang w:val="fr-FR"/>
        </w:rPr>
        <w:t xml:space="preserve"> </w:t>
      </w:r>
      <w:r w:rsidRPr="00BC677B">
        <w:rPr>
          <w:lang w:val="fr-FR"/>
        </w:rPr>
        <w:t>et</w:t>
      </w:r>
    </w:p>
    <w:p w:rsidR="00793C0F" w:rsidRPr="00BC677B" w:rsidRDefault="00E14223" w:rsidP="004E464E">
      <w:pPr>
        <w:pStyle w:val="ONUME"/>
        <w:numPr>
          <w:ilvl w:val="0"/>
          <w:numId w:val="18"/>
        </w:numPr>
        <w:ind w:left="1134" w:firstLine="0"/>
        <w:rPr>
          <w:lang w:val="fr-FR"/>
        </w:rPr>
      </w:pPr>
      <w:r w:rsidRPr="00BC677B">
        <w:rPr>
          <w:lang w:val="fr-FR"/>
        </w:rPr>
        <w:t xml:space="preserve">une interprétation souple, en vertu de laquelle un remplacement </w:t>
      </w:r>
      <w:r w:rsidR="00793C0F" w:rsidRPr="00BC677B">
        <w:rPr>
          <w:lang w:val="fr-FR"/>
        </w:rPr>
        <w:t>“p</w:t>
      </w:r>
      <w:r w:rsidRPr="00BC677B">
        <w:rPr>
          <w:lang w:val="fr-FR"/>
        </w:rPr>
        <w:t>artie</w:t>
      </w:r>
      <w:r w:rsidR="00793C0F" w:rsidRPr="00BC677B">
        <w:rPr>
          <w:lang w:val="fr-FR"/>
        </w:rPr>
        <w:t>l”</w:t>
      </w:r>
      <w:r w:rsidRPr="00BC677B">
        <w:rPr>
          <w:lang w:val="fr-FR"/>
        </w:rPr>
        <w:t xml:space="preserve"> est possible lorsque l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>enregistrement international est réputé avoir remplacé l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>enregistrement national ou régional ou les enregistrements nationaux ou régionaux uniquement pour les produits et les services couverts à la fois par l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>enregistrement international et par l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>enregistrement national ou régional ou les enregistrements nationaux ou régionaux.</w:t>
      </w:r>
    </w:p>
    <w:p w:rsidR="00793C0F" w:rsidRPr="00BC677B" w:rsidRDefault="00E14223" w:rsidP="004E464E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left="567"/>
        <w:rPr>
          <w:lang w:val="fr-FR"/>
        </w:rPr>
      </w:pPr>
      <w:r w:rsidRPr="00BC677B">
        <w:rPr>
          <w:lang w:val="fr-FR"/>
        </w:rPr>
        <w:t>Les effets du remplacement sur l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>enregistrement national ou régional</w:t>
      </w:r>
      <w:r w:rsidR="00A124DE" w:rsidRPr="00BC677B">
        <w:rPr>
          <w:lang w:val="fr-FR"/>
        </w:rPr>
        <w:t> </w:t>
      </w:r>
      <w:r w:rsidRPr="00BC677B">
        <w:rPr>
          <w:lang w:val="fr-FR"/>
        </w:rPr>
        <w:t>: l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>enregistrement national ou régional et l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 xml:space="preserve">enregistrement international qui le remplace </w:t>
      </w:r>
      <w:r w:rsidR="00B37EC4" w:rsidRPr="00BC677B">
        <w:rPr>
          <w:lang w:val="fr-FR"/>
        </w:rPr>
        <w:t>devraient</w:t>
      </w:r>
      <w:r w:rsidRPr="00BC677B">
        <w:rPr>
          <w:lang w:val="fr-FR"/>
        </w:rPr>
        <w:t xml:space="preserve"> pouvoir coexist</w:t>
      </w:r>
      <w:r w:rsidR="00BE4BF0" w:rsidRPr="00BC677B">
        <w:rPr>
          <w:lang w:val="fr-FR"/>
        </w:rPr>
        <w:t>er.  Le</w:t>
      </w:r>
      <w:r w:rsidRPr="00BC677B">
        <w:rPr>
          <w:lang w:val="fr-FR"/>
        </w:rPr>
        <w:t xml:space="preserve"> remplacement proprement dit n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>implique ni n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>impose nécessairement une radiation de l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>enregistrement national ou région</w:t>
      </w:r>
      <w:r w:rsidR="00BE4BF0" w:rsidRPr="00BC677B">
        <w:rPr>
          <w:lang w:val="fr-FR"/>
        </w:rPr>
        <w:t>al.  Il</w:t>
      </w:r>
      <w:r w:rsidRPr="00BC677B">
        <w:rPr>
          <w:lang w:val="fr-FR"/>
        </w:rPr>
        <w:t xml:space="preserve"> appartient au titulaire de décider de renouveler ou non un enregistrement national ou régional.</w:t>
      </w:r>
    </w:p>
    <w:p w:rsidR="00793C0F" w:rsidRPr="00BC677B" w:rsidRDefault="00BD0EA0" w:rsidP="00E57548">
      <w:pPr>
        <w:pStyle w:val="ONUMFS"/>
        <w:rPr>
          <w:lang w:val="fr-FR"/>
        </w:rPr>
      </w:pPr>
      <w:r w:rsidRPr="00BC677B">
        <w:rPr>
          <w:lang w:val="fr-FR"/>
        </w:rPr>
        <w:t xml:space="preserve">La mise en </w:t>
      </w:r>
      <w:r w:rsidR="00433BD2" w:rsidRPr="00BC677B">
        <w:rPr>
          <w:lang w:val="fr-FR"/>
        </w:rPr>
        <w:t>œuvre</w:t>
      </w:r>
      <w:r w:rsidRPr="00BC677B">
        <w:rPr>
          <w:lang w:val="fr-FR"/>
        </w:rPr>
        <w:t xml:space="preserve"> d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 xml:space="preserve">un mécanisme de dépôt centralisé facultatif pourrait prendre du temps, mais cela ne devrait pas </w:t>
      </w:r>
      <w:r w:rsidR="0053634A" w:rsidRPr="00BC677B">
        <w:rPr>
          <w:lang w:val="fr-FR"/>
        </w:rPr>
        <w:t xml:space="preserve">pour autant </w:t>
      </w:r>
      <w:r w:rsidRPr="00BC677B">
        <w:rPr>
          <w:lang w:val="fr-FR"/>
        </w:rPr>
        <w:t>retarder l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>adoption par l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>Assemblée de l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 xml:space="preserve">Union de Madrid </w:t>
      </w:r>
      <w:r w:rsidR="00D3245D" w:rsidRPr="00BC677B">
        <w:rPr>
          <w:lang w:val="fr-FR"/>
        </w:rPr>
        <w:t>et</w:t>
      </w:r>
      <w:r w:rsidRPr="00BC677B">
        <w:rPr>
          <w:lang w:val="fr-FR"/>
        </w:rPr>
        <w:t xml:space="preserve"> l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>entrée en vigueur des dispositions précisant les principes régissant le remplacement à l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>heure actuel</w:t>
      </w:r>
      <w:r w:rsidR="00BE4BF0" w:rsidRPr="00BC677B">
        <w:rPr>
          <w:lang w:val="fr-FR"/>
        </w:rPr>
        <w:t>le.  En</w:t>
      </w:r>
      <w:r w:rsidRPr="00BC677B">
        <w:rPr>
          <w:lang w:val="fr-FR"/>
        </w:rPr>
        <w:t xml:space="preserve"> conséquence, le Bureau international recommande que le groupe de travail étudie la possibilité d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 xml:space="preserve">examiner, à sa prochaine session, une nouvelle proposition de modification de la </w:t>
      </w:r>
      <w:r w:rsidR="00793C0F" w:rsidRPr="00BC677B">
        <w:rPr>
          <w:lang w:val="fr-FR"/>
        </w:rPr>
        <w:t>règle 2</w:t>
      </w:r>
      <w:r w:rsidRPr="00BC677B">
        <w:rPr>
          <w:lang w:val="fr-FR"/>
        </w:rPr>
        <w:t>1 du règlement d</w:t>
      </w:r>
      <w:r w:rsidR="00793C0F" w:rsidRPr="00BC677B">
        <w:rPr>
          <w:lang w:val="fr-FR"/>
        </w:rPr>
        <w:t>’</w:t>
      </w:r>
      <w:r w:rsidRPr="00BC677B">
        <w:rPr>
          <w:lang w:val="fr-FR"/>
        </w:rPr>
        <w:t>exécution commun tenant compte uniquement des principes énumérés ci</w:t>
      </w:r>
      <w:r w:rsidR="00D72828" w:rsidRPr="00BC677B">
        <w:rPr>
          <w:lang w:val="fr-FR"/>
        </w:rPr>
        <w:noBreakHyphen/>
      </w:r>
      <w:r w:rsidRPr="00BC677B">
        <w:rPr>
          <w:lang w:val="fr-FR"/>
        </w:rPr>
        <w:t>dessus.</w:t>
      </w:r>
    </w:p>
    <w:p w:rsidR="00793C0F" w:rsidRPr="00BC677B" w:rsidRDefault="00BD0EA0" w:rsidP="00E57548">
      <w:pPr>
        <w:pStyle w:val="ONUMFS"/>
        <w:ind w:left="5534"/>
        <w:rPr>
          <w:i/>
          <w:lang w:val="fr-FR"/>
        </w:rPr>
      </w:pPr>
      <w:r w:rsidRPr="00BC677B">
        <w:rPr>
          <w:i/>
          <w:lang w:val="fr-FR"/>
        </w:rPr>
        <w:t xml:space="preserve">Le groupe de travail est invité </w:t>
      </w:r>
    </w:p>
    <w:p w:rsidR="00793C0F" w:rsidRPr="00BC677B" w:rsidRDefault="00BD0EA0" w:rsidP="00DE3858">
      <w:pPr>
        <w:pStyle w:val="ONUME"/>
        <w:numPr>
          <w:ilvl w:val="0"/>
          <w:numId w:val="0"/>
        </w:numPr>
        <w:ind w:left="6237"/>
        <w:rPr>
          <w:i/>
          <w:lang w:val="fr-FR"/>
        </w:rPr>
      </w:pPr>
      <w:r w:rsidRPr="00BC677B">
        <w:rPr>
          <w:i/>
          <w:lang w:val="fr-FR"/>
        </w:rPr>
        <w:t>i)</w:t>
      </w:r>
      <w:r w:rsidRPr="00BC677B">
        <w:rPr>
          <w:i/>
          <w:lang w:val="fr-FR"/>
        </w:rPr>
        <w:tab/>
      </w:r>
      <w:r w:rsidR="001B05EA" w:rsidRPr="00BC677B">
        <w:rPr>
          <w:i/>
          <w:lang w:val="fr-FR"/>
        </w:rPr>
        <w:t xml:space="preserve">à </w:t>
      </w:r>
      <w:r w:rsidRPr="00BC677B">
        <w:rPr>
          <w:i/>
          <w:lang w:val="fr-FR"/>
        </w:rPr>
        <w:t>examiner le présent document et</w:t>
      </w:r>
    </w:p>
    <w:p w:rsidR="00793C0F" w:rsidRPr="00BC677B" w:rsidRDefault="00BD0EA0" w:rsidP="00DE3858">
      <w:pPr>
        <w:pStyle w:val="ONUME"/>
        <w:numPr>
          <w:ilvl w:val="0"/>
          <w:numId w:val="0"/>
        </w:numPr>
        <w:ind w:left="6237"/>
        <w:rPr>
          <w:i/>
          <w:lang w:val="fr-FR"/>
        </w:rPr>
      </w:pPr>
      <w:r w:rsidRPr="00BC677B">
        <w:rPr>
          <w:i/>
          <w:lang w:val="fr-FR"/>
        </w:rPr>
        <w:t>ii)</w:t>
      </w:r>
      <w:r w:rsidRPr="00BC677B">
        <w:rPr>
          <w:i/>
          <w:lang w:val="fr-FR"/>
        </w:rPr>
        <w:tab/>
      </w:r>
      <w:r w:rsidR="001B05EA" w:rsidRPr="00BC677B">
        <w:rPr>
          <w:i/>
          <w:lang w:val="fr-FR"/>
        </w:rPr>
        <w:t xml:space="preserve">à </w:t>
      </w:r>
      <w:r w:rsidRPr="00BC677B">
        <w:rPr>
          <w:i/>
          <w:lang w:val="fr-FR"/>
        </w:rPr>
        <w:t xml:space="preserve">indiquer si le Bureau international devrait présenter une proposition de modification de la </w:t>
      </w:r>
      <w:r w:rsidR="00793C0F" w:rsidRPr="00BC677B">
        <w:rPr>
          <w:i/>
          <w:lang w:val="fr-FR"/>
        </w:rPr>
        <w:t>règle 2</w:t>
      </w:r>
      <w:r w:rsidRPr="00BC677B">
        <w:rPr>
          <w:i/>
          <w:lang w:val="fr-FR"/>
        </w:rPr>
        <w:t>1 du règlement d</w:t>
      </w:r>
      <w:r w:rsidR="00793C0F" w:rsidRPr="00BC677B">
        <w:rPr>
          <w:i/>
          <w:lang w:val="fr-FR"/>
        </w:rPr>
        <w:t>’</w:t>
      </w:r>
      <w:r w:rsidRPr="00BC677B">
        <w:rPr>
          <w:i/>
          <w:lang w:val="fr-FR"/>
        </w:rPr>
        <w:t>exécution commun tenant compte des principes régissant le remplacement tels qu</w:t>
      </w:r>
      <w:r w:rsidR="00793C0F" w:rsidRPr="00BC677B">
        <w:rPr>
          <w:i/>
          <w:lang w:val="fr-FR"/>
        </w:rPr>
        <w:t>’</w:t>
      </w:r>
      <w:r w:rsidR="001B05EA" w:rsidRPr="00BC677B">
        <w:rPr>
          <w:i/>
          <w:lang w:val="fr-FR"/>
        </w:rPr>
        <w:t xml:space="preserve">énoncés </w:t>
      </w:r>
      <w:r w:rsidRPr="00BC677B">
        <w:rPr>
          <w:i/>
          <w:lang w:val="fr-FR"/>
        </w:rPr>
        <w:t xml:space="preserve">au </w:t>
      </w:r>
      <w:r w:rsidR="00793C0F" w:rsidRPr="00BC677B">
        <w:rPr>
          <w:i/>
          <w:lang w:val="fr-FR"/>
        </w:rPr>
        <w:t>paragraphe 1</w:t>
      </w:r>
      <w:r w:rsidRPr="00BC677B">
        <w:rPr>
          <w:i/>
          <w:lang w:val="fr-FR"/>
        </w:rPr>
        <w:t>3 du présent document.</w:t>
      </w:r>
    </w:p>
    <w:p w:rsidR="00802EC1" w:rsidRPr="00BC677B" w:rsidRDefault="00802EC1" w:rsidP="00DE3858">
      <w:pPr>
        <w:rPr>
          <w:lang w:val="fr-FR"/>
        </w:rPr>
      </w:pPr>
    </w:p>
    <w:p w:rsidR="00802EC1" w:rsidRPr="00BC677B" w:rsidRDefault="00802EC1" w:rsidP="00DE3858">
      <w:pPr>
        <w:rPr>
          <w:lang w:val="fr-FR"/>
        </w:rPr>
      </w:pPr>
    </w:p>
    <w:p w:rsidR="00802EC1" w:rsidRPr="00BC677B" w:rsidRDefault="00BD0EA0" w:rsidP="00E57548">
      <w:pPr>
        <w:pStyle w:val="Endofdocument-Annex"/>
        <w:rPr>
          <w:lang w:val="fr-FR"/>
        </w:rPr>
      </w:pPr>
      <w:r w:rsidRPr="00BC677B">
        <w:rPr>
          <w:lang w:val="fr-FR"/>
        </w:rPr>
        <w:t>[Fin du document]</w:t>
      </w:r>
    </w:p>
    <w:sectPr w:rsidR="00802EC1" w:rsidRPr="00BC677B" w:rsidSect="00C20CCF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729" w:rsidRDefault="00132729">
      <w:r>
        <w:separator/>
      </w:r>
    </w:p>
  </w:endnote>
  <w:endnote w:type="continuationSeparator" w:id="0">
    <w:p w:rsidR="00132729" w:rsidRDefault="00132729" w:rsidP="003B38C1">
      <w:r>
        <w:separator/>
      </w:r>
    </w:p>
    <w:p w:rsidR="00132729" w:rsidRPr="003B38C1" w:rsidRDefault="0013272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32729" w:rsidRPr="003B38C1" w:rsidRDefault="0013272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729" w:rsidRDefault="00132729">
      <w:r>
        <w:separator/>
      </w:r>
    </w:p>
  </w:footnote>
  <w:footnote w:type="continuationSeparator" w:id="0">
    <w:p w:rsidR="00132729" w:rsidRDefault="00132729" w:rsidP="008B60B2">
      <w:r>
        <w:separator/>
      </w:r>
    </w:p>
    <w:p w:rsidR="00132729" w:rsidRPr="00ED77FB" w:rsidRDefault="0013272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32729" w:rsidRPr="00ED77FB" w:rsidRDefault="0013272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5628AF" w:rsidRPr="00763B11" w:rsidRDefault="005628AF" w:rsidP="005628AF">
      <w:pPr>
        <w:pStyle w:val="FootnoteText"/>
        <w:rPr>
          <w:lang w:val="fr-CH"/>
        </w:rPr>
      </w:pPr>
      <w:r w:rsidRPr="00763B11">
        <w:rPr>
          <w:rStyle w:val="FootnoteReference"/>
          <w:lang w:val="fr-CH"/>
        </w:rPr>
        <w:footnoteRef/>
      </w:r>
      <w:r w:rsidRPr="00763B11">
        <w:rPr>
          <w:lang w:val="fr-CH"/>
        </w:rPr>
        <w:t xml:space="preserve"> </w:t>
      </w:r>
      <w:r w:rsidRPr="00763B11">
        <w:rPr>
          <w:lang w:val="fr-CH"/>
        </w:rPr>
        <w:tab/>
        <w:t>Voir le document</w:t>
      </w:r>
      <w:r w:rsidR="00BE4BF0">
        <w:rPr>
          <w:lang w:val="fr-CH"/>
        </w:rPr>
        <w:t> </w:t>
      </w:r>
      <w:r w:rsidR="00CB045A">
        <w:rPr>
          <w:lang w:val="fr-CH"/>
        </w:rPr>
        <w:t>MM/LD/WG/15/6.</w:t>
      </w:r>
      <w:r w:rsidR="004E464E">
        <w:rPr>
          <w:lang w:val="fr-CH"/>
        </w:rPr>
        <w:t xml:space="preserve">  </w:t>
      </w:r>
    </w:p>
  </w:footnote>
  <w:footnote w:id="3">
    <w:p w:rsidR="004E464E" w:rsidRPr="00763B11" w:rsidRDefault="004E464E" w:rsidP="004E464E">
      <w:pPr>
        <w:pStyle w:val="FootnoteText"/>
        <w:rPr>
          <w:lang w:val="fr-CH"/>
        </w:rPr>
      </w:pPr>
      <w:r w:rsidRPr="00763B11">
        <w:rPr>
          <w:rStyle w:val="FootnoteReference"/>
          <w:lang w:val="fr-CH"/>
        </w:rPr>
        <w:footnoteRef/>
      </w:r>
      <w:r w:rsidRPr="00763B11">
        <w:rPr>
          <w:lang w:val="fr-CH"/>
        </w:rPr>
        <w:t xml:space="preserve"> </w:t>
      </w:r>
      <w:r w:rsidRPr="00763B11">
        <w:rPr>
          <w:lang w:val="fr-CH"/>
        </w:rPr>
        <w:tab/>
        <w:t>Voir le deuxième paragraphe de l</w:t>
      </w:r>
      <w:r>
        <w:rPr>
          <w:lang w:val="fr-CH"/>
        </w:rPr>
        <w:t>’</w:t>
      </w:r>
      <w:r w:rsidRPr="00763B11">
        <w:rPr>
          <w:lang w:val="fr-CH"/>
        </w:rPr>
        <w:t>annexe</w:t>
      </w:r>
      <w:r>
        <w:rPr>
          <w:lang w:val="fr-CH"/>
        </w:rPr>
        <w:t> </w:t>
      </w:r>
      <w:r w:rsidRPr="00763B11">
        <w:rPr>
          <w:lang w:val="fr-CH"/>
        </w:rPr>
        <w:t xml:space="preserve">IV, </w:t>
      </w:r>
      <w:r>
        <w:rPr>
          <w:lang w:val="fr-CH"/>
        </w:rPr>
        <w:t>“</w:t>
      </w:r>
      <w:r w:rsidRPr="00763B11">
        <w:rPr>
          <w:lang w:val="fr-CH"/>
        </w:rPr>
        <w:t>Plateforme informatique du système de Madrid</w:t>
      </w:r>
      <w:r>
        <w:rPr>
          <w:lang w:val="fr-CH"/>
        </w:rPr>
        <w:t>”</w:t>
      </w:r>
      <w:r w:rsidRPr="00763B11">
        <w:rPr>
          <w:lang w:val="fr-CH"/>
        </w:rPr>
        <w:t>, du</w:t>
      </w:r>
      <w:r>
        <w:rPr>
          <w:lang w:val="fr-CH"/>
        </w:rPr>
        <w:t> </w:t>
      </w:r>
      <w:r w:rsidRPr="00763B11">
        <w:rPr>
          <w:lang w:val="fr-CH"/>
        </w:rPr>
        <w:t>document</w:t>
      </w:r>
      <w:r>
        <w:rPr>
          <w:lang w:val="fr-CH"/>
        </w:rPr>
        <w:t> </w:t>
      </w:r>
      <w:r w:rsidRPr="00763B11">
        <w:rPr>
          <w:lang w:val="fr-CH"/>
        </w:rPr>
        <w:t xml:space="preserve">WO/PBC/27/9.  </w:t>
      </w:r>
    </w:p>
  </w:footnote>
  <w:footnote w:id="4">
    <w:p w:rsidR="005109DC" w:rsidRPr="00763B11" w:rsidRDefault="005109DC" w:rsidP="00E5778F">
      <w:pPr>
        <w:pStyle w:val="FootnoteText"/>
        <w:rPr>
          <w:lang w:val="fr-CH"/>
        </w:rPr>
      </w:pPr>
      <w:r w:rsidRPr="00763B11">
        <w:rPr>
          <w:rStyle w:val="FootnoteReference"/>
          <w:lang w:val="fr-CH"/>
        </w:rPr>
        <w:footnoteRef/>
      </w:r>
      <w:r w:rsidRPr="00763B11">
        <w:rPr>
          <w:lang w:val="fr-CH"/>
        </w:rPr>
        <w:t xml:space="preserve"> </w:t>
      </w:r>
      <w:r w:rsidRPr="00763B11">
        <w:rPr>
          <w:lang w:val="fr-CH"/>
        </w:rPr>
        <w:tab/>
      </w:r>
      <w:r w:rsidR="00E5778F" w:rsidRPr="00763B11">
        <w:rPr>
          <w:lang w:val="fr-CH"/>
        </w:rPr>
        <w:t>Voir les documents</w:t>
      </w:r>
      <w:r w:rsidR="00BE4BF0">
        <w:rPr>
          <w:lang w:val="fr-CH"/>
        </w:rPr>
        <w:t> </w:t>
      </w:r>
      <w:r w:rsidR="00E5778F" w:rsidRPr="00763B11">
        <w:rPr>
          <w:lang w:val="fr-CH"/>
        </w:rPr>
        <w:t>MM/LD/WG</w:t>
      </w:r>
      <w:r w:rsidR="001573C7">
        <w:rPr>
          <w:lang w:val="fr-CH"/>
        </w:rPr>
        <w:t>/</w:t>
      </w:r>
      <w:r w:rsidR="00E5778F" w:rsidRPr="00763B11">
        <w:rPr>
          <w:lang w:val="fr-CH"/>
        </w:rPr>
        <w:t>15/2 et MM/LD/WG/15/5</w:t>
      </w:r>
      <w:r w:rsidR="00472960">
        <w:rPr>
          <w:lang w:val="fr-CH"/>
        </w:rPr>
        <w:t xml:space="preserve">, </w:t>
      </w:r>
      <w:r w:rsidR="00DE082F">
        <w:rPr>
          <w:lang w:val="fr-CH"/>
        </w:rPr>
        <w:t>paragraphes 1</w:t>
      </w:r>
      <w:r w:rsidR="00472960">
        <w:rPr>
          <w:lang w:val="fr-CH"/>
        </w:rPr>
        <w:t>2 et 13</w:t>
      </w:r>
      <w:r w:rsidR="00E5778F" w:rsidRPr="00763B11">
        <w:rPr>
          <w:lang w:val="fr-CH"/>
        </w:rPr>
        <w:t>.</w:t>
      </w:r>
    </w:p>
  </w:footnote>
  <w:footnote w:id="5">
    <w:p w:rsidR="001C314F" w:rsidRPr="00763B11" w:rsidRDefault="001C314F" w:rsidP="003C38A3">
      <w:pPr>
        <w:pStyle w:val="FootnoteText"/>
        <w:rPr>
          <w:lang w:val="fr-CH"/>
        </w:rPr>
      </w:pPr>
      <w:r w:rsidRPr="00763B11">
        <w:rPr>
          <w:rStyle w:val="FootnoteReference"/>
          <w:lang w:val="fr-CH"/>
        </w:rPr>
        <w:footnoteRef/>
      </w:r>
      <w:r w:rsidRPr="00763B11">
        <w:rPr>
          <w:lang w:val="fr-CH"/>
        </w:rPr>
        <w:t xml:space="preserve"> </w:t>
      </w:r>
      <w:r w:rsidRPr="00763B11">
        <w:rPr>
          <w:lang w:val="fr-CH"/>
        </w:rPr>
        <w:tab/>
      </w:r>
      <w:r w:rsidR="003C38A3" w:rsidRPr="00763B11">
        <w:rPr>
          <w:lang w:val="fr-CH"/>
        </w:rPr>
        <w:t>Voir le document</w:t>
      </w:r>
      <w:r w:rsidR="00BE4BF0">
        <w:rPr>
          <w:lang w:val="fr-CH"/>
        </w:rPr>
        <w:t> </w:t>
      </w:r>
      <w:r w:rsidR="003C38A3" w:rsidRPr="00763B11">
        <w:rPr>
          <w:lang w:val="fr-CH"/>
        </w:rPr>
        <w:t>MM/LD/WG/12/5.</w:t>
      </w:r>
    </w:p>
  </w:footnote>
  <w:footnote w:id="6">
    <w:p w:rsidR="001C314F" w:rsidRPr="00763B11" w:rsidRDefault="001C314F" w:rsidP="003C38A3">
      <w:pPr>
        <w:pStyle w:val="FootnoteText"/>
        <w:rPr>
          <w:lang w:val="fr-CH"/>
        </w:rPr>
      </w:pPr>
      <w:r w:rsidRPr="00763B11">
        <w:rPr>
          <w:rStyle w:val="FootnoteReference"/>
          <w:lang w:val="fr-CH"/>
        </w:rPr>
        <w:footnoteRef/>
      </w:r>
      <w:r w:rsidRPr="00763B11">
        <w:rPr>
          <w:lang w:val="fr-CH"/>
        </w:rPr>
        <w:t xml:space="preserve"> </w:t>
      </w:r>
      <w:r w:rsidRPr="00763B11">
        <w:rPr>
          <w:lang w:val="fr-CH"/>
        </w:rPr>
        <w:tab/>
      </w:r>
      <w:r w:rsidR="003C38A3" w:rsidRPr="00763B11">
        <w:rPr>
          <w:lang w:val="fr-CH"/>
        </w:rPr>
        <w:t>Voir le document</w:t>
      </w:r>
      <w:r w:rsidR="00BE4BF0">
        <w:rPr>
          <w:lang w:val="fr-CH"/>
        </w:rPr>
        <w:t> </w:t>
      </w:r>
      <w:r w:rsidR="003C38A3" w:rsidRPr="00763B11">
        <w:rPr>
          <w:lang w:val="fr-CH"/>
        </w:rPr>
        <w:t>MM/LD/WG/13/2.</w:t>
      </w:r>
    </w:p>
  </w:footnote>
  <w:footnote w:id="7">
    <w:p w:rsidR="001C314F" w:rsidRPr="00763B11" w:rsidRDefault="001C314F" w:rsidP="003C38A3">
      <w:pPr>
        <w:pStyle w:val="FootnoteText"/>
        <w:rPr>
          <w:lang w:val="fr-CH"/>
        </w:rPr>
      </w:pPr>
      <w:r w:rsidRPr="00763B11">
        <w:rPr>
          <w:rStyle w:val="FootnoteReference"/>
          <w:lang w:val="fr-CH"/>
        </w:rPr>
        <w:footnoteRef/>
      </w:r>
      <w:r w:rsidRPr="00763B11">
        <w:rPr>
          <w:lang w:val="fr-CH"/>
        </w:rPr>
        <w:t xml:space="preserve"> </w:t>
      </w:r>
      <w:r w:rsidRPr="00763B11">
        <w:rPr>
          <w:lang w:val="fr-CH"/>
        </w:rPr>
        <w:tab/>
      </w:r>
      <w:r w:rsidR="003C38A3" w:rsidRPr="00763B11">
        <w:rPr>
          <w:lang w:val="fr-CH"/>
        </w:rPr>
        <w:t>Voir le document</w:t>
      </w:r>
      <w:r w:rsidR="00BE4BF0">
        <w:rPr>
          <w:lang w:val="fr-CH"/>
        </w:rPr>
        <w:t> </w:t>
      </w:r>
      <w:r w:rsidR="003C38A3" w:rsidRPr="00763B11">
        <w:rPr>
          <w:lang w:val="fr-CH"/>
        </w:rPr>
        <w:t>MM/LD/WG/14/2</w:t>
      </w:r>
      <w:r w:rsidR="00A124DE">
        <w:rPr>
          <w:lang w:val="fr-CH"/>
        </w:rPr>
        <w:t> </w:t>
      </w:r>
      <w:proofErr w:type="spellStart"/>
      <w:r w:rsidR="003C38A3" w:rsidRPr="00763B11">
        <w:rPr>
          <w:lang w:val="fr-CH"/>
        </w:rPr>
        <w:t>Rev</w:t>
      </w:r>
      <w:proofErr w:type="spellEnd"/>
      <w:r w:rsidR="003C38A3" w:rsidRPr="00763B11">
        <w:rPr>
          <w:lang w:val="fr-CH"/>
        </w:rPr>
        <w:t>.</w:t>
      </w:r>
    </w:p>
  </w:footnote>
  <w:footnote w:id="8">
    <w:p w:rsidR="001C314F" w:rsidRPr="00763B11" w:rsidRDefault="001C314F" w:rsidP="003C38A3">
      <w:pPr>
        <w:pStyle w:val="FootnoteText"/>
        <w:rPr>
          <w:lang w:val="fr-CH"/>
        </w:rPr>
      </w:pPr>
      <w:r w:rsidRPr="00763B11">
        <w:rPr>
          <w:rStyle w:val="FootnoteReference"/>
          <w:lang w:val="fr-CH"/>
        </w:rPr>
        <w:footnoteRef/>
      </w:r>
      <w:r w:rsidRPr="00763B11">
        <w:rPr>
          <w:lang w:val="fr-CH"/>
        </w:rPr>
        <w:t xml:space="preserve"> </w:t>
      </w:r>
      <w:r w:rsidRPr="00763B11">
        <w:rPr>
          <w:lang w:val="fr-CH"/>
        </w:rPr>
        <w:tab/>
      </w:r>
      <w:r w:rsidR="003C38A3" w:rsidRPr="00763B11">
        <w:rPr>
          <w:lang w:val="fr-CH"/>
        </w:rPr>
        <w:t>Voir le document</w:t>
      </w:r>
      <w:r w:rsidR="00BE4BF0">
        <w:rPr>
          <w:lang w:val="fr-CH"/>
        </w:rPr>
        <w:t> </w:t>
      </w:r>
      <w:r w:rsidR="003C38A3" w:rsidRPr="00763B11">
        <w:rPr>
          <w:lang w:val="fr-CH"/>
        </w:rPr>
        <w:t>MM/LD/WG/15/2.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0C3895" w:rsidP="00477D6B">
    <w:pPr>
      <w:jc w:val="right"/>
    </w:pPr>
    <w:bookmarkStart w:id="6" w:name="Code2"/>
    <w:bookmarkEnd w:id="6"/>
    <w:r>
      <w:t>MM/LD/WG/1</w:t>
    </w:r>
    <w:r w:rsidR="00DC0174">
      <w:t>6</w:t>
    </w:r>
    <w:r>
      <w:t>/</w:t>
    </w:r>
    <w:r w:rsidR="00EF6CDC">
      <w:t>2</w:t>
    </w:r>
  </w:p>
  <w:p w:rsidR="00EC4E49" w:rsidRDefault="00EC4E49" w:rsidP="00477D6B">
    <w:pPr>
      <w:jc w:val="right"/>
    </w:pPr>
    <w:proofErr w:type="gramStart"/>
    <w:r>
      <w:t>page</w:t>
    </w:r>
    <w:proofErr w:type="gramEnd"/>
    <w:r w:rsidR="00BE4BF0">
      <w:t> </w:t>
    </w:r>
    <w:r>
      <w:fldChar w:fldCharType="begin"/>
    </w:r>
    <w:r>
      <w:instrText xml:space="preserve"> PAGE  \* MERGEFORMAT </w:instrText>
    </w:r>
    <w:r>
      <w:fldChar w:fldCharType="separate"/>
    </w:r>
    <w:r w:rsidR="00E23801">
      <w:rPr>
        <w:noProof/>
      </w:rPr>
      <w:t>4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A2210E"/>
    <w:multiLevelType w:val="hybridMultilevel"/>
    <w:tmpl w:val="777666CE"/>
    <w:lvl w:ilvl="0" w:tplc="864A2618">
      <w:start w:val="1"/>
      <w:numFmt w:val="lowerRoman"/>
      <w:lvlText w:val="(%1)"/>
      <w:lvlJc w:val="righ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8411B2B"/>
    <w:multiLevelType w:val="hybridMultilevel"/>
    <w:tmpl w:val="0F3E281A"/>
    <w:lvl w:ilvl="0" w:tplc="8700B06C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FB19A2"/>
    <w:multiLevelType w:val="multilevel"/>
    <w:tmpl w:val="6F544FB4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2127"/>
        </w:tabs>
        <w:ind w:left="1560" w:firstLine="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EF22D4B"/>
    <w:multiLevelType w:val="hybridMultilevel"/>
    <w:tmpl w:val="C9F2EB7C"/>
    <w:lvl w:ilvl="0" w:tplc="864A2618">
      <w:start w:val="1"/>
      <w:numFmt w:val="lowerRoman"/>
      <w:lvlText w:val="(%1)"/>
      <w:lvlJc w:val="righ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31A01366"/>
    <w:multiLevelType w:val="hybridMultilevel"/>
    <w:tmpl w:val="A2F2AAF4"/>
    <w:lvl w:ilvl="0" w:tplc="8BA24086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4A748D"/>
    <w:multiLevelType w:val="hybridMultilevel"/>
    <w:tmpl w:val="2C842E3E"/>
    <w:lvl w:ilvl="0" w:tplc="EBC477E0">
      <w:numFmt w:val="bullet"/>
      <w:lvlText w:val="–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409260C0"/>
    <w:multiLevelType w:val="hybridMultilevel"/>
    <w:tmpl w:val="03BE06E4"/>
    <w:lvl w:ilvl="0" w:tplc="864A2618">
      <w:start w:val="1"/>
      <w:numFmt w:val="lowerRoman"/>
      <w:lvlText w:val="(%1)"/>
      <w:lvlJc w:val="righ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4385022B"/>
    <w:multiLevelType w:val="hybridMultilevel"/>
    <w:tmpl w:val="D834D08C"/>
    <w:lvl w:ilvl="0" w:tplc="831E95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BED0323"/>
    <w:multiLevelType w:val="hybridMultilevel"/>
    <w:tmpl w:val="11ECE352"/>
    <w:lvl w:ilvl="0" w:tplc="2F7E823C">
      <w:start w:val="1"/>
      <w:numFmt w:val="bullet"/>
      <w:lvlText w:val="–"/>
      <w:lvlJc w:val="left"/>
      <w:pPr>
        <w:ind w:left="185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493F48"/>
    <w:multiLevelType w:val="hybridMultilevel"/>
    <w:tmpl w:val="FBD475D2"/>
    <w:lvl w:ilvl="0" w:tplc="864A2618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1048B"/>
    <w:multiLevelType w:val="hybridMultilevel"/>
    <w:tmpl w:val="5DC4A824"/>
    <w:lvl w:ilvl="0" w:tplc="831E95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6130FEFA">
      <w:start w:val="1"/>
      <w:numFmt w:val="bullet"/>
      <w:lvlText w:val="̶"/>
      <w:lvlJc w:val="left"/>
      <w:pPr>
        <w:ind w:left="1440" w:hanging="360"/>
      </w:pPr>
      <w:rPr>
        <w:rFonts w:ascii="Arial" w:eastAsia="SimSun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E1CD3"/>
    <w:multiLevelType w:val="hybridMultilevel"/>
    <w:tmpl w:val="65B8E042"/>
    <w:lvl w:ilvl="0" w:tplc="8700B06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700B06C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B304F"/>
    <w:multiLevelType w:val="hybridMultilevel"/>
    <w:tmpl w:val="5D9EDEF8"/>
    <w:lvl w:ilvl="0" w:tplc="864A2618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77D86"/>
    <w:multiLevelType w:val="hybridMultilevel"/>
    <w:tmpl w:val="C75461F2"/>
    <w:lvl w:ilvl="0" w:tplc="6130FEFA">
      <w:start w:val="1"/>
      <w:numFmt w:val="bullet"/>
      <w:lvlText w:val="̶"/>
      <w:lvlJc w:val="left"/>
      <w:pPr>
        <w:ind w:left="2574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6883434E"/>
    <w:multiLevelType w:val="hybridMultilevel"/>
    <w:tmpl w:val="7B724E38"/>
    <w:lvl w:ilvl="0" w:tplc="2F7E823C">
      <w:start w:val="1"/>
      <w:numFmt w:val="bullet"/>
      <w:lvlText w:val="–"/>
      <w:lvlJc w:val="left"/>
      <w:pPr>
        <w:ind w:left="185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3"/>
  </w:num>
  <w:num w:numId="5">
    <w:abstractNumId w:val="2"/>
  </w:num>
  <w:num w:numId="6">
    <w:abstractNumId w:val="5"/>
  </w:num>
  <w:num w:numId="7">
    <w:abstractNumId w:val="16"/>
  </w:num>
  <w:num w:numId="8">
    <w:abstractNumId w:val="10"/>
  </w:num>
  <w:num w:numId="9">
    <w:abstractNumId w:val="15"/>
  </w:num>
  <w:num w:numId="10">
    <w:abstractNumId w:val="4"/>
  </w:num>
  <w:num w:numId="11">
    <w:abstractNumId w:val="17"/>
  </w:num>
  <w:num w:numId="12">
    <w:abstractNumId w:val="9"/>
  </w:num>
  <w:num w:numId="13">
    <w:abstractNumId w:val="14"/>
  </w:num>
  <w:num w:numId="14">
    <w:abstractNumId w:val="6"/>
  </w:num>
  <w:num w:numId="15">
    <w:abstractNumId w:val="1"/>
  </w:num>
  <w:num w:numId="16">
    <w:abstractNumId w:val="18"/>
  </w:num>
  <w:num w:numId="17">
    <w:abstractNumId w:val="7"/>
  </w:num>
  <w:num w:numId="18">
    <w:abstractNumId w:val="12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LDTERM|FTS_Glossary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Default"/>
    <w:docVar w:name="TextBaseURL" w:val="empty"/>
    <w:docVar w:name="UILng" w:val="en"/>
  </w:docVars>
  <w:rsids>
    <w:rsidRoot w:val="000C3895"/>
    <w:rsid w:val="00000FEC"/>
    <w:rsid w:val="00003E53"/>
    <w:rsid w:val="000061EC"/>
    <w:rsid w:val="000337EE"/>
    <w:rsid w:val="000408AB"/>
    <w:rsid w:val="00043CAA"/>
    <w:rsid w:val="00046F15"/>
    <w:rsid w:val="00057622"/>
    <w:rsid w:val="00071F31"/>
    <w:rsid w:val="0007230B"/>
    <w:rsid w:val="00075432"/>
    <w:rsid w:val="00076B27"/>
    <w:rsid w:val="00077D64"/>
    <w:rsid w:val="000968ED"/>
    <w:rsid w:val="000B10EA"/>
    <w:rsid w:val="000B3940"/>
    <w:rsid w:val="000C0BF6"/>
    <w:rsid w:val="000C3895"/>
    <w:rsid w:val="000F1EBB"/>
    <w:rsid w:val="000F5E56"/>
    <w:rsid w:val="00111FC0"/>
    <w:rsid w:val="00117964"/>
    <w:rsid w:val="00132729"/>
    <w:rsid w:val="001362EE"/>
    <w:rsid w:val="00137255"/>
    <w:rsid w:val="00140D2C"/>
    <w:rsid w:val="00145C7B"/>
    <w:rsid w:val="0015155C"/>
    <w:rsid w:val="001573C7"/>
    <w:rsid w:val="00161BA2"/>
    <w:rsid w:val="00180B57"/>
    <w:rsid w:val="001832A6"/>
    <w:rsid w:val="001B05EA"/>
    <w:rsid w:val="001B635C"/>
    <w:rsid w:val="001B6C33"/>
    <w:rsid w:val="001C314F"/>
    <w:rsid w:val="001D5374"/>
    <w:rsid w:val="001E0EF0"/>
    <w:rsid w:val="001E17A9"/>
    <w:rsid w:val="00215BAC"/>
    <w:rsid w:val="002249D3"/>
    <w:rsid w:val="00232E14"/>
    <w:rsid w:val="00243B94"/>
    <w:rsid w:val="0024626D"/>
    <w:rsid w:val="00252C65"/>
    <w:rsid w:val="002602E3"/>
    <w:rsid w:val="002634C4"/>
    <w:rsid w:val="00267E19"/>
    <w:rsid w:val="00271826"/>
    <w:rsid w:val="0028752D"/>
    <w:rsid w:val="002928D3"/>
    <w:rsid w:val="002945BA"/>
    <w:rsid w:val="002C37C0"/>
    <w:rsid w:val="002D0484"/>
    <w:rsid w:val="002F1219"/>
    <w:rsid w:val="002F1FE6"/>
    <w:rsid w:val="002F4E68"/>
    <w:rsid w:val="00312F7F"/>
    <w:rsid w:val="00314626"/>
    <w:rsid w:val="00361450"/>
    <w:rsid w:val="003673CF"/>
    <w:rsid w:val="003705FB"/>
    <w:rsid w:val="00384158"/>
    <w:rsid w:val="003845C1"/>
    <w:rsid w:val="003933BF"/>
    <w:rsid w:val="003A57E0"/>
    <w:rsid w:val="003A6F89"/>
    <w:rsid w:val="003A7A79"/>
    <w:rsid w:val="003B38C1"/>
    <w:rsid w:val="003C38A3"/>
    <w:rsid w:val="003C5432"/>
    <w:rsid w:val="003E2CED"/>
    <w:rsid w:val="003F034E"/>
    <w:rsid w:val="00414DE5"/>
    <w:rsid w:val="00423E3E"/>
    <w:rsid w:val="0042455E"/>
    <w:rsid w:val="00427AF4"/>
    <w:rsid w:val="00433BD2"/>
    <w:rsid w:val="00457EDF"/>
    <w:rsid w:val="004647DA"/>
    <w:rsid w:val="00472887"/>
    <w:rsid w:val="00472960"/>
    <w:rsid w:val="00474062"/>
    <w:rsid w:val="00477D6B"/>
    <w:rsid w:val="004D4889"/>
    <w:rsid w:val="004D7804"/>
    <w:rsid w:val="004E464E"/>
    <w:rsid w:val="004E58D3"/>
    <w:rsid w:val="005019FF"/>
    <w:rsid w:val="005109DC"/>
    <w:rsid w:val="005216C2"/>
    <w:rsid w:val="0053057A"/>
    <w:rsid w:val="0053634A"/>
    <w:rsid w:val="00536882"/>
    <w:rsid w:val="0054150D"/>
    <w:rsid w:val="00560A29"/>
    <w:rsid w:val="005628AF"/>
    <w:rsid w:val="00566846"/>
    <w:rsid w:val="00572110"/>
    <w:rsid w:val="00574923"/>
    <w:rsid w:val="005804AA"/>
    <w:rsid w:val="00597066"/>
    <w:rsid w:val="005A142B"/>
    <w:rsid w:val="005B05D8"/>
    <w:rsid w:val="005B6B85"/>
    <w:rsid w:val="005C2E38"/>
    <w:rsid w:val="005C306B"/>
    <w:rsid w:val="005C479F"/>
    <w:rsid w:val="005C6649"/>
    <w:rsid w:val="005D450C"/>
    <w:rsid w:val="005F1C7E"/>
    <w:rsid w:val="005F2005"/>
    <w:rsid w:val="005F5F23"/>
    <w:rsid w:val="006041E7"/>
    <w:rsid w:val="00605827"/>
    <w:rsid w:val="006257B5"/>
    <w:rsid w:val="00646050"/>
    <w:rsid w:val="00653500"/>
    <w:rsid w:val="006713CA"/>
    <w:rsid w:val="0067346F"/>
    <w:rsid w:val="006759C7"/>
    <w:rsid w:val="00676C5C"/>
    <w:rsid w:val="00681884"/>
    <w:rsid w:val="00682871"/>
    <w:rsid w:val="00696045"/>
    <w:rsid w:val="006A5465"/>
    <w:rsid w:val="006A6546"/>
    <w:rsid w:val="006A7532"/>
    <w:rsid w:val="006A78C0"/>
    <w:rsid w:val="00735D69"/>
    <w:rsid w:val="00740A6D"/>
    <w:rsid w:val="00743D2F"/>
    <w:rsid w:val="00744439"/>
    <w:rsid w:val="00760443"/>
    <w:rsid w:val="00763B11"/>
    <w:rsid w:val="007861C7"/>
    <w:rsid w:val="00793C0F"/>
    <w:rsid w:val="007B5D69"/>
    <w:rsid w:val="007C590F"/>
    <w:rsid w:val="007D1613"/>
    <w:rsid w:val="007E3FF4"/>
    <w:rsid w:val="007E6AF7"/>
    <w:rsid w:val="007E6D13"/>
    <w:rsid w:val="007F53E8"/>
    <w:rsid w:val="00802EC1"/>
    <w:rsid w:val="00814104"/>
    <w:rsid w:val="00814B28"/>
    <w:rsid w:val="00821538"/>
    <w:rsid w:val="00842850"/>
    <w:rsid w:val="00853933"/>
    <w:rsid w:val="0086299D"/>
    <w:rsid w:val="008717E6"/>
    <w:rsid w:val="0087204D"/>
    <w:rsid w:val="008815D8"/>
    <w:rsid w:val="008A3878"/>
    <w:rsid w:val="008B2CC1"/>
    <w:rsid w:val="008B3E83"/>
    <w:rsid w:val="008B60B2"/>
    <w:rsid w:val="008D483B"/>
    <w:rsid w:val="008D5D69"/>
    <w:rsid w:val="008E6194"/>
    <w:rsid w:val="008F1AFF"/>
    <w:rsid w:val="008F3415"/>
    <w:rsid w:val="009051D4"/>
    <w:rsid w:val="0090731E"/>
    <w:rsid w:val="00916EE2"/>
    <w:rsid w:val="00920A3B"/>
    <w:rsid w:val="009232F1"/>
    <w:rsid w:val="00923A92"/>
    <w:rsid w:val="009248C8"/>
    <w:rsid w:val="009264D3"/>
    <w:rsid w:val="00932C36"/>
    <w:rsid w:val="00943842"/>
    <w:rsid w:val="00952F91"/>
    <w:rsid w:val="00966A22"/>
    <w:rsid w:val="0096722F"/>
    <w:rsid w:val="009675B3"/>
    <w:rsid w:val="00977EFC"/>
    <w:rsid w:val="00980843"/>
    <w:rsid w:val="0099674C"/>
    <w:rsid w:val="009A6CC2"/>
    <w:rsid w:val="009A6E26"/>
    <w:rsid w:val="009B6AAB"/>
    <w:rsid w:val="009D73DD"/>
    <w:rsid w:val="009E143F"/>
    <w:rsid w:val="009E2791"/>
    <w:rsid w:val="009E3F6F"/>
    <w:rsid w:val="009F499F"/>
    <w:rsid w:val="00A124DE"/>
    <w:rsid w:val="00A16190"/>
    <w:rsid w:val="00A31DB8"/>
    <w:rsid w:val="00A42DAF"/>
    <w:rsid w:val="00A45BD8"/>
    <w:rsid w:val="00A53734"/>
    <w:rsid w:val="00A6558D"/>
    <w:rsid w:val="00A6673C"/>
    <w:rsid w:val="00A66966"/>
    <w:rsid w:val="00A8286A"/>
    <w:rsid w:val="00A869B7"/>
    <w:rsid w:val="00A9139E"/>
    <w:rsid w:val="00A943BD"/>
    <w:rsid w:val="00A97D58"/>
    <w:rsid w:val="00AA201A"/>
    <w:rsid w:val="00AA495F"/>
    <w:rsid w:val="00AC205C"/>
    <w:rsid w:val="00AC5137"/>
    <w:rsid w:val="00AC54CE"/>
    <w:rsid w:val="00AD5F99"/>
    <w:rsid w:val="00AD719E"/>
    <w:rsid w:val="00AE1ABE"/>
    <w:rsid w:val="00AF0A6B"/>
    <w:rsid w:val="00AF394F"/>
    <w:rsid w:val="00B004E1"/>
    <w:rsid w:val="00B05A69"/>
    <w:rsid w:val="00B07240"/>
    <w:rsid w:val="00B11C8D"/>
    <w:rsid w:val="00B201FC"/>
    <w:rsid w:val="00B31DB5"/>
    <w:rsid w:val="00B37EC4"/>
    <w:rsid w:val="00B46DEB"/>
    <w:rsid w:val="00B51B4C"/>
    <w:rsid w:val="00B62DA4"/>
    <w:rsid w:val="00B70B9F"/>
    <w:rsid w:val="00B7115A"/>
    <w:rsid w:val="00B71C4B"/>
    <w:rsid w:val="00B8384B"/>
    <w:rsid w:val="00B9734B"/>
    <w:rsid w:val="00BA6502"/>
    <w:rsid w:val="00BA7046"/>
    <w:rsid w:val="00BB5390"/>
    <w:rsid w:val="00BC677B"/>
    <w:rsid w:val="00BD0EA0"/>
    <w:rsid w:val="00BE084B"/>
    <w:rsid w:val="00BE4BF0"/>
    <w:rsid w:val="00C01010"/>
    <w:rsid w:val="00C03030"/>
    <w:rsid w:val="00C11BFE"/>
    <w:rsid w:val="00C13DF7"/>
    <w:rsid w:val="00C20CCF"/>
    <w:rsid w:val="00C2794B"/>
    <w:rsid w:val="00C51317"/>
    <w:rsid w:val="00C6022B"/>
    <w:rsid w:val="00C613D8"/>
    <w:rsid w:val="00C66A31"/>
    <w:rsid w:val="00C739CA"/>
    <w:rsid w:val="00C74CF3"/>
    <w:rsid w:val="00CB045A"/>
    <w:rsid w:val="00CC0472"/>
    <w:rsid w:val="00CE04DF"/>
    <w:rsid w:val="00CE4D7B"/>
    <w:rsid w:val="00CF0D3B"/>
    <w:rsid w:val="00CF53F3"/>
    <w:rsid w:val="00D177A6"/>
    <w:rsid w:val="00D1792B"/>
    <w:rsid w:val="00D3245D"/>
    <w:rsid w:val="00D45252"/>
    <w:rsid w:val="00D62433"/>
    <w:rsid w:val="00D64DC8"/>
    <w:rsid w:val="00D71B4D"/>
    <w:rsid w:val="00D72828"/>
    <w:rsid w:val="00D75AAE"/>
    <w:rsid w:val="00D85DB6"/>
    <w:rsid w:val="00D93D55"/>
    <w:rsid w:val="00DA3C64"/>
    <w:rsid w:val="00DC0174"/>
    <w:rsid w:val="00DC2080"/>
    <w:rsid w:val="00DC4268"/>
    <w:rsid w:val="00DD084F"/>
    <w:rsid w:val="00DD4085"/>
    <w:rsid w:val="00DE082F"/>
    <w:rsid w:val="00DE21FD"/>
    <w:rsid w:val="00DE3858"/>
    <w:rsid w:val="00DE6E59"/>
    <w:rsid w:val="00E0179D"/>
    <w:rsid w:val="00E0409C"/>
    <w:rsid w:val="00E14223"/>
    <w:rsid w:val="00E201BE"/>
    <w:rsid w:val="00E23801"/>
    <w:rsid w:val="00E245CF"/>
    <w:rsid w:val="00E24EDF"/>
    <w:rsid w:val="00E335FE"/>
    <w:rsid w:val="00E4010A"/>
    <w:rsid w:val="00E4220B"/>
    <w:rsid w:val="00E5238C"/>
    <w:rsid w:val="00E57548"/>
    <w:rsid w:val="00E5778F"/>
    <w:rsid w:val="00E84E33"/>
    <w:rsid w:val="00E86FA5"/>
    <w:rsid w:val="00EB117B"/>
    <w:rsid w:val="00EB2D9E"/>
    <w:rsid w:val="00EC3E8B"/>
    <w:rsid w:val="00EC4E49"/>
    <w:rsid w:val="00ED3163"/>
    <w:rsid w:val="00ED77FB"/>
    <w:rsid w:val="00ED7ED8"/>
    <w:rsid w:val="00EE1CE7"/>
    <w:rsid w:val="00EE4409"/>
    <w:rsid w:val="00EE45FA"/>
    <w:rsid w:val="00EE55EF"/>
    <w:rsid w:val="00EF042A"/>
    <w:rsid w:val="00EF6CDC"/>
    <w:rsid w:val="00F00BAF"/>
    <w:rsid w:val="00F23F46"/>
    <w:rsid w:val="00F25FAD"/>
    <w:rsid w:val="00F64F97"/>
    <w:rsid w:val="00F66152"/>
    <w:rsid w:val="00F674B8"/>
    <w:rsid w:val="00F82BD4"/>
    <w:rsid w:val="00FA789F"/>
    <w:rsid w:val="00FC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  <w:tabs>
        <w:tab w:val="clear" w:pos="2127"/>
        <w:tab w:val="num" w:pos="567"/>
      </w:tabs>
      <w:ind w:left="0"/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character" w:styleId="EndnoteReference">
    <w:name w:val="endnote reference"/>
    <w:basedOn w:val="DefaultParagraphFont"/>
    <w:rsid w:val="00C613D8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2BD4"/>
    <w:pPr>
      <w:ind w:left="720"/>
      <w:contextualSpacing/>
    </w:pPr>
  </w:style>
  <w:style w:type="character" w:styleId="Hyperlink">
    <w:name w:val="Hyperlink"/>
    <w:basedOn w:val="DefaultParagraphFont"/>
    <w:rsid w:val="00BE4B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  <w:tabs>
        <w:tab w:val="clear" w:pos="2127"/>
        <w:tab w:val="num" w:pos="567"/>
      </w:tabs>
      <w:ind w:left="0"/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character" w:styleId="EndnoteReference">
    <w:name w:val="endnote reference"/>
    <w:basedOn w:val="DefaultParagraphFont"/>
    <w:rsid w:val="00C613D8"/>
    <w:rPr>
      <w:vertAlign w:val="superscript"/>
    </w:rPr>
  </w:style>
  <w:style w:type="paragraph" w:styleId="ListParagraph">
    <w:name w:val="List Paragraph"/>
    <w:basedOn w:val="Normal"/>
    <w:uiPriority w:val="34"/>
    <w:qFormat/>
    <w:rsid w:val="00F82BD4"/>
    <w:pPr>
      <w:ind w:left="720"/>
      <w:contextualSpacing/>
    </w:pPr>
  </w:style>
  <w:style w:type="character" w:styleId="Hyperlink">
    <w:name w:val="Hyperlink"/>
    <w:basedOn w:val="DefaultParagraphFont"/>
    <w:rsid w:val="00BE4B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D4211-9F42-4F3C-9610-49B83CEC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1555</Words>
  <Characters>8654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Madrid Registry</cp:lastModifiedBy>
  <cp:revision>5</cp:revision>
  <cp:lastPrinted>2018-04-24T07:18:00Z</cp:lastPrinted>
  <dcterms:created xsi:type="dcterms:W3CDTF">2018-04-27T13:43:00Z</dcterms:created>
  <dcterms:modified xsi:type="dcterms:W3CDTF">2018-04-30T15:41:00Z</dcterms:modified>
</cp:coreProperties>
</file>