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4C93" w:rsidRPr="008B2CC1" w:rsidTr="009031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44C93" w:rsidRPr="008B2CC1" w:rsidRDefault="00144C93" w:rsidP="00903122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4C93" w:rsidRPr="008B2CC1" w:rsidRDefault="00144C93" w:rsidP="00903122">
            <w:r>
              <w:rPr>
                <w:noProof/>
                <w:lang w:eastAsia="en-US"/>
              </w:rPr>
              <w:drawing>
                <wp:inline distT="0" distB="0" distL="0" distR="0" wp14:anchorId="4EF58129" wp14:editId="3B68DF1B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44C93" w:rsidRPr="008B2CC1" w:rsidRDefault="00144C93" w:rsidP="00903122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144C93" w:rsidRPr="001832A6" w:rsidTr="0090312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44C93" w:rsidRPr="0090731E" w:rsidRDefault="00144C93" w:rsidP="009031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mm/Ld/wg/16/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144C93" w:rsidRPr="001832A6" w:rsidTr="009031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44C93" w:rsidRPr="0090731E" w:rsidRDefault="00144C93" w:rsidP="0090312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CD0BCA">
              <w:rPr>
                <w:rFonts w:ascii="Arial Black" w:hAnsi="Arial Black"/>
                <w:caps/>
                <w:sz w:val="15"/>
              </w:rPr>
              <w:t> :</w:t>
            </w:r>
            <w:bookmarkStart w:id="2" w:name="Original"/>
            <w:bookmarkEnd w:id="2"/>
            <w:r w:rsidR="00680093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144C93" w:rsidRPr="001832A6" w:rsidTr="009031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44C93" w:rsidRPr="0090731E" w:rsidRDefault="00144C93" w:rsidP="0090312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CD0BCA">
              <w:rPr>
                <w:rFonts w:ascii="Arial Black" w:hAnsi="Arial Black"/>
                <w:caps/>
                <w:sz w:val="15"/>
              </w:rPr>
              <w:t> :</w:t>
            </w:r>
            <w:bookmarkStart w:id="3" w:name="Date"/>
            <w:bookmarkEnd w:id="3"/>
            <w:r w:rsidR="00680093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</w:t>
            </w:r>
            <w:r w:rsidR="00CD0BCA">
              <w:rPr>
                <w:rFonts w:ascii="Arial Black" w:hAnsi="Arial Black"/>
                <w:caps/>
                <w:sz w:val="15"/>
              </w:rPr>
              <w:t>2 juin 20</w:t>
            </w:r>
            <w:r>
              <w:rPr>
                <w:rFonts w:ascii="Arial Black" w:hAnsi="Arial Black"/>
                <w:caps/>
                <w:sz w:val="15"/>
              </w:rPr>
              <w:t xml:space="preserve">18 </w:t>
            </w:r>
          </w:p>
        </w:tc>
      </w:tr>
    </w:tbl>
    <w:p w:rsidR="00144C93" w:rsidRPr="008B2CC1" w:rsidRDefault="00144C93" w:rsidP="00144C93"/>
    <w:p w:rsidR="00144C93" w:rsidRPr="008B2CC1" w:rsidRDefault="00144C93" w:rsidP="00144C93"/>
    <w:p w:rsidR="00144C93" w:rsidRPr="008B2CC1" w:rsidRDefault="00144C93" w:rsidP="00144C93"/>
    <w:p w:rsidR="00144C93" w:rsidRPr="008B2CC1" w:rsidRDefault="00144C93" w:rsidP="00144C93"/>
    <w:p w:rsidR="00144C93" w:rsidRPr="008B2CC1" w:rsidRDefault="00144C93" w:rsidP="00144C93"/>
    <w:p w:rsidR="00144C93" w:rsidRPr="00144C93" w:rsidRDefault="00144C93" w:rsidP="00144C93">
      <w:pPr>
        <w:rPr>
          <w:b/>
          <w:sz w:val="28"/>
          <w:szCs w:val="28"/>
          <w:lang w:val="fr-FR"/>
        </w:rPr>
      </w:pPr>
      <w:r w:rsidRPr="00144C93">
        <w:rPr>
          <w:b/>
          <w:sz w:val="28"/>
          <w:szCs w:val="28"/>
          <w:lang w:val="fr-FR"/>
        </w:rPr>
        <w:t>Groupe de travail sur le développement juridique du système de Madrid concernant l</w:t>
      </w:r>
      <w:r w:rsidR="00CD0BCA">
        <w:rPr>
          <w:b/>
          <w:sz w:val="28"/>
          <w:szCs w:val="28"/>
          <w:lang w:val="fr-FR"/>
        </w:rPr>
        <w:t>’</w:t>
      </w:r>
      <w:r w:rsidRPr="00144C93">
        <w:rPr>
          <w:b/>
          <w:sz w:val="28"/>
          <w:szCs w:val="28"/>
          <w:lang w:val="fr-FR"/>
        </w:rPr>
        <w:t>enregistrement international des marques</w:t>
      </w:r>
    </w:p>
    <w:p w:rsidR="00144C93" w:rsidRPr="00144C93" w:rsidRDefault="00144C93" w:rsidP="00144C93">
      <w:pPr>
        <w:rPr>
          <w:lang w:val="fr-FR"/>
        </w:rPr>
      </w:pPr>
    </w:p>
    <w:p w:rsidR="00144C93" w:rsidRPr="00144C93" w:rsidRDefault="00144C93" w:rsidP="00144C93">
      <w:pPr>
        <w:rPr>
          <w:lang w:val="fr-FR"/>
        </w:rPr>
      </w:pPr>
    </w:p>
    <w:p w:rsidR="00144C93" w:rsidRPr="00144C93" w:rsidRDefault="00144C93" w:rsidP="00144C93">
      <w:pPr>
        <w:rPr>
          <w:b/>
          <w:sz w:val="24"/>
          <w:szCs w:val="24"/>
          <w:lang w:val="fr-FR"/>
        </w:rPr>
      </w:pPr>
      <w:r w:rsidRPr="00144C93">
        <w:rPr>
          <w:b/>
          <w:sz w:val="24"/>
          <w:szCs w:val="24"/>
          <w:lang w:val="fr-FR"/>
        </w:rPr>
        <w:t>Seiz</w:t>
      </w:r>
      <w:r w:rsidR="00CD0BCA">
        <w:rPr>
          <w:b/>
          <w:sz w:val="24"/>
          <w:szCs w:val="24"/>
          <w:lang w:val="fr-FR"/>
        </w:rPr>
        <w:t>ième session</w:t>
      </w:r>
    </w:p>
    <w:p w:rsidR="00144C93" w:rsidRPr="00144C93" w:rsidRDefault="00144C93" w:rsidP="00144C93">
      <w:pPr>
        <w:rPr>
          <w:b/>
          <w:sz w:val="24"/>
          <w:szCs w:val="24"/>
          <w:lang w:val="fr-FR"/>
        </w:rPr>
      </w:pPr>
      <w:r w:rsidRPr="00144C93">
        <w:rPr>
          <w:b/>
          <w:sz w:val="24"/>
          <w:szCs w:val="24"/>
          <w:lang w:val="fr-FR"/>
        </w:rPr>
        <w:t xml:space="preserve">Genève, 2 – </w:t>
      </w:r>
      <w:r w:rsidR="00CD0BCA" w:rsidRPr="00144C93">
        <w:rPr>
          <w:b/>
          <w:sz w:val="24"/>
          <w:szCs w:val="24"/>
          <w:lang w:val="fr-FR"/>
        </w:rPr>
        <w:t>6</w:t>
      </w:r>
      <w:r w:rsidR="00CD0BCA">
        <w:rPr>
          <w:b/>
          <w:sz w:val="24"/>
          <w:szCs w:val="24"/>
          <w:lang w:val="fr-FR"/>
        </w:rPr>
        <w:t> </w:t>
      </w:r>
      <w:r w:rsidR="00CD0BCA" w:rsidRPr="00144C93">
        <w:rPr>
          <w:b/>
          <w:sz w:val="24"/>
          <w:szCs w:val="24"/>
          <w:lang w:val="fr-FR"/>
        </w:rPr>
        <w:t>juillet</w:t>
      </w:r>
      <w:r w:rsidR="00CD0BCA">
        <w:rPr>
          <w:b/>
          <w:sz w:val="24"/>
          <w:szCs w:val="24"/>
          <w:lang w:val="fr-FR"/>
        </w:rPr>
        <w:t> </w:t>
      </w:r>
      <w:r w:rsidR="00CD0BCA" w:rsidRPr="00144C93">
        <w:rPr>
          <w:b/>
          <w:sz w:val="24"/>
          <w:szCs w:val="24"/>
          <w:lang w:val="fr-FR"/>
        </w:rPr>
        <w:t>20</w:t>
      </w:r>
      <w:r w:rsidRPr="00144C93">
        <w:rPr>
          <w:b/>
          <w:sz w:val="24"/>
          <w:szCs w:val="24"/>
          <w:lang w:val="fr-FR"/>
        </w:rPr>
        <w:t>18</w:t>
      </w:r>
    </w:p>
    <w:p w:rsidR="00144C93" w:rsidRPr="00080153" w:rsidRDefault="00144C93" w:rsidP="00144C93">
      <w:pPr>
        <w:rPr>
          <w:lang w:val="fr-CH"/>
        </w:rPr>
      </w:pPr>
    </w:p>
    <w:p w:rsidR="00144C93" w:rsidRPr="00080153" w:rsidRDefault="00144C93" w:rsidP="00144C93">
      <w:pPr>
        <w:rPr>
          <w:lang w:val="fr-CH"/>
        </w:rPr>
      </w:pPr>
    </w:p>
    <w:p w:rsidR="00144C93" w:rsidRPr="00080153" w:rsidRDefault="00144C93" w:rsidP="00144C93">
      <w:pPr>
        <w:rPr>
          <w:lang w:val="fr-CH"/>
        </w:rPr>
      </w:pPr>
    </w:p>
    <w:p w:rsidR="008B2CC1" w:rsidRPr="00C207A9" w:rsidRDefault="00A75098" w:rsidP="008B2CC1">
      <w:pPr>
        <w:rPr>
          <w:caps/>
          <w:sz w:val="24"/>
          <w:lang w:val="fr-FR"/>
        </w:rPr>
      </w:pPr>
      <w:r w:rsidRPr="00C207A9">
        <w:rPr>
          <w:caps/>
          <w:sz w:val="24"/>
          <w:lang w:val="fr-FR"/>
        </w:rPr>
        <w:t>PROPOS</w:t>
      </w:r>
      <w:r w:rsidR="00C207A9" w:rsidRPr="00C207A9">
        <w:rPr>
          <w:caps/>
          <w:sz w:val="24"/>
          <w:lang w:val="fr-FR"/>
        </w:rPr>
        <w:t>ition de la délégation des États</w:t>
      </w:r>
      <w:r w:rsidR="0011129B">
        <w:rPr>
          <w:caps/>
          <w:sz w:val="24"/>
          <w:lang w:val="fr-FR"/>
        </w:rPr>
        <w:noBreakHyphen/>
      </w:r>
      <w:r w:rsidR="00C207A9" w:rsidRPr="00C207A9">
        <w:rPr>
          <w:caps/>
          <w:sz w:val="24"/>
          <w:lang w:val="fr-FR"/>
        </w:rPr>
        <w:t>Unis</w:t>
      </w:r>
      <w:r w:rsidR="004A0445">
        <w:rPr>
          <w:caps/>
          <w:sz w:val="24"/>
          <w:lang w:val="fr-FR"/>
        </w:rPr>
        <w:t xml:space="preserve"> </w:t>
      </w:r>
      <w:r w:rsidR="00C207A9" w:rsidRPr="00C207A9">
        <w:rPr>
          <w:caps/>
          <w:sz w:val="24"/>
          <w:lang w:val="fr-FR"/>
        </w:rPr>
        <w:t>d</w:t>
      </w:r>
      <w:r w:rsidR="00CD0BCA">
        <w:rPr>
          <w:caps/>
          <w:sz w:val="24"/>
          <w:lang w:val="fr-FR"/>
        </w:rPr>
        <w:t>’</w:t>
      </w:r>
      <w:r w:rsidR="00C207A9" w:rsidRPr="00C207A9">
        <w:rPr>
          <w:caps/>
          <w:sz w:val="24"/>
          <w:lang w:val="fr-FR"/>
        </w:rPr>
        <w:t>Amérique</w:t>
      </w:r>
    </w:p>
    <w:p w:rsidR="008B2CC1" w:rsidRPr="00C207A9" w:rsidRDefault="008B2CC1" w:rsidP="008B2CC1">
      <w:pPr>
        <w:rPr>
          <w:lang w:val="fr-FR"/>
        </w:rPr>
      </w:pPr>
    </w:p>
    <w:p w:rsidR="000F5E56" w:rsidRPr="00C207A9" w:rsidRDefault="000F5E56">
      <w:pPr>
        <w:rPr>
          <w:lang w:val="fr-FR"/>
        </w:rPr>
      </w:pPr>
      <w:bookmarkStart w:id="4" w:name="Prepared"/>
      <w:bookmarkEnd w:id="4"/>
    </w:p>
    <w:p w:rsidR="002928D3" w:rsidRPr="00C207A9" w:rsidRDefault="002928D3" w:rsidP="0053057A">
      <w:pPr>
        <w:rPr>
          <w:lang w:val="fr-FR"/>
        </w:rPr>
      </w:pPr>
    </w:p>
    <w:p w:rsidR="005B6B85" w:rsidRPr="00C207A9" w:rsidRDefault="005B6B85" w:rsidP="0053057A">
      <w:pPr>
        <w:rPr>
          <w:lang w:val="fr-FR"/>
        </w:rPr>
      </w:pPr>
    </w:p>
    <w:p w:rsidR="00CD0BCA" w:rsidRDefault="00C207A9" w:rsidP="0082380A">
      <w:pPr>
        <w:pStyle w:val="ONUMFS"/>
        <w:rPr>
          <w:lang w:val="fr-FR"/>
        </w:rPr>
      </w:pPr>
      <w:r w:rsidRPr="00C207A9">
        <w:rPr>
          <w:lang w:val="fr-FR"/>
        </w:rPr>
        <w:t xml:space="preserve">Dans une </w:t>
      </w:r>
      <w:r w:rsidR="00A75098" w:rsidRPr="00C207A9">
        <w:rPr>
          <w:lang w:val="fr-FR"/>
        </w:rPr>
        <w:t xml:space="preserve">communication </w:t>
      </w:r>
      <w:r w:rsidR="00CF5B9A" w:rsidRPr="00C207A9">
        <w:rPr>
          <w:lang w:val="fr-FR"/>
        </w:rPr>
        <w:t>dat</w:t>
      </w:r>
      <w:r>
        <w:rPr>
          <w:lang w:val="fr-FR"/>
        </w:rPr>
        <w:t>é</w:t>
      </w:r>
      <w:r w:rsidR="00CF5B9A" w:rsidRPr="00C207A9">
        <w:rPr>
          <w:lang w:val="fr-FR"/>
        </w:rPr>
        <w:t>e</w:t>
      </w:r>
      <w:r>
        <w:rPr>
          <w:lang w:val="fr-FR"/>
        </w:rPr>
        <w:t xml:space="preserve"> </w:t>
      </w:r>
      <w:r w:rsidR="00CF5B9A" w:rsidRPr="00C207A9">
        <w:rPr>
          <w:lang w:val="fr-FR"/>
        </w:rPr>
        <w:t>d</w:t>
      </w:r>
      <w:r>
        <w:rPr>
          <w:lang w:val="fr-FR"/>
        </w:rPr>
        <w:t xml:space="preserve">u </w:t>
      </w:r>
      <w:r w:rsidR="00CF5B9A" w:rsidRPr="00C207A9">
        <w:rPr>
          <w:lang w:val="fr-FR"/>
        </w:rPr>
        <w:t>1</w:t>
      </w:r>
      <w:r w:rsidR="001124D8" w:rsidRPr="00C207A9">
        <w:rPr>
          <w:lang w:val="fr-FR"/>
        </w:rPr>
        <w:t>9</w:t>
      </w:r>
      <w:r>
        <w:rPr>
          <w:lang w:val="fr-FR"/>
        </w:rPr>
        <w:t> juin </w:t>
      </w:r>
      <w:r w:rsidR="00A75098" w:rsidRPr="00C207A9">
        <w:rPr>
          <w:lang w:val="fr-FR"/>
        </w:rPr>
        <w:t xml:space="preserve">2018, </w:t>
      </w:r>
      <w:r>
        <w:rPr>
          <w:lang w:val="fr-FR"/>
        </w:rPr>
        <w:t xml:space="preserve">le </w:t>
      </w:r>
      <w:r w:rsidR="00A75098" w:rsidRPr="00C207A9">
        <w:rPr>
          <w:lang w:val="fr-FR"/>
        </w:rPr>
        <w:t xml:space="preserve">Bureau </w:t>
      </w:r>
      <w:r>
        <w:rPr>
          <w:lang w:val="fr-FR"/>
        </w:rPr>
        <w:t>int</w:t>
      </w:r>
      <w:r w:rsidRPr="00C207A9">
        <w:rPr>
          <w:lang w:val="fr-FR"/>
        </w:rPr>
        <w:t xml:space="preserve">ernational </w:t>
      </w:r>
      <w:r>
        <w:rPr>
          <w:lang w:val="fr-FR"/>
        </w:rPr>
        <w:t xml:space="preserve">a </w:t>
      </w:r>
      <w:r w:rsidR="00A75098" w:rsidRPr="00C207A9">
        <w:rPr>
          <w:lang w:val="fr-FR"/>
        </w:rPr>
        <w:t>re</w:t>
      </w:r>
      <w:r>
        <w:rPr>
          <w:lang w:val="fr-FR"/>
        </w:rPr>
        <w:t>çu de la délégation des États</w:t>
      </w:r>
      <w:r w:rsidR="0011129B">
        <w:rPr>
          <w:lang w:val="fr-FR"/>
        </w:rPr>
        <w:noBreakHyphen/>
      </w:r>
      <w:r>
        <w:rPr>
          <w:lang w:val="fr-FR"/>
        </w:rPr>
        <w:t>Unis</w:t>
      </w:r>
      <w:r w:rsidR="004A0445">
        <w:rPr>
          <w:lang w:val="fr-FR"/>
        </w:rPr>
        <w:t xml:space="preserve"> </w:t>
      </w:r>
      <w:r>
        <w:rPr>
          <w:lang w:val="fr-FR"/>
        </w:rPr>
        <w:t>d</w:t>
      </w:r>
      <w:r w:rsidR="00CD0BCA">
        <w:rPr>
          <w:lang w:val="fr-FR"/>
        </w:rPr>
        <w:t>’</w:t>
      </w:r>
      <w:r>
        <w:rPr>
          <w:lang w:val="fr-FR"/>
        </w:rPr>
        <w:t xml:space="preserve">Amérique une proposition intitulée </w:t>
      </w:r>
      <w:r w:rsidR="001124D8" w:rsidRPr="00C207A9">
        <w:rPr>
          <w:lang w:val="fr-FR"/>
        </w:rPr>
        <w:t xml:space="preserve">“Contribution </w:t>
      </w:r>
      <w:r>
        <w:rPr>
          <w:lang w:val="fr-FR"/>
        </w:rPr>
        <w:t>à la prospérité financière de l</w:t>
      </w:r>
      <w:r w:rsidR="00CD0BCA">
        <w:rPr>
          <w:lang w:val="fr-FR"/>
        </w:rPr>
        <w:t>’</w:t>
      </w:r>
      <w:r w:rsidR="001124D8" w:rsidRPr="00C207A9">
        <w:rPr>
          <w:lang w:val="fr-FR"/>
        </w:rPr>
        <w:t>Organi</w:t>
      </w:r>
      <w:r>
        <w:rPr>
          <w:lang w:val="fr-FR"/>
        </w:rPr>
        <w:t>s</w:t>
      </w:r>
      <w:r w:rsidR="001124D8" w:rsidRPr="00C207A9">
        <w:rPr>
          <w:lang w:val="fr-FR"/>
        </w:rPr>
        <w:t xml:space="preserve">ation” </w:t>
      </w:r>
      <w:r>
        <w:rPr>
          <w:lang w:val="fr-FR"/>
        </w:rPr>
        <w:t xml:space="preserve">pour examen </w:t>
      </w:r>
      <w:r w:rsidRPr="00C207A9">
        <w:rPr>
          <w:lang w:val="fr-FR"/>
        </w:rPr>
        <w:t>par le Groupe de travail sur le développement juridique du système de Madrid concernant l</w:t>
      </w:r>
      <w:r w:rsidR="00CD0BCA">
        <w:rPr>
          <w:lang w:val="fr-FR"/>
        </w:rPr>
        <w:t>’</w:t>
      </w:r>
      <w:r w:rsidRPr="00C207A9">
        <w:rPr>
          <w:lang w:val="fr-FR"/>
        </w:rPr>
        <w:t>enregistrement international des marques à sa seiz</w:t>
      </w:r>
      <w:r w:rsidR="00CD0BCA">
        <w:rPr>
          <w:lang w:val="fr-FR"/>
        </w:rPr>
        <w:t>ième session</w:t>
      </w:r>
      <w:r w:rsidRPr="00C207A9">
        <w:rPr>
          <w:lang w:val="fr-FR"/>
        </w:rPr>
        <w:t xml:space="preserve"> qui se tiendra à Genève du 2 au 6</w:t>
      </w:r>
      <w:r>
        <w:rPr>
          <w:lang w:val="fr-FR"/>
        </w:rPr>
        <w:t> </w:t>
      </w:r>
      <w:r w:rsidRPr="00C207A9">
        <w:rPr>
          <w:lang w:val="fr-FR"/>
        </w:rPr>
        <w:t>juillet</w:t>
      </w:r>
      <w:r>
        <w:rPr>
          <w:lang w:val="fr-FR"/>
        </w:rPr>
        <w:t> </w:t>
      </w:r>
      <w:r w:rsidRPr="00C207A9">
        <w:rPr>
          <w:lang w:val="fr-FR"/>
        </w:rPr>
        <w:t>2018</w:t>
      </w:r>
      <w:r w:rsidR="00A75098" w:rsidRPr="00C207A9">
        <w:rPr>
          <w:lang w:val="fr-FR"/>
        </w:rPr>
        <w:t>.</w:t>
      </w:r>
    </w:p>
    <w:p w:rsidR="00CD0BCA" w:rsidRDefault="00C207A9" w:rsidP="0082380A">
      <w:pPr>
        <w:pStyle w:val="ONUMFS"/>
        <w:rPr>
          <w:lang w:val="fr-FR"/>
        </w:rPr>
      </w:pPr>
      <w:r>
        <w:rPr>
          <w:lang w:val="fr-FR"/>
        </w:rPr>
        <w:t>Ladite proposition fait l</w:t>
      </w:r>
      <w:r w:rsidR="00CD0BCA">
        <w:rPr>
          <w:lang w:val="fr-FR"/>
        </w:rPr>
        <w:t>’</w:t>
      </w:r>
      <w:r>
        <w:rPr>
          <w:lang w:val="fr-FR"/>
        </w:rPr>
        <w:t>objet de l</w:t>
      </w:r>
      <w:r w:rsidR="00CD0BCA">
        <w:rPr>
          <w:lang w:val="fr-FR"/>
        </w:rPr>
        <w:t>’</w:t>
      </w:r>
      <w:r>
        <w:rPr>
          <w:lang w:val="fr-FR"/>
        </w:rPr>
        <w:t xml:space="preserve">annexe du présent </w:t>
      </w:r>
      <w:r w:rsidR="00A75098" w:rsidRPr="00C207A9">
        <w:rPr>
          <w:lang w:val="fr-FR"/>
        </w:rPr>
        <w:t>document.</w:t>
      </w:r>
    </w:p>
    <w:p w:rsidR="005B6B85" w:rsidRPr="00C207A9" w:rsidRDefault="005B6B85" w:rsidP="00A75098">
      <w:pPr>
        <w:ind w:left="5533"/>
        <w:rPr>
          <w:i/>
          <w:lang w:val="fr-FR"/>
        </w:rPr>
      </w:pPr>
    </w:p>
    <w:p w:rsidR="00A75098" w:rsidRPr="00C207A9" w:rsidRDefault="00A75098" w:rsidP="00A75098">
      <w:pPr>
        <w:ind w:left="5533"/>
        <w:rPr>
          <w:i/>
          <w:lang w:val="fr-FR"/>
        </w:rPr>
      </w:pPr>
    </w:p>
    <w:p w:rsidR="005B6B85" w:rsidRPr="00C207A9" w:rsidRDefault="005B6B85" w:rsidP="005B6B85">
      <w:pPr>
        <w:pStyle w:val="Endofdocument-Annex"/>
        <w:rPr>
          <w:lang w:val="fr-FR"/>
        </w:rPr>
      </w:pPr>
      <w:r w:rsidRPr="00C207A9">
        <w:rPr>
          <w:lang w:val="fr-FR"/>
        </w:rPr>
        <w:t>[</w:t>
      </w:r>
      <w:r w:rsidR="00306386">
        <w:rPr>
          <w:lang w:val="fr-FR"/>
        </w:rPr>
        <w:t>L</w:t>
      </w:r>
      <w:r w:rsidR="00CD0BCA">
        <w:rPr>
          <w:lang w:val="fr-FR"/>
        </w:rPr>
        <w:t>’</w:t>
      </w:r>
      <w:r w:rsidR="00306386">
        <w:rPr>
          <w:lang w:val="fr-FR"/>
        </w:rPr>
        <w:t>a</w:t>
      </w:r>
      <w:r w:rsidR="00A75098" w:rsidRPr="00C207A9">
        <w:rPr>
          <w:lang w:val="fr-FR"/>
        </w:rPr>
        <w:t>nnex</w:t>
      </w:r>
      <w:r w:rsidR="00306386">
        <w:rPr>
          <w:lang w:val="fr-FR"/>
        </w:rPr>
        <w:t>e suit</w:t>
      </w:r>
      <w:r w:rsidRPr="00C207A9">
        <w:rPr>
          <w:lang w:val="fr-FR"/>
        </w:rPr>
        <w:t>]</w:t>
      </w:r>
    </w:p>
    <w:p w:rsidR="00A75098" w:rsidRPr="00C207A9" w:rsidRDefault="00A75098" w:rsidP="005B6B85">
      <w:pPr>
        <w:pStyle w:val="Endofdocument-Annex"/>
        <w:rPr>
          <w:lang w:val="fr-FR"/>
        </w:rPr>
      </w:pPr>
    </w:p>
    <w:p w:rsidR="00A75098" w:rsidRPr="00C207A9" w:rsidRDefault="00A75098" w:rsidP="005B6B85">
      <w:pPr>
        <w:pStyle w:val="Endofdocument-Annex"/>
        <w:rPr>
          <w:lang w:val="fr-FR"/>
        </w:rPr>
        <w:sectPr w:rsidR="00A75098" w:rsidRPr="00C207A9" w:rsidSect="000C3895"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124D8" w:rsidRPr="00C207A9" w:rsidRDefault="001124D8" w:rsidP="001124D8">
      <w:pPr>
        <w:jc w:val="center"/>
        <w:rPr>
          <w:rFonts w:eastAsia="Times New Roman"/>
          <w:b/>
          <w:color w:val="242929"/>
          <w:szCs w:val="22"/>
          <w:lang w:val="fr-FR" w:eastAsia="en-US"/>
        </w:rPr>
      </w:pPr>
      <w:r w:rsidRPr="00C207A9">
        <w:rPr>
          <w:rFonts w:eastAsia="Times New Roman"/>
          <w:b/>
          <w:color w:val="242929"/>
          <w:szCs w:val="22"/>
          <w:lang w:val="fr-FR" w:eastAsia="en-US"/>
        </w:rPr>
        <w:lastRenderedPageBreak/>
        <w:t>Contributi</w:t>
      </w:r>
      <w:r w:rsidR="00097252">
        <w:rPr>
          <w:rFonts w:eastAsia="Times New Roman"/>
          <w:b/>
          <w:color w:val="242929"/>
          <w:szCs w:val="22"/>
          <w:lang w:val="fr-FR" w:eastAsia="en-US"/>
        </w:rPr>
        <w:t>o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 xml:space="preserve">n </w:t>
      </w:r>
      <w:r w:rsidR="00097252">
        <w:rPr>
          <w:rFonts w:eastAsia="Times New Roman"/>
          <w:b/>
          <w:color w:val="242929"/>
          <w:szCs w:val="22"/>
          <w:lang w:val="fr-FR" w:eastAsia="en-US"/>
        </w:rPr>
        <w:t>à la prospérité financière de l</w:t>
      </w:r>
      <w:r w:rsidR="00CD0BCA">
        <w:rPr>
          <w:rFonts w:eastAsia="Times New Roman"/>
          <w:b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>Organi</w:t>
      </w:r>
      <w:r w:rsidR="00097252">
        <w:rPr>
          <w:rFonts w:eastAsia="Times New Roman"/>
          <w:b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>ation</w:t>
      </w:r>
    </w:p>
    <w:p w:rsidR="001124D8" w:rsidRPr="00C207A9" w:rsidRDefault="001124D8" w:rsidP="001124D8">
      <w:pPr>
        <w:jc w:val="center"/>
        <w:rPr>
          <w:rFonts w:eastAsia="Times New Roman"/>
          <w:b/>
          <w:color w:val="242929"/>
          <w:szCs w:val="22"/>
          <w:lang w:val="fr-FR" w:eastAsia="en-US"/>
        </w:rPr>
      </w:pPr>
    </w:p>
    <w:p w:rsidR="001124D8" w:rsidRPr="00C207A9" w:rsidRDefault="00097252" w:rsidP="001124D8">
      <w:pPr>
        <w:jc w:val="center"/>
        <w:rPr>
          <w:rFonts w:eastAsia="Times New Roman"/>
          <w:b/>
          <w:color w:val="242929"/>
          <w:szCs w:val="22"/>
          <w:lang w:val="fr-FR" w:eastAsia="en-US"/>
        </w:rPr>
      </w:pPr>
      <w:r>
        <w:rPr>
          <w:rFonts w:eastAsia="Times New Roman"/>
          <w:b/>
          <w:color w:val="242929"/>
          <w:szCs w:val="22"/>
          <w:lang w:val="fr-FR" w:eastAsia="en-US"/>
        </w:rPr>
        <w:t>Communication des États</w:t>
      </w:r>
      <w:r w:rsidR="0011129B">
        <w:rPr>
          <w:rFonts w:eastAsia="Times New Roman"/>
          <w:b/>
          <w:color w:val="242929"/>
          <w:szCs w:val="22"/>
          <w:lang w:val="fr-FR" w:eastAsia="en-US"/>
        </w:rPr>
        <w:noBreakHyphen/>
      </w:r>
      <w:r>
        <w:rPr>
          <w:rFonts w:eastAsia="Times New Roman"/>
          <w:b/>
          <w:color w:val="242929"/>
          <w:szCs w:val="22"/>
          <w:lang w:val="fr-FR" w:eastAsia="en-US"/>
        </w:rPr>
        <w:t>Unis</w:t>
      </w:r>
      <w:r w:rsidR="004A0445">
        <w:rPr>
          <w:rFonts w:eastAsia="Times New Roman"/>
          <w:b/>
          <w:color w:val="242929"/>
          <w:szCs w:val="22"/>
          <w:lang w:val="fr-FR" w:eastAsia="en-US"/>
        </w:rPr>
        <w:t xml:space="preserve"> </w:t>
      </w:r>
      <w:r>
        <w:rPr>
          <w:rFonts w:eastAsia="Times New Roman"/>
          <w:b/>
          <w:color w:val="242929"/>
          <w:szCs w:val="22"/>
          <w:lang w:val="fr-FR" w:eastAsia="en-US"/>
        </w:rPr>
        <w:t>d</w:t>
      </w:r>
      <w:r w:rsidR="00CD0BCA">
        <w:rPr>
          <w:rFonts w:eastAsia="Times New Roman"/>
          <w:b/>
          <w:color w:val="242929"/>
          <w:szCs w:val="22"/>
          <w:lang w:val="fr-FR" w:eastAsia="en-US"/>
        </w:rPr>
        <w:t>’</w:t>
      </w:r>
      <w:r>
        <w:rPr>
          <w:rFonts w:eastAsia="Times New Roman"/>
          <w:b/>
          <w:color w:val="242929"/>
          <w:szCs w:val="22"/>
          <w:lang w:val="fr-FR" w:eastAsia="en-US"/>
        </w:rPr>
        <w:t xml:space="preserve">Amérique au </w:t>
      </w:r>
      <w:r w:rsidRPr="00097252">
        <w:rPr>
          <w:rFonts w:eastAsia="Times New Roman"/>
          <w:b/>
          <w:color w:val="242929"/>
          <w:szCs w:val="22"/>
          <w:lang w:val="fr-FR" w:eastAsia="en-US"/>
        </w:rPr>
        <w:t>Groupe de travail sur le développement</w:t>
      </w:r>
      <w:r w:rsidR="00B431A3">
        <w:rPr>
          <w:rFonts w:eastAsia="Times New Roman"/>
          <w:b/>
          <w:color w:val="242929"/>
          <w:szCs w:val="22"/>
          <w:lang w:val="fr-FR" w:eastAsia="en-US"/>
        </w:rPr>
        <w:t> </w:t>
      </w:r>
      <w:r w:rsidRPr="00097252">
        <w:rPr>
          <w:rFonts w:eastAsia="Times New Roman"/>
          <w:b/>
          <w:color w:val="242929"/>
          <w:szCs w:val="22"/>
          <w:lang w:val="fr-FR" w:eastAsia="en-US"/>
        </w:rPr>
        <w:t>juridique du système de Madrid</w:t>
      </w:r>
    </w:p>
    <w:p w:rsidR="001124D8" w:rsidRPr="00C207A9" w:rsidRDefault="001124D8" w:rsidP="001124D8">
      <w:pPr>
        <w:rPr>
          <w:rFonts w:eastAsia="Times New Roman"/>
          <w:b/>
          <w:color w:val="242929"/>
          <w:szCs w:val="22"/>
          <w:lang w:val="fr-FR" w:eastAsia="en-US"/>
        </w:rPr>
      </w:pPr>
    </w:p>
    <w:p w:rsidR="005C1532" w:rsidRPr="00C207A9" w:rsidRDefault="005C1532" w:rsidP="001124D8">
      <w:pPr>
        <w:rPr>
          <w:rFonts w:eastAsia="Times New Roman"/>
          <w:b/>
          <w:color w:val="242929"/>
          <w:szCs w:val="22"/>
          <w:lang w:val="fr-FR" w:eastAsia="en-US"/>
        </w:rPr>
      </w:pPr>
    </w:p>
    <w:p w:rsidR="00CD0BCA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6019E8">
        <w:rPr>
          <w:rFonts w:eastAsia="Times New Roman"/>
          <w:color w:val="242929"/>
          <w:szCs w:val="22"/>
          <w:lang w:val="fr-FR" w:eastAsia="en-US"/>
        </w:rPr>
        <w:t>En vue</w:t>
      </w:r>
      <w:r w:rsidR="00F86396">
        <w:rPr>
          <w:rFonts w:eastAsia="Times New Roman"/>
          <w:color w:val="242929"/>
          <w:szCs w:val="22"/>
          <w:lang w:val="fr-FR" w:eastAsia="en-US"/>
        </w:rPr>
        <w:t xml:space="preserve"> de</w:t>
      </w:r>
      <w:r w:rsidR="003C694A">
        <w:rPr>
          <w:rFonts w:eastAsia="Times New Roman"/>
          <w:color w:val="242929"/>
          <w:szCs w:val="22"/>
          <w:lang w:val="fr-FR" w:eastAsia="en-US"/>
        </w:rPr>
        <w:t xml:space="preserve"> contribuer à la prospérité financière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C694A">
        <w:rPr>
          <w:rFonts w:eastAsia="Times New Roman"/>
          <w:color w:val="242929"/>
          <w:szCs w:val="22"/>
          <w:lang w:val="fr-FR" w:eastAsia="en-US"/>
        </w:rPr>
        <w:t xml:space="preserve">Organisation Mondiale de la Propriété </w:t>
      </w:r>
      <w:r w:rsidRPr="00C207A9">
        <w:rPr>
          <w:rFonts w:eastAsia="Times New Roman"/>
          <w:color w:val="242929"/>
          <w:szCs w:val="22"/>
          <w:lang w:val="fr-FR" w:eastAsia="en-US"/>
        </w:rPr>
        <w:t>In</w:t>
      </w:r>
      <w:r w:rsidR="003C694A">
        <w:rPr>
          <w:rFonts w:eastAsia="Times New Roman"/>
          <w:color w:val="242929"/>
          <w:szCs w:val="22"/>
          <w:lang w:val="fr-FR" w:eastAsia="en-US"/>
        </w:rPr>
        <w:t>tellectuelle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(O</w:t>
      </w:r>
      <w:r w:rsidR="003C694A">
        <w:rPr>
          <w:rFonts w:eastAsia="Times New Roman"/>
          <w:color w:val="242929"/>
          <w:szCs w:val="22"/>
          <w:lang w:val="fr-FR" w:eastAsia="en-US"/>
        </w:rPr>
        <w:t>MPI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), </w:t>
      </w:r>
      <w:r w:rsidR="003C694A">
        <w:rPr>
          <w:rFonts w:eastAsia="Times New Roman"/>
          <w:color w:val="242929"/>
          <w:szCs w:val="22"/>
          <w:lang w:val="fr-FR" w:eastAsia="en-US"/>
        </w:rPr>
        <w:t xml:space="preserve">nous proposons que le Groupe de travail sur le développement juridique du système de Madrid </w:t>
      </w:r>
      <w:r w:rsidRPr="00C207A9">
        <w:rPr>
          <w:rFonts w:eastAsia="Times New Roman"/>
          <w:color w:val="242929"/>
          <w:szCs w:val="22"/>
          <w:lang w:val="fr-FR" w:eastAsia="en-US"/>
        </w:rPr>
        <w:t>(</w:t>
      </w:r>
      <w:r w:rsidR="003C694A">
        <w:rPr>
          <w:rFonts w:eastAsia="Times New Roman"/>
          <w:color w:val="242929"/>
          <w:szCs w:val="22"/>
          <w:lang w:val="fr-FR" w:eastAsia="en-US"/>
        </w:rPr>
        <w:t>ci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="003C694A">
        <w:rPr>
          <w:rFonts w:eastAsia="Times New Roman"/>
          <w:color w:val="242929"/>
          <w:szCs w:val="22"/>
          <w:lang w:val="fr-FR" w:eastAsia="en-US"/>
        </w:rPr>
        <w:t xml:space="preserve">après dénommé “groupe de travail”) se penche sur la question de savoir si le </w:t>
      </w:r>
      <w:r w:rsidR="00C73AFC">
        <w:rPr>
          <w:rFonts w:eastAsia="Times New Roman"/>
          <w:color w:val="242929"/>
          <w:szCs w:val="22"/>
          <w:lang w:val="fr-FR" w:eastAsia="en-US"/>
        </w:rPr>
        <w:t xml:space="preserve">montant des 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émoluments et taxes suffit à couvrir </w:t>
      </w:r>
      <w:r w:rsidR="006019E8">
        <w:rPr>
          <w:rFonts w:eastAsia="Times New Roman"/>
          <w:color w:val="242929"/>
          <w:szCs w:val="22"/>
          <w:lang w:val="fr-FR" w:eastAsia="en-US"/>
        </w:rPr>
        <w:t>l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es dépenses </w:t>
      </w:r>
      <w:r w:rsidR="006019E8">
        <w:rPr>
          <w:rFonts w:eastAsia="Times New Roman"/>
          <w:color w:val="242929"/>
          <w:szCs w:val="22"/>
          <w:lang w:val="fr-FR" w:eastAsia="en-US"/>
        </w:rPr>
        <w:t>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6019E8">
        <w:rPr>
          <w:rFonts w:eastAsia="Times New Roman"/>
          <w:color w:val="242929"/>
          <w:szCs w:val="22"/>
          <w:lang w:val="fr-FR" w:eastAsia="en-US"/>
        </w:rPr>
        <w:t xml:space="preserve">union 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et, plus généralement, permet de </w:t>
      </w:r>
      <w:r w:rsidRPr="00C207A9">
        <w:rPr>
          <w:rFonts w:eastAsia="Times New Roman"/>
          <w:color w:val="242929"/>
          <w:szCs w:val="22"/>
          <w:lang w:val="fr-FR" w:eastAsia="en-US"/>
        </w:rPr>
        <w:t>contribue</w:t>
      </w:r>
      <w:r w:rsidR="00B14BC9">
        <w:rPr>
          <w:rFonts w:eastAsia="Times New Roman"/>
          <w:color w:val="242929"/>
          <w:szCs w:val="22"/>
          <w:lang w:val="fr-FR" w:eastAsia="en-US"/>
        </w:rPr>
        <w:t>r aux dépenses communes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Organi</w:t>
      </w:r>
      <w:r w:rsidR="00B14BC9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>ati</w:t>
      </w:r>
      <w:r w:rsidR="004C6DDF" w:rsidRPr="00C207A9">
        <w:rPr>
          <w:rFonts w:eastAsia="Times New Roman"/>
          <w:color w:val="242929"/>
          <w:szCs w:val="22"/>
          <w:lang w:val="fr-FR" w:eastAsia="en-US"/>
        </w:rPr>
        <w:t>on</w:t>
      </w:r>
      <w:r w:rsidR="004C6DDF">
        <w:rPr>
          <w:rFonts w:eastAsia="Times New Roman"/>
          <w:color w:val="242929"/>
          <w:szCs w:val="22"/>
          <w:lang w:val="fr-FR" w:eastAsia="en-US"/>
        </w:rPr>
        <w:t>.  Al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ors que le groupe de travail a fait part de son intention de poursuivre 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à moyen terme </w:t>
      </w:r>
      <w:r w:rsidR="00A127E1">
        <w:rPr>
          <w:rFonts w:eastAsia="Times New Roman"/>
          <w:color w:val="242929"/>
          <w:szCs w:val="22"/>
          <w:lang w:val="fr-FR" w:eastAsia="en-US"/>
        </w:rPr>
        <w:t xml:space="preserve">les délibérations concernant 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la révision du barème des émoluments et taxes </w:t>
      </w:r>
      <w:r w:rsidR="00A127E1">
        <w:rPr>
          <w:rFonts w:eastAsia="Times New Roman"/>
          <w:color w:val="242929"/>
          <w:szCs w:val="22"/>
          <w:lang w:val="fr-FR" w:eastAsia="en-US"/>
        </w:rPr>
        <w:t xml:space="preserve">et des </w:t>
      </w:r>
      <w:r w:rsidR="00B14BC9">
        <w:rPr>
          <w:rFonts w:eastAsia="Times New Roman"/>
          <w:color w:val="242929"/>
          <w:szCs w:val="22"/>
          <w:lang w:val="fr-FR" w:eastAsia="en-US"/>
        </w:rPr>
        <w:t xml:space="preserve">options </w:t>
      </w:r>
      <w:r w:rsidR="00A127E1">
        <w:rPr>
          <w:rFonts w:eastAsia="Times New Roman"/>
          <w:color w:val="242929"/>
          <w:szCs w:val="22"/>
          <w:lang w:val="fr-FR" w:eastAsia="en-US"/>
        </w:rPr>
        <w:t>en matière de paiement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A127E1">
        <w:rPr>
          <w:rFonts w:eastAsia="Times New Roman"/>
          <w:color w:val="242929"/>
          <w:szCs w:val="22"/>
          <w:lang w:val="fr-FR" w:eastAsia="en-US"/>
        </w:rPr>
        <w:t xml:space="preserve">figurant sur la feuille de route </w:t>
      </w:r>
      <w:r w:rsidR="00EC4E95">
        <w:rPr>
          <w:rFonts w:eastAsia="Times New Roman"/>
          <w:color w:val="242929"/>
          <w:szCs w:val="22"/>
          <w:lang w:val="fr-FR" w:eastAsia="en-US"/>
        </w:rPr>
        <w:t>relative à</w:t>
      </w:r>
      <w:r w:rsidR="006019E8">
        <w:rPr>
          <w:rFonts w:eastAsia="Times New Roman"/>
          <w:color w:val="242929"/>
          <w:szCs w:val="22"/>
          <w:lang w:val="fr-FR" w:eastAsia="en-US"/>
        </w:rPr>
        <w:t xml:space="preserve"> ses</w:t>
      </w:r>
      <w:r w:rsidR="00A127E1">
        <w:rPr>
          <w:rFonts w:eastAsia="Times New Roman"/>
          <w:color w:val="242929"/>
          <w:szCs w:val="22"/>
          <w:lang w:val="fr-FR" w:eastAsia="en-US"/>
        </w:rPr>
        <w:t xml:space="preserve"> priorités</w:t>
      </w:r>
      <w:r w:rsidRPr="00C207A9">
        <w:rPr>
          <w:rFonts w:eastAsia="Times New Roman"/>
          <w:color w:val="242929"/>
          <w:szCs w:val="22"/>
          <w:vertAlign w:val="superscript"/>
          <w:lang w:val="fr-FR" w:eastAsia="en-US"/>
        </w:rPr>
        <w:footnoteReference w:id="2"/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AA0C62">
        <w:rPr>
          <w:rFonts w:eastAsia="Times New Roman"/>
          <w:color w:val="242929"/>
          <w:szCs w:val="22"/>
          <w:lang w:val="fr-FR" w:eastAsia="en-US"/>
        </w:rPr>
        <w:t>les États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Pr="00C207A9">
        <w:rPr>
          <w:rFonts w:eastAsia="Times New Roman"/>
          <w:color w:val="242929"/>
          <w:szCs w:val="22"/>
          <w:lang w:val="fr-FR" w:eastAsia="en-US"/>
        </w:rPr>
        <w:t>Uni</w:t>
      </w:r>
      <w:r w:rsidR="00AA0C62">
        <w:rPr>
          <w:rFonts w:eastAsia="Times New Roman"/>
          <w:color w:val="242929"/>
          <w:szCs w:val="22"/>
          <w:lang w:val="fr-FR" w:eastAsia="en-US"/>
        </w:rPr>
        <w:t>s</w:t>
      </w:r>
      <w:r w:rsidR="004A0445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AA0C62">
        <w:rPr>
          <w:rFonts w:eastAsia="Times New Roman"/>
          <w:color w:val="242929"/>
          <w:szCs w:val="22"/>
          <w:lang w:val="fr-FR" w:eastAsia="en-US"/>
        </w:rPr>
        <w:t>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Amérique </w:t>
      </w:r>
      <w:r w:rsidRPr="00C207A9">
        <w:rPr>
          <w:rFonts w:eastAsia="Times New Roman"/>
          <w:color w:val="242929"/>
          <w:szCs w:val="22"/>
          <w:lang w:val="fr-FR" w:eastAsia="en-US"/>
        </w:rPr>
        <w:t>propose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nt de tenir ces délibérations plutôt à court terme afin de </w:t>
      </w:r>
      <w:r w:rsidR="006019E8">
        <w:rPr>
          <w:rFonts w:eastAsia="Times New Roman"/>
          <w:color w:val="242929"/>
          <w:szCs w:val="22"/>
          <w:lang w:val="fr-FR" w:eastAsia="en-US"/>
        </w:rPr>
        <w:t>faire en sorte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 que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Union de 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Madrid </w:t>
      </w:r>
      <w:r w:rsidR="00AA0C62">
        <w:rPr>
          <w:rFonts w:eastAsia="Times New Roman"/>
          <w:color w:val="242929"/>
          <w:szCs w:val="22"/>
          <w:lang w:val="fr-FR" w:eastAsia="en-US"/>
        </w:rPr>
        <w:t>soit, dans les meilleurs délais, en mesure de contribuer de manière responsable à la prospérité financière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>Organisation</w:t>
      </w:r>
      <w:r w:rsidRPr="00C207A9">
        <w:rPr>
          <w:rFonts w:eastAsia="Times New Roman"/>
          <w:color w:val="242929"/>
          <w:szCs w:val="22"/>
          <w:lang w:val="fr-FR" w:eastAsia="en-US"/>
        </w:rPr>
        <w:t>.</w:t>
      </w: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</w:p>
    <w:p w:rsidR="00CD0BCA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AA0C62">
        <w:rPr>
          <w:rFonts w:eastAsia="Times New Roman"/>
          <w:color w:val="242929"/>
          <w:szCs w:val="22"/>
          <w:lang w:val="fr-FR" w:eastAsia="en-US"/>
        </w:rPr>
        <w:t>Conformément à la décision prise en octobre 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2017 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par les assemblées des </w:t>
      </w:r>
      <w:r w:rsidR="0082380A">
        <w:rPr>
          <w:rFonts w:eastAsia="Times New Roman"/>
          <w:color w:val="242929"/>
          <w:szCs w:val="22"/>
          <w:lang w:val="fr-FR" w:eastAsia="en-US"/>
        </w:rPr>
        <w:t>États membres</w:t>
      </w:r>
      <w:r w:rsidR="00AA0C62">
        <w:rPr>
          <w:rFonts w:eastAsia="Times New Roman"/>
          <w:color w:val="242929"/>
          <w:szCs w:val="22"/>
          <w:lang w:val="fr-FR" w:eastAsia="en-US"/>
        </w:rPr>
        <w:t xml:space="preserve">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>OMPI en ce qui concerne le programme et budget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>Organisation pour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A0C62">
        <w:rPr>
          <w:rFonts w:eastAsia="Times New Roman"/>
          <w:color w:val="242929"/>
          <w:szCs w:val="22"/>
          <w:lang w:val="fr-FR" w:eastAsia="en-US"/>
        </w:rPr>
        <w:t>exercice</w:t>
      </w:r>
      <w:r w:rsidR="0011129B">
        <w:rPr>
          <w:rFonts w:eastAsia="Times New Roman"/>
          <w:color w:val="242929"/>
          <w:szCs w:val="22"/>
          <w:lang w:val="fr-FR" w:eastAsia="en-US"/>
        </w:rPr>
        <w:t> </w:t>
      </w:r>
      <w:r w:rsidR="00AA0C62">
        <w:rPr>
          <w:rFonts w:eastAsia="Times New Roman"/>
          <w:color w:val="242929"/>
          <w:szCs w:val="22"/>
          <w:lang w:val="fr-FR" w:eastAsia="en-US"/>
        </w:rPr>
        <w:t>2018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="00AA0C62">
        <w:rPr>
          <w:rFonts w:eastAsia="Times New Roman"/>
          <w:color w:val="242929"/>
          <w:szCs w:val="22"/>
          <w:lang w:val="fr-FR" w:eastAsia="en-US"/>
        </w:rPr>
        <w:t>2019</w:t>
      </w:r>
      <w:r w:rsidRPr="00C207A9">
        <w:rPr>
          <w:rFonts w:eastAsia="Times New Roman"/>
          <w:color w:val="242929"/>
          <w:szCs w:val="22"/>
          <w:vertAlign w:val="superscript"/>
          <w:lang w:val="fr-FR" w:eastAsia="en-US"/>
        </w:rPr>
        <w:footnoteReference w:id="3"/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3F2ED0">
        <w:rPr>
          <w:rFonts w:eastAsia="Times New Roman"/>
          <w:color w:val="242929"/>
          <w:szCs w:val="22"/>
          <w:lang w:val="fr-FR" w:eastAsia="en-US"/>
        </w:rPr>
        <w:t>les unions financées par des taxes sont censées examiner leur budget afin de s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F2ED0">
        <w:rPr>
          <w:rFonts w:eastAsia="Times New Roman"/>
          <w:color w:val="242929"/>
          <w:szCs w:val="22"/>
          <w:lang w:val="fr-FR" w:eastAsia="en-US"/>
        </w:rPr>
        <w:t>assurer qu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F2ED0">
        <w:rPr>
          <w:rFonts w:eastAsia="Times New Roman"/>
          <w:color w:val="242929"/>
          <w:szCs w:val="22"/>
          <w:lang w:val="fr-FR" w:eastAsia="en-US"/>
        </w:rPr>
        <w:t>elles ne sont pas en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d</w:t>
      </w:r>
      <w:r w:rsidR="003F2ED0">
        <w:rPr>
          <w:rFonts w:eastAsia="Times New Roman"/>
          <w:color w:val="242929"/>
          <w:szCs w:val="22"/>
          <w:lang w:val="fr-FR" w:eastAsia="en-US"/>
        </w:rPr>
        <w:t>é</w:t>
      </w:r>
      <w:r w:rsidRPr="00C207A9">
        <w:rPr>
          <w:rFonts w:eastAsia="Times New Roman"/>
          <w:color w:val="242929"/>
          <w:szCs w:val="22"/>
          <w:lang w:val="fr-FR" w:eastAsia="en-US"/>
        </w:rPr>
        <w:t>fic</w:t>
      </w:r>
      <w:r w:rsidR="004C6DDF" w:rsidRPr="00C207A9">
        <w:rPr>
          <w:rFonts w:eastAsia="Times New Roman"/>
          <w:color w:val="242929"/>
          <w:szCs w:val="22"/>
          <w:lang w:val="fr-FR" w:eastAsia="en-US"/>
        </w:rPr>
        <w:t>it</w:t>
      </w:r>
      <w:r w:rsidR="004C6DDF">
        <w:rPr>
          <w:rFonts w:eastAsia="Times New Roman"/>
          <w:color w:val="242929"/>
          <w:szCs w:val="22"/>
          <w:lang w:val="fr-FR" w:eastAsia="en-US"/>
        </w:rPr>
        <w:t>.  Le</w:t>
      </w:r>
      <w:r w:rsidR="003F2ED0">
        <w:rPr>
          <w:rFonts w:eastAsia="Times New Roman"/>
          <w:color w:val="242929"/>
          <w:szCs w:val="22"/>
          <w:lang w:val="fr-FR" w:eastAsia="en-US"/>
        </w:rPr>
        <w:t>s États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="003F2ED0">
        <w:rPr>
          <w:rFonts w:eastAsia="Times New Roman"/>
          <w:color w:val="242929"/>
          <w:szCs w:val="22"/>
          <w:lang w:val="fr-FR" w:eastAsia="en-US"/>
        </w:rPr>
        <w:t>Unis</w:t>
      </w:r>
      <w:r w:rsidR="004A0445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3F2ED0">
        <w:rPr>
          <w:rFonts w:eastAsia="Times New Roman"/>
          <w:color w:val="242929"/>
          <w:szCs w:val="22"/>
          <w:lang w:val="fr-FR" w:eastAsia="en-US"/>
        </w:rPr>
        <w:t>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F2ED0">
        <w:rPr>
          <w:rFonts w:eastAsia="Times New Roman"/>
          <w:color w:val="242929"/>
          <w:szCs w:val="22"/>
          <w:lang w:val="fr-FR" w:eastAsia="en-US"/>
        </w:rPr>
        <w:t xml:space="preserve">Amérique estiment que </w:t>
      </w:r>
      <w:r w:rsidR="006019E8">
        <w:rPr>
          <w:rFonts w:eastAsia="Times New Roman"/>
          <w:color w:val="242929"/>
          <w:szCs w:val="22"/>
          <w:lang w:val="fr-FR" w:eastAsia="en-US"/>
        </w:rPr>
        <w:t>ces dernières</w:t>
      </w:r>
      <w:r w:rsidR="003F2ED0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6019E8">
        <w:rPr>
          <w:rFonts w:eastAsia="Times New Roman"/>
          <w:color w:val="242929"/>
          <w:szCs w:val="22"/>
          <w:lang w:val="fr-FR" w:eastAsia="en-US"/>
        </w:rPr>
        <w:t>devraient</w:t>
      </w:r>
      <w:r w:rsidR="003F2ED0">
        <w:rPr>
          <w:rFonts w:eastAsia="Times New Roman"/>
          <w:color w:val="242929"/>
          <w:szCs w:val="22"/>
          <w:lang w:val="fr-FR" w:eastAsia="en-US"/>
        </w:rPr>
        <w:t xml:space="preserve"> non seulement couvrir leurs propres dépenses, mais aussi contribuer aux dépenses communes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Organi</w:t>
      </w:r>
      <w:r w:rsidR="003F2ED0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>ati</w:t>
      </w:r>
      <w:r w:rsidR="004C6DDF" w:rsidRPr="00C207A9">
        <w:rPr>
          <w:rFonts w:eastAsia="Times New Roman"/>
          <w:color w:val="242929"/>
          <w:szCs w:val="22"/>
          <w:lang w:val="fr-FR" w:eastAsia="en-US"/>
        </w:rPr>
        <w:t>on</w:t>
      </w:r>
      <w:r w:rsidR="004C6DDF">
        <w:rPr>
          <w:rFonts w:eastAsia="Times New Roman"/>
          <w:color w:val="242929"/>
          <w:szCs w:val="22"/>
          <w:lang w:val="fr-FR" w:eastAsia="en-US"/>
        </w:rPr>
        <w:t>.  Pa</w:t>
      </w:r>
      <w:r w:rsidR="00814A20">
        <w:rPr>
          <w:rFonts w:eastAsia="Times New Roman"/>
          <w:color w:val="242929"/>
          <w:szCs w:val="22"/>
          <w:lang w:val="fr-FR" w:eastAsia="en-US"/>
        </w:rPr>
        <w:t>r ailleurs</w:t>
      </w:r>
      <w:r w:rsidR="003F2ED0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6019E8">
        <w:rPr>
          <w:rFonts w:eastAsia="Times New Roman"/>
          <w:color w:val="242929"/>
          <w:szCs w:val="22"/>
          <w:lang w:val="fr-FR" w:eastAsia="en-US"/>
        </w:rPr>
        <w:t xml:space="preserve">elles </w:t>
      </w:r>
      <w:r w:rsidR="00814A20">
        <w:rPr>
          <w:rFonts w:eastAsia="Times New Roman"/>
          <w:color w:val="242929"/>
          <w:szCs w:val="22"/>
          <w:lang w:val="fr-FR" w:eastAsia="en-US"/>
        </w:rPr>
        <w:t>devraient également envisager de prendre en charge les dépenses des unions financées par des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contribution</w:t>
      </w:r>
      <w:r w:rsidR="00814A20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814A20">
        <w:rPr>
          <w:rFonts w:eastAsia="Times New Roman"/>
          <w:color w:val="242929"/>
          <w:szCs w:val="22"/>
          <w:lang w:val="fr-FR" w:eastAsia="en-US"/>
        </w:rPr>
        <w:t>ayant des difficultés financières</w:t>
      </w:r>
      <w:r w:rsidRPr="00C207A9">
        <w:rPr>
          <w:rFonts w:eastAsia="Times New Roman"/>
          <w:color w:val="242929"/>
          <w:szCs w:val="22"/>
          <w:lang w:val="fr-FR" w:eastAsia="en-US"/>
        </w:rPr>
        <w:t>.</w:t>
      </w: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CD0BCA">
        <w:rPr>
          <w:rFonts w:eastAsia="Times New Roman"/>
          <w:color w:val="242929"/>
          <w:szCs w:val="22"/>
          <w:lang w:val="fr-FR" w:eastAsia="en-US"/>
        </w:rPr>
        <w:t>E</w:t>
      </w:r>
      <w:r w:rsidR="00CD0BCA" w:rsidRPr="00C207A9">
        <w:rPr>
          <w:rFonts w:eastAsia="Times New Roman"/>
          <w:color w:val="242929"/>
          <w:szCs w:val="22"/>
          <w:lang w:val="fr-FR" w:eastAsia="en-US"/>
        </w:rPr>
        <w:t>n</w:t>
      </w:r>
      <w:r w:rsidR="00CD0BCA">
        <w:rPr>
          <w:rFonts w:eastAsia="Times New Roman"/>
          <w:color w:val="242929"/>
          <w:szCs w:val="22"/>
          <w:lang w:val="fr-FR" w:eastAsia="en-US"/>
        </w:rPr>
        <w:t> </w:t>
      </w:r>
      <w:r w:rsidR="00CD0BCA" w:rsidRPr="00C207A9">
        <w:rPr>
          <w:rFonts w:eastAsia="Times New Roman"/>
          <w:color w:val="242929"/>
          <w:szCs w:val="22"/>
          <w:lang w:val="fr-FR" w:eastAsia="en-US"/>
        </w:rPr>
        <w:t>2017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814A20">
        <w:rPr>
          <w:rFonts w:eastAsia="Times New Roman"/>
          <w:color w:val="242929"/>
          <w:szCs w:val="22"/>
          <w:lang w:val="fr-FR" w:eastAsia="en-US"/>
        </w:rPr>
        <w:t>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814A20">
        <w:rPr>
          <w:rFonts w:eastAsia="Times New Roman"/>
          <w:color w:val="242929"/>
          <w:szCs w:val="22"/>
          <w:lang w:val="fr-FR" w:eastAsia="en-US"/>
        </w:rPr>
        <w:t>Assemblée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814A20">
        <w:rPr>
          <w:rFonts w:eastAsia="Times New Roman"/>
          <w:color w:val="242929"/>
          <w:szCs w:val="22"/>
          <w:lang w:val="fr-FR" w:eastAsia="en-US"/>
        </w:rPr>
        <w:t xml:space="preserve">Union de </w:t>
      </w:r>
      <w:r w:rsidRPr="00C207A9">
        <w:rPr>
          <w:rFonts w:eastAsia="Times New Roman"/>
          <w:color w:val="242929"/>
          <w:szCs w:val="22"/>
          <w:lang w:val="fr-FR" w:eastAsia="en-US"/>
        </w:rPr>
        <w:t>Madrid</w:t>
      </w:r>
      <w:r w:rsidR="006019E8">
        <w:rPr>
          <w:rFonts w:eastAsia="Times New Roman"/>
          <w:color w:val="242929"/>
          <w:szCs w:val="22"/>
          <w:lang w:val="fr-FR" w:eastAsia="en-US"/>
        </w:rPr>
        <w:t xml:space="preserve"> et</w:t>
      </w:r>
      <w:r w:rsidR="00814A20">
        <w:rPr>
          <w:rFonts w:eastAsia="Times New Roman"/>
          <w:color w:val="242929"/>
          <w:szCs w:val="22"/>
          <w:lang w:val="fr-FR" w:eastAsia="en-US"/>
        </w:rPr>
        <w:t xml:space="preserve"> toutes les autres assemblées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814A20">
        <w:rPr>
          <w:rFonts w:eastAsia="Times New Roman"/>
          <w:color w:val="242929"/>
          <w:szCs w:val="22"/>
          <w:lang w:val="fr-FR" w:eastAsia="en-US"/>
        </w:rPr>
        <w:t>OMPI</w:t>
      </w:r>
      <w:r w:rsidRPr="00C207A9">
        <w:rPr>
          <w:rFonts w:eastAsia="Times New Roman"/>
          <w:color w:val="242929"/>
          <w:szCs w:val="22"/>
          <w:vertAlign w:val="superscript"/>
          <w:lang w:val="fr-FR" w:eastAsia="en-US"/>
        </w:rPr>
        <w:footnoteReference w:id="4"/>
      </w:r>
      <w:r w:rsidR="00814A20">
        <w:rPr>
          <w:rFonts w:eastAsia="Times New Roman"/>
          <w:color w:val="242929"/>
          <w:szCs w:val="22"/>
          <w:lang w:val="fr-FR" w:eastAsia="en-US"/>
        </w:rPr>
        <w:t>,</w:t>
      </w: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</w:p>
    <w:p w:rsidR="00CD0BCA" w:rsidRDefault="000A2D25" w:rsidP="00080153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>“</w:t>
      </w:r>
      <w:r>
        <w:rPr>
          <w:rFonts w:eastAsia="Times New Roman"/>
          <w:color w:val="242929"/>
          <w:szCs w:val="22"/>
          <w:lang w:val="fr-FR" w:eastAsia="en-US"/>
        </w:rPr>
        <w:t>[</w:t>
      </w:r>
      <w:r w:rsidRPr="00C207A9">
        <w:rPr>
          <w:rFonts w:eastAsia="Times New Roman"/>
          <w:color w:val="242929"/>
          <w:szCs w:val="22"/>
          <w:lang w:val="fr-FR" w:eastAsia="en-US"/>
        </w:rPr>
        <w:t>…</w:t>
      </w:r>
      <w:r>
        <w:rPr>
          <w:rFonts w:eastAsia="Times New Roman"/>
          <w:color w:val="242929"/>
          <w:szCs w:val="22"/>
          <w:lang w:val="fr-FR" w:eastAsia="en-US"/>
        </w:rPr>
        <w:t>]</w:t>
      </w:r>
      <w:r w:rsidR="00080153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080153">
        <w:rPr>
          <w:rFonts w:eastAsia="Times New Roman"/>
          <w:color w:val="242929"/>
          <w:szCs w:val="22"/>
          <w:lang w:val="fr-FR" w:eastAsia="en-US"/>
        </w:rPr>
        <w:tab/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ii)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ab/>
      </w:r>
      <w:r w:rsidR="00814A20" w:rsidRPr="00814A20">
        <w:rPr>
          <w:rFonts w:eastAsia="Times New Roman"/>
          <w:color w:val="242929"/>
          <w:szCs w:val="22"/>
          <w:lang w:val="fr-FR" w:eastAsia="en-US"/>
        </w:rPr>
        <w:t>ont rappelé que, en vertu des traités régissant les unions financées par des taxes, chaque union doit disposer de recettes suffisantes pour couvrir ses propres dépenses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;</w:t>
      </w:r>
    </w:p>
    <w:p w:rsidR="002D2D6C" w:rsidRPr="00C207A9" w:rsidRDefault="001124D8" w:rsidP="00080153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  <w:t>iii)</w:t>
      </w:r>
      <w:r w:rsidR="002D2D6C">
        <w:rPr>
          <w:rFonts w:eastAsia="Times New Roman"/>
          <w:color w:val="242929"/>
          <w:szCs w:val="22"/>
          <w:lang w:val="fr-FR" w:eastAsia="en-US"/>
        </w:rPr>
        <w:tab/>
      </w:r>
      <w:r w:rsidR="002D2D6C" w:rsidRPr="002D2D6C">
        <w:rPr>
          <w:rFonts w:eastAsia="Times New Roman"/>
          <w:color w:val="242929"/>
          <w:szCs w:val="22"/>
          <w:lang w:val="fr-FR" w:eastAsia="en-US"/>
        </w:rPr>
        <w:t>ont pris note du fait que les unions financées par des taxes avec un déficit biennal prévu au cours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2D2D6C" w:rsidRPr="002D2D6C">
        <w:rPr>
          <w:rFonts w:eastAsia="Times New Roman"/>
          <w:color w:val="242929"/>
          <w:szCs w:val="22"/>
          <w:lang w:val="fr-FR" w:eastAsia="en-US"/>
        </w:rPr>
        <w:t xml:space="preserve">exercice </w:t>
      </w:r>
      <w:r w:rsidR="00CD0BCA" w:rsidRPr="002D2D6C">
        <w:rPr>
          <w:rFonts w:eastAsia="Times New Roman"/>
          <w:color w:val="242929"/>
          <w:szCs w:val="22"/>
          <w:lang w:val="fr-FR" w:eastAsia="en-US"/>
        </w:rPr>
        <w:t>biennal</w:t>
      </w:r>
      <w:r w:rsidR="00CD0BCA">
        <w:rPr>
          <w:rFonts w:eastAsia="Times New Roman"/>
          <w:color w:val="242929"/>
          <w:szCs w:val="22"/>
          <w:lang w:val="fr-FR" w:eastAsia="en-US"/>
        </w:rPr>
        <w:t> </w:t>
      </w:r>
      <w:r w:rsidR="00CD0BCA" w:rsidRPr="002D2D6C">
        <w:rPr>
          <w:rFonts w:eastAsia="Times New Roman"/>
          <w:color w:val="242929"/>
          <w:szCs w:val="22"/>
          <w:lang w:val="fr-FR" w:eastAsia="en-US"/>
        </w:rPr>
        <w:t>2018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="002D2D6C" w:rsidRPr="002D2D6C">
        <w:rPr>
          <w:rFonts w:eastAsia="Times New Roman"/>
          <w:color w:val="242929"/>
          <w:szCs w:val="22"/>
          <w:lang w:val="fr-FR" w:eastAsia="en-US"/>
        </w:rPr>
        <w:t>2019 devraient envisager des mesures conformément à leur propre traité afin de combler ce déficit</w:t>
      </w:r>
      <w:r w:rsidR="00080153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2D2D6C">
        <w:rPr>
          <w:rFonts w:eastAsia="Times New Roman"/>
          <w:color w:val="242929"/>
          <w:szCs w:val="22"/>
          <w:lang w:val="fr-FR" w:eastAsia="en-US"/>
        </w:rPr>
        <w:t>[…]”.</w:t>
      </w: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</w:p>
    <w:p w:rsidR="00CD0BCA" w:rsidRDefault="005C1532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256646">
        <w:rPr>
          <w:rFonts w:eastAsia="Times New Roman"/>
          <w:color w:val="242929"/>
          <w:szCs w:val="22"/>
          <w:lang w:val="fr-FR" w:eastAsia="en-US"/>
        </w:rPr>
        <w:t>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466F19">
        <w:rPr>
          <w:rFonts w:eastAsia="Times New Roman"/>
          <w:color w:val="242929"/>
          <w:szCs w:val="22"/>
          <w:lang w:val="fr-FR" w:eastAsia="en-US"/>
        </w:rPr>
        <w:t>a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nnex</w:t>
      </w:r>
      <w:r w:rsidR="00466F19">
        <w:rPr>
          <w:rFonts w:eastAsia="Times New Roman"/>
          <w:color w:val="242929"/>
          <w:szCs w:val="22"/>
          <w:lang w:val="fr-FR" w:eastAsia="en-US"/>
        </w:rPr>
        <w:t>e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 xml:space="preserve">III </w:t>
      </w:r>
      <w:r w:rsidR="00466F19">
        <w:rPr>
          <w:rFonts w:eastAsia="Times New Roman"/>
          <w:color w:val="242929"/>
          <w:szCs w:val="22"/>
          <w:lang w:val="fr-FR" w:eastAsia="en-US"/>
        </w:rPr>
        <w:t>du programme et budget pour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466F19">
        <w:rPr>
          <w:rFonts w:eastAsia="Times New Roman"/>
          <w:color w:val="242929"/>
          <w:szCs w:val="22"/>
          <w:lang w:val="fr-FR" w:eastAsia="en-US"/>
        </w:rPr>
        <w:t>exercice 2018</w:t>
      </w:r>
      <w:r w:rsidR="0011129B">
        <w:rPr>
          <w:rFonts w:eastAsia="Times New Roman"/>
          <w:color w:val="242929"/>
          <w:szCs w:val="22"/>
          <w:lang w:val="fr-FR" w:eastAsia="en-US"/>
        </w:rPr>
        <w:noBreakHyphen/>
      </w:r>
      <w:r w:rsidR="00466F19">
        <w:rPr>
          <w:rFonts w:eastAsia="Times New Roman"/>
          <w:color w:val="242929"/>
          <w:szCs w:val="22"/>
          <w:lang w:val="fr-FR" w:eastAsia="en-US"/>
        </w:rPr>
        <w:t xml:space="preserve">2019, consacré au budget des unions, </w:t>
      </w:r>
      <w:r w:rsidR="00256646">
        <w:rPr>
          <w:rFonts w:eastAsia="Times New Roman"/>
          <w:color w:val="242929"/>
          <w:szCs w:val="22"/>
          <w:lang w:val="fr-FR" w:eastAsia="en-US"/>
        </w:rPr>
        <w:t xml:space="preserve">indique clairement </w:t>
      </w:r>
      <w:r w:rsidR="00466F19">
        <w:rPr>
          <w:rFonts w:eastAsia="Times New Roman"/>
          <w:color w:val="242929"/>
          <w:szCs w:val="22"/>
          <w:lang w:val="fr-FR" w:eastAsia="en-US"/>
        </w:rPr>
        <w:t>que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466F19">
        <w:rPr>
          <w:rFonts w:eastAsia="Times New Roman"/>
          <w:color w:val="242929"/>
          <w:szCs w:val="22"/>
          <w:lang w:val="fr-FR" w:eastAsia="en-US"/>
        </w:rPr>
        <w:t xml:space="preserve">Union de 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 xml:space="preserve">Madrid </w:t>
      </w:r>
      <w:r w:rsidR="00466F19">
        <w:rPr>
          <w:rFonts w:eastAsia="Times New Roman"/>
          <w:color w:val="242929"/>
          <w:szCs w:val="22"/>
          <w:lang w:val="fr-FR" w:eastAsia="en-US"/>
        </w:rPr>
        <w:t>n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466F19">
        <w:rPr>
          <w:rFonts w:eastAsia="Times New Roman"/>
          <w:color w:val="242929"/>
          <w:szCs w:val="22"/>
          <w:lang w:val="fr-FR" w:eastAsia="en-US"/>
        </w:rPr>
        <w:t>est pas en défic</w:t>
      </w:r>
      <w:r w:rsidR="004C6DDF">
        <w:rPr>
          <w:rFonts w:eastAsia="Times New Roman"/>
          <w:color w:val="242929"/>
          <w:szCs w:val="22"/>
          <w:lang w:val="fr-FR" w:eastAsia="en-US"/>
        </w:rPr>
        <w:t>it.  Le</w:t>
      </w:r>
      <w:r w:rsidR="003B1F10">
        <w:rPr>
          <w:rFonts w:eastAsia="Times New Roman"/>
          <w:color w:val="242929"/>
          <w:szCs w:val="22"/>
          <w:lang w:val="fr-FR" w:eastAsia="en-US"/>
        </w:rPr>
        <w:t>s prévisions de recettes pour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B1F10">
        <w:rPr>
          <w:rFonts w:eastAsia="Times New Roman"/>
          <w:color w:val="242929"/>
          <w:szCs w:val="22"/>
          <w:lang w:val="fr-FR" w:eastAsia="en-US"/>
        </w:rPr>
        <w:t xml:space="preserve">Union de 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 xml:space="preserve">Madrid </w:t>
      </w:r>
      <w:r w:rsidR="003B1F10">
        <w:rPr>
          <w:rFonts w:eastAsia="Times New Roman"/>
          <w:color w:val="242929"/>
          <w:szCs w:val="22"/>
          <w:lang w:val="fr-FR" w:eastAsia="en-US"/>
        </w:rPr>
        <w:t>s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B1F10">
        <w:rPr>
          <w:rFonts w:eastAsia="Times New Roman"/>
          <w:color w:val="242929"/>
          <w:szCs w:val="22"/>
          <w:lang w:val="fr-FR" w:eastAsia="en-US"/>
        </w:rPr>
        <w:t>établissent 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 xml:space="preserve"> 143</w:t>
      </w:r>
      <w:r w:rsidR="003B1F10">
        <w:rPr>
          <w:rFonts w:eastAsia="Times New Roman"/>
          <w:color w:val="242929"/>
          <w:szCs w:val="22"/>
          <w:lang w:val="fr-FR" w:eastAsia="en-US"/>
        </w:rPr>
        <w:t>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114</w:t>
      </w:r>
      <w:r w:rsidR="003B1F10">
        <w:rPr>
          <w:rFonts w:eastAsia="Times New Roman"/>
          <w:color w:val="242929"/>
          <w:szCs w:val="22"/>
          <w:lang w:val="fr-FR" w:eastAsia="en-US"/>
        </w:rPr>
        <w:t>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000</w:t>
      </w:r>
      <w:r w:rsidR="003B1F10">
        <w:rPr>
          <w:rFonts w:eastAsia="Times New Roman"/>
          <w:color w:val="242929"/>
          <w:szCs w:val="22"/>
          <w:lang w:val="fr-FR" w:eastAsia="en-US"/>
        </w:rPr>
        <w:t>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 xml:space="preserve">CHF, </w:t>
      </w:r>
      <w:r w:rsidR="003B1F10">
        <w:rPr>
          <w:rFonts w:eastAsia="Times New Roman"/>
          <w:color w:val="242929"/>
          <w:szCs w:val="22"/>
          <w:lang w:val="fr-FR" w:eastAsia="en-US"/>
        </w:rPr>
        <w:t xml:space="preserve">soit un montant bien supérieur </w:t>
      </w:r>
      <w:r w:rsidR="00256646">
        <w:rPr>
          <w:rFonts w:eastAsia="Times New Roman"/>
          <w:color w:val="242929"/>
          <w:szCs w:val="22"/>
          <w:lang w:val="fr-FR" w:eastAsia="en-US"/>
        </w:rPr>
        <w:t>aux prévisions de</w:t>
      </w:r>
      <w:r w:rsidR="003B1F10">
        <w:rPr>
          <w:rFonts w:eastAsia="Times New Roman"/>
          <w:color w:val="242929"/>
          <w:szCs w:val="22"/>
          <w:lang w:val="fr-FR" w:eastAsia="en-US"/>
        </w:rPr>
        <w:t xml:space="preserve"> dépenses qui s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3B1F10">
        <w:rPr>
          <w:rFonts w:eastAsia="Times New Roman"/>
          <w:color w:val="242929"/>
          <w:szCs w:val="22"/>
          <w:lang w:val="fr-FR" w:eastAsia="en-US"/>
        </w:rPr>
        <w:t>élève</w:t>
      </w:r>
      <w:r w:rsidR="00256646">
        <w:rPr>
          <w:rFonts w:eastAsia="Times New Roman"/>
          <w:color w:val="242929"/>
          <w:szCs w:val="22"/>
          <w:lang w:val="fr-FR" w:eastAsia="en-US"/>
        </w:rPr>
        <w:t>nt</w:t>
      </w:r>
      <w:r w:rsidR="003B1F10">
        <w:rPr>
          <w:rFonts w:eastAsia="Times New Roman"/>
          <w:color w:val="242929"/>
          <w:szCs w:val="22"/>
          <w:lang w:val="fr-FR" w:eastAsia="en-US"/>
        </w:rPr>
        <w:t xml:space="preserve"> à 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137</w:t>
      </w:r>
      <w:r w:rsidR="003B1F10">
        <w:rPr>
          <w:rFonts w:eastAsia="Times New Roman"/>
          <w:color w:val="242929"/>
          <w:szCs w:val="22"/>
          <w:lang w:val="fr-FR" w:eastAsia="en-US"/>
        </w:rPr>
        <w:t>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405</w:t>
      </w:r>
      <w:r w:rsidR="003B1F10">
        <w:rPr>
          <w:rFonts w:eastAsia="Times New Roman"/>
          <w:color w:val="242929"/>
          <w:szCs w:val="22"/>
          <w:lang w:val="fr-FR" w:eastAsia="en-US"/>
        </w:rPr>
        <w:t> 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000</w:t>
      </w:r>
      <w:r w:rsidR="003B1F10">
        <w:rPr>
          <w:rFonts w:eastAsia="Times New Roman"/>
          <w:color w:val="242929"/>
          <w:szCs w:val="22"/>
          <w:lang w:val="fr-FR" w:eastAsia="en-US"/>
        </w:rPr>
        <w:t> francs suisses</w:t>
      </w:r>
      <w:r w:rsidR="001124D8" w:rsidRPr="00C207A9">
        <w:rPr>
          <w:rFonts w:eastAsia="Times New Roman"/>
          <w:color w:val="242929"/>
          <w:szCs w:val="22"/>
          <w:lang w:val="fr-FR" w:eastAsia="en-US"/>
        </w:rPr>
        <w:t>.</w:t>
      </w:r>
    </w:p>
    <w:p w:rsidR="001124D8" w:rsidRPr="00C207A9" w:rsidRDefault="001124D8" w:rsidP="001124D8">
      <w:pPr>
        <w:rPr>
          <w:rFonts w:eastAsia="Times New Roman"/>
          <w:b/>
          <w:color w:val="242929"/>
          <w:szCs w:val="22"/>
          <w:lang w:val="fr-FR" w:eastAsia="en-US"/>
        </w:rPr>
      </w:pPr>
    </w:p>
    <w:p w:rsidR="005C1532" w:rsidRPr="00C207A9" w:rsidRDefault="005C1532" w:rsidP="005C1532">
      <w:pPr>
        <w:jc w:val="center"/>
        <w:rPr>
          <w:rFonts w:eastAsia="Times New Roman"/>
          <w:b/>
          <w:color w:val="242929"/>
          <w:szCs w:val="22"/>
          <w:lang w:val="fr-FR" w:eastAsia="en-US"/>
        </w:rPr>
      </w:pPr>
      <w:r w:rsidRPr="00C207A9">
        <w:rPr>
          <w:rFonts w:eastAsia="Times New Roman"/>
          <w:b/>
          <w:color w:val="242929"/>
          <w:szCs w:val="22"/>
          <w:lang w:val="fr-FR" w:eastAsia="en-US"/>
        </w:rPr>
        <w:br w:type="page"/>
      </w:r>
    </w:p>
    <w:p w:rsidR="001124D8" w:rsidRPr="00C207A9" w:rsidRDefault="001124D8" w:rsidP="005C1532">
      <w:pPr>
        <w:jc w:val="center"/>
        <w:rPr>
          <w:rFonts w:eastAsia="Times New Roman"/>
          <w:b/>
          <w:color w:val="242929"/>
          <w:szCs w:val="22"/>
          <w:lang w:val="fr-FR" w:eastAsia="en-US"/>
        </w:rPr>
      </w:pPr>
      <w:r w:rsidRPr="00C207A9">
        <w:rPr>
          <w:rFonts w:eastAsia="Times New Roman"/>
          <w:b/>
          <w:color w:val="242929"/>
          <w:szCs w:val="22"/>
          <w:lang w:val="fr-FR" w:eastAsia="en-US"/>
        </w:rPr>
        <w:t>Table</w:t>
      </w:r>
      <w:r w:rsidR="003B1F10">
        <w:rPr>
          <w:rFonts w:eastAsia="Times New Roman"/>
          <w:b/>
          <w:color w:val="242929"/>
          <w:szCs w:val="22"/>
          <w:lang w:val="fr-FR" w:eastAsia="en-US"/>
        </w:rPr>
        <w:t>au 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>11</w:t>
      </w:r>
      <w:r w:rsidR="00CD0BCA">
        <w:rPr>
          <w:rFonts w:eastAsia="Times New Roman"/>
          <w:b/>
          <w:color w:val="242929"/>
          <w:szCs w:val="22"/>
          <w:lang w:val="fr-FR" w:eastAsia="en-US"/>
        </w:rPr>
        <w:t> :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 xml:space="preserve"> Sc</w:t>
      </w:r>
      <w:r w:rsidR="003B1F10">
        <w:rPr>
          <w:rFonts w:eastAsia="Times New Roman"/>
          <w:b/>
          <w:color w:val="242929"/>
          <w:szCs w:val="22"/>
          <w:lang w:val="fr-FR" w:eastAsia="en-US"/>
        </w:rPr>
        <w:t>é</w:t>
      </w:r>
      <w:r w:rsidRPr="00C207A9">
        <w:rPr>
          <w:rFonts w:eastAsia="Times New Roman"/>
          <w:b/>
          <w:color w:val="242929"/>
          <w:szCs w:val="22"/>
          <w:lang w:val="fr-FR" w:eastAsia="en-US"/>
        </w:rPr>
        <w:t xml:space="preserve">nario </w:t>
      </w:r>
      <w:r w:rsidR="003B1F10">
        <w:rPr>
          <w:rFonts w:eastAsia="Times New Roman"/>
          <w:b/>
          <w:color w:val="242929"/>
          <w:szCs w:val="22"/>
          <w:lang w:val="fr-FR" w:eastAsia="en-US"/>
        </w:rPr>
        <w:t>global par union</w:t>
      </w:r>
      <w:r w:rsidRPr="0082380A">
        <w:rPr>
          <w:rStyle w:val="FootnoteReference"/>
          <w:rFonts w:eastAsia="Times New Roman"/>
          <w:color w:val="242929"/>
          <w:szCs w:val="22"/>
          <w:lang w:val="fr-FR" w:eastAsia="en-US"/>
        </w:rPr>
        <w:footnoteReference w:id="5"/>
      </w:r>
    </w:p>
    <w:p w:rsidR="001124D8" w:rsidRDefault="001124D8" w:rsidP="005C1532">
      <w:pPr>
        <w:jc w:val="center"/>
        <w:rPr>
          <w:rFonts w:eastAsia="Times New Roman"/>
          <w:i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>(</w:t>
      </w:r>
      <w:r w:rsidR="003B1F10">
        <w:rPr>
          <w:rFonts w:eastAsia="Times New Roman"/>
          <w:i/>
          <w:color w:val="242929"/>
          <w:szCs w:val="22"/>
          <w:lang w:val="fr-FR" w:eastAsia="en-US"/>
        </w:rPr>
        <w:t>en milliers de</w:t>
      </w:r>
      <w:r w:rsidRPr="00C207A9">
        <w:rPr>
          <w:rFonts w:eastAsia="Times New Roman"/>
          <w:i/>
          <w:color w:val="242929"/>
          <w:szCs w:val="22"/>
          <w:lang w:val="fr-FR" w:eastAsia="en-US"/>
        </w:rPr>
        <w:t xml:space="preserve"> francs</w:t>
      </w:r>
      <w:r w:rsidR="003B1F10">
        <w:rPr>
          <w:rFonts w:eastAsia="Times New Roman"/>
          <w:i/>
          <w:color w:val="242929"/>
          <w:szCs w:val="22"/>
          <w:lang w:val="fr-FR" w:eastAsia="en-US"/>
        </w:rPr>
        <w:t xml:space="preserve"> suisses</w:t>
      </w:r>
      <w:r w:rsidRPr="00C207A9">
        <w:rPr>
          <w:rFonts w:eastAsia="Times New Roman"/>
          <w:i/>
          <w:color w:val="242929"/>
          <w:szCs w:val="22"/>
          <w:lang w:val="fr-FR" w:eastAsia="en-US"/>
        </w:rPr>
        <w:t>)</w:t>
      </w:r>
    </w:p>
    <w:p w:rsidR="00830BC6" w:rsidRPr="001374B2" w:rsidRDefault="00830BC6" w:rsidP="005C1532">
      <w:pPr>
        <w:jc w:val="center"/>
        <w:rPr>
          <w:rFonts w:eastAsia="Times New Roman"/>
          <w:i/>
          <w:color w:val="242929"/>
          <w:sz w:val="12"/>
          <w:szCs w:val="22"/>
          <w:lang w:val="fr-FR" w:eastAsia="en-US"/>
        </w:rPr>
      </w:pPr>
    </w:p>
    <w:p w:rsidR="001124D8" w:rsidRPr="00C207A9" w:rsidRDefault="00830BC6" w:rsidP="001124D8">
      <w:pPr>
        <w:rPr>
          <w:rFonts w:eastAsia="Times New Roman"/>
          <w:bCs/>
          <w:color w:val="242929"/>
          <w:szCs w:val="22"/>
          <w:lang w:val="fr-FR" w:eastAsia="en-US"/>
        </w:rPr>
      </w:pPr>
      <w:r w:rsidRPr="006738EF">
        <w:rPr>
          <w:noProof/>
          <w:lang w:eastAsia="en-US"/>
        </w:rPr>
        <w:drawing>
          <wp:inline distT="0" distB="0" distL="0" distR="0" wp14:anchorId="3AF96260" wp14:editId="0C3FD36C">
            <wp:extent cx="5760085" cy="2064323"/>
            <wp:effectExtent l="0" t="0" r="0" b="0"/>
            <wp:docPr id="1207" name="Picture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6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532" w:rsidRPr="00B923FE" w:rsidRDefault="005C1532" w:rsidP="001124D8">
      <w:pPr>
        <w:rPr>
          <w:rFonts w:eastAsia="Times New Roman"/>
          <w:bCs/>
          <w:color w:val="242929"/>
          <w:sz w:val="18"/>
          <w:szCs w:val="22"/>
          <w:lang w:val="fr-FR" w:eastAsia="en-US"/>
        </w:rPr>
      </w:pPr>
    </w:p>
    <w:p w:rsidR="001124D8" w:rsidRPr="00C207A9" w:rsidRDefault="001124D8" w:rsidP="001124D8">
      <w:pPr>
        <w:rPr>
          <w:rFonts w:eastAsia="Times New Roman"/>
          <w:i/>
          <w:iCs/>
          <w:color w:val="242929"/>
          <w:sz w:val="18"/>
          <w:szCs w:val="18"/>
          <w:lang w:val="fr-FR" w:eastAsia="en-US"/>
        </w:rPr>
      </w:pPr>
      <w:r w:rsidRPr="00C207A9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>*</w:t>
      </w:r>
      <w:r w:rsidR="003B1F10" w:rsidRPr="00080153">
        <w:rPr>
          <w:rFonts w:eastAsia="Times New Roman"/>
          <w:i/>
          <w:iCs/>
          <w:color w:val="000000"/>
          <w:sz w:val="16"/>
          <w:szCs w:val="16"/>
          <w:lang w:val="fr-CH" w:eastAsia="en-US"/>
        </w:rPr>
        <w:t xml:space="preserve"> </w:t>
      </w:r>
      <w:r w:rsidR="00A26DDF" w:rsidRPr="00080153">
        <w:rPr>
          <w:rFonts w:eastAsia="Times New Roman"/>
          <w:i/>
          <w:iCs/>
          <w:color w:val="000000"/>
          <w:sz w:val="16"/>
          <w:szCs w:val="16"/>
          <w:lang w:val="fr-CH" w:eastAsia="en-US"/>
        </w:rPr>
        <w:tab/>
      </w:r>
      <w:r w:rsidR="003B1F10" w:rsidRPr="00080153">
        <w:rPr>
          <w:rFonts w:eastAsia="Times New Roman"/>
          <w:i/>
          <w:iCs/>
          <w:color w:val="242929"/>
          <w:sz w:val="18"/>
          <w:szCs w:val="18"/>
          <w:lang w:val="fr-CH" w:eastAsia="en-US"/>
        </w:rPr>
        <w:t xml:space="preserve">Les </w:t>
      </w:r>
      <w:r w:rsidR="003B1F10" w:rsidRPr="003B1F10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>montants recommandés pour</w:t>
      </w:r>
      <w:r w:rsidR="00CD0BCA" w:rsidRPr="003B1F10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 xml:space="preserve"> les</w:t>
      </w:r>
      <w:r w:rsidR="00CD0BCA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> </w:t>
      </w:r>
      <w:r w:rsidR="00CD0BCA" w:rsidRPr="003B1F10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>FRR</w:t>
      </w:r>
      <w:r w:rsidR="003B1F10" w:rsidRPr="003B1F10">
        <w:rPr>
          <w:rFonts w:eastAsia="Times New Roman"/>
          <w:i/>
          <w:iCs/>
          <w:color w:val="242929"/>
          <w:sz w:val="18"/>
          <w:szCs w:val="18"/>
          <w:lang w:val="fr-FR" w:eastAsia="en-US"/>
        </w:rPr>
        <w:t xml:space="preserve"> sont calculés en pourcentage des dépenses prévues au budget biennal de chaque union</w:t>
      </w:r>
      <w:r w:rsidR="003B1F10" w:rsidRPr="00080153">
        <w:rPr>
          <w:rFonts w:eastAsia="Times New Roman"/>
          <w:i/>
          <w:iCs/>
          <w:color w:val="242929"/>
          <w:sz w:val="18"/>
          <w:szCs w:val="18"/>
          <w:lang w:val="fr-CH" w:eastAsia="en-US"/>
        </w:rPr>
        <w:t>.</w:t>
      </w:r>
    </w:p>
    <w:p w:rsidR="001124D8" w:rsidRPr="00B923FE" w:rsidRDefault="001124D8" w:rsidP="001124D8">
      <w:pPr>
        <w:rPr>
          <w:rFonts w:eastAsia="Times New Roman"/>
          <w:i/>
          <w:iCs/>
          <w:color w:val="242929"/>
          <w:sz w:val="16"/>
          <w:szCs w:val="22"/>
          <w:lang w:val="fr-FR" w:eastAsia="en-US"/>
        </w:rPr>
      </w:pPr>
    </w:p>
    <w:p w:rsidR="00CD0BCA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256646">
        <w:rPr>
          <w:rFonts w:eastAsia="Times New Roman"/>
          <w:color w:val="242929"/>
          <w:szCs w:val="22"/>
          <w:lang w:val="fr-FR" w:eastAsia="en-US"/>
        </w:rPr>
        <w:t>Il ressort du tableau que plusieurs unions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256646">
        <w:rPr>
          <w:rFonts w:eastAsia="Times New Roman"/>
          <w:color w:val="242929"/>
          <w:szCs w:val="22"/>
          <w:lang w:val="fr-FR" w:eastAsia="en-US"/>
        </w:rPr>
        <w:t xml:space="preserve">OMPI, </w:t>
      </w:r>
      <w:r w:rsidR="00CD0BCA">
        <w:rPr>
          <w:rFonts w:eastAsia="Times New Roman"/>
          <w:color w:val="242929"/>
          <w:szCs w:val="22"/>
          <w:lang w:val="fr-FR" w:eastAsia="en-US"/>
        </w:rPr>
        <w:t>y compris</w:t>
      </w:r>
      <w:r w:rsidR="00256646">
        <w:rPr>
          <w:rFonts w:eastAsia="Times New Roman"/>
          <w:color w:val="242929"/>
          <w:szCs w:val="22"/>
          <w:lang w:val="fr-FR" w:eastAsia="en-US"/>
        </w:rPr>
        <w:t xml:space="preserve"> les unions financées par des contributions, prévoient un défic</w:t>
      </w:r>
      <w:r w:rsidR="004C6DDF">
        <w:rPr>
          <w:rFonts w:eastAsia="Times New Roman"/>
          <w:color w:val="242929"/>
          <w:szCs w:val="22"/>
          <w:lang w:val="fr-FR" w:eastAsia="en-US"/>
        </w:rPr>
        <w:t>it.  No</w:t>
      </w:r>
      <w:r w:rsidR="00256646">
        <w:rPr>
          <w:rFonts w:eastAsia="Times New Roman"/>
          <w:color w:val="242929"/>
          <w:szCs w:val="22"/>
          <w:lang w:val="fr-FR" w:eastAsia="en-US"/>
        </w:rPr>
        <w:t>us estimons que toutes les unions financées par des taxes devraient évaluer le montant</w:t>
      </w:r>
      <w:r w:rsidR="00AF43B9">
        <w:rPr>
          <w:rFonts w:eastAsia="Times New Roman"/>
          <w:color w:val="242929"/>
          <w:szCs w:val="22"/>
          <w:lang w:val="fr-FR" w:eastAsia="en-US"/>
        </w:rPr>
        <w:t xml:space="preserve"> de</w:t>
      </w:r>
      <w:r w:rsidR="00B87C59">
        <w:rPr>
          <w:rFonts w:eastAsia="Times New Roman"/>
          <w:color w:val="242929"/>
          <w:szCs w:val="22"/>
          <w:lang w:val="fr-FR" w:eastAsia="en-US"/>
        </w:rPr>
        <w:t xml:space="preserve"> leur</w:t>
      </w:r>
      <w:r w:rsidR="00AF43B9">
        <w:rPr>
          <w:rFonts w:eastAsia="Times New Roman"/>
          <w:color w:val="242929"/>
          <w:szCs w:val="22"/>
          <w:lang w:val="fr-FR" w:eastAsia="en-US"/>
        </w:rPr>
        <w:t>s taxes au regard de leurs propres dépenses, ainsi que des dépenses communes et de la prospérité financière globale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Organi</w:t>
      </w:r>
      <w:r w:rsidR="00AF43B9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>ation.</w:t>
      </w:r>
    </w:p>
    <w:p w:rsidR="001124D8" w:rsidRPr="00B923FE" w:rsidRDefault="001124D8" w:rsidP="001124D8">
      <w:pPr>
        <w:rPr>
          <w:rFonts w:eastAsia="Times New Roman"/>
          <w:color w:val="242929"/>
          <w:sz w:val="16"/>
          <w:szCs w:val="22"/>
          <w:lang w:val="fr-FR" w:eastAsia="en-US"/>
        </w:rPr>
      </w:pPr>
    </w:p>
    <w:p w:rsidR="00CD0BCA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AF43B9">
        <w:rPr>
          <w:rFonts w:eastAsia="Times New Roman"/>
          <w:color w:val="242929"/>
          <w:szCs w:val="22"/>
          <w:lang w:val="fr-FR" w:eastAsia="en-US"/>
        </w:rPr>
        <w:t xml:space="preserve">Les unions financées par des contributions 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financent </w:t>
      </w:r>
      <w:r w:rsidR="00AF43B9">
        <w:rPr>
          <w:rFonts w:eastAsia="Times New Roman"/>
          <w:color w:val="242929"/>
          <w:szCs w:val="22"/>
          <w:lang w:val="fr-FR" w:eastAsia="en-US"/>
        </w:rPr>
        <w:t>actuellement les activités menées dans les domaines du droit 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F43B9">
        <w:rPr>
          <w:rFonts w:eastAsia="Times New Roman"/>
          <w:color w:val="242929"/>
          <w:szCs w:val="22"/>
          <w:lang w:val="fr-FR" w:eastAsia="en-US"/>
        </w:rPr>
        <w:t>auteur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AF43B9">
        <w:rPr>
          <w:rFonts w:eastAsia="Times New Roman"/>
          <w:color w:val="242929"/>
          <w:szCs w:val="22"/>
          <w:lang w:val="fr-FR" w:eastAsia="en-US"/>
        </w:rPr>
        <w:t>des savoirs traditionnels, des expressions culturelles traditionnelles et des ressources génétiques, de</w:t>
      </w:r>
      <w:r w:rsidR="00E71A40">
        <w:rPr>
          <w:rFonts w:eastAsia="Times New Roman"/>
          <w:color w:val="242929"/>
          <w:szCs w:val="22"/>
          <w:lang w:val="fr-FR" w:eastAsia="en-US"/>
        </w:rPr>
        <w:t xml:space="preserve">s </w:t>
      </w:r>
      <w:r w:rsidR="00AF43B9">
        <w:rPr>
          <w:rFonts w:eastAsia="Times New Roman"/>
          <w:color w:val="242929"/>
          <w:szCs w:val="22"/>
          <w:lang w:val="fr-FR" w:eastAsia="en-US"/>
        </w:rPr>
        <w:t>classification</w:t>
      </w:r>
      <w:r w:rsidR="00E71A40">
        <w:rPr>
          <w:rFonts w:eastAsia="Times New Roman"/>
          <w:color w:val="242929"/>
          <w:szCs w:val="22"/>
          <w:lang w:val="fr-FR" w:eastAsia="en-US"/>
        </w:rPr>
        <w:t>s</w:t>
      </w:r>
      <w:r w:rsidR="00AF43B9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E71A40">
        <w:rPr>
          <w:rFonts w:eastAsia="Times New Roman"/>
          <w:color w:val="242929"/>
          <w:szCs w:val="22"/>
          <w:lang w:val="fr-FR" w:eastAsia="en-US"/>
        </w:rPr>
        <w:t>et des normes et des technologies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E71A40">
        <w:rPr>
          <w:rFonts w:eastAsia="Times New Roman"/>
          <w:color w:val="242929"/>
          <w:szCs w:val="22"/>
          <w:lang w:val="fr-FR" w:eastAsia="en-US"/>
        </w:rPr>
        <w:t>informati</w:t>
      </w:r>
      <w:r w:rsidR="004C6DDF">
        <w:rPr>
          <w:rFonts w:eastAsia="Times New Roman"/>
          <w:color w:val="242929"/>
          <w:szCs w:val="22"/>
          <w:lang w:val="fr-FR" w:eastAsia="en-US"/>
        </w:rPr>
        <w:t>on.  En</w:t>
      </w:r>
      <w:r w:rsidR="00E71A40">
        <w:rPr>
          <w:rFonts w:eastAsia="Times New Roman"/>
          <w:color w:val="242929"/>
          <w:szCs w:val="22"/>
          <w:lang w:val="fr-FR" w:eastAsia="en-US"/>
        </w:rPr>
        <w:t xml:space="preserve"> outre, </w:t>
      </w:r>
      <w:r w:rsidR="00FE541B">
        <w:rPr>
          <w:rFonts w:eastAsia="Times New Roman"/>
          <w:color w:val="242929"/>
          <w:szCs w:val="22"/>
          <w:lang w:val="fr-FR" w:eastAsia="en-US"/>
        </w:rPr>
        <w:t>elles</w:t>
      </w:r>
      <w:r w:rsidR="00E71A40">
        <w:rPr>
          <w:rFonts w:eastAsia="Times New Roman"/>
          <w:color w:val="242929"/>
          <w:szCs w:val="22"/>
          <w:lang w:val="fr-FR" w:eastAsia="en-US"/>
        </w:rPr>
        <w:t xml:space="preserve"> contribuent aux activités communes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E71A40">
        <w:rPr>
          <w:rFonts w:eastAsia="Times New Roman"/>
          <w:color w:val="242929"/>
          <w:szCs w:val="22"/>
          <w:lang w:val="fr-FR" w:eastAsia="en-US"/>
        </w:rPr>
        <w:t>Organisation, telles que les dépenses découlant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E71A40">
        <w:rPr>
          <w:rFonts w:eastAsia="Times New Roman"/>
          <w:color w:val="242929"/>
          <w:szCs w:val="22"/>
          <w:lang w:val="fr-FR" w:eastAsia="en-US"/>
        </w:rPr>
        <w:t>entretien des bâtiments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E71A40">
        <w:rPr>
          <w:rFonts w:eastAsia="Times New Roman"/>
          <w:color w:val="242929"/>
          <w:szCs w:val="22"/>
          <w:lang w:val="fr-FR" w:eastAsia="en-US"/>
        </w:rPr>
        <w:t>O</w:t>
      </w:r>
      <w:r w:rsidR="004C6DDF">
        <w:rPr>
          <w:rFonts w:eastAsia="Times New Roman"/>
          <w:color w:val="242929"/>
          <w:szCs w:val="22"/>
          <w:lang w:val="fr-FR" w:eastAsia="en-US"/>
        </w:rPr>
        <w:t>MPI.  El</w:t>
      </w:r>
      <w:r w:rsidR="00A51760">
        <w:rPr>
          <w:rFonts w:eastAsia="Times New Roman"/>
          <w:color w:val="242929"/>
          <w:szCs w:val="22"/>
          <w:lang w:val="fr-FR" w:eastAsia="en-US"/>
        </w:rPr>
        <w:t>les</w:t>
      </w:r>
      <w:r w:rsidR="00020652">
        <w:rPr>
          <w:rFonts w:eastAsia="Times New Roman"/>
          <w:color w:val="242929"/>
          <w:szCs w:val="22"/>
          <w:lang w:val="fr-FR" w:eastAsia="en-US"/>
        </w:rPr>
        <w:t> </w:t>
      </w:r>
      <w:r w:rsidR="00A51760">
        <w:rPr>
          <w:rFonts w:eastAsia="Times New Roman"/>
          <w:color w:val="242929"/>
          <w:szCs w:val="22"/>
          <w:lang w:val="fr-FR" w:eastAsia="en-US"/>
        </w:rPr>
        <w:t>ont également prêté des fonds à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Union</w:t>
      </w:r>
      <w:r w:rsidR="00A51760">
        <w:rPr>
          <w:rFonts w:eastAsia="Times New Roman"/>
          <w:color w:val="242929"/>
          <w:szCs w:val="22"/>
          <w:lang w:val="fr-FR" w:eastAsia="en-US"/>
        </w:rPr>
        <w:t xml:space="preserve"> de Lisbonne afin de lui permettre de couvrir son dé</w:t>
      </w:r>
      <w:r w:rsidRPr="00C207A9">
        <w:rPr>
          <w:rFonts w:eastAsia="Times New Roman"/>
          <w:color w:val="242929"/>
          <w:szCs w:val="22"/>
          <w:lang w:val="fr-FR" w:eastAsia="en-US"/>
        </w:rPr>
        <w:t>ficit</w:t>
      </w:r>
      <w:r w:rsidR="00A51760">
        <w:rPr>
          <w:rFonts w:eastAsia="Times New Roman"/>
          <w:color w:val="242929"/>
          <w:szCs w:val="22"/>
          <w:lang w:val="fr-FR" w:eastAsia="en-US"/>
        </w:rPr>
        <w:t xml:space="preserve"> et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, </w:t>
      </w:r>
      <w:r w:rsidR="00A51760">
        <w:rPr>
          <w:rFonts w:eastAsia="Times New Roman"/>
          <w:color w:val="242929"/>
          <w:szCs w:val="22"/>
          <w:lang w:val="fr-FR" w:eastAsia="en-US"/>
        </w:rPr>
        <w:t>cette dernière n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A51760">
        <w:rPr>
          <w:rFonts w:eastAsia="Times New Roman"/>
          <w:color w:val="242929"/>
          <w:szCs w:val="22"/>
          <w:lang w:val="fr-FR" w:eastAsia="en-US"/>
        </w:rPr>
        <w:t>a</w:t>
      </w:r>
      <w:r w:rsidR="00C120D8">
        <w:rPr>
          <w:rFonts w:eastAsia="Times New Roman"/>
          <w:color w:val="242929"/>
          <w:szCs w:val="22"/>
          <w:lang w:val="fr-FR" w:eastAsia="en-US"/>
        </w:rPr>
        <w:t>yant</w:t>
      </w:r>
      <w:r w:rsidR="00A51760">
        <w:rPr>
          <w:rFonts w:eastAsia="Times New Roman"/>
          <w:color w:val="242929"/>
          <w:szCs w:val="22"/>
          <w:lang w:val="fr-FR" w:eastAsia="en-US"/>
        </w:rPr>
        <w:t xml:space="preserve"> pris </w:t>
      </w:r>
      <w:r w:rsidR="00C120D8">
        <w:rPr>
          <w:rFonts w:eastAsia="Times New Roman"/>
          <w:color w:val="242929"/>
          <w:szCs w:val="22"/>
          <w:lang w:val="fr-FR" w:eastAsia="en-US"/>
        </w:rPr>
        <w:t>aucune m</w:t>
      </w:r>
      <w:r w:rsidR="00A51760">
        <w:rPr>
          <w:rFonts w:eastAsia="Times New Roman"/>
          <w:color w:val="242929"/>
          <w:szCs w:val="22"/>
          <w:lang w:val="fr-FR" w:eastAsia="en-US"/>
        </w:rPr>
        <w:t>esure en vue de réduire ou de supprimer ce déficit</w:t>
      </w:r>
      <w:r w:rsidRPr="00C207A9">
        <w:rPr>
          <w:rFonts w:eastAsia="Times New Roman"/>
          <w:color w:val="242929"/>
          <w:szCs w:val="22"/>
          <w:vertAlign w:val="superscript"/>
          <w:lang w:val="fr-FR" w:eastAsia="en-US"/>
        </w:rPr>
        <w:footnoteReference w:id="6"/>
      </w:r>
      <w:r w:rsidRPr="00C207A9">
        <w:rPr>
          <w:rFonts w:eastAsia="Times New Roman"/>
          <w:color w:val="242929"/>
          <w:szCs w:val="22"/>
          <w:lang w:val="fr-FR" w:eastAsia="en-US"/>
        </w:rPr>
        <w:t>, i</w:t>
      </w:r>
      <w:r w:rsidR="00C120D8">
        <w:rPr>
          <w:rFonts w:eastAsia="Times New Roman"/>
          <w:color w:val="242929"/>
          <w:szCs w:val="22"/>
          <w:lang w:val="fr-FR" w:eastAsia="en-US"/>
        </w:rPr>
        <w:t>l est probable qu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C120D8">
        <w:rPr>
          <w:rFonts w:eastAsia="Times New Roman"/>
          <w:color w:val="242929"/>
          <w:szCs w:val="22"/>
          <w:lang w:val="fr-FR" w:eastAsia="en-US"/>
        </w:rPr>
        <w:t>elle continuera à avoir besoin 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C120D8">
        <w:rPr>
          <w:rFonts w:eastAsia="Times New Roman"/>
          <w:color w:val="242929"/>
          <w:szCs w:val="22"/>
          <w:lang w:val="fr-FR" w:eastAsia="en-US"/>
        </w:rPr>
        <w:t>un soutien financi</w:t>
      </w:r>
      <w:r w:rsidR="004C6DDF">
        <w:rPr>
          <w:rFonts w:eastAsia="Times New Roman"/>
          <w:color w:val="242929"/>
          <w:szCs w:val="22"/>
          <w:lang w:val="fr-FR" w:eastAsia="en-US"/>
        </w:rPr>
        <w:t>er.  Le</w:t>
      </w:r>
      <w:r w:rsidR="00C120D8">
        <w:rPr>
          <w:rFonts w:eastAsia="Times New Roman"/>
          <w:color w:val="242929"/>
          <w:szCs w:val="22"/>
          <w:lang w:val="fr-FR" w:eastAsia="en-US"/>
        </w:rPr>
        <w:t xml:space="preserve"> soutien financier fourni par les unions financées par des contributions semble limité dans le temps dans la mesure où elles prévoient un déficit s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C120D8">
        <w:rPr>
          <w:rFonts w:eastAsia="Times New Roman"/>
          <w:color w:val="242929"/>
          <w:szCs w:val="22"/>
          <w:lang w:val="fr-FR" w:eastAsia="en-US"/>
        </w:rPr>
        <w:t xml:space="preserve">élevant à quasiment deux millions de francs suisses et leurs réserves </w:t>
      </w:r>
      <w:r w:rsidR="004956B5">
        <w:rPr>
          <w:rFonts w:eastAsia="Times New Roman"/>
          <w:color w:val="242929"/>
          <w:szCs w:val="22"/>
          <w:lang w:val="fr-FR" w:eastAsia="en-US"/>
        </w:rPr>
        <w:t>ne leur permett</w:t>
      </w:r>
      <w:r w:rsidR="0087742C">
        <w:rPr>
          <w:rFonts w:eastAsia="Times New Roman"/>
          <w:color w:val="242929"/>
          <w:szCs w:val="22"/>
          <w:lang w:val="fr-FR" w:eastAsia="en-US"/>
        </w:rPr>
        <w:t>ro</w:t>
      </w:r>
      <w:r w:rsidR="004956B5">
        <w:rPr>
          <w:rFonts w:eastAsia="Times New Roman"/>
          <w:color w:val="242929"/>
          <w:szCs w:val="22"/>
          <w:lang w:val="fr-FR" w:eastAsia="en-US"/>
        </w:rPr>
        <w:t xml:space="preserve">nt </w:t>
      </w:r>
      <w:r w:rsidR="006B4A2C">
        <w:rPr>
          <w:rFonts w:eastAsia="Times New Roman"/>
          <w:color w:val="242929"/>
          <w:szCs w:val="22"/>
          <w:lang w:val="fr-FR" w:eastAsia="en-US"/>
        </w:rPr>
        <w:t>de financer leurs dépenses par</w:t>
      </w:r>
      <w:r w:rsidR="004956B5">
        <w:rPr>
          <w:rFonts w:eastAsia="Times New Roman"/>
          <w:color w:val="242929"/>
          <w:szCs w:val="22"/>
          <w:lang w:val="fr-FR" w:eastAsia="en-US"/>
        </w:rPr>
        <w:t xml:space="preserve"> un déficit budgétaire que pendant quelques années</w:t>
      </w:r>
      <w:r w:rsidR="006B4A2C" w:rsidRPr="006B4A2C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6B4A2C">
        <w:rPr>
          <w:rFonts w:eastAsia="Times New Roman"/>
          <w:color w:val="242929"/>
          <w:szCs w:val="22"/>
          <w:lang w:val="fr-FR" w:eastAsia="en-US"/>
        </w:rPr>
        <w:t>encore</w:t>
      </w:r>
      <w:r w:rsidR="004956B5">
        <w:rPr>
          <w:rFonts w:eastAsia="Times New Roman"/>
          <w:color w:val="242929"/>
          <w:szCs w:val="22"/>
          <w:lang w:val="fr-FR" w:eastAsia="en-US"/>
        </w:rPr>
        <w:t>.</w:t>
      </w:r>
      <w:r w:rsidR="006B4A2C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6B4A2C">
        <w:rPr>
          <w:rFonts w:eastAsia="Times New Roman"/>
          <w:color w:val="242929"/>
          <w:szCs w:val="22"/>
          <w:lang w:val="fr-FR" w:eastAsia="en-US"/>
        </w:rPr>
        <w:t>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6B4A2C">
        <w:rPr>
          <w:rFonts w:eastAsia="Times New Roman"/>
          <w:color w:val="242929"/>
          <w:szCs w:val="22"/>
          <w:lang w:val="fr-FR" w:eastAsia="en-US"/>
        </w:rPr>
        <w:t xml:space="preserve">Union de </w:t>
      </w:r>
      <w:r w:rsidR="00CD0BCA">
        <w:rPr>
          <w:rFonts w:eastAsia="Times New Roman"/>
          <w:color w:val="242929"/>
          <w:szCs w:val="22"/>
          <w:lang w:val="fr-FR" w:eastAsia="en-US"/>
        </w:rPr>
        <w:t>La Haye</w:t>
      </w:r>
      <w:r w:rsidR="006B4A2C">
        <w:rPr>
          <w:rFonts w:eastAsia="Times New Roman"/>
          <w:color w:val="242929"/>
          <w:szCs w:val="22"/>
          <w:lang w:val="fr-FR" w:eastAsia="en-US"/>
        </w:rPr>
        <w:t xml:space="preserve"> a également enregistré </w:t>
      </w:r>
      <w:r w:rsidR="00FE541B">
        <w:rPr>
          <w:rFonts w:eastAsia="Times New Roman"/>
          <w:color w:val="242929"/>
          <w:szCs w:val="22"/>
          <w:lang w:val="fr-FR" w:eastAsia="en-US"/>
        </w:rPr>
        <w:t>des</w:t>
      </w:r>
      <w:r w:rsidR="006B4A2C">
        <w:rPr>
          <w:rFonts w:eastAsia="Times New Roman"/>
          <w:color w:val="242929"/>
          <w:szCs w:val="22"/>
          <w:lang w:val="fr-FR" w:eastAsia="en-US"/>
        </w:rPr>
        <w:t xml:space="preserve"> déficits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 significatifs</w:t>
      </w:r>
      <w:r w:rsidRPr="00C207A9">
        <w:rPr>
          <w:rFonts w:eastAsia="Times New Roman"/>
          <w:color w:val="242929"/>
          <w:szCs w:val="22"/>
          <w:vertAlign w:val="superscript"/>
          <w:lang w:val="fr-FR" w:eastAsia="en-US"/>
        </w:rPr>
        <w:footnoteReference w:id="7"/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.  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Dès lors, entre la probabilité que les prêts aux unions de Lisbonne et de </w:t>
      </w:r>
      <w:r w:rsidR="00CD0BCA">
        <w:rPr>
          <w:rFonts w:eastAsia="Times New Roman"/>
          <w:color w:val="242929"/>
          <w:szCs w:val="22"/>
          <w:lang w:val="fr-FR" w:eastAsia="en-US"/>
        </w:rPr>
        <w:t>La Haye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 se poursuivent et </w:t>
      </w:r>
      <w:r w:rsidR="0087742C">
        <w:rPr>
          <w:rFonts w:eastAsia="Times New Roman"/>
          <w:color w:val="242929"/>
          <w:szCs w:val="22"/>
          <w:lang w:val="fr-FR" w:eastAsia="en-US"/>
        </w:rPr>
        <w:t xml:space="preserve">que les </w:t>
      </w:r>
      <w:r w:rsidR="00FE541B">
        <w:rPr>
          <w:rFonts w:eastAsia="Times New Roman"/>
          <w:color w:val="242929"/>
          <w:szCs w:val="22"/>
          <w:lang w:val="fr-FR" w:eastAsia="en-US"/>
        </w:rPr>
        <w:t>dépenses des unions financées par des contributions</w:t>
      </w:r>
      <w:r w:rsidR="0087742C" w:rsidRPr="0087742C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87742C">
        <w:rPr>
          <w:rFonts w:eastAsia="Times New Roman"/>
          <w:color w:val="242929"/>
          <w:szCs w:val="22"/>
          <w:lang w:val="fr-FR" w:eastAsia="en-US"/>
        </w:rPr>
        <w:t>continuent 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87742C">
        <w:rPr>
          <w:rFonts w:eastAsia="Times New Roman"/>
          <w:color w:val="242929"/>
          <w:szCs w:val="22"/>
          <w:lang w:val="fr-FR" w:eastAsia="en-US"/>
        </w:rPr>
        <w:t>être financées par un déficit budgétaire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, des fonds supplémentaires devront être trouvés afin </w:t>
      </w:r>
      <w:r w:rsidR="0087742C">
        <w:rPr>
          <w:rFonts w:eastAsia="Times New Roman"/>
          <w:color w:val="242929"/>
          <w:szCs w:val="22"/>
          <w:lang w:val="fr-FR" w:eastAsia="en-US"/>
        </w:rPr>
        <w:t>d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87742C">
        <w:rPr>
          <w:rFonts w:eastAsia="Times New Roman"/>
          <w:color w:val="242929"/>
          <w:szCs w:val="22"/>
          <w:lang w:val="fr-FR" w:eastAsia="en-US"/>
        </w:rPr>
        <w:t>assurer la solvabilité de ces dernières</w:t>
      </w:r>
      <w:r w:rsidR="00FE541B">
        <w:rPr>
          <w:rFonts w:eastAsia="Times New Roman"/>
          <w:color w:val="242929"/>
          <w:szCs w:val="22"/>
          <w:lang w:val="fr-FR" w:eastAsia="en-US"/>
        </w:rPr>
        <w:t>.</w:t>
      </w:r>
    </w:p>
    <w:p w:rsidR="001124D8" w:rsidRPr="00B923FE" w:rsidRDefault="001124D8" w:rsidP="001124D8">
      <w:pPr>
        <w:rPr>
          <w:rFonts w:eastAsia="Times New Roman"/>
          <w:color w:val="242929"/>
          <w:sz w:val="16"/>
          <w:szCs w:val="22"/>
          <w:lang w:val="fr-FR" w:eastAsia="en-US"/>
        </w:rPr>
      </w:pPr>
    </w:p>
    <w:p w:rsidR="001124D8" w:rsidRPr="00C207A9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  <w:r w:rsidRPr="00C207A9">
        <w:rPr>
          <w:rFonts w:eastAsia="Times New Roman"/>
          <w:color w:val="242929"/>
          <w:szCs w:val="22"/>
          <w:lang w:val="fr-FR" w:eastAsia="en-US"/>
        </w:rPr>
        <w:tab/>
      </w:r>
      <w:r w:rsidR="00FE541B">
        <w:rPr>
          <w:rFonts w:eastAsia="Times New Roman"/>
          <w:color w:val="242929"/>
          <w:szCs w:val="22"/>
          <w:lang w:val="fr-FR" w:eastAsia="en-US"/>
        </w:rPr>
        <w:t>Jusqu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FE541B">
        <w:rPr>
          <w:rFonts w:eastAsia="Times New Roman"/>
          <w:color w:val="242929"/>
          <w:szCs w:val="22"/>
          <w:lang w:val="fr-FR" w:eastAsia="en-US"/>
        </w:rPr>
        <w:t>à présent,</w:t>
      </w:r>
      <w:r w:rsidR="00CD0BCA">
        <w:rPr>
          <w:rFonts w:eastAsia="Times New Roman"/>
          <w:color w:val="242929"/>
          <w:szCs w:val="22"/>
          <w:lang w:val="fr-FR" w:eastAsia="en-US"/>
        </w:rPr>
        <w:t xml:space="preserve"> le </w:t>
      </w:r>
      <w:r w:rsidR="00CD0BCA" w:rsidRPr="00C207A9">
        <w:rPr>
          <w:rFonts w:eastAsia="Times New Roman"/>
          <w:color w:val="242929"/>
          <w:szCs w:val="22"/>
          <w:lang w:val="fr-FR" w:eastAsia="en-US"/>
        </w:rPr>
        <w:t>PCT</w:t>
      </w:r>
      <w:r w:rsidRPr="00C207A9">
        <w:rPr>
          <w:rFonts w:eastAsia="Times New Roman"/>
          <w:color w:val="242929"/>
          <w:szCs w:val="22"/>
          <w:lang w:val="fr-FR" w:eastAsia="en-US"/>
        </w:rPr>
        <w:t xml:space="preserve"> </w:t>
      </w:r>
      <w:r w:rsidR="00FE541B">
        <w:rPr>
          <w:rFonts w:eastAsia="Times New Roman"/>
          <w:color w:val="242929"/>
          <w:szCs w:val="22"/>
          <w:lang w:val="fr-FR" w:eastAsia="en-US"/>
        </w:rPr>
        <w:t>a pris en charge une part disproportionnée des dépenses globales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Organi</w:t>
      </w:r>
      <w:r w:rsidR="00FE541B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>ati</w:t>
      </w:r>
      <w:r w:rsidR="004C6DDF" w:rsidRPr="00C207A9">
        <w:rPr>
          <w:rFonts w:eastAsia="Times New Roman"/>
          <w:color w:val="242929"/>
          <w:szCs w:val="22"/>
          <w:lang w:val="fr-FR" w:eastAsia="en-US"/>
        </w:rPr>
        <w:t>on</w:t>
      </w:r>
      <w:r w:rsidR="004C6DDF">
        <w:rPr>
          <w:rFonts w:eastAsia="Times New Roman"/>
          <w:color w:val="242929"/>
          <w:szCs w:val="22"/>
          <w:lang w:val="fr-FR" w:eastAsia="en-US"/>
        </w:rPr>
        <w:t>.  No</w:t>
      </w:r>
      <w:r w:rsidR="00FE541B">
        <w:rPr>
          <w:rFonts w:eastAsia="Times New Roman"/>
          <w:color w:val="242929"/>
          <w:szCs w:val="22"/>
          <w:lang w:val="fr-FR" w:eastAsia="en-US"/>
        </w:rPr>
        <w:t>us estimons que les autres unions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OMPI financées par des taxes, </w:t>
      </w:r>
      <w:r w:rsidR="00CD0BCA">
        <w:rPr>
          <w:rFonts w:eastAsia="Times New Roman"/>
          <w:color w:val="242929"/>
          <w:szCs w:val="22"/>
          <w:lang w:val="fr-FR" w:eastAsia="en-US"/>
        </w:rPr>
        <w:t>y compris</w:t>
      </w:r>
      <w:r w:rsidR="00FE541B">
        <w:rPr>
          <w:rFonts w:eastAsia="Times New Roman"/>
          <w:color w:val="242929"/>
          <w:szCs w:val="22"/>
          <w:lang w:val="fr-FR" w:eastAsia="en-US"/>
        </w:rPr>
        <w:t xml:space="preserve">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="00FE541B">
        <w:rPr>
          <w:rFonts w:eastAsia="Times New Roman"/>
          <w:color w:val="242929"/>
          <w:szCs w:val="22"/>
          <w:lang w:val="fr-FR" w:eastAsia="en-US"/>
        </w:rPr>
        <w:t>Union de Madrid</w:t>
      </w:r>
      <w:r w:rsidR="00F86396">
        <w:rPr>
          <w:rFonts w:eastAsia="Times New Roman"/>
          <w:color w:val="242929"/>
          <w:szCs w:val="22"/>
          <w:lang w:val="fr-FR" w:eastAsia="en-US"/>
        </w:rPr>
        <w:t>, devraient examiner le montant de leurs taxes afin de contribuer de manière responsable à la prospérité financière globale de l</w:t>
      </w:r>
      <w:r w:rsidR="00CD0BCA">
        <w:rPr>
          <w:rFonts w:eastAsia="Times New Roman"/>
          <w:color w:val="242929"/>
          <w:szCs w:val="22"/>
          <w:lang w:val="fr-FR" w:eastAsia="en-US"/>
        </w:rPr>
        <w:t>’</w:t>
      </w:r>
      <w:r w:rsidRPr="00C207A9">
        <w:rPr>
          <w:rFonts w:eastAsia="Times New Roman"/>
          <w:color w:val="242929"/>
          <w:szCs w:val="22"/>
          <w:lang w:val="fr-FR" w:eastAsia="en-US"/>
        </w:rPr>
        <w:t>Organi</w:t>
      </w:r>
      <w:r w:rsidR="00F86396">
        <w:rPr>
          <w:rFonts w:eastAsia="Times New Roman"/>
          <w:color w:val="242929"/>
          <w:szCs w:val="22"/>
          <w:lang w:val="fr-FR" w:eastAsia="en-US"/>
        </w:rPr>
        <w:t>s</w:t>
      </w:r>
      <w:r w:rsidRPr="00C207A9">
        <w:rPr>
          <w:rFonts w:eastAsia="Times New Roman"/>
          <w:color w:val="242929"/>
          <w:szCs w:val="22"/>
          <w:lang w:val="fr-FR" w:eastAsia="en-US"/>
        </w:rPr>
        <w:t>ation.</w:t>
      </w:r>
    </w:p>
    <w:p w:rsidR="001124D8" w:rsidRPr="00080153" w:rsidRDefault="001124D8" w:rsidP="001124D8">
      <w:pPr>
        <w:rPr>
          <w:rFonts w:eastAsia="Times New Roman"/>
          <w:color w:val="242929"/>
          <w:szCs w:val="22"/>
          <w:lang w:val="fr-FR" w:eastAsia="en-US"/>
        </w:rPr>
      </w:pPr>
    </w:p>
    <w:p w:rsidR="00C14049" w:rsidRPr="00080153" w:rsidRDefault="00C14049" w:rsidP="00813B9C">
      <w:pPr>
        <w:rPr>
          <w:rFonts w:eastAsia="Times New Roman"/>
          <w:color w:val="242929"/>
          <w:szCs w:val="22"/>
          <w:lang w:val="fr-FR" w:eastAsia="en-US"/>
        </w:rPr>
      </w:pPr>
    </w:p>
    <w:p w:rsidR="00452204" w:rsidRPr="00080153" w:rsidRDefault="00452204" w:rsidP="00813B9C">
      <w:pPr>
        <w:rPr>
          <w:rFonts w:eastAsia="Times New Roman"/>
          <w:color w:val="242929"/>
          <w:szCs w:val="22"/>
          <w:lang w:val="fr-FR" w:eastAsia="en-US"/>
        </w:rPr>
      </w:pPr>
    </w:p>
    <w:p w:rsidR="006169BC" w:rsidRPr="00C207A9" w:rsidRDefault="006169BC" w:rsidP="006169BC">
      <w:pPr>
        <w:pStyle w:val="Endofdocument-Annex"/>
        <w:rPr>
          <w:lang w:val="fr-FR" w:eastAsia="en-US"/>
        </w:rPr>
      </w:pPr>
      <w:r w:rsidRPr="00C207A9">
        <w:rPr>
          <w:lang w:val="fr-FR" w:eastAsia="en-US"/>
        </w:rPr>
        <w:t>[</w:t>
      </w:r>
      <w:r w:rsidR="00F86396">
        <w:rPr>
          <w:lang w:val="fr-FR" w:eastAsia="en-US"/>
        </w:rPr>
        <w:t>Fin de l</w:t>
      </w:r>
      <w:r w:rsidR="00CD0BCA">
        <w:rPr>
          <w:lang w:val="fr-FR" w:eastAsia="en-US"/>
        </w:rPr>
        <w:t>’</w:t>
      </w:r>
      <w:r w:rsidR="00F86396">
        <w:rPr>
          <w:lang w:val="fr-FR" w:eastAsia="en-US"/>
        </w:rPr>
        <w:t xml:space="preserve">annexe et du </w:t>
      </w:r>
      <w:r w:rsidRPr="00C207A9">
        <w:rPr>
          <w:lang w:val="fr-FR" w:eastAsia="en-US"/>
        </w:rPr>
        <w:t>document]</w:t>
      </w:r>
    </w:p>
    <w:sectPr w:rsidR="006169BC" w:rsidRPr="00C207A9" w:rsidSect="00080153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9A" w:rsidRDefault="0030599A">
      <w:r>
        <w:separator/>
      </w:r>
    </w:p>
  </w:endnote>
  <w:endnote w:type="continuationSeparator" w:id="0">
    <w:p w:rsidR="0030599A" w:rsidRDefault="0030599A" w:rsidP="003B38C1">
      <w:r>
        <w:separator/>
      </w:r>
    </w:p>
    <w:p w:rsidR="0030599A" w:rsidRPr="003B38C1" w:rsidRDefault="003059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0599A" w:rsidRPr="003B38C1" w:rsidRDefault="003059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9A" w:rsidRDefault="0030599A">
      <w:r>
        <w:separator/>
      </w:r>
    </w:p>
  </w:footnote>
  <w:footnote w:type="continuationSeparator" w:id="0">
    <w:p w:rsidR="0030599A" w:rsidRDefault="0030599A" w:rsidP="008B60B2">
      <w:r>
        <w:separator/>
      </w:r>
    </w:p>
    <w:p w:rsidR="0030599A" w:rsidRPr="00ED77FB" w:rsidRDefault="003059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0599A" w:rsidRPr="00ED77FB" w:rsidRDefault="003059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124D8" w:rsidRPr="00A127E1" w:rsidRDefault="001124D8" w:rsidP="001124D8">
      <w:pPr>
        <w:pStyle w:val="FootnoteText"/>
        <w:rPr>
          <w:szCs w:val="18"/>
          <w:lang w:val="fr-FR"/>
        </w:rPr>
      </w:pPr>
      <w:r w:rsidRPr="001124D8">
        <w:rPr>
          <w:rStyle w:val="FootnoteReference"/>
          <w:szCs w:val="18"/>
        </w:rPr>
        <w:footnoteRef/>
      </w:r>
      <w:r w:rsidRPr="00080153">
        <w:rPr>
          <w:szCs w:val="18"/>
          <w:lang w:val="fr-CH"/>
        </w:rPr>
        <w:t xml:space="preserve"> </w:t>
      </w:r>
      <w:r w:rsidRPr="00080153">
        <w:rPr>
          <w:szCs w:val="18"/>
          <w:lang w:val="fr-CH"/>
        </w:rPr>
        <w:tab/>
      </w:r>
      <w:r w:rsidR="00A127E1" w:rsidRPr="00A127E1">
        <w:rPr>
          <w:szCs w:val="18"/>
          <w:lang w:val="fr-FR"/>
        </w:rPr>
        <w:t>Voir l</w:t>
      </w:r>
      <w:r w:rsidR="00896DC4">
        <w:rPr>
          <w:szCs w:val="18"/>
          <w:lang w:val="fr-FR"/>
        </w:rPr>
        <w:t>’</w:t>
      </w:r>
      <w:r w:rsidR="00896DC4" w:rsidRPr="00A127E1">
        <w:rPr>
          <w:szCs w:val="18"/>
          <w:lang w:val="fr-FR"/>
        </w:rPr>
        <w:t>annexe</w:t>
      </w:r>
      <w:r w:rsidR="00896DC4">
        <w:rPr>
          <w:szCs w:val="18"/>
          <w:lang w:val="fr-FR"/>
        </w:rPr>
        <w:t> </w:t>
      </w:r>
      <w:r w:rsidR="00896DC4" w:rsidRPr="00A127E1">
        <w:rPr>
          <w:szCs w:val="18"/>
          <w:lang w:val="fr-FR"/>
        </w:rPr>
        <w:t>I</w:t>
      </w:r>
      <w:r w:rsidRPr="00A127E1">
        <w:rPr>
          <w:szCs w:val="18"/>
          <w:lang w:val="fr-FR"/>
        </w:rPr>
        <w:t xml:space="preserve">V </w:t>
      </w:r>
      <w:r w:rsidR="00A127E1" w:rsidRPr="00A127E1">
        <w:rPr>
          <w:szCs w:val="18"/>
          <w:lang w:val="fr-FR"/>
        </w:rPr>
        <w:t xml:space="preserve">du </w:t>
      </w:r>
      <w:r w:rsidR="00896DC4" w:rsidRPr="00A127E1">
        <w:rPr>
          <w:szCs w:val="18"/>
          <w:lang w:val="fr-FR"/>
        </w:rPr>
        <w:t>document</w:t>
      </w:r>
      <w:r w:rsidR="0011129B">
        <w:rPr>
          <w:szCs w:val="18"/>
          <w:lang w:val="fr-FR"/>
        </w:rPr>
        <w:t> </w:t>
      </w:r>
      <w:r w:rsidR="00896DC4" w:rsidRPr="00A127E1">
        <w:rPr>
          <w:szCs w:val="18"/>
          <w:lang w:val="fr-FR"/>
        </w:rPr>
        <w:t>MM</w:t>
      </w:r>
      <w:r w:rsidRPr="00A127E1">
        <w:rPr>
          <w:szCs w:val="18"/>
          <w:lang w:val="fr-FR"/>
        </w:rPr>
        <w:t>/LD/WG/14/6 (</w:t>
      </w:r>
      <w:r w:rsidR="00A127E1">
        <w:rPr>
          <w:szCs w:val="18"/>
          <w:lang w:val="fr-FR"/>
        </w:rPr>
        <w:t>Résumé présenté par le président</w:t>
      </w:r>
      <w:r w:rsidRPr="00A127E1">
        <w:rPr>
          <w:szCs w:val="18"/>
          <w:lang w:val="fr-FR"/>
        </w:rPr>
        <w:t>).</w:t>
      </w:r>
      <w:bookmarkStart w:id="5" w:name="_GoBack"/>
      <w:bookmarkEnd w:id="5"/>
    </w:p>
  </w:footnote>
  <w:footnote w:id="3">
    <w:p w:rsidR="001124D8" w:rsidRPr="00A127E1" w:rsidRDefault="001124D8" w:rsidP="001124D8">
      <w:pPr>
        <w:pStyle w:val="FootnoteText"/>
        <w:rPr>
          <w:szCs w:val="18"/>
          <w:lang w:val="fr-FR"/>
        </w:rPr>
      </w:pPr>
      <w:r w:rsidRPr="00A127E1">
        <w:rPr>
          <w:rStyle w:val="FootnoteReference"/>
          <w:szCs w:val="18"/>
          <w:lang w:val="fr-FR"/>
        </w:rPr>
        <w:footnoteRef/>
      </w:r>
      <w:r w:rsidRPr="00A127E1">
        <w:rPr>
          <w:szCs w:val="18"/>
          <w:lang w:val="fr-FR"/>
        </w:rPr>
        <w:t xml:space="preserve"> </w:t>
      </w:r>
      <w:r w:rsidRPr="00A127E1">
        <w:rPr>
          <w:szCs w:val="18"/>
          <w:lang w:val="fr-FR"/>
        </w:rPr>
        <w:tab/>
      </w:r>
      <w:r w:rsidR="00AA0C62">
        <w:rPr>
          <w:szCs w:val="18"/>
          <w:lang w:val="fr-FR"/>
        </w:rPr>
        <w:t>Voir le p</w:t>
      </w:r>
      <w:r w:rsidRPr="00A127E1">
        <w:rPr>
          <w:rFonts w:eastAsiaTheme="minorHAnsi"/>
          <w:szCs w:val="18"/>
          <w:lang w:val="fr-FR" w:eastAsia="en-US"/>
        </w:rPr>
        <w:t>aragraph</w:t>
      </w:r>
      <w:r w:rsidR="00AA0C62">
        <w:rPr>
          <w:rFonts w:eastAsiaTheme="minorHAnsi"/>
          <w:szCs w:val="18"/>
          <w:lang w:val="fr-FR" w:eastAsia="en-US"/>
        </w:rPr>
        <w:t>e </w:t>
      </w:r>
      <w:r w:rsidRPr="00A127E1">
        <w:rPr>
          <w:rFonts w:eastAsiaTheme="minorHAnsi"/>
          <w:szCs w:val="18"/>
          <w:lang w:val="fr-FR" w:eastAsia="en-US"/>
        </w:rPr>
        <w:t xml:space="preserve">88 </w:t>
      </w:r>
      <w:r w:rsidR="00AA0C62">
        <w:rPr>
          <w:rFonts w:eastAsiaTheme="minorHAnsi"/>
          <w:szCs w:val="18"/>
          <w:lang w:val="fr-FR" w:eastAsia="en-US"/>
        </w:rPr>
        <w:t>du document </w:t>
      </w:r>
      <w:r w:rsidRPr="00A127E1">
        <w:rPr>
          <w:rFonts w:eastAsiaTheme="minorHAnsi"/>
          <w:szCs w:val="18"/>
          <w:lang w:val="fr-FR" w:eastAsia="en-US"/>
        </w:rPr>
        <w:t>A/57/12 (</w:t>
      </w:r>
      <w:r w:rsidR="00AA0C62">
        <w:rPr>
          <w:rFonts w:eastAsiaTheme="minorHAnsi"/>
          <w:szCs w:val="18"/>
          <w:lang w:val="fr-FR" w:eastAsia="en-US"/>
        </w:rPr>
        <w:t>Rapport général</w:t>
      </w:r>
      <w:r w:rsidRPr="00A127E1">
        <w:rPr>
          <w:rFonts w:eastAsiaTheme="minorHAnsi"/>
          <w:szCs w:val="18"/>
          <w:lang w:val="fr-FR" w:eastAsia="en-US"/>
        </w:rPr>
        <w:t>).</w:t>
      </w:r>
    </w:p>
  </w:footnote>
  <w:footnote w:id="4">
    <w:p w:rsidR="001124D8" w:rsidRPr="00A127E1" w:rsidRDefault="001124D8" w:rsidP="001124D8">
      <w:pPr>
        <w:autoSpaceDE w:val="0"/>
        <w:autoSpaceDN w:val="0"/>
        <w:adjustRightInd w:val="0"/>
        <w:rPr>
          <w:rFonts w:eastAsiaTheme="minorHAnsi"/>
          <w:sz w:val="18"/>
          <w:szCs w:val="18"/>
          <w:lang w:val="fr-FR" w:eastAsia="en-US"/>
        </w:rPr>
      </w:pPr>
      <w:r w:rsidRPr="00A127E1">
        <w:rPr>
          <w:rStyle w:val="FootnoteReference"/>
          <w:sz w:val="18"/>
          <w:szCs w:val="18"/>
          <w:lang w:val="fr-FR"/>
        </w:rPr>
        <w:footnoteRef/>
      </w:r>
      <w:r w:rsidRPr="00A127E1">
        <w:rPr>
          <w:sz w:val="18"/>
          <w:szCs w:val="18"/>
          <w:lang w:val="fr-FR"/>
        </w:rPr>
        <w:t xml:space="preserve"> </w:t>
      </w:r>
      <w:r w:rsidRPr="00A127E1">
        <w:rPr>
          <w:rFonts w:eastAsiaTheme="minorHAnsi"/>
          <w:sz w:val="18"/>
          <w:szCs w:val="18"/>
          <w:lang w:val="fr-FR" w:eastAsia="en-US"/>
        </w:rPr>
        <w:tab/>
        <w:t>Id.</w:t>
      </w:r>
    </w:p>
  </w:footnote>
  <w:footnote w:id="5">
    <w:p w:rsidR="001124D8" w:rsidRPr="00A127E1" w:rsidRDefault="001124D8">
      <w:pPr>
        <w:pStyle w:val="FootnoteText"/>
        <w:rPr>
          <w:lang w:val="fr-FR"/>
        </w:rPr>
      </w:pPr>
      <w:r w:rsidRPr="00A127E1">
        <w:rPr>
          <w:rStyle w:val="FootnoteReference"/>
          <w:lang w:val="fr-FR"/>
        </w:rPr>
        <w:footnoteRef/>
      </w:r>
      <w:r w:rsidRPr="00A127E1">
        <w:rPr>
          <w:lang w:val="fr-FR"/>
        </w:rPr>
        <w:t xml:space="preserve"> </w:t>
      </w:r>
      <w:r w:rsidRPr="00A127E1">
        <w:rPr>
          <w:lang w:val="fr-FR"/>
        </w:rPr>
        <w:tab/>
      </w:r>
      <w:r w:rsidR="003B1F10">
        <w:rPr>
          <w:lang w:val="fr-FR"/>
        </w:rPr>
        <w:t xml:space="preserve">Voir le </w:t>
      </w:r>
      <w:r w:rsidR="00896DC4">
        <w:rPr>
          <w:lang w:val="fr-FR"/>
        </w:rPr>
        <w:t>document</w:t>
      </w:r>
      <w:r w:rsidR="0011129B">
        <w:rPr>
          <w:lang w:val="fr-FR"/>
        </w:rPr>
        <w:t> </w:t>
      </w:r>
      <w:r w:rsidR="00896DC4" w:rsidRPr="00A127E1">
        <w:rPr>
          <w:lang w:val="fr-FR"/>
        </w:rPr>
        <w:t>WO</w:t>
      </w:r>
      <w:r w:rsidRPr="00A127E1">
        <w:rPr>
          <w:lang w:val="fr-FR"/>
        </w:rPr>
        <w:t xml:space="preserve">/PBC/27/8, </w:t>
      </w:r>
      <w:r w:rsidR="00896DC4" w:rsidRPr="00A127E1">
        <w:rPr>
          <w:lang w:val="fr-FR"/>
        </w:rPr>
        <w:t>page</w:t>
      </w:r>
      <w:r w:rsidR="00896DC4">
        <w:rPr>
          <w:lang w:val="fr-FR"/>
        </w:rPr>
        <w:t> </w:t>
      </w:r>
      <w:r w:rsidR="00896DC4" w:rsidRPr="00A127E1">
        <w:rPr>
          <w:lang w:val="fr-FR"/>
        </w:rPr>
        <w:t>2</w:t>
      </w:r>
      <w:r w:rsidR="003B1F10">
        <w:rPr>
          <w:lang w:val="fr-FR"/>
        </w:rPr>
        <w:t>4</w:t>
      </w:r>
      <w:r w:rsidRPr="00A127E1">
        <w:rPr>
          <w:lang w:val="fr-FR"/>
        </w:rPr>
        <w:t xml:space="preserve">6.  </w:t>
      </w:r>
    </w:p>
  </w:footnote>
  <w:footnote w:id="6">
    <w:p w:rsidR="001124D8" w:rsidRPr="00A127E1" w:rsidRDefault="001124D8" w:rsidP="001124D8">
      <w:pPr>
        <w:pStyle w:val="FootnoteText"/>
        <w:rPr>
          <w:lang w:val="fr-FR"/>
        </w:rPr>
      </w:pPr>
      <w:r w:rsidRPr="00A127E1">
        <w:rPr>
          <w:rStyle w:val="FootnoteReference"/>
          <w:lang w:val="fr-FR"/>
        </w:rPr>
        <w:footnoteRef/>
      </w:r>
      <w:r w:rsidRPr="00A127E1">
        <w:rPr>
          <w:lang w:val="fr-FR"/>
        </w:rPr>
        <w:t xml:space="preserve"> </w:t>
      </w:r>
      <w:r w:rsidRPr="00A127E1">
        <w:rPr>
          <w:lang w:val="fr-FR"/>
        </w:rPr>
        <w:tab/>
      </w:r>
      <w:r w:rsidR="00A51760">
        <w:rPr>
          <w:lang w:val="fr-FR"/>
        </w:rPr>
        <w:t>À sa dernière réunion tenue les 11 et 12 juin </w:t>
      </w:r>
      <w:r w:rsidRPr="00A127E1">
        <w:rPr>
          <w:lang w:val="fr-FR"/>
        </w:rPr>
        <w:t xml:space="preserve">2018, </w:t>
      </w:r>
      <w:r w:rsidR="00A51760">
        <w:rPr>
          <w:lang w:val="fr-FR"/>
        </w:rPr>
        <w:t>le Groupe de travail sur le développement du système de Lisbonne a examiné une proposition relative à une réduction de taxes plutôt que d</w:t>
      </w:r>
      <w:r w:rsidR="00896DC4">
        <w:rPr>
          <w:lang w:val="fr-FR"/>
        </w:rPr>
        <w:t>’</w:t>
      </w:r>
      <w:r w:rsidR="00A51760">
        <w:rPr>
          <w:lang w:val="fr-FR"/>
        </w:rPr>
        <w:t>envisager une augmentation des</w:t>
      </w:r>
      <w:r w:rsidR="00C120D8">
        <w:rPr>
          <w:lang w:val="fr-FR"/>
        </w:rPr>
        <w:t xml:space="preserve"> taxes afin de combler </w:t>
      </w:r>
      <w:r w:rsidR="004956B5">
        <w:rPr>
          <w:lang w:val="fr-FR"/>
        </w:rPr>
        <w:t>son</w:t>
      </w:r>
      <w:r w:rsidR="00C120D8">
        <w:rPr>
          <w:lang w:val="fr-FR"/>
        </w:rPr>
        <w:t xml:space="preserve"> déficit</w:t>
      </w:r>
      <w:r w:rsidRPr="00A127E1">
        <w:rPr>
          <w:lang w:val="fr-FR"/>
        </w:rPr>
        <w:t xml:space="preserve"> budg</w:t>
      </w:r>
      <w:r w:rsidR="00C120D8">
        <w:rPr>
          <w:lang w:val="fr-FR"/>
        </w:rPr>
        <w:t>é</w:t>
      </w:r>
      <w:r w:rsidRPr="00A127E1">
        <w:rPr>
          <w:lang w:val="fr-FR"/>
        </w:rPr>
        <w:t>t</w:t>
      </w:r>
      <w:r w:rsidR="00C120D8">
        <w:rPr>
          <w:lang w:val="fr-FR"/>
        </w:rPr>
        <w:t>aire</w:t>
      </w:r>
      <w:r w:rsidRPr="00A127E1">
        <w:rPr>
          <w:lang w:val="fr-FR"/>
        </w:rPr>
        <w:t xml:space="preserve">.  </w:t>
      </w:r>
    </w:p>
  </w:footnote>
  <w:footnote w:id="7">
    <w:p w:rsidR="001124D8" w:rsidRPr="00A127E1" w:rsidRDefault="001124D8" w:rsidP="001124D8">
      <w:pPr>
        <w:pStyle w:val="FootnoteText"/>
        <w:rPr>
          <w:lang w:val="fr-FR"/>
        </w:rPr>
      </w:pPr>
      <w:r w:rsidRPr="00A127E1">
        <w:rPr>
          <w:rStyle w:val="FootnoteReference"/>
          <w:lang w:val="fr-FR"/>
        </w:rPr>
        <w:footnoteRef/>
      </w:r>
      <w:r w:rsidRPr="00A127E1">
        <w:rPr>
          <w:lang w:val="fr-FR"/>
        </w:rPr>
        <w:t xml:space="preserve"> </w:t>
      </w:r>
      <w:r w:rsidRPr="00A127E1">
        <w:rPr>
          <w:lang w:val="fr-FR"/>
        </w:rPr>
        <w:tab/>
      </w:r>
      <w:r w:rsidR="006B4A2C">
        <w:rPr>
          <w:lang w:val="fr-FR"/>
        </w:rPr>
        <w:t xml:space="preserve">Le Groupe de travail sur le développement juridique du système de </w:t>
      </w:r>
      <w:r w:rsidR="00896DC4">
        <w:rPr>
          <w:lang w:val="fr-FR"/>
        </w:rPr>
        <w:t>La Haye</w:t>
      </w:r>
      <w:r w:rsidR="006B4A2C">
        <w:rPr>
          <w:lang w:val="fr-FR"/>
        </w:rPr>
        <w:t xml:space="preserve"> concernant l</w:t>
      </w:r>
      <w:r w:rsidR="00896DC4">
        <w:rPr>
          <w:lang w:val="fr-FR"/>
        </w:rPr>
        <w:t>’</w:t>
      </w:r>
      <w:r w:rsidR="006B4A2C">
        <w:rPr>
          <w:lang w:val="fr-FR"/>
        </w:rPr>
        <w:t>enregistrement international des dessins et modèles industriels e</w:t>
      </w:r>
      <w:r w:rsidR="00B87C59">
        <w:rPr>
          <w:lang w:val="fr-FR"/>
        </w:rPr>
        <w:t xml:space="preserve">nvisagera une augmentation de taxes </w:t>
      </w:r>
      <w:r w:rsidR="006B4A2C">
        <w:rPr>
          <w:lang w:val="fr-FR"/>
        </w:rPr>
        <w:t>à sa prochaine session prévue du 16 au 18 juin </w:t>
      </w:r>
      <w:r w:rsidRPr="00A127E1">
        <w:rPr>
          <w:lang w:val="fr-FR"/>
        </w:rPr>
        <w:t xml:space="preserve">2018. </w:t>
      </w:r>
      <w:r w:rsidR="004A0445"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B1E" w:rsidRPr="00432291" w:rsidRDefault="00AD6C2B" w:rsidP="00452B1E">
    <w:pPr>
      <w:pStyle w:val="Header"/>
      <w:jc w:val="right"/>
      <w:rPr>
        <w:lang w:val="fr-CH"/>
      </w:rPr>
    </w:pPr>
    <w:r>
      <w:rPr>
        <w:lang w:val="fr-CH"/>
      </w:rPr>
      <w:t>MM/LD/WG/16/10</w:t>
    </w:r>
  </w:p>
  <w:p w:rsidR="00452B1E" w:rsidRPr="00432291" w:rsidRDefault="00452B1E" w:rsidP="00452B1E">
    <w:pPr>
      <w:pStyle w:val="Header"/>
      <w:jc w:val="right"/>
      <w:rPr>
        <w:lang w:val="fr-CH"/>
      </w:rPr>
    </w:pPr>
    <w:r w:rsidRPr="00432291">
      <w:rPr>
        <w:lang w:val="fr-CH"/>
      </w:rPr>
      <w:t>Annex</w:t>
    </w:r>
    <w:r w:rsidR="00F86396">
      <w:rPr>
        <w:lang w:val="fr-CH"/>
      </w:rPr>
      <w:t>e</w:t>
    </w:r>
    <w:r w:rsidRPr="00432291">
      <w:rPr>
        <w:lang w:val="fr-CH"/>
      </w:rPr>
      <w:t>, page</w:t>
    </w:r>
    <w:r w:rsidR="0011129B">
      <w:rPr>
        <w:lang w:val="fr-CH"/>
      </w:rPr>
      <w:t> </w:t>
    </w:r>
    <w:r>
      <w:fldChar w:fldCharType="begin"/>
    </w:r>
    <w:r w:rsidRPr="00432291">
      <w:rPr>
        <w:lang w:val="fr-CH"/>
      </w:rPr>
      <w:instrText xml:space="preserve"> PAGE   \* MERGEFORMAT </w:instrText>
    </w:r>
    <w:r>
      <w:fldChar w:fldCharType="separate"/>
    </w:r>
    <w:r w:rsidR="00080153">
      <w:rPr>
        <w:noProof/>
        <w:lang w:val="fr-CH"/>
      </w:rPr>
      <w:t>2</w:t>
    </w:r>
    <w:r>
      <w:rPr>
        <w:noProof/>
      </w:rPr>
      <w:fldChar w:fldCharType="end"/>
    </w:r>
  </w:p>
  <w:p w:rsidR="00452B1E" w:rsidRPr="00432291" w:rsidRDefault="00452B1E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E6" w:rsidRDefault="00871B51" w:rsidP="00A75098">
    <w:pPr>
      <w:pStyle w:val="Header"/>
      <w:jc w:val="right"/>
    </w:pPr>
    <w:r>
      <w:t>MM/LD/WG/16/</w:t>
    </w:r>
    <w:r w:rsidR="001124D8">
      <w:t>10</w:t>
    </w:r>
  </w:p>
  <w:p w:rsidR="000643E6" w:rsidRDefault="000643E6" w:rsidP="00A75098">
    <w:pPr>
      <w:pStyle w:val="Header"/>
      <w:jc w:val="right"/>
    </w:pPr>
    <w:r>
      <w:t>ANNEX</w:t>
    </w:r>
    <w:r w:rsidR="00F86396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592A"/>
    <w:rsid w:val="00020652"/>
    <w:rsid w:val="00043CAA"/>
    <w:rsid w:val="00046F15"/>
    <w:rsid w:val="000643E6"/>
    <w:rsid w:val="00075432"/>
    <w:rsid w:val="00080153"/>
    <w:rsid w:val="000968ED"/>
    <w:rsid w:val="00097252"/>
    <w:rsid w:val="000A2D25"/>
    <w:rsid w:val="000C3895"/>
    <w:rsid w:val="000F1EBB"/>
    <w:rsid w:val="000F5E56"/>
    <w:rsid w:val="0011129B"/>
    <w:rsid w:val="001124D8"/>
    <w:rsid w:val="00117964"/>
    <w:rsid w:val="00133168"/>
    <w:rsid w:val="001362EE"/>
    <w:rsid w:val="001374B2"/>
    <w:rsid w:val="00144C93"/>
    <w:rsid w:val="00145C7B"/>
    <w:rsid w:val="0015155C"/>
    <w:rsid w:val="00155846"/>
    <w:rsid w:val="00180B57"/>
    <w:rsid w:val="001832A6"/>
    <w:rsid w:val="001D5374"/>
    <w:rsid w:val="00215BAC"/>
    <w:rsid w:val="00216AFD"/>
    <w:rsid w:val="00232E14"/>
    <w:rsid w:val="00243B94"/>
    <w:rsid w:val="0024626D"/>
    <w:rsid w:val="0025395E"/>
    <w:rsid w:val="00256646"/>
    <w:rsid w:val="002602E3"/>
    <w:rsid w:val="002634C4"/>
    <w:rsid w:val="0028752D"/>
    <w:rsid w:val="002928D3"/>
    <w:rsid w:val="002945BA"/>
    <w:rsid w:val="002D2D6C"/>
    <w:rsid w:val="002F0F78"/>
    <w:rsid w:val="002F1FE6"/>
    <w:rsid w:val="002F4E68"/>
    <w:rsid w:val="0030599A"/>
    <w:rsid w:val="00306386"/>
    <w:rsid w:val="00312F7F"/>
    <w:rsid w:val="00336964"/>
    <w:rsid w:val="00361450"/>
    <w:rsid w:val="003673CF"/>
    <w:rsid w:val="003705FB"/>
    <w:rsid w:val="003845C1"/>
    <w:rsid w:val="00384602"/>
    <w:rsid w:val="003903E0"/>
    <w:rsid w:val="00397196"/>
    <w:rsid w:val="003A6F89"/>
    <w:rsid w:val="003A7CEE"/>
    <w:rsid w:val="003B1F10"/>
    <w:rsid w:val="003B38C1"/>
    <w:rsid w:val="003C06E1"/>
    <w:rsid w:val="003C5432"/>
    <w:rsid w:val="003C694A"/>
    <w:rsid w:val="003D595D"/>
    <w:rsid w:val="003E2CED"/>
    <w:rsid w:val="003F2ED0"/>
    <w:rsid w:val="00414DE5"/>
    <w:rsid w:val="00423E3E"/>
    <w:rsid w:val="00427AF4"/>
    <w:rsid w:val="00432291"/>
    <w:rsid w:val="00452204"/>
    <w:rsid w:val="00452B1E"/>
    <w:rsid w:val="004647DA"/>
    <w:rsid w:val="00466F19"/>
    <w:rsid w:val="00474062"/>
    <w:rsid w:val="00477D6B"/>
    <w:rsid w:val="004956B5"/>
    <w:rsid w:val="004A0445"/>
    <w:rsid w:val="004C6DDF"/>
    <w:rsid w:val="005019FF"/>
    <w:rsid w:val="00503871"/>
    <w:rsid w:val="005043FE"/>
    <w:rsid w:val="0053057A"/>
    <w:rsid w:val="00536882"/>
    <w:rsid w:val="0054150D"/>
    <w:rsid w:val="00560A29"/>
    <w:rsid w:val="00574923"/>
    <w:rsid w:val="00597066"/>
    <w:rsid w:val="0059708D"/>
    <w:rsid w:val="005A142B"/>
    <w:rsid w:val="005B05D8"/>
    <w:rsid w:val="005B6B85"/>
    <w:rsid w:val="005C1532"/>
    <w:rsid w:val="005C2E38"/>
    <w:rsid w:val="005C306B"/>
    <w:rsid w:val="005C479F"/>
    <w:rsid w:val="005C6649"/>
    <w:rsid w:val="005D09FB"/>
    <w:rsid w:val="005F1C7E"/>
    <w:rsid w:val="005F2005"/>
    <w:rsid w:val="006019E8"/>
    <w:rsid w:val="006041E7"/>
    <w:rsid w:val="00605827"/>
    <w:rsid w:val="006169BC"/>
    <w:rsid w:val="00646050"/>
    <w:rsid w:val="00653500"/>
    <w:rsid w:val="006713CA"/>
    <w:rsid w:val="00676C5C"/>
    <w:rsid w:val="00680093"/>
    <w:rsid w:val="00681884"/>
    <w:rsid w:val="00682871"/>
    <w:rsid w:val="006A21E0"/>
    <w:rsid w:val="006A6546"/>
    <w:rsid w:val="006B4A2C"/>
    <w:rsid w:val="006D1BE3"/>
    <w:rsid w:val="0071158F"/>
    <w:rsid w:val="00735D69"/>
    <w:rsid w:val="00743D2F"/>
    <w:rsid w:val="00754524"/>
    <w:rsid w:val="00795C33"/>
    <w:rsid w:val="007A7D35"/>
    <w:rsid w:val="007B5D69"/>
    <w:rsid w:val="007D1613"/>
    <w:rsid w:val="00813B9C"/>
    <w:rsid w:val="00814A20"/>
    <w:rsid w:val="00815D43"/>
    <w:rsid w:val="0082380A"/>
    <w:rsid w:val="008256E7"/>
    <w:rsid w:val="00830BC6"/>
    <w:rsid w:val="00842850"/>
    <w:rsid w:val="0086299D"/>
    <w:rsid w:val="00871B51"/>
    <w:rsid w:val="0087742C"/>
    <w:rsid w:val="008800CC"/>
    <w:rsid w:val="0089575B"/>
    <w:rsid w:val="00896DC4"/>
    <w:rsid w:val="008A3878"/>
    <w:rsid w:val="008B2CC1"/>
    <w:rsid w:val="008B60B2"/>
    <w:rsid w:val="008F3415"/>
    <w:rsid w:val="008F756E"/>
    <w:rsid w:val="0090731E"/>
    <w:rsid w:val="00916EE2"/>
    <w:rsid w:val="00923A92"/>
    <w:rsid w:val="009248C8"/>
    <w:rsid w:val="00932C36"/>
    <w:rsid w:val="00966A22"/>
    <w:rsid w:val="0096722F"/>
    <w:rsid w:val="00980843"/>
    <w:rsid w:val="00995EE4"/>
    <w:rsid w:val="0099674C"/>
    <w:rsid w:val="009A6E26"/>
    <w:rsid w:val="009B6AAB"/>
    <w:rsid w:val="009E2791"/>
    <w:rsid w:val="009E3F6F"/>
    <w:rsid w:val="009F499F"/>
    <w:rsid w:val="00A127E1"/>
    <w:rsid w:val="00A26DDF"/>
    <w:rsid w:val="00A42DAF"/>
    <w:rsid w:val="00A45BD8"/>
    <w:rsid w:val="00A51760"/>
    <w:rsid w:val="00A6558D"/>
    <w:rsid w:val="00A6673C"/>
    <w:rsid w:val="00A75098"/>
    <w:rsid w:val="00A869B7"/>
    <w:rsid w:val="00A9139E"/>
    <w:rsid w:val="00AA0C62"/>
    <w:rsid w:val="00AC205C"/>
    <w:rsid w:val="00AC54CE"/>
    <w:rsid w:val="00AD5F99"/>
    <w:rsid w:val="00AD6C2B"/>
    <w:rsid w:val="00AF0A6B"/>
    <w:rsid w:val="00AF394F"/>
    <w:rsid w:val="00AF43B9"/>
    <w:rsid w:val="00B004E1"/>
    <w:rsid w:val="00B05A69"/>
    <w:rsid w:val="00B14BC9"/>
    <w:rsid w:val="00B36CFF"/>
    <w:rsid w:val="00B431A3"/>
    <w:rsid w:val="00B70B9F"/>
    <w:rsid w:val="00B7115A"/>
    <w:rsid w:val="00B71C4B"/>
    <w:rsid w:val="00B8384B"/>
    <w:rsid w:val="00B87C59"/>
    <w:rsid w:val="00B923FE"/>
    <w:rsid w:val="00B93CF4"/>
    <w:rsid w:val="00B9734B"/>
    <w:rsid w:val="00BD030E"/>
    <w:rsid w:val="00BE223E"/>
    <w:rsid w:val="00C03030"/>
    <w:rsid w:val="00C03186"/>
    <w:rsid w:val="00C100AA"/>
    <w:rsid w:val="00C11BFE"/>
    <w:rsid w:val="00C120D8"/>
    <w:rsid w:val="00C13DF7"/>
    <w:rsid w:val="00C14049"/>
    <w:rsid w:val="00C207A9"/>
    <w:rsid w:val="00C51317"/>
    <w:rsid w:val="00C6022B"/>
    <w:rsid w:val="00C73AFC"/>
    <w:rsid w:val="00CC0472"/>
    <w:rsid w:val="00CD0BCA"/>
    <w:rsid w:val="00CD788D"/>
    <w:rsid w:val="00CE431A"/>
    <w:rsid w:val="00CE4D7B"/>
    <w:rsid w:val="00CF0D3B"/>
    <w:rsid w:val="00CF5B9A"/>
    <w:rsid w:val="00D177A6"/>
    <w:rsid w:val="00D1792B"/>
    <w:rsid w:val="00D45252"/>
    <w:rsid w:val="00D62433"/>
    <w:rsid w:val="00D64DC8"/>
    <w:rsid w:val="00D71B4D"/>
    <w:rsid w:val="00D85DB6"/>
    <w:rsid w:val="00D93D55"/>
    <w:rsid w:val="00DC0174"/>
    <w:rsid w:val="00DC2080"/>
    <w:rsid w:val="00DC4268"/>
    <w:rsid w:val="00DE21FD"/>
    <w:rsid w:val="00E245CF"/>
    <w:rsid w:val="00E335FE"/>
    <w:rsid w:val="00E5238C"/>
    <w:rsid w:val="00E71A40"/>
    <w:rsid w:val="00E84E33"/>
    <w:rsid w:val="00E86FA5"/>
    <w:rsid w:val="00EB117B"/>
    <w:rsid w:val="00EB2D9E"/>
    <w:rsid w:val="00EC4E49"/>
    <w:rsid w:val="00EC4E95"/>
    <w:rsid w:val="00ED77FB"/>
    <w:rsid w:val="00ED7ED8"/>
    <w:rsid w:val="00EE1CE7"/>
    <w:rsid w:val="00EE45FA"/>
    <w:rsid w:val="00F00BAF"/>
    <w:rsid w:val="00F23F46"/>
    <w:rsid w:val="00F25FAD"/>
    <w:rsid w:val="00F641C2"/>
    <w:rsid w:val="00F64F97"/>
    <w:rsid w:val="00F66152"/>
    <w:rsid w:val="00F86396"/>
    <w:rsid w:val="00FA48D8"/>
    <w:rsid w:val="00FD465D"/>
    <w:rsid w:val="00FE4850"/>
    <w:rsid w:val="00F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  <w:style w:type="character" w:styleId="Hyperlink">
    <w:name w:val="Hyperlink"/>
    <w:basedOn w:val="DefaultParagraphFont"/>
    <w:rsid w:val="004C6D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  <w:style w:type="character" w:styleId="Hyperlink">
    <w:name w:val="Hyperlink"/>
    <w:basedOn w:val="DefaultParagraphFont"/>
    <w:rsid w:val="004C6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4135-8076-4785-A2D9-3130FFF9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885</Words>
  <Characters>4936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27</cp:revision>
  <cp:lastPrinted>2018-06-21T07:07:00Z</cp:lastPrinted>
  <dcterms:created xsi:type="dcterms:W3CDTF">2018-06-25T06:39:00Z</dcterms:created>
  <dcterms:modified xsi:type="dcterms:W3CDTF">2018-06-25T16:58:00Z</dcterms:modified>
</cp:coreProperties>
</file>