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71CDA" w:rsidRPr="00961990" w:rsidTr="00197436">
        <w:tc>
          <w:tcPr>
            <w:tcW w:w="4513" w:type="dxa"/>
            <w:tcBorders>
              <w:bottom w:val="single" w:sz="4" w:space="0" w:color="auto"/>
            </w:tcBorders>
            <w:tcMar>
              <w:bottom w:w="170" w:type="dxa"/>
            </w:tcMar>
          </w:tcPr>
          <w:p w:rsidR="00E71CDA" w:rsidRPr="00961990" w:rsidRDefault="00E71CDA" w:rsidP="006F0AC9">
            <w:pPr>
              <w:rPr>
                <w:lang w:val="fr-FR"/>
              </w:rPr>
            </w:pPr>
          </w:p>
        </w:tc>
        <w:tc>
          <w:tcPr>
            <w:tcW w:w="4337" w:type="dxa"/>
            <w:tcBorders>
              <w:bottom w:val="single" w:sz="4" w:space="0" w:color="auto"/>
            </w:tcBorders>
            <w:tcMar>
              <w:left w:w="0" w:type="dxa"/>
              <w:right w:w="0" w:type="dxa"/>
            </w:tcMar>
          </w:tcPr>
          <w:p w:rsidR="00E71CDA" w:rsidRPr="00961990" w:rsidRDefault="00E71CDA" w:rsidP="006F0AC9">
            <w:pPr>
              <w:rPr>
                <w:lang w:val="fr-FR"/>
              </w:rPr>
            </w:pPr>
            <w:r w:rsidRPr="00961990">
              <w:rPr>
                <w:noProof/>
                <w:lang w:eastAsia="en-US"/>
              </w:rPr>
              <w:drawing>
                <wp:inline distT="0" distB="0" distL="0" distR="0" wp14:anchorId="1E1A6623" wp14:editId="75CD0150">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71CDA" w:rsidRPr="00961990" w:rsidRDefault="00E71CDA" w:rsidP="006F0AC9">
            <w:pPr>
              <w:jc w:val="right"/>
              <w:rPr>
                <w:lang w:val="fr-FR"/>
              </w:rPr>
            </w:pPr>
            <w:r w:rsidRPr="00961990">
              <w:rPr>
                <w:b/>
                <w:sz w:val="40"/>
                <w:szCs w:val="40"/>
                <w:lang w:val="fr-FR"/>
              </w:rPr>
              <w:t>F</w:t>
            </w:r>
          </w:p>
        </w:tc>
      </w:tr>
      <w:tr w:rsidR="00E71CDA" w:rsidRPr="00961990" w:rsidTr="006F0AC9">
        <w:trPr>
          <w:trHeight w:hRule="exact" w:val="340"/>
        </w:trPr>
        <w:tc>
          <w:tcPr>
            <w:tcW w:w="9356" w:type="dxa"/>
            <w:gridSpan w:val="3"/>
            <w:tcBorders>
              <w:top w:val="single" w:sz="4" w:space="0" w:color="auto"/>
            </w:tcBorders>
            <w:tcMar>
              <w:top w:w="170" w:type="dxa"/>
              <w:left w:w="0" w:type="dxa"/>
              <w:right w:w="0" w:type="dxa"/>
            </w:tcMar>
            <w:vAlign w:val="bottom"/>
          </w:tcPr>
          <w:p w:rsidR="00E71CDA" w:rsidRPr="00961990" w:rsidRDefault="00E71CDA" w:rsidP="006F0AC9">
            <w:pPr>
              <w:jc w:val="right"/>
              <w:rPr>
                <w:rFonts w:ascii="Arial Black" w:hAnsi="Arial Black"/>
                <w:caps/>
                <w:sz w:val="15"/>
                <w:lang w:val="fr-FR"/>
              </w:rPr>
            </w:pPr>
            <w:r w:rsidRPr="00961990">
              <w:rPr>
                <w:rFonts w:ascii="Arial Black" w:hAnsi="Arial Black"/>
                <w:caps/>
                <w:sz w:val="15"/>
                <w:lang w:val="fr-FR"/>
              </w:rPr>
              <w:t>MM/LD/WG/14/</w:t>
            </w:r>
            <w:bookmarkStart w:id="0" w:name="Code"/>
            <w:bookmarkEnd w:id="0"/>
            <w:r w:rsidRPr="00961990">
              <w:rPr>
                <w:rFonts w:ascii="Arial Black" w:hAnsi="Arial Black"/>
                <w:caps/>
                <w:sz w:val="15"/>
                <w:lang w:val="fr-FR"/>
              </w:rPr>
              <w:t>4</w:t>
            </w:r>
          </w:p>
        </w:tc>
      </w:tr>
      <w:tr w:rsidR="00E71CDA" w:rsidRPr="00961990" w:rsidTr="006F0AC9">
        <w:trPr>
          <w:trHeight w:hRule="exact" w:val="170"/>
        </w:trPr>
        <w:tc>
          <w:tcPr>
            <w:tcW w:w="9356" w:type="dxa"/>
            <w:gridSpan w:val="3"/>
            <w:noWrap/>
            <w:tcMar>
              <w:left w:w="0" w:type="dxa"/>
              <w:right w:w="0" w:type="dxa"/>
            </w:tcMar>
            <w:vAlign w:val="bottom"/>
          </w:tcPr>
          <w:p w:rsidR="00E71CDA" w:rsidRPr="00961990" w:rsidRDefault="00E71CDA" w:rsidP="006F0AC9">
            <w:pPr>
              <w:jc w:val="right"/>
              <w:rPr>
                <w:rFonts w:ascii="Arial Black" w:hAnsi="Arial Black"/>
                <w:caps/>
                <w:sz w:val="15"/>
                <w:lang w:val="fr-FR"/>
              </w:rPr>
            </w:pPr>
            <w:r w:rsidRPr="00961990">
              <w:rPr>
                <w:rFonts w:ascii="Arial Black" w:hAnsi="Arial Black"/>
                <w:caps/>
                <w:sz w:val="15"/>
                <w:lang w:val="fr-FR"/>
              </w:rPr>
              <w:t>ORIGINAL</w:t>
            </w:r>
            <w:r w:rsidR="00205914" w:rsidRPr="00961990">
              <w:rPr>
                <w:rFonts w:ascii="Arial Black" w:hAnsi="Arial Black"/>
                <w:caps/>
                <w:sz w:val="15"/>
                <w:lang w:val="fr-FR"/>
              </w:rPr>
              <w:t> </w:t>
            </w:r>
            <w:r w:rsidRPr="00961990">
              <w:rPr>
                <w:rFonts w:ascii="Arial Black" w:hAnsi="Arial Black"/>
                <w:caps/>
                <w:sz w:val="15"/>
                <w:lang w:val="fr-FR"/>
              </w:rPr>
              <w:t xml:space="preserve">: </w:t>
            </w:r>
            <w:bookmarkStart w:id="1" w:name="Original"/>
            <w:bookmarkEnd w:id="1"/>
            <w:r w:rsidRPr="00961990">
              <w:rPr>
                <w:rFonts w:ascii="Arial Black" w:hAnsi="Arial Black"/>
                <w:caps/>
                <w:sz w:val="15"/>
                <w:lang w:val="fr-FR"/>
              </w:rPr>
              <w:t>anglais</w:t>
            </w:r>
          </w:p>
        </w:tc>
      </w:tr>
      <w:tr w:rsidR="00E71CDA" w:rsidRPr="00961990" w:rsidTr="006F0AC9">
        <w:trPr>
          <w:trHeight w:hRule="exact" w:val="198"/>
        </w:trPr>
        <w:tc>
          <w:tcPr>
            <w:tcW w:w="9356" w:type="dxa"/>
            <w:gridSpan w:val="3"/>
            <w:tcMar>
              <w:left w:w="0" w:type="dxa"/>
              <w:right w:w="0" w:type="dxa"/>
            </w:tcMar>
            <w:vAlign w:val="bottom"/>
          </w:tcPr>
          <w:p w:rsidR="00E71CDA" w:rsidRPr="00961990" w:rsidRDefault="00E71CDA" w:rsidP="006F0AC9">
            <w:pPr>
              <w:jc w:val="right"/>
              <w:rPr>
                <w:rFonts w:ascii="Arial Black" w:hAnsi="Arial Black"/>
                <w:caps/>
                <w:sz w:val="15"/>
                <w:lang w:val="fr-FR"/>
              </w:rPr>
            </w:pPr>
            <w:r w:rsidRPr="00961990">
              <w:rPr>
                <w:rFonts w:ascii="Arial Black" w:hAnsi="Arial Black"/>
                <w:caps/>
                <w:sz w:val="15"/>
                <w:lang w:val="fr-FR"/>
              </w:rPr>
              <w:t>DATE</w:t>
            </w:r>
            <w:r w:rsidR="00205914" w:rsidRPr="00961990">
              <w:rPr>
                <w:rFonts w:ascii="Arial Black" w:hAnsi="Arial Black"/>
                <w:caps/>
                <w:sz w:val="15"/>
                <w:lang w:val="fr-FR"/>
              </w:rPr>
              <w:t> </w:t>
            </w:r>
            <w:r w:rsidRPr="00961990">
              <w:rPr>
                <w:rFonts w:ascii="Arial Black" w:hAnsi="Arial Black"/>
                <w:caps/>
                <w:sz w:val="15"/>
                <w:lang w:val="fr-FR"/>
              </w:rPr>
              <w:t xml:space="preserve">: </w:t>
            </w:r>
            <w:bookmarkStart w:id="2" w:name="Date"/>
            <w:bookmarkEnd w:id="2"/>
            <w:r w:rsidRPr="00961990">
              <w:rPr>
                <w:rFonts w:ascii="Arial Black" w:hAnsi="Arial Black"/>
                <w:caps/>
                <w:sz w:val="15"/>
                <w:lang w:val="fr-FR"/>
              </w:rPr>
              <w:t>27 avril 2016</w:t>
            </w:r>
          </w:p>
        </w:tc>
      </w:tr>
    </w:tbl>
    <w:p w:rsidR="00E71CDA" w:rsidRPr="00961990" w:rsidRDefault="00E71CDA" w:rsidP="00E71CDA">
      <w:pPr>
        <w:rPr>
          <w:lang w:val="fr-FR"/>
        </w:rPr>
      </w:pPr>
    </w:p>
    <w:p w:rsidR="00E71CDA" w:rsidRPr="00961990" w:rsidRDefault="00E71CDA" w:rsidP="00E71CDA">
      <w:pPr>
        <w:rPr>
          <w:lang w:val="fr-FR"/>
        </w:rPr>
      </w:pPr>
    </w:p>
    <w:p w:rsidR="00E71CDA" w:rsidRPr="00961990" w:rsidRDefault="00E71CDA" w:rsidP="00E71CDA">
      <w:pPr>
        <w:rPr>
          <w:lang w:val="fr-FR"/>
        </w:rPr>
      </w:pPr>
    </w:p>
    <w:p w:rsidR="00E71CDA" w:rsidRPr="00961990" w:rsidRDefault="00E71CDA" w:rsidP="00E71CDA">
      <w:pPr>
        <w:rPr>
          <w:lang w:val="fr-FR"/>
        </w:rPr>
      </w:pPr>
    </w:p>
    <w:p w:rsidR="00E71CDA" w:rsidRPr="00961990" w:rsidRDefault="00E71CDA" w:rsidP="00E71CDA">
      <w:pPr>
        <w:rPr>
          <w:lang w:val="fr-FR"/>
        </w:rPr>
      </w:pPr>
    </w:p>
    <w:p w:rsidR="00E71CDA" w:rsidRPr="00961990" w:rsidRDefault="00E71CDA" w:rsidP="00E71CDA">
      <w:pPr>
        <w:rPr>
          <w:b/>
          <w:sz w:val="28"/>
          <w:szCs w:val="28"/>
          <w:lang w:val="fr-FR"/>
        </w:rPr>
      </w:pPr>
      <w:r w:rsidRPr="00961990">
        <w:rPr>
          <w:b/>
          <w:sz w:val="28"/>
          <w:szCs w:val="28"/>
          <w:lang w:val="fr-FR"/>
        </w:rPr>
        <w:t>Groupe de travail sur le développement juridique du système de Madrid concernant l</w:t>
      </w:r>
      <w:r w:rsidR="00197436" w:rsidRPr="00961990">
        <w:rPr>
          <w:b/>
          <w:sz w:val="28"/>
          <w:szCs w:val="28"/>
          <w:lang w:val="fr-FR"/>
        </w:rPr>
        <w:t>’</w:t>
      </w:r>
      <w:r w:rsidRPr="00961990">
        <w:rPr>
          <w:b/>
          <w:sz w:val="28"/>
          <w:szCs w:val="28"/>
          <w:lang w:val="fr-FR"/>
        </w:rPr>
        <w:t>enregistrement international des marques</w:t>
      </w:r>
    </w:p>
    <w:p w:rsidR="00E71CDA" w:rsidRPr="00961990" w:rsidRDefault="00E71CDA" w:rsidP="00E71CDA">
      <w:pPr>
        <w:rPr>
          <w:lang w:val="fr-FR"/>
        </w:rPr>
      </w:pPr>
    </w:p>
    <w:p w:rsidR="00E71CDA" w:rsidRPr="00961990" w:rsidRDefault="00E71CDA" w:rsidP="00E71CDA">
      <w:pPr>
        <w:rPr>
          <w:lang w:val="fr-FR"/>
        </w:rPr>
      </w:pPr>
    </w:p>
    <w:p w:rsidR="00E71CDA" w:rsidRPr="00961990" w:rsidRDefault="00E71CDA" w:rsidP="00E71CDA">
      <w:pPr>
        <w:rPr>
          <w:b/>
          <w:sz w:val="24"/>
          <w:szCs w:val="24"/>
          <w:lang w:val="fr-FR"/>
        </w:rPr>
      </w:pPr>
      <w:r w:rsidRPr="00961990">
        <w:rPr>
          <w:b/>
          <w:sz w:val="24"/>
          <w:szCs w:val="24"/>
          <w:lang w:val="fr-FR"/>
        </w:rPr>
        <w:t>Quatorzième</w:t>
      </w:r>
      <w:r w:rsidR="00205914" w:rsidRPr="00961990">
        <w:rPr>
          <w:b/>
          <w:sz w:val="24"/>
          <w:szCs w:val="24"/>
          <w:lang w:val="fr-FR"/>
        </w:rPr>
        <w:t> </w:t>
      </w:r>
      <w:r w:rsidRPr="00961990">
        <w:rPr>
          <w:b/>
          <w:sz w:val="24"/>
          <w:szCs w:val="24"/>
          <w:lang w:val="fr-FR"/>
        </w:rPr>
        <w:t>session</w:t>
      </w:r>
    </w:p>
    <w:p w:rsidR="00E71CDA" w:rsidRPr="00961990" w:rsidRDefault="00E71CDA" w:rsidP="00E71CDA">
      <w:pPr>
        <w:rPr>
          <w:b/>
          <w:sz w:val="24"/>
          <w:szCs w:val="24"/>
          <w:lang w:val="fr-FR"/>
        </w:rPr>
      </w:pPr>
      <w:r w:rsidRPr="00961990">
        <w:rPr>
          <w:b/>
          <w:sz w:val="24"/>
          <w:szCs w:val="24"/>
          <w:lang w:val="fr-FR"/>
        </w:rPr>
        <w:t>Genève, 13 – 1</w:t>
      </w:r>
      <w:r w:rsidR="00197436" w:rsidRPr="00961990">
        <w:rPr>
          <w:b/>
          <w:sz w:val="24"/>
          <w:szCs w:val="24"/>
          <w:lang w:val="fr-FR"/>
        </w:rPr>
        <w:t>7 juin 20</w:t>
      </w:r>
      <w:r w:rsidRPr="00961990">
        <w:rPr>
          <w:b/>
          <w:sz w:val="24"/>
          <w:szCs w:val="24"/>
          <w:lang w:val="fr-FR"/>
        </w:rPr>
        <w:t>16</w:t>
      </w:r>
    </w:p>
    <w:p w:rsidR="00E71CDA" w:rsidRPr="00961990" w:rsidRDefault="00E71CDA" w:rsidP="00E71CDA">
      <w:pPr>
        <w:rPr>
          <w:lang w:val="fr-FR"/>
        </w:rPr>
      </w:pPr>
    </w:p>
    <w:p w:rsidR="00E71CDA" w:rsidRPr="00961990" w:rsidRDefault="00E71CDA" w:rsidP="00E71CDA">
      <w:pPr>
        <w:rPr>
          <w:lang w:val="fr-FR"/>
        </w:rPr>
      </w:pPr>
    </w:p>
    <w:p w:rsidR="00E71CDA" w:rsidRPr="00961990" w:rsidRDefault="00E71CDA" w:rsidP="00E71CDA">
      <w:pPr>
        <w:rPr>
          <w:lang w:val="fr-FR"/>
        </w:rPr>
      </w:pPr>
    </w:p>
    <w:p w:rsidR="00DB113E" w:rsidRPr="00961990" w:rsidRDefault="00A174CB" w:rsidP="00855CBF">
      <w:pPr>
        <w:rPr>
          <w:caps/>
          <w:sz w:val="24"/>
          <w:lang w:val="fr-FR"/>
        </w:rPr>
      </w:pPr>
      <w:r w:rsidRPr="00961990">
        <w:rPr>
          <w:caps/>
          <w:sz w:val="24"/>
          <w:lang w:val="fr-FR"/>
        </w:rPr>
        <w:t>D</w:t>
      </w:r>
      <w:r w:rsidR="00AA1806" w:rsidRPr="00961990">
        <w:rPr>
          <w:caps/>
          <w:sz w:val="24"/>
          <w:lang w:val="fr-FR"/>
        </w:rPr>
        <w:t>é</w:t>
      </w:r>
      <w:r w:rsidRPr="00961990">
        <w:rPr>
          <w:caps/>
          <w:sz w:val="24"/>
          <w:lang w:val="fr-FR"/>
        </w:rPr>
        <w:t>veloppement futur du syst</w:t>
      </w:r>
      <w:r w:rsidR="00AA1806" w:rsidRPr="00961990">
        <w:rPr>
          <w:caps/>
          <w:sz w:val="24"/>
          <w:lang w:val="fr-FR"/>
        </w:rPr>
        <w:t>è</w:t>
      </w:r>
      <w:r w:rsidRPr="00961990">
        <w:rPr>
          <w:caps/>
          <w:sz w:val="24"/>
          <w:lang w:val="fr-FR"/>
        </w:rPr>
        <w:t>me de Madrid concernant l</w:t>
      </w:r>
      <w:r w:rsidR="00197436" w:rsidRPr="00961990">
        <w:rPr>
          <w:caps/>
          <w:sz w:val="24"/>
          <w:lang w:val="fr-FR"/>
        </w:rPr>
        <w:t>’</w:t>
      </w:r>
      <w:r w:rsidRPr="00961990">
        <w:rPr>
          <w:caps/>
          <w:sz w:val="24"/>
          <w:lang w:val="fr-FR"/>
        </w:rPr>
        <w:t>enregistrement international des marques</w:t>
      </w:r>
    </w:p>
    <w:p w:rsidR="00DB113E" w:rsidRPr="00961990" w:rsidRDefault="00DB113E" w:rsidP="00855CBF">
      <w:pPr>
        <w:rPr>
          <w:lang w:val="fr-FR"/>
        </w:rPr>
      </w:pPr>
    </w:p>
    <w:p w:rsidR="00DB113E" w:rsidRPr="00961990" w:rsidRDefault="00DC4526" w:rsidP="00855CBF">
      <w:pPr>
        <w:rPr>
          <w:i/>
          <w:lang w:val="fr-FR"/>
        </w:rPr>
      </w:pPr>
      <w:bookmarkStart w:id="3" w:name="Prepared"/>
      <w:bookmarkEnd w:id="3"/>
      <w:r w:rsidRPr="00961990">
        <w:rPr>
          <w:i/>
          <w:lang w:val="fr-FR"/>
        </w:rPr>
        <w:t xml:space="preserve">Document </w:t>
      </w:r>
      <w:r w:rsidR="00A174CB" w:rsidRPr="00961990">
        <w:rPr>
          <w:i/>
          <w:lang w:val="fr-FR"/>
        </w:rPr>
        <w:t>établi par le Bureau international</w:t>
      </w:r>
    </w:p>
    <w:p w:rsidR="00DB113E" w:rsidRPr="00961990" w:rsidRDefault="00DB113E" w:rsidP="00855CBF">
      <w:pPr>
        <w:rPr>
          <w:lang w:val="fr-FR"/>
        </w:rPr>
      </w:pPr>
    </w:p>
    <w:p w:rsidR="00DB113E" w:rsidRPr="00961990" w:rsidRDefault="00DB113E" w:rsidP="00855CBF">
      <w:pPr>
        <w:rPr>
          <w:lang w:val="fr-FR"/>
        </w:rPr>
      </w:pPr>
    </w:p>
    <w:p w:rsidR="00DB113E" w:rsidRPr="00961990" w:rsidRDefault="00DB113E" w:rsidP="00855CBF">
      <w:pPr>
        <w:rPr>
          <w:lang w:val="fr-FR"/>
        </w:rPr>
      </w:pPr>
    </w:p>
    <w:p w:rsidR="00DB113E" w:rsidRPr="00961990" w:rsidRDefault="00CC6FBC" w:rsidP="00855CBF">
      <w:pPr>
        <w:pStyle w:val="Heading1"/>
        <w:rPr>
          <w:lang w:val="fr-FR"/>
        </w:rPr>
      </w:pPr>
      <w:r w:rsidRPr="00961990">
        <w:rPr>
          <w:lang w:val="fr-FR"/>
        </w:rPr>
        <w:t>I.</w:t>
      </w:r>
      <w:r w:rsidRPr="00961990">
        <w:rPr>
          <w:lang w:val="fr-FR"/>
        </w:rPr>
        <w:tab/>
        <w:t>Introduction</w:t>
      </w:r>
    </w:p>
    <w:p w:rsidR="00DB113E" w:rsidRPr="00961990" w:rsidRDefault="00DB113E" w:rsidP="00855CBF">
      <w:pPr>
        <w:rPr>
          <w:lang w:val="fr-FR"/>
        </w:rPr>
      </w:pPr>
    </w:p>
    <w:p w:rsidR="00197436" w:rsidRPr="00961990" w:rsidRDefault="008641D7" w:rsidP="00044E59">
      <w:pPr>
        <w:pStyle w:val="ONUMFS"/>
        <w:spacing w:after="0"/>
        <w:rPr>
          <w:lang w:val="fr-FR"/>
        </w:rPr>
      </w:pPr>
      <w:r w:rsidRPr="00961990">
        <w:rPr>
          <w:lang w:val="fr-FR"/>
        </w:rPr>
        <w:t>À sa trei</w:t>
      </w:r>
      <w:r w:rsidRPr="00961990">
        <w:rPr>
          <w:lang w:val="fr-FR"/>
        </w:rPr>
        <w:t>zième session, le Groupe de travail sur le développement juridique du système de Madrid concernant l</w:t>
      </w:r>
      <w:r w:rsidR="00197436" w:rsidRPr="00961990">
        <w:rPr>
          <w:lang w:val="fr-FR"/>
        </w:rPr>
        <w:t>’</w:t>
      </w:r>
      <w:r w:rsidRPr="00961990">
        <w:rPr>
          <w:lang w:val="fr-FR"/>
        </w:rPr>
        <w:t>enregistrement international des marques (ci</w:t>
      </w:r>
      <w:r w:rsidR="00CC6FBC" w:rsidRPr="00961990">
        <w:rPr>
          <w:lang w:val="fr-FR"/>
        </w:rPr>
        <w:noBreakHyphen/>
      </w:r>
      <w:r w:rsidRPr="00961990">
        <w:rPr>
          <w:lang w:val="fr-FR"/>
        </w:rPr>
        <w:t xml:space="preserve">après dénommé “groupe de travail”) a demandé au Bureau international de </w:t>
      </w:r>
      <w:r w:rsidR="00071A96">
        <w:rPr>
          <w:lang w:val="fr-FR"/>
        </w:rPr>
        <w:t>préparer</w:t>
      </w:r>
      <w:r w:rsidRPr="00961990">
        <w:rPr>
          <w:lang w:val="fr-FR"/>
        </w:rPr>
        <w:t xml:space="preserve"> un document contenant des propositions destinées à faire évoluer le système de Madrid pour qu</w:t>
      </w:r>
      <w:r w:rsidR="00197436" w:rsidRPr="00961990">
        <w:rPr>
          <w:lang w:val="fr-FR"/>
        </w:rPr>
        <w:t>’</w:t>
      </w:r>
      <w:r w:rsidRPr="00961990">
        <w:rPr>
          <w:lang w:val="fr-FR"/>
        </w:rPr>
        <w:t>il réponde aux besoins de tous ses membres et à renforcer sa souplesse et son efficacité, sans toutefois remettre en cause ses principes fondamentaux</w:t>
      </w:r>
      <w:r w:rsidR="00DC4526" w:rsidRPr="00961990">
        <w:rPr>
          <w:lang w:val="fr-FR"/>
        </w:rPr>
        <w:t>.</w:t>
      </w:r>
    </w:p>
    <w:p w:rsidR="00DB113E" w:rsidRPr="00961990" w:rsidRDefault="00CC6FBC" w:rsidP="00855CBF">
      <w:pPr>
        <w:pStyle w:val="Heading2"/>
        <w:rPr>
          <w:lang w:val="fr-FR"/>
        </w:rPr>
      </w:pPr>
      <w:r w:rsidRPr="00961990">
        <w:rPr>
          <w:lang w:val="fr-FR"/>
        </w:rPr>
        <w:t>Le système de Madrid : objectif et avantages</w:t>
      </w:r>
    </w:p>
    <w:p w:rsidR="00CC6FBC" w:rsidRPr="00961990" w:rsidRDefault="00CC6FBC" w:rsidP="00855CBF">
      <w:pPr>
        <w:rPr>
          <w:lang w:val="fr-FR"/>
        </w:rPr>
      </w:pPr>
    </w:p>
    <w:p w:rsidR="00197436" w:rsidRPr="00961990" w:rsidRDefault="008641D7" w:rsidP="00855CBF">
      <w:pPr>
        <w:pStyle w:val="ONUMFS"/>
        <w:rPr>
          <w:lang w:val="fr-FR"/>
        </w:rPr>
      </w:pPr>
      <w:r w:rsidRPr="00961990">
        <w:rPr>
          <w:lang w:val="fr-FR"/>
        </w:rPr>
        <w:t xml:space="preserve">Le système de </w:t>
      </w:r>
      <w:r w:rsidR="00DC4526" w:rsidRPr="00961990">
        <w:rPr>
          <w:lang w:val="fr-FR"/>
        </w:rPr>
        <w:t xml:space="preserve">Madrid </w:t>
      </w:r>
      <w:r w:rsidR="002E7336" w:rsidRPr="00961990">
        <w:rPr>
          <w:lang w:val="fr-FR"/>
        </w:rPr>
        <w:t>a célébré 125 ans d</w:t>
      </w:r>
      <w:r w:rsidR="00197436" w:rsidRPr="00961990">
        <w:rPr>
          <w:lang w:val="fr-FR"/>
        </w:rPr>
        <w:t>’</w:t>
      </w:r>
      <w:r w:rsidR="002E7336" w:rsidRPr="00961990">
        <w:rPr>
          <w:lang w:val="fr-FR"/>
        </w:rPr>
        <w:t>existence en avril </w:t>
      </w:r>
      <w:r w:rsidR="00DC4526" w:rsidRPr="00961990">
        <w:rPr>
          <w:lang w:val="fr-FR"/>
        </w:rPr>
        <w:t xml:space="preserve">2016.  </w:t>
      </w:r>
      <w:r w:rsidR="002E7336" w:rsidRPr="00961990">
        <w:rPr>
          <w:lang w:val="fr-FR"/>
        </w:rPr>
        <w:t xml:space="preserve">Son objectif est de mettre en place un mécanisme </w:t>
      </w:r>
      <w:r w:rsidR="00E4132D" w:rsidRPr="00961990">
        <w:rPr>
          <w:lang w:val="fr-FR"/>
        </w:rPr>
        <w:t>grâce auquel la protection d</w:t>
      </w:r>
      <w:r w:rsidR="00197436" w:rsidRPr="00961990">
        <w:rPr>
          <w:lang w:val="fr-FR"/>
        </w:rPr>
        <w:t>’</w:t>
      </w:r>
      <w:r w:rsidR="002E7336" w:rsidRPr="00961990">
        <w:rPr>
          <w:lang w:val="fr-FR"/>
        </w:rPr>
        <w:t xml:space="preserve">une </w:t>
      </w:r>
      <w:r w:rsidR="002E7336" w:rsidRPr="00961990">
        <w:rPr>
          <w:lang w:val="fr-FR"/>
        </w:rPr>
        <w:t xml:space="preserve">marque </w:t>
      </w:r>
      <w:r w:rsidR="005865B3">
        <w:rPr>
          <w:lang w:val="fr-FR"/>
        </w:rPr>
        <w:t>originaire d’</w:t>
      </w:r>
      <w:r w:rsidR="00C165B6" w:rsidRPr="00961990">
        <w:rPr>
          <w:lang w:val="fr-FR"/>
        </w:rPr>
        <w:t>une</w:t>
      </w:r>
      <w:r w:rsidR="0008595E" w:rsidRPr="00961990">
        <w:rPr>
          <w:lang w:val="fr-FR"/>
        </w:rPr>
        <w:t xml:space="preserve"> </w:t>
      </w:r>
      <w:r w:rsidR="00E4132D" w:rsidRPr="00961990">
        <w:rPr>
          <w:lang w:val="fr-FR"/>
        </w:rPr>
        <w:t xml:space="preserve">partie contractante peut être </w:t>
      </w:r>
      <w:r w:rsidR="00C165B6" w:rsidRPr="00961990">
        <w:rPr>
          <w:lang w:val="fr-FR"/>
        </w:rPr>
        <w:t xml:space="preserve">également obtenue </w:t>
      </w:r>
      <w:r w:rsidR="00E4132D" w:rsidRPr="00961990">
        <w:rPr>
          <w:lang w:val="fr-FR"/>
        </w:rPr>
        <w:t>dans toutes les autres parties contractantes au moyen d</w:t>
      </w:r>
      <w:r w:rsidR="00197436" w:rsidRPr="00961990">
        <w:rPr>
          <w:lang w:val="fr-FR"/>
        </w:rPr>
        <w:t>’</w:t>
      </w:r>
      <w:r w:rsidR="00E4132D" w:rsidRPr="00961990">
        <w:rPr>
          <w:lang w:val="fr-FR"/>
        </w:rPr>
        <w:t>un enregistrement international</w:t>
      </w:r>
      <w:r w:rsidR="008B45F6" w:rsidRPr="00961990">
        <w:rPr>
          <w:lang w:val="fr-FR"/>
        </w:rPr>
        <w:t xml:space="preserve"> unique</w:t>
      </w:r>
      <w:r w:rsidR="00DC4526" w:rsidRPr="00961990">
        <w:rPr>
          <w:lang w:val="fr-FR"/>
        </w:rPr>
        <w:t>.</w:t>
      </w:r>
    </w:p>
    <w:p w:rsidR="00197436" w:rsidRPr="00961990" w:rsidRDefault="008B45F6" w:rsidP="00855CBF">
      <w:pPr>
        <w:pStyle w:val="ONUMFS"/>
        <w:rPr>
          <w:lang w:val="fr-FR"/>
        </w:rPr>
      </w:pPr>
      <w:r w:rsidRPr="00961990">
        <w:rPr>
          <w:lang w:val="fr-FR"/>
        </w:rPr>
        <w:t xml:space="preserve">Le système de </w:t>
      </w:r>
      <w:r w:rsidR="00DC4526" w:rsidRPr="00961990">
        <w:rPr>
          <w:lang w:val="fr-FR"/>
        </w:rPr>
        <w:t xml:space="preserve">Madrid </w:t>
      </w:r>
      <w:r w:rsidRPr="00961990">
        <w:rPr>
          <w:lang w:val="fr-FR"/>
        </w:rPr>
        <w:t>offre aux déposants et aux titulaires les principaux avantages suivants :</w:t>
      </w:r>
    </w:p>
    <w:p w:rsidR="00DB113E" w:rsidRPr="00961990" w:rsidRDefault="008B45F6" w:rsidP="00855CBF">
      <w:pPr>
        <w:pStyle w:val="ONUMFS"/>
        <w:numPr>
          <w:ilvl w:val="2"/>
          <w:numId w:val="6"/>
        </w:numPr>
        <w:tabs>
          <w:tab w:val="clear" w:pos="1701"/>
          <w:tab w:val="num" w:pos="1134"/>
        </w:tabs>
        <w:ind w:left="567"/>
        <w:rPr>
          <w:lang w:val="fr-FR"/>
        </w:rPr>
      </w:pPr>
      <w:r w:rsidRPr="00961990">
        <w:rPr>
          <w:lang w:val="fr-FR"/>
        </w:rPr>
        <w:t xml:space="preserve">dépôt </w:t>
      </w:r>
      <w:r w:rsidR="00DC4526" w:rsidRPr="00961990">
        <w:rPr>
          <w:lang w:val="fr-FR"/>
        </w:rPr>
        <w:t>centrali</w:t>
      </w:r>
      <w:r w:rsidRPr="00961990">
        <w:rPr>
          <w:lang w:val="fr-FR"/>
        </w:rPr>
        <w:t xml:space="preserve">sé : en déposant une seule </w:t>
      </w:r>
      <w:r w:rsidR="0008595E" w:rsidRPr="00961990">
        <w:rPr>
          <w:lang w:val="fr-FR"/>
        </w:rPr>
        <w:t>demande internationale auprès d</w:t>
      </w:r>
      <w:r w:rsidR="00197436" w:rsidRPr="00961990">
        <w:rPr>
          <w:lang w:val="fr-FR"/>
        </w:rPr>
        <w:t>’</w:t>
      </w:r>
      <w:r w:rsidR="0008595E" w:rsidRPr="00961990">
        <w:rPr>
          <w:lang w:val="fr-FR"/>
        </w:rPr>
        <w:t>un seul office (l</w:t>
      </w:r>
      <w:r w:rsidR="00197436" w:rsidRPr="00961990">
        <w:rPr>
          <w:lang w:val="fr-FR"/>
        </w:rPr>
        <w:t>’</w:t>
      </w:r>
      <w:r w:rsidR="0008595E" w:rsidRPr="00961990">
        <w:rPr>
          <w:lang w:val="fr-FR"/>
        </w:rPr>
        <w:t>office d</w:t>
      </w:r>
      <w:r w:rsidR="00197436" w:rsidRPr="00961990">
        <w:rPr>
          <w:lang w:val="fr-FR"/>
        </w:rPr>
        <w:t>’</w:t>
      </w:r>
      <w:r w:rsidR="0008595E" w:rsidRPr="00961990">
        <w:rPr>
          <w:lang w:val="fr-FR"/>
        </w:rPr>
        <w:t>origine)</w:t>
      </w:r>
      <w:r w:rsidR="00DC4526" w:rsidRPr="00961990">
        <w:rPr>
          <w:lang w:val="fr-FR"/>
        </w:rPr>
        <w:t xml:space="preserve">, </w:t>
      </w:r>
      <w:r w:rsidR="0008595E" w:rsidRPr="00961990">
        <w:rPr>
          <w:lang w:val="fr-FR"/>
        </w:rPr>
        <w:t>dans une seule langue et en pay</w:t>
      </w:r>
      <w:r w:rsidR="00DA04CE" w:rsidRPr="00961990">
        <w:rPr>
          <w:lang w:val="fr-FR"/>
        </w:rPr>
        <w:t xml:space="preserve">ant des </w:t>
      </w:r>
      <w:r w:rsidR="00A30F7A">
        <w:rPr>
          <w:lang w:val="fr-FR"/>
        </w:rPr>
        <w:t xml:space="preserve">émoluments et </w:t>
      </w:r>
      <w:r w:rsidR="00DA04CE" w:rsidRPr="00961990">
        <w:rPr>
          <w:lang w:val="fr-FR"/>
        </w:rPr>
        <w:t xml:space="preserve">taxes </w:t>
      </w:r>
      <w:r w:rsidR="00DA04CE" w:rsidRPr="00961990">
        <w:rPr>
          <w:lang w:val="fr-FR"/>
        </w:rPr>
        <w:lastRenderedPageBreak/>
        <w:t xml:space="preserve">dans une seule monnaie, les déposants peuvent obtenir une </w:t>
      </w:r>
      <w:r w:rsidR="00DC4526" w:rsidRPr="00961990">
        <w:rPr>
          <w:lang w:val="fr-FR"/>
        </w:rPr>
        <w:t xml:space="preserve">protection </w:t>
      </w:r>
      <w:r w:rsidR="00DA04CE" w:rsidRPr="00961990">
        <w:rPr>
          <w:lang w:val="fr-FR"/>
        </w:rPr>
        <w:t>sur plusieurs marchés d</w:t>
      </w:r>
      <w:r w:rsidR="00197436" w:rsidRPr="00961990">
        <w:rPr>
          <w:lang w:val="fr-FR"/>
        </w:rPr>
        <w:t>’</w:t>
      </w:r>
      <w:r w:rsidR="00DC4526" w:rsidRPr="00961990">
        <w:rPr>
          <w:lang w:val="fr-FR"/>
        </w:rPr>
        <w:t>export</w:t>
      </w:r>
      <w:r w:rsidR="00DA04CE" w:rsidRPr="00961990">
        <w:rPr>
          <w:lang w:val="fr-FR"/>
        </w:rPr>
        <w:t>ation</w:t>
      </w:r>
      <w:r w:rsidR="00DC4526" w:rsidRPr="00961990">
        <w:rPr>
          <w:lang w:val="fr-FR"/>
        </w:rPr>
        <w:t xml:space="preserve">;  </w:t>
      </w:r>
      <w:r w:rsidR="00DA04CE" w:rsidRPr="00961990">
        <w:rPr>
          <w:lang w:val="fr-FR"/>
        </w:rPr>
        <w:t>et</w:t>
      </w:r>
    </w:p>
    <w:p w:rsidR="00197436" w:rsidRPr="00961990" w:rsidRDefault="00DA04CE" w:rsidP="00855CBF">
      <w:pPr>
        <w:pStyle w:val="ONUMFS"/>
        <w:numPr>
          <w:ilvl w:val="2"/>
          <w:numId w:val="6"/>
        </w:numPr>
        <w:tabs>
          <w:tab w:val="clear" w:pos="1701"/>
          <w:tab w:val="num" w:pos="1134"/>
        </w:tabs>
        <w:ind w:left="567"/>
        <w:rPr>
          <w:lang w:val="fr-FR"/>
        </w:rPr>
      </w:pPr>
      <w:r w:rsidRPr="00961990">
        <w:rPr>
          <w:lang w:val="fr-FR"/>
        </w:rPr>
        <w:t>gestion centralisée des droits acq</w:t>
      </w:r>
      <w:r w:rsidRPr="00961990">
        <w:rPr>
          <w:lang w:val="fr-FR"/>
        </w:rPr>
        <w:t>uis :</w:t>
      </w:r>
      <w:r w:rsidR="00DC4526" w:rsidRPr="00961990">
        <w:rPr>
          <w:lang w:val="fr-FR"/>
        </w:rPr>
        <w:t xml:space="preserve"> </w:t>
      </w:r>
      <w:r w:rsidRPr="00961990">
        <w:rPr>
          <w:lang w:val="fr-FR"/>
        </w:rPr>
        <w:t xml:space="preserve">les </w:t>
      </w:r>
      <w:r w:rsidR="008D72EA">
        <w:rPr>
          <w:lang w:val="fr-FR"/>
        </w:rPr>
        <w:t>titulaires</w:t>
      </w:r>
      <w:r w:rsidRPr="00961990">
        <w:rPr>
          <w:lang w:val="fr-FR"/>
        </w:rPr>
        <w:t xml:space="preserve"> de marques peuvent tirer parti des nombreuses procédures pouvant être demandées à un office </w:t>
      </w:r>
      <w:r w:rsidR="00DC4526" w:rsidRPr="00961990">
        <w:rPr>
          <w:lang w:val="fr-FR"/>
        </w:rPr>
        <w:t>(</w:t>
      </w:r>
      <w:r w:rsidRPr="00961990">
        <w:rPr>
          <w:lang w:val="fr-FR"/>
        </w:rPr>
        <w:t>le Bureau i</w:t>
      </w:r>
      <w:r w:rsidR="00DC4526" w:rsidRPr="00961990">
        <w:rPr>
          <w:lang w:val="fr-FR"/>
        </w:rPr>
        <w:t xml:space="preserve">nternational) </w:t>
      </w:r>
      <w:r w:rsidRPr="00961990">
        <w:rPr>
          <w:lang w:val="fr-FR"/>
        </w:rPr>
        <w:t xml:space="preserve">et produisant leurs effets sur tous les territoires </w:t>
      </w:r>
      <w:r w:rsidR="001E1D75">
        <w:rPr>
          <w:lang w:val="fr-FR"/>
        </w:rPr>
        <w:t>couverts</w:t>
      </w:r>
      <w:r w:rsidRPr="00961990">
        <w:rPr>
          <w:lang w:val="fr-FR"/>
        </w:rPr>
        <w:t xml:space="preserve"> par un enregistrement international, telles que le renouvellement, l</w:t>
      </w:r>
      <w:r w:rsidR="00197436" w:rsidRPr="00961990">
        <w:rPr>
          <w:lang w:val="fr-FR"/>
        </w:rPr>
        <w:t>’</w:t>
      </w:r>
      <w:r w:rsidRPr="00961990">
        <w:rPr>
          <w:lang w:val="fr-FR"/>
        </w:rPr>
        <w:t xml:space="preserve">inscription de </w:t>
      </w:r>
      <w:r w:rsidR="00FB382B" w:rsidRPr="00961990">
        <w:rPr>
          <w:lang w:val="fr-FR"/>
        </w:rPr>
        <w:t>modifications, la restriction de l</w:t>
      </w:r>
      <w:r w:rsidR="00197436" w:rsidRPr="00961990">
        <w:rPr>
          <w:lang w:val="fr-FR"/>
        </w:rPr>
        <w:t>’</w:t>
      </w:r>
      <w:r w:rsidR="00FB382B" w:rsidRPr="00961990">
        <w:rPr>
          <w:lang w:val="fr-FR"/>
        </w:rPr>
        <w:t xml:space="preserve">étendue de la </w:t>
      </w:r>
      <w:r w:rsidR="00DC4526" w:rsidRPr="00961990">
        <w:rPr>
          <w:lang w:val="fr-FR"/>
        </w:rPr>
        <w:t>protection (</w:t>
      </w:r>
      <w:r w:rsidR="00FB382B" w:rsidRPr="00961990">
        <w:rPr>
          <w:lang w:val="fr-FR"/>
        </w:rPr>
        <w:t>radiat</w:t>
      </w:r>
      <w:r w:rsidR="00DC4526" w:rsidRPr="00961990">
        <w:rPr>
          <w:lang w:val="fr-FR"/>
        </w:rPr>
        <w:t xml:space="preserve">ions </w:t>
      </w:r>
      <w:r w:rsidR="00FB382B" w:rsidRPr="00961990">
        <w:rPr>
          <w:lang w:val="fr-FR"/>
        </w:rPr>
        <w:t xml:space="preserve">et </w:t>
      </w:r>
      <w:r w:rsidR="00DC4526" w:rsidRPr="00961990">
        <w:rPr>
          <w:lang w:val="fr-FR"/>
        </w:rPr>
        <w:t>limitations) o</w:t>
      </w:r>
      <w:r w:rsidR="00FB382B" w:rsidRPr="00961990">
        <w:rPr>
          <w:lang w:val="fr-FR"/>
        </w:rPr>
        <w:t>u l</w:t>
      </w:r>
      <w:r w:rsidR="00197436" w:rsidRPr="00961990">
        <w:rPr>
          <w:lang w:val="fr-FR"/>
        </w:rPr>
        <w:t>’</w:t>
      </w:r>
      <w:r w:rsidR="00FB382B" w:rsidRPr="00961990">
        <w:rPr>
          <w:lang w:val="fr-FR"/>
        </w:rPr>
        <w:t>élargissement de la portée géographique grâce à la désignation postérieure de membres supplémentaires du système de Madrid</w:t>
      </w:r>
      <w:r w:rsidR="00DC4526" w:rsidRPr="00961990">
        <w:rPr>
          <w:lang w:val="fr-FR"/>
        </w:rPr>
        <w:t>.</w:t>
      </w:r>
    </w:p>
    <w:p w:rsidR="00197436" w:rsidRPr="00961990" w:rsidRDefault="00FB382B" w:rsidP="00855CBF">
      <w:pPr>
        <w:pStyle w:val="ONUMFS"/>
        <w:rPr>
          <w:lang w:val="fr-FR"/>
        </w:rPr>
      </w:pPr>
      <w:r w:rsidRPr="00961990">
        <w:rPr>
          <w:lang w:val="fr-FR"/>
        </w:rPr>
        <w:t xml:space="preserve">Le système de Madrid </w:t>
      </w:r>
      <w:r w:rsidR="00A26E5C" w:rsidRPr="00961990">
        <w:rPr>
          <w:lang w:val="fr-FR"/>
        </w:rPr>
        <w:t>offre en outre aux parties contractantes les avantages suivants :</w:t>
      </w:r>
    </w:p>
    <w:p w:rsidR="00197436" w:rsidRPr="00961990" w:rsidRDefault="00D27E10" w:rsidP="00855CBF">
      <w:pPr>
        <w:pStyle w:val="ONUMFS"/>
        <w:numPr>
          <w:ilvl w:val="2"/>
          <w:numId w:val="6"/>
        </w:numPr>
        <w:tabs>
          <w:tab w:val="clear" w:pos="1701"/>
          <w:tab w:val="num" w:pos="1134"/>
        </w:tabs>
        <w:ind w:left="567"/>
        <w:rPr>
          <w:lang w:val="fr-FR"/>
        </w:rPr>
      </w:pPr>
      <w:r>
        <w:rPr>
          <w:lang w:val="fr-FR"/>
        </w:rPr>
        <w:t>formalités</w:t>
      </w:r>
      <w:r w:rsidR="00A26E5C" w:rsidRPr="00961990">
        <w:rPr>
          <w:lang w:val="fr-FR"/>
        </w:rPr>
        <w:t xml:space="preserve"> </w:t>
      </w:r>
      <w:r w:rsidR="007A49FA">
        <w:rPr>
          <w:lang w:val="fr-FR"/>
        </w:rPr>
        <w:t>vé</w:t>
      </w:r>
      <w:r w:rsidR="005912FF">
        <w:rPr>
          <w:lang w:val="fr-FR"/>
        </w:rPr>
        <w:t>rifiées</w:t>
      </w:r>
      <w:r w:rsidR="00526BC9" w:rsidRPr="00961990">
        <w:rPr>
          <w:lang w:val="fr-FR"/>
        </w:rPr>
        <w:t xml:space="preserve"> par l</w:t>
      </w:r>
      <w:r w:rsidR="00197436" w:rsidRPr="00961990">
        <w:rPr>
          <w:lang w:val="fr-FR"/>
        </w:rPr>
        <w:t>’</w:t>
      </w:r>
      <w:r w:rsidR="00526BC9" w:rsidRPr="00961990">
        <w:rPr>
          <w:lang w:val="fr-FR"/>
        </w:rPr>
        <w:t>office d</w:t>
      </w:r>
      <w:r w:rsidR="00197436" w:rsidRPr="00961990">
        <w:rPr>
          <w:lang w:val="fr-FR"/>
        </w:rPr>
        <w:t>’</w:t>
      </w:r>
      <w:r w:rsidR="00526BC9" w:rsidRPr="00961990">
        <w:rPr>
          <w:lang w:val="fr-FR"/>
        </w:rPr>
        <w:t>origine et le Bureau international;</w:t>
      </w:r>
    </w:p>
    <w:p w:rsidR="00197436" w:rsidRPr="00961990" w:rsidRDefault="00526BC9" w:rsidP="00855CBF">
      <w:pPr>
        <w:pStyle w:val="ONUMFS"/>
        <w:numPr>
          <w:ilvl w:val="2"/>
          <w:numId w:val="6"/>
        </w:numPr>
        <w:tabs>
          <w:tab w:val="clear" w:pos="1701"/>
          <w:tab w:val="num" w:pos="1134"/>
        </w:tabs>
        <w:ind w:left="567"/>
        <w:rPr>
          <w:lang w:val="fr-FR"/>
        </w:rPr>
      </w:pPr>
      <w:r w:rsidRPr="00961990">
        <w:rPr>
          <w:lang w:val="fr-FR"/>
        </w:rPr>
        <w:t xml:space="preserve">classement </w:t>
      </w:r>
      <w:r w:rsidR="00DC4526" w:rsidRPr="00961990">
        <w:rPr>
          <w:lang w:val="fr-FR"/>
        </w:rPr>
        <w:t>harmoni</w:t>
      </w:r>
      <w:r w:rsidRPr="00961990">
        <w:rPr>
          <w:lang w:val="fr-FR"/>
        </w:rPr>
        <w:t>sé des produits et services, effectué par le Bureau international, qui doit être accepté par tous les offices</w:t>
      </w:r>
      <w:r w:rsidR="00DC4526" w:rsidRPr="00961990">
        <w:rPr>
          <w:lang w:val="fr-FR"/>
        </w:rPr>
        <w:t>;</w:t>
      </w:r>
    </w:p>
    <w:p w:rsidR="00197436" w:rsidRPr="00961990" w:rsidRDefault="00DC4526" w:rsidP="00855CBF">
      <w:pPr>
        <w:pStyle w:val="ONUMFS"/>
        <w:numPr>
          <w:ilvl w:val="2"/>
          <w:numId w:val="6"/>
        </w:numPr>
        <w:tabs>
          <w:tab w:val="clear" w:pos="1701"/>
          <w:tab w:val="num" w:pos="1134"/>
        </w:tabs>
        <w:ind w:left="567"/>
        <w:rPr>
          <w:lang w:val="fr-FR"/>
        </w:rPr>
      </w:pPr>
      <w:r w:rsidRPr="00961990">
        <w:rPr>
          <w:lang w:val="fr-FR"/>
        </w:rPr>
        <w:t>c</w:t>
      </w:r>
      <w:r w:rsidR="00526BC9" w:rsidRPr="00961990">
        <w:rPr>
          <w:lang w:val="fr-FR"/>
        </w:rPr>
        <w:t>ollecte ce</w:t>
      </w:r>
      <w:r w:rsidRPr="00961990">
        <w:rPr>
          <w:lang w:val="fr-FR"/>
        </w:rPr>
        <w:t>ntrali</w:t>
      </w:r>
      <w:r w:rsidR="00526BC9" w:rsidRPr="00961990">
        <w:rPr>
          <w:lang w:val="fr-FR"/>
        </w:rPr>
        <w:t xml:space="preserve">sée du montant des </w:t>
      </w:r>
      <w:r w:rsidR="00296AA5" w:rsidRPr="00961990">
        <w:rPr>
          <w:lang w:val="fr-FR"/>
        </w:rPr>
        <w:t xml:space="preserve">émoluments et </w:t>
      </w:r>
      <w:r w:rsidR="00526BC9" w:rsidRPr="00961990">
        <w:rPr>
          <w:lang w:val="fr-FR"/>
        </w:rPr>
        <w:t>taxes et distribution aux parties contractantes</w:t>
      </w:r>
      <w:r w:rsidRPr="00961990">
        <w:rPr>
          <w:lang w:val="fr-FR"/>
        </w:rPr>
        <w:t>;</w:t>
      </w:r>
    </w:p>
    <w:p w:rsidR="00197436" w:rsidRPr="00961990" w:rsidRDefault="00526BC9" w:rsidP="00855CBF">
      <w:pPr>
        <w:pStyle w:val="ONUMFS"/>
        <w:numPr>
          <w:ilvl w:val="2"/>
          <w:numId w:val="6"/>
        </w:numPr>
        <w:tabs>
          <w:tab w:val="clear" w:pos="1701"/>
          <w:tab w:val="num" w:pos="1134"/>
        </w:tabs>
        <w:ind w:left="567"/>
        <w:rPr>
          <w:lang w:val="fr-FR"/>
        </w:rPr>
      </w:pPr>
      <w:r w:rsidRPr="00961990">
        <w:rPr>
          <w:lang w:val="fr-FR"/>
        </w:rPr>
        <w:t>un registre i</w:t>
      </w:r>
      <w:r w:rsidR="00DC4526" w:rsidRPr="00961990">
        <w:rPr>
          <w:lang w:val="fr-FR"/>
        </w:rPr>
        <w:t>nternational</w:t>
      </w:r>
      <w:r w:rsidR="00107257" w:rsidRPr="00961990">
        <w:rPr>
          <w:lang w:val="fr-FR"/>
        </w:rPr>
        <w:t xml:space="preserve"> unique</w:t>
      </w:r>
      <w:r w:rsidRPr="00961990">
        <w:rPr>
          <w:lang w:val="fr-FR"/>
        </w:rPr>
        <w:t xml:space="preserve">, tenu à jour par le Bureau international, </w:t>
      </w:r>
      <w:r w:rsidR="00BF46C1" w:rsidRPr="00961990">
        <w:rPr>
          <w:lang w:val="fr-FR"/>
        </w:rPr>
        <w:t>produisant ses effets dans toutes les parties contractantes et dont les extraits ne doivent faire l</w:t>
      </w:r>
      <w:r w:rsidR="00197436" w:rsidRPr="00961990">
        <w:rPr>
          <w:lang w:val="fr-FR"/>
        </w:rPr>
        <w:t>’</w:t>
      </w:r>
      <w:r w:rsidR="00BF46C1" w:rsidRPr="00961990">
        <w:rPr>
          <w:lang w:val="fr-FR"/>
        </w:rPr>
        <w:t>objet d</w:t>
      </w:r>
      <w:r w:rsidR="00197436" w:rsidRPr="00961990">
        <w:rPr>
          <w:lang w:val="fr-FR"/>
        </w:rPr>
        <w:t>’</w:t>
      </w:r>
      <w:r w:rsidR="00BF46C1" w:rsidRPr="00961990">
        <w:rPr>
          <w:lang w:val="fr-FR"/>
        </w:rPr>
        <w:t>aucune certification ni légalisation;  et</w:t>
      </w:r>
    </w:p>
    <w:p w:rsidR="00197436" w:rsidRPr="00961990" w:rsidRDefault="00BF46C1" w:rsidP="00044E59">
      <w:pPr>
        <w:pStyle w:val="ONUMFS"/>
        <w:numPr>
          <w:ilvl w:val="2"/>
          <w:numId w:val="6"/>
        </w:numPr>
        <w:tabs>
          <w:tab w:val="clear" w:pos="1701"/>
          <w:tab w:val="num" w:pos="1134"/>
        </w:tabs>
        <w:spacing w:after="0"/>
        <w:ind w:left="567"/>
        <w:rPr>
          <w:lang w:val="fr-FR"/>
        </w:rPr>
      </w:pPr>
      <w:r w:rsidRPr="00961990">
        <w:rPr>
          <w:lang w:val="fr-FR"/>
        </w:rPr>
        <w:t>des activités d</w:t>
      </w:r>
      <w:r w:rsidR="00197436" w:rsidRPr="00961990">
        <w:rPr>
          <w:lang w:val="fr-FR"/>
        </w:rPr>
        <w:t>’</w:t>
      </w:r>
      <w:r w:rsidRPr="00961990">
        <w:rPr>
          <w:lang w:val="fr-FR"/>
        </w:rPr>
        <w:t>assistance technique et de renforcement des capacités menées par le Bureau international en collaboration avec les parties contractantes</w:t>
      </w:r>
      <w:r w:rsidR="00DC4526" w:rsidRPr="00961990">
        <w:rPr>
          <w:lang w:val="fr-FR"/>
        </w:rPr>
        <w:t>.</w:t>
      </w:r>
    </w:p>
    <w:p w:rsidR="00DB113E" w:rsidRPr="00961990" w:rsidRDefault="00CC6FBC" w:rsidP="00855CBF">
      <w:pPr>
        <w:pStyle w:val="Heading2"/>
        <w:rPr>
          <w:lang w:val="fr-FR"/>
        </w:rPr>
      </w:pPr>
      <w:r w:rsidRPr="00961990">
        <w:rPr>
          <w:lang w:val="fr-FR"/>
        </w:rPr>
        <w:t>C</w:t>
      </w:r>
      <w:r w:rsidR="00BF46C1" w:rsidRPr="00961990">
        <w:rPr>
          <w:lang w:val="fr-FR"/>
        </w:rPr>
        <w:t>adre juridique</w:t>
      </w:r>
    </w:p>
    <w:p w:rsidR="00CC6FBC" w:rsidRPr="00961990" w:rsidRDefault="00CC6FBC" w:rsidP="00855CBF">
      <w:pPr>
        <w:rPr>
          <w:lang w:val="fr-FR"/>
        </w:rPr>
      </w:pPr>
    </w:p>
    <w:p w:rsidR="00197436" w:rsidRPr="00961990" w:rsidRDefault="00BF46C1" w:rsidP="00855CBF">
      <w:pPr>
        <w:pStyle w:val="ONUMFS"/>
        <w:rPr>
          <w:lang w:val="fr-FR"/>
        </w:rPr>
      </w:pPr>
      <w:r w:rsidRPr="00961990">
        <w:rPr>
          <w:lang w:val="fr-FR"/>
        </w:rPr>
        <w:t xml:space="preserve">Le </w:t>
      </w:r>
      <w:r w:rsidR="00DC4526" w:rsidRPr="00961990">
        <w:rPr>
          <w:lang w:val="fr-FR"/>
        </w:rPr>
        <w:t>Protocol</w:t>
      </w:r>
      <w:r w:rsidRPr="00961990">
        <w:rPr>
          <w:lang w:val="fr-FR"/>
        </w:rPr>
        <w:t>e</w:t>
      </w:r>
      <w:r w:rsidR="00296AA5" w:rsidRPr="00961990">
        <w:rPr>
          <w:lang w:val="fr-FR"/>
        </w:rPr>
        <w:t xml:space="preserve"> relatif à l</w:t>
      </w:r>
      <w:r w:rsidR="00197436" w:rsidRPr="00961990">
        <w:rPr>
          <w:lang w:val="fr-FR"/>
        </w:rPr>
        <w:t>’</w:t>
      </w:r>
      <w:r w:rsidR="00296AA5" w:rsidRPr="00961990">
        <w:rPr>
          <w:lang w:val="fr-FR"/>
        </w:rPr>
        <w:t xml:space="preserve">Arrangement de </w:t>
      </w:r>
      <w:r w:rsidR="00DC4526" w:rsidRPr="00961990">
        <w:rPr>
          <w:lang w:val="fr-FR"/>
        </w:rPr>
        <w:t xml:space="preserve">Madrid </w:t>
      </w:r>
      <w:r w:rsidR="00296AA5" w:rsidRPr="00961990">
        <w:rPr>
          <w:lang w:val="fr-FR"/>
        </w:rPr>
        <w:t>concernant l</w:t>
      </w:r>
      <w:r w:rsidR="00197436" w:rsidRPr="00961990">
        <w:rPr>
          <w:lang w:val="fr-FR"/>
        </w:rPr>
        <w:t>’</w:t>
      </w:r>
      <w:r w:rsidR="00296AA5" w:rsidRPr="00961990">
        <w:rPr>
          <w:lang w:val="fr-FR"/>
        </w:rPr>
        <w:t>enregistrement international des marques (ci</w:t>
      </w:r>
      <w:r w:rsidR="00CC6FBC" w:rsidRPr="00961990">
        <w:rPr>
          <w:lang w:val="fr-FR"/>
        </w:rPr>
        <w:noBreakHyphen/>
      </w:r>
      <w:r w:rsidR="00296AA5" w:rsidRPr="00961990">
        <w:rPr>
          <w:lang w:val="fr-FR"/>
        </w:rPr>
        <w:t>après dénommés “Protocole” et “Arrangement”), qui a été adopté en</w:t>
      </w:r>
      <w:r w:rsidR="00205914" w:rsidRPr="00961990">
        <w:rPr>
          <w:lang w:val="fr-FR"/>
        </w:rPr>
        <w:t> </w:t>
      </w:r>
      <w:r w:rsidR="00296AA5" w:rsidRPr="00961990">
        <w:rPr>
          <w:lang w:val="fr-FR"/>
        </w:rPr>
        <w:t>1989 et constitue le traité régissant actuellement le fonctionnement du système, a préservé les principes fondamentaux de l</w:t>
      </w:r>
      <w:r w:rsidR="00197436" w:rsidRPr="00961990">
        <w:rPr>
          <w:lang w:val="fr-FR"/>
        </w:rPr>
        <w:t>’</w:t>
      </w:r>
      <w:r w:rsidR="00296AA5" w:rsidRPr="00961990">
        <w:rPr>
          <w:lang w:val="fr-FR"/>
        </w:rPr>
        <w:t>Arrangement, tels que l</w:t>
      </w:r>
      <w:r w:rsidR="00197436" w:rsidRPr="00961990">
        <w:rPr>
          <w:lang w:val="fr-FR"/>
        </w:rPr>
        <w:t>’</w:t>
      </w:r>
      <w:r w:rsidR="00296AA5" w:rsidRPr="00961990">
        <w:rPr>
          <w:lang w:val="fr-FR"/>
        </w:rPr>
        <w:t xml:space="preserve">exigence </w:t>
      </w:r>
      <w:r w:rsidR="00855D9A" w:rsidRPr="00961990">
        <w:rPr>
          <w:lang w:val="fr-FR"/>
        </w:rPr>
        <w:t>d</w:t>
      </w:r>
      <w:r w:rsidR="00197436" w:rsidRPr="00961990">
        <w:rPr>
          <w:lang w:val="fr-FR"/>
        </w:rPr>
        <w:t>’</w:t>
      </w:r>
      <w:r w:rsidR="00855D9A" w:rsidRPr="00961990">
        <w:rPr>
          <w:lang w:val="fr-FR"/>
        </w:rPr>
        <w:t>une</w:t>
      </w:r>
      <w:r w:rsidR="00296AA5" w:rsidRPr="00961990">
        <w:rPr>
          <w:lang w:val="fr-FR"/>
        </w:rPr>
        <w:t xml:space="preserve"> marque de </w:t>
      </w:r>
      <w:r w:rsidR="00DC4526" w:rsidRPr="00961990">
        <w:rPr>
          <w:lang w:val="fr-FR"/>
        </w:rPr>
        <w:t>bas</w:t>
      </w:r>
      <w:r w:rsidR="00334B45" w:rsidRPr="00961990">
        <w:rPr>
          <w:lang w:val="fr-FR"/>
        </w:rPr>
        <w:t>e</w:t>
      </w:r>
      <w:r w:rsidR="00DC4526" w:rsidRPr="00961990">
        <w:rPr>
          <w:lang w:val="fr-FR"/>
        </w:rPr>
        <w:t xml:space="preserve">, </w:t>
      </w:r>
      <w:r w:rsidR="008F4EB7" w:rsidRPr="00961990">
        <w:rPr>
          <w:lang w:val="fr-FR"/>
        </w:rPr>
        <w:t>le droit d</w:t>
      </w:r>
      <w:r w:rsidR="00197436" w:rsidRPr="00961990">
        <w:rPr>
          <w:lang w:val="fr-FR"/>
        </w:rPr>
        <w:t>’</w:t>
      </w:r>
      <w:r w:rsidR="008F4EB7" w:rsidRPr="00961990">
        <w:rPr>
          <w:lang w:val="fr-FR"/>
        </w:rPr>
        <w:t>utiliser le système de Madrid et la dépendance de l</w:t>
      </w:r>
      <w:r w:rsidR="00197436" w:rsidRPr="00961990">
        <w:rPr>
          <w:lang w:val="fr-FR"/>
        </w:rPr>
        <w:t>’</w:t>
      </w:r>
      <w:r w:rsidR="008F4EB7" w:rsidRPr="00961990">
        <w:rPr>
          <w:lang w:val="fr-FR"/>
        </w:rPr>
        <w:t xml:space="preserve">enregistrement international </w:t>
      </w:r>
      <w:r w:rsidR="00197436" w:rsidRPr="00961990">
        <w:rPr>
          <w:lang w:val="fr-FR"/>
        </w:rPr>
        <w:t>à l’égard</w:t>
      </w:r>
      <w:r w:rsidR="008F4EB7" w:rsidRPr="00961990">
        <w:rPr>
          <w:lang w:val="fr-FR"/>
        </w:rPr>
        <w:t xml:space="preserve"> de la marque de base</w:t>
      </w:r>
      <w:r w:rsidR="00DC4526" w:rsidRPr="00961990">
        <w:rPr>
          <w:lang w:val="fr-FR"/>
        </w:rPr>
        <w:t>.</w:t>
      </w:r>
    </w:p>
    <w:p w:rsidR="00197436" w:rsidRPr="00961990" w:rsidRDefault="008F4EB7" w:rsidP="00044E59">
      <w:pPr>
        <w:pStyle w:val="ONUMFS"/>
        <w:spacing w:after="0"/>
        <w:rPr>
          <w:lang w:val="fr-FR"/>
        </w:rPr>
      </w:pPr>
      <w:r w:rsidRPr="00961990">
        <w:rPr>
          <w:lang w:val="fr-FR"/>
        </w:rPr>
        <w:t xml:space="preserve">Le </w:t>
      </w:r>
      <w:r w:rsidR="00DC4526" w:rsidRPr="00961990">
        <w:rPr>
          <w:lang w:val="fr-FR"/>
        </w:rPr>
        <w:t>Protocol</w:t>
      </w:r>
      <w:r w:rsidRPr="00961990">
        <w:rPr>
          <w:lang w:val="fr-FR"/>
        </w:rPr>
        <w:t xml:space="preserve">e a donné la possibilité aux organisations intergouvernementales de devenir parties au système de Madrid, </w:t>
      </w:r>
      <w:r w:rsidR="001B3463" w:rsidRPr="00961990">
        <w:rPr>
          <w:lang w:val="fr-FR"/>
        </w:rPr>
        <w:t>ce qui s</w:t>
      </w:r>
      <w:r w:rsidR="00197436" w:rsidRPr="00961990">
        <w:rPr>
          <w:lang w:val="fr-FR"/>
        </w:rPr>
        <w:t>’</w:t>
      </w:r>
      <w:r w:rsidR="001B3463" w:rsidRPr="00961990">
        <w:rPr>
          <w:lang w:val="fr-FR"/>
        </w:rPr>
        <w:t>est traduit par l</w:t>
      </w:r>
      <w:r w:rsidR="00197436" w:rsidRPr="00961990">
        <w:rPr>
          <w:lang w:val="fr-FR"/>
        </w:rPr>
        <w:t>’</w:t>
      </w:r>
      <w:r w:rsidR="001B3463" w:rsidRPr="00961990">
        <w:rPr>
          <w:lang w:val="fr-FR"/>
        </w:rPr>
        <w:t xml:space="preserve">adhésion de </w:t>
      </w:r>
      <w:r w:rsidRPr="00961990">
        <w:rPr>
          <w:lang w:val="fr-FR"/>
        </w:rPr>
        <w:t>l</w:t>
      </w:r>
      <w:r w:rsidR="00197436" w:rsidRPr="00961990">
        <w:rPr>
          <w:lang w:val="fr-FR"/>
        </w:rPr>
        <w:t>’</w:t>
      </w:r>
      <w:r w:rsidRPr="00961990">
        <w:rPr>
          <w:lang w:val="fr-FR"/>
        </w:rPr>
        <w:t xml:space="preserve">Union européenne (UE) et </w:t>
      </w:r>
      <w:r w:rsidR="001B3463" w:rsidRPr="00961990">
        <w:rPr>
          <w:lang w:val="fr-FR"/>
        </w:rPr>
        <w:t xml:space="preserve">de </w:t>
      </w:r>
      <w:r w:rsidRPr="00961990">
        <w:rPr>
          <w:lang w:val="fr-FR"/>
        </w:rPr>
        <w:t>l</w:t>
      </w:r>
      <w:r w:rsidR="00197436" w:rsidRPr="00961990">
        <w:rPr>
          <w:lang w:val="fr-FR"/>
        </w:rPr>
        <w:t>’</w:t>
      </w:r>
      <w:r w:rsidRPr="00961990">
        <w:rPr>
          <w:lang w:val="fr-FR"/>
        </w:rPr>
        <w:t xml:space="preserve">Organisation africaine de la propriété intellectuelle (OAPI).  </w:t>
      </w:r>
      <w:r w:rsidR="00E05114" w:rsidRPr="00961990">
        <w:rPr>
          <w:lang w:val="fr-FR"/>
        </w:rPr>
        <w:t>Il a offert des éléments de flexibilité</w:t>
      </w:r>
      <w:r w:rsidR="00E05114" w:rsidRPr="00961990">
        <w:rPr>
          <w:lang w:val="fr-FR"/>
        </w:rPr>
        <w:t xml:space="preserve"> aux parties contractantes, au regard de l</w:t>
      </w:r>
      <w:r w:rsidR="00197436" w:rsidRPr="00961990">
        <w:rPr>
          <w:lang w:val="fr-FR"/>
        </w:rPr>
        <w:t>’</w:t>
      </w:r>
      <w:r w:rsidR="00E05114" w:rsidRPr="00961990">
        <w:rPr>
          <w:lang w:val="fr-FR"/>
        </w:rPr>
        <w:t>Arrangement, tels que les</w:t>
      </w:r>
      <w:r w:rsidR="00DC4526" w:rsidRPr="00961990">
        <w:rPr>
          <w:lang w:val="fr-FR"/>
        </w:rPr>
        <w:t xml:space="preserve"> options </w:t>
      </w:r>
      <w:r w:rsidR="00E05114" w:rsidRPr="00961990">
        <w:rPr>
          <w:lang w:val="fr-FR"/>
        </w:rPr>
        <w:t>relatives aux déclarations concernant l</w:t>
      </w:r>
      <w:r w:rsidR="00197436" w:rsidRPr="00961990">
        <w:rPr>
          <w:lang w:val="fr-FR"/>
        </w:rPr>
        <w:t>’</w:t>
      </w:r>
      <w:r w:rsidR="00E05114" w:rsidRPr="00961990">
        <w:rPr>
          <w:lang w:val="fr-FR"/>
        </w:rPr>
        <w:t>extension des délais de refus et les taxes indiv</w:t>
      </w:r>
      <w:r w:rsidR="009255EB" w:rsidRPr="00961990">
        <w:rPr>
          <w:lang w:val="fr-FR"/>
        </w:rPr>
        <w:t>i</w:t>
      </w:r>
      <w:r w:rsidR="00E05114" w:rsidRPr="00961990">
        <w:rPr>
          <w:lang w:val="fr-FR"/>
        </w:rPr>
        <w:t>duell</w:t>
      </w:r>
      <w:r w:rsidR="00AA1806" w:rsidRPr="00961990">
        <w:rPr>
          <w:lang w:val="fr-FR"/>
        </w:rPr>
        <w:t>es.  De</w:t>
      </w:r>
      <w:r w:rsidR="00E05114" w:rsidRPr="00961990">
        <w:rPr>
          <w:lang w:val="fr-FR"/>
        </w:rPr>
        <w:t xml:space="preserve">s éléments de flexibilité ont également été offerts aux </w:t>
      </w:r>
      <w:r w:rsidR="009255EB" w:rsidRPr="00961990">
        <w:rPr>
          <w:lang w:val="fr-FR"/>
        </w:rPr>
        <w:t>titulaires</w:t>
      </w:r>
      <w:r w:rsidR="00DC4526" w:rsidRPr="00961990">
        <w:rPr>
          <w:lang w:val="fr-FR"/>
        </w:rPr>
        <w:t xml:space="preserve">, </w:t>
      </w:r>
      <w:r w:rsidR="009255EB" w:rsidRPr="00961990">
        <w:rPr>
          <w:lang w:val="fr-FR"/>
        </w:rPr>
        <w:t xml:space="preserve">tels que </w:t>
      </w:r>
      <w:r w:rsidR="00F249E4" w:rsidRPr="00961990">
        <w:rPr>
          <w:lang w:val="fr-FR"/>
        </w:rPr>
        <w:t>l</w:t>
      </w:r>
      <w:r w:rsidR="00197436" w:rsidRPr="00961990">
        <w:rPr>
          <w:lang w:val="fr-FR"/>
        </w:rPr>
        <w:t>’</w:t>
      </w:r>
      <w:r w:rsidR="00F249E4" w:rsidRPr="00961990">
        <w:rPr>
          <w:lang w:val="fr-FR"/>
        </w:rPr>
        <w:t xml:space="preserve">option de choisir le </w:t>
      </w:r>
      <w:r w:rsidR="000E27B4">
        <w:rPr>
          <w:lang w:val="fr-FR"/>
        </w:rPr>
        <w:t>type de rattachement</w:t>
      </w:r>
      <w:r w:rsidR="00F249E4" w:rsidRPr="00961990">
        <w:rPr>
          <w:lang w:val="fr-FR"/>
        </w:rPr>
        <w:t xml:space="preserve"> et la possibilité d</w:t>
      </w:r>
      <w:r w:rsidR="00197436" w:rsidRPr="00961990">
        <w:rPr>
          <w:lang w:val="fr-FR"/>
        </w:rPr>
        <w:t>’</w:t>
      </w:r>
      <w:r w:rsidR="00F249E4" w:rsidRPr="00961990">
        <w:rPr>
          <w:lang w:val="fr-FR"/>
        </w:rPr>
        <w:t>une</w:t>
      </w:r>
      <w:r w:rsidR="00DC4526" w:rsidRPr="00961990">
        <w:rPr>
          <w:lang w:val="fr-FR"/>
        </w:rPr>
        <w:t xml:space="preserve"> transformation</w:t>
      </w:r>
      <w:r w:rsidR="00F249E4" w:rsidRPr="00961990">
        <w:rPr>
          <w:lang w:val="fr-FR"/>
        </w:rPr>
        <w:t xml:space="preserve"> à la suite d</w:t>
      </w:r>
      <w:r w:rsidR="00197436" w:rsidRPr="00961990">
        <w:rPr>
          <w:lang w:val="fr-FR"/>
        </w:rPr>
        <w:t>’</w:t>
      </w:r>
      <w:r w:rsidR="00F249E4" w:rsidRPr="00961990">
        <w:rPr>
          <w:lang w:val="fr-FR"/>
        </w:rPr>
        <w:t>une radiation de l</w:t>
      </w:r>
      <w:r w:rsidR="00197436" w:rsidRPr="00961990">
        <w:rPr>
          <w:lang w:val="fr-FR"/>
        </w:rPr>
        <w:t>’</w:t>
      </w:r>
      <w:r w:rsidR="00F249E4" w:rsidRPr="00961990">
        <w:rPr>
          <w:lang w:val="fr-FR"/>
        </w:rPr>
        <w:t xml:space="preserve">enregistrement international </w:t>
      </w:r>
      <w:r w:rsidR="00A04799" w:rsidRPr="00961990">
        <w:rPr>
          <w:lang w:val="fr-FR"/>
        </w:rPr>
        <w:t>en raison de la cessation des effets de la marque de base</w:t>
      </w:r>
      <w:r w:rsidR="0043504A" w:rsidRPr="00961990">
        <w:rPr>
          <w:lang w:val="fr-FR"/>
        </w:rPr>
        <w:t>.</w:t>
      </w:r>
    </w:p>
    <w:p w:rsidR="00DB113E" w:rsidRPr="00961990" w:rsidRDefault="00CC6FBC" w:rsidP="00855CBF">
      <w:pPr>
        <w:pStyle w:val="Heading2"/>
        <w:keepNext w:val="0"/>
        <w:rPr>
          <w:lang w:val="fr-FR"/>
        </w:rPr>
      </w:pPr>
      <w:r w:rsidRPr="00961990">
        <w:rPr>
          <w:lang w:val="fr-FR"/>
        </w:rPr>
        <w:t>Utilisation du système de Madrid</w:t>
      </w:r>
    </w:p>
    <w:p w:rsidR="00CC6FBC" w:rsidRPr="00961990" w:rsidRDefault="00CC6FBC" w:rsidP="00855CBF">
      <w:pPr>
        <w:rPr>
          <w:lang w:val="fr-FR"/>
        </w:rPr>
      </w:pPr>
    </w:p>
    <w:p w:rsidR="00197436" w:rsidRPr="00961990" w:rsidRDefault="00A04799" w:rsidP="00855CBF">
      <w:pPr>
        <w:pStyle w:val="ONUMFS"/>
        <w:rPr>
          <w:lang w:val="fr-FR"/>
        </w:rPr>
      </w:pPr>
      <w:r w:rsidRPr="00961990">
        <w:rPr>
          <w:lang w:val="fr-FR"/>
        </w:rPr>
        <w:t>En</w:t>
      </w:r>
      <w:r w:rsidR="00205914" w:rsidRPr="00961990">
        <w:rPr>
          <w:lang w:val="fr-FR"/>
        </w:rPr>
        <w:t> </w:t>
      </w:r>
      <w:r w:rsidR="0043504A" w:rsidRPr="00961990">
        <w:rPr>
          <w:lang w:val="fr-FR"/>
        </w:rPr>
        <w:t xml:space="preserve">2015, </w:t>
      </w:r>
      <w:r w:rsidRPr="00961990">
        <w:rPr>
          <w:lang w:val="fr-FR"/>
        </w:rPr>
        <w:t>le nombre total de demandes internationales déposées en vertu du système de Madrid s</w:t>
      </w:r>
      <w:r w:rsidR="00197436" w:rsidRPr="00961990">
        <w:rPr>
          <w:lang w:val="fr-FR"/>
        </w:rPr>
        <w:t>’</w:t>
      </w:r>
      <w:r w:rsidRPr="00961990">
        <w:rPr>
          <w:lang w:val="fr-FR"/>
        </w:rPr>
        <w:t xml:space="preserve">est établi à </w:t>
      </w:r>
      <w:r w:rsidR="0043504A" w:rsidRPr="00961990">
        <w:rPr>
          <w:lang w:val="fr-FR"/>
        </w:rPr>
        <w:t>49</w:t>
      </w:r>
      <w:r w:rsidRPr="00961990">
        <w:rPr>
          <w:lang w:val="fr-FR"/>
        </w:rPr>
        <w:t> </w:t>
      </w:r>
      <w:r w:rsidR="0043504A" w:rsidRPr="00961990">
        <w:rPr>
          <w:lang w:val="fr-FR"/>
        </w:rPr>
        <w:t xml:space="preserve">273, </w:t>
      </w:r>
      <w:r w:rsidRPr="00961990">
        <w:rPr>
          <w:lang w:val="fr-FR"/>
        </w:rPr>
        <w:t>représentant la sixième année consécutive de croissance et le nombre le plus élevé de demandes internationales déposées en une seule ann</w:t>
      </w:r>
      <w:r w:rsidR="00AA1806" w:rsidRPr="00961990">
        <w:rPr>
          <w:lang w:val="fr-FR"/>
        </w:rPr>
        <w:t>ée.  En</w:t>
      </w:r>
      <w:r w:rsidRPr="00961990">
        <w:rPr>
          <w:lang w:val="fr-FR"/>
        </w:rPr>
        <w:t xml:space="preserve"> outre, </w:t>
      </w:r>
      <w:r w:rsidR="00D91B6F" w:rsidRPr="00961990">
        <w:rPr>
          <w:lang w:val="fr-FR"/>
        </w:rPr>
        <w:t xml:space="preserve">au cours des 19 années précédentes, </w:t>
      </w:r>
      <w:r w:rsidR="0043504A" w:rsidRPr="00961990">
        <w:rPr>
          <w:lang w:val="fr-FR"/>
        </w:rPr>
        <w:t>“</w:t>
      </w:r>
      <w:r w:rsidR="00D91B6F" w:rsidRPr="00961990">
        <w:rPr>
          <w:lang w:val="fr-FR"/>
        </w:rPr>
        <w:t>le nombre de dépôts n</w:t>
      </w:r>
      <w:r w:rsidR="00197436" w:rsidRPr="00961990">
        <w:rPr>
          <w:lang w:val="fr-FR"/>
        </w:rPr>
        <w:t>’</w:t>
      </w:r>
      <w:r w:rsidR="00D91B6F" w:rsidRPr="00961990">
        <w:rPr>
          <w:lang w:val="fr-FR"/>
        </w:rPr>
        <w:t>a jamais cessé d</w:t>
      </w:r>
      <w:r w:rsidR="00197436" w:rsidRPr="00961990">
        <w:rPr>
          <w:lang w:val="fr-FR"/>
        </w:rPr>
        <w:t>’</w:t>
      </w:r>
      <w:r w:rsidR="00D91B6F" w:rsidRPr="00961990">
        <w:rPr>
          <w:lang w:val="fr-FR"/>
        </w:rPr>
        <w:t>augmenter, sauf pendant les trois</w:t>
      </w:r>
      <w:r w:rsidR="00205914" w:rsidRPr="00961990">
        <w:rPr>
          <w:lang w:val="fr-FR"/>
        </w:rPr>
        <w:t> </w:t>
      </w:r>
      <w:r w:rsidR="00D91B6F" w:rsidRPr="00961990">
        <w:rPr>
          <w:lang w:val="fr-FR"/>
        </w:rPr>
        <w:t>années qui correspondent à des périodes de ralentissement économique, au début des années</w:t>
      </w:r>
      <w:r w:rsidR="00205914" w:rsidRPr="00961990">
        <w:rPr>
          <w:lang w:val="fr-FR"/>
        </w:rPr>
        <w:t> </w:t>
      </w:r>
      <w:r w:rsidR="00D91B6F" w:rsidRPr="00961990">
        <w:rPr>
          <w:lang w:val="fr-FR"/>
        </w:rPr>
        <w:t>2000, et en</w:t>
      </w:r>
      <w:r w:rsidR="00205914" w:rsidRPr="00961990">
        <w:rPr>
          <w:lang w:val="fr-FR"/>
        </w:rPr>
        <w:t> </w:t>
      </w:r>
      <w:r w:rsidR="00D91B6F" w:rsidRPr="00961990">
        <w:rPr>
          <w:lang w:val="fr-FR"/>
        </w:rPr>
        <w:t>2009</w:t>
      </w:r>
      <w:r w:rsidR="0043504A" w:rsidRPr="00961990">
        <w:rPr>
          <w:lang w:val="fr-FR"/>
        </w:rPr>
        <w:t>”</w:t>
      </w:r>
      <w:r w:rsidR="0043504A" w:rsidRPr="00961990">
        <w:rPr>
          <w:rStyle w:val="FootnoteReference"/>
          <w:lang w:val="fr-FR"/>
        </w:rPr>
        <w:footnoteReference w:id="2"/>
      </w:r>
      <w:r w:rsidR="00D91B6F" w:rsidRPr="00961990">
        <w:rPr>
          <w:lang w:val="fr-FR"/>
        </w:rPr>
        <w:t>.</w:t>
      </w:r>
    </w:p>
    <w:p w:rsidR="00BD18C2" w:rsidRPr="00961990" w:rsidRDefault="00790510" w:rsidP="00855CBF">
      <w:pPr>
        <w:pStyle w:val="ONUMFS"/>
        <w:numPr>
          <w:ilvl w:val="0"/>
          <w:numId w:val="0"/>
        </w:numPr>
        <w:rPr>
          <w:lang w:val="fr-FR"/>
        </w:rPr>
      </w:pPr>
      <w:r w:rsidRPr="00961990">
        <w:rPr>
          <w:noProof/>
          <w:lang w:eastAsia="en-US"/>
        </w:rPr>
        <w:drawing>
          <wp:inline distT="0" distB="0" distL="0" distR="0" wp14:anchorId="59E8E0B8" wp14:editId="5601CBA2">
            <wp:extent cx="5598000" cy="21237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8000" cy="2123770"/>
                    </a:xfrm>
                    <a:prstGeom prst="rect">
                      <a:avLst/>
                    </a:prstGeom>
                  </pic:spPr>
                </pic:pic>
              </a:graphicData>
            </a:graphic>
          </wp:inline>
        </w:drawing>
      </w:r>
    </w:p>
    <w:p w:rsidR="00197436" w:rsidRPr="00961990" w:rsidRDefault="00D91B6F" w:rsidP="00855CBF">
      <w:pPr>
        <w:pStyle w:val="ONUMFS"/>
        <w:tabs>
          <w:tab w:val="clear" w:pos="567"/>
        </w:tabs>
        <w:rPr>
          <w:lang w:val="fr-FR"/>
        </w:rPr>
      </w:pPr>
      <w:r w:rsidRPr="00961990">
        <w:rPr>
          <w:lang w:val="fr-FR"/>
        </w:rPr>
        <w:t>Si le nombre de demandes internationales a augmenté, probablement grâce à l</w:t>
      </w:r>
      <w:r w:rsidR="00197436" w:rsidRPr="00961990">
        <w:rPr>
          <w:lang w:val="fr-FR"/>
        </w:rPr>
        <w:t>’</w:t>
      </w:r>
      <w:r w:rsidRPr="00961990">
        <w:rPr>
          <w:lang w:val="fr-FR"/>
        </w:rPr>
        <w:t>accroissement du nombre de membres de l</w:t>
      </w:r>
      <w:r w:rsidR="00197436" w:rsidRPr="00961990">
        <w:rPr>
          <w:lang w:val="fr-FR"/>
        </w:rPr>
        <w:t>’</w:t>
      </w:r>
      <w:r w:rsidRPr="00961990">
        <w:rPr>
          <w:lang w:val="fr-FR"/>
        </w:rPr>
        <w:t>Union de Madrid et à une tendance générale à la hausse en ce qui concerne les demandes d</w:t>
      </w:r>
      <w:r w:rsidR="00197436" w:rsidRPr="00961990">
        <w:rPr>
          <w:lang w:val="fr-FR"/>
        </w:rPr>
        <w:t>’</w:t>
      </w:r>
      <w:r w:rsidRPr="00961990">
        <w:rPr>
          <w:lang w:val="fr-FR"/>
        </w:rPr>
        <w:t xml:space="preserve">enregistrement de marques déposées dans le monde, il convient de </w:t>
      </w:r>
      <w:r w:rsidR="00737C5C" w:rsidRPr="00961990">
        <w:rPr>
          <w:lang w:val="fr-FR"/>
        </w:rPr>
        <w:t>noter que la part des demandes déposées par l</w:t>
      </w:r>
      <w:r w:rsidR="00197436" w:rsidRPr="00961990">
        <w:rPr>
          <w:lang w:val="fr-FR"/>
        </w:rPr>
        <w:t>’</w:t>
      </w:r>
      <w:r w:rsidR="00737C5C" w:rsidRPr="00961990">
        <w:rPr>
          <w:lang w:val="fr-FR"/>
        </w:rPr>
        <w:t>intermédiaire du système de Madrid a baissé, passant d</w:t>
      </w:r>
      <w:r w:rsidR="00197436" w:rsidRPr="00961990">
        <w:rPr>
          <w:lang w:val="fr-FR"/>
        </w:rPr>
        <w:t>’</w:t>
      </w:r>
      <w:r w:rsidR="00737C5C" w:rsidRPr="00961990">
        <w:rPr>
          <w:lang w:val="fr-FR"/>
        </w:rPr>
        <w:t>environ 70% de l</w:t>
      </w:r>
      <w:r w:rsidR="00197436" w:rsidRPr="00961990">
        <w:rPr>
          <w:lang w:val="fr-FR"/>
        </w:rPr>
        <w:t>’</w:t>
      </w:r>
      <w:r w:rsidR="00737C5C" w:rsidRPr="00961990">
        <w:rPr>
          <w:lang w:val="fr-FR"/>
        </w:rPr>
        <w:t>activité totale en matière de dépôt de demandes d</w:t>
      </w:r>
      <w:r w:rsidR="00197436" w:rsidRPr="00961990">
        <w:rPr>
          <w:lang w:val="fr-FR"/>
        </w:rPr>
        <w:t>’</w:t>
      </w:r>
      <w:r w:rsidR="00737C5C" w:rsidRPr="00961990">
        <w:rPr>
          <w:lang w:val="fr-FR"/>
        </w:rPr>
        <w:t>enregistrement de marques par des non</w:t>
      </w:r>
      <w:r w:rsidR="00CC6FBC" w:rsidRPr="00961990">
        <w:rPr>
          <w:lang w:val="fr-FR"/>
        </w:rPr>
        <w:noBreakHyphen/>
      </w:r>
      <w:r w:rsidR="00737C5C" w:rsidRPr="00961990">
        <w:rPr>
          <w:lang w:val="fr-FR"/>
        </w:rPr>
        <w:t>résidents e</w:t>
      </w:r>
      <w:r w:rsidR="005F08A9" w:rsidRPr="00961990">
        <w:rPr>
          <w:lang w:val="fr-FR"/>
        </w:rPr>
        <w:t xml:space="preserve">n 2008 </w:t>
      </w:r>
      <w:r w:rsidR="00737C5C" w:rsidRPr="00961990">
        <w:rPr>
          <w:lang w:val="fr-FR"/>
        </w:rPr>
        <w:t xml:space="preserve">à environ </w:t>
      </w:r>
      <w:r w:rsidR="005F08A9" w:rsidRPr="00961990">
        <w:rPr>
          <w:lang w:val="fr-FR"/>
        </w:rPr>
        <w:t>60</w:t>
      </w:r>
      <w:r w:rsidR="00737C5C" w:rsidRPr="00961990">
        <w:rPr>
          <w:lang w:val="fr-FR"/>
        </w:rPr>
        <w:t>% en</w:t>
      </w:r>
      <w:r w:rsidR="00205914" w:rsidRPr="00961990">
        <w:rPr>
          <w:lang w:val="fr-FR"/>
        </w:rPr>
        <w:t> </w:t>
      </w:r>
      <w:r w:rsidR="005F08A9" w:rsidRPr="00961990">
        <w:rPr>
          <w:lang w:val="fr-FR"/>
        </w:rPr>
        <w:t>2013.</w:t>
      </w:r>
    </w:p>
    <w:p w:rsidR="00BD18C2" w:rsidRPr="00961990" w:rsidRDefault="00BD18C2" w:rsidP="00855CBF">
      <w:pPr>
        <w:rPr>
          <w:lang w:val="fr-FR"/>
        </w:rPr>
      </w:pPr>
      <w:r w:rsidRPr="00961990">
        <w:rPr>
          <w:noProof/>
          <w:lang w:eastAsia="en-US"/>
        </w:rPr>
        <w:drawing>
          <wp:inline distT="0" distB="0" distL="0" distR="0" wp14:anchorId="1DEDE90F" wp14:editId="4B12AACE">
            <wp:extent cx="5695200" cy="3290561"/>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95200" cy="3290561"/>
                    </a:xfrm>
                    <a:prstGeom prst="rect">
                      <a:avLst/>
                    </a:prstGeom>
                  </pic:spPr>
                </pic:pic>
              </a:graphicData>
            </a:graphic>
          </wp:inline>
        </w:drawing>
      </w:r>
    </w:p>
    <w:p w:rsidR="00855CBF" w:rsidRDefault="00855CBF">
      <w:pPr>
        <w:rPr>
          <w:bCs/>
          <w:iCs/>
          <w:caps/>
          <w:szCs w:val="28"/>
          <w:lang w:val="fr-FR"/>
        </w:rPr>
      </w:pPr>
      <w:r>
        <w:rPr>
          <w:lang w:val="fr-FR"/>
        </w:rPr>
        <w:br w:type="page"/>
      </w:r>
    </w:p>
    <w:p w:rsidR="00DB113E" w:rsidRPr="00961990" w:rsidRDefault="00CC6FBC" w:rsidP="00855CBF">
      <w:pPr>
        <w:pStyle w:val="Heading2"/>
        <w:keepNext w:val="0"/>
        <w:rPr>
          <w:lang w:val="fr-FR"/>
        </w:rPr>
      </w:pPr>
      <w:r w:rsidRPr="00961990">
        <w:rPr>
          <w:lang w:val="fr-FR"/>
        </w:rPr>
        <w:t>B</w:t>
      </w:r>
      <w:r w:rsidR="00737C5C" w:rsidRPr="00961990">
        <w:rPr>
          <w:lang w:val="fr-FR"/>
        </w:rPr>
        <w:t>esoins et attentes de</w:t>
      </w:r>
      <w:r w:rsidRPr="00961990">
        <w:rPr>
          <w:lang w:val="fr-FR"/>
        </w:rPr>
        <w:t>s</w:t>
      </w:r>
      <w:r w:rsidR="00737C5C" w:rsidRPr="00961990">
        <w:rPr>
          <w:lang w:val="fr-FR"/>
        </w:rPr>
        <w:t xml:space="preserve"> </w:t>
      </w:r>
      <w:r w:rsidRPr="00961990">
        <w:rPr>
          <w:lang w:val="fr-FR"/>
        </w:rPr>
        <w:t>u</w:t>
      </w:r>
      <w:r w:rsidR="00737C5C" w:rsidRPr="00961990">
        <w:rPr>
          <w:lang w:val="fr-FR"/>
        </w:rPr>
        <w:t>tilisateur</w:t>
      </w:r>
      <w:r w:rsidRPr="00961990">
        <w:rPr>
          <w:lang w:val="fr-FR"/>
        </w:rPr>
        <w:t>s</w:t>
      </w:r>
    </w:p>
    <w:p w:rsidR="00CC6FBC" w:rsidRPr="00961990" w:rsidRDefault="00CC6FBC" w:rsidP="00855CBF">
      <w:pPr>
        <w:rPr>
          <w:lang w:val="fr-FR"/>
        </w:rPr>
      </w:pPr>
    </w:p>
    <w:p w:rsidR="00DB113E" w:rsidRPr="00961990" w:rsidRDefault="00CD5984" w:rsidP="00855CBF">
      <w:pPr>
        <w:pStyle w:val="ONUMFS"/>
        <w:rPr>
          <w:lang w:val="fr-FR"/>
        </w:rPr>
      </w:pPr>
      <w:r w:rsidRPr="00961990">
        <w:rPr>
          <w:lang w:val="fr-FR"/>
        </w:rPr>
        <w:t xml:space="preserve">Les informations </w:t>
      </w:r>
      <w:r w:rsidR="00107257" w:rsidRPr="00961990">
        <w:rPr>
          <w:lang w:val="fr-FR"/>
        </w:rPr>
        <w:t>actuellement</w:t>
      </w:r>
      <w:r w:rsidRPr="00961990">
        <w:rPr>
          <w:lang w:val="fr-FR"/>
        </w:rPr>
        <w:t xml:space="preserve"> dispo</w:t>
      </w:r>
      <w:r w:rsidR="00107257" w:rsidRPr="00961990">
        <w:rPr>
          <w:lang w:val="fr-FR"/>
        </w:rPr>
        <w:t>nibles</w:t>
      </w:r>
      <w:r w:rsidRPr="00961990">
        <w:rPr>
          <w:lang w:val="fr-FR"/>
        </w:rPr>
        <w:t xml:space="preserve"> donnent à penser que certains utilisateurs estiment que le système de Madrid ne répond pas entièrement à leurs besoins et </w:t>
      </w:r>
      <w:r w:rsidR="00107257" w:rsidRPr="00961990">
        <w:rPr>
          <w:lang w:val="fr-FR"/>
        </w:rPr>
        <w:t xml:space="preserve">à </w:t>
      </w:r>
      <w:r w:rsidRPr="00961990">
        <w:rPr>
          <w:lang w:val="fr-FR"/>
        </w:rPr>
        <w:t xml:space="preserve">leurs attentes à </w:t>
      </w:r>
      <w:r w:rsidR="00BA2BF5" w:rsidRPr="00961990">
        <w:rPr>
          <w:lang w:val="fr-FR"/>
        </w:rPr>
        <w:t>plusieurs</w:t>
      </w:r>
      <w:r w:rsidRPr="00961990">
        <w:rPr>
          <w:lang w:val="fr-FR"/>
        </w:rPr>
        <w:t xml:space="preserve"> égards</w:t>
      </w:r>
      <w:r w:rsidR="005F08A9" w:rsidRPr="00961990">
        <w:rPr>
          <w:lang w:val="fr-FR"/>
        </w:rPr>
        <w:t xml:space="preserve">;  </w:t>
      </w:r>
      <w:r w:rsidRPr="00961990">
        <w:rPr>
          <w:lang w:val="fr-FR"/>
        </w:rPr>
        <w:t>plus précisément, le système de Madrid</w:t>
      </w:r>
    </w:p>
    <w:p w:rsidR="00197436" w:rsidRPr="00961990" w:rsidRDefault="00CD5984" w:rsidP="00855CBF">
      <w:pPr>
        <w:pStyle w:val="ONUMFS"/>
        <w:numPr>
          <w:ilvl w:val="0"/>
          <w:numId w:val="17"/>
        </w:numPr>
        <w:tabs>
          <w:tab w:val="left" w:pos="1134"/>
        </w:tabs>
        <w:ind w:left="567" w:firstLine="0"/>
        <w:rPr>
          <w:lang w:val="fr-FR"/>
        </w:rPr>
      </w:pPr>
      <w:r w:rsidRPr="00961990">
        <w:rPr>
          <w:lang w:val="fr-FR"/>
        </w:rPr>
        <w:t>a une portée géographique qui n</w:t>
      </w:r>
      <w:r w:rsidR="00197436" w:rsidRPr="00961990">
        <w:rPr>
          <w:lang w:val="fr-FR"/>
        </w:rPr>
        <w:t>’</w:t>
      </w:r>
      <w:r w:rsidRPr="00961990">
        <w:rPr>
          <w:lang w:val="fr-FR"/>
        </w:rPr>
        <w:t>est pas encore réellement mondiale;</w:t>
      </w:r>
    </w:p>
    <w:p w:rsidR="00197436" w:rsidRPr="00961990" w:rsidRDefault="00CD5984" w:rsidP="00855CBF">
      <w:pPr>
        <w:pStyle w:val="ONUMFS"/>
        <w:numPr>
          <w:ilvl w:val="0"/>
          <w:numId w:val="17"/>
        </w:numPr>
        <w:tabs>
          <w:tab w:val="left" w:pos="1134"/>
        </w:tabs>
        <w:ind w:left="567" w:firstLine="0"/>
        <w:rPr>
          <w:lang w:val="fr-FR"/>
        </w:rPr>
      </w:pPr>
      <w:r w:rsidRPr="00961990">
        <w:rPr>
          <w:lang w:val="fr-FR"/>
        </w:rPr>
        <w:t xml:space="preserve">empêche des utilisateurs </w:t>
      </w:r>
      <w:r w:rsidR="005F08A9" w:rsidRPr="00961990">
        <w:rPr>
          <w:lang w:val="fr-FR"/>
        </w:rPr>
        <w:t>potenti</w:t>
      </w:r>
      <w:r w:rsidRPr="00961990">
        <w:rPr>
          <w:lang w:val="fr-FR"/>
        </w:rPr>
        <w:t>els</w:t>
      </w:r>
      <w:r w:rsidR="005F08A9" w:rsidRPr="00961990">
        <w:rPr>
          <w:lang w:val="fr-FR"/>
        </w:rPr>
        <w:t xml:space="preserve"> </w:t>
      </w:r>
      <w:r w:rsidRPr="00961990">
        <w:rPr>
          <w:lang w:val="fr-FR"/>
        </w:rPr>
        <w:t>de déposer des demandes internationales en raison d</w:t>
      </w:r>
      <w:r w:rsidR="00197436" w:rsidRPr="00961990">
        <w:rPr>
          <w:lang w:val="fr-FR"/>
        </w:rPr>
        <w:t>’</w:t>
      </w:r>
      <w:r w:rsidRPr="00961990">
        <w:rPr>
          <w:lang w:val="fr-FR"/>
        </w:rPr>
        <w:t>exigences strictes relatives au droit de déposer</w:t>
      </w:r>
      <w:r w:rsidR="005F08A9" w:rsidRPr="00961990">
        <w:rPr>
          <w:lang w:val="fr-FR"/>
        </w:rPr>
        <w:t>;</w:t>
      </w:r>
    </w:p>
    <w:p w:rsidR="00197436" w:rsidRPr="00961990" w:rsidRDefault="001B7854" w:rsidP="00855CBF">
      <w:pPr>
        <w:pStyle w:val="ONUMFS"/>
        <w:numPr>
          <w:ilvl w:val="0"/>
          <w:numId w:val="17"/>
        </w:numPr>
        <w:tabs>
          <w:tab w:val="left" w:pos="1134"/>
        </w:tabs>
        <w:ind w:left="567" w:firstLine="0"/>
        <w:rPr>
          <w:lang w:val="fr-FR"/>
        </w:rPr>
      </w:pPr>
      <w:r w:rsidRPr="00961990">
        <w:rPr>
          <w:lang w:val="fr-FR"/>
        </w:rPr>
        <w:t>fait peser des contraintes sur les utilisateurs en exigeant une marque de base, ce qui est particulièrement problématique pour les entreprises souhaitant faire protéger des versions internationale ou régionale de leur marque, différentes du point de vue linguistique de la marque qu</w:t>
      </w:r>
      <w:r w:rsidR="00197436" w:rsidRPr="00961990">
        <w:rPr>
          <w:lang w:val="fr-FR"/>
        </w:rPr>
        <w:t>’</w:t>
      </w:r>
      <w:r w:rsidRPr="00961990">
        <w:rPr>
          <w:lang w:val="fr-FR"/>
        </w:rPr>
        <w:t>elles utilisent au niveau national</w:t>
      </w:r>
      <w:r w:rsidR="005F08A9" w:rsidRPr="00961990">
        <w:rPr>
          <w:lang w:val="fr-FR"/>
        </w:rPr>
        <w:t>;</w:t>
      </w:r>
    </w:p>
    <w:p w:rsidR="00197436" w:rsidRPr="00961990" w:rsidRDefault="005F08A9" w:rsidP="00855CBF">
      <w:pPr>
        <w:pStyle w:val="ONUMFS"/>
        <w:numPr>
          <w:ilvl w:val="0"/>
          <w:numId w:val="17"/>
        </w:numPr>
        <w:tabs>
          <w:tab w:val="left" w:pos="1134"/>
        </w:tabs>
        <w:ind w:left="567" w:firstLine="0"/>
        <w:rPr>
          <w:lang w:val="fr-FR"/>
        </w:rPr>
      </w:pPr>
      <w:r w:rsidRPr="00961990">
        <w:rPr>
          <w:lang w:val="fr-FR"/>
        </w:rPr>
        <w:t>limit</w:t>
      </w:r>
      <w:r w:rsidR="00BA2BF5" w:rsidRPr="00961990">
        <w:rPr>
          <w:lang w:val="fr-FR"/>
        </w:rPr>
        <w:t>e les produits et services dans une demande internationale à ceux auxquel</w:t>
      </w:r>
      <w:r w:rsidRPr="00961990">
        <w:rPr>
          <w:lang w:val="fr-FR"/>
        </w:rPr>
        <w:t xml:space="preserve">s </w:t>
      </w:r>
      <w:r w:rsidR="00BA2BF5" w:rsidRPr="00961990">
        <w:rPr>
          <w:lang w:val="fr-FR"/>
        </w:rPr>
        <w:t>se rapporte la marque de base, ce qui porte préjudice aux entreprises souhaitant protéger leurs marques sur des marchés d</w:t>
      </w:r>
      <w:r w:rsidR="00197436" w:rsidRPr="00961990">
        <w:rPr>
          <w:lang w:val="fr-FR"/>
        </w:rPr>
        <w:t>’</w:t>
      </w:r>
      <w:r w:rsidR="00BA2BF5" w:rsidRPr="00961990">
        <w:rPr>
          <w:lang w:val="fr-FR"/>
        </w:rPr>
        <w:t xml:space="preserve">exportation </w:t>
      </w:r>
      <w:r w:rsidR="00197436" w:rsidRPr="00961990">
        <w:rPr>
          <w:lang w:val="fr-FR"/>
        </w:rPr>
        <w:t>à l’égard</w:t>
      </w:r>
      <w:r w:rsidR="00BA2BF5" w:rsidRPr="00961990">
        <w:rPr>
          <w:lang w:val="fr-FR"/>
        </w:rPr>
        <w:t xml:space="preserve"> de produits et de services autres que ceux auxquels se rapporte la marque de base</w:t>
      </w:r>
      <w:r w:rsidRPr="00961990">
        <w:rPr>
          <w:lang w:val="fr-FR"/>
        </w:rPr>
        <w:t>;</w:t>
      </w:r>
    </w:p>
    <w:p w:rsidR="00197436" w:rsidRPr="00961990" w:rsidRDefault="00BA2BF5" w:rsidP="00855CBF">
      <w:pPr>
        <w:pStyle w:val="ONUMFS"/>
        <w:numPr>
          <w:ilvl w:val="0"/>
          <w:numId w:val="17"/>
        </w:numPr>
        <w:tabs>
          <w:tab w:val="left" w:pos="1134"/>
        </w:tabs>
        <w:ind w:left="567" w:firstLine="0"/>
        <w:rPr>
          <w:lang w:val="fr-FR"/>
        </w:rPr>
      </w:pPr>
      <w:r w:rsidRPr="00961990">
        <w:rPr>
          <w:lang w:val="fr-FR"/>
        </w:rPr>
        <w:t>n</w:t>
      </w:r>
      <w:r w:rsidR="00197436" w:rsidRPr="00961990">
        <w:rPr>
          <w:lang w:val="fr-FR"/>
        </w:rPr>
        <w:t>’</w:t>
      </w:r>
      <w:r w:rsidRPr="00961990">
        <w:rPr>
          <w:lang w:val="fr-FR"/>
        </w:rPr>
        <w:t>offre pas une sécurité ju</w:t>
      </w:r>
      <w:r w:rsidR="00CC6FBC" w:rsidRPr="00961990">
        <w:rPr>
          <w:lang w:val="fr-FR"/>
        </w:rPr>
        <w:t>ridique suffisante en raison i) </w:t>
      </w:r>
      <w:r w:rsidRPr="00961990">
        <w:rPr>
          <w:lang w:val="fr-FR"/>
        </w:rPr>
        <w:t>d</w:t>
      </w:r>
      <w:r w:rsidR="00197436" w:rsidRPr="00961990">
        <w:rPr>
          <w:lang w:val="fr-FR"/>
        </w:rPr>
        <w:t>’</w:t>
      </w:r>
      <w:r w:rsidRPr="00961990">
        <w:rPr>
          <w:lang w:val="fr-FR"/>
        </w:rPr>
        <w:t xml:space="preserve">une mise en œuvre inadéquate </w:t>
      </w:r>
      <w:r w:rsidR="00F07231" w:rsidRPr="00961990">
        <w:rPr>
          <w:lang w:val="fr-FR"/>
        </w:rPr>
        <w:t>dans certa</w:t>
      </w:r>
      <w:r w:rsidR="00CC6FBC" w:rsidRPr="00961990">
        <w:rPr>
          <w:lang w:val="fr-FR"/>
        </w:rPr>
        <w:t>ines parties contractantes;  et </w:t>
      </w:r>
      <w:r w:rsidR="00F07231" w:rsidRPr="00961990">
        <w:rPr>
          <w:lang w:val="fr-FR"/>
        </w:rPr>
        <w:t>ii)</w:t>
      </w:r>
      <w:r w:rsidR="00205914" w:rsidRPr="00961990">
        <w:rPr>
          <w:lang w:val="fr-FR"/>
        </w:rPr>
        <w:t> </w:t>
      </w:r>
      <w:r w:rsidR="00F07231" w:rsidRPr="00961990">
        <w:rPr>
          <w:lang w:val="fr-FR"/>
        </w:rPr>
        <w:t>de la difficulté de faire respecter les droits acquis dans certaines parties contractantes</w:t>
      </w:r>
      <w:r w:rsidR="005F08A9" w:rsidRPr="00961990">
        <w:rPr>
          <w:lang w:val="fr-FR"/>
        </w:rPr>
        <w:t>;</w:t>
      </w:r>
    </w:p>
    <w:p w:rsidR="00197436" w:rsidRPr="00961990" w:rsidRDefault="00F07231" w:rsidP="00855CBF">
      <w:pPr>
        <w:pStyle w:val="ONUMFS"/>
        <w:numPr>
          <w:ilvl w:val="0"/>
          <w:numId w:val="17"/>
        </w:numPr>
        <w:tabs>
          <w:tab w:val="left" w:pos="1134"/>
        </w:tabs>
        <w:ind w:left="567" w:firstLine="0"/>
        <w:rPr>
          <w:lang w:val="fr-FR"/>
        </w:rPr>
      </w:pPr>
      <w:r w:rsidRPr="00961990">
        <w:rPr>
          <w:lang w:val="fr-FR"/>
        </w:rPr>
        <w:t xml:space="preserve">est trop </w:t>
      </w:r>
      <w:r w:rsidR="005F08A9" w:rsidRPr="00961990">
        <w:rPr>
          <w:lang w:val="fr-FR"/>
        </w:rPr>
        <w:t>complex</w:t>
      </w:r>
      <w:r w:rsidRPr="00961990">
        <w:rPr>
          <w:lang w:val="fr-FR"/>
        </w:rPr>
        <w:t>e</w:t>
      </w:r>
      <w:r w:rsidR="005F08A9" w:rsidRPr="00961990">
        <w:rPr>
          <w:lang w:val="fr-FR"/>
        </w:rPr>
        <w:t xml:space="preserve"> </w:t>
      </w:r>
      <w:r w:rsidRPr="00961990">
        <w:rPr>
          <w:lang w:val="fr-FR"/>
        </w:rPr>
        <w:t xml:space="preserve">en raison </w:t>
      </w:r>
      <w:r w:rsidR="005F08A9" w:rsidRPr="00961990">
        <w:rPr>
          <w:lang w:val="fr-FR"/>
        </w:rPr>
        <w:t>i)</w:t>
      </w:r>
      <w:r w:rsidR="00CC6FBC" w:rsidRPr="00961990">
        <w:rPr>
          <w:lang w:val="fr-FR"/>
        </w:rPr>
        <w:t> </w:t>
      </w:r>
      <w:r w:rsidRPr="00961990">
        <w:rPr>
          <w:lang w:val="fr-FR"/>
        </w:rPr>
        <w:t>des exigences des parties contractantes et de l</w:t>
      </w:r>
      <w:r w:rsidR="00197436" w:rsidRPr="00961990">
        <w:rPr>
          <w:lang w:val="fr-FR"/>
        </w:rPr>
        <w:t>’</w:t>
      </w:r>
      <w:r w:rsidRPr="00961990">
        <w:rPr>
          <w:lang w:val="fr-FR"/>
        </w:rPr>
        <w:t xml:space="preserve">expertise accrue des utilisateurs en matière </w:t>
      </w:r>
      <w:r w:rsidR="007F152C" w:rsidRPr="00961990">
        <w:rPr>
          <w:lang w:val="fr-FR"/>
        </w:rPr>
        <w:t>d</w:t>
      </w:r>
      <w:r w:rsidR="00197436" w:rsidRPr="00961990">
        <w:rPr>
          <w:lang w:val="fr-FR"/>
        </w:rPr>
        <w:t>’</w:t>
      </w:r>
      <w:r w:rsidR="007F152C" w:rsidRPr="00961990">
        <w:rPr>
          <w:lang w:val="fr-FR"/>
        </w:rPr>
        <w:t>indication et de classement des produits et services</w:t>
      </w:r>
      <w:r w:rsidR="005F08A9" w:rsidRPr="00961990">
        <w:rPr>
          <w:lang w:val="fr-FR"/>
        </w:rPr>
        <w:t>;  ii) </w:t>
      </w:r>
      <w:r w:rsidR="007F152C" w:rsidRPr="00961990">
        <w:rPr>
          <w:lang w:val="fr-FR"/>
        </w:rPr>
        <w:t>de l</w:t>
      </w:r>
      <w:r w:rsidR="00197436" w:rsidRPr="00961990">
        <w:rPr>
          <w:lang w:val="fr-FR"/>
        </w:rPr>
        <w:t>’</w:t>
      </w:r>
      <w:r w:rsidR="007F152C" w:rsidRPr="00961990">
        <w:rPr>
          <w:lang w:val="fr-FR"/>
        </w:rPr>
        <w:t xml:space="preserve">inefficacité des </w:t>
      </w:r>
      <w:r w:rsidR="005F08A9" w:rsidRPr="00961990">
        <w:rPr>
          <w:lang w:val="fr-FR"/>
        </w:rPr>
        <w:t xml:space="preserve">communications </w:t>
      </w:r>
      <w:r w:rsidR="007F152C" w:rsidRPr="00961990">
        <w:rPr>
          <w:lang w:val="fr-FR"/>
        </w:rPr>
        <w:t>entre les offices, le Bureau international et les titulaires</w:t>
      </w:r>
      <w:r w:rsidR="005F08A9" w:rsidRPr="00961990">
        <w:rPr>
          <w:lang w:val="fr-FR"/>
        </w:rPr>
        <w:t xml:space="preserve">;  </w:t>
      </w:r>
      <w:r w:rsidR="007F152C" w:rsidRPr="00961990">
        <w:rPr>
          <w:lang w:val="fr-FR"/>
        </w:rPr>
        <w:t>et</w:t>
      </w:r>
      <w:r w:rsidR="00CC6FBC" w:rsidRPr="00961990">
        <w:rPr>
          <w:lang w:val="fr-FR"/>
        </w:rPr>
        <w:t> </w:t>
      </w:r>
      <w:r w:rsidR="005F08A9" w:rsidRPr="00961990">
        <w:rPr>
          <w:lang w:val="fr-FR"/>
        </w:rPr>
        <w:t>iii) </w:t>
      </w:r>
      <w:r w:rsidR="007F152C" w:rsidRPr="00961990">
        <w:rPr>
          <w:lang w:val="fr-FR"/>
        </w:rPr>
        <w:t>d</w:t>
      </w:r>
      <w:r w:rsidR="00197436" w:rsidRPr="00961990">
        <w:rPr>
          <w:lang w:val="fr-FR"/>
        </w:rPr>
        <w:t>’</w:t>
      </w:r>
      <w:r w:rsidR="007F152C" w:rsidRPr="00961990">
        <w:rPr>
          <w:lang w:val="fr-FR"/>
        </w:rPr>
        <w:t>un barème des émoluments et taxes complexe</w:t>
      </w:r>
      <w:r w:rsidR="005F08A9" w:rsidRPr="00961990">
        <w:rPr>
          <w:lang w:val="fr-FR"/>
        </w:rPr>
        <w:t xml:space="preserve">; </w:t>
      </w:r>
      <w:r w:rsidR="007F152C" w:rsidRPr="00961990">
        <w:rPr>
          <w:lang w:val="fr-FR"/>
        </w:rPr>
        <w:t xml:space="preserve"> et</w:t>
      </w:r>
    </w:p>
    <w:p w:rsidR="00DB113E" w:rsidRPr="00961990" w:rsidRDefault="007F152C" w:rsidP="00044E59">
      <w:pPr>
        <w:pStyle w:val="ONUMFS"/>
        <w:numPr>
          <w:ilvl w:val="0"/>
          <w:numId w:val="17"/>
        </w:numPr>
        <w:tabs>
          <w:tab w:val="left" w:pos="1134"/>
        </w:tabs>
        <w:spacing w:after="0"/>
        <w:ind w:left="567" w:firstLine="0"/>
        <w:rPr>
          <w:lang w:val="fr-FR"/>
        </w:rPr>
      </w:pPr>
      <w:r w:rsidRPr="00961990">
        <w:rPr>
          <w:lang w:val="fr-FR"/>
        </w:rPr>
        <w:t xml:space="preserve">fournit des </w:t>
      </w:r>
      <w:r w:rsidR="005F08A9" w:rsidRPr="00961990">
        <w:rPr>
          <w:lang w:val="fr-FR"/>
        </w:rPr>
        <w:t xml:space="preserve">services, </w:t>
      </w:r>
      <w:r w:rsidR="001B3463" w:rsidRPr="00961990">
        <w:rPr>
          <w:lang w:val="fr-FR"/>
        </w:rPr>
        <w:t>tant par l</w:t>
      </w:r>
      <w:r w:rsidR="00197436" w:rsidRPr="00961990">
        <w:rPr>
          <w:lang w:val="fr-FR"/>
        </w:rPr>
        <w:t>’</w:t>
      </w:r>
      <w:r w:rsidR="001B3463" w:rsidRPr="00961990">
        <w:rPr>
          <w:lang w:val="fr-FR"/>
        </w:rPr>
        <w:t>intermédiaire du Bureau international que par l</w:t>
      </w:r>
      <w:r w:rsidR="00197436" w:rsidRPr="00961990">
        <w:rPr>
          <w:lang w:val="fr-FR"/>
        </w:rPr>
        <w:t>’</w:t>
      </w:r>
      <w:r w:rsidR="001B3463" w:rsidRPr="00961990">
        <w:rPr>
          <w:lang w:val="fr-FR"/>
        </w:rPr>
        <w:t>office de certaines parties contractantes, dont la qualité devrait être améliorée</w:t>
      </w:r>
      <w:r w:rsidR="005F08A9" w:rsidRPr="00961990">
        <w:rPr>
          <w:lang w:val="fr-FR"/>
        </w:rPr>
        <w:t>.</w:t>
      </w:r>
    </w:p>
    <w:p w:rsidR="00DB113E" w:rsidRPr="00961990" w:rsidRDefault="00CC6FBC" w:rsidP="00855CBF">
      <w:pPr>
        <w:pStyle w:val="Heading2"/>
        <w:rPr>
          <w:lang w:val="fr-FR"/>
        </w:rPr>
      </w:pPr>
      <w:r w:rsidRPr="00961990">
        <w:rPr>
          <w:lang w:val="fr-FR"/>
        </w:rPr>
        <w:t>Nécessité d’évoluer</w:t>
      </w:r>
    </w:p>
    <w:p w:rsidR="00CC6FBC" w:rsidRPr="00961990" w:rsidRDefault="00CC6FBC" w:rsidP="00855CBF">
      <w:pPr>
        <w:rPr>
          <w:lang w:val="fr-FR"/>
        </w:rPr>
      </w:pPr>
    </w:p>
    <w:p w:rsidR="00197436" w:rsidRPr="00961990" w:rsidRDefault="005F08A9" w:rsidP="00855CBF">
      <w:pPr>
        <w:pStyle w:val="ONUMFS"/>
        <w:rPr>
          <w:lang w:val="fr-FR"/>
        </w:rPr>
      </w:pPr>
      <w:r w:rsidRPr="00961990">
        <w:rPr>
          <w:lang w:val="fr-FR"/>
        </w:rPr>
        <w:t>No</w:t>
      </w:r>
      <w:r w:rsidR="001B3463" w:rsidRPr="00961990">
        <w:rPr>
          <w:lang w:val="fr-FR"/>
        </w:rPr>
        <w:t xml:space="preserve">nobstant les modifications fondamentales apportées par le Protocole de Madrid, le système de </w:t>
      </w:r>
      <w:r w:rsidRPr="00961990">
        <w:rPr>
          <w:lang w:val="fr-FR"/>
        </w:rPr>
        <w:t xml:space="preserve">Madrid </w:t>
      </w:r>
      <w:r w:rsidR="001B3463" w:rsidRPr="00961990">
        <w:rPr>
          <w:lang w:val="fr-FR"/>
        </w:rPr>
        <w:t>doit poursuivre son évolution afin de répondre aux besoins et aux attentes de l</w:t>
      </w:r>
      <w:r w:rsidR="00197436" w:rsidRPr="00961990">
        <w:rPr>
          <w:lang w:val="fr-FR"/>
        </w:rPr>
        <w:t>’</w:t>
      </w:r>
      <w:r w:rsidR="001B3463" w:rsidRPr="00961990">
        <w:rPr>
          <w:lang w:val="fr-FR"/>
        </w:rPr>
        <w:t xml:space="preserve">ensemble des utilisateurs, </w:t>
      </w:r>
      <w:r w:rsidR="00197436" w:rsidRPr="00961990">
        <w:rPr>
          <w:lang w:val="fr-FR"/>
        </w:rPr>
        <w:t>y compris</w:t>
      </w:r>
      <w:r w:rsidR="001B3463" w:rsidRPr="00961990">
        <w:rPr>
          <w:lang w:val="fr-FR"/>
        </w:rPr>
        <w:t xml:space="preserve"> les offices, de manière à continuer de jouer un rôle de premier plan dans le paysage international des marques</w:t>
      </w:r>
      <w:r w:rsidRPr="00961990">
        <w:rPr>
          <w:lang w:val="fr-FR"/>
        </w:rPr>
        <w:t>.</w:t>
      </w:r>
    </w:p>
    <w:p w:rsidR="00197436" w:rsidRPr="00961990" w:rsidRDefault="00645238" w:rsidP="00855CBF">
      <w:pPr>
        <w:pStyle w:val="ONUMFS"/>
        <w:rPr>
          <w:lang w:val="fr-FR"/>
        </w:rPr>
      </w:pPr>
      <w:r w:rsidRPr="00961990">
        <w:rPr>
          <w:lang w:val="fr-FR"/>
        </w:rPr>
        <w:t>La nécessité d</w:t>
      </w:r>
      <w:r w:rsidR="00197436" w:rsidRPr="00961990">
        <w:rPr>
          <w:lang w:val="fr-FR"/>
        </w:rPr>
        <w:t>’</w:t>
      </w:r>
      <w:r w:rsidRPr="00961990">
        <w:rPr>
          <w:lang w:val="fr-FR"/>
        </w:rPr>
        <w:t xml:space="preserve">une évolution du système de </w:t>
      </w:r>
      <w:r w:rsidR="005F08A9" w:rsidRPr="00961990">
        <w:rPr>
          <w:lang w:val="fr-FR"/>
        </w:rPr>
        <w:t xml:space="preserve">Madrid </w:t>
      </w:r>
      <w:r w:rsidRPr="00961990">
        <w:rPr>
          <w:lang w:val="fr-FR"/>
        </w:rPr>
        <w:t>découle essentiellement de facteurs tels que :</w:t>
      </w:r>
    </w:p>
    <w:p w:rsidR="00DB113E" w:rsidRPr="00961990" w:rsidRDefault="00645238" w:rsidP="00855CBF">
      <w:pPr>
        <w:pStyle w:val="ONUMFS"/>
        <w:numPr>
          <w:ilvl w:val="0"/>
          <w:numId w:val="18"/>
        </w:numPr>
        <w:tabs>
          <w:tab w:val="left" w:pos="1134"/>
        </w:tabs>
        <w:ind w:left="567" w:firstLine="0"/>
        <w:rPr>
          <w:lang w:val="fr-FR"/>
        </w:rPr>
      </w:pPr>
      <w:r w:rsidRPr="00961990">
        <w:rPr>
          <w:lang w:val="fr-FR"/>
        </w:rPr>
        <w:t>des marchés de dimension véritablement mondiale</w:t>
      </w:r>
      <w:r w:rsidR="005F08A9" w:rsidRPr="00961990">
        <w:rPr>
          <w:lang w:val="fr-FR"/>
        </w:rPr>
        <w:t>;</w:t>
      </w:r>
    </w:p>
    <w:p w:rsidR="00197436" w:rsidRPr="00961990" w:rsidRDefault="00645238" w:rsidP="00855CBF">
      <w:pPr>
        <w:pStyle w:val="ONUMFS"/>
        <w:numPr>
          <w:ilvl w:val="0"/>
          <w:numId w:val="18"/>
        </w:numPr>
        <w:tabs>
          <w:tab w:val="left" w:pos="1134"/>
        </w:tabs>
        <w:ind w:left="567" w:firstLine="0"/>
        <w:rPr>
          <w:lang w:val="fr-FR"/>
        </w:rPr>
      </w:pPr>
      <w:r w:rsidRPr="00961990">
        <w:rPr>
          <w:lang w:val="fr-FR"/>
        </w:rPr>
        <w:t xml:space="preserve">un plus large éventail de membres venant de tous les </w:t>
      </w:r>
      <w:r w:rsidR="005F08A9" w:rsidRPr="00961990">
        <w:rPr>
          <w:lang w:val="fr-FR"/>
        </w:rPr>
        <w:t xml:space="preserve">continents </w:t>
      </w:r>
      <w:r w:rsidRPr="00961990">
        <w:rPr>
          <w:lang w:val="fr-FR"/>
        </w:rPr>
        <w:t>et un grand nombre de langues différentes</w:t>
      </w:r>
      <w:r w:rsidR="005F08A9" w:rsidRPr="00961990">
        <w:rPr>
          <w:lang w:val="fr-FR"/>
        </w:rPr>
        <w:t>;</w:t>
      </w:r>
    </w:p>
    <w:p w:rsidR="00197436" w:rsidRPr="00961990" w:rsidRDefault="00DB113E" w:rsidP="00855CBF">
      <w:pPr>
        <w:pStyle w:val="ONUMFS"/>
        <w:numPr>
          <w:ilvl w:val="0"/>
          <w:numId w:val="18"/>
        </w:numPr>
        <w:tabs>
          <w:tab w:val="left" w:pos="1134"/>
        </w:tabs>
        <w:ind w:left="567" w:firstLine="0"/>
        <w:rPr>
          <w:lang w:val="fr-FR"/>
        </w:rPr>
      </w:pPr>
      <w:r w:rsidRPr="00961990">
        <w:rPr>
          <w:lang w:val="fr-FR"/>
        </w:rPr>
        <w:t xml:space="preserve">les attentes croissantes des utilisateurs et des offices </w:t>
      </w:r>
      <w:r w:rsidR="009333B9" w:rsidRPr="00961990">
        <w:rPr>
          <w:lang w:val="fr-FR"/>
        </w:rPr>
        <w:t xml:space="preserve">en ce qui concerne la fourniture de services </w:t>
      </w:r>
      <w:r w:rsidR="0016744E" w:rsidRPr="00961990">
        <w:rPr>
          <w:lang w:val="fr-FR"/>
        </w:rPr>
        <w:t>plus faciles à utiliser, plus rapides et meilleur marché</w:t>
      </w:r>
      <w:r w:rsidR="005F08A9" w:rsidRPr="00961990">
        <w:rPr>
          <w:lang w:val="fr-FR"/>
        </w:rPr>
        <w:t>;</w:t>
      </w:r>
    </w:p>
    <w:p w:rsidR="00855CBF" w:rsidRDefault="00855CBF">
      <w:pPr>
        <w:rPr>
          <w:lang w:val="fr-FR"/>
        </w:rPr>
      </w:pPr>
      <w:r>
        <w:rPr>
          <w:lang w:val="fr-FR"/>
        </w:rPr>
        <w:br w:type="page"/>
      </w:r>
    </w:p>
    <w:p w:rsidR="00197436" w:rsidRPr="00961990" w:rsidRDefault="0016744E" w:rsidP="00855CBF">
      <w:pPr>
        <w:pStyle w:val="ONUMFS"/>
        <w:numPr>
          <w:ilvl w:val="0"/>
          <w:numId w:val="18"/>
        </w:numPr>
        <w:tabs>
          <w:tab w:val="left" w:pos="1134"/>
        </w:tabs>
        <w:ind w:left="567" w:firstLine="0"/>
        <w:rPr>
          <w:lang w:val="fr-FR"/>
        </w:rPr>
      </w:pPr>
      <w:r w:rsidRPr="00961990">
        <w:rPr>
          <w:lang w:val="fr-FR"/>
        </w:rPr>
        <w:t>les différents niveaux de connaissance par les offices du système de Madrid, certains d</w:t>
      </w:r>
      <w:r w:rsidR="00197436" w:rsidRPr="00961990">
        <w:rPr>
          <w:lang w:val="fr-FR"/>
        </w:rPr>
        <w:t>’</w:t>
      </w:r>
      <w:r w:rsidRPr="00961990">
        <w:rPr>
          <w:lang w:val="fr-FR"/>
        </w:rPr>
        <w:t>entre eux s</w:t>
      </w:r>
      <w:r w:rsidR="00197436" w:rsidRPr="00961990">
        <w:rPr>
          <w:lang w:val="fr-FR"/>
        </w:rPr>
        <w:t>’</w:t>
      </w:r>
      <w:r w:rsidRPr="00961990">
        <w:rPr>
          <w:lang w:val="fr-FR"/>
        </w:rPr>
        <w:t>étant familiarisés avec son utilisation, tandis que d</w:t>
      </w:r>
      <w:r w:rsidR="00197436" w:rsidRPr="00961990">
        <w:rPr>
          <w:lang w:val="fr-FR"/>
        </w:rPr>
        <w:t>’</w:t>
      </w:r>
      <w:r w:rsidRPr="00961990">
        <w:rPr>
          <w:lang w:val="fr-FR"/>
        </w:rPr>
        <w:t>autres n</w:t>
      </w:r>
      <w:r w:rsidR="00197436" w:rsidRPr="00961990">
        <w:rPr>
          <w:lang w:val="fr-FR"/>
        </w:rPr>
        <w:t>’</w:t>
      </w:r>
      <w:r w:rsidRPr="00961990">
        <w:rPr>
          <w:lang w:val="fr-FR"/>
        </w:rPr>
        <w:t>en sont qu</w:t>
      </w:r>
      <w:r w:rsidR="00197436" w:rsidRPr="00961990">
        <w:rPr>
          <w:lang w:val="fr-FR"/>
        </w:rPr>
        <w:t>’</w:t>
      </w:r>
      <w:r w:rsidRPr="00961990">
        <w:rPr>
          <w:lang w:val="fr-FR"/>
        </w:rPr>
        <w:t>à leurs débuts</w:t>
      </w:r>
      <w:r w:rsidR="00197436" w:rsidRPr="00961990">
        <w:rPr>
          <w:lang w:val="fr-FR"/>
        </w:rPr>
        <w:t>;</w:t>
      </w:r>
      <w:r w:rsidRPr="00961990">
        <w:rPr>
          <w:lang w:val="fr-FR"/>
        </w:rPr>
        <w:t xml:space="preserve">  et</w:t>
      </w:r>
    </w:p>
    <w:p w:rsidR="00197436" w:rsidRPr="00961990" w:rsidRDefault="0016744E" w:rsidP="00044E59">
      <w:pPr>
        <w:pStyle w:val="ONUMFS"/>
        <w:numPr>
          <w:ilvl w:val="0"/>
          <w:numId w:val="18"/>
        </w:numPr>
        <w:tabs>
          <w:tab w:val="left" w:pos="1134"/>
        </w:tabs>
        <w:spacing w:after="0"/>
        <w:ind w:left="567" w:firstLine="0"/>
        <w:rPr>
          <w:lang w:val="fr-FR"/>
        </w:rPr>
      </w:pPr>
      <w:r w:rsidRPr="00961990">
        <w:rPr>
          <w:lang w:val="fr-FR"/>
        </w:rPr>
        <w:t>l</w:t>
      </w:r>
      <w:r w:rsidR="00197436" w:rsidRPr="00961990">
        <w:rPr>
          <w:lang w:val="fr-FR"/>
        </w:rPr>
        <w:t>’</w:t>
      </w:r>
      <w:r w:rsidRPr="00961990">
        <w:rPr>
          <w:lang w:val="fr-FR"/>
        </w:rPr>
        <w:t xml:space="preserve">évolution rapide de la </w:t>
      </w:r>
      <w:r w:rsidR="005F08A9" w:rsidRPr="00961990">
        <w:rPr>
          <w:lang w:val="fr-FR"/>
        </w:rPr>
        <w:t>technolog</w:t>
      </w:r>
      <w:r w:rsidRPr="00961990">
        <w:rPr>
          <w:lang w:val="fr-FR"/>
        </w:rPr>
        <w:t>ie</w:t>
      </w:r>
      <w:r w:rsidR="005F08A9" w:rsidRPr="00961990">
        <w:rPr>
          <w:lang w:val="fr-FR"/>
        </w:rPr>
        <w:t>.</w:t>
      </w:r>
    </w:p>
    <w:p w:rsidR="00DB113E" w:rsidRPr="00961990" w:rsidRDefault="00CC6FBC" w:rsidP="00855CBF">
      <w:pPr>
        <w:pStyle w:val="Heading2"/>
        <w:rPr>
          <w:lang w:val="fr-FR"/>
        </w:rPr>
      </w:pPr>
      <w:r w:rsidRPr="00961990">
        <w:rPr>
          <w:lang w:val="fr-FR"/>
        </w:rPr>
        <w:t>Objet du présent document</w:t>
      </w:r>
    </w:p>
    <w:p w:rsidR="00CC6FBC" w:rsidRPr="00961990" w:rsidRDefault="00CC6FBC" w:rsidP="00855CBF">
      <w:pPr>
        <w:rPr>
          <w:lang w:val="fr-FR"/>
        </w:rPr>
      </w:pPr>
    </w:p>
    <w:p w:rsidR="00197436" w:rsidRPr="00961990" w:rsidRDefault="0016744E" w:rsidP="00855CBF">
      <w:pPr>
        <w:pStyle w:val="ONUMFS"/>
        <w:rPr>
          <w:lang w:val="fr-FR"/>
        </w:rPr>
      </w:pPr>
      <w:r w:rsidRPr="00961990">
        <w:rPr>
          <w:lang w:val="fr-FR"/>
        </w:rPr>
        <w:t>Pour l</w:t>
      </w:r>
      <w:r w:rsidR="00197436" w:rsidRPr="00961990">
        <w:rPr>
          <w:lang w:val="fr-FR"/>
        </w:rPr>
        <w:t>’</w:t>
      </w:r>
      <w:r w:rsidRPr="00961990">
        <w:rPr>
          <w:lang w:val="fr-FR"/>
        </w:rPr>
        <w:t>essentiel, le présent document énonce une série d</w:t>
      </w:r>
      <w:r w:rsidR="00197436" w:rsidRPr="00961990">
        <w:rPr>
          <w:lang w:val="fr-FR"/>
        </w:rPr>
        <w:t>’</w:t>
      </w:r>
      <w:r w:rsidRPr="00961990">
        <w:rPr>
          <w:lang w:val="fr-FR"/>
        </w:rPr>
        <w:t>options que le Bureau international considère comme des réponses possibles aux besoins et attentes susmentionn</w:t>
      </w:r>
      <w:r w:rsidR="00AA1806" w:rsidRPr="00961990">
        <w:rPr>
          <w:lang w:val="fr-FR"/>
        </w:rPr>
        <w:t>és.  Ce</w:t>
      </w:r>
      <w:r w:rsidRPr="00961990">
        <w:rPr>
          <w:lang w:val="fr-FR"/>
        </w:rPr>
        <w:t xml:space="preserve">s </w:t>
      </w:r>
      <w:r w:rsidR="005F08A9" w:rsidRPr="00961990">
        <w:rPr>
          <w:lang w:val="fr-FR"/>
        </w:rPr>
        <w:t xml:space="preserve">options </w:t>
      </w:r>
      <w:r w:rsidR="00BF1E91" w:rsidRPr="00961990">
        <w:rPr>
          <w:lang w:val="fr-FR"/>
        </w:rPr>
        <w:t xml:space="preserve">couvrent </w:t>
      </w:r>
      <w:r w:rsidR="008D31F0" w:rsidRPr="00961990">
        <w:rPr>
          <w:lang w:val="fr-FR"/>
        </w:rPr>
        <w:t>un large éventail d</w:t>
      </w:r>
      <w:r w:rsidR="00197436" w:rsidRPr="00961990">
        <w:rPr>
          <w:lang w:val="fr-FR"/>
        </w:rPr>
        <w:t>’</w:t>
      </w:r>
      <w:r w:rsidR="008D31F0" w:rsidRPr="00961990">
        <w:rPr>
          <w:lang w:val="fr-FR"/>
        </w:rPr>
        <w:t>aspects </w:t>
      </w:r>
      <w:r w:rsidR="005F08A9" w:rsidRPr="00961990">
        <w:rPr>
          <w:lang w:val="fr-FR"/>
        </w:rPr>
        <w:t xml:space="preserve">: </w:t>
      </w:r>
      <w:r w:rsidR="008D31F0" w:rsidRPr="00961990">
        <w:rPr>
          <w:lang w:val="fr-FR"/>
        </w:rPr>
        <w:t>certaines ont trait à la conception même du système de Madrid</w:t>
      </w:r>
      <w:r w:rsidR="005F08A9" w:rsidRPr="00961990">
        <w:rPr>
          <w:lang w:val="fr-FR"/>
        </w:rPr>
        <w:t xml:space="preserve">;  </w:t>
      </w:r>
      <w:r w:rsidR="008D31F0" w:rsidRPr="00961990">
        <w:rPr>
          <w:lang w:val="fr-FR"/>
        </w:rPr>
        <w:t>d</w:t>
      </w:r>
      <w:r w:rsidR="00197436" w:rsidRPr="00961990">
        <w:rPr>
          <w:lang w:val="fr-FR"/>
        </w:rPr>
        <w:t>’</w:t>
      </w:r>
      <w:r w:rsidR="008D31F0" w:rsidRPr="00961990">
        <w:rPr>
          <w:lang w:val="fr-FR"/>
        </w:rPr>
        <w:t>autres portent sur les modalités pratiques de fonctionnement des o</w:t>
      </w:r>
      <w:r w:rsidR="005F08A9" w:rsidRPr="00961990">
        <w:rPr>
          <w:lang w:val="fr-FR"/>
        </w:rPr>
        <w:t>ffices (</w:t>
      </w:r>
      <w:r w:rsidR="008D31F0" w:rsidRPr="00961990">
        <w:rPr>
          <w:lang w:val="fr-FR"/>
        </w:rPr>
        <w:t>aussi bien en qualité d</w:t>
      </w:r>
      <w:r w:rsidR="00197436" w:rsidRPr="00961990">
        <w:rPr>
          <w:lang w:val="fr-FR"/>
        </w:rPr>
        <w:t>’</w:t>
      </w:r>
      <w:r w:rsidR="008D31F0" w:rsidRPr="00961990">
        <w:rPr>
          <w:lang w:val="fr-FR"/>
        </w:rPr>
        <w:t>office d</w:t>
      </w:r>
      <w:r w:rsidR="00197436" w:rsidRPr="00961990">
        <w:rPr>
          <w:lang w:val="fr-FR"/>
        </w:rPr>
        <w:t>’</w:t>
      </w:r>
      <w:r w:rsidR="008D31F0" w:rsidRPr="00961990">
        <w:rPr>
          <w:lang w:val="fr-FR"/>
        </w:rPr>
        <w:t>origine qu</w:t>
      </w:r>
      <w:r w:rsidR="00197436" w:rsidRPr="00961990">
        <w:rPr>
          <w:lang w:val="fr-FR"/>
        </w:rPr>
        <w:t>’</w:t>
      </w:r>
      <w:r w:rsidR="008D31F0" w:rsidRPr="00961990">
        <w:rPr>
          <w:lang w:val="fr-FR"/>
        </w:rPr>
        <w:t>en tant qu</w:t>
      </w:r>
      <w:r w:rsidR="00197436" w:rsidRPr="00961990">
        <w:rPr>
          <w:lang w:val="fr-FR"/>
        </w:rPr>
        <w:t>’</w:t>
      </w:r>
      <w:r w:rsidR="008D31F0" w:rsidRPr="00961990">
        <w:rPr>
          <w:lang w:val="fr-FR"/>
        </w:rPr>
        <w:t>office d</w:t>
      </w:r>
      <w:r w:rsidR="00197436" w:rsidRPr="00961990">
        <w:rPr>
          <w:lang w:val="fr-FR"/>
        </w:rPr>
        <w:t>’</w:t>
      </w:r>
      <w:r w:rsidR="008D31F0" w:rsidRPr="00961990">
        <w:rPr>
          <w:lang w:val="fr-FR"/>
        </w:rPr>
        <w:t>une partie contractante désignée</w:t>
      </w:r>
      <w:r w:rsidR="005F08A9" w:rsidRPr="00961990">
        <w:rPr>
          <w:lang w:val="fr-FR"/>
        </w:rPr>
        <w:t xml:space="preserve">) </w:t>
      </w:r>
      <w:r w:rsidR="008D31F0" w:rsidRPr="00961990">
        <w:rPr>
          <w:lang w:val="fr-FR"/>
        </w:rPr>
        <w:t>et du Bureau i</w:t>
      </w:r>
      <w:r w:rsidR="005F08A9" w:rsidRPr="00961990">
        <w:rPr>
          <w:lang w:val="fr-FR"/>
        </w:rPr>
        <w:t>nternational</w:t>
      </w:r>
      <w:r w:rsidR="008D31F0" w:rsidRPr="00961990">
        <w:rPr>
          <w:lang w:val="fr-FR"/>
        </w:rPr>
        <w:t>;</w:t>
      </w:r>
      <w:r w:rsidR="005F08A9" w:rsidRPr="00961990">
        <w:rPr>
          <w:lang w:val="fr-FR"/>
        </w:rPr>
        <w:t xml:space="preserve">  </w:t>
      </w:r>
      <w:r w:rsidR="008D31F0" w:rsidRPr="00961990">
        <w:rPr>
          <w:lang w:val="fr-FR"/>
        </w:rPr>
        <w:t>d</w:t>
      </w:r>
      <w:r w:rsidR="00197436" w:rsidRPr="00961990">
        <w:rPr>
          <w:lang w:val="fr-FR"/>
        </w:rPr>
        <w:t>’</w:t>
      </w:r>
      <w:r w:rsidR="008D31F0" w:rsidRPr="00961990">
        <w:rPr>
          <w:lang w:val="fr-FR"/>
        </w:rPr>
        <w:t>autres encore concernent aussi bien les offices que le Bureau international</w:t>
      </w:r>
      <w:r w:rsidR="005F08A9" w:rsidRPr="00961990">
        <w:rPr>
          <w:lang w:val="fr-FR"/>
        </w:rPr>
        <w:t>.</w:t>
      </w:r>
    </w:p>
    <w:p w:rsidR="00197436" w:rsidRPr="00961990" w:rsidRDefault="008D31F0" w:rsidP="00855CBF">
      <w:pPr>
        <w:pStyle w:val="ONUMFS"/>
        <w:rPr>
          <w:lang w:val="fr-FR"/>
        </w:rPr>
      </w:pPr>
      <w:r w:rsidRPr="00961990">
        <w:rPr>
          <w:lang w:val="fr-FR"/>
        </w:rPr>
        <w:t>La mise en œuvre de certaines options examinées ci</w:t>
      </w:r>
      <w:r w:rsidR="00CC6FBC" w:rsidRPr="00961990">
        <w:rPr>
          <w:lang w:val="fr-FR"/>
        </w:rPr>
        <w:noBreakHyphen/>
      </w:r>
      <w:r w:rsidRPr="00961990">
        <w:rPr>
          <w:lang w:val="fr-FR"/>
        </w:rPr>
        <w:t>après nécessiterait d</w:t>
      </w:r>
      <w:r w:rsidR="00197436" w:rsidRPr="00961990">
        <w:rPr>
          <w:lang w:val="fr-FR"/>
        </w:rPr>
        <w:t>’</w:t>
      </w:r>
      <w:r w:rsidRPr="00961990">
        <w:rPr>
          <w:lang w:val="fr-FR"/>
        </w:rPr>
        <w:t xml:space="preserve">apporter des modifications au </w:t>
      </w:r>
      <w:r w:rsidR="005F08A9" w:rsidRPr="00961990">
        <w:rPr>
          <w:lang w:val="fr-FR"/>
        </w:rPr>
        <w:t>Protocol</w:t>
      </w:r>
      <w:r w:rsidR="005778DD" w:rsidRPr="00961990">
        <w:rPr>
          <w:lang w:val="fr-FR"/>
        </w:rPr>
        <w:t>e</w:t>
      </w:r>
      <w:r w:rsidR="00855D9A" w:rsidRPr="00961990">
        <w:rPr>
          <w:lang w:val="fr-FR"/>
        </w:rPr>
        <w:t xml:space="preserve"> ou</w:t>
      </w:r>
      <w:r w:rsidR="005F08A9" w:rsidRPr="00961990">
        <w:rPr>
          <w:lang w:val="fr-FR"/>
        </w:rPr>
        <w:t xml:space="preserve"> </w:t>
      </w:r>
      <w:r w:rsidR="005778DD" w:rsidRPr="00961990">
        <w:rPr>
          <w:lang w:val="fr-FR"/>
        </w:rPr>
        <w:t xml:space="preserve">au </w:t>
      </w:r>
      <w:r w:rsidR="00205914" w:rsidRPr="00961990">
        <w:rPr>
          <w:lang w:val="fr-FR"/>
        </w:rPr>
        <w:t>règle</w:t>
      </w:r>
      <w:r w:rsidR="005778DD" w:rsidRPr="00961990">
        <w:rPr>
          <w:lang w:val="fr-FR"/>
        </w:rPr>
        <w:t>ment d</w:t>
      </w:r>
      <w:r w:rsidR="00197436" w:rsidRPr="00961990">
        <w:rPr>
          <w:lang w:val="fr-FR"/>
        </w:rPr>
        <w:t>’</w:t>
      </w:r>
      <w:r w:rsidR="005778DD" w:rsidRPr="00961990">
        <w:rPr>
          <w:lang w:val="fr-FR"/>
        </w:rPr>
        <w:t>exécution commun à l</w:t>
      </w:r>
      <w:r w:rsidR="00197436" w:rsidRPr="00961990">
        <w:rPr>
          <w:lang w:val="fr-FR"/>
        </w:rPr>
        <w:t>’</w:t>
      </w:r>
      <w:r w:rsidR="005778DD" w:rsidRPr="00961990">
        <w:rPr>
          <w:lang w:val="fr-FR"/>
        </w:rPr>
        <w:t>Arrangement de Madrid concernant l</w:t>
      </w:r>
      <w:r w:rsidR="00197436" w:rsidRPr="00961990">
        <w:rPr>
          <w:lang w:val="fr-FR"/>
        </w:rPr>
        <w:t>’</w:t>
      </w:r>
      <w:r w:rsidR="005778DD" w:rsidRPr="00961990">
        <w:rPr>
          <w:lang w:val="fr-FR"/>
        </w:rPr>
        <w:t>enregistrement international des marques et au Protocole relatif à cet Arrangement</w:t>
      </w:r>
      <w:r w:rsidR="005F08A9" w:rsidRPr="00961990">
        <w:rPr>
          <w:lang w:val="fr-FR"/>
        </w:rPr>
        <w:t xml:space="preserve"> (</w:t>
      </w:r>
      <w:r w:rsidR="005778DD" w:rsidRPr="00961990">
        <w:rPr>
          <w:lang w:val="fr-FR"/>
        </w:rPr>
        <w:t>ci</w:t>
      </w:r>
      <w:r w:rsidR="00CC6FBC" w:rsidRPr="00961990">
        <w:rPr>
          <w:lang w:val="fr-FR"/>
        </w:rPr>
        <w:noBreakHyphen/>
      </w:r>
      <w:r w:rsidR="005778DD" w:rsidRPr="00961990">
        <w:rPr>
          <w:lang w:val="fr-FR"/>
        </w:rPr>
        <w:t>après dénommé “règlement d</w:t>
      </w:r>
      <w:r w:rsidR="00197436" w:rsidRPr="00961990">
        <w:rPr>
          <w:lang w:val="fr-FR"/>
        </w:rPr>
        <w:t>’</w:t>
      </w:r>
      <w:r w:rsidR="005778DD" w:rsidRPr="00961990">
        <w:rPr>
          <w:lang w:val="fr-FR"/>
        </w:rPr>
        <w:t xml:space="preserve">exécution commun”), </w:t>
      </w:r>
      <w:r w:rsidR="00855D9A" w:rsidRPr="00961990">
        <w:rPr>
          <w:lang w:val="fr-FR"/>
        </w:rPr>
        <w:t xml:space="preserve">ou aux deux, </w:t>
      </w:r>
      <w:r w:rsidR="005778DD" w:rsidRPr="00961990">
        <w:rPr>
          <w:lang w:val="fr-FR"/>
        </w:rPr>
        <w:t>ou à la législation ou au</w:t>
      </w:r>
      <w:r w:rsidR="00107257" w:rsidRPr="00961990">
        <w:rPr>
          <w:lang w:val="fr-FR"/>
        </w:rPr>
        <w:t>x</w:t>
      </w:r>
      <w:r w:rsidR="005778DD" w:rsidRPr="00961990">
        <w:rPr>
          <w:lang w:val="fr-FR"/>
        </w:rPr>
        <w:t xml:space="preserve"> règlement</w:t>
      </w:r>
      <w:r w:rsidR="00107257" w:rsidRPr="00961990">
        <w:rPr>
          <w:lang w:val="fr-FR"/>
        </w:rPr>
        <w:t>s</w:t>
      </w:r>
      <w:r w:rsidR="005778DD" w:rsidRPr="00961990">
        <w:rPr>
          <w:lang w:val="fr-FR"/>
        </w:rPr>
        <w:t xml:space="preserve"> d</w:t>
      </w:r>
      <w:r w:rsidR="00197436" w:rsidRPr="00961990">
        <w:rPr>
          <w:lang w:val="fr-FR"/>
        </w:rPr>
        <w:t>’</w:t>
      </w:r>
      <w:r w:rsidR="005778DD" w:rsidRPr="00961990">
        <w:rPr>
          <w:lang w:val="fr-FR"/>
        </w:rPr>
        <w:t xml:space="preserve">application </w:t>
      </w:r>
      <w:r w:rsidR="004F704C" w:rsidRPr="00961990">
        <w:rPr>
          <w:lang w:val="fr-FR"/>
        </w:rPr>
        <w:t xml:space="preserve">pertinents </w:t>
      </w:r>
      <w:r w:rsidR="005778DD" w:rsidRPr="00961990">
        <w:rPr>
          <w:lang w:val="fr-FR"/>
        </w:rPr>
        <w:t>aux niveaux national ou région</w:t>
      </w:r>
      <w:r w:rsidR="00AA1806" w:rsidRPr="00961990">
        <w:rPr>
          <w:lang w:val="fr-FR"/>
        </w:rPr>
        <w:t>al.  La</w:t>
      </w:r>
      <w:r w:rsidR="005778DD" w:rsidRPr="00961990">
        <w:rPr>
          <w:lang w:val="fr-FR"/>
        </w:rPr>
        <w:t xml:space="preserve"> mise en œuvre d</w:t>
      </w:r>
      <w:r w:rsidR="00197436" w:rsidRPr="00961990">
        <w:rPr>
          <w:lang w:val="fr-FR"/>
        </w:rPr>
        <w:t>’</w:t>
      </w:r>
      <w:r w:rsidR="005778DD" w:rsidRPr="00961990">
        <w:rPr>
          <w:lang w:val="fr-FR"/>
        </w:rPr>
        <w:t>autres options nécessiterait des changements opérationnels et une transparence accrue.</w:t>
      </w:r>
    </w:p>
    <w:p w:rsidR="00197436" w:rsidRPr="00961990" w:rsidRDefault="005778DD" w:rsidP="00855CBF">
      <w:pPr>
        <w:pStyle w:val="ONUMFS"/>
        <w:rPr>
          <w:lang w:val="fr-FR"/>
        </w:rPr>
      </w:pPr>
      <w:r w:rsidRPr="00961990">
        <w:rPr>
          <w:lang w:val="fr-FR"/>
        </w:rPr>
        <w:t xml:space="preserve">Le présent </w:t>
      </w:r>
      <w:r w:rsidR="005F08A9" w:rsidRPr="00961990">
        <w:rPr>
          <w:lang w:val="fr-FR"/>
        </w:rPr>
        <w:t xml:space="preserve">document </w:t>
      </w:r>
      <w:r w:rsidRPr="00961990">
        <w:rPr>
          <w:lang w:val="fr-FR"/>
        </w:rPr>
        <w:t>vise à :</w:t>
      </w:r>
    </w:p>
    <w:p w:rsidR="00197436" w:rsidRPr="00961990" w:rsidRDefault="005778DD" w:rsidP="00855CBF">
      <w:pPr>
        <w:pStyle w:val="ONUMFS"/>
        <w:numPr>
          <w:ilvl w:val="2"/>
          <w:numId w:val="6"/>
        </w:numPr>
        <w:tabs>
          <w:tab w:val="clear" w:pos="1701"/>
          <w:tab w:val="num" w:pos="1134"/>
        </w:tabs>
        <w:ind w:left="567"/>
        <w:rPr>
          <w:lang w:val="fr-FR"/>
        </w:rPr>
      </w:pPr>
      <w:r w:rsidRPr="00961990">
        <w:rPr>
          <w:lang w:val="fr-FR"/>
        </w:rPr>
        <w:t xml:space="preserve">répertorier les </w:t>
      </w:r>
      <w:r w:rsidR="005F08A9" w:rsidRPr="00961990">
        <w:rPr>
          <w:lang w:val="fr-FR"/>
        </w:rPr>
        <w:t xml:space="preserve">options </w:t>
      </w:r>
      <w:r w:rsidR="0080029E" w:rsidRPr="00961990">
        <w:rPr>
          <w:lang w:val="fr-FR"/>
        </w:rPr>
        <w:t>disponibles sans les exposer en détail</w:t>
      </w:r>
      <w:r w:rsidR="005F08A9" w:rsidRPr="00961990">
        <w:rPr>
          <w:lang w:val="fr-FR"/>
        </w:rPr>
        <w:t>;</w:t>
      </w:r>
    </w:p>
    <w:p w:rsidR="00DB113E" w:rsidRPr="00961990" w:rsidRDefault="0080029E" w:rsidP="00855CBF">
      <w:pPr>
        <w:pStyle w:val="ONUMFS"/>
        <w:numPr>
          <w:ilvl w:val="2"/>
          <w:numId w:val="6"/>
        </w:numPr>
        <w:tabs>
          <w:tab w:val="clear" w:pos="1701"/>
          <w:tab w:val="num" w:pos="1134"/>
        </w:tabs>
        <w:ind w:left="567"/>
        <w:rPr>
          <w:lang w:val="fr-FR"/>
        </w:rPr>
      </w:pPr>
      <w:r w:rsidRPr="00961990">
        <w:rPr>
          <w:lang w:val="fr-FR"/>
        </w:rPr>
        <w:t>susciter une discussion plus approfondie afin de déterminer s</w:t>
      </w:r>
      <w:r w:rsidR="00197436" w:rsidRPr="00961990">
        <w:rPr>
          <w:lang w:val="fr-FR"/>
        </w:rPr>
        <w:t>’</w:t>
      </w:r>
      <w:r w:rsidRPr="00961990">
        <w:rPr>
          <w:lang w:val="fr-FR"/>
        </w:rPr>
        <w:t>il convient d</w:t>
      </w:r>
      <w:r w:rsidR="00197436" w:rsidRPr="00961990">
        <w:rPr>
          <w:lang w:val="fr-FR"/>
        </w:rPr>
        <w:t>’</w:t>
      </w:r>
      <w:r w:rsidRPr="00961990">
        <w:rPr>
          <w:lang w:val="fr-FR"/>
        </w:rPr>
        <w:t>inclure d</w:t>
      </w:r>
      <w:r w:rsidR="00197436" w:rsidRPr="00961990">
        <w:rPr>
          <w:lang w:val="fr-FR"/>
        </w:rPr>
        <w:t>’</w:t>
      </w:r>
      <w:r w:rsidRPr="00961990">
        <w:rPr>
          <w:lang w:val="fr-FR"/>
        </w:rPr>
        <w:t>autres options ou d</w:t>
      </w:r>
      <w:r w:rsidR="00197436" w:rsidRPr="00961990">
        <w:rPr>
          <w:lang w:val="fr-FR"/>
        </w:rPr>
        <w:t>’</w:t>
      </w:r>
      <w:r w:rsidRPr="00961990">
        <w:rPr>
          <w:lang w:val="fr-FR"/>
        </w:rPr>
        <w:t xml:space="preserve">écarter certaines des options présentées dans le présent </w:t>
      </w:r>
      <w:r w:rsidR="005F08A9" w:rsidRPr="00961990">
        <w:rPr>
          <w:lang w:val="fr-FR"/>
        </w:rPr>
        <w:t xml:space="preserve">document;  </w:t>
      </w:r>
      <w:r w:rsidRPr="00961990">
        <w:rPr>
          <w:lang w:val="fr-FR"/>
        </w:rPr>
        <w:t>et</w:t>
      </w:r>
    </w:p>
    <w:p w:rsidR="00197436" w:rsidRPr="00961990" w:rsidRDefault="0080029E" w:rsidP="00855CBF">
      <w:pPr>
        <w:pStyle w:val="ONUMFS"/>
        <w:numPr>
          <w:ilvl w:val="2"/>
          <w:numId w:val="6"/>
        </w:numPr>
        <w:tabs>
          <w:tab w:val="clear" w:pos="1701"/>
          <w:tab w:val="num" w:pos="1134"/>
        </w:tabs>
        <w:ind w:left="567"/>
        <w:rPr>
          <w:lang w:val="fr-FR"/>
        </w:rPr>
      </w:pPr>
      <w:r w:rsidRPr="00961990">
        <w:rPr>
          <w:lang w:val="fr-FR"/>
        </w:rPr>
        <w:t>définir les travaux auxquels la priorité doit être accordée lors des futures session</w:t>
      </w:r>
      <w:r w:rsidR="005F08A9" w:rsidRPr="00961990">
        <w:rPr>
          <w:lang w:val="fr-FR"/>
        </w:rPr>
        <w:t>s</w:t>
      </w:r>
      <w:r w:rsidRPr="00961990">
        <w:rPr>
          <w:lang w:val="fr-FR"/>
        </w:rPr>
        <w:t xml:space="preserve"> du groupe de travail ou de la table ronde</w:t>
      </w:r>
      <w:r w:rsidR="005F08A9" w:rsidRPr="00961990">
        <w:rPr>
          <w:lang w:val="fr-FR"/>
        </w:rPr>
        <w:t>.</w:t>
      </w:r>
    </w:p>
    <w:p w:rsidR="00197436" w:rsidRPr="00961990" w:rsidRDefault="00904CAE" w:rsidP="00855CBF">
      <w:pPr>
        <w:pStyle w:val="ONUMFS"/>
        <w:rPr>
          <w:lang w:val="fr-FR"/>
        </w:rPr>
      </w:pPr>
      <w:r w:rsidRPr="00961990">
        <w:rPr>
          <w:lang w:val="fr-FR"/>
        </w:rPr>
        <w:t>Les orientations données par le groupe de travail en ce qui concerne les options à examiner permettront au Bureau international de procéder à une analyse approfondie et de présenter ses conclusions lors des futures sessions du groupe de travail ou de la table ronde</w:t>
      </w:r>
      <w:r w:rsidR="005F08A9" w:rsidRPr="00961990">
        <w:rPr>
          <w:lang w:val="fr-FR"/>
        </w:rPr>
        <w:t>.</w:t>
      </w:r>
    </w:p>
    <w:p w:rsidR="00197436" w:rsidRPr="00961990" w:rsidRDefault="00510F4F" w:rsidP="00044E59">
      <w:pPr>
        <w:pStyle w:val="ONUMFS"/>
        <w:spacing w:after="0"/>
        <w:rPr>
          <w:lang w:val="fr-FR"/>
        </w:rPr>
      </w:pPr>
      <w:r w:rsidRPr="00961990">
        <w:rPr>
          <w:lang w:val="fr-FR"/>
        </w:rPr>
        <w:t xml:space="preserve">Le présent </w:t>
      </w:r>
      <w:r w:rsidR="005F08A9" w:rsidRPr="00961990">
        <w:rPr>
          <w:lang w:val="fr-FR"/>
        </w:rPr>
        <w:t xml:space="preserve">document </w:t>
      </w:r>
      <w:r w:rsidR="000642DE" w:rsidRPr="00961990">
        <w:rPr>
          <w:lang w:val="fr-FR"/>
        </w:rPr>
        <w:t>vise donc à définir un cadre utile pour orienter l</w:t>
      </w:r>
      <w:r w:rsidR="00197436" w:rsidRPr="00961990">
        <w:rPr>
          <w:lang w:val="fr-FR"/>
        </w:rPr>
        <w:t>’</w:t>
      </w:r>
      <w:r w:rsidR="000642DE" w:rsidRPr="00961990">
        <w:rPr>
          <w:lang w:val="fr-FR"/>
        </w:rPr>
        <w:t>évolution stratégique à long terme du système de Madrid</w:t>
      </w:r>
      <w:r w:rsidR="005F08A9" w:rsidRPr="00961990">
        <w:rPr>
          <w:lang w:val="fr-FR"/>
        </w:rPr>
        <w:t>.</w:t>
      </w:r>
    </w:p>
    <w:p w:rsidR="00DB113E" w:rsidRPr="00961990" w:rsidRDefault="00CC6FBC" w:rsidP="00855CBF">
      <w:pPr>
        <w:pStyle w:val="Heading1"/>
        <w:rPr>
          <w:lang w:val="fr-FR"/>
        </w:rPr>
      </w:pPr>
      <w:r w:rsidRPr="00961990">
        <w:rPr>
          <w:lang w:val="fr-FR"/>
        </w:rPr>
        <w:t>II.</w:t>
      </w:r>
      <w:r w:rsidRPr="00961990">
        <w:rPr>
          <w:lang w:val="fr-FR"/>
        </w:rPr>
        <w:tab/>
        <w:t>Portée géographique du système de Madrid</w:t>
      </w:r>
    </w:p>
    <w:p w:rsidR="00CC6FBC" w:rsidRPr="00961990" w:rsidRDefault="00CC6FBC" w:rsidP="00855CBF">
      <w:pPr>
        <w:rPr>
          <w:lang w:val="fr-FR"/>
        </w:rPr>
      </w:pPr>
    </w:p>
    <w:p w:rsidR="00197436" w:rsidRPr="00961990" w:rsidRDefault="000642DE" w:rsidP="00855CBF">
      <w:pPr>
        <w:pStyle w:val="ONUMFS"/>
        <w:rPr>
          <w:lang w:val="fr-FR"/>
        </w:rPr>
      </w:pPr>
      <w:r w:rsidRPr="00961990">
        <w:rPr>
          <w:lang w:val="fr-FR"/>
        </w:rPr>
        <w:t xml:space="preserve">À mesure </w:t>
      </w:r>
      <w:r w:rsidR="002A37D3" w:rsidRPr="00961990">
        <w:rPr>
          <w:lang w:val="fr-FR"/>
        </w:rPr>
        <w:t>que s</w:t>
      </w:r>
      <w:r w:rsidR="00197436" w:rsidRPr="00961990">
        <w:rPr>
          <w:lang w:val="fr-FR"/>
        </w:rPr>
        <w:t>’</w:t>
      </w:r>
      <w:r w:rsidR="002A37D3" w:rsidRPr="00961990">
        <w:rPr>
          <w:lang w:val="fr-FR"/>
        </w:rPr>
        <w:t>accroît la portée mondiale du système de Madrid, son intérêt augmente dans la mesure où il devient possible d</w:t>
      </w:r>
      <w:r w:rsidR="00197436" w:rsidRPr="00961990">
        <w:rPr>
          <w:lang w:val="fr-FR"/>
        </w:rPr>
        <w:t>’</w:t>
      </w:r>
      <w:r w:rsidR="002A37D3" w:rsidRPr="00961990">
        <w:rPr>
          <w:lang w:val="fr-FR"/>
        </w:rPr>
        <w:t>obtenir une protection dans davantage de pays en déposant une seule demande et de gérer l</w:t>
      </w:r>
      <w:r w:rsidR="00197436" w:rsidRPr="00961990">
        <w:rPr>
          <w:lang w:val="fr-FR"/>
        </w:rPr>
        <w:t>’</w:t>
      </w:r>
      <w:r w:rsidR="002A37D3" w:rsidRPr="00961990">
        <w:rPr>
          <w:lang w:val="fr-FR"/>
        </w:rPr>
        <w:t>ensemble des droits de manière centralisée</w:t>
      </w:r>
      <w:r w:rsidR="005F08A9" w:rsidRPr="00961990">
        <w:rPr>
          <w:lang w:val="fr-FR"/>
        </w:rPr>
        <w:t>.</w:t>
      </w:r>
    </w:p>
    <w:p w:rsidR="00197436" w:rsidRPr="00961990" w:rsidRDefault="002A37D3" w:rsidP="00855CBF">
      <w:pPr>
        <w:pStyle w:val="ONUMFS"/>
        <w:rPr>
          <w:lang w:val="fr-FR"/>
        </w:rPr>
      </w:pPr>
      <w:r w:rsidRPr="00961990">
        <w:rPr>
          <w:lang w:val="fr-FR"/>
        </w:rPr>
        <w:t>Les progrès réalisés dans l</w:t>
      </w:r>
      <w:r w:rsidR="00197436" w:rsidRPr="00961990">
        <w:rPr>
          <w:lang w:val="fr-FR"/>
        </w:rPr>
        <w:t>’</w:t>
      </w:r>
      <w:r w:rsidRPr="00961990">
        <w:rPr>
          <w:lang w:val="fr-FR"/>
        </w:rPr>
        <w:t>augmentation du nombre de parties au Protocole ont été significatifs au cours des dernières anné</w:t>
      </w:r>
      <w:r w:rsidR="00AA1806" w:rsidRPr="00961990">
        <w:rPr>
          <w:lang w:val="fr-FR"/>
        </w:rPr>
        <w:t>es.  Su</w:t>
      </w:r>
      <w:r w:rsidRPr="00961990">
        <w:rPr>
          <w:lang w:val="fr-FR"/>
        </w:rPr>
        <w:t>r la base des projections et informations actuellement disponibles, il est probable que d</w:t>
      </w:r>
      <w:r w:rsidR="00197436" w:rsidRPr="00961990">
        <w:rPr>
          <w:lang w:val="fr-FR"/>
        </w:rPr>
        <w:t>’</w:t>
      </w:r>
      <w:r w:rsidRPr="00961990">
        <w:rPr>
          <w:lang w:val="fr-FR"/>
        </w:rPr>
        <w:t>ici la fin de</w:t>
      </w:r>
      <w:r w:rsidR="00205914" w:rsidRPr="00961990">
        <w:rPr>
          <w:lang w:val="fr-FR"/>
        </w:rPr>
        <w:t> </w:t>
      </w:r>
      <w:r w:rsidRPr="00961990">
        <w:rPr>
          <w:lang w:val="fr-FR"/>
        </w:rPr>
        <w:t xml:space="preserve">2017, </w:t>
      </w:r>
      <w:r w:rsidR="004F704C" w:rsidRPr="00961990">
        <w:rPr>
          <w:lang w:val="fr-FR"/>
        </w:rPr>
        <w:t>la quasi</w:t>
      </w:r>
      <w:r w:rsidR="00CC6FBC" w:rsidRPr="00961990">
        <w:rPr>
          <w:lang w:val="fr-FR"/>
        </w:rPr>
        <w:noBreakHyphen/>
      </w:r>
      <w:r w:rsidR="004F704C" w:rsidRPr="00961990">
        <w:rPr>
          <w:lang w:val="fr-FR"/>
        </w:rPr>
        <w:t>totalité des pays membres de l</w:t>
      </w:r>
      <w:r w:rsidR="00197436" w:rsidRPr="00961990">
        <w:rPr>
          <w:lang w:val="fr-FR"/>
        </w:rPr>
        <w:t>’</w:t>
      </w:r>
      <w:r w:rsidR="004F704C" w:rsidRPr="00961990">
        <w:rPr>
          <w:lang w:val="fr-FR"/>
        </w:rPr>
        <w:t>Association des nations de l</w:t>
      </w:r>
      <w:r w:rsidR="00197436" w:rsidRPr="00961990">
        <w:rPr>
          <w:lang w:val="fr-FR"/>
        </w:rPr>
        <w:t>’</w:t>
      </w:r>
      <w:r w:rsidR="004F704C" w:rsidRPr="00961990">
        <w:rPr>
          <w:lang w:val="fr-FR"/>
        </w:rPr>
        <w:t>Asie du Sud</w:t>
      </w:r>
      <w:r w:rsidR="00CC6FBC" w:rsidRPr="00961990">
        <w:rPr>
          <w:lang w:val="fr-FR"/>
        </w:rPr>
        <w:noBreakHyphen/>
      </w:r>
      <w:r w:rsidR="004F704C" w:rsidRPr="00961990">
        <w:rPr>
          <w:lang w:val="fr-FR"/>
        </w:rPr>
        <w:t>Est (ASEAN) auront adhéré au systè</w:t>
      </w:r>
      <w:r w:rsidR="00AA1806" w:rsidRPr="00961990">
        <w:rPr>
          <w:lang w:val="fr-FR"/>
        </w:rPr>
        <w:t>me.  En</w:t>
      </w:r>
      <w:r w:rsidR="004F704C" w:rsidRPr="00961990">
        <w:rPr>
          <w:lang w:val="fr-FR"/>
        </w:rPr>
        <w:t xml:space="preserve"> outre, il est prévu que plusieurs autres pays deviendront membres d</w:t>
      </w:r>
      <w:r w:rsidR="00197436" w:rsidRPr="00961990">
        <w:rPr>
          <w:lang w:val="fr-FR"/>
        </w:rPr>
        <w:t>’</w:t>
      </w:r>
      <w:r w:rsidR="004F704C" w:rsidRPr="00961990">
        <w:rPr>
          <w:lang w:val="fr-FR"/>
        </w:rPr>
        <w:t xml:space="preserve">ici 2018, </w:t>
      </w:r>
      <w:r w:rsidR="00197436" w:rsidRPr="00961990">
        <w:rPr>
          <w:lang w:val="fr-FR"/>
        </w:rPr>
        <w:t>y compris</w:t>
      </w:r>
      <w:r w:rsidR="004F704C" w:rsidRPr="00961990">
        <w:rPr>
          <w:lang w:val="fr-FR"/>
        </w:rPr>
        <w:t xml:space="preserve"> le Canada et</w:t>
      </w:r>
      <w:r w:rsidR="005F08A9" w:rsidRPr="00961990">
        <w:rPr>
          <w:lang w:val="fr-FR"/>
        </w:rPr>
        <w:t xml:space="preserve">, </w:t>
      </w:r>
      <w:r w:rsidR="004F704C" w:rsidRPr="00961990">
        <w:rPr>
          <w:lang w:val="fr-FR"/>
        </w:rPr>
        <w:t>éventuellement, l</w:t>
      </w:r>
      <w:r w:rsidR="00197436" w:rsidRPr="00961990">
        <w:rPr>
          <w:lang w:val="fr-FR"/>
        </w:rPr>
        <w:t>’</w:t>
      </w:r>
      <w:r w:rsidR="004F704C" w:rsidRPr="00961990">
        <w:rPr>
          <w:lang w:val="fr-FR"/>
        </w:rPr>
        <w:t>Afrique du Sud</w:t>
      </w:r>
      <w:r w:rsidR="005F08A9" w:rsidRPr="00961990">
        <w:rPr>
          <w:lang w:val="fr-FR"/>
        </w:rPr>
        <w:t>.</w:t>
      </w:r>
    </w:p>
    <w:p w:rsidR="00197436" w:rsidRPr="00961990" w:rsidRDefault="004F704C" w:rsidP="00855CBF">
      <w:pPr>
        <w:pStyle w:val="ONUMFS"/>
        <w:rPr>
          <w:lang w:val="fr-FR"/>
        </w:rPr>
      </w:pPr>
      <w:r w:rsidRPr="00961990">
        <w:rPr>
          <w:lang w:val="fr-FR"/>
        </w:rPr>
        <w:t>En d</w:t>
      </w:r>
      <w:r w:rsidR="00197436" w:rsidRPr="00961990">
        <w:rPr>
          <w:lang w:val="fr-FR"/>
        </w:rPr>
        <w:t>’</w:t>
      </w:r>
      <w:r w:rsidRPr="00961990">
        <w:rPr>
          <w:lang w:val="fr-FR"/>
        </w:rPr>
        <w:t>autres termes, au cours des deux</w:t>
      </w:r>
      <w:r w:rsidR="00AA1806" w:rsidRPr="00961990">
        <w:rPr>
          <w:lang w:val="fr-FR"/>
        </w:rPr>
        <w:t xml:space="preserve"> </w:t>
      </w:r>
      <w:r w:rsidRPr="00961990">
        <w:rPr>
          <w:lang w:val="fr-FR"/>
        </w:rPr>
        <w:t>ou trois</w:t>
      </w:r>
      <w:r w:rsidR="00205914" w:rsidRPr="00961990">
        <w:rPr>
          <w:lang w:val="fr-FR"/>
        </w:rPr>
        <w:t> </w:t>
      </w:r>
      <w:r w:rsidRPr="00961990">
        <w:rPr>
          <w:lang w:val="fr-FR"/>
        </w:rPr>
        <w:t>prochaines années, le système de Madrid devrait avoir une large portée géographique et at</w:t>
      </w:r>
      <w:r w:rsidR="00EB514C" w:rsidRPr="00961990">
        <w:rPr>
          <w:lang w:val="fr-FR"/>
        </w:rPr>
        <w:t>teindra alors les limites de son expansion en Afrique, en Asie, en Europe et en Amérique du Nord.</w:t>
      </w:r>
    </w:p>
    <w:p w:rsidR="00197436" w:rsidRPr="00961990" w:rsidRDefault="00EB514C" w:rsidP="00044E59">
      <w:pPr>
        <w:pStyle w:val="ONUMFS"/>
        <w:spacing w:after="0"/>
        <w:rPr>
          <w:lang w:val="fr-FR"/>
        </w:rPr>
      </w:pPr>
      <w:r w:rsidRPr="00961990">
        <w:rPr>
          <w:lang w:val="fr-FR"/>
        </w:rPr>
        <w:t>Cela étant, le prochain objectif stratégique sera les pays d</w:t>
      </w:r>
      <w:r w:rsidR="00197436" w:rsidRPr="00961990">
        <w:rPr>
          <w:lang w:val="fr-FR"/>
        </w:rPr>
        <w:t>’</w:t>
      </w:r>
      <w:r w:rsidRPr="00961990">
        <w:rPr>
          <w:lang w:val="fr-FR"/>
        </w:rPr>
        <w:t xml:space="preserve">Amérique latine et les pays membres du Conseil de coopération du Golfe </w:t>
      </w:r>
      <w:r w:rsidR="005F08A9" w:rsidRPr="00961990">
        <w:rPr>
          <w:lang w:val="fr-FR"/>
        </w:rPr>
        <w:t>(CC</w:t>
      </w:r>
      <w:r w:rsidRPr="00961990">
        <w:rPr>
          <w:lang w:val="fr-FR"/>
        </w:rPr>
        <w:t>G</w:t>
      </w:r>
      <w:r w:rsidR="005F08A9" w:rsidRPr="00961990">
        <w:rPr>
          <w:lang w:val="fr-FR"/>
        </w:rPr>
        <w:t>)</w:t>
      </w:r>
      <w:r w:rsidR="005F08A9" w:rsidRPr="00961990">
        <w:rPr>
          <w:rStyle w:val="FootnoteReference"/>
          <w:lang w:val="fr-FR"/>
        </w:rPr>
        <w:footnoteReference w:id="3"/>
      </w:r>
      <w:r w:rsidR="005F08A9" w:rsidRPr="00961990">
        <w:rPr>
          <w:lang w:val="fr-FR"/>
        </w:rPr>
        <w:t>.</w:t>
      </w:r>
    </w:p>
    <w:p w:rsidR="00DB113E" w:rsidRPr="00961990" w:rsidRDefault="00CC6FBC" w:rsidP="00855CBF">
      <w:pPr>
        <w:pStyle w:val="Heading1"/>
        <w:rPr>
          <w:lang w:val="fr-FR"/>
        </w:rPr>
      </w:pPr>
      <w:r w:rsidRPr="00961990">
        <w:rPr>
          <w:lang w:val="fr-FR"/>
        </w:rPr>
        <w:t>III.</w:t>
      </w:r>
      <w:r w:rsidRPr="00961990">
        <w:rPr>
          <w:lang w:val="fr-FR"/>
        </w:rPr>
        <w:tab/>
        <w:t>Options concernant la conception du système de Madrid</w:t>
      </w:r>
    </w:p>
    <w:p w:rsidR="00DB113E" w:rsidRPr="00961990" w:rsidRDefault="00CC6FBC" w:rsidP="00855CBF">
      <w:pPr>
        <w:pStyle w:val="Heading2"/>
        <w:rPr>
          <w:lang w:val="fr-FR"/>
        </w:rPr>
      </w:pPr>
      <w:r w:rsidRPr="00961990">
        <w:rPr>
          <w:lang w:val="fr-FR"/>
        </w:rPr>
        <w:t>Droit de déposer une demande internationale</w:t>
      </w:r>
    </w:p>
    <w:p w:rsidR="00CC6FBC" w:rsidRPr="00961990" w:rsidRDefault="00CC6FBC" w:rsidP="00855CBF">
      <w:pPr>
        <w:rPr>
          <w:lang w:val="fr-FR"/>
        </w:rPr>
      </w:pPr>
    </w:p>
    <w:p w:rsidR="00197436" w:rsidRPr="00961990" w:rsidRDefault="00EB514C" w:rsidP="00855CBF">
      <w:pPr>
        <w:pStyle w:val="ONUMFS"/>
        <w:rPr>
          <w:lang w:val="fr-FR"/>
        </w:rPr>
      </w:pPr>
      <w:r w:rsidRPr="00961990">
        <w:rPr>
          <w:lang w:val="fr-FR"/>
        </w:rPr>
        <w:t>P</w:t>
      </w:r>
      <w:r w:rsidRPr="00961990">
        <w:rPr>
          <w:lang w:val="fr-FR"/>
        </w:rPr>
        <w:t xml:space="preserve">our déposer une demande internationale, un déposant </w:t>
      </w:r>
      <w:r w:rsidR="00B43111" w:rsidRPr="00961990">
        <w:rPr>
          <w:lang w:val="fr-FR"/>
        </w:rPr>
        <w:t>doit avoir qualité pour le faire, c</w:t>
      </w:r>
      <w:r w:rsidR="00197436" w:rsidRPr="00961990">
        <w:rPr>
          <w:lang w:val="fr-FR"/>
        </w:rPr>
        <w:t>’</w:t>
      </w:r>
      <w:r w:rsidR="00B43111" w:rsidRPr="00961990">
        <w:rPr>
          <w:lang w:val="fr-FR"/>
        </w:rPr>
        <w:t>est</w:t>
      </w:r>
      <w:r w:rsidR="00CC6FBC" w:rsidRPr="00961990">
        <w:rPr>
          <w:lang w:val="fr-FR"/>
        </w:rPr>
        <w:noBreakHyphen/>
      </w:r>
      <w:r w:rsidR="00B43111" w:rsidRPr="00961990">
        <w:rPr>
          <w:lang w:val="fr-FR"/>
        </w:rPr>
        <w:t>à</w:t>
      </w:r>
      <w:r w:rsidR="00CC6FBC" w:rsidRPr="00961990">
        <w:rPr>
          <w:lang w:val="fr-FR"/>
        </w:rPr>
        <w:noBreakHyphen/>
      </w:r>
      <w:r w:rsidR="00B43111" w:rsidRPr="00961990">
        <w:rPr>
          <w:lang w:val="fr-FR"/>
        </w:rPr>
        <w:t>dire qu</w:t>
      </w:r>
      <w:r w:rsidR="00197436" w:rsidRPr="00961990">
        <w:rPr>
          <w:lang w:val="fr-FR"/>
        </w:rPr>
        <w:t>’</w:t>
      </w:r>
      <w:r w:rsidR="00B43111" w:rsidRPr="00961990">
        <w:rPr>
          <w:lang w:val="fr-FR"/>
        </w:rPr>
        <w:t xml:space="preserve">il doit avoir la nationalité de la partie contractante dans laquelle il est </w:t>
      </w:r>
      <w:r w:rsidR="009C6463">
        <w:rPr>
          <w:lang w:val="fr-FR"/>
        </w:rPr>
        <w:t>titulaire</w:t>
      </w:r>
      <w:r w:rsidR="00B43111" w:rsidRPr="00961990">
        <w:rPr>
          <w:lang w:val="fr-FR"/>
        </w:rPr>
        <w:t xml:space="preserve"> de la marque de base, y être domicilié ou y posséder </w:t>
      </w:r>
      <w:r w:rsidR="00855D9A" w:rsidRPr="00961990">
        <w:rPr>
          <w:lang w:val="fr-FR"/>
        </w:rPr>
        <w:t xml:space="preserve">un </w:t>
      </w:r>
      <w:r w:rsidR="00B43111" w:rsidRPr="00961990">
        <w:rPr>
          <w:lang w:val="fr-FR"/>
        </w:rPr>
        <w:t xml:space="preserve">établissement </w:t>
      </w:r>
      <w:r w:rsidR="00F1046B" w:rsidRPr="00961990">
        <w:rPr>
          <w:lang w:val="fr-FR"/>
        </w:rPr>
        <w:t xml:space="preserve">industriel ou </w:t>
      </w:r>
      <w:r w:rsidR="00B43111" w:rsidRPr="00961990">
        <w:rPr>
          <w:lang w:val="fr-FR"/>
        </w:rPr>
        <w:t>commercial effectif et sérieux</w:t>
      </w:r>
      <w:r w:rsidR="005F08A9" w:rsidRPr="00961990">
        <w:rPr>
          <w:lang w:val="fr-FR"/>
        </w:rPr>
        <w:t>.</w:t>
      </w:r>
    </w:p>
    <w:p w:rsidR="00197436" w:rsidRPr="00961990" w:rsidRDefault="000401D9" w:rsidP="00855CBF">
      <w:pPr>
        <w:pStyle w:val="ONUMFS"/>
        <w:rPr>
          <w:lang w:val="fr-FR"/>
        </w:rPr>
      </w:pPr>
      <w:r w:rsidRPr="00961990">
        <w:rPr>
          <w:lang w:val="fr-FR"/>
        </w:rPr>
        <w:t>Une o</w:t>
      </w:r>
      <w:r w:rsidR="005F08A9" w:rsidRPr="00961990">
        <w:rPr>
          <w:lang w:val="fr-FR"/>
        </w:rPr>
        <w:t xml:space="preserve">ption </w:t>
      </w:r>
      <w:r w:rsidRPr="00961990">
        <w:rPr>
          <w:lang w:val="fr-FR"/>
        </w:rPr>
        <w:t xml:space="preserve">à étudier </w:t>
      </w:r>
      <w:r w:rsidR="00112395" w:rsidRPr="00961990">
        <w:rPr>
          <w:lang w:val="fr-FR"/>
        </w:rPr>
        <w:t>concernerait la question de savoir s</w:t>
      </w:r>
      <w:r w:rsidR="00197436" w:rsidRPr="00961990">
        <w:rPr>
          <w:lang w:val="fr-FR"/>
        </w:rPr>
        <w:t>’</w:t>
      </w:r>
      <w:r w:rsidR="00112395" w:rsidRPr="00961990">
        <w:rPr>
          <w:lang w:val="fr-FR"/>
        </w:rPr>
        <w:t>il convient d</w:t>
      </w:r>
      <w:r w:rsidR="00197436" w:rsidRPr="00961990">
        <w:rPr>
          <w:lang w:val="fr-FR"/>
        </w:rPr>
        <w:t>’</w:t>
      </w:r>
      <w:r w:rsidR="00112395" w:rsidRPr="00961990">
        <w:rPr>
          <w:lang w:val="fr-FR"/>
        </w:rPr>
        <w:t>alléger ou de supprimer l</w:t>
      </w:r>
      <w:r w:rsidR="00197436" w:rsidRPr="00961990">
        <w:rPr>
          <w:lang w:val="fr-FR"/>
        </w:rPr>
        <w:t>’</w:t>
      </w:r>
      <w:r w:rsidR="00112395" w:rsidRPr="00961990">
        <w:rPr>
          <w:lang w:val="fr-FR"/>
        </w:rPr>
        <w:t>exigence relative à la qualité pour déposer une demande et de quelle manière, probablement en allégeant l</w:t>
      </w:r>
      <w:r w:rsidR="00197436" w:rsidRPr="00961990">
        <w:rPr>
          <w:lang w:val="fr-FR"/>
        </w:rPr>
        <w:t>’</w:t>
      </w:r>
      <w:r w:rsidR="00112395" w:rsidRPr="00961990">
        <w:rPr>
          <w:lang w:val="fr-FR"/>
        </w:rPr>
        <w:t xml:space="preserve">exigence actuelle </w:t>
      </w:r>
      <w:r w:rsidR="00855D9A" w:rsidRPr="00961990">
        <w:rPr>
          <w:lang w:val="fr-FR"/>
        </w:rPr>
        <w:t>d</w:t>
      </w:r>
      <w:r w:rsidR="00197436" w:rsidRPr="00961990">
        <w:rPr>
          <w:lang w:val="fr-FR"/>
        </w:rPr>
        <w:t>’</w:t>
      </w:r>
      <w:r w:rsidR="00855D9A" w:rsidRPr="00961990">
        <w:rPr>
          <w:lang w:val="fr-FR"/>
        </w:rPr>
        <w:t>existence d</w:t>
      </w:r>
      <w:r w:rsidR="00197436" w:rsidRPr="00961990">
        <w:rPr>
          <w:lang w:val="fr-FR"/>
        </w:rPr>
        <w:t>’</w:t>
      </w:r>
      <w:r w:rsidR="00855D9A" w:rsidRPr="00961990">
        <w:rPr>
          <w:lang w:val="fr-FR"/>
        </w:rPr>
        <w:t xml:space="preserve">un lien pour pouvoir déposer une demande </w:t>
      </w:r>
      <w:r w:rsidR="005F08A9" w:rsidRPr="00961990">
        <w:rPr>
          <w:lang w:val="fr-FR"/>
        </w:rPr>
        <w:t>international</w:t>
      </w:r>
      <w:r w:rsidR="00855D9A" w:rsidRPr="00961990">
        <w:rPr>
          <w:lang w:val="fr-FR"/>
        </w:rPr>
        <w:t>e</w:t>
      </w:r>
      <w:r w:rsidR="005F08A9" w:rsidRPr="00961990">
        <w:rPr>
          <w:lang w:val="fr-FR"/>
        </w:rPr>
        <w:t>.</w:t>
      </w:r>
    </w:p>
    <w:p w:rsidR="00197436" w:rsidRPr="00961990" w:rsidRDefault="00855D9A" w:rsidP="00044E59">
      <w:pPr>
        <w:pStyle w:val="ONUMFS"/>
        <w:spacing w:after="0"/>
        <w:rPr>
          <w:lang w:val="fr-FR"/>
        </w:rPr>
      </w:pPr>
      <w:r w:rsidRPr="00961990">
        <w:rPr>
          <w:lang w:val="fr-FR"/>
        </w:rPr>
        <w:t>La mise en œuvre de cette option pourrait nécessiter une révision du Protocole et du règle</w:t>
      </w:r>
      <w:r w:rsidRPr="00961990">
        <w:rPr>
          <w:lang w:val="fr-FR"/>
        </w:rPr>
        <w:t>ment d</w:t>
      </w:r>
      <w:r w:rsidR="00197436" w:rsidRPr="00961990">
        <w:rPr>
          <w:lang w:val="fr-FR"/>
        </w:rPr>
        <w:t>’</w:t>
      </w:r>
      <w:r w:rsidRPr="00961990">
        <w:rPr>
          <w:lang w:val="fr-FR"/>
        </w:rPr>
        <w:t>exécution</w:t>
      </w:r>
      <w:r w:rsidR="00114A4D">
        <w:rPr>
          <w:lang w:val="fr-FR"/>
        </w:rPr>
        <w:t xml:space="preserve"> commun</w:t>
      </w:r>
      <w:r w:rsidR="005F08A9" w:rsidRPr="00961990">
        <w:rPr>
          <w:lang w:val="fr-FR"/>
        </w:rPr>
        <w:t>.</w:t>
      </w:r>
    </w:p>
    <w:p w:rsidR="00DB113E" w:rsidRPr="00961990" w:rsidRDefault="00CC6FBC" w:rsidP="00855CBF">
      <w:pPr>
        <w:pStyle w:val="Heading2"/>
        <w:rPr>
          <w:lang w:val="fr-FR"/>
        </w:rPr>
      </w:pPr>
      <w:r w:rsidRPr="00961990">
        <w:rPr>
          <w:lang w:val="fr-FR"/>
        </w:rPr>
        <w:t>Exigence d’une marque de base</w:t>
      </w:r>
    </w:p>
    <w:p w:rsidR="00DB113E" w:rsidRPr="00961990" w:rsidRDefault="005F08A9" w:rsidP="00855CBF">
      <w:pPr>
        <w:pStyle w:val="Heading3"/>
        <w:rPr>
          <w:lang w:val="fr-FR"/>
        </w:rPr>
      </w:pPr>
      <w:r w:rsidRPr="00961990">
        <w:rPr>
          <w:u w:val="none"/>
          <w:lang w:val="fr-FR"/>
        </w:rPr>
        <w:t>a)</w:t>
      </w:r>
      <w:r w:rsidRPr="00961990">
        <w:rPr>
          <w:u w:val="none"/>
          <w:lang w:val="fr-FR"/>
        </w:rPr>
        <w:tab/>
      </w:r>
      <w:r w:rsidRPr="00961990">
        <w:rPr>
          <w:lang w:val="fr-FR"/>
        </w:rPr>
        <w:t>Mar</w:t>
      </w:r>
      <w:r w:rsidR="00855D9A" w:rsidRPr="00961990">
        <w:rPr>
          <w:lang w:val="fr-FR"/>
        </w:rPr>
        <w:t>que</w:t>
      </w:r>
    </w:p>
    <w:p w:rsidR="00CC6FBC" w:rsidRPr="00961990" w:rsidRDefault="00CC6FBC" w:rsidP="00855CBF">
      <w:pPr>
        <w:rPr>
          <w:lang w:val="fr-FR"/>
        </w:rPr>
      </w:pPr>
    </w:p>
    <w:p w:rsidR="00197436" w:rsidRPr="00961990" w:rsidRDefault="005F08A9" w:rsidP="00855CBF">
      <w:pPr>
        <w:pStyle w:val="ONUMFS"/>
        <w:rPr>
          <w:lang w:val="fr-FR"/>
        </w:rPr>
      </w:pPr>
      <w:r w:rsidRPr="00961990">
        <w:rPr>
          <w:lang w:val="fr-FR"/>
        </w:rPr>
        <w:t>S</w:t>
      </w:r>
      <w:r w:rsidR="00583481" w:rsidRPr="00961990">
        <w:rPr>
          <w:lang w:val="fr-FR"/>
        </w:rPr>
        <w:t>ans aller jusqu</w:t>
      </w:r>
      <w:r w:rsidR="00197436" w:rsidRPr="00961990">
        <w:rPr>
          <w:lang w:val="fr-FR"/>
        </w:rPr>
        <w:t>’</w:t>
      </w:r>
      <w:r w:rsidR="00583481" w:rsidRPr="00961990">
        <w:rPr>
          <w:lang w:val="fr-FR"/>
        </w:rPr>
        <w:t>à supprimer la nécessité d</w:t>
      </w:r>
      <w:r w:rsidR="00197436" w:rsidRPr="00961990">
        <w:rPr>
          <w:lang w:val="fr-FR"/>
        </w:rPr>
        <w:t>’</w:t>
      </w:r>
      <w:r w:rsidR="00583481" w:rsidRPr="00961990">
        <w:rPr>
          <w:lang w:val="fr-FR"/>
        </w:rPr>
        <w:t>une marque de base, la question se pose de savoir quels critères doivent être utilisés pour déterminer si la marque faisant l</w:t>
      </w:r>
      <w:r w:rsidR="00197436" w:rsidRPr="00961990">
        <w:rPr>
          <w:lang w:val="fr-FR"/>
        </w:rPr>
        <w:t>’</w:t>
      </w:r>
      <w:r w:rsidR="00583481" w:rsidRPr="00961990">
        <w:rPr>
          <w:lang w:val="fr-FR"/>
        </w:rPr>
        <w:t xml:space="preserve">objet de la demande internationale </w:t>
      </w:r>
      <w:r w:rsidRPr="00961990">
        <w:rPr>
          <w:lang w:val="fr-FR"/>
        </w:rPr>
        <w:t>correspond</w:t>
      </w:r>
      <w:r w:rsidR="00583481" w:rsidRPr="00961990">
        <w:rPr>
          <w:lang w:val="fr-FR"/>
        </w:rPr>
        <w:t xml:space="preserve"> à la marque de base</w:t>
      </w:r>
      <w:r w:rsidRPr="00961990">
        <w:rPr>
          <w:lang w:val="fr-FR"/>
        </w:rPr>
        <w:t>.</w:t>
      </w:r>
    </w:p>
    <w:p w:rsidR="00197436" w:rsidRPr="00961990" w:rsidRDefault="00583481" w:rsidP="00855CBF">
      <w:pPr>
        <w:pStyle w:val="ONUMFS"/>
        <w:rPr>
          <w:lang w:val="fr-FR"/>
        </w:rPr>
      </w:pPr>
      <w:r w:rsidRPr="00961990">
        <w:rPr>
          <w:lang w:val="fr-FR"/>
        </w:rPr>
        <w:t xml:space="preserve">La question de savoir si des marques dans des caractères différents peuvent être considérées comme la même marque à des fins de </w:t>
      </w:r>
      <w:r w:rsidR="005F08A9" w:rsidRPr="00961990">
        <w:rPr>
          <w:lang w:val="fr-FR"/>
        </w:rPr>
        <w:t xml:space="preserve">certification </w:t>
      </w:r>
      <w:r w:rsidRPr="00961990">
        <w:rPr>
          <w:lang w:val="fr-FR"/>
        </w:rPr>
        <w:t>a été examinée lors de la table ronde du Groupe de travail de Madrid tenue en</w:t>
      </w:r>
      <w:r w:rsidR="00205914" w:rsidRPr="00961990">
        <w:rPr>
          <w:lang w:val="fr-FR"/>
        </w:rPr>
        <w:t> </w:t>
      </w:r>
      <w:r w:rsidRPr="00961990">
        <w:rPr>
          <w:lang w:val="fr-FR"/>
        </w:rPr>
        <w:t>2015</w:t>
      </w:r>
      <w:r w:rsidR="005F08A9" w:rsidRPr="00961990">
        <w:rPr>
          <w:rStyle w:val="FootnoteReference"/>
          <w:lang w:val="fr-FR"/>
        </w:rPr>
        <w:footnoteReference w:id="4"/>
      </w:r>
      <w:r w:rsidR="005F08A9" w:rsidRPr="00961990">
        <w:rPr>
          <w:lang w:val="fr-FR"/>
        </w:rPr>
        <w:t xml:space="preserve">.  </w:t>
      </w:r>
      <w:r w:rsidR="00405AF9" w:rsidRPr="00961990">
        <w:rPr>
          <w:lang w:val="fr-FR"/>
        </w:rPr>
        <w:t xml:space="preserve">Le contexte </w:t>
      </w:r>
      <w:r w:rsidR="00ED2D1C" w:rsidRPr="00961990">
        <w:rPr>
          <w:lang w:val="fr-FR"/>
        </w:rPr>
        <w:t>sur lequel s</w:t>
      </w:r>
      <w:r w:rsidR="00197436" w:rsidRPr="00961990">
        <w:rPr>
          <w:lang w:val="fr-FR"/>
        </w:rPr>
        <w:t>’</w:t>
      </w:r>
      <w:r w:rsidR="00ED2D1C" w:rsidRPr="00961990">
        <w:rPr>
          <w:lang w:val="fr-FR"/>
        </w:rPr>
        <w:t xml:space="preserve">est fondé le </w:t>
      </w:r>
      <w:r w:rsidR="00405AF9" w:rsidRPr="00961990">
        <w:rPr>
          <w:lang w:val="fr-FR"/>
        </w:rPr>
        <w:t xml:space="preserve">débat </w:t>
      </w:r>
      <w:r w:rsidR="00ED2D1C" w:rsidRPr="00961990">
        <w:rPr>
          <w:lang w:val="fr-FR"/>
        </w:rPr>
        <w:t>était que la notion de “</w:t>
      </w:r>
      <w:r w:rsidR="005F08A9" w:rsidRPr="00961990">
        <w:rPr>
          <w:lang w:val="fr-FR"/>
        </w:rPr>
        <w:t>correspond</w:t>
      </w:r>
      <w:r w:rsidR="00ED2D1C" w:rsidRPr="00961990">
        <w:rPr>
          <w:lang w:val="fr-FR"/>
        </w:rPr>
        <w:t>a</w:t>
      </w:r>
      <w:r w:rsidR="005F08A9" w:rsidRPr="00961990">
        <w:rPr>
          <w:lang w:val="fr-FR"/>
        </w:rPr>
        <w:t>nce</w:t>
      </w:r>
      <w:r w:rsidR="00ED2D1C" w:rsidRPr="00961990">
        <w:rPr>
          <w:lang w:val="fr-FR"/>
        </w:rPr>
        <w:t>”</w:t>
      </w:r>
      <w:r w:rsidR="005F08A9" w:rsidRPr="00961990">
        <w:rPr>
          <w:lang w:val="fr-FR"/>
        </w:rPr>
        <w:t xml:space="preserve">, </w:t>
      </w:r>
      <w:r w:rsidR="00ED2D1C" w:rsidRPr="00961990">
        <w:rPr>
          <w:lang w:val="fr-FR"/>
        </w:rPr>
        <w:t>telle qu</w:t>
      </w:r>
      <w:r w:rsidR="00197436" w:rsidRPr="00961990">
        <w:rPr>
          <w:lang w:val="fr-FR"/>
        </w:rPr>
        <w:t>’</w:t>
      </w:r>
      <w:r w:rsidR="00ED2D1C" w:rsidRPr="00961990">
        <w:rPr>
          <w:lang w:val="fr-FR"/>
        </w:rPr>
        <w:t>elle apparaît à l</w:t>
      </w:r>
      <w:r w:rsidR="00197436" w:rsidRPr="00961990">
        <w:rPr>
          <w:lang w:val="fr-FR"/>
        </w:rPr>
        <w:t>’</w:t>
      </w:r>
      <w:r w:rsidR="00ED2D1C" w:rsidRPr="00961990">
        <w:rPr>
          <w:lang w:val="fr-FR"/>
        </w:rPr>
        <w:t>article </w:t>
      </w:r>
      <w:r w:rsidR="005F08A9" w:rsidRPr="00961990">
        <w:rPr>
          <w:lang w:val="fr-FR"/>
        </w:rPr>
        <w:t>3</w:t>
      </w:r>
      <w:r w:rsidR="00ED2D1C" w:rsidRPr="00961990">
        <w:rPr>
          <w:lang w:val="fr-FR"/>
        </w:rPr>
        <w:t>.</w:t>
      </w:r>
      <w:r w:rsidR="005F08A9" w:rsidRPr="00961990">
        <w:rPr>
          <w:lang w:val="fr-FR"/>
        </w:rPr>
        <w:t xml:space="preserve">1) </w:t>
      </w:r>
      <w:r w:rsidR="00ED2D1C" w:rsidRPr="00961990">
        <w:rPr>
          <w:lang w:val="fr-FR"/>
        </w:rPr>
        <w:t>du Protocole, a été remplacée par la notion plus restrictive d</w:t>
      </w:r>
      <w:r w:rsidR="00197436" w:rsidRPr="00961990">
        <w:rPr>
          <w:lang w:val="fr-FR"/>
        </w:rPr>
        <w:t>’</w:t>
      </w:r>
      <w:r w:rsidR="00ED2D1C" w:rsidRPr="00961990">
        <w:rPr>
          <w:lang w:val="fr-FR"/>
        </w:rPr>
        <w:t>“</w:t>
      </w:r>
      <w:r w:rsidR="00DA308C" w:rsidRPr="00961990">
        <w:rPr>
          <w:lang w:val="fr-FR"/>
        </w:rPr>
        <w:t>identité” à la règle </w:t>
      </w:r>
      <w:r w:rsidR="005F08A9" w:rsidRPr="00961990">
        <w:rPr>
          <w:lang w:val="fr-FR"/>
        </w:rPr>
        <w:t>9</w:t>
      </w:r>
      <w:r w:rsidR="00DA308C" w:rsidRPr="00961990">
        <w:rPr>
          <w:lang w:val="fr-FR"/>
        </w:rPr>
        <w:t>.</w:t>
      </w:r>
      <w:r w:rsidR="005F08A9" w:rsidRPr="00961990">
        <w:rPr>
          <w:lang w:val="fr-FR"/>
        </w:rPr>
        <w:t>5)d</w:t>
      </w:r>
      <w:proofErr w:type="gramStart"/>
      <w:r w:rsidR="005F08A9" w:rsidRPr="00961990">
        <w:rPr>
          <w:lang w:val="fr-FR"/>
        </w:rPr>
        <w:t>)iv</w:t>
      </w:r>
      <w:proofErr w:type="gramEnd"/>
      <w:r w:rsidR="005F08A9" w:rsidRPr="00961990">
        <w:rPr>
          <w:lang w:val="fr-FR"/>
        </w:rPr>
        <w:t xml:space="preserve">) </w:t>
      </w:r>
      <w:r w:rsidR="00DA308C" w:rsidRPr="00961990">
        <w:rPr>
          <w:lang w:val="fr-FR"/>
        </w:rPr>
        <w:t>du règlement d</w:t>
      </w:r>
      <w:r w:rsidR="00197436" w:rsidRPr="00961990">
        <w:rPr>
          <w:lang w:val="fr-FR"/>
        </w:rPr>
        <w:t>’</w:t>
      </w:r>
      <w:r w:rsidR="00DA308C" w:rsidRPr="00961990">
        <w:rPr>
          <w:lang w:val="fr-FR"/>
        </w:rPr>
        <w:t>exécution comm</w:t>
      </w:r>
      <w:r w:rsidR="00AA1806" w:rsidRPr="00961990">
        <w:rPr>
          <w:lang w:val="fr-FR"/>
        </w:rPr>
        <w:t>un.  Il</w:t>
      </w:r>
      <w:r w:rsidR="009B7D02" w:rsidRPr="00961990">
        <w:rPr>
          <w:lang w:val="fr-FR"/>
        </w:rPr>
        <w:t xml:space="preserve"> est ressorti des débats que les offices suivent avec plus ou moins de rigueur la procédure de certification en vue de déterminer si les marques sont les mêm</w:t>
      </w:r>
      <w:r w:rsidR="00AA1806" w:rsidRPr="00961990">
        <w:rPr>
          <w:lang w:val="fr-FR"/>
        </w:rPr>
        <w:t>es.  Il</w:t>
      </w:r>
      <w:r w:rsidR="009B7D02" w:rsidRPr="00961990">
        <w:rPr>
          <w:lang w:val="fr-FR"/>
        </w:rPr>
        <w:t xml:space="preserve"> serait intéressant d</w:t>
      </w:r>
      <w:r w:rsidR="00197436" w:rsidRPr="00961990">
        <w:rPr>
          <w:lang w:val="fr-FR"/>
        </w:rPr>
        <w:t>’</w:t>
      </w:r>
      <w:r w:rsidR="004D296C" w:rsidRPr="00961990">
        <w:rPr>
          <w:lang w:val="fr-FR"/>
        </w:rPr>
        <w:t>évaluer</w:t>
      </w:r>
      <w:r w:rsidR="009B7D02" w:rsidRPr="00961990">
        <w:rPr>
          <w:lang w:val="fr-FR"/>
        </w:rPr>
        <w:t xml:space="preserve"> la possibilité </w:t>
      </w:r>
      <w:r w:rsidR="004D296C" w:rsidRPr="00961990">
        <w:rPr>
          <w:lang w:val="fr-FR"/>
        </w:rPr>
        <w:t>d</w:t>
      </w:r>
      <w:r w:rsidR="00197436" w:rsidRPr="00961990">
        <w:rPr>
          <w:lang w:val="fr-FR"/>
        </w:rPr>
        <w:t>’</w:t>
      </w:r>
      <w:r w:rsidR="004D296C" w:rsidRPr="00961990">
        <w:rPr>
          <w:lang w:val="fr-FR"/>
        </w:rPr>
        <w:t>aligner</w:t>
      </w:r>
      <w:r w:rsidR="00266101" w:rsidRPr="00961990">
        <w:rPr>
          <w:lang w:val="fr-FR"/>
        </w:rPr>
        <w:t xml:space="preserve"> les dispositions du P</w:t>
      </w:r>
      <w:r w:rsidR="005F08A9" w:rsidRPr="00961990">
        <w:rPr>
          <w:lang w:val="fr-FR"/>
        </w:rPr>
        <w:t>rotocol</w:t>
      </w:r>
      <w:r w:rsidR="00266101" w:rsidRPr="00961990">
        <w:rPr>
          <w:lang w:val="fr-FR"/>
        </w:rPr>
        <w:t>e et celles du règlement commun d</w:t>
      </w:r>
      <w:r w:rsidR="00197436" w:rsidRPr="00961990">
        <w:rPr>
          <w:lang w:val="fr-FR"/>
        </w:rPr>
        <w:t>’</w:t>
      </w:r>
      <w:r w:rsidR="00266101" w:rsidRPr="00961990">
        <w:rPr>
          <w:lang w:val="fr-FR"/>
        </w:rPr>
        <w:t xml:space="preserve">exécution, de sorte que les </w:t>
      </w:r>
      <w:r w:rsidR="00107257" w:rsidRPr="00961990">
        <w:rPr>
          <w:lang w:val="fr-FR"/>
        </w:rPr>
        <w:t>titulaires</w:t>
      </w:r>
      <w:r w:rsidR="00266101" w:rsidRPr="00961990">
        <w:rPr>
          <w:lang w:val="fr-FR"/>
        </w:rPr>
        <w:t xml:space="preserve"> puissent déposer des demandes internationales pour des marques qui, de l</w:t>
      </w:r>
      <w:r w:rsidR="00197436" w:rsidRPr="00961990">
        <w:rPr>
          <w:lang w:val="fr-FR"/>
        </w:rPr>
        <w:t>’</w:t>
      </w:r>
      <w:r w:rsidR="00266101" w:rsidRPr="00961990">
        <w:rPr>
          <w:lang w:val="fr-FR"/>
        </w:rPr>
        <w:t>avis de l</w:t>
      </w:r>
      <w:r w:rsidR="00197436" w:rsidRPr="00961990">
        <w:rPr>
          <w:lang w:val="fr-FR"/>
        </w:rPr>
        <w:t>’</w:t>
      </w:r>
      <w:r w:rsidR="00266101" w:rsidRPr="00961990">
        <w:rPr>
          <w:lang w:val="fr-FR"/>
        </w:rPr>
        <w:t>office d</w:t>
      </w:r>
      <w:r w:rsidR="00197436" w:rsidRPr="00961990">
        <w:rPr>
          <w:lang w:val="fr-FR"/>
        </w:rPr>
        <w:t>’</w:t>
      </w:r>
      <w:r w:rsidR="00266101" w:rsidRPr="00961990">
        <w:rPr>
          <w:lang w:val="fr-FR"/>
        </w:rPr>
        <w:t xml:space="preserve">origine, correspondent fondamentalement </w:t>
      </w:r>
      <w:r w:rsidR="004D296C" w:rsidRPr="00961990">
        <w:rPr>
          <w:lang w:val="fr-FR"/>
        </w:rPr>
        <w:t>à la marque de ba</w:t>
      </w:r>
      <w:r w:rsidR="00AA1806" w:rsidRPr="00961990">
        <w:rPr>
          <w:lang w:val="fr-FR"/>
        </w:rPr>
        <w:t>se.  Ce</w:t>
      </w:r>
      <w:r w:rsidR="004D296C" w:rsidRPr="00961990">
        <w:rPr>
          <w:lang w:val="fr-FR"/>
        </w:rPr>
        <w:t>tte évaluation pourrait être complétée par une analyse comparative des pratiques actuelles des différents offices.</w:t>
      </w:r>
    </w:p>
    <w:p w:rsidR="00197436" w:rsidRPr="00961990" w:rsidRDefault="004D296C" w:rsidP="00855CBF">
      <w:pPr>
        <w:pStyle w:val="ONUMFS"/>
        <w:rPr>
          <w:lang w:val="fr-FR"/>
        </w:rPr>
      </w:pPr>
      <w:r w:rsidRPr="00961990">
        <w:rPr>
          <w:lang w:val="fr-FR"/>
        </w:rPr>
        <w:t>Un accord de principe sur la signification du terme “correspondance” à l</w:t>
      </w:r>
      <w:r w:rsidR="00197436" w:rsidRPr="00961990">
        <w:rPr>
          <w:lang w:val="fr-FR"/>
        </w:rPr>
        <w:t>’</w:t>
      </w:r>
      <w:r w:rsidRPr="00961990">
        <w:rPr>
          <w:lang w:val="fr-FR"/>
        </w:rPr>
        <w:t>article 3.1) du Protocole, probablement sous la forme d</w:t>
      </w:r>
      <w:r w:rsidR="00197436" w:rsidRPr="00961990">
        <w:rPr>
          <w:lang w:val="fr-FR"/>
        </w:rPr>
        <w:t>’</w:t>
      </w:r>
      <w:r w:rsidRPr="00961990">
        <w:rPr>
          <w:lang w:val="fr-FR"/>
        </w:rPr>
        <w:t>une déclaration interprétative</w:t>
      </w:r>
      <w:r w:rsidR="005F08A9" w:rsidRPr="00961990">
        <w:rPr>
          <w:lang w:val="fr-FR"/>
        </w:rPr>
        <w:t>, a</w:t>
      </w:r>
      <w:r w:rsidRPr="00961990">
        <w:rPr>
          <w:lang w:val="fr-FR"/>
        </w:rPr>
        <w:t>insi qu</w:t>
      </w:r>
      <w:r w:rsidR="00197436" w:rsidRPr="00961990">
        <w:rPr>
          <w:lang w:val="fr-FR"/>
        </w:rPr>
        <w:t>’</w:t>
      </w:r>
      <w:r w:rsidRPr="00961990">
        <w:rPr>
          <w:lang w:val="fr-FR"/>
        </w:rPr>
        <w:t>une révision du règlement d</w:t>
      </w:r>
      <w:r w:rsidR="00197436" w:rsidRPr="00961990">
        <w:rPr>
          <w:lang w:val="fr-FR"/>
        </w:rPr>
        <w:t>’</w:t>
      </w:r>
      <w:r w:rsidRPr="00961990">
        <w:rPr>
          <w:lang w:val="fr-FR"/>
        </w:rPr>
        <w:t xml:space="preserve">exécution commun pourraient être nécessaires </w:t>
      </w:r>
      <w:r w:rsidR="006B7FD9" w:rsidRPr="00961990">
        <w:rPr>
          <w:lang w:val="fr-FR"/>
        </w:rPr>
        <w:t>en vue de</w:t>
      </w:r>
      <w:r w:rsidRPr="00961990">
        <w:rPr>
          <w:lang w:val="fr-FR"/>
        </w:rPr>
        <w:t xml:space="preserve"> mettre en œuvre cette option.</w:t>
      </w:r>
    </w:p>
    <w:p w:rsidR="00DB113E" w:rsidRPr="00961990" w:rsidRDefault="005F08A9" w:rsidP="00855CBF">
      <w:pPr>
        <w:pStyle w:val="Heading3"/>
        <w:keepLines/>
        <w:rPr>
          <w:lang w:val="fr-FR"/>
        </w:rPr>
      </w:pPr>
      <w:r w:rsidRPr="00961990">
        <w:rPr>
          <w:u w:val="none"/>
          <w:lang w:val="fr-FR"/>
        </w:rPr>
        <w:t>b)</w:t>
      </w:r>
      <w:r w:rsidRPr="00961990">
        <w:rPr>
          <w:u w:val="none"/>
          <w:lang w:val="fr-FR"/>
        </w:rPr>
        <w:tab/>
      </w:r>
      <w:r w:rsidR="00184508" w:rsidRPr="00961990">
        <w:rPr>
          <w:lang w:val="fr-FR"/>
        </w:rPr>
        <w:t>Portée de la liste des produits et services</w:t>
      </w:r>
    </w:p>
    <w:p w:rsidR="00CC6FBC" w:rsidRPr="00961990" w:rsidRDefault="00CC6FBC" w:rsidP="00855CBF">
      <w:pPr>
        <w:keepNext/>
        <w:keepLines/>
        <w:rPr>
          <w:lang w:val="fr-FR"/>
        </w:rPr>
      </w:pPr>
    </w:p>
    <w:p w:rsidR="00197436" w:rsidRPr="00961990" w:rsidRDefault="0051058B" w:rsidP="00855CBF">
      <w:pPr>
        <w:pStyle w:val="ONUMFS"/>
        <w:keepNext/>
        <w:keepLines/>
        <w:rPr>
          <w:lang w:val="fr-FR"/>
        </w:rPr>
      </w:pPr>
      <w:r w:rsidRPr="00961990">
        <w:rPr>
          <w:lang w:val="fr-FR"/>
        </w:rPr>
        <w:t>On part du principe que la liste des produits et services figurant dans la demande internationale (liste principale) ne doit pas avoir une portée plus large que celle contenue</w:t>
      </w:r>
      <w:r w:rsidR="005F08A9" w:rsidRPr="00961990">
        <w:rPr>
          <w:lang w:val="fr-FR"/>
        </w:rPr>
        <w:t xml:space="preserve"> </w:t>
      </w:r>
      <w:r w:rsidRPr="00961990">
        <w:rPr>
          <w:lang w:val="fr-FR"/>
        </w:rPr>
        <w:t>dans la marque de ba</w:t>
      </w:r>
      <w:r w:rsidR="00AA1806" w:rsidRPr="00961990">
        <w:rPr>
          <w:lang w:val="fr-FR"/>
        </w:rPr>
        <w:t>se.  Le</w:t>
      </w:r>
      <w:r w:rsidRPr="00961990">
        <w:rPr>
          <w:lang w:val="fr-FR"/>
        </w:rPr>
        <w:t xml:space="preserve"> déposant peut limiter la liste principale </w:t>
      </w:r>
      <w:r w:rsidR="00290A95" w:rsidRPr="00961990">
        <w:rPr>
          <w:lang w:val="fr-FR"/>
        </w:rPr>
        <w:t xml:space="preserve">en ce qui concerne </w:t>
      </w:r>
      <w:r w:rsidR="0069021C" w:rsidRPr="00961990">
        <w:rPr>
          <w:lang w:val="fr-FR"/>
        </w:rPr>
        <w:t>les parties contractantes désignées, mais ne peut en élargir la port</w:t>
      </w:r>
      <w:r w:rsidR="00AA1806" w:rsidRPr="00961990">
        <w:rPr>
          <w:lang w:val="fr-FR"/>
        </w:rPr>
        <w:t>ée.  Ce</w:t>
      </w:r>
      <w:r w:rsidR="0069021C" w:rsidRPr="00961990">
        <w:rPr>
          <w:lang w:val="fr-FR"/>
        </w:rPr>
        <w:t xml:space="preserve">tte situation porte préjudice aux </w:t>
      </w:r>
      <w:r w:rsidR="00290A95" w:rsidRPr="00961990">
        <w:rPr>
          <w:lang w:val="fr-FR"/>
        </w:rPr>
        <w:t>titulaires</w:t>
      </w:r>
      <w:r w:rsidR="0069021C" w:rsidRPr="00961990">
        <w:rPr>
          <w:lang w:val="fr-FR"/>
        </w:rPr>
        <w:t xml:space="preserve"> souhaitant protéger et utiliser leurs marques sur des marchés d</w:t>
      </w:r>
      <w:r w:rsidR="00197436" w:rsidRPr="00961990">
        <w:rPr>
          <w:lang w:val="fr-FR"/>
        </w:rPr>
        <w:t>’</w:t>
      </w:r>
      <w:r w:rsidR="0069021C" w:rsidRPr="00961990">
        <w:rPr>
          <w:lang w:val="fr-FR"/>
        </w:rPr>
        <w:t xml:space="preserve">exportation pour des produits </w:t>
      </w:r>
      <w:r w:rsidR="0087713C">
        <w:rPr>
          <w:lang w:val="fr-FR"/>
        </w:rPr>
        <w:t>ou</w:t>
      </w:r>
      <w:r w:rsidR="0069021C" w:rsidRPr="00961990">
        <w:rPr>
          <w:lang w:val="fr-FR"/>
        </w:rPr>
        <w:t xml:space="preserve"> serv</w:t>
      </w:r>
      <w:r w:rsidR="0069021C" w:rsidRPr="00961990">
        <w:rPr>
          <w:lang w:val="fr-FR"/>
        </w:rPr>
        <w:t>ices non couverts par la marque de base</w:t>
      </w:r>
      <w:r w:rsidR="005F08A9" w:rsidRPr="00961990">
        <w:rPr>
          <w:lang w:val="fr-FR"/>
        </w:rPr>
        <w:t>.</w:t>
      </w:r>
    </w:p>
    <w:p w:rsidR="00197436" w:rsidRPr="00961990" w:rsidRDefault="0069021C" w:rsidP="00855CBF">
      <w:pPr>
        <w:pStyle w:val="ONUMFS"/>
        <w:rPr>
          <w:lang w:val="fr-FR"/>
        </w:rPr>
      </w:pPr>
      <w:r w:rsidRPr="00961990">
        <w:rPr>
          <w:lang w:val="fr-FR"/>
        </w:rPr>
        <w:t>Compte tenu des différences accrues de culture et de pratiques dans le domaine des marques, découlant de l</w:t>
      </w:r>
      <w:r w:rsidR="00197436" w:rsidRPr="00961990">
        <w:rPr>
          <w:lang w:val="fr-FR"/>
        </w:rPr>
        <w:t>’</w:t>
      </w:r>
      <w:r w:rsidRPr="00961990">
        <w:rPr>
          <w:lang w:val="fr-FR"/>
        </w:rPr>
        <w:t>augmentation du nombre de membres, et des enjeux liés à une harmonisation de fond dans ce domaine</w:t>
      </w:r>
      <w:r w:rsidR="005F08A9" w:rsidRPr="00961990">
        <w:rPr>
          <w:lang w:val="fr-FR"/>
        </w:rPr>
        <w:t>, i</w:t>
      </w:r>
      <w:r w:rsidRPr="00961990">
        <w:rPr>
          <w:lang w:val="fr-FR"/>
        </w:rPr>
        <w:t xml:space="preserve">l pourrait être intéressant </w:t>
      </w:r>
      <w:r w:rsidR="00774BC4" w:rsidRPr="00961990">
        <w:rPr>
          <w:lang w:val="fr-FR"/>
        </w:rPr>
        <w:t>d</w:t>
      </w:r>
      <w:r w:rsidR="00197436" w:rsidRPr="00961990">
        <w:rPr>
          <w:lang w:val="fr-FR"/>
        </w:rPr>
        <w:t>’</w:t>
      </w:r>
      <w:r w:rsidR="00774BC4" w:rsidRPr="00961990">
        <w:rPr>
          <w:lang w:val="fr-FR"/>
        </w:rPr>
        <w:t>étudier les éléments de flexibilité possibles en</w:t>
      </w:r>
      <w:r w:rsidR="00774BC4" w:rsidRPr="00961990">
        <w:rPr>
          <w:lang w:val="fr-FR"/>
        </w:rPr>
        <w:t xml:space="preserve"> ce qui concerne l</w:t>
      </w:r>
      <w:r w:rsidR="00197436" w:rsidRPr="00961990">
        <w:rPr>
          <w:lang w:val="fr-FR"/>
        </w:rPr>
        <w:t>’</w:t>
      </w:r>
      <w:r w:rsidR="00774BC4" w:rsidRPr="00961990">
        <w:rPr>
          <w:lang w:val="fr-FR"/>
        </w:rPr>
        <w:t>établissement d</w:t>
      </w:r>
      <w:r w:rsidR="00197436" w:rsidRPr="00961990">
        <w:rPr>
          <w:lang w:val="fr-FR"/>
        </w:rPr>
        <w:t>’</w:t>
      </w:r>
      <w:r w:rsidR="00774BC4" w:rsidRPr="00961990">
        <w:rPr>
          <w:lang w:val="fr-FR"/>
        </w:rPr>
        <w:t>une correspondance en</w:t>
      </w:r>
      <w:r w:rsidR="005F08A9" w:rsidRPr="00961990">
        <w:rPr>
          <w:lang w:val="fr-FR"/>
        </w:rPr>
        <w:t>t</w:t>
      </w:r>
      <w:r w:rsidR="00774BC4" w:rsidRPr="00961990">
        <w:rPr>
          <w:lang w:val="fr-FR"/>
        </w:rPr>
        <w:t xml:space="preserve">re la liste des produits et services </w:t>
      </w:r>
      <w:r w:rsidR="006F1F0C">
        <w:rPr>
          <w:lang w:val="fr-FR"/>
        </w:rPr>
        <w:t>de</w:t>
      </w:r>
      <w:r w:rsidR="00774BC4" w:rsidRPr="00961990">
        <w:rPr>
          <w:lang w:val="fr-FR"/>
        </w:rPr>
        <w:t xml:space="preserve"> la marque de base et celle figurant dans la demande internationa</w:t>
      </w:r>
      <w:r w:rsidR="00AA1806" w:rsidRPr="00961990">
        <w:rPr>
          <w:lang w:val="fr-FR"/>
        </w:rPr>
        <w:t>le.  Ce</w:t>
      </w:r>
      <w:r w:rsidR="00774BC4" w:rsidRPr="00961990">
        <w:rPr>
          <w:lang w:val="fr-FR"/>
        </w:rPr>
        <w:t xml:space="preserve">tte éventuelle </w:t>
      </w:r>
      <w:r w:rsidR="005F08A9" w:rsidRPr="00961990">
        <w:rPr>
          <w:lang w:val="fr-FR"/>
        </w:rPr>
        <w:t>“</w:t>
      </w:r>
      <w:r w:rsidR="00774BC4" w:rsidRPr="00961990">
        <w:rPr>
          <w:lang w:val="fr-FR"/>
        </w:rPr>
        <w:t>dissociation</w:t>
      </w:r>
      <w:r w:rsidR="005F08A9" w:rsidRPr="00961990">
        <w:rPr>
          <w:lang w:val="fr-FR"/>
        </w:rPr>
        <w:t xml:space="preserve">” </w:t>
      </w:r>
      <w:r w:rsidR="00774BC4" w:rsidRPr="00961990">
        <w:rPr>
          <w:lang w:val="fr-FR"/>
        </w:rPr>
        <w:t xml:space="preserve">des listes de produits et services donnerait aux </w:t>
      </w:r>
      <w:r w:rsidR="00DD0272">
        <w:rPr>
          <w:lang w:val="fr-FR"/>
        </w:rPr>
        <w:t>titulaires</w:t>
      </w:r>
      <w:r w:rsidR="00774BC4" w:rsidRPr="00961990">
        <w:rPr>
          <w:lang w:val="fr-FR"/>
        </w:rPr>
        <w:t xml:space="preserve"> d</w:t>
      </w:r>
      <w:r w:rsidR="00774BC4" w:rsidRPr="00961990">
        <w:rPr>
          <w:lang w:val="fr-FR"/>
        </w:rPr>
        <w:t>e marques des éléments de flexibilité dans le cadre de leurs stratégies de protection sur les différents marchés d</w:t>
      </w:r>
      <w:r w:rsidR="00197436" w:rsidRPr="00961990">
        <w:rPr>
          <w:lang w:val="fr-FR"/>
        </w:rPr>
        <w:t>’</w:t>
      </w:r>
      <w:r w:rsidR="00774BC4" w:rsidRPr="00961990">
        <w:rPr>
          <w:lang w:val="fr-FR"/>
        </w:rPr>
        <w:t>exportation.</w:t>
      </w:r>
    </w:p>
    <w:p w:rsidR="00197436" w:rsidRPr="00961990" w:rsidRDefault="00351DEF" w:rsidP="00044E59">
      <w:pPr>
        <w:pStyle w:val="ONUMFS"/>
        <w:spacing w:after="0"/>
        <w:rPr>
          <w:lang w:val="fr-FR"/>
        </w:rPr>
      </w:pPr>
      <w:r w:rsidRPr="00961990">
        <w:rPr>
          <w:lang w:val="fr-FR"/>
        </w:rPr>
        <w:t xml:space="preserve">Une révision du </w:t>
      </w:r>
      <w:r w:rsidR="005F08A9" w:rsidRPr="00961990">
        <w:rPr>
          <w:lang w:val="fr-FR"/>
        </w:rPr>
        <w:t>Protocol</w:t>
      </w:r>
      <w:r w:rsidRPr="00961990">
        <w:rPr>
          <w:lang w:val="fr-FR"/>
        </w:rPr>
        <w:t>e et du règlement d</w:t>
      </w:r>
      <w:r w:rsidR="00197436" w:rsidRPr="00961990">
        <w:rPr>
          <w:lang w:val="fr-FR"/>
        </w:rPr>
        <w:t>’</w:t>
      </w:r>
      <w:r w:rsidRPr="00961990">
        <w:rPr>
          <w:lang w:val="fr-FR"/>
        </w:rPr>
        <w:t xml:space="preserve">exécution commun pourrait être nécessaire </w:t>
      </w:r>
      <w:r w:rsidR="006B7FD9" w:rsidRPr="00961990">
        <w:rPr>
          <w:lang w:val="fr-FR"/>
        </w:rPr>
        <w:t xml:space="preserve">aux fins de la mise en œuvre de cette </w:t>
      </w:r>
      <w:r w:rsidR="005F08A9" w:rsidRPr="00961990">
        <w:rPr>
          <w:lang w:val="fr-FR"/>
        </w:rPr>
        <w:t>option.</w:t>
      </w:r>
    </w:p>
    <w:p w:rsidR="00DB113E" w:rsidRPr="00961990" w:rsidRDefault="00CC6FBC" w:rsidP="00855CBF">
      <w:pPr>
        <w:pStyle w:val="Heading2"/>
        <w:rPr>
          <w:lang w:val="fr-FR"/>
        </w:rPr>
      </w:pPr>
      <w:r w:rsidRPr="00961990">
        <w:rPr>
          <w:lang w:val="fr-FR"/>
        </w:rPr>
        <w:t>Nouveaux types de marques</w:t>
      </w:r>
    </w:p>
    <w:p w:rsidR="00CC6FBC" w:rsidRPr="00961990" w:rsidRDefault="00CC6FBC" w:rsidP="00855CBF">
      <w:pPr>
        <w:rPr>
          <w:lang w:val="fr-FR"/>
        </w:rPr>
      </w:pPr>
    </w:p>
    <w:p w:rsidR="00197436" w:rsidRPr="00961990" w:rsidRDefault="006B7FD9" w:rsidP="00855CBF">
      <w:pPr>
        <w:pStyle w:val="ONUMFS"/>
        <w:rPr>
          <w:lang w:val="fr-FR"/>
        </w:rPr>
      </w:pPr>
      <w:r w:rsidRPr="00961990">
        <w:rPr>
          <w:lang w:val="fr-FR"/>
        </w:rPr>
        <w:t xml:space="preserve">Le </w:t>
      </w:r>
      <w:r w:rsidR="005F08A9" w:rsidRPr="00961990">
        <w:rPr>
          <w:lang w:val="fr-FR"/>
        </w:rPr>
        <w:t>Protocol</w:t>
      </w:r>
      <w:r w:rsidRPr="00961990">
        <w:rPr>
          <w:lang w:val="fr-FR"/>
        </w:rPr>
        <w:t>e prévoit l</w:t>
      </w:r>
      <w:r w:rsidR="00197436" w:rsidRPr="00961990">
        <w:rPr>
          <w:lang w:val="fr-FR"/>
        </w:rPr>
        <w:t>’</w:t>
      </w:r>
      <w:r w:rsidRPr="00961990">
        <w:rPr>
          <w:lang w:val="fr-FR"/>
        </w:rPr>
        <w:t xml:space="preserve">enregistrement </w:t>
      </w:r>
      <w:r w:rsidR="005F08A9" w:rsidRPr="00961990">
        <w:rPr>
          <w:lang w:val="fr-FR"/>
        </w:rPr>
        <w:t xml:space="preserve">international </w:t>
      </w:r>
      <w:r w:rsidRPr="00961990">
        <w:rPr>
          <w:lang w:val="fr-FR"/>
        </w:rPr>
        <w:t>d</w:t>
      </w:r>
      <w:r w:rsidR="00197436" w:rsidRPr="00961990">
        <w:rPr>
          <w:lang w:val="fr-FR"/>
        </w:rPr>
        <w:t>’</w:t>
      </w:r>
      <w:r w:rsidRPr="00961990">
        <w:rPr>
          <w:lang w:val="fr-FR"/>
        </w:rPr>
        <w:t>une marque faisant l</w:t>
      </w:r>
      <w:r w:rsidR="00197436" w:rsidRPr="00961990">
        <w:rPr>
          <w:lang w:val="fr-FR"/>
        </w:rPr>
        <w:t>’</w:t>
      </w:r>
      <w:r w:rsidRPr="00961990">
        <w:rPr>
          <w:lang w:val="fr-FR"/>
        </w:rPr>
        <w:t>objet d</w:t>
      </w:r>
      <w:r w:rsidR="00197436" w:rsidRPr="00961990">
        <w:rPr>
          <w:lang w:val="fr-FR"/>
        </w:rPr>
        <w:t>’</w:t>
      </w:r>
      <w:r w:rsidRPr="00961990">
        <w:rPr>
          <w:lang w:val="fr-FR"/>
        </w:rPr>
        <w:t>un enregistrement ou d</w:t>
      </w:r>
      <w:r w:rsidR="00197436" w:rsidRPr="00961990">
        <w:rPr>
          <w:lang w:val="fr-FR"/>
        </w:rPr>
        <w:t>’</w:t>
      </w:r>
      <w:r w:rsidRPr="00961990">
        <w:rPr>
          <w:lang w:val="fr-FR"/>
        </w:rPr>
        <w:t>une demande d</w:t>
      </w:r>
      <w:r w:rsidR="00197436" w:rsidRPr="00961990">
        <w:rPr>
          <w:lang w:val="fr-FR"/>
        </w:rPr>
        <w:t>’</w:t>
      </w:r>
      <w:r w:rsidRPr="00961990">
        <w:rPr>
          <w:lang w:val="fr-FR"/>
        </w:rPr>
        <w:t>enregistrement auprès de l</w:t>
      </w:r>
      <w:r w:rsidR="00197436" w:rsidRPr="00961990">
        <w:rPr>
          <w:lang w:val="fr-FR"/>
        </w:rPr>
        <w:t>’</w:t>
      </w:r>
      <w:r w:rsidRPr="00961990">
        <w:rPr>
          <w:lang w:val="fr-FR"/>
        </w:rPr>
        <w:t>office d</w:t>
      </w:r>
      <w:r w:rsidR="00197436" w:rsidRPr="00961990">
        <w:rPr>
          <w:lang w:val="fr-FR"/>
        </w:rPr>
        <w:t>’</w:t>
      </w:r>
      <w:r w:rsidRPr="00961990">
        <w:rPr>
          <w:lang w:val="fr-FR"/>
        </w:rPr>
        <w:t>une partie contractan</w:t>
      </w:r>
      <w:r w:rsidR="00AA1806" w:rsidRPr="00961990">
        <w:rPr>
          <w:lang w:val="fr-FR"/>
        </w:rPr>
        <w:t>te.  To</w:t>
      </w:r>
      <w:r w:rsidRPr="00961990">
        <w:rPr>
          <w:lang w:val="fr-FR"/>
        </w:rPr>
        <w:t xml:space="preserve">utefois, le </w:t>
      </w:r>
      <w:r w:rsidR="005F08A9" w:rsidRPr="00961990">
        <w:rPr>
          <w:lang w:val="fr-FR"/>
        </w:rPr>
        <w:t>Protocol</w:t>
      </w:r>
      <w:r w:rsidRPr="00961990">
        <w:rPr>
          <w:lang w:val="fr-FR"/>
        </w:rPr>
        <w:t xml:space="preserve">e ne prévoit pas de se limiter à des types particuliers de marques et, dès lors, le système de </w:t>
      </w:r>
      <w:r w:rsidR="005F08A9" w:rsidRPr="00961990">
        <w:rPr>
          <w:lang w:val="fr-FR"/>
        </w:rPr>
        <w:t xml:space="preserve">Madrid </w:t>
      </w:r>
      <w:r w:rsidRPr="00961990">
        <w:rPr>
          <w:lang w:val="fr-FR"/>
        </w:rPr>
        <w:t xml:space="preserve">pourrait </w:t>
      </w:r>
      <w:r w:rsidR="00D005F0" w:rsidRPr="00961990">
        <w:rPr>
          <w:lang w:val="fr-FR"/>
        </w:rPr>
        <w:t>accepter de nouveaux types de marques</w:t>
      </w:r>
      <w:r w:rsidR="005F08A9" w:rsidRPr="00961990">
        <w:rPr>
          <w:lang w:val="fr-FR"/>
        </w:rPr>
        <w:t>.</w:t>
      </w:r>
    </w:p>
    <w:p w:rsidR="00197436" w:rsidRPr="00961990" w:rsidRDefault="00D005F0" w:rsidP="00855CBF">
      <w:pPr>
        <w:pStyle w:val="ONUMFS"/>
        <w:rPr>
          <w:lang w:val="fr-FR"/>
        </w:rPr>
      </w:pPr>
      <w:r w:rsidRPr="00961990">
        <w:rPr>
          <w:lang w:val="fr-FR"/>
        </w:rPr>
        <w:t xml:space="preserve">Afin de prendre en considération </w:t>
      </w:r>
      <w:r w:rsidR="001F449D" w:rsidRPr="00961990">
        <w:rPr>
          <w:lang w:val="fr-FR"/>
        </w:rPr>
        <w:t>de</w:t>
      </w:r>
      <w:r w:rsidRPr="00961990">
        <w:rPr>
          <w:lang w:val="fr-FR"/>
        </w:rPr>
        <w:t xml:space="preserve"> nouveaux types de marques, il pourrait être nécessaire de procéder à un réexamen global du cadre juridique défini en vertu du </w:t>
      </w:r>
      <w:r w:rsidR="005F08A9" w:rsidRPr="00961990">
        <w:rPr>
          <w:lang w:val="fr-FR"/>
        </w:rPr>
        <w:t>Protocol</w:t>
      </w:r>
      <w:r w:rsidRPr="00961990">
        <w:rPr>
          <w:lang w:val="fr-FR"/>
        </w:rPr>
        <w:t>e et des pratiques du Bureau internation</w:t>
      </w:r>
      <w:r w:rsidR="00AA1806" w:rsidRPr="00961990">
        <w:rPr>
          <w:lang w:val="fr-FR"/>
        </w:rPr>
        <w:t>al.  Da</w:t>
      </w:r>
      <w:r w:rsidRPr="00961990">
        <w:rPr>
          <w:lang w:val="fr-FR"/>
        </w:rPr>
        <w:t>ns le cadre de ce</w:t>
      </w:r>
      <w:r w:rsidR="00312EC9" w:rsidRPr="00961990">
        <w:rPr>
          <w:lang w:val="fr-FR"/>
        </w:rPr>
        <w:t xml:space="preserve"> ré</w:t>
      </w:r>
      <w:r w:rsidRPr="00961990">
        <w:rPr>
          <w:lang w:val="fr-FR"/>
        </w:rPr>
        <w:t>examen</w:t>
      </w:r>
      <w:r w:rsidR="00312EC9" w:rsidRPr="00961990">
        <w:rPr>
          <w:lang w:val="fr-FR"/>
        </w:rPr>
        <w:t>, il pourrait être tenu compte au moins des nouveaux types de marques visés dans le règlement d</w:t>
      </w:r>
      <w:r w:rsidR="00197436" w:rsidRPr="00961990">
        <w:rPr>
          <w:lang w:val="fr-FR"/>
        </w:rPr>
        <w:t>’</w:t>
      </w:r>
      <w:r w:rsidR="00312EC9" w:rsidRPr="00961990">
        <w:rPr>
          <w:lang w:val="fr-FR"/>
        </w:rPr>
        <w:t>exécution du Traité de Singapour sur le droit des marques (STLT)</w:t>
      </w:r>
      <w:r w:rsidR="005F08A9" w:rsidRPr="00961990">
        <w:rPr>
          <w:lang w:val="fr-FR"/>
        </w:rPr>
        <w:t>.</w:t>
      </w:r>
    </w:p>
    <w:p w:rsidR="00197436" w:rsidRPr="00961990" w:rsidRDefault="00312EC9" w:rsidP="00855CBF">
      <w:pPr>
        <w:pStyle w:val="ONUMFS"/>
        <w:rPr>
          <w:lang w:val="fr-FR"/>
        </w:rPr>
      </w:pPr>
      <w:r w:rsidRPr="00961990">
        <w:rPr>
          <w:lang w:val="fr-FR"/>
        </w:rPr>
        <w:t>La prise e</w:t>
      </w:r>
      <w:r w:rsidR="001F449D" w:rsidRPr="00961990">
        <w:rPr>
          <w:lang w:val="fr-FR"/>
        </w:rPr>
        <w:t xml:space="preserve">n considération de nouveaux types de marques </w:t>
      </w:r>
      <w:r w:rsidR="00874C78" w:rsidRPr="00961990">
        <w:rPr>
          <w:lang w:val="fr-FR"/>
        </w:rPr>
        <w:t xml:space="preserve">ne créerait aucune obligation pour les parties contractantes du </w:t>
      </w:r>
      <w:r w:rsidR="005F08A9" w:rsidRPr="00961990">
        <w:rPr>
          <w:lang w:val="fr-FR"/>
        </w:rPr>
        <w:t>Protocol</w:t>
      </w:r>
      <w:r w:rsidR="00874C78" w:rsidRPr="00961990">
        <w:rPr>
          <w:lang w:val="fr-FR"/>
        </w:rPr>
        <w:t>e</w:t>
      </w:r>
      <w:r w:rsidR="005F08A9" w:rsidRPr="00961990">
        <w:rPr>
          <w:lang w:val="fr-FR"/>
        </w:rPr>
        <w:t xml:space="preserve">;  </w:t>
      </w:r>
      <w:r w:rsidR="00A13B3B" w:rsidRPr="00961990">
        <w:rPr>
          <w:lang w:val="fr-FR"/>
        </w:rPr>
        <w:t xml:space="preserve">les </w:t>
      </w:r>
      <w:r w:rsidR="005F08A9" w:rsidRPr="00961990">
        <w:rPr>
          <w:lang w:val="fr-FR"/>
        </w:rPr>
        <w:t xml:space="preserve">types </w:t>
      </w:r>
      <w:r w:rsidR="00A13B3B" w:rsidRPr="00961990">
        <w:rPr>
          <w:lang w:val="fr-FR"/>
        </w:rPr>
        <w:t>de marques qu</w:t>
      </w:r>
      <w:r w:rsidR="00197436" w:rsidRPr="00961990">
        <w:rPr>
          <w:lang w:val="fr-FR"/>
        </w:rPr>
        <w:t>’</w:t>
      </w:r>
      <w:r w:rsidR="00A13B3B" w:rsidRPr="00961990">
        <w:rPr>
          <w:lang w:val="fr-FR"/>
        </w:rPr>
        <w:t xml:space="preserve">elles pourraient ou non </w:t>
      </w:r>
      <w:proofErr w:type="gramStart"/>
      <w:r w:rsidR="00A13B3B" w:rsidRPr="00961990">
        <w:rPr>
          <w:lang w:val="fr-FR"/>
        </w:rPr>
        <w:t>protéger</w:t>
      </w:r>
      <w:proofErr w:type="gramEnd"/>
      <w:r w:rsidR="00A13B3B" w:rsidRPr="00961990">
        <w:rPr>
          <w:lang w:val="fr-FR"/>
        </w:rPr>
        <w:t xml:space="preserve"> pourraient être définis dans leur législation applicab</w:t>
      </w:r>
      <w:r w:rsidR="00AA1806" w:rsidRPr="00961990">
        <w:rPr>
          <w:lang w:val="fr-FR"/>
        </w:rPr>
        <w:t>le.  Co</w:t>
      </w:r>
      <w:r w:rsidR="00A13B3B" w:rsidRPr="00961990">
        <w:rPr>
          <w:lang w:val="fr-FR"/>
        </w:rPr>
        <w:t>mme c</w:t>
      </w:r>
      <w:r w:rsidR="00197436" w:rsidRPr="00961990">
        <w:rPr>
          <w:lang w:val="fr-FR"/>
        </w:rPr>
        <w:t>’</w:t>
      </w:r>
      <w:r w:rsidR="00A13B3B" w:rsidRPr="00961990">
        <w:rPr>
          <w:lang w:val="fr-FR"/>
        </w:rPr>
        <w:t>est le cas actuellement, les parties contractantes certifieraient et transmettraient les demandes internati</w:t>
      </w:r>
      <w:r w:rsidR="00A13B3B" w:rsidRPr="00961990">
        <w:rPr>
          <w:lang w:val="fr-FR"/>
        </w:rPr>
        <w:t>onales conformément au Protocole et accorderaient la protection aux marques faisant l</w:t>
      </w:r>
      <w:r w:rsidR="00197436" w:rsidRPr="00961990">
        <w:rPr>
          <w:lang w:val="fr-FR"/>
        </w:rPr>
        <w:t>’</w:t>
      </w:r>
      <w:r w:rsidR="00A13B3B" w:rsidRPr="00961990">
        <w:rPr>
          <w:lang w:val="fr-FR"/>
        </w:rPr>
        <w:t xml:space="preserve">objet des </w:t>
      </w:r>
      <w:r w:rsidR="00263736">
        <w:rPr>
          <w:lang w:val="fr-FR"/>
        </w:rPr>
        <w:t>enregistrements</w:t>
      </w:r>
      <w:r w:rsidR="00A13B3B" w:rsidRPr="00961990">
        <w:rPr>
          <w:lang w:val="fr-FR"/>
        </w:rPr>
        <w:t xml:space="preserve"> internationa</w:t>
      </w:r>
      <w:r w:rsidR="00263736">
        <w:rPr>
          <w:lang w:val="fr-FR"/>
        </w:rPr>
        <w:t>ux</w:t>
      </w:r>
      <w:r w:rsidR="00A13B3B" w:rsidRPr="00961990">
        <w:rPr>
          <w:lang w:val="fr-FR"/>
        </w:rPr>
        <w:t xml:space="preserve"> dans lesquels elles sont désignées, conformément au Protocole et à leur législation applicable</w:t>
      </w:r>
      <w:r w:rsidR="00A13B3B" w:rsidRPr="00961990">
        <w:rPr>
          <w:lang w:val="fr-FR"/>
        </w:rPr>
        <w:t>.</w:t>
      </w:r>
    </w:p>
    <w:p w:rsidR="00197436" w:rsidRPr="00961990" w:rsidRDefault="00A13B3B" w:rsidP="00044E59">
      <w:pPr>
        <w:pStyle w:val="ONUMFS"/>
        <w:spacing w:after="0"/>
        <w:rPr>
          <w:lang w:val="fr-FR"/>
        </w:rPr>
      </w:pPr>
      <w:r w:rsidRPr="00961990">
        <w:rPr>
          <w:lang w:val="fr-FR"/>
        </w:rPr>
        <w:t>Une révision du règlement d</w:t>
      </w:r>
      <w:r w:rsidR="00197436" w:rsidRPr="00961990">
        <w:rPr>
          <w:lang w:val="fr-FR"/>
        </w:rPr>
        <w:t>’</w:t>
      </w:r>
      <w:r w:rsidRPr="00961990">
        <w:rPr>
          <w:lang w:val="fr-FR"/>
        </w:rPr>
        <w:t>exécution commun, des Instructions administratives pour l</w:t>
      </w:r>
      <w:r w:rsidR="00197436" w:rsidRPr="00961990">
        <w:rPr>
          <w:lang w:val="fr-FR"/>
        </w:rPr>
        <w:t>’</w:t>
      </w:r>
      <w:r w:rsidRPr="00961990">
        <w:rPr>
          <w:lang w:val="fr-FR"/>
        </w:rPr>
        <w:t>application de l</w:t>
      </w:r>
      <w:r w:rsidR="00197436" w:rsidRPr="00961990">
        <w:rPr>
          <w:lang w:val="fr-FR"/>
        </w:rPr>
        <w:t>’</w:t>
      </w:r>
      <w:r w:rsidRPr="00961990">
        <w:rPr>
          <w:lang w:val="fr-FR"/>
        </w:rPr>
        <w:t>Arrangement de Madrid concernant l</w:t>
      </w:r>
      <w:r w:rsidR="00197436" w:rsidRPr="00961990">
        <w:rPr>
          <w:lang w:val="fr-FR"/>
        </w:rPr>
        <w:t>’</w:t>
      </w:r>
      <w:r w:rsidRPr="00961990">
        <w:rPr>
          <w:lang w:val="fr-FR"/>
        </w:rPr>
        <w:t xml:space="preserve">enregistrement international des marques et du Protocole y relatif </w:t>
      </w:r>
      <w:r w:rsidR="005F08A9" w:rsidRPr="00961990">
        <w:rPr>
          <w:lang w:val="fr-FR"/>
        </w:rPr>
        <w:t>(</w:t>
      </w:r>
      <w:r w:rsidRPr="00961990">
        <w:rPr>
          <w:lang w:val="fr-FR"/>
        </w:rPr>
        <w:t>ci</w:t>
      </w:r>
      <w:r w:rsidR="00CC6FBC" w:rsidRPr="00961990">
        <w:rPr>
          <w:lang w:val="fr-FR"/>
        </w:rPr>
        <w:noBreakHyphen/>
      </w:r>
      <w:r w:rsidRPr="00961990">
        <w:rPr>
          <w:lang w:val="fr-FR"/>
        </w:rPr>
        <w:t>après dénommées “instructions administratives”) et des formulaires, ainsi que des changements dans les</w:t>
      </w:r>
      <w:r w:rsidR="005F08A9" w:rsidRPr="00961990">
        <w:rPr>
          <w:lang w:val="fr-FR"/>
        </w:rPr>
        <w:t xml:space="preserve"> pra</w:t>
      </w:r>
      <w:r w:rsidRPr="00961990">
        <w:rPr>
          <w:lang w:val="fr-FR"/>
        </w:rPr>
        <w:t>tiqu</w:t>
      </w:r>
      <w:r w:rsidR="005F08A9" w:rsidRPr="00961990">
        <w:rPr>
          <w:lang w:val="fr-FR"/>
        </w:rPr>
        <w:t xml:space="preserve">es </w:t>
      </w:r>
      <w:r w:rsidRPr="00961990">
        <w:rPr>
          <w:lang w:val="fr-FR"/>
        </w:rPr>
        <w:t>et l</w:t>
      </w:r>
      <w:r w:rsidR="00197436" w:rsidRPr="00961990">
        <w:rPr>
          <w:lang w:val="fr-FR"/>
        </w:rPr>
        <w:t>’</w:t>
      </w:r>
      <w:r w:rsidR="005F08A9" w:rsidRPr="00961990">
        <w:rPr>
          <w:lang w:val="fr-FR"/>
        </w:rPr>
        <w:t xml:space="preserve">infrastructure </w:t>
      </w:r>
      <w:r w:rsidRPr="00961990">
        <w:rPr>
          <w:lang w:val="fr-FR"/>
        </w:rPr>
        <w:t xml:space="preserve">pourraient être nécessaires aux fins de la mise en œuvre de cette </w:t>
      </w:r>
      <w:r w:rsidR="005F08A9" w:rsidRPr="00961990">
        <w:rPr>
          <w:lang w:val="fr-FR"/>
        </w:rPr>
        <w:t>option.</w:t>
      </w:r>
    </w:p>
    <w:p w:rsidR="00DB113E" w:rsidRPr="00961990" w:rsidRDefault="00CC6FBC" w:rsidP="00855CBF">
      <w:pPr>
        <w:pStyle w:val="Heading2"/>
        <w:rPr>
          <w:lang w:val="fr-FR"/>
        </w:rPr>
      </w:pPr>
      <w:r w:rsidRPr="00961990">
        <w:rPr>
          <w:lang w:val="fr-FR"/>
        </w:rPr>
        <w:t>Respect des exigences</w:t>
      </w:r>
    </w:p>
    <w:p w:rsidR="00CC6FBC" w:rsidRPr="00961990" w:rsidRDefault="00CC6FBC" w:rsidP="00855CBF">
      <w:pPr>
        <w:rPr>
          <w:lang w:val="fr-FR"/>
        </w:rPr>
      </w:pPr>
    </w:p>
    <w:p w:rsidR="00197436" w:rsidRPr="00961990" w:rsidRDefault="00C94C01" w:rsidP="00855CBF">
      <w:pPr>
        <w:pStyle w:val="ONUMFS"/>
        <w:rPr>
          <w:lang w:val="fr-FR"/>
        </w:rPr>
      </w:pPr>
      <w:r w:rsidRPr="00961990">
        <w:rPr>
          <w:lang w:val="fr-FR"/>
        </w:rPr>
        <w:t xml:space="preserve">Le système de </w:t>
      </w:r>
      <w:r w:rsidR="005F08A9" w:rsidRPr="00961990">
        <w:rPr>
          <w:lang w:val="fr-FR"/>
        </w:rPr>
        <w:t xml:space="preserve">Madrid </w:t>
      </w:r>
      <w:r w:rsidRPr="00961990">
        <w:rPr>
          <w:lang w:val="fr-FR"/>
        </w:rPr>
        <w:t xml:space="preserve">donne aux déposants et aux </w:t>
      </w:r>
      <w:r w:rsidR="00290A95" w:rsidRPr="00961990">
        <w:rPr>
          <w:lang w:val="fr-FR"/>
        </w:rPr>
        <w:t>titulaires</w:t>
      </w:r>
      <w:r w:rsidRPr="00961990">
        <w:rPr>
          <w:lang w:val="fr-FR"/>
        </w:rPr>
        <w:t xml:space="preserve"> la possibilité d</w:t>
      </w:r>
      <w:r w:rsidR="00197436" w:rsidRPr="00961990">
        <w:rPr>
          <w:lang w:val="fr-FR"/>
        </w:rPr>
        <w:t>’</w:t>
      </w:r>
      <w:r w:rsidRPr="00961990">
        <w:rPr>
          <w:lang w:val="fr-FR"/>
        </w:rPr>
        <w:t>inclure</w:t>
      </w:r>
      <w:r w:rsidR="005F08A9" w:rsidRPr="00961990">
        <w:rPr>
          <w:lang w:val="fr-FR"/>
        </w:rPr>
        <w:t xml:space="preserve">, </w:t>
      </w:r>
      <w:r w:rsidRPr="00961990">
        <w:rPr>
          <w:lang w:val="fr-FR"/>
        </w:rPr>
        <w:t>dans la demande internationale ou dans une désignation postérieure, des informations ou des indications pouvant être exigées par la législation de certaines parties contractantes désigné</w:t>
      </w:r>
      <w:r w:rsidR="00AA1806" w:rsidRPr="00961990">
        <w:rPr>
          <w:lang w:val="fr-FR"/>
        </w:rPr>
        <w:t>es.  Pa</w:t>
      </w:r>
      <w:r w:rsidRPr="00961990">
        <w:rPr>
          <w:lang w:val="fr-FR"/>
        </w:rPr>
        <w:t xml:space="preserve">r exemple, un déposant ou un </w:t>
      </w:r>
      <w:r w:rsidR="00290A95" w:rsidRPr="00961990">
        <w:rPr>
          <w:lang w:val="fr-FR"/>
        </w:rPr>
        <w:t>titulaire</w:t>
      </w:r>
      <w:r w:rsidRPr="00961990">
        <w:rPr>
          <w:lang w:val="fr-FR"/>
        </w:rPr>
        <w:t xml:space="preserve"> peut indiquer sa nationalité ou fournir une traduction de la marque</w:t>
      </w:r>
      <w:r w:rsidR="005F08A9" w:rsidRPr="00961990">
        <w:rPr>
          <w:lang w:val="fr-FR"/>
        </w:rPr>
        <w:t>.</w:t>
      </w:r>
    </w:p>
    <w:p w:rsidR="00197436" w:rsidRPr="00961990" w:rsidRDefault="00C94C01" w:rsidP="00855CBF">
      <w:pPr>
        <w:pStyle w:val="ONUMFS"/>
        <w:rPr>
          <w:lang w:val="fr-FR"/>
        </w:rPr>
      </w:pPr>
      <w:r w:rsidRPr="00961990">
        <w:rPr>
          <w:lang w:val="fr-FR"/>
        </w:rPr>
        <w:t>D</w:t>
      </w:r>
      <w:r w:rsidR="00197436" w:rsidRPr="00961990">
        <w:rPr>
          <w:lang w:val="fr-FR"/>
        </w:rPr>
        <w:t>’</w:t>
      </w:r>
      <w:r w:rsidRPr="00961990">
        <w:rPr>
          <w:lang w:val="fr-FR"/>
        </w:rPr>
        <w:t xml:space="preserve">autres éléments de flexibilité pourraient être introduits afin de permettre aux déposants et aux </w:t>
      </w:r>
      <w:r w:rsidR="00290A95" w:rsidRPr="00961990">
        <w:rPr>
          <w:lang w:val="fr-FR"/>
        </w:rPr>
        <w:t>titulaires</w:t>
      </w:r>
      <w:r w:rsidRPr="00961990">
        <w:rPr>
          <w:lang w:val="fr-FR"/>
        </w:rPr>
        <w:t xml:space="preserve"> de satisfaire à des exigences supplémentaires en vertu de la législation des parties contractantes désignées</w:t>
      </w:r>
      <w:r w:rsidR="005F08A9" w:rsidRPr="00961990">
        <w:rPr>
          <w:lang w:val="fr-FR"/>
        </w:rPr>
        <w:t>.</w:t>
      </w:r>
    </w:p>
    <w:p w:rsidR="00197436" w:rsidRPr="00961990" w:rsidRDefault="00C94C01" w:rsidP="00044E59">
      <w:pPr>
        <w:pStyle w:val="ONUMFS"/>
        <w:spacing w:after="0"/>
        <w:rPr>
          <w:lang w:val="fr-FR"/>
        </w:rPr>
      </w:pPr>
      <w:r w:rsidRPr="00961990">
        <w:rPr>
          <w:lang w:val="fr-FR"/>
        </w:rPr>
        <w:t>Une révision du règlement d</w:t>
      </w:r>
      <w:r w:rsidR="00197436" w:rsidRPr="00961990">
        <w:rPr>
          <w:lang w:val="fr-FR"/>
        </w:rPr>
        <w:t>’</w:t>
      </w:r>
      <w:r w:rsidRPr="00961990">
        <w:rPr>
          <w:lang w:val="fr-FR"/>
        </w:rPr>
        <w:t>exécution commun, des instructions administratives et des formulaires, ainsi que des changements dans les pratiques et l</w:t>
      </w:r>
      <w:r w:rsidR="00197436" w:rsidRPr="00961990">
        <w:rPr>
          <w:lang w:val="fr-FR"/>
        </w:rPr>
        <w:t>’</w:t>
      </w:r>
      <w:r w:rsidRPr="00961990">
        <w:rPr>
          <w:lang w:val="fr-FR"/>
        </w:rPr>
        <w:t>infrastructure pourraient être nécessaires aux fins de la mise en œuvre de cette option</w:t>
      </w:r>
      <w:r w:rsidR="005F08A9" w:rsidRPr="00961990">
        <w:rPr>
          <w:lang w:val="fr-FR"/>
        </w:rPr>
        <w:t>.</w:t>
      </w:r>
    </w:p>
    <w:p w:rsidR="00DB113E" w:rsidRPr="00961990" w:rsidRDefault="00790510" w:rsidP="00855CBF">
      <w:pPr>
        <w:pStyle w:val="Heading2"/>
        <w:rPr>
          <w:lang w:val="fr-FR"/>
        </w:rPr>
      </w:pPr>
      <w:r w:rsidRPr="00961990">
        <w:rPr>
          <w:lang w:val="fr-FR"/>
        </w:rPr>
        <w:t>Dépendance</w:t>
      </w:r>
    </w:p>
    <w:p w:rsidR="00790510" w:rsidRPr="00961990" w:rsidRDefault="00790510" w:rsidP="00855CBF">
      <w:pPr>
        <w:rPr>
          <w:lang w:val="fr-FR"/>
        </w:rPr>
      </w:pPr>
    </w:p>
    <w:p w:rsidR="00197436" w:rsidRPr="00961990" w:rsidRDefault="00900DAD" w:rsidP="00855CBF">
      <w:pPr>
        <w:pStyle w:val="ONUMFS"/>
        <w:rPr>
          <w:lang w:val="fr-FR"/>
        </w:rPr>
      </w:pPr>
      <w:r w:rsidRPr="00961990">
        <w:rPr>
          <w:lang w:val="fr-FR"/>
        </w:rPr>
        <w:t xml:space="preserve">Les </w:t>
      </w:r>
      <w:r w:rsidR="000850EC">
        <w:rPr>
          <w:lang w:val="fr-FR"/>
        </w:rPr>
        <w:t>titulaires</w:t>
      </w:r>
      <w:r w:rsidRPr="00961990">
        <w:rPr>
          <w:lang w:val="fr-FR"/>
        </w:rPr>
        <w:t xml:space="preserve"> de marques qui déposent une demande auprès de l</w:t>
      </w:r>
      <w:r w:rsidR="00197436" w:rsidRPr="00961990">
        <w:rPr>
          <w:lang w:val="fr-FR"/>
        </w:rPr>
        <w:t>’</w:t>
      </w:r>
      <w:r w:rsidRPr="00961990">
        <w:rPr>
          <w:lang w:val="fr-FR"/>
        </w:rPr>
        <w:t>office d</w:t>
      </w:r>
      <w:r w:rsidR="00197436" w:rsidRPr="00961990">
        <w:rPr>
          <w:lang w:val="fr-FR"/>
        </w:rPr>
        <w:t>’</w:t>
      </w:r>
      <w:r w:rsidRPr="00961990">
        <w:rPr>
          <w:lang w:val="fr-FR"/>
        </w:rPr>
        <w:t>origine uniquement dans le but de l</w:t>
      </w:r>
      <w:r w:rsidR="00197436" w:rsidRPr="00961990">
        <w:rPr>
          <w:lang w:val="fr-FR"/>
        </w:rPr>
        <w:t>’</w:t>
      </w:r>
      <w:r w:rsidRPr="00961990">
        <w:rPr>
          <w:lang w:val="fr-FR"/>
        </w:rPr>
        <w:t>utiliser comme marque de base afin de pouvoir déposer une demande internationale courent le risque d</w:t>
      </w:r>
      <w:r w:rsidR="00197436" w:rsidRPr="00961990">
        <w:rPr>
          <w:lang w:val="fr-FR"/>
        </w:rPr>
        <w:t>’</w:t>
      </w:r>
      <w:r w:rsidRPr="00961990">
        <w:rPr>
          <w:lang w:val="fr-FR"/>
        </w:rPr>
        <w:t xml:space="preserve">une radiation pour </w:t>
      </w:r>
      <w:r w:rsidR="000D1829">
        <w:rPr>
          <w:lang w:val="fr-FR"/>
        </w:rPr>
        <w:t>défaut d’</w:t>
      </w:r>
      <w:r w:rsidR="005F08A9" w:rsidRPr="00961990">
        <w:rPr>
          <w:lang w:val="fr-FR"/>
        </w:rPr>
        <w:t>us</w:t>
      </w:r>
      <w:r w:rsidRPr="00961990">
        <w:rPr>
          <w:lang w:val="fr-FR"/>
        </w:rPr>
        <w:t>ag</w:t>
      </w:r>
      <w:r w:rsidR="005F08A9" w:rsidRPr="00961990">
        <w:rPr>
          <w:lang w:val="fr-FR"/>
        </w:rPr>
        <w:t xml:space="preserve">e </w:t>
      </w:r>
      <w:r w:rsidRPr="00961990">
        <w:rPr>
          <w:lang w:val="fr-FR"/>
        </w:rPr>
        <w:t>de la marque de ba</w:t>
      </w:r>
      <w:r w:rsidR="00AA1806" w:rsidRPr="00961990">
        <w:rPr>
          <w:lang w:val="fr-FR"/>
        </w:rPr>
        <w:t>se.  Da</w:t>
      </w:r>
      <w:r w:rsidRPr="00961990">
        <w:rPr>
          <w:lang w:val="fr-FR"/>
        </w:rPr>
        <w:t xml:space="preserve">ns un certain nombre de parties contractantes, ce risque peut </w:t>
      </w:r>
      <w:r w:rsidR="00024551" w:rsidRPr="00961990">
        <w:rPr>
          <w:lang w:val="fr-FR"/>
        </w:rPr>
        <w:t>devenir réalité</w:t>
      </w:r>
      <w:r w:rsidRPr="00961990">
        <w:rPr>
          <w:lang w:val="fr-FR"/>
        </w:rPr>
        <w:t xml:space="preserve"> trois ans après la date de l</w:t>
      </w:r>
      <w:r w:rsidR="00197436" w:rsidRPr="00961990">
        <w:rPr>
          <w:lang w:val="fr-FR"/>
        </w:rPr>
        <w:t>’</w:t>
      </w:r>
      <w:r w:rsidRPr="00961990">
        <w:rPr>
          <w:lang w:val="fr-FR"/>
        </w:rPr>
        <w:t>enregistrement de base, le délai minimal prévu à l</w:t>
      </w:r>
      <w:r w:rsidR="00197436" w:rsidRPr="00961990">
        <w:rPr>
          <w:lang w:val="fr-FR"/>
        </w:rPr>
        <w:t>’</w:t>
      </w:r>
      <w:r w:rsidRPr="00961990">
        <w:rPr>
          <w:lang w:val="fr-FR"/>
        </w:rPr>
        <w:t>article 19</w:t>
      </w:r>
      <w:r w:rsidR="005F08A9" w:rsidRPr="00961990">
        <w:rPr>
          <w:lang w:val="fr-FR"/>
        </w:rPr>
        <w:t xml:space="preserve"> </w:t>
      </w:r>
      <w:r w:rsidR="00024551" w:rsidRPr="00961990">
        <w:rPr>
          <w:lang w:val="fr-FR"/>
        </w:rPr>
        <w:t>de l</w:t>
      </w:r>
      <w:r w:rsidR="00197436" w:rsidRPr="00961990">
        <w:rPr>
          <w:lang w:val="fr-FR"/>
        </w:rPr>
        <w:t>’</w:t>
      </w:r>
      <w:r w:rsidR="00024551" w:rsidRPr="00961990">
        <w:rPr>
          <w:lang w:val="fr-FR"/>
        </w:rPr>
        <w:t>Accord sur les aspects des droits de propriété intellectuelle qui touchent au commerce (Accord sur</w:t>
      </w:r>
      <w:r w:rsidR="00197436" w:rsidRPr="00961990">
        <w:rPr>
          <w:lang w:val="fr-FR"/>
        </w:rPr>
        <w:t xml:space="preserve"> les ADP</w:t>
      </w:r>
      <w:r w:rsidR="00024551" w:rsidRPr="00961990">
        <w:rPr>
          <w:lang w:val="fr-FR"/>
        </w:rPr>
        <w:t>IC);  la période de dépendance dure</w:t>
      </w:r>
      <w:r w:rsidR="00290A95" w:rsidRPr="00961990">
        <w:rPr>
          <w:lang w:val="fr-FR"/>
        </w:rPr>
        <w:t>, quant à elle,</w:t>
      </w:r>
      <w:r w:rsidR="00024551" w:rsidRPr="00961990">
        <w:rPr>
          <w:lang w:val="fr-FR"/>
        </w:rPr>
        <w:t xml:space="preserve"> cinq ans</w:t>
      </w:r>
      <w:r w:rsidR="005F08A9" w:rsidRPr="00961990">
        <w:rPr>
          <w:lang w:val="fr-FR"/>
        </w:rPr>
        <w:t>.</w:t>
      </w:r>
    </w:p>
    <w:p w:rsidR="00197436" w:rsidRPr="00961990" w:rsidRDefault="00024551" w:rsidP="00855CBF">
      <w:pPr>
        <w:pStyle w:val="ONUMFS"/>
        <w:rPr>
          <w:lang w:val="fr-FR"/>
        </w:rPr>
      </w:pPr>
      <w:r w:rsidRPr="00961990">
        <w:rPr>
          <w:lang w:val="fr-FR"/>
        </w:rPr>
        <w:t>San</w:t>
      </w:r>
      <w:r w:rsidRPr="00961990">
        <w:rPr>
          <w:lang w:val="fr-FR"/>
        </w:rPr>
        <w:t>s aller jusqu</w:t>
      </w:r>
      <w:r w:rsidR="00197436" w:rsidRPr="00961990">
        <w:rPr>
          <w:lang w:val="fr-FR"/>
        </w:rPr>
        <w:t>’</w:t>
      </w:r>
      <w:r w:rsidRPr="00961990">
        <w:rPr>
          <w:lang w:val="fr-FR"/>
        </w:rPr>
        <w:t xml:space="preserve">à supprimer ou suspendre la dépendance, on pourrait envisager de </w:t>
      </w:r>
      <w:r w:rsidR="000327F0">
        <w:rPr>
          <w:lang w:val="fr-FR"/>
        </w:rPr>
        <w:t>réduire</w:t>
      </w:r>
      <w:r w:rsidRPr="00961990">
        <w:rPr>
          <w:lang w:val="fr-FR"/>
        </w:rPr>
        <w:t xml:space="preserve"> </w:t>
      </w:r>
      <w:r w:rsidR="006334B8">
        <w:rPr>
          <w:lang w:val="fr-FR"/>
        </w:rPr>
        <w:t>la période</w:t>
      </w:r>
      <w:r w:rsidRPr="00961990">
        <w:rPr>
          <w:lang w:val="fr-FR"/>
        </w:rPr>
        <w:t xml:space="preserve"> de dépendance à moins de trois ans,</w:t>
      </w:r>
      <w:r w:rsidRPr="00961990">
        <w:rPr>
          <w:lang w:val="fr-FR"/>
        </w:rPr>
        <w:t xml:space="preserve"> par exemple.</w:t>
      </w:r>
    </w:p>
    <w:p w:rsidR="00197436" w:rsidRPr="00961990" w:rsidRDefault="00024551" w:rsidP="00855CBF">
      <w:pPr>
        <w:pStyle w:val="ONUMFS"/>
        <w:rPr>
          <w:lang w:val="fr-FR"/>
        </w:rPr>
      </w:pPr>
      <w:r w:rsidRPr="00961990">
        <w:rPr>
          <w:lang w:val="fr-FR"/>
        </w:rPr>
        <w:t>En outre, la radiation de l</w:t>
      </w:r>
      <w:r w:rsidR="00197436" w:rsidRPr="00961990">
        <w:rPr>
          <w:lang w:val="fr-FR"/>
        </w:rPr>
        <w:t>’</w:t>
      </w:r>
      <w:r w:rsidRPr="00961990">
        <w:rPr>
          <w:lang w:val="fr-FR"/>
        </w:rPr>
        <w:t xml:space="preserve">enregistrement </w:t>
      </w:r>
      <w:r w:rsidR="005F08A9" w:rsidRPr="00961990">
        <w:rPr>
          <w:lang w:val="fr-FR"/>
        </w:rPr>
        <w:t xml:space="preserve">international </w:t>
      </w:r>
      <w:r w:rsidR="00FB364A" w:rsidRPr="00961990">
        <w:rPr>
          <w:lang w:val="fr-FR"/>
        </w:rPr>
        <w:t>pourrait être considérée comme étant limitée à une cessation totale des effets de la marque de base ou pourrait être limitée à certains motifs, tels que la mauvaise foi.</w:t>
      </w:r>
    </w:p>
    <w:p w:rsidR="00197436" w:rsidRPr="00961990" w:rsidRDefault="00FB364A" w:rsidP="00044E59">
      <w:pPr>
        <w:pStyle w:val="ONUMFS"/>
        <w:spacing w:after="0"/>
        <w:rPr>
          <w:lang w:val="fr-FR"/>
        </w:rPr>
      </w:pPr>
      <w:r w:rsidRPr="00961990">
        <w:rPr>
          <w:lang w:val="fr-FR"/>
        </w:rPr>
        <w:t>Une révision du Protocole et du règlement d</w:t>
      </w:r>
      <w:r w:rsidR="00197436" w:rsidRPr="00961990">
        <w:rPr>
          <w:lang w:val="fr-FR"/>
        </w:rPr>
        <w:t>’</w:t>
      </w:r>
      <w:r w:rsidRPr="00961990">
        <w:rPr>
          <w:lang w:val="fr-FR"/>
        </w:rPr>
        <w:t>exécution commun pourrait être nécessaire aux fins de la mise en œuvre de cette option</w:t>
      </w:r>
      <w:r w:rsidR="005F08A9" w:rsidRPr="00961990">
        <w:rPr>
          <w:lang w:val="fr-FR"/>
        </w:rPr>
        <w:t>.</w:t>
      </w:r>
    </w:p>
    <w:p w:rsidR="00DB113E" w:rsidRPr="00961990" w:rsidRDefault="00790510" w:rsidP="00855CBF">
      <w:pPr>
        <w:pStyle w:val="Heading2"/>
        <w:rPr>
          <w:lang w:val="fr-FR"/>
        </w:rPr>
      </w:pPr>
      <w:r w:rsidRPr="00961990">
        <w:rPr>
          <w:lang w:val="fr-FR"/>
        </w:rPr>
        <w:t>Transformation</w:t>
      </w:r>
    </w:p>
    <w:p w:rsidR="00790510" w:rsidRPr="00961990" w:rsidRDefault="00790510" w:rsidP="00855CBF">
      <w:pPr>
        <w:rPr>
          <w:lang w:val="fr-FR"/>
        </w:rPr>
      </w:pPr>
    </w:p>
    <w:p w:rsidR="00197436" w:rsidRPr="00961990" w:rsidRDefault="00FB364A" w:rsidP="00855CBF">
      <w:pPr>
        <w:pStyle w:val="ONUMFS"/>
        <w:rPr>
          <w:lang w:val="fr-FR"/>
        </w:rPr>
      </w:pPr>
      <w:r w:rsidRPr="00961990">
        <w:rPr>
          <w:lang w:val="fr-FR"/>
        </w:rPr>
        <w:t>La t</w:t>
      </w:r>
      <w:r w:rsidR="005F08A9" w:rsidRPr="00961990">
        <w:rPr>
          <w:lang w:val="fr-FR"/>
        </w:rPr>
        <w:t xml:space="preserve">ransformation </w:t>
      </w:r>
      <w:r w:rsidRPr="00961990">
        <w:rPr>
          <w:lang w:val="fr-FR"/>
        </w:rPr>
        <w:t>est considérée comme une procédure fastidieuse et onéreu</w:t>
      </w:r>
      <w:r w:rsidR="00AA1806" w:rsidRPr="00961990">
        <w:rPr>
          <w:lang w:val="fr-FR"/>
        </w:rPr>
        <w:t>se.  En</w:t>
      </w:r>
      <w:r w:rsidRPr="00961990">
        <w:rPr>
          <w:lang w:val="fr-FR"/>
        </w:rPr>
        <w:t xml:space="preserve"> outre, le délai prévu pour le dépôt d</w:t>
      </w:r>
      <w:r w:rsidR="00197436" w:rsidRPr="00961990">
        <w:rPr>
          <w:lang w:val="fr-FR"/>
        </w:rPr>
        <w:t>’</w:t>
      </w:r>
      <w:r w:rsidRPr="00961990">
        <w:rPr>
          <w:lang w:val="fr-FR"/>
        </w:rPr>
        <w:t>une demande nationale ou régionale résultant d</w:t>
      </w:r>
      <w:r w:rsidR="00197436" w:rsidRPr="00961990">
        <w:rPr>
          <w:lang w:val="fr-FR"/>
        </w:rPr>
        <w:t>’</w:t>
      </w:r>
      <w:r w:rsidRPr="00961990">
        <w:rPr>
          <w:lang w:val="fr-FR"/>
        </w:rPr>
        <w:t xml:space="preserve">une </w:t>
      </w:r>
      <w:r w:rsidR="005F08A9" w:rsidRPr="00961990">
        <w:rPr>
          <w:lang w:val="fr-FR"/>
        </w:rPr>
        <w:t>transformation, t</w:t>
      </w:r>
      <w:r w:rsidRPr="00961990">
        <w:rPr>
          <w:lang w:val="fr-FR"/>
        </w:rPr>
        <w:t xml:space="preserve">rois mois à compter de la </w:t>
      </w:r>
      <w:r w:rsidR="00113B39" w:rsidRPr="00961990">
        <w:rPr>
          <w:lang w:val="fr-FR"/>
        </w:rPr>
        <w:t xml:space="preserve">date de </w:t>
      </w:r>
      <w:r w:rsidRPr="00961990">
        <w:rPr>
          <w:lang w:val="fr-FR"/>
        </w:rPr>
        <w:t>radiation de l</w:t>
      </w:r>
      <w:r w:rsidR="00197436" w:rsidRPr="00961990">
        <w:rPr>
          <w:lang w:val="fr-FR"/>
        </w:rPr>
        <w:t>’</w:t>
      </w:r>
      <w:r w:rsidRPr="00961990">
        <w:rPr>
          <w:lang w:val="fr-FR"/>
        </w:rPr>
        <w:t xml:space="preserve">enregistrement </w:t>
      </w:r>
      <w:r w:rsidR="005F08A9" w:rsidRPr="00961990">
        <w:rPr>
          <w:lang w:val="fr-FR"/>
        </w:rPr>
        <w:t xml:space="preserve">international, </w:t>
      </w:r>
      <w:r w:rsidRPr="00961990">
        <w:rPr>
          <w:lang w:val="fr-FR"/>
        </w:rPr>
        <w:t xml:space="preserve">pourrait </w:t>
      </w:r>
      <w:r w:rsidR="00113B39" w:rsidRPr="00961990">
        <w:rPr>
          <w:lang w:val="fr-FR"/>
        </w:rPr>
        <w:t xml:space="preserve">se révéler </w:t>
      </w:r>
      <w:r w:rsidR="00290A95" w:rsidRPr="00961990">
        <w:rPr>
          <w:lang w:val="fr-FR"/>
        </w:rPr>
        <w:t xml:space="preserve">trop </w:t>
      </w:r>
      <w:r w:rsidR="00113B39" w:rsidRPr="00961990">
        <w:rPr>
          <w:lang w:val="fr-FR"/>
        </w:rPr>
        <w:t>court l</w:t>
      </w:r>
      <w:r w:rsidR="00113B39" w:rsidRPr="00961990">
        <w:rPr>
          <w:lang w:val="fr-FR"/>
        </w:rPr>
        <w:t>orsque</w:t>
      </w:r>
      <w:r w:rsidR="005F08A9" w:rsidRPr="00961990">
        <w:rPr>
          <w:lang w:val="fr-FR"/>
        </w:rPr>
        <w:t xml:space="preserve">, </w:t>
      </w:r>
      <w:r w:rsidR="00113B39" w:rsidRPr="00961990">
        <w:rPr>
          <w:lang w:val="fr-FR"/>
        </w:rPr>
        <w:t xml:space="preserve">en </w:t>
      </w:r>
      <w:r w:rsidR="005F08A9" w:rsidRPr="00961990">
        <w:rPr>
          <w:lang w:val="fr-FR"/>
        </w:rPr>
        <w:t>particul</w:t>
      </w:r>
      <w:r w:rsidR="00113B39" w:rsidRPr="00961990">
        <w:rPr>
          <w:lang w:val="fr-FR"/>
        </w:rPr>
        <w:t>ier</w:t>
      </w:r>
      <w:r w:rsidR="005F08A9" w:rsidRPr="00961990">
        <w:rPr>
          <w:lang w:val="fr-FR"/>
        </w:rPr>
        <w:t xml:space="preserve">, </w:t>
      </w:r>
      <w:r w:rsidR="00113B39" w:rsidRPr="00961990">
        <w:rPr>
          <w:lang w:val="fr-FR"/>
        </w:rPr>
        <w:t>un mandataire est requis pour le dépôt de cette deman</w:t>
      </w:r>
      <w:r w:rsidR="00AA1806" w:rsidRPr="00961990">
        <w:rPr>
          <w:lang w:val="fr-FR"/>
        </w:rPr>
        <w:t>de.  Un</w:t>
      </w:r>
      <w:r w:rsidR="00113B39" w:rsidRPr="00961990">
        <w:rPr>
          <w:lang w:val="fr-FR"/>
        </w:rPr>
        <w:t xml:space="preserve">e procédure de remplacement en ce qui concerne la </w:t>
      </w:r>
      <w:r w:rsidR="005F08A9" w:rsidRPr="00961990">
        <w:rPr>
          <w:lang w:val="fr-FR"/>
        </w:rPr>
        <w:t xml:space="preserve">transformation </w:t>
      </w:r>
      <w:r w:rsidR="00113B39" w:rsidRPr="00961990">
        <w:rPr>
          <w:lang w:val="fr-FR"/>
        </w:rPr>
        <w:t xml:space="preserve">des enregistrements internationaux </w:t>
      </w:r>
      <w:r w:rsidR="00E65377">
        <w:rPr>
          <w:lang w:val="fr-FR"/>
        </w:rPr>
        <w:t>radiés</w:t>
      </w:r>
      <w:r w:rsidR="00113B39" w:rsidRPr="00961990">
        <w:rPr>
          <w:lang w:val="fr-FR"/>
        </w:rPr>
        <w:t xml:space="preserve"> pourrait être envisagée, le Bureau international s</w:t>
      </w:r>
      <w:r w:rsidR="00197436" w:rsidRPr="00961990">
        <w:rPr>
          <w:lang w:val="fr-FR"/>
        </w:rPr>
        <w:t>’</w:t>
      </w:r>
      <w:r w:rsidR="00113B39" w:rsidRPr="00961990">
        <w:rPr>
          <w:lang w:val="fr-FR"/>
        </w:rPr>
        <w:t>occupant de toutes les</w:t>
      </w:r>
      <w:r w:rsidR="005F08A9" w:rsidRPr="00961990">
        <w:rPr>
          <w:lang w:val="fr-FR"/>
        </w:rPr>
        <w:t xml:space="preserve"> formalit</w:t>
      </w:r>
      <w:r w:rsidR="00113B39" w:rsidRPr="00961990">
        <w:rPr>
          <w:lang w:val="fr-FR"/>
        </w:rPr>
        <w:t>é</w:t>
      </w:r>
      <w:r w:rsidR="005F08A9" w:rsidRPr="00961990">
        <w:rPr>
          <w:lang w:val="fr-FR"/>
        </w:rPr>
        <w:t>s.</w:t>
      </w:r>
    </w:p>
    <w:p w:rsidR="00197436" w:rsidRPr="00961990" w:rsidRDefault="00FB364A" w:rsidP="00044E59">
      <w:pPr>
        <w:pStyle w:val="ONUMFS"/>
        <w:spacing w:after="0"/>
        <w:rPr>
          <w:lang w:val="fr-FR"/>
        </w:rPr>
      </w:pPr>
      <w:r w:rsidRPr="00961990">
        <w:rPr>
          <w:lang w:val="fr-FR"/>
        </w:rPr>
        <w:t>Une révision du Protocole et du règlement d</w:t>
      </w:r>
      <w:r w:rsidR="00197436" w:rsidRPr="00961990">
        <w:rPr>
          <w:lang w:val="fr-FR"/>
        </w:rPr>
        <w:t>’</w:t>
      </w:r>
      <w:r w:rsidRPr="00961990">
        <w:rPr>
          <w:lang w:val="fr-FR"/>
        </w:rPr>
        <w:t>exécution commun pourrait être nécessaire aux fins de la mise en œuvre de cette option</w:t>
      </w:r>
      <w:r w:rsidR="005F08A9" w:rsidRPr="00961990">
        <w:rPr>
          <w:lang w:val="fr-FR"/>
        </w:rPr>
        <w:t>.</w:t>
      </w:r>
    </w:p>
    <w:p w:rsidR="00DB113E" w:rsidRPr="00961990" w:rsidRDefault="00790510" w:rsidP="00855CBF">
      <w:pPr>
        <w:pStyle w:val="Heading2"/>
        <w:rPr>
          <w:lang w:val="fr-FR"/>
        </w:rPr>
      </w:pPr>
      <w:r w:rsidRPr="00961990">
        <w:rPr>
          <w:lang w:val="fr-FR"/>
        </w:rPr>
        <w:t>Remplacement</w:t>
      </w:r>
    </w:p>
    <w:p w:rsidR="00790510" w:rsidRPr="00961990" w:rsidRDefault="00790510" w:rsidP="00855CBF">
      <w:pPr>
        <w:rPr>
          <w:lang w:val="fr-FR"/>
        </w:rPr>
      </w:pPr>
    </w:p>
    <w:p w:rsidR="00197436" w:rsidRPr="00961990" w:rsidRDefault="00632B04" w:rsidP="00855CBF">
      <w:pPr>
        <w:pStyle w:val="ONUMFS"/>
        <w:rPr>
          <w:lang w:val="fr-FR"/>
        </w:rPr>
      </w:pPr>
      <w:r w:rsidRPr="00961990">
        <w:rPr>
          <w:lang w:val="fr-FR"/>
        </w:rPr>
        <w:t>Le remplacement peut constituer un dispositif très utile pour les titulaires de droits qui souhaitent profiter des mécanismes de gestion centralisée du système de Madrid, sans avoir recours au dépôt centralisé</w:t>
      </w:r>
      <w:r w:rsidR="005F08A9" w:rsidRPr="00961990">
        <w:rPr>
          <w:lang w:val="fr-FR"/>
        </w:rPr>
        <w:t>.</w:t>
      </w:r>
    </w:p>
    <w:p w:rsidR="00197436" w:rsidRPr="00961990" w:rsidRDefault="007E0DDD" w:rsidP="00855CBF">
      <w:pPr>
        <w:pStyle w:val="ONUMFS"/>
        <w:rPr>
          <w:lang w:val="fr-FR"/>
        </w:rPr>
      </w:pPr>
      <w:r w:rsidRPr="00961990">
        <w:rPr>
          <w:lang w:val="fr-FR"/>
        </w:rPr>
        <w:t>Les enregistr</w:t>
      </w:r>
      <w:r w:rsidRPr="00961990">
        <w:rPr>
          <w:lang w:val="fr-FR"/>
        </w:rPr>
        <w:t>ements  n</w:t>
      </w:r>
      <w:r w:rsidR="005F08A9" w:rsidRPr="00961990">
        <w:rPr>
          <w:lang w:val="fr-FR"/>
        </w:rPr>
        <w:t>ationa</w:t>
      </w:r>
      <w:r w:rsidR="005861FD">
        <w:rPr>
          <w:lang w:val="fr-FR"/>
        </w:rPr>
        <w:t>ux</w:t>
      </w:r>
      <w:r w:rsidR="005F08A9" w:rsidRPr="00961990">
        <w:rPr>
          <w:lang w:val="fr-FR"/>
        </w:rPr>
        <w:t xml:space="preserve"> o</w:t>
      </w:r>
      <w:r w:rsidRPr="00961990">
        <w:rPr>
          <w:lang w:val="fr-FR"/>
        </w:rPr>
        <w:t>u ré</w:t>
      </w:r>
      <w:r w:rsidR="005F08A9" w:rsidRPr="00961990">
        <w:rPr>
          <w:lang w:val="fr-FR"/>
        </w:rPr>
        <w:t>giona</w:t>
      </w:r>
      <w:r w:rsidR="005861FD">
        <w:rPr>
          <w:lang w:val="fr-FR"/>
        </w:rPr>
        <w:t>ux</w:t>
      </w:r>
      <w:r w:rsidR="005F08A9" w:rsidRPr="00961990">
        <w:rPr>
          <w:lang w:val="fr-FR"/>
        </w:rPr>
        <w:t xml:space="preserve"> </w:t>
      </w:r>
      <w:r w:rsidRPr="00961990">
        <w:rPr>
          <w:lang w:val="fr-FR"/>
        </w:rPr>
        <w:t xml:space="preserve">obtenus par dépôt </w:t>
      </w:r>
      <w:r w:rsidRPr="00961990">
        <w:rPr>
          <w:lang w:val="fr-FR"/>
        </w:rPr>
        <w:t>direct pourraient relever du système de Madrid grâce au remplaceme</w:t>
      </w:r>
      <w:r w:rsidR="00AA1806" w:rsidRPr="00961990">
        <w:rPr>
          <w:lang w:val="fr-FR"/>
        </w:rPr>
        <w:t>nt.  To</w:t>
      </w:r>
      <w:r w:rsidRPr="00961990">
        <w:rPr>
          <w:lang w:val="fr-FR"/>
        </w:rPr>
        <w:t>utefois, dans la pratique, le remplacement n</w:t>
      </w:r>
      <w:r w:rsidR="00197436" w:rsidRPr="00961990">
        <w:rPr>
          <w:lang w:val="fr-FR"/>
        </w:rPr>
        <w:t>’</w:t>
      </w:r>
      <w:r w:rsidRPr="00961990">
        <w:rPr>
          <w:lang w:val="fr-FR"/>
        </w:rPr>
        <w:t>a pas encore libéré tout son potenti</w:t>
      </w:r>
      <w:r w:rsidR="00AA1806" w:rsidRPr="00961990">
        <w:rPr>
          <w:lang w:val="fr-FR"/>
        </w:rPr>
        <w:t>el.  Ce</w:t>
      </w:r>
      <w:r w:rsidRPr="00961990">
        <w:rPr>
          <w:lang w:val="fr-FR"/>
        </w:rPr>
        <w:t>tte question est actuellement examinée au sein du groupe de travail</w:t>
      </w:r>
      <w:r w:rsidR="005F08A9" w:rsidRPr="00961990">
        <w:rPr>
          <w:rStyle w:val="FootnoteReference"/>
          <w:lang w:val="fr-FR"/>
        </w:rPr>
        <w:footnoteReference w:id="5"/>
      </w:r>
      <w:r w:rsidR="005F08A9" w:rsidRPr="00961990">
        <w:rPr>
          <w:lang w:val="fr-FR"/>
        </w:rPr>
        <w:t>.</w:t>
      </w:r>
    </w:p>
    <w:p w:rsidR="00197436" w:rsidRPr="00961990" w:rsidRDefault="007E0DDD" w:rsidP="00044E59">
      <w:pPr>
        <w:pStyle w:val="ONUMFS"/>
        <w:spacing w:after="0"/>
        <w:rPr>
          <w:lang w:val="fr-FR"/>
        </w:rPr>
      </w:pPr>
      <w:r w:rsidRPr="00961990">
        <w:rPr>
          <w:lang w:val="fr-FR"/>
        </w:rPr>
        <w:t>Une révision du règlement d</w:t>
      </w:r>
      <w:r w:rsidR="00197436" w:rsidRPr="00961990">
        <w:rPr>
          <w:lang w:val="fr-FR"/>
        </w:rPr>
        <w:t>’</w:t>
      </w:r>
      <w:r w:rsidRPr="00961990">
        <w:rPr>
          <w:lang w:val="fr-FR"/>
        </w:rPr>
        <w:t>exécution commun serait nécessaire pour mettre en œuvre l</w:t>
      </w:r>
      <w:r w:rsidR="00197436" w:rsidRPr="00961990">
        <w:rPr>
          <w:lang w:val="fr-FR"/>
        </w:rPr>
        <w:t>’</w:t>
      </w:r>
      <w:r w:rsidRPr="00961990">
        <w:rPr>
          <w:lang w:val="fr-FR"/>
        </w:rPr>
        <w:t>option actuellement examinée par le groupe de trava</w:t>
      </w:r>
      <w:r w:rsidR="00AA1806" w:rsidRPr="00961990">
        <w:rPr>
          <w:lang w:val="fr-FR"/>
        </w:rPr>
        <w:t>il.  Un</w:t>
      </w:r>
      <w:r w:rsidRPr="00961990">
        <w:rPr>
          <w:lang w:val="fr-FR"/>
        </w:rPr>
        <w:t>e révision du Protocole pourrait être nécessaire pour mettre en œuvre d</w:t>
      </w:r>
      <w:r w:rsidR="00197436" w:rsidRPr="00961990">
        <w:rPr>
          <w:lang w:val="fr-FR"/>
        </w:rPr>
        <w:t>’</w:t>
      </w:r>
      <w:r w:rsidRPr="00961990">
        <w:rPr>
          <w:lang w:val="fr-FR"/>
        </w:rPr>
        <w:t xml:space="preserve">autres </w:t>
      </w:r>
      <w:r w:rsidR="005F08A9" w:rsidRPr="00961990">
        <w:rPr>
          <w:lang w:val="fr-FR"/>
        </w:rPr>
        <w:t>options.</w:t>
      </w:r>
    </w:p>
    <w:p w:rsidR="00DB113E" w:rsidRPr="00961990" w:rsidRDefault="00790510" w:rsidP="00855CBF">
      <w:pPr>
        <w:pStyle w:val="Heading2"/>
        <w:rPr>
          <w:lang w:val="fr-FR"/>
        </w:rPr>
      </w:pPr>
      <w:r w:rsidRPr="00961990">
        <w:rPr>
          <w:lang w:val="fr-FR"/>
        </w:rPr>
        <w:t>Division et fusion des enregistrements internationaux</w:t>
      </w:r>
    </w:p>
    <w:p w:rsidR="00790510" w:rsidRPr="00961990" w:rsidRDefault="00790510" w:rsidP="00855CBF">
      <w:pPr>
        <w:rPr>
          <w:lang w:val="fr-FR"/>
        </w:rPr>
      </w:pPr>
    </w:p>
    <w:p w:rsidR="00197436" w:rsidRPr="00961990" w:rsidRDefault="00286625" w:rsidP="00855CBF">
      <w:pPr>
        <w:pStyle w:val="ONUMFS"/>
        <w:rPr>
          <w:lang w:val="fr-FR"/>
        </w:rPr>
      </w:pPr>
      <w:r w:rsidRPr="00961990">
        <w:rPr>
          <w:lang w:val="fr-FR"/>
        </w:rPr>
        <w:t>En vertu de l</w:t>
      </w:r>
      <w:r w:rsidR="00197436" w:rsidRPr="00961990">
        <w:rPr>
          <w:lang w:val="fr-FR"/>
        </w:rPr>
        <w:t>’</w:t>
      </w:r>
      <w:r w:rsidRPr="00961990">
        <w:rPr>
          <w:lang w:val="fr-FR"/>
        </w:rPr>
        <w:t>article </w:t>
      </w:r>
      <w:r w:rsidR="005F08A9" w:rsidRPr="00961990">
        <w:rPr>
          <w:lang w:val="fr-FR"/>
        </w:rPr>
        <w:t xml:space="preserve">4 </w:t>
      </w:r>
      <w:r w:rsidRPr="00961990">
        <w:rPr>
          <w:lang w:val="fr-FR"/>
        </w:rPr>
        <w:t xml:space="preserve">du </w:t>
      </w:r>
      <w:r w:rsidR="005F08A9" w:rsidRPr="00961990">
        <w:rPr>
          <w:lang w:val="fr-FR"/>
        </w:rPr>
        <w:t>Protocol</w:t>
      </w:r>
      <w:r w:rsidRPr="00961990">
        <w:rPr>
          <w:lang w:val="fr-FR"/>
        </w:rPr>
        <w:t>e</w:t>
      </w:r>
      <w:r w:rsidR="005F08A9" w:rsidRPr="00961990">
        <w:rPr>
          <w:lang w:val="fr-FR"/>
        </w:rPr>
        <w:t xml:space="preserve">, </w:t>
      </w:r>
      <w:r w:rsidRPr="00961990">
        <w:rPr>
          <w:lang w:val="fr-FR"/>
        </w:rPr>
        <w:t xml:space="preserve">un enregistrement </w:t>
      </w:r>
      <w:r w:rsidR="005F08A9" w:rsidRPr="00961990">
        <w:rPr>
          <w:lang w:val="fr-FR"/>
        </w:rPr>
        <w:t xml:space="preserve">international </w:t>
      </w:r>
      <w:r w:rsidRPr="00961990">
        <w:rPr>
          <w:lang w:val="fr-FR"/>
        </w:rPr>
        <w:t>produit les mêmes effets qu</w:t>
      </w:r>
      <w:r w:rsidR="00197436" w:rsidRPr="00961990">
        <w:rPr>
          <w:lang w:val="fr-FR"/>
        </w:rPr>
        <w:t>’</w:t>
      </w:r>
      <w:r w:rsidRPr="00961990">
        <w:rPr>
          <w:lang w:val="fr-FR"/>
        </w:rPr>
        <w:t>un enregi</w:t>
      </w:r>
      <w:r w:rsidRPr="00961990">
        <w:rPr>
          <w:lang w:val="fr-FR"/>
        </w:rPr>
        <w:t>strement effectué par</w:t>
      </w:r>
      <w:r w:rsidR="00290A95" w:rsidRPr="00961990">
        <w:rPr>
          <w:lang w:val="fr-FR"/>
        </w:rPr>
        <w:t xml:space="preserve"> </w:t>
      </w:r>
      <w:r w:rsidRPr="00961990">
        <w:rPr>
          <w:lang w:val="fr-FR"/>
        </w:rPr>
        <w:t>l</w:t>
      </w:r>
      <w:r w:rsidR="00197436" w:rsidRPr="00961990">
        <w:rPr>
          <w:lang w:val="fr-FR"/>
        </w:rPr>
        <w:t>’</w:t>
      </w:r>
      <w:r w:rsidRPr="00961990">
        <w:rPr>
          <w:lang w:val="fr-FR"/>
        </w:rPr>
        <w:t>office d</w:t>
      </w:r>
      <w:r w:rsidR="00197436" w:rsidRPr="00961990">
        <w:rPr>
          <w:lang w:val="fr-FR"/>
        </w:rPr>
        <w:t>’</w:t>
      </w:r>
      <w:r w:rsidRPr="00961990">
        <w:rPr>
          <w:lang w:val="fr-FR"/>
        </w:rPr>
        <w:t>une partie contractante désign</w:t>
      </w:r>
      <w:r w:rsidR="00AA1806" w:rsidRPr="00961990">
        <w:rPr>
          <w:lang w:val="fr-FR"/>
        </w:rPr>
        <w:t>ée.  Dè</w:t>
      </w:r>
      <w:r w:rsidRPr="00961990">
        <w:rPr>
          <w:lang w:val="fr-FR"/>
        </w:rPr>
        <w:t>s lors, l</w:t>
      </w:r>
      <w:r w:rsidR="00197436" w:rsidRPr="00961990">
        <w:rPr>
          <w:lang w:val="fr-FR"/>
        </w:rPr>
        <w:t>’</w:t>
      </w:r>
      <w:r w:rsidRPr="00961990">
        <w:rPr>
          <w:lang w:val="fr-FR"/>
        </w:rPr>
        <w:t xml:space="preserve">un des </w:t>
      </w:r>
      <w:r w:rsidR="00B167C6" w:rsidRPr="00961990">
        <w:rPr>
          <w:lang w:val="fr-FR"/>
        </w:rPr>
        <w:t>principes directeurs</w:t>
      </w:r>
      <w:r w:rsidR="00F463F3" w:rsidRPr="00961990">
        <w:rPr>
          <w:lang w:val="fr-FR"/>
        </w:rPr>
        <w:t xml:space="preserve"> du système de </w:t>
      </w:r>
      <w:r w:rsidR="005F08A9" w:rsidRPr="00961990">
        <w:rPr>
          <w:lang w:val="fr-FR"/>
        </w:rPr>
        <w:t xml:space="preserve">Madrid </w:t>
      </w:r>
      <w:r w:rsidR="007356A0" w:rsidRPr="00961990">
        <w:rPr>
          <w:lang w:val="fr-FR"/>
        </w:rPr>
        <w:t xml:space="preserve">a </w:t>
      </w:r>
      <w:r w:rsidR="0022106F" w:rsidRPr="00961990">
        <w:rPr>
          <w:lang w:val="fr-FR"/>
        </w:rPr>
        <w:t>consisté à ce</w:t>
      </w:r>
      <w:r w:rsidR="007356A0" w:rsidRPr="00961990">
        <w:rPr>
          <w:lang w:val="fr-FR"/>
        </w:rPr>
        <w:t xml:space="preserve"> que les titulaires </w:t>
      </w:r>
      <w:r w:rsidR="0022106F" w:rsidRPr="00961990">
        <w:rPr>
          <w:lang w:val="fr-FR"/>
        </w:rPr>
        <w:t>d</w:t>
      </w:r>
      <w:r w:rsidR="00197436" w:rsidRPr="00961990">
        <w:rPr>
          <w:lang w:val="fr-FR"/>
        </w:rPr>
        <w:t>’</w:t>
      </w:r>
      <w:r w:rsidR="0022106F" w:rsidRPr="00961990">
        <w:rPr>
          <w:lang w:val="fr-FR"/>
        </w:rPr>
        <w:t>enregistrements internationaux ne soient pas désavantagés par rapport aux titulaires d</w:t>
      </w:r>
      <w:r w:rsidR="00197436" w:rsidRPr="00961990">
        <w:rPr>
          <w:lang w:val="fr-FR"/>
        </w:rPr>
        <w:t>’</w:t>
      </w:r>
      <w:r w:rsidR="0022106F" w:rsidRPr="00961990">
        <w:rPr>
          <w:lang w:val="fr-FR"/>
        </w:rPr>
        <w:t>enregistrements nationaux ou régiona</w:t>
      </w:r>
      <w:r w:rsidR="00AA1806" w:rsidRPr="00961990">
        <w:rPr>
          <w:lang w:val="fr-FR"/>
        </w:rPr>
        <w:t>ux.  Ce</w:t>
      </w:r>
      <w:r w:rsidR="0022106F" w:rsidRPr="00961990">
        <w:rPr>
          <w:lang w:val="fr-FR"/>
        </w:rPr>
        <w:t>s principes ont fondé, par exemple, l</w:t>
      </w:r>
      <w:r w:rsidR="00197436" w:rsidRPr="00961990">
        <w:rPr>
          <w:lang w:val="fr-FR"/>
        </w:rPr>
        <w:t>’</w:t>
      </w:r>
      <w:r w:rsidR="0022106F" w:rsidRPr="00961990">
        <w:rPr>
          <w:lang w:val="fr-FR"/>
        </w:rPr>
        <w:t>adoption d</w:t>
      </w:r>
      <w:r w:rsidR="00197436" w:rsidRPr="00961990">
        <w:rPr>
          <w:lang w:val="fr-FR"/>
        </w:rPr>
        <w:t>’</w:t>
      </w:r>
      <w:r w:rsidR="0022106F" w:rsidRPr="00961990">
        <w:rPr>
          <w:lang w:val="fr-FR"/>
        </w:rPr>
        <w:t>une déclaration obligatoire d</w:t>
      </w:r>
      <w:r w:rsidR="00197436" w:rsidRPr="00961990">
        <w:rPr>
          <w:lang w:val="fr-FR"/>
        </w:rPr>
        <w:t>’</w:t>
      </w:r>
      <w:r w:rsidR="0022106F" w:rsidRPr="00961990">
        <w:rPr>
          <w:lang w:val="fr-FR"/>
        </w:rPr>
        <w:t>octroi de la protection</w:t>
      </w:r>
      <w:r w:rsidR="005F08A9" w:rsidRPr="00961990">
        <w:rPr>
          <w:lang w:val="fr-FR"/>
        </w:rPr>
        <w:t>.</w:t>
      </w:r>
    </w:p>
    <w:p w:rsidR="00197436" w:rsidRPr="00961990" w:rsidRDefault="0022106F" w:rsidP="00855CBF">
      <w:pPr>
        <w:pStyle w:val="ONUMFS"/>
        <w:rPr>
          <w:lang w:val="fr-FR"/>
        </w:rPr>
      </w:pPr>
      <w:r w:rsidRPr="00961990">
        <w:rPr>
          <w:lang w:val="fr-FR"/>
        </w:rPr>
        <w:t xml:space="preserve">Le groupe de travail </w:t>
      </w:r>
      <w:r w:rsidR="0029584C" w:rsidRPr="00961990">
        <w:rPr>
          <w:lang w:val="fr-FR"/>
        </w:rPr>
        <w:t>examine actuellement l</w:t>
      </w:r>
      <w:r w:rsidR="00197436" w:rsidRPr="00961990">
        <w:rPr>
          <w:lang w:val="fr-FR"/>
        </w:rPr>
        <w:t>’</w:t>
      </w:r>
      <w:r w:rsidR="0029584C" w:rsidRPr="00961990">
        <w:rPr>
          <w:lang w:val="fr-FR"/>
        </w:rPr>
        <w:t>introduc</w:t>
      </w:r>
      <w:r w:rsidR="0029584C" w:rsidRPr="00961990">
        <w:rPr>
          <w:lang w:val="fr-FR"/>
        </w:rPr>
        <w:t xml:space="preserve">tion </w:t>
      </w:r>
      <w:r w:rsidR="00836421">
        <w:rPr>
          <w:lang w:val="fr-FR"/>
        </w:rPr>
        <w:t xml:space="preserve">éventuelle </w:t>
      </w:r>
      <w:r w:rsidR="0029584C" w:rsidRPr="00961990">
        <w:rPr>
          <w:lang w:val="fr-FR"/>
        </w:rPr>
        <w:t>de l</w:t>
      </w:r>
      <w:r w:rsidR="00197436" w:rsidRPr="00961990">
        <w:rPr>
          <w:lang w:val="fr-FR"/>
        </w:rPr>
        <w:t>’</w:t>
      </w:r>
      <w:r w:rsidR="0029584C" w:rsidRPr="00961990">
        <w:rPr>
          <w:lang w:val="fr-FR"/>
        </w:rPr>
        <w:t>inscr</w:t>
      </w:r>
      <w:r w:rsidR="0029584C" w:rsidRPr="00961990">
        <w:rPr>
          <w:lang w:val="fr-FR"/>
        </w:rPr>
        <w:t xml:space="preserve">iption de la division et de la fusion concernant les enregistrements internationaux </w:t>
      </w:r>
      <w:r w:rsidR="00197436" w:rsidRPr="00961990">
        <w:rPr>
          <w:lang w:val="fr-FR"/>
        </w:rPr>
        <w:t>à l’égard</w:t>
      </w:r>
      <w:r w:rsidR="0029584C" w:rsidRPr="00961990">
        <w:rPr>
          <w:lang w:val="fr-FR"/>
        </w:rPr>
        <w:t xml:space="preserve"> d</w:t>
      </w:r>
      <w:r w:rsidR="00197436" w:rsidRPr="00961990">
        <w:rPr>
          <w:lang w:val="fr-FR"/>
        </w:rPr>
        <w:t>’</w:t>
      </w:r>
      <w:r w:rsidR="0029584C" w:rsidRPr="00961990">
        <w:rPr>
          <w:lang w:val="fr-FR"/>
        </w:rPr>
        <w:t>une partie contractante désignée</w:t>
      </w:r>
      <w:r w:rsidR="005F08A9" w:rsidRPr="00961990">
        <w:rPr>
          <w:rStyle w:val="FootnoteReference"/>
          <w:lang w:val="fr-FR"/>
        </w:rPr>
        <w:footnoteReference w:id="6"/>
      </w:r>
      <w:r w:rsidR="005F08A9" w:rsidRPr="00961990">
        <w:rPr>
          <w:lang w:val="fr-FR"/>
        </w:rPr>
        <w:t xml:space="preserve">.  </w:t>
      </w:r>
      <w:r w:rsidR="0029584C" w:rsidRPr="00961990">
        <w:rPr>
          <w:lang w:val="fr-FR"/>
        </w:rPr>
        <w:t>Cela se produirait généralement lorsque le titulaire a</w:t>
      </w:r>
      <w:r w:rsidR="008E0B35" w:rsidRPr="00961990">
        <w:rPr>
          <w:lang w:val="fr-FR"/>
        </w:rPr>
        <w:t>urait</w:t>
      </w:r>
      <w:r w:rsidR="0029584C" w:rsidRPr="00961990">
        <w:rPr>
          <w:lang w:val="fr-FR"/>
        </w:rPr>
        <w:t xml:space="preserve"> reçu la notification d</w:t>
      </w:r>
      <w:r w:rsidR="00197436" w:rsidRPr="00961990">
        <w:rPr>
          <w:lang w:val="fr-FR"/>
        </w:rPr>
        <w:t>’</w:t>
      </w:r>
      <w:r w:rsidR="0029584C" w:rsidRPr="00961990">
        <w:rPr>
          <w:lang w:val="fr-FR"/>
        </w:rPr>
        <w:t>un refus provisoire partiel et souhaite</w:t>
      </w:r>
      <w:r w:rsidR="008E0B35" w:rsidRPr="00961990">
        <w:rPr>
          <w:lang w:val="fr-FR"/>
        </w:rPr>
        <w:t>rait</w:t>
      </w:r>
      <w:r w:rsidR="0029584C" w:rsidRPr="00961990">
        <w:rPr>
          <w:lang w:val="fr-FR"/>
        </w:rPr>
        <w:t xml:space="preserve"> </w:t>
      </w:r>
      <w:r w:rsidR="005F08A9" w:rsidRPr="00961990">
        <w:rPr>
          <w:lang w:val="fr-FR"/>
        </w:rPr>
        <w:t>d</w:t>
      </w:r>
      <w:r w:rsidR="0029584C" w:rsidRPr="00961990">
        <w:rPr>
          <w:lang w:val="fr-FR"/>
        </w:rPr>
        <w:t>é</w:t>
      </w:r>
      <w:r w:rsidR="005F08A9" w:rsidRPr="00961990">
        <w:rPr>
          <w:lang w:val="fr-FR"/>
        </w:rPr>
        <w:t>tach</w:t>
      </w:r>
      <w:r w:rsidR="0029584C" w:rsidRPr="00961990">
        <w:rPr>
          <w:lang w:val="fr-FR"/>
        </w:rPr>
        <w:t>er la partie n</w:t>
      </w:r>
      <w:r w:rsidR="00197436" w:rsidRPr="00961990">
        <w:rPr>
          <w:lang w:val="fr-FR"/>
        </w:rPr>
        <w:t>’</w:t>
      </w:r>
      <w:r w:rsidR="0029584C" w:rsidRPr="00961990">
        <w:rPr>
          <w:lang w:val="fr-FR"/>
        </w:rPr>
        <w:t>a</w:t>
      </w:r>
      <w:r w:rsidR="008E0B35" w:rsidRPr="00961990">
        <w:rPr>
          <w:lang w:val="fr-FR"/>
        </w:rPr>
        <w:t>yant</w:t>
      </w:r>
      <w:r w:rsidR="0029584C" w:rsidRPr="00961990">
        <w:rPr>
          <w:lang w:val="fr-FR"/>
        </w:rPr>
        <w:t xml:space="preserve"> pas été refusée afin d</w:t>
      </w:r>
      <w:r w:rsidR="00197436" w:rsidRPr="00961990">
        <w:rPr>
          <w:lang w:val="fr-FR"/>
        </w:rPr>
        <w:t>’</w:t>
      </w:r>
      <w:r w:rsidR="0029584C" w:rsidRPr="00961990">
        <w:rPr>
          <w:lang w:val="fr-FR"/>
        </w:rPr>
        <w:t xml:space="preserve">obtenir une </w:t>
      </w:r>
      <w:r w:rsidR="005F08A9" w:rsidRPr="00961990">
        <w:rPr>
          <w:lang w:val="fr-FR"/>
        </w:rPr>
        <w:t xml:space="preserve">protection </w:t>
      </w:r>
      <w:r w:rsidR="0029584C" w:rsidRPr="00961990">
        <w:rPr>
          <w:lang w:val="fr-FR"/>
        </w:rPr>
        <w:t xml:space="preserve">et de faire valoir ses </w:t>
      </w:r>
      <w:r w:rsidR="005F08A9" w:rsidRPr="00961990">
        <w:rPr>
          <w:lang w:val="fr-FR"/>
        </w:rPr>
        <w:t>d</w:t>
      </w:r>
      <w:r w:rsidR="0029584C" w:rsidRPr="00961990">
        <w:rPr>
          <w:lang w:val="fr-FR"/>
        </w:rPr>
        <w:t>roits, tout en continu</w:t>
      </w:r>
      <w:r w:rsidR="008E0B35" w:rsidRPr="00961990">
        <w:rPr>
          <w:lang w:val="fr-FR"/>
        </w:rPr>
        <w:t>ant</w:t>
      </w:r>
      <w:r w:rsidR="0029584C" w:rsidRPr="00961990">
        <w:rPr>
          <w:lang w:val="fr-FR"/>
        </w:rPr>
        <w:t xml:space="preserve"> de </w:t>
      </w:r>
      <w:r w:rsidR="008E0B35" w:rsidRPr="00961990">
        <w:rPr>
          <w:lang w:val="fr-FR"/>
        </w:rPr>
        <w:t>déposer des recours pour ce qui concerne la partie refusée de l</w:t>
      </w:r>
      <w:r w:rsidR="00197436" w:rsidRPr="00961990">
        <w:rPr>
          <w:lang w:val="fr-FR"/>
        </w:rPr>
        <w:t>’</w:t>
      </w:r>
      <w:r w:rsidR="008E0B35" w:rsidRPr="00961990">
        <w:rPr>
          <w:lang w:val="fr-FR"/>
        </w:rPr>
        <w:t xml:space="preserve">enregistrement </w:t>
      </w:r>
      <w:r w:rsidR="005F08A9" w:rsidRPr="00961990">
        <w:rPr>
          <w:lang w:val="fr-FR"/>
        </w:rPr>
        <w:t>international.</w:t>
      </w:r>
    </w:p>
    <w:p w:rsidR="00197436" w:rsidRPr="00961990" w:rsidRDefault="008E0B35" w:rsidP="00855CBF">
      <w:pPr>
        <w:pStyle w:val="ONUMFS"/>
        <w:rPr>
          <w:lang w:val="fr-FR"/>
        </w:rPr>
      </w:pPr>
      <w:r w:rsidRPr="00961990">
        <w:rPr>
          <w:lang w:val="fr-FR"/>
        </w:rPr>
        <w:t>Le groupe de travail pourrait recenser d</w:t>
      </w:r>
      <w:r w:rsidR="00197436" w:rsidRPr="00961990">
        <w:rPr>
          <w:lang w:val="fr-FR"/>
        </w:rPr>
        <w:t>’</w:t>
      </w:r>
      <w:r w:rsidRPr="00961990">
        <w:rPr>
          <w:lang w:val="fr-FR"/>
        </w:rPr>
        <w:t xml:space="preserve">autres </w:t>
      </w:r>
      <w:r w:rsidR="005F08A9" w:rsidRPr="00961990">
        <w:rPr>
          <w:lang w:val="fr-FR"/>
        </w:rPr>
        <w:t xml:space="preserve">situations </w:t>
      </w:r>
      <w:r w:rsidRPr="00961990">
        <w:rPr>
          <w:lang w:val="fr-FR"/>
        </w:rPr>
        <w:t>dans lesquelles les titulaires d</w:t>
      </w:r>
      <w:r w:rsidR="00197436" w:rsidRPr="00961990">
        <w:rPr>
          <w:lang w:val="fr-FR"/>
        </w:rPr>
        <w:t>’</w:t>
      </w:r>
      <w:r w:rsidRPr="00961990">
        <w:rPr>
          <w:lang w:val="fr-FR"/>
        </w:rPr>
        <w:t xml:space="preserve">enregistrements </w:t>
      </w:r>
      <w:r w:rsidR="005F08A9" w:rsidRPr="00961990">
        <w:rPr>
          <w:lang w:val="fr-FR"/>
        </w:rPr>
        <w:t>internationa</w:t>
      </w:r>
      <w:r w:rsidRPr="00961990">
        <w:rPr>
          <w:lang w:val="fr-FR"/>
        </w:rPr>
        <w:t>ux pourraient être désavantagés et proposer des moyens d</w:t>
      </w:r>
      <w:r w:rsidR="00197436" w:rsidRPr="00961990">
        <w:rPr>
          <w:lang w:val="fr-FR"/>
        </w:rPr>
        <w:t>’</w:t>
      </w:r>
      <w:r w:rsidR="00AF5CE2" w:rsidRPr="00961990">
        <w:rPr>
          <w:lang w:val="fr-FR"/>
        </w:rPr>
        <w:t>y remédier</w:t>
      </w:r>
      <w:r w:rsidR="005F08A9" w:rsidRPr="00961990">
        <w:rPr>
          <w:lang w:val="fr-FR"/>
        </w:rPr>
        <w:t>.</w:t>
      </w:r>
    </w:p>
    <w:p w:rsidR="00197436" w:rsidRPr="00961990" w:rsidRDefault="00AF5CE2" w:rsidP="00044E59">
      <w:pPr>
        <w:pStyle w:val="ONUMFS"/>
        <w:spacing w:after="0"/>
        <w:rPr>
          <w:lang w:val="fr-FR"/>
        </w:rPr>
      </w:pPr>
      <w:r w:rsidRPr="00961990">
        <w:rPr>
          <w:lang w:val="fr-FR"/>
        </w:rPr>
        <w:t>Une révision du règlement d</w:t>
      </w:r>
      <w:r w:rsidR="00197436" w:rsidRPr="00961990">
        <w:rPr>
          <w:lang w:val="fr-FR"/>
        </w:rPr>
        <w:t>’</w:t>
      </w:r>
      <w:r w:rsidRPr="00961990">
        <w:rPr>
          <w:lang w:val="fr-FR"/>
        </w:rPr>
        <w:t xml:space="preserve">exécution commun pourrait être nécessaire pour mettre en œuvre cette </w:t>
      </w:r>
      <w:r w:rsidR="005F08A9" w:rsidRPr="00961990">
        <w:rPr>
          <w:lang w:val="fr-FR"/>
        </w:rPr>
        <w:t>option.</w:t>
      </w:r>
    </w:p>
    <w:p w:rsidR="00DB113E" w:rsidRPr="00961990" w:rsidRDefault="00790510" w:rsidP="00855CBF">
      <w:pPr>
        <w:pStyle w:val="Heading2"/>
        <w:rPr>
          <w:lang w:val="fr-FR"/>
        </w:rPr>
      </w:pPr>
      <w:r w:rsidRPr="00961990">
        <w:rPr>
          <w:lang w:val="fr-FR"/>
        </w:rPr>
        <w:t>Harmonisation du délai de réponse à un refus provisoire</w:t>
      </w:r>
    </w:p>
    <w:p w:rsidR="00790510" w:rsidRPr="00961990" w:rsidRDefault="00790510" w:rsidP="00855CBF">
      <w:pPr>
        <w:rPr>
          <w:lang w:val="fr-FR"/>
        </w:rPr>
      </w:pPr>
    </w:p>
    <w:p w:rsidR="00197436" w:rsidRPr="00961990" w:rsidRDefault="00AF5CE2" w:rsidP="00855CBF">
      <w:pPr>
        <w:pStyle w:val="ONUMFS"/>
        <w:rPr>
          <w:lang w:val="fr-FR"/>
        </w:rPr>
      </w:pPr>
      <w:r w:rsidRPr="00961990">
        <w:rPr>
          <w:lang w:val="fr-FR"/>
        </w:rPr>
        <w:t>Conformément à la règle </w:t>
      </w:r>
      <w:r w:rsidR="005F08A9" w:rsidRPr="00961990">
        <w:rPr>
          <w:lang w:val="fr-FR"/>
        </w:rPr>
        <w:t>17</w:t>
      </w:r>
      <w:r w:rsidRPr="00961990">
        <w:rPr>
          <w:lang w:val="fr-FR"/>
        </w:rPr>
        <w:t>.</w:t>
      </w:r>
      <w:r w:rsidR="005F08A9" w:rsidRPr="00961990">
        <w:rPr>
          <w:lang w:val="fr-FR"/>
        </w:rPr>
        <w:t>2</w:t>
      </w:r>
      <w:proofErr w:type="gramStart"/>
      <w:r w:rsidR="005F08A9" w:rsidRPr="00961990">
        <w:rPr>
          <w:lang w:val="fr-FR"/>
        </w:rPr>
        <w:t>)vii</w:t>
      </w:r>
      <w:proofErr w:type="gramEnd"/>
      <w:r w:rsidR="005F08A9" w:rsidRPr="00961990">
        <w:rPr>
          <w:lang w:val="fr-FR"/>
        </w:rPr>
        <w:t xml:space="preserve">) </w:t>
      </w:r>
      <w:r w:rsidRPr="00961990">
        <w:rPr>
          <w:lang w:val="fr-FR"/>
        </w:rPr>
        <w:t>du règlement d</w:t>
      </w:r>
      <w:r w:rsidR="00197436" w:rsidRPr="00961990">
        <w:rPr>
          <w:lang w:val="fr-FR"/>
        </w:rPr>
        <w:t>’</w:t>
      </w:r>
      <w:r w:rsidRPr="00961990">
        <w:rPr>
          <w:lang w:val="fr-FR"/>
        </w:rPr>
        <w:t xml:space="preserve">exécution commun, une notification de refus provisoire doit indiquer le délai, </w:t>
      </w:r>
      <w:r w:rsidR="005F08A9" w:rsidRPr="00961990">
        <w:rPr>
          <w:lang w:val="fr-FR"/>
        </w:rPr>
        <w:t>“</w:t>
      </w:r>
      <w:r w:rsidR="005F08A9" w:rsidRPr="00961990">
        <w:rPr>
          <w:i/>
          <w:lang w:val="fr-FR"/>
        </w:rPr>
        <w:t>ra</w:t>
      </w:r>
      <w:r w:rsidRPr="00961990">
        <w:rPr>
          <w:i/>
          <w:lang w:val="fr-FR"/>
        </w:rPr>
        <w:t>i</w:t>
      </w:r>
      <w:r w:rsidR="005F08A9" w:rsidRPr="00961990">
        <w:rPr>
          <w:i/>
          <w:lang w:val="fr-FR"/>
        </w:rPr>
        <w:t>son</w:t>
      </w:r>
      <w:r w:rsidRPr="00961990">
        <w:rPr>
          <w:i/>
          <w:lang w:val="fr-FR"/>
        </w:rPr>
        <w:t>n</w:t>
      </w:r>
      <w:r w:rsidR="005F08A9" w:rsidRPr="00961990">
        <w:rPr>
          <w:i/>
          <w:lang w:val="fr-FR"/>
        </w:rPr>
        <w:t xml:space="preserve">able </w:t>
      </w:r>
      <w:r w:rsidRPr="00961990">
        <w:rPr>
          <w:i/>
          <w:lang w:val="fr-FR"/>
        </w:rPr>
        <w:t>eu égard aux circonstances</w:t>
      </w:r>
      <w:r w:rsidR="005F08A9" w:rsidRPr="00961990">
        <w:rPr>
          <w:lang w:val="fr-FR"/>
        </w:rPr>
        <w:t xml:space="preserve">”, </w:t>
      </w:r>
      <w:r w:rsidRPr="00961990">
        <w:rPr>
          <w:lang w:val="fr-FR"/>
        </w:rPr>
        <w:t>pour présenter une requête en réexamen ou un recours ou pour présenter une réponse, selon le c</w:t>
      </w:r>
      <w:r w:rsidR="00AA1806" w:rsidRPr="00961990">
        <w:rPr>
          <w:lang w:val="fr-FR"/>
        </w:rPr>
        <w:t>as.  Le</w:t>
      </w:r>
      <w:r w:rsidRPr="00961990">
        <w:rPr>
          <w:lang w:val="fr-FR"/>
        </w:rPr>
        <w:t xml:space="preserve"> délai et son mode de calcul varie</w:t>
      </w:r>
      <w:r w:rsidR="00290A95" w:rsidRPr="00961990">
        <w:rPr>
          <w:lang w:val="fr-FR"/>
        </w:rPr>
        <w:t>nt</w:t>
      </w:r>
      <w:r w:rsidRPr="00961990">
        <w:rPr>
          <w:lang w:val="fr-FR"/>
        </w:rPr>
        <w:t xml:space="preserve"> en fonction des parties contractant</w:t>
      </w:r>
      <w:r w:rsidR="00AA1806" w:rsidRPr="00961990">
        <w:rPr>
          <w:lang w:val="fr-FR"/>
        </w:rPr>
        <w:t>es.  Le</w:t>
      </w:r>
      <w:r w:rsidRPr="00961990">
        <w:rPr>
          <w:lang w:val="fr-FR"/>
        </w:rPr>
        <w:t xml:space="preserve"> délai prévu pourrait se révéler insuffisant lorsque, par exemple, </w:t>
      </w:r>
      <w:r w:rsidR="00F31D8D" w:rsidRPr="00961990">
        <w:rPr>
          <w:lang w:val="fr-FR"/>
        </w:rPr>
        <w:t xml:space="preserve">un mandataire </w:t>
      </w:r>
      <w:r w:rsidR="005F08A9" w:rsidRPr="00961990">
        <w:rPr>
          <w:lang w:val="fr-FR"/>
        </w:rPr>
        <w:t xml:space="preserve">local </w:t>
      </w:r>
      <w:r w:rsidR="00F31D8D" w:rsidRPr="00961990">
        <w:rPr>
          <w:lang w:val="fr-FR"/>
        </w:rPr>
        <w:t>est requis</w:t>
      </w:r>
      <w:r w:rsidR="005F08A9" w:rsidRPr="00961990">
        <w:rPr>
          <w:lang w:val="fr-FR"/>
        </w:rPr>
        <w:t>.</w:t>
      </w:r>
    </w:p>
    <w:p w:rsidR="00197436" w:rsidRPr="00961990" w:rsidRDefault="00F31D8D" w:rsidP="00855CBF">
      <w:pPr>
        <w:pStyle w:val="ONUMFS"/>
        <w:rPr>
          <w:lang w:val="fr-FR"/>
        </w:rPr>
      </w:pPr>
      <w:r w:rsidRPr="00961990">
        <w:rPr>
          <w:lang w:val="fr-FR"/>
        </w:rPr>
        <w:t>Les délibérations dans le cadre de la table ronde de</w:t>
      </w:r>
      <w:r w:rsidR="00205914" w:rsidRPr="00961990">
        <w:rPr>
          <w:lang w:val="fr-FR"/>
        </w:rPr>
        <w:t> </w:t>
      </w:r>
      <w:r w:rsidRPr="00961990">
        <w:rPr>
          <w:lang w:val="fr-FR"/>
        </w:rPr>
        <w:t xml:space="preserve">2014 du Groupe de travail de </w:t>
      </w:r>
      <w:r w:rsidR="005F08A9" w:rsidRPr="00961990">
        <w:rPr>
          <w:lang w:val="fr-FR"/>
        </w:rPr>
        <w:t xml:space="preserve">Madrid </w:t>
      </w:r>
      <w:r w:rsidRPr="00961990">
        <w:rPr>
          <w:lang w:val="fr-FR"/>
        </w:rPr>
        <w:t xml:space="preserve">ont révélé que les délais accordés par les offices varient entre 15 jours et 15 mois et que les offices ont des modes différents de calcul des délais, </w:t>
      </w:r>
      <w:r w:rsidR="00197436" w:rsidRPr="00961990">
        <w:rPr>
          <w:lang w:val="fr-FR"/>
        </w:rPr>
        <w:t>à savoir</w:t>
      </w:r>
      <w:r w:rsidR="00790510" w:rsidRPr="00961990">
        <w:rPr>
          <w:lang w:val="fr-FR"/>
        </w:rPr>
        <w:t xml:space="preserve"> i) </w:t>
      </w:r>
      <w:r w:rsidRPr="00961990">
        <w:rPr>
          <w:lang w:val="fr-FR"/>
        </w:rPr>
        <w:t>à compter de la date à laquelle l</w:t>
      </w:r>
      <w:r w:rsidR="00197436" w:rsidRPr="00961990">
        <w:rPr>
          <w:lang w:val="fr-FR"/>
        </w:rPr>
        <w:t>’</w:t>
      </w:r>
      <w:r w:rsidRPr="00961990">
        <w:rPr>
          <w:lang w:val="fr-FR"/>
        </w:rPr>
        <w:t>office envoie la notification au Bureau international;  ii)</w:t>
      </w:r>
      <w:r w:rsidR="00205914" w:rsidRPr="00961990">
        <w:rPr>
          <w:lang w:val="fr-FR"/>
        </w:rPr>
        <w:t> </w:t>
      </w:r>
      <w:r w:rsidRPr="00961990">
        <w:rPr>
          <w:lang w:val="fr-FR"/>
        </w:rPr>
        <w:t xml:space="preserve">à compter de la date à laquelle le Bureau international envoie la </w:t>
      </w:r>
      <w:r w:rsidR="005F08A9" w:rsidRPr="00961990">
        <w:rPr>
          <w:lang w:val="fr-FR"/>
        </w:rPr>
        <w:t xml:space="preserve">notification </w:t>
      </w:r>
      <w:r w:rsidRPr="00961990">
        <w:rPr>
          <w:lang w:val="fr-FR"/>
        </w:rPr>
        <w:t>au titulaire</w:t>
      </w:r>
      <w:r w:rsidR="005F08A9" w:rsidRPr="00961990">
        <w:rPr>
          <w:lang w:val="fr-FR"/>
        </w:rPr>
        <w:t>;  o</w:t>
      </w:r>
      <w:r w:rsidRPr="00961990">
        <w:rPr>
          <w:lang w:val="fr-FR"/>
        </w:rPr>
        <w:t>u</w:t>
      </w:r>
      <w:r w:rsidR="00790510" w:rsidRPr="00961990">
        <w:rPr>
          <w:lang w:val="fr-FR"/>
        </w:rPr>
        <w:t> </w:t>
      </w:r>
      <w:r w:rsidRPr="00961990">
        <w:rPr>
          <w:lang w:val="fr-FR"/>
        </w:rPr>
        <w:t>iii)</w:t>
      </w:r>
      <w:r w:rsidR="00790510" w:rsidRPr="00961990">
        <w:rPr>
          <w:lang w:val="fr-FR"/>
        </w:rPr>
        <w:t> </w:t>
      </w:r>
      <w:r w:rsidRPr="00961990">
        <w:rPr>
          <w:lang w:val="fr-FR"/>
        </w:rPr>
        <w:t xml:space="preserve">à compter de la </w:t>
      </w:r>
      <w:r w:rsidR="005F08A9" w:rsidRPr="00961990">
        <w:rPr>
          <w:lang w:val="fr-FR"/>
        </w:rPr>
        <w:t xml:space="preserve">date </w:t>
      </w:r>
      <w:r w:rsidRPr="00961990">
        <w:rPr>
          <w:lang w:val="fr-FR"/>
        </w:rPr>
        <w:t xml:space="preserve">à laquelle le titulaire reçoit la </w:t>
      </w:r>
      <w:r w:rsidR="005F08A9" w:rsidRPr="00961990">
        <w:rPr>
          <w:lang w:val="fr-FR"/>
        </w:rPr>
        <w:t>notification</w:t>
      </w:r>
      <w:r w:rsidR="005F08A9" w:rsidRPr="00961990">
        <w:rPr>
          <w:vertAlign w:val="superscript"/>
          <w:lang w:val="fr-FR"/>
        </w:rPr>
        <w:footnoteReference w:id="7"/>
      </w:r>
      <w:r w:rsidR="005F08A9" w:rsidRPr="00961990">
        <w:rPr>
          <w:lang w:val="fr-FR"/>
        </w:rPr>
        <w:t>.</w:t>
      </w:r>
    </w:p>
    <w:p w:rsidR="00197436" w:rsidRPr="00961990" w:rsidRDefault="00F31D8D" w:rsidP="00855CBF">
      <w:pPr>
        <w:pStyle w:val="ONUMFS"/>
        <w:rPr>
          <w:lang w:val="fr-FR"/>
        </w:rPr>
      </w:pPr>
      <w:r w:rsidRPr="00961990">
        <w:rPr>
          <w:lang w:val="fr-FR"/>
        </w:rPr>
        <w:t>L</w:t>
      </w:r>
      <w:r w:rsidR="00197436" w:rsidRPr="00961990">
        <w:rPr>
          <w:lang w:val="fr-FR"/>
        </w:rPr>
        <w:t>’</w:t>
      </w:r>
      <w:r w:rsidRPr="00961990">
        <w:rPr>
          <w:lang w:val="fr-FR"/>
        </w:rPr>
        <w:t xml:space="preserve">harmonisation du délai de réponse à un refus provisoire et du mode de calcul de ce délai, par exemple, à compter de la date à laquelle la notification </w:t>
      </w:r>
      <w:r w:rsidR="00054A8B" w:rsidRPr="00961990">
        <w:rPr>
          <w:lang w:val="fr-FR"/>
        </w:rPr>
        <w:t xml:space="preserve">a été envoyée par </w:t>
      </w:r>
      <w:r w:rsidRPr="00961990">
        <w:rPr>
          <w:lang w:val="fr-FR"/>
        </w:rPr>
        <w:t>le Bureau international au titulaire</w:t>
      </w:r>
      <w:r w:rsidR="005F08A9" w:rsidRPr="00961990">
        <w:rPr>
          <w:lang w:val="fr-FR"/>
        </w:rPr>
        <w:t xml:space="preserve">, </w:t>
      </w:r>
      <w:r w:rsidR="00054A8B" w:rsidRPr="00961990">
        <w:rPr>
          <w:lang w:val="fr-FR"/>
        </w:rPr>
        <w:t>donnerait au titulaire plus de temps pour satisfaire aux exigences prescrites aux niveaux national ou régional de réponse à un refus provisoire</w:t>
      </w:r>
      <w:r w:rsidR="005F08A9" w:rsidRPr="00961990">
        <w:rPr>
          <w:lang w:val="fr-FR"/>
        </w:rPr>
        <w:t>.</w:t>
      </w:r>
    </w:p>
    <w:p w:rsidR="00197436" w:rsidRPr="00961990" w:rsidRDefault="00054A8B" w:rsidP="00044E59">
      <w:pPr>
        <w:pStyle w:val="ONUMFS"/>
        <w:spacing w:after="0"/>
        <w:rPr>
          <w:lang w:val="fr-FR"/>
        </w:rPr>
      </w:pPr>
      <w:r w:rsidRPr="00961990">
        <w:rPr>
          <w:lang w:val="fr-FR"/>
        </w:rPr>
        <w:t>Une révision du règlement d</w:t>
      </w:r>
      <w:r w:rsidR="00197436" w:rsidRPr="00961990">
        <w:rPr>
          <w:lang w:val="fr-FR"/>
        </w:rPr>
        <w:t>’</w:t>
      </w:r>
      <w:r w:rsidRPr="00961990">
        <w:rPr>
          <w:lang w:val="fr-FR"/>
        </w:rPr>
        <w:t>exécution commun et de la législation nationale ou régionale des parties contractantes pourrait être nécessaire pour mettre en œuvre cette option</w:t>
      </w:r>
      <w:r w:rsidR="005F08A9" w:rsidRPr="00961990">
        <w:rPr>
          <w:lang w:val="fr-FR"/>
        </w:rPr>
        <w:t>.</w:t>
      </w:r>
    </w:p>
    <w:p w:rsidR="00DB113E" w:rsidRPr="00961990" w:rsidRDefault="00790510" w:rsidP="00855CBF">
      <w:pPr>
        <w:pStyle w:val="Heading1"/>
        <w:rPr>
          <w:lang w:val="fr-FR"/>
        </w:rPr>
      </w:pPr>
      <w:r w:rsidRPr="00961990">
        <w:rPr>
          <w:lang w:val="fr-FR"/>
        </w:rPr>
        <w:t>IV.</w:t>
      </w:r>
      <w:r w:rsidRPr="00961990">
        <w:rPr>
          <w:lang w:val="fr-FR"/>
        </w:rPr>
        <w:tab/>
        <w:t>Options concernant les offices</w:t>
      </w:r>
    </w:p>
    <w:p w:rsidR="00DB113E" w:rsidRPr="00961990" w:rsidRDefault="00790510" w:rsidP="00855CBF">
      <w:pPr>
        <w:pStyle w:val="Heading2"/>
        <w:rPr>
          <w:lang w:val="fr-FR"/>
        </w:rPr>
      </w:pPr>
      <w:r w:rsidRPr="00961990">
        <w:rPr>
          <w:lang w:val="fr-FR"/>
        </w:rPr>
        <w:t>Charte d’engagement dans le cadre du système de Madrid et assurance qualité</w:t>
      </w:r>
    </w:p>
    <w:p w:rsidR="00790510" w:rsidRPr="00961990" w:rsidRDefault="00790510" w:rsidP="00855CBF">
      <w:pPr>
        <w:rPr>
          <w:lang w:val="fr-FR"/>
        </w:rPr>
      </w:pPr>
    </w:p>
    <w:p w:rsidR="00197436" w:rsidRPr="00961990" w:rsidRDefault="00054A8B" w:rsidP="00855CBF">
      <w:pPr>
        <w:pStyle w:val="ONUMFS"/>
        <w:rPr>
          <w:lang w:val="fr-FR"/>
        </w:rPr>
      </w:pPr>
      <w:r w:rsidRPr="00961990">
        <w:rPr>
          <w:lang w:val="fr-FR"/>
        </w:rPr>
        <w:t xml:space="preserve">La seule condition à laquelle doit satisfaire une partie contractante pour devenir partie </w:t>
      </w:r>
      <w:r w:rsidR="00976791" w:rsidRPr="00961990">
        <w:rPr>
          <w:lang w:val="fr-FR"/>
        </w:rPr>
        <w:t>au</w:t>
      </w:r>
      <w:r w:rsidR="005F08A9" w:rsidRPr="00961990">
        <w:rPr>
          <w:lang w:val="fr-FR"/>
        </w:rPr>
        <w:t xml:space="preserve"> Protocol</w:t>
      </w:r>
      <w:r w:rsidR="00976791" w:rsidRPr="00961990">
        <w:rPr>
          <w:lang w:val="fr-FR"/>
        </w:rPr>
        <w:t>e et d</w:t>
      </w:r>
      <w:r w:rsidR="00197436" w:rsidRPr="00961990">
        <w:rPr>
          <w:lang w:val="fr-FR"/>
        </w:rPr>
        <w:t>’</w:t>
      </w:r>
      <w:r w:rsidR="00976791" w:rsidRPr="00961990">
        <w:rPr>
          <w:lang w:val="fr-FR"/>
        </w:rPr>
        <w:t>être partie à la Convention de Paris pour la protection de la propriété industrielle</w:t>
      </w:r>
      <w:r w:rsidR="005F08A9" w:rsidRPr="00961990">
        <w:rPr>
          <w:bCs/>
          <w:lang w:val="fr-FR"/>
        </w:rPr>
        <w:t xml:space="preserve"> (</w:t>
      </w:r>
      <w:r w:rsidR="00976791" w:rsidRPr="00961990">
        <w:rPr>
          <w:bCs/>
          <w:lang w:val="fr-FR"/>
        </w:rPr>
        <w:t>ci</w:t>
      </w:r>
      <w:r w:rsidR="00CC6FBC" w:rsidRPr="00961990">
        <w:rPr>
          <w:bCs/>
          <w:lang w:val="fr-FR"/>
        </w:rPr>
        <w:noBreakHyphen/>
      </w:r>
      <w:r w:rsidR="00976791" w:rsidRPr="00961990">
        <w:rPr>
          <w:bCs/>
          <w:lang w:val="fr-FR"/>
        </w:rPr>
        <w:t xml:space="preserve">après dénommée </w:t>
      </w:r>
      <w:r w:rsidR="005F08A9" w:rsidRPr="00961990">
        <w:rPr>
          <w:bCs/>
          <w:lang w:val="fr-FR"/>
        </w:rPr>
        <w:t>“</w:t>
      </w:r>
      <w:r w:rsidR="00976791" w:rsidRPr="00961990">
        <w:rPr>
          <w:bCs/>
          <w:lang w:val="fr-FR"/>
        </w:rPr>
        <w:t xml:space="preserve">Convention de </w:t>
      </w:r>
      <w:r w:rsidR="005F08A9" w:rsidRPr="00961990">
        <w:rPr>
          <w:lang w:val="fr-FR"/>
        </w:rPr>
        <w:t xml:space="preserve">Paris”).  </w:t>
      </w:r>
      <w:r w:rsidR="00976791" w:rsidRPr="00961990">
        <w:rPr>
          <w:lang w:val="fr-FR"/>
        </w:rPr>
        <w:t>Toutefois, en devenant membres du système de Madrid, les parties contractantes pourraient expressément s</w:t>
      </w:r>
      <w:r w:rsidR="00197436" w:rsidRPr="00961990">
        <w:rPr>
          <w:lang w:val="fr-FR"/>
        </w:rPr>
        <w:t>’</w:t>
      </w:r>
      <w:r w:rsidR="00976791" w:rsidRPr="00961990">
        <w:rPr>
          <w:lang w:val="fr-FR"/>
        </w:rPr>
        <w:t>engager à assurer une mise en œuvre efficace du Protocole en adhérant à une charte d</w:t>
      </w:r>
      <w:r w:rsidR="00197436" w:rsidRPr="00961990">
        <w:rPr>
          <w:lang w:val="fr-FR"/>
        </w:rPr>
        <w:t>’</w:t>
      </w:r>
      <w:r w:rsidR="00976791" w:rsidRPr="00961990">
        <w:rPr>
          <w:lang w:val="fr-FR"/>
        </w:rPr>
        <w:t>engagement dans le cadre du système de Madrid</w:t>
      </w:r>
      <w:r w:rsidR="005F08A9" w:rsidRPr="00961990">
        <w:rPr>
          <w:lang w:val="fr-FR"/>
        </w:rPr>
        <w:t>.</w:t>
      </w:r>
    </w:p>
    <w:p w:rsidR="00197436" w:rsidRPr="00961990" w:rsidRDefault="00E2393A" w:rsidP="00855CBF">
      <w:pPr>
        <w:pStyle w:val="ONUMFS"/>
        <w:rPr>
          <w:lang w:val="fr-FR"/>
        </w:rPr>
      </w:pPr>
      <w:r w:rsidRPr="00961990">
        <w:rPr>
          <w:lang w:val="fr-FR"/>
        </w:rPr>
        <w:t xml:space="preserve">Cette charte pourrait inclure des engagements spécifiques concernant, par exemple, la conformité de la législation nationale ou régionale avec la </w:t>
      </w:r>
      <w:r w:rsidR="005F08A9" w:rsidRPr="00961990">
        <w:rPr>
          <w:lang w:val="fr-FR"/>
        </w:rPr>
        <w:t>Convention</w:t>
      </w:r>
      <w:r w:rsidRPr="00961990">
        <w:rPr>
          <w:lang w:val="fr-FR"/>
        </w:rPr>
        <w:t xml:space="preserve"> de Paris</w:t>
      </w:r>
      <w:r w:rsidR="005F08A9" w:rsidRPr="00961990">
        <w:rPr>
          <w:lang w:val="fr-FR"/>
        </w:rPr>
        <w:t xml:space="preserve">, </w:t>
      </w:r>
      <w:r w:rsidRPr="00961990">
        <w:rPr>
          <w:lang w:val="fr-FR"/>
        </w:rPr>
        <w:t xml:space="preserve">le </w:t>
      </w:r>
      <w:r w:rsidR="005F08A9" w:rsidRPr="00961990">
        <w:rPr>
          <w:lang w:val="fr-FR"/>
        </w:rPr>
        <w:t>Protocol</w:t>
      </w:r>
      <w:r w:rsidRPr="00961990">
        <w:rPr>
          <w:lang w:val="fr-FR"/>
        </w:rPr>
        <w:t>e</w:t>
      </w:r>
      <w:r w:rsidR="005F08A9" w:rsidRPr="00961990">
        <w:rPr>
          <w:lang w:val="fr-FR"/>
        </w:rPr>
        <w:t xml:space="preserve">, </w:t>
      </w:r>
      <w:r w:rsidRPr="00961990">
        <w:rPr>
          <w:lang w:val="fr-FR"/>
        </w:rPr>
        <w:t>le règlement d</w:t>
      </w:r>
      <w:r w:rsidR="00197436" w:rsidRPr="00961990">
        <w:rPr>
          <w:lang w:val="fr-FR"/>
        </w:rPr>
        <w:t>’</w:t>
      </w:r>
      <w:r w:rsidRPr="00961990">
        <w:rPr>
          <w:lang w:val="fr-FR"/>
        </w:rPr>
        <w:t>exécution commun et tout</w:t>
      </w:r>
      <w:r w:rsidR="00CD71DF" w:rsidRPr="00961990">
        <w:rPr>
          <w:lang w:val="fr-FR"/>
        </w:rPr>
        <w:t>e autre obligation pertinente découlant d</w:t>
      </w:r>
      <w:r w:rsidR="00197436" w:rsidRPr="00961990">
        <w:rPr>
          <w:lang w:val="fr-FR"/>
        </w:rPr>
        <w:t>’</w:t>
      </w:r>
      <w:r w:rsidR="00CD71DF" w:rsidRPr="00961990">
        <w:rPr>
          <w:lang w:val="fr-FR"/>
        </w:rPr>
        <w:t>un traité</w:t>
      </w:r>
      <w:r w:rsidR="005F08A9" w:rsidRPr="00961990">
        <w:rPr>
          <w:lang w:val="fr-FR"/>
        </w:rPr>
        <w:t xml:space="preserve">;  </w:t>
      </w:r>
      <w:r w:rsidR="00CD71DF" w:rsidRPr="00961990">
        <w:rPr>
          <w:lang w:val="fr-FR"/>
        </w:rPr>
        <w:t>la mise en œuvre des procédures nationales prévues au titre du Protocole;  l</w:t>
      </w:r>
      <w:r w:rsidR="00197436" w:rsidRPr="00961990">
        <w:rPr>
          <w:lang w:val="fr-FR"/>
        </w:rPr>
        <w:t>’</w:t>
      </w:r>
      <w:r w:rsidR="00CD71DF" w:rsidRPr="00961990">
        <w:rPr>
          <w:lang w:val="fr-FR"/>
        </w:rPr>
        <w:t>adhésion à certaines normes de classement</w:t>
      </w:r>
      <w:r w:rsidR="005F08A9" w:rsidRPr="00961990">
        <w:rPr>
          <w:lang w:val="fr-FR"/>
        </w:rPr>
        <w:t xml:space="preserve">;  </w:t>
      </w:r>
      <w:r w:rsidR="00FF4695" w:rsidRPr="00961990">
        <w:rPr>
          <w:lang w:val="fr-FR"/>
        </w:rPr>
        <w:t>des délais d</w:t>
      </w:r>
      <w:r w:rsidR="00197436" w:rsidRPr="00961990">
        <w:rPr>
          <w:lang w:val="fr-FR"/>
        </w:rPr>
        <w:t>’</w:t>
      </w:r>
      <w:r w:rsidR="00FF4695" w:rsidRPr="00961990">
        <w:rPr>
          <w:lang w:val="fr-FR"/>
        </w:rPr>
        <w:t>instruction et de traitement des opérations effectuées au titre du Protocol</w:t>
      </w:r>
      <w:r w:rsidR="00FF4695" w:rsidRPr="00961990">
        <w:rPr>
          <w:lang w:val="fr-FR"/>
        </w:rPr>
        <w:t>e</w:t>
      </w:r>
      <w:r w:rsidR="005F08A9" w:rsidRPr="00961990">
        <w:rPr>
          <w:lang w:val="fr-FR"/>
        </w:rPr>
        <w:t xml:space="preserve"> </w:t>
      </w:r>
      <w:r w:rsidR="00FF4695" w:rsidRPr="00961990">
        <w:rPr>
          <w:lang w:val="fr-FR"/>
        </w:rPr>
        <w:t>qui ne soient pas plus longs que pour les demandes ou les requêtes déposées directement auprès de l</w:t>
      </w:r>
      <w:r w:rsidR="00197436" w:rsidRPr="00961990">
        <w:rPr>
          <w:lang w:val="fr-FR"/>
        </w:rPr>
        <w:t>’</w:t>
      </w:r>
      <w:r w:rsidR="00FF4695" w:rsidRPr="00961990">
        <w:rPr>
          <w:lang w:val="fr-FR"/>
        </w:rPr>
        <w:t>office</w:t>
      </w:r>
      <w:r w:rsidR="005F08A9" w:rsidRPr="00961990">
        <w:rPr>
          <w:lang w:val="fr-FR"/>
        </w:rPr>
        <w:t xml:space="preserve">;  </w:t>
      </w:r>
      <w:r w:rsidR="004C4362" w:rsidRPr="00961990">
        <w:rPr>
          <w:lang w:val="fr-FR"/>
        </w:rPr>
        <w:t xml:space="preserve">le renforcement des </w:t>
      </w:r>
      <w:r w:rsidR="005F08A9" w:rsidRPr="00961990">
        <w:rPr>
          <w:lang w:val="fr-FR"/>
        </w:rPr>
        <w:t>capacit</w:t>
      </w:r>
      <w:r w:rsidR="004C4362" w:rsidRPr="00961990">
        <w:rPr>
          <w:lang w:val="fr-FR"/>
        </w:rPr>
        <w:t xml:space="preserve">és des </w:t>
      </w:r>
      <w:r w:rsidR="000F3388">
        <w:rPr>
          <w:lang w:val="fr-FR"/>
        </w:rPr>
        <w:t>autorités judiciaires et douanières</w:t>
      </w:r>
      <w:r w:rsidR="004C4362" w:rsidRPr="00961990">
        <w:rPr>
          <w:lang w:val="fr-FR"/>
        </w:rPr>
        <w:t xml:space="preserve"> compétent</w:t>
      </w:r>
      <w:r w:rsidR="000F3388">
        <w:rPr>
          <w:lang w:val="fr-FR"/>
        </w:rPr>
        <w:t>e</w:t>
      </w:r>
      <w:r w:rsidR="004C4362" w:rsidRPr="00961990">
        <w:rPr>
          <w:lang w:val="fr-FR"/>
        </w:rPr>
        <w:t>s</w:t>
      </w:r>
      <w:r w:rsidR="005F08A9" w:rsidRPr="00961990">
        <w:rPr>
          <w:lang w:val="fr-FR"/>
        </w:rPr>
        <w:t xml:space="preserve">;  </w:t>
      </w:r>
      <w:r w:rsidR="004C4362" w:rsidRPr="00961990">
        <w:rPr>
          <w:lang w:val="fr-FR"/>
        </w:rPr>
        <w:t>et la mise à disposition d</w:t>
      </w:r>
      <w:r w:rsidR="00197436" w:rsidRPr="00961990">
        <w:rPr>
          <w:lang w:val="fr-FR"/>
        </w:rPr>
        <w:t>’</w:t>
      </w:r>
      <w:r w:rsidR="005F08A9" w:rsidRPr="00961990">
        <w:rPr>
          <w:lang w:val="fr-FR"/>
        </w:rPr>
        <w:t>information</w:t>
      </w:r>
      <w:r w:rsidR="004C4362" w:rsidRPr="00961990">
        <w:rPr>
          <w:lang w:val="fr-FR"/>
        </w:rPr>
        <w:t>s</w:t>
      </w:r>
      <w:r w:rsidR="005F08A9" w:rsidRPr="00961990">
        <w:rPr>
          <w:lang w:val="fr-FR"/>
        </w:rPr>
        <w:t>.</w:t>
      </w:r>
    </w:p>
    <w:p w:rsidR="00197436" w:rsidRPr="00961990" w:rsidRDefault="004C4362" w:rsidP="00855CBF">
      <w:pPr>
        <w:pStyle w:val="ONUMFS"/>
        <w:rPr>
          <w:lang w:val="fr-FR"/>
        </w:rPr>
      </w:pPr>
      <w:r w:rsidRPr="00961990">
        <w:rPr>
          <w:lang w:val="fr-FR"/>
        </w:rPr>
        <w:t>Les parties contractantes pourraient également souscrire, sur une base volontaire, à un programme d</w:t>
      </w:r>
      <w:r w:rsidR="00197436" w:rsidRPr="00961990">
        <w:rPr>
          <w:lang w:val="fr-FR"/>
        </w:rPr>
        <w:t>’</w:t>
      </w:r>
      <w:r w:rsidRPr="00961990">
        <w:rPr>
          <w:lang w:val="fr-FR"/>
        </w:rPr>
        <w:t xml:space="preserve">assurance qualité </w:t>
      </w:r>
      <w:r w:rsidR="005F08A9" w:rsidRPr="00961990">
        <w:rPr>
          <w:lang w:val="fr-FR"/>
        </w:rPr>
        <w:t>administ</w:t>
      </w:r>
      <w:r w:rsidRPr="00961990">
        <w:rPr>
          <w:lang w:val="fr-FR"/>
        </w:rPr>
        <w:t>ré par le Bureau internation</w:t>
      </w:r>
      <w:r w:rsidR="00AA1806" w:rsidRPr="00961990">
        <w:rPr>
          <w:lang w:val="fr-FR"/>
        </w:rPr>
        <w:t>al.  Ce</w:t>
      </w:r>
      <w:r w:rsidRPr="00961990">
        <w:rPr>
          <w:lang w:val="fr-FR"/>
        </w:rPr>
        <w:t xml:space="preserve"> programme aurait pour objectif d</w:t>
      </w:r>
      <w:r w:rsidR="00197436" w:rsidRPr="00961990">
        <w:rPr>
          <w:lang w:val="fr-FR"/>
        </w:rPr>
        <w:t>’</w:t>
      </w:r>
      <w:r w:rsidRPr="00961990">
        <w:rPr>
          <w:lang w:val="fr-FR"/>
        </w:rPr>
        <w:t>informer la partie contractante quant à sa conformité à la charte d</w:t>
      </w:r>
      <w:r w:rsidR="00197436" w:rsidRPr="00961990">
        <w:rPr>
          <w:lang w:val="fr-FR"/>
        </w:rPr>
        <w:t>’</w:t>
      </w:r>
      <w:r w:rsidRPr="00961990">
        <w:rPr>
          <w:lang w:val="fr-FR"/>
        </w:rPr>
        <w:t>engagement dans le cadre du système de Madr</w:t>
      </w:r>
      <w:r w:rsidR="00AA1806" w:rsidRPr="00961990">
        <w:rPr>
          <w:lang w:val="fr-FR"/>
        </w:rPr>
        <w:t>id.  To</w:t>
      </w:r>
      <w:r w:rsidRPr="00961990">
        <w:rPr>
          <w:lang w:val="fr-FR"/>
        </w:rPr>
        <w:t>ute partie intéressée serait en mesure d</w:t>
      </w:r>
      <w:r w:rsidR="00197436" w:rsidRPr="00961990">
        <w:rPr>
          <w:lang w:val="fr-FR"/>
        </w:rPr>
        <w:t>’</w:t>
      </w:r>
      <w:r w:rsidRPr="00961990">
        <w:rPr>
          <w:lang w:val="fr-FR"/>
        </w:rPr>
        <w:t>attirer l</w:t>
      </w:r>
      <w:r w:rsidR="00197436" w:rsidRPr="00961990">
        <w:rPr>
          <w:lang w:val="fr-FR"/>
        </w:rPr>
        <w:t>’</w:t>
      </w:r>
      <w:r w:rsidRPr="00961990">
        <w:rPr>
          <w:lang w:val="fr-FR"/>
        </w:rPr>
        <w:t xml:space="preserve">attention sur </w:t>
      </w:r>
      <w:r w:rsidR="00290A95" w:rsidRPr="00961990">
        <w:rPr>
          <w:lang w:val="fr-FR"/>
        </w:rPr>
        <w:t>les</w:t>
      </w:r>
      <w:r w:rsidRPr="00961990">
        <w:rPr>
          <w:lang w:val="fr-FR"/>
        </w:rPr>
        <w:t xml:space="preserve"> insuffisance</w:t>
      </w:r>
      <w:r w:rsidR="00290A95" w:rsidRPr="00961990">
        <w:rPr>
          <w:lang w:val="fr-FR"/>
        </w:rPr>
        <w:t>s</w:t>
      </w:r>
      <w:r w:rsidRPr="00961990">
        <w:rPr>
          <w:lang w:val="fr-FR"/>
        </w:rPr>
        <w:t xml:space="preserve"> constatée</w:t>
      </w:r>
      <w:r w:rsidR="00290A95" w:rsidRPr="00961990">
        <w:rPr>
          <w:lang w:val="fr-FR"/>
        </w:rPr>
        <w:t>s</w:t>
      </w:r>
      <w:r w:rsidRPr="00961990">
        <w:rPr>
          <w:lang w:val="fr-FR"/>
        </w:rPr>
        <w:t>, qui serai</w:t>
      </w:r>
      <w:r w:rsidR="00290A95" w:rsidRPr="00961990">
        <w:rPr>
          <w:lang w:val="fr-FR"/>
        </w:rPr>
        <w:t>en</w:t>
      </w:r>
      <w:r w:rsidRPr="00961990">
        <w:rPr>
          <w:lang w:val="fr-FR"/>
        </w:rPr>
        <w:t>t notée</w:t>
      </w:r>
      <w:r w:rsidR="00290A95" w:rsidRPr="00961990">
        <w:rPr>
          <w:lang w:val="fr-FR"/>
        </w:rPr>
        <w:t>s</w:t>
      </w:r>
      <w:r w:rsidRPr="00961990">
        <w:rPr>
          <w:lang w:val="fr-FR"/>
        </w:rPr>
        <w:t xml:space="preserve"> et publiée</w:t>
      </w:r>
      <w:r w:rsidR="00290A95" w:rsidRPr="00961990">
        <w:rPr>
          <w:lang w:val="fr-FR"/>
        </w:rPr>
        <w:t>s</w:t>
      </w:r>
      <w:r w:rsidRPr="00961990">
        <w:rPr>
          <w:lang w:val="fr-FR"/>
        </w:rPr>
        <w:t xml:space="preserve"> par le Bureau international</w:t>
      </w:r>
      <w:r w:rsidR="005F08A9" w:rsidRPr="00961990">
        <w:rPr>
          <w:lang w:val="fr-FR"/>
        </w:rPr>
        <w:t>.</w:t>
      </w:r>
    </w:p>
    <w:p w:rsidR="00197436" w:rsidRPr="00961990" w:rsidRDefault="004C4362" w:rsidP="00044E59">
      <w:pPr>
        <w:pStyle w:val="ONUMFS"/>
        <w:spacing w:after="0"/>
        <w:rPr>
          <w:lang w:val="fr-FR"/>
        </w:rPr>
      </w:pPr>
      <w:r w:rsidRPr="00961990">
        <w:rPr>
          <w:lang w:val="fr-FR"/>
        </w:rPr>
        <w:t>Une révision des lég</w:t>
      </w:r>
      <w:r w:rsidRPr="00961990">
        <w:rPr>
          <w:lang w:val="fr-FR"/>
        </w:rPr>
        <w:t>islations</w:t>
      </w:r>
      <w:r w:rsidR="00FA4682">
        <w:rPr>
          <w:lang w:val="fr-FR"/>
        </w:rPr>
        <w:t xml:space="preserve">, des </w:t>
      </w:r>
      <w:r w:rsidR="009F298D">
        <w:rPr>
          <w:lang w:val="fr-FR"/>
        </w:rPr>
        <w:t>règlements</w:t>
      </w:r>
      <w:r w:rsidRPr="00961990">
        <w:rPr>
          <w:lang w:val="fr-FR"/>
        </w:rPr>
        <w:t xml:space="preserve"> ou des pratiques de</w:t>
      </w:r>
      <w:r w:rsidRPr="00961990">
        <w:rPr>
          <w:lang w:val="fr-FR"/>
        </w:rPr>
        <w:t>s parties contractantes et la conclusion d</w:t>
      </w:r>
      <w:r w:rsidR="00197436" w:rsidRPr="00961990">
        <w:rPr>
          <w:lang w:val="fr-FR"/>
        </w:rPr>
        <w:t>’</w:t>
      </w:r>
      <w:r w:rsidRPr="00961990">
        <w:rPr>
          <w:lang w:val="fr-FR"/>
        </w:rPr>
        <w:t>un accord entre la partie contractante concernée et le Bureau international, éventuellement sous la forme d</w:t>
      </w:r>
      <w:r w:rsidR="00197436" w:rsidRPr="00961990">
        <w:rPr>
          <w:lang w:val="fr-FR"/>
        </w:rPr>
        <w:t>’</w:t>
      </w:r>
      <w:r w:rsidRPr="00961990">
        <w:rPr>
          <w:lang w:val="fr-FR"/>
        </w:rPr>
        <w:t xml:space="preserve">un mémorandum </w:t>
      </w:r>
      <w:r w:rsidR="00B669B0" w:rsidRPr="00961990">
        <w:rPr>
          <w:lang w:val="fr-FR"/>
        </w:rPr>
        <w:t>d</w:t>
      </w:r>
      <w:r w:rsidR="00197436" w:rsidRPr="00961990">
        <w:rPr>
          <w:lang w:val="fr-FR"/>
        </w:rPr>
        <w:t>’</w:t>
      </w:r>
      <w:r w:rsidR="00B669B0" w:rsidRPr="00961990">
        <w:rPr>
          <w:lang w:val="fr-FR"/>
        </w:rPr>
        <w:t>accord</w:t>
      </w:r>
      <w:r w:rsidR="005F08A9" w:rsidRPr="00961990">
        <w:rPr>
          <w:lang w:val="fr-FR"/>
        </w:rPr>
        <w:t xml:space="preserve">, </w:t>
      </w:r>
      <w:r w:rsidR="00B669B0" w:rsidRPr="00961990">
        <w:rPr>
          <w:lang w:val="fr-FR"/>
        </w:rPr>
        <w:t xml:space="preserve">pourraient être nécessaires aux fins de la mise en œuvre de cette </w:t>
      </w:r>
      <w:r w:rsidR="005F08A9" w:rsidRPr="00961990">
        <w:rPr>
          <w:lang w:val="fr-FR"/>
        </w:rPr>
        <w:t>option.</w:t>
      </w:r>
    </w:p>
    <w:p w:rsidR="00DB113E" w:rsidRPr="00961990" w:rsidRDefault="00790510" w:rsidP="00855CBF">
      <w:pPr>
        <w:pStyle w:val="Heading2"/>
        <w:rPr>
          <w:lang w:val="fr-FR"/>
        </w:rPr>
      </w:pPr>
      <w:r w:rsidRPr="00961990">
        <w:rPr>
          <w:lang w:val="fr-FR"/>
        </w:rPr>
        <w:t>Procédure accélérée</w:t>
      </w:r>
    </w:p>
    <w:p w:rsidR="00790510" w:rsidRPr="00961990" w:rsidRDefault="00790510" w:rsidP="00855CBF">
      <w:pPr>
        <w:rPr>
          <w:lang w:val="fr-FR"/>
        </w:rPr>
      </w:pPr>
    </w:p>
    <w:p w:rsidR="00197436" w:rsidRPr="00961990" w:rsidRDefault="005F08A9" w:rsidP="00855CBF">
      <w:pPr>
        <w:pStyle w:val="ONUMFS"/>
        <w:rPr>
          <w:lang w:val="fr-FR"/>
        </w:rPr>
      </w:pPr>
      <w:r w:rsidRPr="00961990">
        <w:rPr>
          <w:lang w:val="fr-FR"/>
        </w:rPr>
        <w:t>Certain</w:t>
      </w:r>
      <w:r w:rsidR="00B669B0" w:rsidRPr="00961990">
        <w:rPr>
          <w:lang w:val="fr-FR"/>
        </w:rPr>
        <w:t>s offices fournissent déjà un service accéléré lorsque les demandes remplissent certaines</w:t>
      </w:r>
      <w:r w:rsidRPr="00961990">
        <w:rPr>
          <w:lang w:val="fr-FR"/>
        </w:rPr>
        <w:t xml:space="preserve"> conditions, </w:t>
      </w:r>
      <w:r w:rsidR="00B669B0" w:rsidRPr="00961990">
        <w:rPr>
          <w:lang w:val="fr-FR"/>
        </w:rPr>
        <w:t>par exemple des demandes prépayées contenant une liste des produits et services extraite d</w:t>
      </w:r>
      <w:r w:rsidR="00197436" w:rsidRPr="00961990">
        <w:rPr>
          <w:lang w:val="fr-FR"/>
        </w:rPr>
        <w:t>’</w:t>
      </w:r>
      <w:r w:rsidR="00B669B0" w:rsidRPr="00961990">
        <w:rPr>
          <w:lang w:val="fr-FR"/>
        </w:rPr>
        <w:t>une base de données répertoriant les indications acceptables de produits et de servic</w:t>
      </w:r>
      <w:r w:rsidR="00AA1806" w:rsidRPr="00961990">
        <w:rPr>
          <w:lang w:val="fr-FR"/>
        </w:rPr>
        <w:t>es.  Ce</w:t>
      </w:r>
      <w:r w:rsidR="00B669B0" w:rsidRPr="00961990">
        <w:rPr>
          <w:lang w:val="fr-FR"/>
        </w:rPr>
        <w:t>s demandes bénéficient d</w:t>
      </w:r>
      <w:r w:rsidR="00197436" w:rsidRPr="00961990">
        <w:rPr>
          <w:lang w:val="fr-FR"/>
        </w:rPr>
        <w:t>’</w:t>
      </w:r>
      <w:r w:rsidR="00B669B0" w:rsidRPr="00961990">
        <w:rPr>
          <w:lang w:val="fr-FR"/>
        </w:rPr>
        <w:t>un traitement plus rapi</w:t>
      </w:r>
      <w:r w:rsidR="00AA1806" w:rsidRPr="00961990">
        <w:rPr>
          <w:lang w:val="fr-FR"/>
        </w:rPr>
        <w:t>de.  Le</w:t>
      </w:r>
      <w:r w:rsidR="00B669B0" w:rsidRPr="00961990">
        <w:rPr>
          <w:lang w:val="fr-FR"/>
        </w:rPr>
        <w:t>s offices pourraient également s</w:t>
      </w:r>
      <w:r w:rsidR="00197436" w:rsidRPr="00961990">
        <w:rPr>
          <w:lang w:val="fr-FR"/>
        </w:rPr>
        <w:t>’</w:t>
      </w:r>
      <w:r w:rsidR="00B669B0" w:rsidRPr="00961990">
        <w:rPr>
          <w:lang w:val="fr-FR"/>
        </w:rPr>
        <w:t>engager à fournir ce service pour les désignations dans le cadre du système de Madr</w:t>
      </w:r>
      <w:r w:rsidR="00AA1806" w:rsidRPr="00961990">
        <w:rPr>
          <w:lang w:val="fr-FR"/>
        </w:rPr>
        <w:t>id.  Le</w:t>
      </w:r>
      <w:r w:rsidR="00693A8C" w:rsidRPr="00961990">
        <w:rPr>
          <w:lang w:val="fr-FR"/>
        </w:rPr>
        <w:t xml:space="preserve"> Bureau international pourrait prendre un engagement similaire, en tirant parti des synergies possibles avec la base de données des produits et services du système de Madrid</w:t>
      </w:r>
      <w:r w:rsidRPr="00961990">
        <w:rPr>
          <w:lang w:val="fr-FR"/>
        </w:rPr>
        <w:t>.</w:t>
      </w:r>
    </w:p>
    <w:p w:rsidR="00197436" w:rsidRPr="00961990" w:rsidRDefault="00693A8C" w:rsidP="00044E59">
      <w:pPr>
        <w:pStyle w:val="ONUMFS"/>
        <w:spacing w:after="0"/>
        <w:rPr>
          <w:lang w:val="fr-FR"/>
        </w:rPr>
      </w:pPr>
      <w:r w:rsidRPr="00961990">
        <w:rPr>
          <w:lang w:val="fr-FR"/>
        </w:rPr>
        <w:t>Une révision des législations nationales o</w:t>
      </w:r>
      <w:r w:rsidRPr="00961990">
        <w:rPr>
          <w:lang w:val="fr-FR"/>
        </w:rPr>
        <w:t>u régionales</w:t>
      </w:r>
      <w:r w:rsidR="009F298D">
        <w:rPr>
          <w:lang w:val="fr-FR"/>
        </w:rPr>
        <w:t>, des règlements</w:t>
      </w:r>
      <w:r w:rsidRPr="00961990">
        <w:rPr>
          <w:lang w:val="fr-FR"/>
        </w:rPr>
        <w:t xml:space="preserve"> ou des prati</w:t>
      </w:r>
      <w:r w:rsidRPr="00961990">
        <w:rPr>
          <w:lang w:val="fr-FR"/>
        </w:rPr>
        <w:t xml:space="preserve">ques des parties contractantes pourrait être nécessaire aux fins de la mise en œuvre de cette </w:t>
      </w:r>
      <w:r w:rsidR="001005C2" w:rsidRPr="00961990">
        <w:rPr>
          <w:lang w:val="fr-FR"/>
        </w:rPr>
        <w:t>proposition</w:t>
      </w:r>
      <w:r w:rsidR="005F08A9" w:rsidRPr="00961990">
        <w:rPr>
          <w:lang w:val="fr-FR"/>
        </w:rPr>
        <w:t>.</w:t>
      </w:r>
    </w:p>
    <w:p w:rsidR="00DB113E" w:rsidRPr="00961990" w:rsidRDefault="00790510" w:rsidP="00855CBF">
      <w:pPr>
        <w:pStyle w:val="Heading1"/>
        <w:rPr>
          <w:lang w:val="fr-FR"/>
        </w:rPr>
      </w:pPr>
      <w:r w:rsidRPr="00961990">
        <w:rPr>
          <w:lang w:val="fr-FR"/>
        </w:rPr>
        <w:t>V.</w:t>
      </w:r>
      <w:r w:rsidRPr="00961990">
        <w:rPr>
          <w:lang w:val="fr-FR"/>
        </w:rPr>
        <w:tab/>
        <w:t>Options concernant le bureau international</w:t>
      </w:r>
    </w:p>
    <w:p w:rsidR="00DB113E" w:rsidRPr="00961990" w:rsidRDefault="00790510" w:rsidP="00855CBF">
      <w:pPr>
        <w:pStyle w:val="Heading2"/>
        <w:rPr>
          <w:lang w:val="fr-FR"/>
        </w:rPr>
      </w:pPr>
      <w:r w:rsidRPr="00961990">
        <w:rPr>
          <w:lang w:val="fr-FR"/>
        </w:rPr>
        <w:t>Pratiques en matière d’examen</w:t>
      </w:r>
    </w:p>
    <w:p w:rsidR="00790510" w:rsidRPr="00961990" w:rsidRDefault="00790510" w:rsidP="00855CBF">
      <w:pPr>
        <w:rPr>
          <w:lang w:val="fr-FR"/>
        </w:rPr>
      </w:pPr>
    </w:p>
    <w:p w:rsidR="00197436" w:rsidRPr="00961990" w:rsidRDefault="001005C2" w:rsidP="00855CBF">
      <w:pPr>
        <w:pStyle w:val="ONUMFS"/>
        <w:rPr>
          <w:lang w:val="fr-FR"/>
        </w:rPr>
      </w:pPr>
      <w:r w:rsidRPr="00961990">
        <w:rPr>
          <w:lang w:val="fr-FR"/>
        </w:rPr>
        <w:t>Le Bureau i</w:t>
      </w:r>
      <w:r w:rsidR="005F08A9" w:rsidRPr="00961990">
        <w:rPr>
          <w:lang w:val="fr-FR"/>
        </w:rPr>
        <w:t xml:space="preserve">nternational </w:t>
      </w:r>
      <w:r w:rsidRPr="00961990">
        <w:rPr>
          <w:lang w:val="fr-FR"/>
        </w:rPr>
        <w:t>devrait publier ses pratiques en matière d</w:t>
      </w:r>
      <w:r w:rsidR="00197436" w:rsidRPr="00961990">
        <w:rPr>
          <w:lang w:val="fr-FR"/>
        </w:rPr>
        <w:t>’</w:t>
      </w:r>
      <w:r w:rsidRPr="00961990">
        <w:rPr>
          <w:lang w:val="fr-FR"/>
        </w:rPr>
        <w:t>examen en ce qui concerne toutes les opérations effectuées dans le cadre du système de Madr</w:t>
      </w:r>
      <w:r w:rsidR="00AA1806" w:rsidRPr="00961990">
        <w:rPr>
          <w:lang w:val="fr-FR"/>
        </w:rPr>
        <w:t>id.  Ce</w:t>
      </w:r>
      <w:r w:rsidRPr="00961990">
        <w:rPr>
          <w:lang w:val="fr-FR"/>
        </w:rPr>
        <w:t>s pratiques seraient fondées sur le manuel d</w:t>
      </w:r>
      <w:r w:rsidR="00197436" w:rsidRPr="00961990">
        <w:rPr>
          <w:lang w:val="fr-FR"/>
        </w:rPr>
        <w:t>’</w:t>
      </w:r>
      <w:r w:rsidRPr="00961990">
        <w:rPr>
          <w:lang w:val="fr-FR"/>
        </w:rPr>
        <w:t>examen déjà diffusé en interne.</w:t>
      </w:r>
    </w:p>
    <w:p w:rsidR="00197436" w:rsidRPr="00961990" w:rsidRDefault="001005C2" w:rsidP="00855CBF">
      <w:pPr>
        <w:pStyle w:val="ONUMFS"/>
        <w:rPr>
          <w:lang w:val="fr-FR"/>
        </w:rPr>
      </w:pPr>
      <w:r w:rsidRPr="00961990">
        <w:rPr>
          <w:lang w:val="fr-FR"/>
        </w:rPr>
        <w:t>Les travaux à cet égard ont déjà commencé pour ce qui concerne les pratiques relatives à la</w:t>
      </w:r>
      <w:r w:rsidR="00790510" w:rsidRPr="00961990">
        <w:rPr>
          <w:lang w:val="fr-FR"/>
        </w:rPr>
        <w:t xml:space="preserve"> mise en œuvre des règles 12 et </w:t>
      </w:r>
      <w:r w:rsidR="005F08A9" w:rsidRPr="00961990">
        <w:rPr>
          <w:lang w:val="fr-FR"/>
        </w:rPr>
        <w:t xml:space="preserve">13 </w:t>
      </w:r>
      <w:r w:rsidRPr="00961990">
        <w:rPr>
          <w:lang w:val="fr-FR"/>
        </w:rPr>
        <w:t>du règlement d</w:t>
      </w:r>
      <w:r w:rsidR="00197436" w:rsidRPr="00961990">
        <w:rPr>
          <w:lang w:val="fr-FR"/>
        </w:rPr>
        <w:t>’</w:t>
      </w:r>
      <w:r w:rsidRPr="00961990">
        <w:rPr>
          <w:lang w:val="fr-FR"/>
        </w:rPr>
        <w:t>exécution comm</w:t>
      </w:r>
      <w:r w:rsidR="00AA1806" w:rsidRPr="00961990">
        <w:rPr>
          <w:lang w:val="fr-FR"/>
        </w:rPr>
        <w:t>un.  Ce</w:t>
      </w:r>
      <w:r w:rsidRPr="00961990">
        <w:rPr>
          <w:lang w:val="fr-FR"/>
        </w:rPr>
        <w:t>s travaux seront présentés à la table ronde de</w:t>
      </w:r>
      <w:r w:rsidR="00205914" w:rsidRPr="00961990">
        <w:rPr>
          <w:lang w:val="fr-FR"/>
        </w:rPr>
        <w:t> </w:t>
      </w:r>
      <w:r w:rsidRPr="00961990">
        <w:rPr>
          <w:lang w:val="fr-FR"/>
        </w:rPr>
        <w:t>2016 du Groupe de travail de Madrid, qui se tiendra en juin</w:t>
      </w:r>
      <w:r w:rsidR="005F08A9" w:rsidRPr="00961990">
        <w:rPr>
          <w:lang w:val="fr-FR"/>
        </w:rPr>
        <w:t>.</w:t>
      </w:r>
    </w:p>
    <w:p w:rsidR="00197436" w:rsidRPr="00961990" w:rsidRDefault="001005C2" w:rsidP="00855CBF">
      <w:pPr>
        <w:pStyle w:val="ONUMFS"/>
        <w:rPr>
          <w:lang w:val="fr-FR"/>
        </w:rPr>
      </w:pPr>
      <w:r w:rsidRPr="00961990">
        <w:rPr>
          <w:lang w:val="fr-FR"/>
        </w:rPr>
        <w:t>Après la publication des pratiques en matière d</w:t>
      </w:r>
      <w:r w:rsidR="00197436" w:rsidRPr="00961990">
        <w:rPr>
          <w:lang w:val="fr-FR"/>
        </w:rPr>
        <w:t>’</w:t>
      </w:r>
      <w:r w:rsidRPr="00961990">
        <w:rPr>
          <w:lang w:val="fr-FR"/>
        </w:rPr>
        <w:t>examen du Bureau international, tout changement significatif qui leur serait apporté pourrait être précédé d</w:t>
      </w:r>
      <w:r w:rsidR="00197436" w:rsidRPr="00961990">
        <w:rPr>
          <w:lang w:val="fr-FR"/>
        </w:rPr>
        <w:t>’</w:t>
      </w:r>
      <w:r w:rsidRPr="00961990">
        <w:rPr>
          <w:lang w:val="fr-FR"/>
        </w:rPr>
        <w:t>une consultation des utilisateurs et des offices.</w:t>
      </w:r>
    </w:p>
    <w:p w:rsidR="00197436" w:rsidRPr="00961990" w:rsidRDefault="001005C2" w:rsidP="00044E59">
      <w:pPr>
        <w:pStyle w:val="ONUMFS"/>
        <w:spacing w:after="0"/>
        <w:rPr>
          <w:lang w:val="fr-FR"/>
        </w:rPr>
      </w:pPr>
      <w:r w:rsidRPr="00961990">
        <w:rPr>
          <w:lang w:val="fr-FR"/>
        </w:rPr>
        <w:t>L</w:t>
      </w:r>
      <w:r w:rsidR="00197436" w:rsidRPr="00961990">
        <w:rPr>
          <w:lang w:val="fr-FR"/>
        </w:rPr>
        <w:t>’</w:t>
      </w:r>
      <w:r w:rsidRPr="00961990">
        <w:rPr>
          <w:lang w:val="fr-FR"/>
        </w:rPr>
        <w:t>adoption de nouvelles pratiques par le Bureau international pourrait être nécessaire aux fins de la mise en œuvre de cette proposition</w:t>
      </w:r>
      <w:r w:rsidR="005F08A9" w:rsidRPr="00961990">
        <w:rPr>
          <w:lang w:val="fr-FR"/>
        </w:rPr>
        <w:t>.</w:t>
      </w:r>
    </w:p>
    <w:p w:rsidR="00DB113E" w:rsidRPr="00961990" w:rsidRDefault="00790510" w:rsidP="00855CBF">
      <w:pPr>
        <w:pStyle w:val="Heading2"/>
        <w:rPr>
          <w:lang w:val="fr-FR"/>
        </w:rPr>
      </w:pPr>
      <w:r w:rsidRPr="00961990">
        <w:rPr>
          <w:lang w:val="fr-FR"/>
        </w:rPr>
        <w:t>Cadre de gestion des résultats</w:t>
      </w:r>
    </w:p>
    <w:p w:rsidR="00790510" w:rsidRPr="00961990" w:rsidRDefault="00790510" w:rsidP="00855CBF">
      <w:pPr>
        <w:rPr>
          <w:lang w:val="fr-FR"/>
        </w:rPr>
      </w:pPr>
    </w:p>
    <w:p w:rsidR="00197436" w:rsidRPr="00961990" w:rsidRDefault="00A27D91" w:rsidP="00855CBF">
      <w:pPr>
        <w:pStyle w:val="ONUMFS"/>
        <w:rPr>
          <w:lang w:val="fr-FR"/>
        </w:rPr>
      </w:pPr>
      <w:r w:rsidRPr="00961990">
        <w:rPr>
          <w:lang w:val="fr-FR"/>
        </w:rPr>
        <w:t>Des informations sur les résultats du Bureau international pourraient être régulièrement publié</w:t>
      </w:r>
      <w:r w:rsidR="00AA1806" w:rsidRPr="00961990">
        <w:rPr>
          <w:lang w:val="fr-FR"/>
        </w:rPr>
        <w:t>es.  Le</w:t>
      </w:r>
      <w:r w:rsidRPr="00961990">
        <w:rPr>
          <w:lang w:val="fr-FR"/>
        </w:rPr>
        <w:t xml:space="preserve"> Bureau international pourrait publier, par exemple, des informations sur les délais d</w:t>
      </w:r>
      <w:r w:rsidR="00197436" w:rsidRPr="00961990">
        <w:rPr>
          <w:lang w:val="fr-FR"/>
        </w:rPr>
        <w:t>’</w:t>
      </w:r>
      <w:r w:rsidRPr="00961990">
        <w:rPr>
          <w:lang w:val="fr-FR"/>
        </w:rPr>
        <w:t>instruction de toutes les opérations effectuées dans le cadre du système de Madrid</w:t>
      </w:r>
      <w:r w:rsidR="005F08A9" w:rsidRPr="00961990">
        <w:rPr>
          <w:vertAlign w:val="superscript"/>
          <w:lang w:val="fr-FR"/>
        </w:rPr>
        <w:footnoteReference w:id="8"/>
      </w:r>
      <w:r w:rsidR="005F08A9" w:rsidRPr="00961990">
        <w:rPr>
          <w:lang w:val="fr-FR"/>
        </w:rPr>
        <w:t xml:space="preserve">, </w:t>
      </w:r>
      <w:r w:rsidR="00197436" w:rsidRPr="00961990">
        <w:rPr>
          <w:lang w:val="fr-FR"/>
        </w:rPr>
        <w:t>y compris</w:t>
      </w:r>
      <w:r w:rsidRPr="00961990">
        <w:rPr>
          <w:lang w:val="fr-FR"/>
        </w:rPr>
        <w:t xml:space="preserve"> les demandes de renseignements et les plaintes formelles</w:t>
      </w:r>
      <w:r w:rsidR="005F08A9" w:rsidRPr="00961990">
        <w:rPr>
          <w:lang w:val="fr-FR"/>
        </w:rPr>
        <w:t xml:space="preserve">;  </w:t>
      </w:r>
      <w:r w:rsidRPr="00961990">
        <w:rPr>
          <w:lang w:val="fr-FR"/>
        </w:rPr>
        <w:t>le taux d</w:t>
      </w:r>
      <w:r w:rsidR="00197436" w:rsidRPr="00961990">
        <w:rPr>
          <w:lang w:val="fr-FR"/>
        </w:rPr>
        <w:t>’</w:t>
      </w:r>
      <w:r w:rsidR="005F08A9" w:rsidRPr="00961990">
        <w:rPr>
          <w:lang w:val="fr-FR"/>
        </w:rPr>
        <w:t>err</w:t>
      </w:r>
      <w:r w:rsidRPr="00961990">
        <w:rPr>
          <w:lang w:val="fr-FR"/>
        </w:rPr>
        <w:t>eurs et d</w:t>
      </w:r>
      <w:r w:rsidR="00197436" w:rsidRPr="00961990">
        <w:rPr>
          <w:lang w:val="fr-FR"/>
        </w:rPr>
        <w:t>’</w:t>
      </w:r>
      <w:r w:rsidRPr="00961990">
        <w:rPr>
          <w:lang w:val="fr-FR"/>
        </w:rPr>
        <w:t>irrégularités</w:t>
      </w:r>
      <w:r w:rsidR="005F08A9" w:rsidRPr="00961990">
        <w:rPr>
          <w:lang w:val="fr-FR"/>
        </w:rPr>
        <w:t xml:space="preserve">, </w:t>
      </w:r>
      <w:r w:rsidRPr="00961990">
        <w:rPr>
          <w:lang w:val="fr-FR"/>
        </w:rPr>
        <w:t xml:space="preserve">ventilées par </w:t>
      </w:r>
      <w:r w:rsidR="005F08A9" w:rsidRPr="00961990">
        <w:rPr>
          <w:lang w:val="fr-FR"/>
        </w:rPr>
        <w:t>source (class</w:t>
      </w:r>
      <w:r w:rsidRPr="00961990">
        <w:rPr>
          <w:lang w:val="fr-FR"/>
        </w:rPr>
        <w:t>ement</w:t>
      </w:r>
      <w:r w:rsidR="005F08A9" w:rsidRPr="00961990">
        <w:rPr>
          <w:lang w:val="fr-FR"/>
        </w:rPr>
        <w:t xml:space="preserve">, </w:t>
      </w:r>
      <w:r w:rsidRPr="00961990">
        <w:rPr>
          <w:lang w:val="fr-FR"/>
        </w:rPr>
        <w:t>liste des produits et services</w:t>
      </w:r>
      <w:r w:rsidR="005F08A9" w:rsidRPr="00961990">
        <w:rPr>
          <w:lang w:val="fr-FR"/>
        </w:rPr>
        <w:t xml:space="preserve">, </w:t>
      </w:r>
      <w:r w:rsidRPr="00961990">
        <w:rPr>
          <w:lang w:val="fr-FR"/>
        </w:rPr>
        <w:t>émoluments et taxes, etc.</w:t>
      </w:r>
      <w:r w:rsidR="005F08A9" w:rsidRPr="00961990">
        <w:rPr>
          <w:lang w:val="fr-FR"/>
        </w:rPr>
        <w:t xml:space="preserve">);  </w:t>
      </w:r>
      <w:r w:rsidRPr="00961990">
        <w:rPr>
          <w:lang w:val="fr-FR"/>
        </w:rPr>
        <w:t>et</w:t>
      </w:r>
      <w:r w:rsidR="005F08A9" w:rsidRPr="00961990">
        <w:rPr>
          <w:lang w:val="fr-FR"/>
        </w:rPr>
        <w:t xml:space="preserve">, </w:t>
      </w:r>
      <w:r w:rsidRPr="00961990">
        <w:rPr>
          <w:lang w:val="fr-FR"/>
        </w:rPr>
        <w:t>la conformité aux pratiques en matière d</w:t>
      </w:r>
      <w:r w:rsidR="00197436" w:rsidRPr="00961990">
        <w:rPr>
          <w:lang w:val="fr-FR"/>
        </w:rPr>
        <w:t>’</w:t>
      </w:r>
      <w:r w:rsidRPr="00961990">
        <w:rPr>
          <w:lang w:val="fr-FR"/>
        </w:rPr>
        <w:t>examen publiées</w:t>
      </w:r>
      <w:r w:rsidR="005F08A9" w:rsidRPr="00961990">
        <w:rPr>
          <w:lang w:val="fr-FR"/>
        </w:rPr>
        <w:t>.</w:t>
      </w:r>
    </w:p>
    <w:p w:rsidR="00DB113E" w:rsidRPr="00961990" w:rsidRDefault="00A27D91" w:rsidP="00044E59">
      <w:pPr>
        <w:pStyle w:val="ONUMFS"/>
        <w:spacing w:after="0"/>
        <w:rPr>
          <w:lang w:val="fr-FR"/>
        </w:rPr>
      </w:pPr>
      <w:r w:rsidRPr="00961990">
        <w:rPr>
          <w:lang w:val="fr-FR"/>
        </w:rPr>
        <w:t>L</w:t>
      </w:r>
      <w:r w:rsidR="00197436" w:rsidRPr="00961990">
        <w:rPr>
          <w:lang w:val="fr-FR"/>
        </w:rPr>
        <w:t>’</w:t>
      </w:r>
      <w:r w:rsidRPr="00961990">
        <w:rPr>
          <w:lang w:val="fr-FR"/>
        </w:rPr>
        <w:t>adoption de nouvelles pratiques par le Bureau international pourrait être nécessaire aux fins de la mise en œuvre de cette proposition</w:t>
      </w:r>
      <w:r w:rsidR="005F08A9" w:rsidRPr="00961990">
        <w:rPr>
          <w:lang w:val="fr-FR"/>
        </w:rPr>
        <w:t>.</w:t>
      </w:r>
    </w:p>
    <w:p w:rsidR="00DB113E" w:rsidRPr="00961990" w:rsidRDefault="00790510" w:rsidP="00855CBF">
      <w:pPr>
        <w:pStyle w:val="Heading2"/>
        <w:rPr>
          <w:lang w:val="fr-FR"/>
        </w:rPr>
      </w:pPr>
      <w:r w:rsidRPr="00961990">
        <w:rPr>
          <w:lang w:val="fr-FR"/>
        </w:rPr>
        <w:t>Délai de traiteme</w:t>
      </w:r>
      <w:r w:rsidRPr="00961990">
        <w:rPr>
          <w:lang w:val="fr-FR"/>
        </w:rPr>
        <w:t xml:space="preserve">nt des opérations </w:t>
      </w:r>
      <w:r w:rsidR="0049420D">
        <w:rPr>
          <w:lang w:val="fr-FR"/>
        </w:rPr>
        <w:t>REGULIERES</w:t>
      </w:r>
    </w:p>
    <w:p w:rsidR="00790510" w:rsidRPr="00961990" w:rsidRDefault="00790510" w:rsidP="00855CBF">
      <w:pPr>
        <w:rPr>
          <w:lang w:val="fr-FR"/>
        </w:rPr>
      </w:pPr>
    </w:p>
    <w:p w:rsidR="00197436" w:rsidRPr="00961990" w:rsidRDefault="00A12249" w:rsidP="00855CBF">
      <w:pPr>
        <w:pStyle w:val="ONUMFS"/>
        <w:rPr>
          <w:lang w:val="fr-FR"/>
        </w:rPr>
      </w:pPr>
      <w:r w:rsidRPr="00961990">
        <w:rPr>
          <w:lang w:val="fr-FR"/>
        </w:rPr>
        <w:t xml:space="preserve">Le Bureau international pourrait garantir un délai de traitement maximal des opérations </w:t>
      </w:r>
      <w:r w:rsidR="0049420D">
        <w:rPr>
          <w:lang w:val="fr-FR"/>
        </w:rPr>
        <w:t>régulières</w:t>
      </w:r>
      <w:r w:rsidRPr="00961990">
        <w:rPr>
          <w:lang w:val="fr-FR"/>
        </w:rPr>
        <w:t>, plus précisément en ce qui concerne les demandes internationales, les demandes d</w:t>
      </w:r>
      <w:r w:rsidR="00197436" w:rsidRPr="00961990">
        <w:rPr>
          <w:lang w:val="fr-FR"/>
        </w:rPr>
        <w:t>’</w:t>
      </w:r>
      <w:r w:rsidRPr="00961990">
        <w:rPr>
          <w:lang w:val="fr-FR"/>
        </w:rPr>
        <w:t xml:space="preserve">inscription de </w:t>
      </w:r>
      <w:r w:rsidR="00A04293" w:rsidRPr="00961990">
        <w:rPr>
          <w:lang w:val="fr-FR"/>
        </w:rPr>
        <w:t>modifications</w:t>
      </w:r>
      <w:r w:rsidRPr="00961990">
        <w:rPr>
          <w:lang w:val="fr-FR"/>
        </w:rPr>
        <w:t xml:space="preserve"> et </w:t>
      </w:r>
      <w:r w:rsidR="00A04293" w:rsidRPr="00961990">
        <w:rPr>
          <w:lang w:val="fr-FR"/>
        </w:rPr>
        <w:t xml:space="preserve">les </w:t>
      </w:r>
      <w:r w:rsidRPr="00961990">
        <w:rPr>
          <w:lang w:val="fr-FR"/>
        </w:rPr>
        <w:t>inscription</w:t>
      </w:r>
      <w:r w:rsidR="00333686">
        <w:rPr>
          <w:lang w:val="fr-FR"/>
        </w:rPr>
        <w:t>s</w:t>
      </w:r>
      <w:r w:rsidRPr="00961990">
        <w:rPr>
          <w:lang w:val="fr-FR"/>
        </w:rPr>
        <w:t xml:space="preserve"> de décisions</w:t>
      </w:r>
      <w:r w:rsidR="005F08A9" w:rsidRPr="00961990">
        <w:rPr>
          <w:lang w:val="fr-FR"/>
        </w:rPr>
        <w:t>.</w:t>
      </w:r>
    </w:p>
    <w:p w:rsidR="00DB113E" w:rsidRPr="00961990" w:rsidRDefault="00A12249" w:rsidP="00044E59">
      <w:pPr>
        <w:pStyle w:val="ONUMFS"/>
        <w:spacing w:after="0"/>
        <w:rPr>
          <w:lang w:val="fr-FR"/>
        </w:rPr>
      </w:pPr>
      <w:r w:rsidRPr="00961990">
        <w:rPr>
          <w:lang w:val="fr-FR"/>
        </w:rPr>
        <w:t>L</w:t>
      </w:r>
      <w:r w:rsidR="00197436" w:rsidRPr="00961990">
        <w:rPr>
          <w:lang w:val="fr-FR"/>
        </w:rPr>
        <w:t>’</w:t>
      </w:r>
      <w:r w:rsidRPr="00961990">
        <w:rPr>
          <w:lang w:val="fr-FR"/>
        </w:rPr>
        <w:t>adoption de nouvelles pratiques par le Bureau international pourrait être nécessaire aux fins de la mise en œuvre de cette proposition</w:t>
      </w:r>
      <w:r w:rsidR="005F08A9" w:rsidRPr="00961990">
        <w:rPr>
          <w:lang w:val="fr-FR"/>
        </w:rPr>
        <w:t>.</w:t>
      </w:r>
    </w:p>
    <w:p w:rsidR="00DB113E" w:rsidRPr="00961990" w:rsidRDefault="00790510" w:rsidP="00855CBF">
      <w:pPr>
        <w:pStyle w:val="Heading2"/>
        <w:rPr>
          <w:lang w:val="fr-FR"/>
        </w:rPr>
      </w:pPr>
      <w:r w:rsidRPr="00961990">
        <w:rPr>
          <w:lang w:val="fr-FR"/>
        </w:rPr>
        <w:t>Rectifications</w:t>
      </w:r>
    </w:p>
    <w:p w:rsidR="00790510" w:rsidRPr="00961990" w:rsidRDefault="00790510" w:rsidP="00855CBF">
      <w:pPr>
        <w:rPr>
          <w:lang w:val="fr-FR"/>
        </w:rPr>
      </w:pPr>
    </w:p>
    <w:p w:rsidR="00197436" w:rsidRPr="00961990" w:rsidRDefault="00C81032" w:rsidP="00855CBF">
      <w:pPr>
        <w:pStyle w:val="ONUMFS"/>
        <w:rPr>
          <w:lang w:val="fr-FR"/>
        </w:rPr>
      </w:pPr>
      <w:r w:rsidRPr="00961990">
        <w:rPr>
          <w:lang w:val="fr-FR"/>
        </w:rPr>
        <w:t>La règle </w:t>
      </w:r>
      <w:r w:rsidR="005F08A9" w:rsidRPr="00961990">
        <w:rPr>
          <w:lang w:val="fr-FR"/>
        </w:rPr>
        <w:t xml:space="preserve">28 </w:t>
      </w:r>
      <w:r w:rsidRPr="00961990">
        <w:rPr>
          <w:lang w:val="fr-FR"/>
        </w:rPr>
        <w:t>du règlement d</w:t>
      </w:r>
      <w:r w:rsidR="00197436" w:rsidRPr="00961990">
        <w:rPr>
          <w:lang w:val="fr-FR"/>
        </w:rPr>
        <w:t>’</w:t>
      </w:r>
      <w:r w:rsidRPr="00961990">
        <w:rPr>
          <w:lang w:val="fr-FR"/>
        </w:rPr>
        <w:t>exécution commun prévoit la rectification d</w:t>
      </w:r>
      <w:r w:rsidR="00197436" w:rsidRPr="00961990">
        <w:rPr>
          <w:lang w:val="fr-FR"/>
        </w:rPr>
        <w:t>’</w:t>
      </w:r>
      <w:r w:rsidRPr="00961990">
        <w:rPr>
          <w:lang w:val="fr-FR"/>
        </w:rPr>
        <w:t>erreurs contenues dans le registre international, mais elle ne donne pas davantage d</w:t>
      </w:r>
      <w:r w:rsidR="00197436" w:rsidRPr="00961990">
        <w:rPr>
          <w:lang w:val="fr-FR"/>
        </w:rPr>
        <w:t>’</w:t>
      </w:r>
      <w:r w:rsidRPr="00961990">
        <w:rPr>
          <w:lang w:val="fr-FR"/>
        </w:rPr>
        <w:t>indications sur les types d</w:t>
      </w:r>
      <w:r w:rsidR="00197436" w:rsidRPr="00961990">
        <w:rPr>
          <w:lang w:val="fr-FR"/>
        </w:rPr>
        <w:t>’</w:t>
      </w:r>
      <w:r w:rsidRPr="00961990">
        <w:rPr>
          <w:lang w:val="fr-FR"/>
        </w:rPr>
        <w:t xml:space="preserve">erreurs pouvant être corrigées </w:t>
      </w:r>
      <w:r w:rsidR="009C278D" w:rsidRPr="00961990">
        <w:rPr>
          <w:lang w:val="fr-FR"/>
        </w:rPr>
        <w:t>ni</w:t>
      </w:r>
      <w:r w:rsidRPr="00961990">
        <w:rPr>
          <w:lang w:val="fr-FR"/>
        </w:rPr>
        <w:t xml:space="preserve"> n</w:t>
      </w:r>
      <w:r w:rsidR="00197436" w:rsidRPr="00961990">
        <w:rPr>
          <w:lang w:val="fr-FR"/>
        </w:rPr>
        <w:t>’</w:t>
      </w:r>
      <w:r w:rsidRPr="00961990">
        <w:rPr>
          <w:lang w:val="fr-FR"/>
        </w:rPr>
        <w:t>indique de délai pour demander leur</w:t>
      </w:r>
      <w:r w:rsidR="009C278D" w:rsidRPr="00961990">
        <w:rPr>
          <w:lang w:val="fr-FR"/>
        </w:rPr>
        <w:t xml:space="preserve"> rectificati</w:t>
      </w:r>
      <w:r w:rsidR="00AA1806" w:rsidRPr="00961990">
        <w:rPr>
          <w:lang w:val="fr-FR"/>
        </w:rPr>
        <w:t>on.  Se</w:t>
      </w:r>
      <w:r w:rsidR="009C278D" w:rsidRPr="00961990">
        <w:rPr>
          <w:lang w:val="fr-FR"/>
        </w:rPr>
        <w:t>ule la rectification de certaines err</w:t>
      </w:r>
      <w:r w:rsidR="009C278D" w:rsidRPr="00961990">
        <w:rPr>
          <w:lang w:val="fr-FR"/>
        </w:rPr>
        <w:t xml:space="preserve">eurs </w:t>
      </w:r>
      <w:r w:rsidR="002666F7">
        <w:rPr>
          <w:lang w:val="fr-FR"/>
        </w:rPr>
        <w:t>imputables</w:t>
      </w:r>
      <w:r w:rsidR="009C278D" w:rsidRPr="00961990">
        <w:rPr>
          <w:lang w:val="fr-FR"/>
        </w:rPr>
        <w:t xml:space="preserve"> à un office ne peut être </w:t>
      </w:r>
      <w:r w:rsidR="009C278D" w:rsidRPr="00961990">
        <w:rPr>
          <w:lang w:val="fr-FR"/>
        </w:rPr>
        <w:t xml:space="preserve">demandée plus de neuf mois après leur </w:t>
      </w:r>
      <w:r w:rsidR="005F08A9" w:rsidRPr="00961990">
        <w:rPr>
          <w:lang w:val="fr-FR"/>
        </w:rPr>
        <w:t xml:space="preserve">publication </w:t>
      </w:r>
      <w:r w:rsidR="009C278D" w:rsidRPr="00961990">
        <w:rPr>
          <w:lang w:val="fr-FR"/>
        </w:rPr>
        <w:t xml:space="preserve">dans la </w:t>
      </w:r>
      <w:r w:rsidR="005F08A9" w:rsidRPr="00961990">
        <w:rPr>
          <w:lang w:val="fr-FR"/>
        </w:rPr>
        <w:t>Gazet</w:t>
      </w:r>
      <w:r w:rsidR="00AA1806" w:rsidRPr="00961990">
        <w:rPr>
          <w:lang w:val="fr-FR"/>
        </w:rPr>
        <w:t>te.  L’a</w:t>
      </w:r>
      <w:r w:rsidR="009C278D" w:rsidRPr="00961990">
        <w:rPr>
          <w:lang w:val="fr-FR"/>
        </w:rPr>
        <w:t xml:space="preserve">pplication de la présente règle </w:t>
      </w:r>
      <w:r w:rsidR="002A0A11" w:rsidRPr="00961990">
        <w:rPr>
          <w:lang w:val="fr-FR"/>
        </w:rPr>
        <w:t>a donné lieu à la rectification d</w:t>
      </w:r>
      <w:r w:rsidR="00197436" w:rsidRPr="00961990">
        <w:rPr>
          <w:lang w:val="fr-FR"/>
        </w:rPr>
        <w:t>’</w:t>
      </w:r>
      <w:r w:rsidR="002A0A11" w:rsidRPr="00961990">
        <w:rPr>
          <w:lang w:val="fr-FR"/>
        </w:rPr>
        <w:t xml:space="preserve">erreurs plusieurs années après leur </w:t>
      </w:r>
      <w:r w:rsidR="005F08A9" w:rsidRPr="00961990">
        <w:rPr>
          <w:lang w:val="fr-FR"/>
        </w:rPr>
        <w:t xml:space="preserve">publication </w:t>
      </w:r>
      <w:r w:rsidR="002A0A11" w:rsidRPr="00961990">
        <w:rPr>
          <w:lang w:val="fr-FR"/>
        </w:rPr>
        <w:t>et leur</w:t>
      </w:r>
      <w:r w:rsidR="005F08A9" w:rsidRPr="00961990">
        <w:rPr>
          <w:lang w:val="fr-FR"/>
        </w:rPr>
        <w:t xml:space="preserve"> notification </w:t>
      </w:r>
      <w:r w:rsidR="002A0A11" w:rsidRPr="00961990">
        <w:rPr>
          <w:lang w:val="fr-FR"/>
        </w:rPr>
        <w:t>aux p</w:t>
      </w:r>
      <w:r w:rsidR="005F08A9" w:rsidRPr="00961990">
        <w:rPr>
          <w:lang w:val="fr-FR"/>
        </w:rPr>
        <w:t xml:space="preserve">arties </w:t>
      </w:r>
      <w:r w:rsidR="002A0A11" w:rsidRPr="00961990">
        <w:rPr>
          <w:lang w:val="fr-FR"/>
        </w:rPr>
        <w:t xml:space="preserve">contractantes </w:t>
      </w:r>
      <w:r w:rsidR="005F08A9" w:rsidRPr="00961990">
        <w:rPr>
          <w:lang w:val="fr-FR"/>
        </w:rPr>
        <w:t>concern</w:t>
      </w:r>
      <w:r w:rsidR="002A0A11" w:rsidRPr="00961990">
        <w:rPr>
          <w:lang w:val="fr-FR"/>
        </w:rPr>
        <w:t>é</w:t>
      </w:r>
      <w:r w:rsidR="00AA1806" w:rsidRPr="00961990">
        <w:rPr>
          <w:lang w:val="fr-FR"/>
        </w:rPr>
        <w:t>es.  Da</w:t>
      </w:r>
      <w:r w:rsidR="002A0A11" w:rsidRPr="00961990">
        <w:rPr>
          <w:lang w:val="fr-FR"/>
        </w:rPr>
        <w:t xml:space="preserve">ns certains cas, les offices reçoivent de nouveau notification </w:t>
      </w:r>
      <w:r w:rsidR="00D05336" w:rsidRPr="00961990">
        <w:rPr>
          <w:lang w:val="fr-FR"/>
        </w:rPr>
        <w:t>d</w:t>
      </w:r>
      <w:r w:rsidR="00197436" w:rsidRPr="00961990">
        <w:rPr>
          <w:lang w:val="fr-FR"/>
        </w:rPr>
        <w:t>’</w:t>
      </w:r>
      <w:r w:rsidR="00D05336" w:rsidRPr="00961990">
        <w:rPr>
          <w:lang w:val="fr-FR"/>
        </w:rPr>
        <w:t>un enregistrement i</w:t>
      </w:r>
      <w:r w:rsidR="005F08A9" w:rsidRPr="00961990">
        <w:rPr>
          <w:lang w:val="fr-FR"/>
        </w:rPr>
        <w:t xml:space="preserve">nternational, </w:t>
      </w:r>
      <w:r w:rsidR="00D05336" w:rsidRPr="00961990">
        <w:rPr>
          <w:lang w:val="fr-FR"/>
        </w:rPr>
        <w:t>avec sa date d</w:t>
      </w:r>
      <w:r w:rsidR="00197436" w:rsidRPr="00961990">
        <w:rPr>
          <w:lang w:val="fr-FR"/>
        </w:rPr>
        <w:t>’</w:t>
      </w:r>
      <w:r w:rsidR="00D05336" w:rsidRPr="00961990">
        <w:rPr>
          <w:lang w:val="fr-FR"/>
        </w:rPr>
        <w:t>effet d</w:t>
      </w:r>
      <w:r w:rsidR="00197436" w:rsidRPr="00961990">
        <w:rPr>
          <w:lang w:val="fr-FR"/>
        </w:rPr>
        <w:t>’</w:t>
      </w:r>
      <w:r w:rsidR="00D05336" w:rsidRPr="00961990">
        <w:rPr>
          <w:lang w:val="fr-FR"/>
        </w:rPr>
        <w:t>origine, mais avec un nouveau délai de refus</w:t>
      </w:r>
      <w:r w:rsidR="005F08A9" w:rsidRPr="00961990">
        <w:rPr>
          <w:lang w:val="fr-FR"/>
        </w:rPr>
        <w:t>.</w:t>
      </w:r>
    </w:p>
    <w:p w:rsidR="00197436" w:rsidRPr="00961990" w:rsidRDefault="00D05336" w:rsidP="00044E59">
      <w:pPr>
        <w:pStyle w:val="ONUMFS"/>
        <w:spacing w:after="0"/>
        <w:rPr>
          <w:lang w:val="fr-FR"/>
        </w:rPr>
      </w:pPr>
      <w:r w:rsidRPr="00961990">
        <w:rPr>
          <w:lang w:val="fr-FR"/>
        </w:rPr>
        <w:t>Une révision du règlement d</w:t>
      </w:r>
      <w:r w:rsidR="00197436" w:rsidRPr="00961990">
        <w:rPr>
          <w:lang w:val="fr-FR"/>
        </w:rPr>
        <w:t>’</w:t>
      </w:r>
      <w:r w:rsidRPr="00961990">
        <w:rPr>
          <w:lang w:val="fr-FR"/>
        </w:rPr>
        <w:t>exécution commun pourrait être nécessaire de manière à clarifier plusieurs questions relatives aux rectifications, notamment les types d</w:t>
      </w:r>
      <w:r w:rsidR="00197436" w:rsidRPr="00961990">
        <w:rPr>
          <w:lang w:val="fr-FR"/>
        </w:rPr>
        <w:t>’</w:t>
      </w:r>
      <w:r w:rsidRPr="00961990">
        <w:rPr>
          <w:lang w:val="fr-FR"/>
        </w:rPr>
        <w:t>erreurs pouvant être corrigées et la question de savoir si des erreurs commises par le déposant ou le titulaire pourraient en faire partie</w:t>
      </w:r>
      <w:r w:rsidR="005F08A9" w:rsidRPr="00961990">
        <w:rPr>
          <w:lang w:val="fr-FR"/>
        </w:rPr>
        <w:t>.</w:t>
      </w:r>
    </w:p>
    <w:p w:rsidR="00044E59" w:rsidRDefault="00044E59" w:rsidP="00855CBF">
      <w:pPr>
        <w:pStyle w:val="Heading2"/>
        <w:rPr>
          <w:lang w:val="fr-FR"/>
        </w:rPr>
      </w:pPr>
      <w:r>
        <w:rPr>
          <w:lang w:val="fr-FR"/>
        </w:rPr>
        <w:br w:type="page"/>
      </w:r>
    </w:p>
    <w:p w:rsidR="00DB113E" w:rsidRPr="00961990" w:rsidRDefault="00790510" w:rsidP="00855CBF">
      <w:pPr>
        <w:pStyle w:val="Heading2"/>
        <w:rPr>
          <w:lang w:val="fr-FR"/>
        </w:rPr>
      </w:pPr>
      <w:r w:rsidRPr="00961990">
        <w:rPr>
          <w:lang w:val="fr-FR"/>
        </w:rPr>
        <w:t>Procédure d</w:t>
      </w:r>
      <w:r w:rsidR="00044E59">
        <w:rPr>
          <w:lang w:val="fr-FR"/>
        </w:rPr>
        <w:t>E RÉ</w:t>
      </w:r>
      <w:r w:rsidRPr="00961990">
        <w:rPr>
          <w:lang w:val="fr-FR"/>
        </w:rPr>
        <w:t>examen</w:t>
      </w:r>
    </w:p>
    <w:p w:rsidR="00790510" w:rsidRPr="00961990" w:rsidRDefault="00790510" w:rsidP="00855CBF">
      <w:pPr>
        <w:rPr>
          <w:lang w:val="fr-FR"/>
        </w:rPr>
      </w:pPr>
    </w:p>
    <w:p w:rsidR="00197436" w:rsidRPr="00961990" w:rsidRDefault="00C33774" w:rsidP="00855CBF">
      <w:pPr>
        <w:pStyle w:val="ONUMFS"/>
        <w:rPr>
          <w:lang w:val="fr-FR"/>
        </w:rPr>
      </w:pPr>
      <w:r w:rsidRPr="00961990">
        <w:rPr>
          <w:lang w:val="fr-FR"/>
        </w:rPr>
        <w:t>La publication des pratiques en matière d</w:t>
      </w:r>
      <w:r w:rsidR="00197436" w:rsidRPr="00961990">
        <w:rPr>
          <w:lang w:val="fr-FR"/>
        </w:rPr>
        <w:t>’</w:t>
      </w:r>
      <w:r w:rsidRPr="00961990">
        <w:rPr>
          <w:lang w:val="fr-FR"/>
        </w:rPr>
        <w:t>examen devrait renforcer la sécurité juridiq</w:t>
      </w:r>
      <w:r w:rsidR="00AA1806" w:rsidRPr="00961990">
        <w:rPr>
          <w:lang w:val="fr-FR"/>
        </w:rPr>
        <w:t xml:space="preserve">ue.  </w:t>
      </w:r>
      <w:r w:rsidR="00AA1806" w:rsidRPr="00961990">
        <w:rPr>
          <w:lang w:val="fr-FR"/>
        </w:rPr>
        <w:t>En</w:t>
      </w:r>
      <w:r w:rsidRPr="00961990">
        <w:rPr>
          <w:lang w:val="fr-FR"/>
        </w:rPr>
        <w:t xml:space="preserve"> outre, le Bureau international a établi une procédure interne de gestion des plaint</w:t>
      </w:r>
      <w:r w:rsidR="00AA1806" w:rsidRPr="00961990">
        <w:rPr>
          <w:lang w:val="fr-FR"/>
        </w:rPr>
        <w:t>es.  Né</w:t>
      </w:r>
      <w:r w:rsidRPr="00961990">
        <w:rPr>
          <w:lang w:val="fr-FR"/>
        </w:rPr>
        <w:t xml:space="preserve">anmoins, les décisions prises par le Bureau international ne sont pas soumises à un </w:t>
      </w:r>
      <w:r w:rsidR="00C43461">
        <w:rPr>
          <w:lang w:val="fr-FR"/>
        </w:rPr>
        <w:t>ré</w:t>
      </w:r>
      <w:r w:rsidRPr="00961990">
        <w:rPr>
          <w:lang w:val="fr-FR"/>
        </w:rPr>
        <w:t>examen formel.</w:t>
      </w:r>
    </w:p>
    <w:p w:rsidR="00197436" w:rsidRPr="00961990" w:rsidRDefault="008A0703" w:rsidP="00855CBF">
      <w:pPr>
        <w:pStyle w:val="ONUMFS"/>
        <w:rPr>
          <w:lang w:val="fr-FR"/>
        </w:rPr>
      </w:pPr>
      <w:r w:rsidRPr="00961990">
        <w:rPr>
          <w:lang w:val="fr-FR"/>
        </w:rPr>
        <w:t>On pourrait se demander s</w:t>
      </w:r>
      <w:r w:rsidR="00197436" w:rsidRPr="00961990">
        <w:rPr>
          <w:lang w:val="fr-FR"/>
        </w:rPr>
        <w:t>’</w:t>
      </w:r>
      <w:r w:rsidRPr="00961990">
        <w:rPr>
          <w:lang w:val="fr-FR"/>
        </w:rPr>
        <w:t xml:space="preserve">il serait </w:t>
      </w:r>
      <w:r w:rsidR="005F08A9" w:rsidRPr="00961990">
        <w:rPr>
          <w:lang w:val="fr-FR"/>
        </w:rPr>
        <w:t>opportun</w:t>
      </w:r>
      <w:r w:rsidRPr="00961990">
        <w:rPr>
          <w:lang w:val="fr-FR"/>
        </w:rPr>
        <w:t xml:space="preserve"> d</w:t>
      </w:r>
      <w:r w:rsidR="00197436" w:rsidRPr="00961990">
        <w:rPr>
          <w:lang w:val="fr-FR"/>
        </w:rPr>
        <w:t>’</w:t>
      </w:r>
      <w:r w:rsidRPr="00961990">
        <w:rPr>
          <w:lang w:val="fr-FR"/>
        </w:rPr>
        <w:t>adopter un mécanisme d</w:t>
      </w:r>
      <w:r w:rsidR="00C43461">
        <w:rPr>
          <w:lang w:val="fr-FR"/>
        </w:rPr>
        <w:t>e ré</w:t>
      </w:r>
      <w:r w:rsidRPr="00961990">
        <w:rPr>
          <w:lang w:val="fr-FR"/>
        </w:rPr>
        <w:t>examen formel des décisions prises par le Bureau international et comment un tel mécanism</w:t>
      </w:r>
      <w:r w:rsidR="005F08A9" w:rsidRPr="00961990">
        <w:rPr>
          <w:lang w:val="fr-FR"/>
        </w:rPr>
        <w:t xml:space="preserve">e </w:t>
      </w:r>
      <w:r w:rsidRPr="00961990">
        <w:rPr>
          <w:lang w:val="fr-FR"/>
        </w:rPr>
        <w:t>pourrait être mis en œuvre.</w:t>
      </w:r>
    </w:p>
    <w:p w:rsidR="00197436" w:rsidRPr="00961990" w:rsidRDefault="008A0703" w:rsidP="00044E59">
      <w:pPr>
        <w:pStyle w:val="ONUMFS"/>
        <w:spacing w:after="0"/>
        <w:rPr>
          <w:lang w:val="fr-FR"/>
        </w:rPr>
      </w:pPr>
      <w:r w:rsidRPr="00961990">
        <w:rPr>
          <w:lang w:val="fr-FR"/>
        </w:rPr>
        <w:t>Une ré</w:t>
      </w:r>
      <w:r w:rsidR="005F08A9" w:rsidRPr="00961990">
        <w:rPr>
          <w:lang w:val="fr-FR"/>
        </w:rPr>
        <w:t xml:space="preserve">vision </w:t>
      </w:r>
      <w:r w:rsidRPr="00961990">
        <w:rPr>
          <w:lang w:val="fr-FR"/>
        </w:rPr>
        <w:t xml:space="preserve">du </w:t>
      </w:r>
      <w:r w:rsidR="005F08A9" w:rsidRPr="00961990">
        <w:rPr>
          <w:lang w:val="fr-FR"/>
        </w:rPr>
        <w:t>Protocol</w:t>
      </w:r>
      <w:r w:rsidRPr="00961990">
        <w:rPr>
          <w:lang w:val="fr-FR"/>
        </w:rPr>
        <w:t>e ou du règlement d</w:t>
      </w:r>
      <w:r w:rsidR="00197436" w:rsidRPr="00961990">
        <w:rPr>
          <w:lang w:val="fr-FR"/>
        </w:rPr>
        <w:t>’</w:t>
      </w:r>
      <w:r w:rsidRPr="00961990">
        <w:rPr>
          <w:lang w:val="fr-FR"/>
        </w:rPr>
        <w:t xml:space="preserve">exécution commun, ainsi que des nouvelles procédures et </w:t>
      </w:r>
      <w:r w:rsidR="005F08A9" w:rsidRPr="00961990">
        <w:rPr>
          <w:lang w:val="fr-FR"/>
        </w:rPr>
        <w:t xml:space="preserve">infrastructure </w:t>
      </w:r>
      <w:r w:rsidRPr="00961990">
        <w:rPr>
          <w:lang w:val="fr-FR"/>
        </w:rPr>
        <w:t>au sein du Bureau i</w:t>
      </w:r>
      <w:r w:rsidR="005F08A9" w:rsidRPr="00961990">
        <w:rPr>
          <w:lang w:val="fr-FR"/>
        </w:rPr>
        <w:t>nternational</w:t>
      </w:r>
      <w:r w:rsidR="00D75297" w:rsidRPr="00961990">
        <w:rPr>
          <w:lang w:val="fr-FR"/>
        </w:rPr>
        <w:t>,</w:t>
      </w:r>
      <w:r w:rsidR="005F08A9" w:rsidRPr="00961990">
        <w:rPr>
          <w:lang w:val="fr-FR"/>
        </w:rPr>
        <w:t xml:space="preserve"> </w:t>
      </w:r>
      <w:r w:rsidRPr="00961990">
        <w:rPr>
          <w:lang w:val="fr-FR"/>
        </w:rPr>
        <w:t xml:space="preserve">pourrait être </w:t>
      </w:r>
      <w:r w:rsidR="00933584" w:rsidRPr="00961990">
        <w:rPr>
          <w:lang w:val="fr-FR"/>
        </w:rPr>
        <w:t>nécessaire aux fi</w:t>
      </w:r>
      <w:r w:rsidR="00933584" w:rsidRPr="00961990">
        <w:rPr>
          <w:lang w:val="fr-FR"/>
        </w:rPr>
        <w:t>ns de la mise en œuvre de cette option</w:t>
      </w:r>
      <w:r w:rsidR="005F08A9" w:rsidRPr="00961990">
        <w:rPr>
          <w:lang w:val="fr-FR"/>
        </w:rPr>
        <w:t>.</w:t>
      </w:r>
    </w:p>
    <w:p w:rsidR="00DB113E" w:rsidRPr="00961990" w:rsidRDefault="00790510" w:rsidP="00855CBF">
      <w:pPr>
        <w:pStyle w:val="Heading2"/>
        <w:rPr>
          <w:lang w:val="fr-FR"/>
        </w:rPr>
      </w:pPr>
      <w:r w:rsidRPr="00961990">
        <w:rPr>
          <w:lang w:val="fr-FR"/>
        </w:rPr>
        <w:t>Certificats actualisés d’enregistrement international</w:t>
      </w:r>
    </w:p>
    <w:p w:rsidR="00790510" w:rsidRPr="00961990" w:rsidRDefault="00790510" w:rsidP="00855CBF">
      <w:pPr>
        <w:rPr>
          <w:lang w:val="fr-FR"/>
        </w:rPr>
      </w:pPr>
    </w:p>
    <w:p w:rsidR="00197436" w:rsidRPr="00961990" w:rsidRDefault="00933584" w:rsidP="00855CBF">
      <w:pPr>
        <w:pStyle w:val="ONUMFS"/>
        <w:rPr>
          <w:lang w:val="fr-FR"/>
        </w:rPr>
      </w:pPr>
      <w:r w:rsidRPr="00961990">
        <w:rPr>
          <w:lang w:val="fr-FR"/>
        </w:rPr>
        <w:t>Le Bureau i</w:t>
      </w:r>
      <w:r w:rsidR="005F08A9" w:rsidRPr="00961990">
        <w:rPr>
          <w:lang w:val="fr-FR"/>
        </w:rPr>
        <w:t xml:space="preserve">nternational </w:t>
      </w:r>
      <w:r w:rsidRPr="00961990">
        <w:rPr>
          <w:lang w:val="fr-FR"/>
        </w:rPr>
        <w:t xml:space="preserve">pourrait évaluer la possibilité de produire, sur demande, des certificats </w:t>
      </w:r>
      <w:r w:rsidR="002763F9" w:rsidRPr="00961990">
        <w:rPr>
          <w:lang w:val="fr-FR"/>
        </w:rPr>
        <w:t>actualisés d</w:t>
      </w:r>
      <w:r w:rsidR="00197436" w:rsidRPr="00961990">
        <w:rPr>
          <w:lang w:val="fr-FR"/>
        </w:rPr>
        <w:t>’</w:t>
      </w:r>
      <w:r w:rsidR="002763F9" w:rsidRPr="00961990">
        <w:rPr>
          <w:lang w:val="fr-FR"/>
        </w:rPr>
        <w:t xml:space="preserve">enregistrement international rendant compte de la situation </w:t>
      </w:r>
      <w:r w:rsidR="007D6C5D">
        <w:rPr>
          <w:lang w:val="fr-FR"/>
        </w:rPr>
        <w:t xml:space="preserve">actuelle </w:t>
      </w:r>
      <w:r w:rsidR="002763F9" w:rsidRPr="00961990">
        <w:rPr>
          <w:lang w:val="fr-FR"/>
        </w:rPr>
        <w:t>de la marque dans chacune des parties contractantes désignées.</w:t>
      </w:r>
    </w:p>
    <w:p w:rsidR="00DB113E" w:rsidRPr="00961990" w:rsidRDefault="002763F9" w:rsidP="00855CBF">
      <w:pPr>
        <w:pStyle w:val="ONUMFS"/>
        <w:rPr>
          <w:lang w:val="fr-FR"/>
        </w:rPr>
      </w:pPr>
      <w:r w:rsidRPr="00961990">
        <w:rPr>
          <w:lang w:val="fr-FR"/>
        </w:rPr>
        <w:t>Des traductions automatiques de ces certificats pourraient être mises à disposition dans un nombre maximal de langu</w:t>
      </w:r>
      <w:r w:rsidR="00AA1806" w:rsidRPr="00961990">
        <w:rPr>
          <w:lang w:val="fr-FR"/>
        </w:rPr>
        <w:t>es.  De</w:t>
      </w:r>
      <w:r w:rsidRPr="00961990">
        <w:rPr>
          <w:lang w:val="fr-FR"/>
        </w:rPr>
        <w:t xml:space="preserve">s versions plus formelles </w:t>
      </w:r>
      <w:r w:rsidR="006C7A1B" w:rsidRPr="00961990">
        <w:rPr>
          <w:lang w:val="fr-FR"/>
        </w:rPr>
        <w:t xml:space="preserve">de ces certificats </w:t>
      </w:r>
      <w:r w:rsidRPr="00961990">
        <w:rPr>
          <w:lang w:val="fr-FR"/>
        </w:rPr>
        <w:t>et d</w:t>
      </w:r>
      <w:r w:rsidR="00197436" w:rsidRPr="00961990">
        <w:rPr>
          <w:lang w:val="fr-FR"/>
        </w:rPr>
        <w:t>’</w:t>
      </w:r>
      <w:r w:rsidRPr="00961990">
        <w:rPr>
          <w:lang w:val="fr-FR"/>
        </w:rPr>
        <w:t xml:space="preserve">une plus grande qualité esthétique </w:t>
      </w:r>
      <w:r w:rsidR="006C7A1B" w:rsidRPr="00961990">
        <w:rPr>
          <w:lang w:val="fr-FR"/>
        </w:rPr>
        <w:t xml:space="preserve">pourraient également être </w:t>
      </w:r>
      <w:r w:rsidR="005F08A9" w:rsidRPr="00961990">
        <w:rPr>
          <w:lang w:val="fr-FR"/>
        </w:rPr>
        <w:t>produ</w:t>
      </w:r>
      <w:r w:rsidR="006C7A1B" w:rsidRPr="00961990">
        <w:rPr>
          <w:lang w:val="fr-FR"/>
        </w:rPr>
        <w:t>ites sur demande pour les titulaires</w:t>
      </w:r>
      <w:r w:rsidR="005F08A9" w:rsidRPr="00961990">
        <w:rPr>
          <w:lang w:val="fr-FR"/>
        </w:rPr>
        <w:t>.</w:t>
      </w:r>
    </w:p>
    <w:p w:rsidR="00DB113E" w:rsidRPr="00961990" w:rsidRDefault="00D75297" w:rsidP="00044E59">
      <w:pPr>
        <w:pStyle w:val="ONUMFS"/>
        <w:spacing w:after="0"/>
        <w:rPr>
          <w:lang w:val="fr-FR"/>
        </w:rPr>
      </w:pPr>
      <w:r w:rsidRPr="00961990">
        <w:rPr>
          <w:lang w:val="fr-FR"/>
        </w:rPr>
        <w:t>Une révision du règlement d</w:t>
      </w:r>
      <w:r w:rsidR="00197436" w:rsidRPr="00961990">
        <w:rPr>
          <w:lang w:val="fr-FR"/>
        </w:rPr>
        <w:t>’</w:t>
      </w:r>
      <w:r w:rsidRPr="00961990">
        <w:rPr>
          <w:lang w:val="fr-FR"/>
        </w:rPr>
        <w:t>exécution commun et l</w:t>
      </w:r>
      <w:r w:rsidR="00197436" w:rsidRPr="00961990">
        <w:rPr>
          <w:lang w:val="fr-FR"/>
        </w:rPr>
        <w:t>’</w:t>
      </w:r>
      <w:r w:rsidRPr="00961990">
        <w:rPr>
          <w:lang w:val="fr-FR"/>
        </w:rPr>
        <w:t>adoption d</w:t>
      </w:r>
      <w:r w:rsidR="00197436" w:rsidRPr="00961990">
        <w:rPr>
          <w:lang w:val="fr-FR"/>
        </w:rPr>
        <w:t>’</w:t>
      </w:r>
      <w:r w:rsidRPr="00961990">
        <w:rPr>
          <w:lang w:val="fr-FR"/>
        </w:rPr>
        <w:t>une nouvelle procédure par le Bureau international pourraient être nécessaires aux fins de la mise en œuvre de cette option</w:t>
      </w:r>
      <w:r w:rsidR="005F08A9" w:rsidRPr="00961990">
        <w:rPr>
          <w:lang w:val="fr-FR"/>
        </w:rPr>
        <w:t>.</w:t>
      </w:r>
    </w:p>
    <w:p w:rsidR="00DB113E" w:rsidRPr="00961990" w:rsidRDefault="00790510" w:rsidP="00855CBF">
      <w:pPr>
        <w:pStyle w:val="Heading2"/>
        <w:rPr>
          <w:lang w:val="fr-FR"/>
        </w:rPr>
      </w:pPr>
      <w:r w:rsidRPr="00961990">
        <w:rPr>
          <w:lang w:val="fr-FR"/>
        </w:rPr>
        <w:t>Révision du barème des émoluments et taxes et des options en matière de paiement</w:t>
      </w:r>
    </w:p>
    <w:p w:rsidR="00790510" w:rsidRPr="00961990" w:rsidRDefault="00790510" w:rsidP="00855CBF">
      <w:pPr>
        <w:rPr>
          <w:lang w:val="fr-FR"/>
        </w:rPr>
      </w:pPr>
    </w:p>
    <w:p w:rsidR="00197436" w:rsidRPr="00961990" w:rsidRDefault="00D75297" w:rsidP="00855CBF">
      <w:pPr>
        <w:pStyle w:val="ONUMFS"/>
        <w:rPr>
          <w:lang w:val="fr-FR"/>
        </w:rPr>
      </w:pPr>
      <w:r w:rsidRPr="00961990">
        <w:rPr>
          <w:lang w:val="fr-FR"/>
        </w:rPr>
        <w:t>Le</w:t>
      </w:r>
      <w:r w:rsidR="00197436" w:rsidRPr="00961990">
        <w:rPr>
          <w:lang w:val="fr-FR"/>
        </w:rPr>
        <w:t xml:space="preserve"> 1</w:t>
      </w:r>
      <w:r w:rsidR="00197436" w:rsidRPr="00961990">
        <w:rPr>
          <w:vertAlign w:val="superscript"/>
          <w:lang w:val="fr-FR"/>
        </w:rPr>
        <w:t>er</w:t>
      </w:r>
      <w:r w:rsidR="00197436" w:rsidRPr="00961990">
        <w:rPr>
          <w:lang w:val="fr-FR"/>
        </w:rPr>
        <w:t> </w:t>
      </w:r>
      <w:r w:rsidRPr="00961990">
        <w:rPr>
          <w:lang w:val="fr-FR"/>
        </w:rPr>
        <w:t>avril </w:t>
      </w:r>
      <w:r w:rsidR="005F08A9" w:rsidRPr="00961990">
        <w:rPr>
          <w:lang w:val="fr-FR"/>
        </w:rPr>
        <w:t xml:space="preserve">1996, </w:t>
      </w:r>
      <w:r w:rsidR="008E58A5" w:rsidRPr="00961990">
        <w:rPr>
          <w:lang w:val="fr-FR"/>
        </w:rPr>
        <w:t xml:space="preserve">étaient établis </w:t>
      </w:r>
      <w:r w:rsidRPr="00961990">
        <w:rPr>
          <w:lang w:val="fr-FR"/>
        </w:rPr>
        <w:t>les montants actuels de l</w:t>
      </w:r>
      <w:r w:rsidR="00197436" w:rsidRPr="00961990">
        <w:rPr>
          <w:lang w:val="fr-FR"/>
        </w:rPr>
        <w:t>’</w:t>
      </w:r>
      <w:r w:rsidRPr="00961990">
        <w:rPr>
          <w:lang w:val="fr-FR"/>
        </w:rPr>
        <w:t>émolument de base pour une demande internationale, une désignation postérieure</w:t>
      </w:r>
      <w:r w:rsidR="008E58A5" w:rsidRPr="00961990">
        <w:rPr>
          <w:lang w:val="fr-FR"/>
        </w:rPr>
        <w:t>, un renouvellement ou des modificatio</w:t>
      </w:r>
      <w:r w:rsidR="00AA1806" w:rsidRPr="00961990">
        <w:rPr>
          <w:lang w:val="fr-FR"/>
        </w:rPr>
        <w:t>ns.  Le</w:t>
      </w:r>
      <w:r w:rsidR="00197436" w:rsidRPr="00961990">
        <w:rPr>
          <w:lang w:val="fr-FR"/>
        </w:rPr>
        <w:t xml:space="preserve"> 1</w:t>
      </w:r>
      <w:r w:rsidR="00197436" w:rsidRPr="00961990">
        <w:rPr>
          <w:vertAlign w:val="superscript"/>
          <w:lang w:val="fr-FR"/>
        </w:rPr>
        <w:t>er</w:t>
      </w:r>
      <w:r w:rsidR="00197436" w:rsidRPr="00961990">
        <w:rPr>
          <w:lang w:val="fr-FR"/>
        </w:rPr>
        <w:t> </w:t>
      </w:r>
      <w:r w:rsidR="008E58A5" w:rsidRPr="00961990">
        <w:rPr>
          <w:lang w:val="fr-FR"/>
        </w:rPr>
        <w:t>septembre 2008, le montant des compléments d</w:t>
      </w:r>
      <w:r w:rsidR="00197436" w:rsidRPr="00961990">
        <w:rPr>
          <w:lang w:val="fr-FR"/>
        </w:rPr>
        <w:t>’</w:t>
      </w:r>
      <w:r w:rsidR="008E58A5" w:rsidRPr="00961990">
        <w:rPr>
          <w:lang w:val="fr-FR"/>
        </w:rPr>
        <w:t xml:space="preserve">émoluments et des émoluments supplémentaires augmentait, passant de </w:t>
      </w:r>
      <w:r w:rsidR="005F08A9" w:rsidRPr="00961990">
        <w:rPr>
          <w:lang w:val="fr-FR"/>
        </w:rPr>
        <w:t xml:space="preserve">73 </w:t>
      </w:r>
      <w:r w:rsidR="008E58A5" w:rsidRPr="00961990">
        <w:rPr>
          <w:lang w:val="fr-FR"/>
        </w:rPr>
        <w:t>à 1</w:t>
      </w:r>
      <w:r w:rsidR="005F08A9" w:rsidRPr="00961990">
        <w:rPr>
          <w:lang w:val="fr-FR"/>
        </w:rPr>
        <w:t>00</w:t>
      </w:r>
      <w:r w:rsidR="00A83327" w:rsidRPr="00961990">
        <w:rPr>
          <w:lang w:val="fr-FR"/>
        </w:rPr>
        <w:t> </w:t>
      </w:r>
      <w:r w:rsidR="005F08A9" w:rsidRPr="00961990">
        <w:rPr>
          <w:lang w:val="fr-FR"/>
        </w:rPr>
        <w:t>francs</w:t>
      </w:r>
      <w:r w:rsidR="008E58A5" w:rsidRPr="00961990">
        <w:rPr>
          <w:lang w:val="fr-FR"/>
        </w:rPr>
        <w:t> suiss</w:t>
      </w:r>
      <w:r w:rsidR="00AA1806" w:rsidRPr="00961990">
        <w:rPr>
          <w:lang w:val="fr-FR"/>
        </w:rPr>
        <w:t>es.  La</w:t>
      </w:r>
      <w:r w:rsidR="008E58A5" w:rsidRPr="00961990">
        <w:rPr>
          <w:lang w:val="fr-FR"/>
        </w:rPr>
        <w:t xml:space="preserve"> dernière révision globale du barème des émoluments et taxes remonte donc à plus de 20 ans.</w:t>
      </w:r>
    </w:p>
    <w:p w:rsidR="00197436" w:rsidRPr="00961990" w:rsidRDefault="008E58A5" w:rsidP="00855CBF">
      <w:pPr>
        <w:pStyle w:val="ONUMFS"/>
        <w:rPr>
          <w:lang w:val="fr-FR"/>
        </w:rPr>
      </w:pPr>
      <w:r w:rsidRPr="00961990">
        <w:rPr>
          <w:lang w:val="fr-FR"/>
        </w:rPr>
        <w:t xml:space="preserve">Une révision devrait </w:t>
      </w:r>
      <w:r w:rsidR="00A71283" w:rsidRPr="00961990">
        <w:rPr>
          <w:lang w:val="fr-FR"/>
        </w:rPr>
        <w:t>permettre de simplifier le barème des émoluments et taxes et de le rendre plus transparent, de manière à réduire le nombre d</w:t>
      </w:r>
      <w:r w:rsidR="00197436" w:rsidRPr="00961990">
        <w:rPr>
          <w:lang w:val="fr-FR"/>
        </w:rPr>
        <w:t>’</w:t>
      </w:r>
      <w:r w:rsidR="00A71283" w:rsidRPr="00961990">
        <w:rPr>
          <w:lang w:val="fr-FR"/>
        </w:rPr>
        <w:t>irrégularités et à fournir des informations plus précises aux déposants, aux titulaires et aux offices</w:t>
      </w:r>
      <w:r w:rsidR="005F08A9" w:rsidRPr="00961990">
        <w:rPr>
          <w:lang w:val="fr-FR"/>
        </w:rPr>
        <w:t>.</w:t>
      </w:r>
    </w:p>
    <w:p w:rsidR="00197436" w:rsidRPr="00961990" w:rsidRDefault="00A71283" w:rsidP="00855CBF">
      <w:pPr>
        <w:pStyle w:val="ONUMFS"/>
        <w:keepNext/>
        <w:keepLines/>
        <w:rPr>
          <w:lang w:val="fr-FR"/>
        </w:rPr>
      </w:pPr>
      <w:r w:rsidRPr="00961990">
        <w:rPr>
          <w:lang w:val="fr-FR"/>
        </w:rPr>
        <w:t xml:space="preserve">Une révision du barème des émoluments et taxes nécessiterait une analyse approfondie </w:t>
      </w:r>
      <w:r w:rsidR="007A59B1" w:rsidRPr="00961990">
        <w:rPr>
          <w:lang w:val="fr-FR"/>
        </w:rPr>
        <w:t>et un examen attent</w:t>
      </w:r>
      <w:r w:rsidR="00AA1806" w:rsidRPr="00961990">
        <w:rPr>
          <w:lang w:val="fr-FR"/>
        </w:rPr>
        <w:t>if.  Un</w:t>
      </w:r>
      <w:r w:rsidR="007A59B1" w:rsidRPr="00961990">
        <w:rPr>
          <w:lang w:val="fr-FR"/>
        </w:rPr>
        <w:t>e telle révision devrait</w:t>
      </w:r>
    </w:p>
    <w:p w:rsidR="00197436" w:rsidRPr="00961990" w:rsidRDefault="007A59B1" w:rsidP="00855CBF">
      <w:pPr>
        <w:pStyle w:val="ONUMFS"/>
        <w:keepNext/>
        <w:keepLines/>
        <w:numPr>
          <w:ilvl w:val="0"/>
          <w:numId w:val="19"/>
        </w:numPr>
        <w:tabs>
          <w:tab w:val="left" w:pos="1134"/>
        </w:tabs>
        <w:ind w:left="567" w:firstLine="0"/>
        <w:rPr>
          <w:lang w:val="fr-FR"/>
        </w:rPr>
      </w:pPr>
      <w:r w:rsidRPr="00961990">
        <w:rPr>
          <w:lang w:val="fr-FR"/>
        </w:rPr>
        <w:t>permettre de simplifier le barème des émoluments et taxes en procédant, par exemple, à la suppression ou au regroupement de certains points</w:t>
      </w:r>
      <w:r w:rsidR="005F08A9" w:rsidRPr="00961990">
        <w:rPr>
          <w:lang w:val="fr-FR"/>
        </w:rPr>
        <w:t>;</w:t>
      </w:r>
    </w:p>
    <w:p w:rsidR="00197436" w:rsidRPr="00961990" w:rsidRDefault="007A59B1" w:rsidP="00855CBF">
      <w:pPr>
        <w:pStyle w:val="ONUMFS"/>
        <w:numPr>
          <w:ilvl w:val="0"/>
          <w:numId w:val="19"/>
        </w:numPr>
        <w:tabs>
          <w:tab w:val="left" w:pos="1134"/>
        </w:tabs>
        <w:ind w:left="567" w:firstLine="0"/>
        <w:rPr>
          <w:lang w:val="fr-FR"/>
        </w:rPr>
      </w:pPr>
      <w:r w:rsidRPr="00961990">
        <w:rPr>
          <w:lang w:val="fr-FR"/>
        </w:rPr>
        <w:t xml:space="preserve">encourager les déposants et les titulaires à suivre </w:t>
      </w:r>
      <w:r w:rsidR="00254F03" w:rsidRPr="00961990">
        <w:rPr>
          <w:lang w:val="fr-FR"/>
        </w:rPr>
        <w:t>les procédures adéquates</w:t>
      </w:r>
      <w:r w:rsidR="005F08A9" w:rsidRPr="00961990">
        <w:rPr>
          <w:lang w:val="fr-FR"/>
        </w:rPr>
        <w:t xml:space="preserve">, </w:t>
      </w:r>
      <w:r w:rsidR="00254F03" w:rsidRPr="00961990">
        <w:rPr>
          <w:lang w:val="fr-FR"/>
        </w:rPr>
        <w:t>par exemple, en établissant une distinction entre les demandes et requêtes régulièrement ou irrégulièrement déposées</w:t>
      </w:r>
      <w:r w:rsidR="005F08A9" w:rsidRPr="00961990">
        <w:rPr>
          <w:lang w:val="fr-FR"/>
        </w:rPr>
        <w:t xml:space="preserve"> </w:t>
      </w:r>
      <w:r w:rsidR="00254F03" w:rsidRPr="00961990">
        <w:rPr>
          <w:lang w:val="fr-FR"/>
        </w:rPr>
        <w:t>et en offrant des avantages en cas de dépôt en ligne ou d</w:t>
      </w:r>
      <w:r w:rsidR="00197436" w:rsidRPr="00961990">
        <w:rPr>
          <w:lang w:val="fr-FR"/>
        </w:rPr>
        <w:t>’</w:t>
      </w:r>
      <w:r w:rsidR="00254F03" w:rsidRPr="00961990">
        <w:rPr>
          <w:lang w:val="fr-FR"/>
        </w:rPr>
        <w:t>utilisation des indications de produits et</w:t>
      </w:r>
      <w:r w:rsidR="005F08A9" w:rsidRPr="00961990">
        <w:rPr>
          <w:lang w:val="fr-FR"/>
        </w:rPr>
        <w:t xml:space="preserve"> services</w:t>
      </w:r>
      <w:r w:rsidR="00254F03" w:rsidRPr="00961990">
        <w:rPr>
          <w:lang w:val="fr-FR"/>
        </w:rPr>
        <w:t xml:space="preserve"> préalablement acceptées</w:t>
      </w:r>
      <w:r w:rsidR="005F08A9" w:rsidRPr="00961990">
        <w:rPr>
          <w:lang w:val="fr-FR"/>
        </w:rPr>
        <w:t>;</w:t>
      </w:r>
    </w:p>
    <w:p w:rsidR="00197436" w:rsidRPr="00961990" w:rsidRDefault="00254F03" w:rsidP="00855CBF">
      <w:pPr>
        <w:pStyle w:val="ONUMFS"/>
        <w:numPr>
          <w:ilvl w:val="0"/>
          <w:numId w:val="19"/>
        </w:numPr>
        <w:tabs>
          <w:tab w:val="left" w:pos="1134"/>
        </w:tabs>
        <w:ind w:left="567" w:firstLine="0"/>
        <w:rPr>
          <w:lang w:val="fr-FR"/>
        </w:rPr>
      </w:pPr>
      <w:r w:rsidRPr="00961990">
        <w:rPr>
          <w:lang w:val="fr-FR"/>
        </w:rPr>
        <w:t>n</w:t>
      </w:r>
      <w:r w:rsidR="00197436" w:rsidRPr="00961990">
        <w:rPr>
          <w:lang w:val="fr-FR"/>
        </w:rPr>
        <w:t>’</w:t>
      </w:r>
      <w:r w:rsidRPr="00961990">
        <w:rPr>
          <w:lang w:val="fr-FR"/>
        </w:rPr>
        <w:t xml:space="preserve">avoir aucune incidence </w:t>
      </w:r>
      <w:r w:rsidR="00616718" w:rsidRPr="00961990">
        <w:rPr>
          <w:lang w:val="fr-FR"/>
        </w:rPr>
        <w:t>pour les déposants et les titulaires, à l</w:t>
      </w:r>
      <w:r w:rsidR="00197436" w:rsidRPr="00961990">
        <w:rPr>
          <w:lang w:val="fr-FR"/>
        </w:rPr>
        <w:t>’</w:t>
      </w:r>
      <w:r w:rsidR="00616718" w:rsidRPr="00961990">
        <w:rPr>
          <w:lang w:val="fr-FR"/>
        </w:rPr>
        <w:t>exception peut</w:t>
      </w:r>
      <w:r w:rsidR="00CC6FBC" w:rsidRPr="00961990">
        <w:rPr>
          <w:lang w:val="fr-FR"/>
        </w:rPr>
        <w:noBreakHyphen/>
      </w:r>
      <w:r w:rsidR="00616718" w:rsidRPr="00961990">
        <w:rPr>
          <w:lang w:val="fr-FR"/>
        </w:rPr>
        <w:t>être des demandes et requêtes irrégulières</w:t>
      </w:r>
      <w:r w:rsidR="005F08A9" w:rsidRPr="00961990">
        <w:rPr>
          <w:lang w:val="fr-FR"/>
        </w:rPr>
        <w:t xml:space="preserve">; </w:t>
      </w:r>
      <w:r w:rsidR="00A83327" w:rsidRPr="00961990">
        <w:rPr>
          <w:lang w:val="fr-FR"/>
        </w:rPr>
        <w:t xml:space="preserve"> </w:t>
      </w:r>
      <w:r w:rsidR="00616718" w:rsidRPr="00961990">
        <w:rPr>
          <w:lang w:val="fr-FR"/>
        </w:rPr>
        <w:t>et</w:t>
      </w:r>
    </w:p>
    <w:p w:rsidR="00DB113E" w:rsidRPr="00961990" w:rsidRDefault="00616718" w:rsidP="00855CBF">
      <w:pPr>
        <w:pStyle w:val="ONUMFS"/>
        <w:numPr>
          <w:ilvl w:val="0"/>
          <w:numId w:val="19"/>
        </w:numPr>
        <w:tabs>
          <w:tab w:val="left" w:pos="1134"/>
        </w:tabs>
        <w:ind w:left="567" w:firstLine="0"/>
        <w:rPr>
          <w:lang w:val="fr-FR"/>
        </w:rPr>
      </w:pPr>
      <w:r w:rsidRPr="00961990">
        <w:rPr>
          <w:lang w:val="fr-FR"/>
        </w:rPr>
        <w:t>n</w:t>
      </w:r>
      <w:r w:rsidR="00197436" w:rsidRPr="00961990">
        <w:rPr>
          <w:lang w:val="fr-FR"/>
        </w:rPr>
        <w:t>’</w:t>
      </w:r>
      <w:r w:rsidRPr="00961990">
        <w:rPr>
          <w:lang w:val="fr-FR"/>
        </w:rPr>
        <w:t xml:space="preserve">avoir aucune incidence sur le </w:t>
      </w:r>
      <w:r w:rsidR="005F08A9" w:rsidRPr="00961990">
        <w:rPr>
          <w:lang w:val="fr-FR"/>
        </w:rPr>
        <w:t xml:space="preserve">budget </w:t>
      </w:r>
      <w:r w:rsidRPr="00961990">
        <w:rPr>
          <w:lang w:val="fr-FR"/>
        </w:rPr>
        <w:t>de l</w:t>
      </w:r>
      <w:r w:rsidR="00197436" w:rsidRPr="00961990">
        <w:rPr>
          <w:lang w:val="fr-FR"/>
        </w:rPr>
        <w:t>’</w:t>
      </w:r>
      <w:r w:rsidR="005F08A9" w:rsidRPr="00961990">
        <w:rPr>
          <w:lang w:val="fr-FR"/>
        </w:rPr>
        <w:t>Union</w:t>
      </w:r>
      <w:r w:rsidRPr="00961990">
        <w:rPr>
          <w:lang w:val="fr-FR"/>
        </w:rPr>
        <w:t xml:space="preserve"> de Madrid</w:t>
      </w:r>
      <w:r w:rsidR="005F08A9" w:rsidRPr="00961990">
        <w:rPr>
          <w:lang w:val="fr-FR"/>
        </w:rPr>
        <w:t>.</w:t>
      </w:r>
    </w:p>
    <w:p w:rsidR="00197436" w:rsidRPr="00961990" w:rsidRDefault="00616718" w:rsidP="00855CBF">
      <w:pPr>
        <w:pStyle w:val="ONUMFS"/>
        <w:rPr>
          <w:lang w:val="fr-FR"/>
        </w:rPr>
      </w:pPr>
      <w:r w:rsidRPr="00961990">
        <w:rPr>
          <w:lang w:val="fr-FR"/>
        </w:rPr>
        <w:t>Par ailleurs, de nouvelles options en matière de paiement, notamment un éventail plus large de solutions de paiement automatisées, devraient être proposées.</w:t>
      </w:r>
    </w:p>
    <w:p w:rsidR="00197436" w:rsidRPr="00961990" w:rsidRDefault="00616718" w:rsidP="00044E59">
      <w:pPr>
        <w:pStyle w:val="ONUMFS"/>
        <w:spacing w:after="0"/>
        <w:rPr>
          <w:lang w:val="fr-FR"/>
        </w:rPr>
      </w:pPr>
      <w:r w:rsidRPr="00961990">
        <w:rPr>
          <w:lang w:val="fr-FR"/>
        </w:rPr>
        <w:t>Une révision du barème des émoluments et taxes et des pratiques du Bureau international, ainsi qu</w:t>
      </w:r>
      <w:r w:rsidR="00197436" w:rsidRPr="00961990">
        <w:rPr>
          <w:lang w:val="fr-FR"/>
        </w:rPr>
        <w:t>’</w:t>
      </w:r>
      <w:r w:rsidRPr="00961990">
        <w:rPr>
          <w:lang w:val="fr-FR"/>
        </w:rPr>
        <w:t>une affectation de ressources par le Bureau international seraient nécessaires aux fins de la mise en œuvre de cette option</w:t>
      </w:r>
      <w:r w:rsidR="005F08A9" w:rsidRPr="00961990">
        <w:rPr>
          <w:lang w:val="fr-FR"/>
        </w:rPr>
        <w:t>.</w:t>
      </w:r>
    </w:p>
    <w:p w:rsidR="00DB113E" w:rsidRPr="00961990" w:rsidRDefault="00790510" w:rsidP="00855CBF">
      <w:pPr>
        <w:pStyle w:val="Heading2"/>
        <w:rPr>
          <w:lang w:val="fr-FR"/>
        </w:rPr>
      </w:pPr>
      <w:r w:rsidRPr="00961990">
        <w:rPr>
          <w:lang w:val="fr-FR"/>
        </w:rPr>
        <w:t>Système E</w:t>
      </w:r>
      <w:r w:rsidRPr="00961990">
        <w:rPr>
          <w:lang w:val="fr-FR"/>
        </w:rPr>
        <w:noBreakHyphen/>
        <w:t>MADRID</w:t>
      </w:r>
    </w:p>
    <w:p w:rsidR="00790510" w:rsidRPr="00961990" w:rsidRDefault="00790510" w:rsidP="00855CBF">
      <w:pPr>
        <w:rPr>
          <w:lang w:val="fr-FR"/>
        </w:rPr>
      </w:pPr>
    </w:p>
    <w:p w:rsidR="00197436" w:rsidRPr="00961990" w:rsidRDefault="00066F7E" w:rsidP="00044E59">
      <w:pPr>
        <w:pStyle w:val="ONUMFS"/>
        <w:spacing w:after="0"/>
        <w:rPr>
          <w:lang w:val="fr-FR"/>
        </w:rPr>
      </w:pPr>
      <w:r w:rsidRPr="00961990">
        <w:rPr>
          <w:lang w:val="fr-FR"/>
        </w:rPr>
        <w:t>Des ressources devraient être prévues en vue de permettre aux déposants et aux titulaires d</w:t>
      </w:r>
      <w:r w:rsidR="00197436" w:rsidRPr="00961990">
        <w:rPr>
          <w:lang w:val="fr-FR"/>
        </w:rPr>
        <w:t>’</w:t>
      </w:r>
      <w:r w:rsidRPr="00961990">
        <w:rPr>
          <w:lang w:val="fr-FR"/>
        </w:rPr>
        <w:t>effectuer en ligne toutes l</w:t>
      </w:r>
      <w:r w:rsidRPr="00961990">
        <w:rPr>
          <w:lang w:val="fr-FR"/>
        </w:rPr>
        <w:t xml:space="preserve">eurs </w:t>
      </w:r>
      <w:r w:rsidR="005A054C">
        <w:rPr>
          <w:lang w:val="fr-FR"/>
        </w:rPr>
        <w:t>opérations</w:t>
      </w:r>
      <w:r w:rsidRPr="00961990">
        <w:rPr>
          <w:lang w:val="fr-FR"/>
        </w:rPr>
        <w:t xml:space="preserve"> dans le cadre du système de Madrid et, dans la mesure du possible, afin que ces</w:t>
      </w:r>
      <w:r w:rsidR="005F08A9" w:rsidRPr="00961990">
        <w:rPr>
          <w:lang w:val="fr-FR"/>
        </w:rPr>
        <w:t xml:space="preserve"> </w:t>
      </w:r>
      <w:r w:rsidR="005A054C">
        <w:rPr>
          <w:lang w:val="fr-FR"/>
        </w:rPr>
        <w:t>opérations</w:t>
      </w:r>
      <w:r w:rsidR="005F08A9" w:rsidRPr="00961990">
        <w:rPr>
          <w:lang w:val="fr-FR"/>
        </w:rPr>
        <w:t xml:space="preserve"> </w:t>
      </w:r>
      <w:r w:rsidRPr="00961990">
        <w:rPr>
          <w:lang w:val="fr-FR"/>
        </w:rPr>
        <w:t>fassen</w:t>
      </w:r>
      <w:r w:rsidRPr="00961990">
        <w:rPr>
          <w:lang w:val="fr-FR"/>
        </w:rPr>
        <w:t>t l</w:t>
      </w:r>
      <w:r w:rsidR="00197436" w:rsidRPr="00961990">
        <w:rPr>
          <w:lang w:val="fr-FR"/>
        </w:rPr>
        <w:t>’</w:t>
      </w:r>
      <w:r w:rsidRPr="00961990">
        <w:rPr>
          <w:lang w:val="fr-FR"/>
        </w:rPr>
        <w:t>objet d</w:t>
      </w:r>
      <w:r w:rsidR="00197436" w:rsidRPr="00961990">
        <w:rPr>
          <w:lang w:val="fr-FR"/>
        </w:rPr>
        <w:t>’</w:t>
      </w:r>
      <w:r w:rsidRPr="00961990">
        <w:rPr>
          <w:lang w:val="fr-FR"/>
        </w:rPr>
        <w:t xml:space="preserve">un traitement </w:t>
      </w:r>
      <w:r w:rsidR="005F08A9" w:rsidRPr="00961990">
        <w:rPr>
          <w:lang w:val="fr-FR"/>
        </w:rPr>
        <w:t>automati</w:t>
      </w:r>
      <w:r w:rsidRPr="00961990">
        <w:rPr>
          <w:lang w:val="fr-FR"/>
        </w:rPr>
        <w:t>que et soient transparentes pour les déposants, les titulaires et les offices</w:t>
      </w:r>
      <w:r w:rsidR="005F08A9" w:rsidRPr="00961990">
        <w:rPr>
          <w:lang w:val="fr-FR"/>
        </w:rPr>
        <w:t>.</w:t>
      </w:r>
    </w:p>
    <w:p w:rsidR="00DB113E" w:rsidRPr="00961990" w:rsidRDefault="00790510" w:rsidP="00855CBF">
      <w:pPr>
        <w:pStyle w:val="Heading1"/>
        <w:rPr>
          <w:lang w:val="fr-FR"/>
        </w:rPr>
      </w:pPr>
      <w:r w:rsidRPr="00961990">
        <w:rPr>
          <w:lang w:val="fr-FR"/>
        </w:rPr>
        <w:t>VI.</w:t>
      </w:r>
      <w:r w:rsidRPr="00961990">
        <w:rPr>
          <w:lang w:val="fr-FR"/>
        </w:rPr>
        <w:tab/>
        <w:t>Options concernant à la fois les offices et le Bureau international</w:t>
      </w:r>
    </w:p>
    <w:p w:rsidR="00DB113E" w:rsidRPr="00961990" w:rsidRDefault="00790510" w:rsidP="00855CBF">
      <w:pPr>
        <w:pStyle w:val="Heading2"/>
        <w:rPr>
          <w:lang w:val="fr-FR"/>
        </w:rPr>
      </w:pPr>
      <w:r w:rsidRPr="00961990">
        <w:rPr>
          <w:lang w:val="fr-FR"/>
        </w:rPr>
        <w:t>Harmonisation des pratiques en matière de classement</w:t>
      </w:r>
    </w:p>
    <w:p w:rsidR="00790510" w:rsidRPr="00961990" w:rsidRDefault="00790510" w:rsidP="00855CBF">
      <w:pPr>
        <w:rPr>
          <w:lang w:val="fr-FR"/>
        </w:rPr>
      </w:pPr>
    </w:p>
    <w:p w:rsidR="00197436" w:rsidRPr="00961990" w:rsidRDefault="006E5753" w:rsidP="00855CBF">
      <w:pPr>
        <w:pStyle w:val="ONUMFS"/>
        <w:rPr>
          <w:lang w:val="fr-FR"/>
        </w:rPr>
      </w:pPr>
      <w:r w:rsidRPr="00961990">
        <w:rPr>
          <w:lang w:val="fr-FR"/>
        </w:rPr>
        <w:t>Le manque d</w:t>
      </w:r>
      <w:r w:rsidR="00197436" w:rsidRPr="00961990">
        <w:rPr>
          <w:lang w:val="fr-FR"/>
        </w:rPr>
        <w:t>’</w:t>
      </w:r>
      <w:r w:rsidRPr="00961990">
        <w:rPr>
          <w:lang w:val="fr-FR"/>
        </w:rPr>
        <w:t>uniformité</w:t>
      </w:r>
      <w:r w:rsidR="00066F7E" w:rsidRPr="00961990">
        <w:rPr>
          <w:lang w:val="fr-FR"/>
        </w:rPr>
        <w:t xml:space="preserve"> des pratiques entre les offices et le Bureau international en ce qui concerne </w:t>
      </w:r>
      <w:r w:rsidRPr="00961990">
        <w:rPr>
          <w:lang w:val="fr-FR"/>
        </w:rPr>
        <w:t>le degré de précision et le classement des produits et services est unanimement considéré comme un défi majeur pour le système de</w:t>
      </w:r>
      <w:r w:rsidR="005F08A9" w:rsidRPr="00961990">
        <w:rPr>
          <w:lang w:val="fr-FR"/>
        </w:rPr>
        <w:t xml:space="preserve"> Madrid.</w:t>
      </w:r>
    </w:p>
    <w:p w:rsidR="00197436" w:rsidRPr="00961990" w:rsidRDefault="006E5753" w:rsidP="00855CBF">
      <w:pPr>
        <w:pStyle w:val="ONUMFS"/>
        <w:rPr>
          <w:lang w:val="fr-FR"/>
        </w:rPr>
      </w:pPr>
      <w:r w:rsidRPr="00961990">
        <w:rPr>
          <w:lang w:val="fr-FR"/>
        </w:rPr>
        <w:t>Les offices et le Bureau international doivent déployer collectivement des efforts afin de résoudre ce problè</w:t>
      </w:r>
      <w:r w:rsidR="00AA1806" w:rsidRPr="00961990">
        <w:rPr>
          <w:lang w:val="fr-FR"/>
        </w:rPr>
        <w:t>me.  Le</w:t>
      </w:r>
      <w:r w:rsidRPr="00961990">
        <w:rPr>
          <w:lang w:val="fr-FR"/>
        </w:rPr>
        <w:t>s principes suivants pourraient être appliqués à cet égard :</w:t>
      </w:r>
    </w:p>
    <w:p w:rsidR="00197436" w:rsidRPr="00961990" w:rsidRDefault="006E5753" w:rsidP="00855CBF">
      <w:pPr>
        <w:pStyle w:val="ONUMFS"/>
        <w:numPr>
          <w:ilvl w:val="0"/>
          <w:numId w:val="20"/>
        </w:numPr>
        <w:tabs>
          <w:tab w:val="left" w:pos="1134"/>
        </w:tabs>
        <w:ind w:left="567" w:firstLine="0"/>
        <w:rPr>
          <w:lang w:val="fr-FR"/>
        </w:rPr>
      </w:pPr>
      <w:r w:rsidRPr="00961990">
        <w:rPr>
          <w:lang w:val="fr-FR"/>
        </w:rPr>
        <w:t>reconna</w:t>
      </w:r>
      <w:r w:rsidR="00D92975" w:rsidRPr="00961990">
        <w:rPr>
          <w:lang w:val="fr-FR"/>
        </w:rPr>
        <w:t>issance du fait</w:t>
      </w:r>
      <w:r w:rsidRPr="00961990">
        <w:rPr>
          <w:lang w:val="fr-FR"/>
        </w:rPr>
        <w:t xml:space="preserve"> que le problème du classement est plus facile à régler que le problème</w:t>
      </w:r>
      <w:r w:rsidRPr="00961990">
        <w:rPr>
          <w:lang w:val="fr-FR"/>
        </w:rPr>
        <w:t xml:space="preserve"> concernant le </w:t>
      </w:r>
      <w:r w:rsidR="00D92975" w:rsidRPr="00961990">
        <w:rPr>
          <w:lang w:val="fr-FR"/>
        </w:rPr>
        <w:t>degré de précision</w:t>
      </w:r>
      <w:r w:rsidR="005F08A9" w:rsidRPr="00961990">
        <w:rPr>
          <w:lang w:val="fr-FR"/>
        </w:rPr>
        <w:t xml:space="preserve">, </w:t>
      </w:r>
      <w:r w:rsidR="00D92975" w:rsidRPr="00961990">
        <w:rPr>
          <w:lang w:val="fr-FR"/>
        </w:rPr>
        <w:t xml:space="preserve">au regard des exigences diverses selon les </w:t>
      </w:r>
      <w:r w:rsidR="00BE08A2">
        <w:rPr>
          <w:lang w:val="fr-FR"/>
        </w:rPr>
        <w:t>juridictions</w:t>
      </w:r>
      <w:r w:rsidR="005F08A9" w:rsidRPr="00961990">
        <w:rPr>
          <w:lang w:val="fr-FR"/>
        </w:rPr>
        <w:t>;</w:t>
      </w:r>
    </w:p>
    <w:p w:rsidR="00197436" w:rsidRPr="00961990" w:rsidRDefault="00D92975" w:rsidP="00855CBF">
      <w:pPr>
        <w:pStyle w:val="ONUMFS"/>
        <w:numPr>
          <w:ilvl w:val="0"/>
          <w:numId w:val="20"/>
        </w:numPr>
        <w:tabs>
          <w:tab w:val="left" w:pos="1134"/>
        </w:tabs>
        <w:ind w:left="567" w:firstLine="0"/>
        <w:rPr>
          <w:lang w:val="fr-FR"/>
        </w:rPr>
      </w:pPr>
      <w:r w:rsidRPr="00961990">
        <w:rPr>
          <w:lang w:val="fr-FR"/>
        </w:rPr>
        <w:t>engagement par les offices et le Bureau international à trouver des points communs afin de favoriser le bon fonctionnement du système de</w:t>
      </w:r>
      <w:r w:rsidR="005F08A9" w:rsidRPr="00961990">
        <w:rPr>
          <w:lang w:val="fr-FR"/>
        </w:rPr>
        <w:t xml:space="preserve"> Madrid;</w:t>
      </w:r>
    </w:p>
    <w:p w:rsidR="00197436" w:rsidRPr="00961990" w:rsidRDefault="00D92975" w:rsidP="00855CBF">
      <w:pPr>
        <w:pStyle w:val="ONUMFS"/>
        <w:numPr>
          <w:ilvl w:val="0"/>
          <w:numId w:val="20"/>
        </w:numPr>
        <w:tabs>
          <w:tab w:val="left" w:pos="1134"/>
        </w:tabs>
        <w:ind w:left="567" w:firstLine="0"/>
        <w:rPr>
          <w:lang w:val="fr-FR"/>
        </w:rPr>
      </w:pPr>
      <w:r w:rsidRPr="00961990">
        <w:rPr>
          <w:lang w:val="fr-FR"/>
        </w:rPr>
        <w:t>acceptation par tous de la liste alphabétique de la classification de Nice comme référence dans tous les cas</w:t>
      </w:r>
      <w:r w:rsidR="005F08A9" w:rsidRPr="00961990">
        <w:rPr>
          <w:lang w:val="fr-FR"/>
        </w:rPr>
        <w:t>;</w:t>
      </w:r>
    </w:p>
    <w:p w:rsidR="00197436" w:rsidRPr="00961990" w:rsidRDefault="00D92975" w:rsidP="00855CBF">
      <w:pPr>
        <w:pStyle w:val="ONUMFS"/>
        <w:numPr>
          <w:ilvl w:val="0"/>
          <w:numId w:val="20"/>
        </w:numPr>
        <w:tabs>
          <w:tab w:val="left" w:pos="1134"/>
        </w:tabs>
        <w:ind w:left="567" w:firstLine="0"/>
        <w:rPr>
          <w:lang w:val="fr-FR"/>
        </w:rPr>
      </w:pPr>
      <w:r w:rsidRPr="00961990">
        <w:rPr>
          <w:lang w:val="fr-FR"/>
        </w:rPr>
        <w:t>en l</w:t>
      </w:r>
      <w:r w:rsidR="00197436" w:rsidRPr="00961990">
        <w:rPr>
          <w:lang w:val="fr-FR"/>
        </w:rPr>
        <w:t>’</w:t>
      </w:r>
      <w:r w:rsidR="005F08A9" w:rsidRPr="00961990">
        <w:rPr>
          <w:lang w:val="fr-FR"/>
        </w:rPr>
        <w:t xml:space="preserve">absence </w:t>
      </w:r>
      <w:r w:rsidR="002C64DD" w:rsidRPr="00961990">
        <w:rPr>
          <w:lang w:val="fr-FR"/>
        </w:rPr>
        <w:t>d</w:t>
      </w:r>
      <w:r w:rsidR="00197436" w:rsidRPr="00961990">
        <w:rPr>
          <w:lang w:val="fr-FR"/>
        </w:rPr>
        <w:t>’</w:t>
      </w:r>
      <w:r w:rsidR="002C64DD" w:rsidRPr="00961990">
        <w:rPr>
          <w:lang w:val="fr-FR"/>
        </w:rPr>
        <w:t>une position sur ladite</w:t>
      </w:r>
      <w:r w:rsidR="005F08A9" w:rsidRPr="00961990">
        <w:rPr>
          <w:lang w:val="fr-FR"/>
        </w:rPr>
        <w:t xml:space="preserve"> list</w:t>
      </w:r>
      <w:r w:rsidR="002C64DD" w:rsidRPr="00961990">
        <w:rPr>
          <w:lang w:val="fr-FR"/>
        </w:rPr>
        <w:t>e</w:t>
      </w:r>
      <w:r w:rsidR="005F08A9" w:rsidRPr="00961990">
        <w:rPr>
          <w:lang w:val="fr-FR"/>
        </w:rPr>
        <w:t xml:space="preserve">, </w:t>
      </w:r>
      <w:r w:rsidR="002C64DD" w:rsidRPr="00961990">
        <w:rPr>
          <w:lang w:val="fr-FR"/>
        </w:rPr>
        <w:t>acceptation par les offices de suivre les pratiques en matière de classement du Bureau i</w:t>
      </w:r>
      <w:r w:rsidR="005F08A9" w:rsidRPr="00961990">
        <w:rPr>
          <w:lang w:val="fr-FR"/>
        </w:rPr>
        <w:t>nternational</w:t>
      </w:r>
      <w:r w:rsidR="002C64DD" w:rsidRPr="00961990">
        <w:rPr>
          <w:lang w:val="fr-FR"/>
        </w:rPr>
        <w:t>, sauf si leur législation le</w:t>
      </w:r>
      <w:r w:rsidR="002C64DD" w:rsidRPr="00961990">
        <w:rPr>
          <w:lang w:val="fr-FR"/>
        </w:rPr>
        <w:t>s en empêche</w:t>
      </w:r>
      <w:r w:rsidR="005F08A9" w:rsidRPr="00961990">
        <w:rPr>
          <w:lang w:val="fr-FR"/>
        </w:rPr>
        <w:t>;</w:t>
      </w:r>
    </w:p>
    <w:p w:rsidR="00197436" w:rsidRPr="00961990" w:rsidRDefault="005F08A9" w:rsidP="00855CBF">
      <w:pPr>
        <w:pStyle w:val="ONUMFS"/>
        <w:numPr>
          <w:ilvl w:val="0"/>
          <w:numId w:val="20"/>
        </w:numPr>
        <w:tabs>
          <w:tab w:val="left" w:pos="1134"/>
        </w:tabs>
        <w:ind w:left="567" w:firstLine="0"/>
        <w:rPr>
          <w:lang w:val="fr-FR"/>
        </w:rPr>
      </w:pPr>
      <w:r w:rsidRPr="00961990">
        <w:rPr>
          <w:lang w:val="fr-FR"/>
        </w:rPr>
        <w:t>effort</w:t>
      </w:r>
      <w:r w:rsidR="002C64DD" w:rsidRPr="00961990">
        <w:rPr>
          <w:lang w:val="fr-FR"/>
        </w:rPr>
        <w:t>s déployés par le Bureau international afin d</w:t>
      </w:r>
      <w:r w:rsidR="00197436" w:rsidRPr="00961990">
        <w:rPr>
          <w:lang w:val="fr-FR"/>
        </w:rPr>
        <w:t>’</w:t>
      </w:r>
      <w:r w:rsidR="002C64DD" w:rsidRPr="00961990">
        <w:rPr>
          <w:lang w:val="fr-FR"/>
        </w:rPr>
        <w:t xml:space="preserve">ajuster constamment ses pratiques de manière à tenir compte des dernières tendances au niveau international et à faciliter, dans la mesure du </w:t>
      </w:r>
      <w:r w:rsidRPr="00961990">
        <w:rPr>
          <w:lang w:val="fr-FR"/>
        </w:rPr>
        <w:t xml:space="preserve">possible, </w:t>
      </w:r>
      <w:r w:rsidR="002C64DD" w:rsidRPr="00961990">
        <w:rPr>
          <w:lang w:val="fr-FR"/>
        </w:rPr>
        <w:t xml:space="preserve">la conformité des offices à ces </w:t>
      </w:r>
      <w:r w:rsidRPr="00961990">
        <w:rPr>
          <w:lang w:val="fr-FR"/>
        </w:rPr>
        <w:t>prati</w:t>
      </w:r>
      <w:r w:rsidR="002C64DD" w:rsidRPr="00961990">
        <w:rPr>
          <w:lang w:val="fr-FR"/>
        </w:rPr>
        <w:t>ques</w:t>
      </w:r>
      <w:r w:rsidR="00790510" w:rsidRPr="00961990">
        <w:rPr>
          <w:lang w:val="fr-FR"/>
        </w:rPr>
        <w:t>.</w:t>
      </w:r>
    </w:p>
    <w:p w:rsidR="00197436" w:rsidRPr="00961990" w:rsidRDefault="002C64DD" w:rsidP="00855CBF">
      <w:pPr>
        <w:pStyle w:val="ONUMFS"/>
        <w:rPr>
          <w:lang w:val="fr-FR"/>
        </w:rPr>
      </w:pPr>
      <w:r w:rsidRPr="00961990">
        <w:rPr>
          <w:lang w:val="fr-FR"/>
        </w:rPr>
        <w:t>On pourrait envisager la possibilité que les offices s</w:t>
      </w:r>
      <w:r w:rsidR="00197436" w:rsidRPr="00961990">
        <w:rPr>
          <w:lang w:val="fr-FR"/>
        </w:rPr>
        <w:t>’</w:t>
      </w:r>
      <w:r w:rsidRPr="00961990">
        <w:rPr>
          <w:lang w:val="fr-FR"/>
        </w:rPr>
        <w:t xml:space="preserve">engagent expressément à suivre les pratiques du Bureau international en matière de classement </w:t>
      </w:r>
      <w:r w:rsidR="00FE703C" w:rsidRPr="00961990">
        <w:rPr>
          <w:lang w:val="fr-FR"/>
        </w:rPr>
        <w:t>dans une déclaration à cet effet, qui pourrait aussi faire l</w:t>
      </w:r>
      <w:r w:rsidR="00197436" w:rsidRPr="00961990">
        <w:rPr>
          <w:lang w:val="fr-FR"/>
        </w:rPr>
        <w:t>’</w:t>
      </w:r>
      <w:r w:rsidR="00FE703C" w:rsidRPr="00961990">
        <w:rPr>
          <w:lang w:val="fr-FR"/>
        </w:rPr>
        <w:t>objet de réserves spécifiques</w:t>
      </w:r>
      <w:r w:rsidR="00A83327" w:rsidRPr="00961990">
        <w:rPr>
          <w:lang w:val="fr-FR"/>
        </w:rPr>
        <w:t>.</w:t>
      </w:r>
    </w:p>
    <w:p w:rsidR="00197436" w:rsidRPr="00961990" w:rsidRDefault="00FE703C" w:rsidP="00855CBF">
      <w:pPr>
        <w:pStyle w:val="ONUMFS"/>
        <w:rPr>
          <w:lang w:val="fr-FR"/>
        </w:rPr>
      </w:pPr>
      <w:r w:rsidRPr="00961990">
        <w:rPr>
          <w:lang w:val="fr-FR"/>
        </w:rPr>
        <w:t>Par ailleurs, de nouveaux produits et services résultant de l</w:t>
      </w:r>
      <w:r w:rsidR="00197436" w:rsidRPr="00961990">
        <w:rPr>
          <w:lang w:val="fr-FR"/>
        </w:rPr>
        <w:t>’</w:t>
      </w:r>
      <w:r w:rsidR="005F08A9" w:rsidRPr="00961990">
        <w:rPr>
          <w:lang w:val="fr-FR"/>
        </w:rPr>
        <w:t xml:space="preserve">innovation </w:t>
      </w:r>
      <w:r w:rsidRPr="00961990">
        <w:rPr>
          <w:lang w:val="fr-FR"/>
        </w:rPr>
        <w:t>étant constamment proposés sur le marché</w:t>
      </w:r>
      <w:r w:rsidR="005F08A9" w:rsidRPr="00961990">
        <w:rPr>
          <w:lang w:val="fr-FR"/>
        </w:rPr>
        <w:t xml:space="preserve">, </w:t>
      </w:r>
      <w:r w:rsidR="00E56E0A" w:rsidRPr="00961990">
        <w:rPr>
          <w:lang w:val="fr-FR"/>
        </w:rPr>
        <w:t xml:space="preserve">un mécanisme pourrait être envisagé afin que les utilisateurs et les offices puissent proposer de nouvelles indications acceptables aux fins de leur classement et de leur </w:t>
      </w:r>
      <w:r w:rsidR="00A04293" w:rsidRPr="00961990">
        <w:rPr>
          <w:lang w:val="fr-FR"/>
        </w:rPr>
        <w:t>intégration dans les</w:t>
      </w:r>
      <w:r w:rsidR="00E56E0A" w:rsidRPr="00961990">
        <w:rPr>
          <w:lang w:val="fr-FR"/>
        </w:rPr>
        <w:t xml:space="preserve"> bas</w:t>
      </w:r>
      <w:r w:rsidR="00E56E0A" w:rsidRPr="00961990">
        <w:rPr>
          <w:lang w:val="fr-FR"/>
        </w:rPr>
        <w:t>es de d</w:t>
      </w:r>
      <w:r w:rsidR="00E56E0A" w:rsidRPr="00961990">
        <w:rPr>
          <w:lang w:val="fr-FR"/>
        </w:rPr>
        <w:t>onnées du Bureau international</w:t>
      </w:r>
      <w:r w:rsidR="005F08A9" w:rsidRPr="00961990">
        <w:rPr>
          <w:lang w:val="fr-FR"/>
        </w:rPr>
        <w:t>.</w:t>
      </w:r>
    </w:p>
    <w:p w:rsidR="00197436" w:rsidRPr="00961990" w:rsidRDefault="00E56E0A" w:rsidP="00044E59">
      <w:pPr>
        <w:pStyle w:val="ONUMFS"/>
        <w:spacing w:after="0"/>
        <w:rPr>
          <w:lang w:val="fr-FR"/>
        </w:rPr>
      </w:pPr>
      <w:r w:rsidRPr="00961990">
        <w:rPr>
          <w:lang w:val="fr-FR"/>
        </w:rPr>
        <w:t>Un accord entre les parties contractantes intéressées et le Bureau international, éventuellement sous la forme d</w:t>
      </w:r>
      <w:r w:rsidR="00197436" w:rsidRPr="00961990">
        <w:rPr>
          <w:lang w:val="fr-FR"/>
        </w:rPr>
        <w:t>’</w:t>
      </w:r>
      <w:r w:rsidRPr="00961990">
        <w:rPr>
          <w:lang w:val="fr-FR"/>
        </w:rPr>
        <w:t>un mémorandum d</w:t>
      </w:r>
      <w:r w:rsidR="00197436" w:rsidRPr="00961990">
        <w:rPr>
          <w:lang w:val="fr-FR"/>
        </w:rPr>
        <w:t>’</w:t>
      </w:r>
      <w:r w:rsidRPr="00961990">
        <w:rPr>
          <w:lang w:val="fr-FR"/>
        </w:rPr>
        <w:t>accord</w:t>
      </w:r>
      <w:r w:rsidR="005F08A9" w:rsidRPr="00961990">
        <w:rPr>
          <w:lang w:val="fr-FR"/>
        </w:rPr>
        <w:t xml:space="preserve">, </w:t>
      </w:r>
      <w:r w:rsidRPr="00961990">
        <w:rPr>
          <w:lang w:val="fr-FR"/>
        </w:rPr>
        <w:t>pourra</w:t>
      </w:r>
      <w:r w:rsidR="00052CCC" w:rsidRPr="00961990">
        <w:rPr>
          <w:lang w:val="fr-FR"/>
        </w:rPr>
        <w:t>i</w:t>
      </w:r>
      <w:r w:rsidRPr="00961990">
        <w:rPr>
          <w:lang w:val="fr-FR"/>
        </w:rPr>
        <w:t xml:space="preserve">t être nécessaire </w:t>
      </w:r>
      <w:r w:rsidR="00052CCC" w:rsidRPr="00961990">
        <w:rPr>
          <w:lang w:val="fr-FR"/>
        </w:rPr>
        <w:t>aux fins de la mise en œuvre de cette</w:t>
      </w:r>
      <w:r w:rsidR="005F08A9" w:rsidRPr="00961990">
        <w:rPr>
          <w:lang w:val="fr-FR"/>
        </w:rPr>
        <w:t xml:space="preserve"> option.</w:t>
      </w:r>
    </w:p>
    <w:p w:rsidR="00DB113E" w:rsidRPr="00961990" w:rsidRDefault="00790510" w:rsidP="00855CBF">
      <w:pPr>
        <w:pStyle w:val="Heading2"/>
        <w:rPr>
          <w:lang w:val="fr-FR"/>
        </w:rPr>
      </w:pPr>
      <w:r w:rsidRPr="00961990">
        <w:rPr>
          <w:lang w:val="fr-FR"/>
        </w:rPr>
        <w:t>Système E</w:t>
      </w:r>
      <w:r w:rsidRPr="00961990">
        <w:rPr>
          <w:lang w:val="fr-FR"/>
        </w:rPr>
        <w:noBreakHyphen/>
        <w:t>MADRID</w:t>
      </w:r>
    </w:p>
    <w:p w:rsidR="00790510" w:rsidRPr="00961990" w:rsidRDefault="00790510" w:rsidP="00855CBF">
      <w:pPr>
        <w:rPr>
          <w:lang w:val="fr-FR"/>
        </w:rPr>
      </w:pPr>
    </w:p>
    <w:p w:rsidR="00197436" w:rsidRPr="00961990" w:rsidRDefault="00052CCC" w:rsidP="00855CBF">
      <w:pPr>
        <w:pStyle w:val="ONUMFS"/>
        <w:rPr>
          <w:lang w:val="fr-FR"/>
        </w:rPr>
      </w:pPr>
      <w:r w:rsidRPr="00961990">
        <w:rPr>
          <w:lang w:val="fr-FR"/>
        </w:rPr>
        <w:t>D</w:t>
      </w:r>
      <w:r w:rsidRPr="00961990">
        <w:rPr>
          <w:lang w:val="fr-FR"/>
        </w:rPr>
        <w:t xml:space="preserve">es ressources pourraient être engagées afin de faire en sorte que les données relatives aux </w:t>
      </w:r>
      <w:r w:rsidR="005A054C">
        <w:rPr>
          <w:lang w:val="fr-FR"/>
        </w:rPr>
        <w:t>opérations</w:t>
      </w:r>
      <w:r w:rsidRPr="00961990">
        <w:rPr>
          <w:lang w:val="fr-FR"/>
        </w:rPr>
        <w:t xml:space="preserve"> effectuées dans le cadre du système de Madrid produites par le Bureau international et par les offices soient facilement accessibles aux déposants, aux titulaires</w:t>
      </w:r>
      <w:r w:rsidR="00335110">
        <w:rPr>
          <w:lang w:val="fr-FR"/>
        </w:rPr>
        <w:t>, aux offices</w:t>
      </w:r>
      <w:r w:rsidRPr="00961990">
        <w:rPr>
          <w:lang w:val="fr-FR"/>
        </w:rPr>
        <w:t xml:space="preserve"> e</w:t>
      </w:r>
      <w:r w:rsidRPr="00961990">
        <w:rPr>
          <w:lang w:val="fr-FR"/>
        </w:rPr>
        <w:t xml:space="preserve">t aux tiers de la manière la plus efficace </w:t>
      </w:r>
      <w:r w:rsidR="005F08A9" w:rsidRPr="00961990">
        <w:rPr>
          <w:lang w:val="fr-FR"/>
        </w:rPr>
        <w:t xml:space="preserve">possible, </w:t>
      </w:r>
      <w:r w:rsidRPr="00961990">
        <w:rPr>
          <w:lang w:val="fr-FR"/>
        </w:rPr>
        <w:t>sur la base de droits d</w:t>
      </w:r>
      <w:r w:rsidR="00197436" w:rsidRPr="00961990">
        <w:rPr>
          <w:lang w:val="fr-FR"/>
        </w:rPr>
        <w:t>’</w:t>
      </w:r>
      <w:r w:rsidRPr="00961990">
        <w:rPr>
          <w:lang w:val="fr-FR"/>
        </w:rPr>
        <w:t>accès rigoureusement définis</w:t>
      </w:r>
      <w:r w:rsidR="005F08A9" w:rsidRPr="00961990">
        <w:rPr>
          <w:lang w:val="fr-FR"/>
        </w:rPr>
        <w:t>.</w:t>
      </w:r>
    </w:p>
    <w:p w:rsidR="00197436" w:rsidRPr="00961990" w:rsidRDefault="00052CCC" w:rsidP="00855CBF">
      <w:pPr>
        <w:pStyle w:val="ONUMFS"/>
        <w:rPr>
          <w:lang w:val="fr-FR"/>
        </w:rPr>
      </w:pPr>
      <w:r w:rsidRPr="00961990">
        <w:rPr>
          <w:lang w:val="fr-FR"/>
        </w:rPr>
        <w:t>Le Bureau international et les offices pourraient tout mettre en œuvre pour favoriser l</w:t>
      </w:r>
      <w:r w:rsidR="00197436" w:rsidRPr="00961990">
        <w:rPr>
          <w:lang w:val="fr-FR"/>
        </w:rPr>
        <w:t>’</w:t>
      </w:r>
      <w:r w:rsidRPr="00961990">
        <w:rPr>
          <w:lang w:val="fr-FR"/>
        </w:rPr>
        <w:t xml:space="preserve">échange de données par voie électronique et sous une forme susceptible de permettre le traitement automatique dans tous les cas </w:t>
      </w:r>
      <w:r w:rsidR="005F08A9" w:rsidRPr="00961990">
        <w:rPr>
          <w:lang w:val="fr-FR"/>
        </w:rPr>
        <w:t>possibl</w:t>
      </w:r>
      <w:r w:rsidR="00AA1806" w:rsidRPr="00961990">
        <w:rPr>
          <w:lang w:val="fr-FR"/>
        </w:rPr>
        <w:t>es.  Ce</w:t>
      </w:r>
      <w:r w:rsidR="00E8092C" w:rsidRPr="00961990">
        <w:rPr>
          <w:lang w:val="fr-FR"/>
        </w:rPr>
        <w:t>la permettrait d</w:t>
      </w:r>
      <w:r w:rsidR="00197436" w:rsidRPr="00961990">
        <w:rPr>
          <w:lang w:val="fr-FR"/>
        </w:rPr>
        <w:t>’</w:t>
      </w:r>
      <w:r w:rsidR="00E8092C" w:rsidRPr="00961990">
        <w:rPr>
          <w:lang w:val="fr-FR"/>
        </w:rPr>
        <w:t>accélérer le traitement et la notification aux titulaires et aux offices</w:t>
      </w:r>
      <w:r w:rsidR="005F08A9" w:rsidRPr="00961990">
        <w:rPr>
          <w:lang w:val="fr-FR"/>
        </w:rPr>
        <w:t>.</w:t>
      </w:r>
    </w:p>
    <w:p w:rsidR="00197436" w:rsidRPr="00961990" w:rsidRDefault="00E8092C" w:rsidP="00855CBF">
      <w:pPr>
        <w:pStyle w:val="ONUMFS"/>
        <w:rPr>
          <w:lang w:val="fr-FR"/>
        </w:rPr>
      </w:pPr>
      <w:r w:rsidRPr="00961990">
        <w:rPr>
          <w:lang w:val="fr-FR"/>
        </w:rPr>
        <w:t>Enfin, des ressources pourraient être prévues afin de permettre le dépôt électronique des demandes internationales dans tous les o</w:t>
      </w:r>
      <w:r w:rsidR="005F08A9" w:rsidRPr="00961990">
        <w:rPr>
          <w:lang w:val="fr-FR"/>
        </w:rPr>
        <w:t>ffices.</w:t>
      </w:r>
    </w:p>
    <w:p w:rsidR="00197436" w:rsidRPr="00961990" w:rsidRDefault="00E8092C" w:rsidP="00855CBF">
      <w:pPr>
        <w:pStyle w:val="ONUMFS"/>
        <w:rPr>
          <w:lang w:val="fr-FR"/>
        </w:rPr>
      </w:pPr>
      <w:r w:rsidRPr="00961990">
        <w:rPr>
          <w:lang w:val="fr-FR"/>
        </w:rPr>
        <w:t>Une révision des pratiques des offices et du Bureau international, ainsi que la mise à disposition de ressources suf</w:t>
      </w:r>
      <w:r w:rsidR="005F08A9" w:rsidRPr="00961990">
        <w:rPr>
          <w:lang w:val="fr-FR"/>
        </w:rPr>
        <w:t>f</w:t>
      </w:r>
      <w:r w:rsidRPr="00961990">
        <w:rPr>
          <w:lang w:val="fr-FR"/>
        </w:rPr>
        <w:t>isantes par les parties concernées pourraient être nécessaires aux fins de la mise en œuvre de cette option</w:t>
      </w:r>
      <w:r w:rsidR="005F08A9" w:rsidRPr="00961990">
        <w:rPr>
          <w:lang w:val="fr-FR"/>
        </w:rPr>
        <w:t>.</w:t>
      </w:r>
    </w:p>
    <w:p w:rsidR="00197436" w:rsidRPr="00961990" w:rsidRDefault="00E8092C" w:rsidP="00855CBF">
      <w:pPr>
        <w:pStyle w:val="ONUMFS"/>
        <w:ind w:left="5533"/>
        <w:rPr>
          <w:i/>
          <w:lang w:val="fr-FR"/>
        </w:rPr>
      </w:pPr>
      <w:r w:rsidRPr="00961990">
        <w:rPr>
          <w:i/>
          <w:lang w:val="fr-FR"/>
        </w:rPr>
        <w:t>Le groupe de travail est invité à</w:t>
      </w:r>
    </w:p>
    <w:p w:rsidR="00197436" w:rsidRPr="00961990" w:rsidRDefault="00E8092C" w:rsidP="00D20483">
      <w:pPr>
        <w:pStyle w:val="ONUMFS"/>
        <w:numPr>
          <w:ilvl w:val="2"/>
          <w:numId w:val="6"/>
        </w:numPr>
        <w:ind w:left="6237"/>
        <w:rPr>
          <w:i/>
          <w:lang w:val="fr-FR"/>
        </w:rPr>
      </w:pPr>
      <w:r w:rsidRPr="00961990">
        <w:rPr>
          <w:i/>
          <w:lang w:val="fr-FR"/>
        </w:rPr>
        <w:t xml:space="preserve">examiner les </w:t>
      </w:r>
      <w:r w:rsidR="005F08A9" w:rsidRPr="00961990">
        <w:rPr>
          <w:i/>
          <w:lang w:val="fr-FR"/>
        </w:rPr>
        <w:t xml:space="preserve">options </w:t>
      </w:r>
      <w:r w:rsidR="00C165B6" w:rsidRPr="00961990">
        <w:rPr>
          <w:i/>
          <w:lang w:val="fr-FR"/>
        </w:rPr>
        <w:t>énoncées</w:t>
      </w:r>
      <w:r w:rsidRPr="00961990">
        <w:rPr>
          <w:i/>
          <w:lang w:val="fr-FR"/>
        </w:rPr>
        <w:t xml:space="preserve"> dans le présent document</w:t>
      </w:r>
      <w:r w:rsidR="00790510" w:rsidRPr="00961990">
        <w:rPr>
          <w:i/>
          <w:lang w:val="fr-FR"/>
        </w:rPr>
        <w:t>,</w:t>
      </w:r>
    </w:p>
    <w:p w:rsidR="00DB113E" w:rsidRPr="00961990" w:rsidRDefault="005F08A9" w:rsidP="00D20483">
      <w:pPr>
        <w:pStyle w:val="ONUMFS"/>
        <w:numPr>
          <w:ilvl w:val="2"/>
          <w:numId w:val="6"/>
        </w:numPr>
        <w:ind w:left="6237"/>
        <w:rPr>
          <w:i/>
          <w:lang w:val="fr-FR"/>
        </w:rPr>
      </w:pPr>
      <w:r w:rsidRPr="00961990">
        <w:rPr>
          <w:i/>
          <w:lang w:val="fr-FR"/>
        </w:rPr>
        <w:t>indi</w:t>
      </w:r>
      <w:r w:rsidR="00E8092C" w:rsidRPr="00961990">
        <w:rPr>
          <w:i/>
          <w:lang w:val="fr-FR"/>
        </w:rPr>
        <w:t>quer si d</w:t>
      </w:r>
      <w:r w:rsidR="00197436" w:rsidRPr="00961990">
        <w:rPr>
          <w:i/>
          <w:lang w:val="fr-FR"/>
        </w:rPr>
        <w:t>’</w:t>
      </w:r>
      <w:r w:rsidR="00E8092C" w:rsidRPr="00961990">
        <w:rPr>
          <w:i/>
          <w:lang w:val="fr-FR"/>
        </w:rPr>
        <w:t xml:space="preserve">autres options devraient être examinées ou si certaines des options </w:t>
      </w:r>
      <w:r w:rsidR="00C165B6" w:rsidRPr="00961990">
        <w:rPr>
          <w:i/>
          <w:lang w:val="fr-FR"/>
        </w:rPr>
        <w:t xml:space="preserve">énoncées dans le présent </w:t>
      </w:r>
      <w:r w:rsidRPr="00961990">
        <w:rPr>
          <w:i/>
          <w:lang w:val="fr-FR"/>
        </w:rPr>
        <w:t xml:space="preserve">document </w:t>
      </w:r>
      <w:r w:rsidR="00790510" w:rsidRPr="00961990">
        <w:rPr>
          <w:i/>
          <w:lang w:val="fr-FR"/>
        </w:rPr>
        <w:t>devraient être écartées,</w:t>
      </w:r>
      <w:r w:rsidR="00C165B6" w:rsidRPr="00961990">
        <w:rPr>
          <w:i/>
          <w:lang w:val="fr-FR"/>
        </w:rPr>
        <w:t xml:space="preserve"> et</w:t>
      </w:r>
    </w:p>
    <w:p w:rsidR="00197436" w:rsidRPr="00961990" w:rsidRDefault="005F08A9" w:rsidP="00D20483">
      <w:pPr>
        <w:pStyle w:val="ONUMFS"/>
        <w:numPr>
          <w:ilvl w:val="2"/>
          <w:numId w:val="6"/>
        </w:numPr>
        <w:ind w:left="6237"/>
        <w:rPr>
          <w:i/>
          <w:lang w:val="fr-FR"/>
        </w:rPr>
      </w:pPr>
      <w:bookmarkStart w:id="20" w:name="_GoBack"/>
      <w:bookmarkEnd w:id="20"/>
      <w:r w:rsidRPr="00961990">
        <w:rPr>
          <w:i/>
          <w:lang w:val="fr-FR"/>
        </w:rPr>
        <w:t>indi</w:t>
      </w:r>
      <w:r w:rsidR="00C165B6" w:rsidRPr="00961990">
        <w:rPr>
          <w:i/>
          <w:lang w:val="fr-FR"/>
        </w:rPr>
        <w:t>quer s</w:t>
      </w:r>
      <w:r w:rsidR="00197436" w:rsidRPr="00961990">
        <w:rPr>
          <w:i/>
          <w:lang w:val="fr-FR"/>
        </w:rPr>
        <w:t>’</w:t>
      </w:r>
      <w:r w:rsidR="00C165B6" w:rsidRPr="00961990">
        <w:rPr>
          <w:i/>
          <w:lang w:val="fr-FR"/>
        </w:rPr>
        <w:t>il recommanderait que le Bureau international analyse ces options dans des documents à examiner lors de futures sessions du groupe de travail, en précisant l</w:t>
      </w:r>
      <w:r w:rsidR="00197436" w:rsidRPr="00961990">
        <w:rPr>
          <w:i/>
          <w:lang w:val="fr-FR"/>
        </w:rPr>
        <w:t>’</w:t>
      </w:r>
      <w:r w:rsidR="00C165B6" w:rsidRPr="00961990">
        <w:rPr>
          <w:i/>
          <w:lang w:val="fr-FR"/>
        </w:rPr>
        <w:t>ordre dans lequel ces documents devraient être établis ou la priorité qu</w:t>
      </w:r>
      <w:r w:rsidR="00197436" w:rsidRPr="00961990">
        <w:rPr>
          <w:i/>
          <w:lang w:val="fr-FR"/>
        </w:rPr>
        <w:t>’</w:t>
      </w:r>
      <w:r w:rsidR="00C165B6" w:rsidRPr="00961990">
        <w:rPr>
          <w:i/>
          <w:lang w:val="fr-FR"/>
        </w:rPr>
        <w:t>il conviendrait de leur accorder.</w:t>
      </w:r>
    </w:p>
    <w:p w:rsidR="00DB113E" w:rsidRPr="00961990" w:rsidRDefault="00DB113E" w:rsidP="00855CBF">
      <w:pPr>
        <w:pStyle w:val="Endofdocument-Annex"/>
        <w:rPr>
          <w:lang w:val="fr-FR"/>
        </w:rPr>
      </w:pPr>
    </w:p>
    <w:p w:rsidR="00DB113E" w:rsidRPr="00961990" w:rsidRDefault="00DB113E" w:rsidP="00855CBF">
      <w:pPr>
        <w:pStyle w:val="Endofdocument-Annex"/>
        <w:rPr>
          <w:lang w:val="fr-FR"/>
        </w:rPr>
      </w:pPr>
    </w:p>
    <w:p w:rsidR="00DB113E" w:rsidRPr="00961990" w:rsidRDefault="00B554AF" w:rsidP="00855CBF">
      <w:pPr>
        <w:pStyle w:val="Endofdocument-Annex"/>
        <w:rPr>
          <w:lang w:val="fr-FR"/>
        </w:rPr>
      </w:pPr>
      <w:r w:rsidRPr="00961990">
        <w:rPr>
          <w:lang w:val="fr-FR"/>
        </w:rPr>
        <w:t>[</w:t>
      </w:r>
      <w:r w:rsidR="00C165B6" w:rsidRPr="00961990">
        <w:rPr>
          <w:lang w:val="fr-FR"/>
        </w:rPr>
        <w:t xml:space="preserve">Fin du </w:t>
      </w:r>
      <w:r w:rsidRPr="00961990">
        <w:rPr>
          <w:lang w:val="fr-FR"/>
        </w:rPr>
        <w:t>document]</w:t>
      </w:r>
    </w:p>
    <w:sectPr w:rsidR="00DB113E" w:rsidRPr="00961990" w:rsidSect="00044E59">
      <w:headerReference w:type="default" r:id="rId12"/>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CCC" w:rsidRDefault="00052CCC">
      <w:r>
        <w:separator/>
      </w:r>
    </w:p>
  </w:endnote>
  <w:endnote w:type="continuationSeparator" w:id="0">
    <w:p w:rsidR="00052CCC" w:rsidRDefault="00052CCC" w:rsidP="003B38C1">
      <w:r>
        <w:separator/>
      </w:r>
    </w:p>
    <w:p w:rsidR="00052CCC" w:rsidRPr="003B38C1" w:rsidRDefault="00052CCC" w:rsidP="003B38C1">
      <w:pPr>
        <w:spacing w:after="60"/>
        <w:rPr>
          <w:sz w:val="17"/>
        </w:rPr>
      </w:pPr>
      <w:r>
        <w:rPr>
          <w:sz w:val="17"/>
        </w:rPr>
        <w:t>[Endnote continued from previous page]</w:t>
      </w:r>
    </w:p>
  </w:endnote>
  <w:endnote w:type="continuationNotice" w:id="1">
    <w:p w:rsidR="00052CCC" w:rsidRPr="003B38C1" w:rsidRDefault="00052C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CCC" w:rsidRDefault="00052CCC">
      <w:r>
        <w:separator/>
      </w:r>
    </w:p>
  </w:footnote>
  <w:footnote w:type="continuationSeparator" w:id="0">
    <w:p w:rsidR="00052CCC" w:rsidRDefault="00052CCC" w:rsidP="008B60B2">
      <w:r>
        <w:separator/>
      </w:r>
    </w:p>
    <w:p w:rsidR="00052CCC" w:rsidRPr="00ED77FB" w:rsidRDefault="00052CCC" w:rsidP="008B60B2">
      <w:pPr>
        <w:spacing w:after="60"/>
        <w:rPr>
          <w:sz w:val="17"/>
          <w:szCs w:val="17"/>
        </w:rPr>
      </w:pPr>
      <w:r w:rsidRPr="00ED77FB">
        <w:rPr>
          <w:sz w:val="17"/>
          <w:szCs w:val="17"/>
        </w:rPr>
        <w:t>[Footnote continued from previous page]</w:t>
      </w:r>
    </w:p>
  </w:footnote>
  <w:footnote w:type="continuationNotice" w:id="1">
    <w:p w:rsidR="00052CCC" w:rsidRPr="00ED77FB" w:rsidRDefault="00052CCC" w:rsidP="008B60B2">
      <w:pPr>
        <w:spacing w:before="60"/>
        <w:jc w:val="right"/>
        <w:rPr>
          <w:sz w:val="17"/>
          <w:szCs w:val="17"/>
        </w:rPr>
      </w:pPr>
      <w:r w:rsidRPr="00ED77FB">
        <w:rPr>
          <w:sz w:val="17"/>
          <w:szCs w:val="17"/>
        </w:rPr>
        <w:t>[Footnote continued on next page]</w:t>
      </w:r>
    </w:p>
  </w:footnote>
  <w:footnote w:id="2">
    <w:p w:rsidR="00052CCC" w:rsidRPr="00790510" w:rsidRDefault="00052CCC" w:rsidP="00855CBF">
      <w:pPr>
        <w:pStyle w:val="FootnoteText"/>
        <w:rPr>
          <w:lang w:val="fr-FR"/>
        </w:rPr>
      </w:pPr>
      <w:r w:rsidRPr="00790510">
        <w:rPr>
          <w:rStyle w:val="FootnoteReference"/>
          <w:lang w:val="fr-FR"/>
        </w:rPr>
        <w:footnoteRef/>
      </w:r>
      <w:r w:rsidRPr="00790510">
        <w:rPr>
          <w:lang w:val="fr-FR"/>
        </w:rPr>
        <w:t xml:space="preserve"> </w:t>
      </w:r>
      <w:r w:rsidRPr="00790510">
        <w:rPr>
          <w:lang w:val="fr-FR"/>
        </w:rPr>
        <w:tab/>
        <w:t xml:space="preserve">Publication </w:t>
      </w:r>
      <w:r w:rsidR="00B53196" w:rsidRPr="00790510">
        <w:rPr>
          <w:lang w:val="fr-FR"/>
        </w:rPr>
        <w:t>n° </w:t>
      </w:r>
      <w:r w:rsidRPr="00790510">
        <w:rPr>
          <w:lang w:val="fr-FR"/>
        </w:rPr>
        <w:t>940E/15 de l</w:t>
      </w:r>
      <w:r w:rsidR="00AA1806" w:rsidRPr="00790510">
        <w:rPr>
          <w:lang w:val="fr-FR"/>
        </w:rPr>
        <w:t>’</w:t>
      </w:r>
      <w:r w:rsidRPr="00790510">
        <w:rPr>
          <w:lang w:val="fr-FR"/>
        </w:rPr>
        <w:t xml:space="preserve">OMPI, </w:t>
      </w:r>
      <w:r w:rsidRPr="00790510">
        <w:rPr>
          <w:i/>
          <w:lang w:val="fr-FR"/>
        </w:rPr>
        <w:t>Revue annuelle du système de Madrid 2015</w:t>
      </w:r>
      <w:r w:rsidRPr="00790510">
        <w:rPr>
          <w:lang w:val="fr-FR"/>
        </w:rPr>
        <w:t>, page</w:t>
      </w:r>
      <w:r w:rsidR="00B53196" w:rsidRPr="00790510">
        <w:rPr>
          <w:lang w:val="fr-FR"/>
        </w:rPr>
        <w:t> </w:t>
      </w:r>
      <w:r w:rsidRPr="00790510">
        <w:rPr>
          <w:lang w:val="fr-FR"/>
        </w:rPr>
        <w:t>16, disponible à l</w:t>
      </w:r>
      <w:r w:rsidR="00AA1806" w:rsidRPr="00790510">
        <w:rPr>
          <w:lang w:val="fr-FR"/>
        </w:rPr>
        <w:t>’</w:t>
      </w:r>
      <w:r w:rsidRPr="00790510">
        <w:rPr>
          <w:lang w:val="fr-FR"/>
        </w:rPr>
        <w:t>adresse www.wipo.int/publications/fr/details.jsp?id=3918.</w:t>
      </w:r>
    </w:p>
  </w:footnote>
  <w:footnote w:id="3">
    <w:p w:rsidR="00052CCC" w:rsidRPr="00790510" w:rsidRDefault="00052CCC" w:rsidP="00855CBF">
      <w:pPr>
        <w:pStyle w:val="FootnoteText"/>
        <w:rPr>
          <w:lang w:val="fr-FR"/>
        </w:rPr>
      </w:pPr>
      <w:r w:rsidRPr="00790510">
        <w:rPr>
          <w:rStyle w:val="FootnoteReference"/>
          <w:lang w:val="fr-FR"/>
        </w:rPr>
        <w:footnoteRef/>
      </w:r>
      <w:r w:rsidRPr="00790510">
        <w:rPr>
          <w:lang w:val="fr-FR"/>
        </w:rPr>
        <w:t xml:space="preserve"> </w:t>
      </w:r>
      <w:r w:rsidRPr="00790510">
        <w:rPr>
          <w:lang w:val="fr-FR"/>
        </w:rPr>
        <w:tab/>
        <w:t>Bahreïn et Oman sont déjà</w:t>
      </w:r>
      <w:r w:rsidR="00CC6FBC" w:rsidRPr="00790510">
        <w:rPr>
          <w:lang w:val="fr-FR"/>
        </w:rPr>
        <w:t xml:space="preserve"> membres du système de Madrid.</w:t>
      </w:r>
    </w:p>
  </w:footnote>
  <w:footnote w:id="4">
    <w:p w:rsidR="00052CCC" w:rsidRPr="00C95A44" w:rsidRDefault="00052CCC" w:rsidP="00855CBF">
      <w:pPr>
        <w:pStyle w:val="FootnoteText"/>
        <w:rPr>
          <w:rPrChange w:id="4" w:author="DOUAY Marie-Laure" w:date="2016-05-17T16:32:00Z">
            <w:rPr>
              <w:lang w:val="fr-FR"/>
            </w:rPr>
          </w:rPrChange>
        </w:rPr>
      </w:pPr>
      <w:r w:rsidRPr="00790510">
        <w:rPr>
          <w:rStyle w:val="FootnoteReference"/>
          <w:lang w:val="fr-FR"/>
        </w:rPr>
        <w:footnoteRef/>
      </w:r>
      <w:r w:rsidRPr="00C95A44">
        <w:rPr>
          <w:rPrChange w:id="5" w:author="DOUAY Marie-Laure" w:date="2016-05-17T16:32:00Z">
            <w:rPr>
              <w:lang w:val="fr-FR"/>
            </w:rPr>
          </w:rPrChange>
        </w:rPr>
        <w:t xml:space="preserve"> </w:t>
      </w:r>
      <w:r w:rsidRPr="00C95A44">
        <w:rPr>
          <w:rPrChange w:id="6" w:author="DOUAY Marie-Laure" w:date="2016-05-17T16:32:00Z">
            <w:rPr>
              <w:lang w:val="fr-FR"/>
            </w:rPr>
          </w:rPrChange>
        </w:rPr>
        <w:tab/>
      </w:r>
      <w:proofErr w:type="spellStart"/>
      <w:r w:rsidRPr="00C95A44">
        <w:rPr>
          <w:rPrChange w:id="7" w:author="DOUAY Marie-Laure" w:date="2016-05-17T16:32:00Z">
            <w:rPr>
              <w:lang w:val="fr-FR"/>
            </w:rPr>
          </w:rPrChange>
        </w:rPr>
        <w:t>Voir</w:t>
      </w:r>
      <w:proofErr w:type="spellEnd"/>
      <w:r w:rsidRPr="00C95A44">
        <w:rPr>
          <w:rPrChange w:id="8" w:author="DOUAY Marie-Laure" w:date="2016-05-17T16:32:00Z">
            <w:rPr>
              <w:lang w:val="fr-FR"/>
            </w:rPr>
          </w:rPrChange>
        </w:rPr>
        <w:t xml:space="preserve"> le </w:t>
      </w:r>
      <w:r w:rsidR="00AA1806" w:rsidRPr="00C95A44">
        <w:rPr>
          <w:rPrChange w:id="9" w:author="DOUAY Marie-Laure" w:date="2016-05-17T16:32:00Z">
            <w:rPr>
              <w:lang w:val="fr-FR"/>
            </w:rPr>
          </w:rPrChange>
        </w:rPr>
        <w:t>document MM</w:t>
      </w:r>
      <w:r w:rsidRPr="00C95A44">
        <w:rPr>
          <w:rPrChange w:id="10" w:author="DOUAY Marie-Laure" w:date="2016-05-17T16:32:00Z">
            <w:rPr>
              <w:lang w:val="fr-FR"/>
            </w:rPr>
          </w:rPrChange>
        </w:rPr>
        <w:t xml:space="preserve">/LD/WG/13/RT/PPT3, “Can Marks in Different Scripts be </w:t>
      </w:r>
      <w:proofErr w:type="gramStart"/>
      <w:r w:rsidRPr="00C95A44">
        <w:rPr>
          <w:rPrChange w:id="11" w:author="DOUAY Marie-Laure" w:date="2016-05-17T16:32:00Z">
            <w:rPr>
              <w:lang w:val="fr-FR"/>
            </w:rPr>
          </w:rPrChange>
        </w:rPr>
        <w:t>Considered</w:t>
      </w:r>
      <w:proofErr w:type="gramEnd"/>
      <w:r w:rsidRPr="00C95A44">
        <w:rPr>
          <w:rPrChange w:id="12" w:author="DOUAY Marie-Laure" w:date="2016-05-17T16:32:00Z">
            <w:rPr>
              <w:lang w:val="fr-FR"/>
            </w:rPr>
          </w:rPrChange>
        </w:rPr>
        <w:t xml:space="preserve"> as the Same Mark for Certification Purposes?” </w:t>
      </w:r>
      <w:proofErr w:type="spellStart"/>
      <w:r w:rsidRPr="00C95A44">
        <w:rPr>
          <w:rPrChange w:id="13" w:author="DOUAY Marie-Laure" w:date="2016-05-17T16:32:00Z">
            <w:rPr>
              <w:lang w:val="fr-FR"/>
            </w:rPr>
          </w:rPrChange>
        </w:rPr>
        <w:t>disponible</w:t>
      </w:r>
      <w:proofErr w:type="spellEnd"/>
      <w:r w:rsidRPr="00C95A44">
        <w:rPr>
          <w:rPrChange w:id="14" w:author="DOUAY Marie-Laure" w:date="2016-05-17T16:32:00Z">
            <w:rPr>
              <w:lang w:val="fr-FR"/>
            </w:rPr>
          </w:rPrChange>
        </w:rPr>
        <w:t xml:space="preserve"> à </w:t>
      </w:r>
      <w:proofErr w:type="spellStart"/>
      <w:r w:rsidRPr="00C95A44">
        <w:rPr>
          <w:rPrChange w:id="15" w:author="DOUAY Marie-Laure" w:date="2016-05-17T16:32:00Z">
            <w:rPr>
              <w:lang w:val="fr-FR"/>
            </w:rPr>
          </w:rPrChange>
        </w:rPr>
        <w:t>l</w:t>
      </w:r>
      <w:r w:rsidR="00AA1806" w:rsidRPr="00C95A44">
        <w:rPr>
          <w:rPrChange w:id="16" w:author="DOUAY Marie-Laure" w:date="2016-05-17T16:32:00Z">
            <w:rPr>
              <w:lang w:val="fr-FR"/>
            </w:rPr>
          </w:rPrChange>
        </w:rPr>
        <w:t>’</w:t>
      </w:r>
      <w:r w:rsidRPr="00C95A44">
        <w:rPr>
          <w:rPrChange w:id="17" w:author="DOUAY Marie-Laure" w:date="2016-05-17T16:32:00Z">
            <w:rPr>
              <w:lang w:val="fr-FR"/>
            </w:rPr>
          </w:rPrChange>
        </w:rPr>
        <w:t>adresse</w:t>
      </w:r>
      <w:proofErr w:type="spellEnd"/>
      <w:r w:rsidRPr="00C95A44">
        <w:rPr>
          <w:rPrChange w:id="18" w:author="DOUAY Marie-Laure" w:date="2016-05-17T16:32:00Z">
            <w:rPr>
              <w:lang w:val="fr-FR"/>
            </w:rPr>
          </w:rPrChange>
        </w:rPr>
        <w:t xml:space="preserve"> www.wipo.int/meetings/fr/details.jsp?meeting_id=37742</w:t>
      </w:r>
      <w:r w:rsidRPr="00C95A44">
        <w:rPr>
          <w:rStyle w:val="Hyperlink"/>
          <w:u w:val="none"/>
          <w:rPrChange w:id="19" w:author="DOUAY Marie-Laure" w:date="2016-05-17T16:32:00Z">
            <w:rPr>
              <w:rStyle w:val="Hyperlink"/>
              <w:u w:val="none"/>
              <w:lang w:val="fr-FR"/>
            </w:rPr>
          </w:rPrChange>
        </w:rPr>
        <w:t>.</w:t>
      </w:r>
    </w:p>
  </w:footnote>
  <w:footnote w:id="5">
    <w:p w:rsidR="00052CCC" w:rsidRPr="00790510" w:rsidRDefault="00052CCC" w:rsidP="00855CBF">
      <w:pPr>
        <w:pStyle w:val="FootnoteText"/>
        <w:rPr>
          <w:lang w:val="fr-FR"/>
        </w:rPr>
      </w:pPr>
      <w:r w:rsidRPr="00790510">
        <w:rPr>
          <w:rStyle w:val="FootnoteReference"/>
          <w:lang w:val="fr-FR"/>
        </w:rPr>
        <w:footnoteRef/>
      </w:r>
      <w:r w:rsidRPr="00790510">
        <w:rPr>
          <w:lang w:val="fr-FR"/>
        </w:rPr>
        <w:t xml:space="preserve"> </w:t>
      </w:r>
      <w:r w:rsidRPr="00790510">
        <w:rPr>
          <w:lang w:val="fr-FR"/>
        </w:rPr>
        <w:tab/>
        <w:t>Voir le document MM/LD/WG/14/2, “Propositions de modification du règlement d</w:t>
      </w:r>
      <w:r w:rsidR="00AA1806" w:rsidRPr="00790510">
        <w:rPr>
          <w:lang w:val="fr-FR"/>
        </w:rPr>
        <w:t>’</w:t>
      </w:r>
      <w:r w:rsidRPr="00790510">
        <w:rPr>
          <w:lang w:val="fr-FR"/>
        </w:rPr>
        <w:t>exécution commun à l</w:t>
      </w:r>
      <w:r w:rsidR="00AA1806" w:rsidRPr="00790510">
        <w:rPr>
          <w:lang w:val="fr-FR"/>
        </w:rPr>
        <w:t>’</w:t>
      </w:r>
      <w:r w:rsidRPr="00790510">
        <w:rPr>
          <w:lang w:val="fr-FR"/>
        </w:rPr>
        <w:t>Arrangement de Madrid concernant l</w:t>
      </w:r>
      <w:r w:rsidR="00AA1806" w:rsidRPr="00790510">
        <w:rPr>
          <w:lang w:val="fr-FR"/>
        </w:rPr>
        <w:t>’</w:t>
      </w:r>
      <w:r w:rsidRPr="00790510">
        <w:rPr>
          <w:lang w:val="fr-FR"/>
        </w:rPr>
        <w:t>enregistrement international des marques et au Protocole relatif à cet Arrangement</w:t>
      </w:r>
      <w:r w:rsidR="00790510">
        <w:rPr>
          <w:lang w:val="fr-FR"/>
        </w:rPr>
        <w:t>”.</w:t>
      </w:r>
    </w:p>
  </w:footnote>
  <w:footnote w:id="6">
    <w:p w:rsidR="00052CCC" w:rsidRPr="00790510" w:rsidRDefault="00052CCC" w:rsidP="00855CBF">
      <w:pPr>
        <w:pStyle w:val="FootnoteText"/>
        <w:rPr>
          <w:lang w:val="fr-FR"/>
        </w:rPr>
      </w:pPr>
      <w:r w:rsidRPr="00790510">
        <w:rPr>
          <w:rStyle w:val="FootnoteReference"/>
          <w:lang w:val="fr-FR"/>
        </w:rPr>
        <w:footnoteRef/>
      </w:r>
      <w:r w:rsidRPr="00790510">
        <w:rPr>
          <w:lang w:val="fr-FR"/>
        </w:rPr>
        <w:t xml:space="preserve"> </w:t>
      </w:r>
      <w:r w:rsidRPr="00790510">
        <w:rPr>
          <w:lang w:val="fr-FR"/>
        </w:rPr>
        <w:tab/>
        <w:t>Voir le document MM/LD/WG/14/3, “Proposition relative à l</w:t>
      </w:r>
      <w:r w:rsidR="00AA1806" w:rsidRPr="00790510">
        <w:rPr>
          <w:lang w:val="fr-FR"/>
        </w:rPr>
        <w:t>’</w:t>
      </w:r>
      <w:r w:rsidRPr="00790510">
        <w:rPr>
          <w:lang w:val="fr-FR"/>
        </w:rPr>
        <w:t>introduction de l</w:t>
      </w:r>
      <w:r w:rsidR="00AA1806" w:rsidRPr="00790510">
        <w:rPr>
          <w:lang w:val="fr-FR"/>
        </w:rPr>
        <w:t>’</w:t>
      </w:r>
      <w:r w:rsidRPr="00790510">
        <w:rPr>
          <w:lang w:val="fr-FR"/>
        </w:rPr>
        <w:t>inscription de la division et de la fusion concernant un enregistrement international”.</w:t>
      </w:r>
    </w:p>
  </w:footnote>
  <w:footnote w:id="7">
    <w:p w:rsidR="00052CCC" w:rsidRPr="00790510" w:rsidRDefault="00052CCC" w:rsidP="00855CBF">
      <w:pPr>
        <w:pStyle w:val="FootnoteText"/>
        <w:rPr>
          <w:lang w:val="fr-FR"/>
        </w:rPr>
      </w:pPr>
      <w:r w:rsidRPr="00790510">
        <w:rPr>
          <w:rStyle w:val="FootnoteReference"/>
          <w:lang w:val="fr-FR"/>
        </w:rPr>
        <w:footnoteRef/>
      </w:r>
      <w:r w:rsidRPr="00790510">
        <w:rPr>
          <w:lang w:val="fr-FR"/>
        </w:rPr>
        <w:t xml:space="preserve"> </w:t>
      </w:r>
      <w:r w:rsidRPr="00790510">
        <w:rPr>
          <w:lang w:val="fr-FR"/>
        </w:rPr>
        <w:tab/>
        <w:t xml:space="preserve">Voir le document MM/LD/WG/12/RT/P2_ROENNING, “Information on </w:t>
      </w:r>
      <w:proofErr w:type="spellStart"/>
      <w:r w:rsidRPr="00790510">
        <w:rPr>
          <w:lang w:val="fr-FR"/>
        </w:rPr>
        <w:t>Provisional</w:t>
      </w:r>
      <w:proofErr w:type="spellEnd"/>
      <w:r w:rsidRPr="00790510">
        <w:rPr>
          <w:lang w:val="fr-FR"/>
        </w:rPr>
        <w:t xml:space="preserve"> </w:t>
      </w:r>
      <w:proofErr w:type="spellStart"/>
      <w:r w:rsidRPr="00790510">
        <w:rPr>
          <w:lang w:val="fr-FR"/>
        </w:rPr>
        <w:t>Refusals</w:t>
      </w:r>
      <w:proofErr w:type="spellEnd"/>
      <w:r w:rsidRPr="00790510">
        <w:rPr>
          <w:lang w:val="fr-FR"/>
        </w:rPr>
        <w:t>”, disponible à l</w:t>
      </w:r>
      <w:r w:rsidR="00AA1806" w:rsidRPr="00790510">
        <w:rPr>
          <w:lang w:val="fr-FR"/>
        </w:rPr>
        <w:t>’</w:t>
      </w:r>
      <w:r w:rsidRPr="00790510">
        <w:rPr>
          <w:lang w:val="fr-FR"/>
        </w:rPr>
        <w:t>adresse www.wipo.int/meetings/fr</w:t>
      </w:r>
      <w:r w:rsidR="00790510">
        <w:rPr>
          <w:lang w:val="fr-FR"/>
        </w:rPr>
        <w:t>/details.jsp?meeting_id=33964.</w:t>
      </w:r>
    </w:p>
  </w:footnote>
  <w:footnote w:id="8">
    <w:p w:rsidR="00052CCC" w:rsidRPr="00790510" w:rsidRDefault="00052CCC" w:rsidP="00855CBF">
      <w:pPr>
        <w:pStyle w:val="FootnoteText"/>
        <w:rPr>
          <w:lang w:val="fr-FR"/>
        </w:rPr>
      </w:pPr>
      <w:r w:rsidRPr="00790510">
        <w:rPr>
          <w:rStyle w:val="FootnoteReference"/>
          <w:lang w:val="fr-FR"/>
        </w:rPr>
        <w:footnoteRef/>
      </w:r>
      <w:r w:rsidRPr="00790510">
        <w:rPr>
          <w:lang w:val="fr-FR"/>
        </w:rPr>
        <w:t xml:space="preserve"> </w:t>
      </w:r>
      <w:r w:rsidRPr="00790510">
        <w:rPr>
          <w:lang w:val="fr-FR"/>
        </w:rPr>
        <w:tab/>
        <w:t>Le Bureau international procède déjà à la publication d</w:t>
      </w:r>
      <w:r w:rsidR="00AA1806" w:rsidRPr="00790510">
        <w:rPr>
          <w:lang w:val="fr-FR"/>
        </w:rPr>
        <w:t>’</w:t>
      </w:r>
      <w:r w:rsidRPr="00790510">
        <w:rPr>
          <w:lang w:val="fr-FR"/>
        </w:rPr>
        <w:t>informations sur les délais moyens d</w:t>
      </w:r>
      <w:r w:rsidR="00AA1806" w:rsidRPr="00790510">
        <w:rPr>
          <w:lang w:val="fr-FR"/>
        </w:rPr>
        <w:t>’</w:t>
      </w:r>
      <w:r w:rsidRPr="00790510">
        <w:rPr>
          <w:lang w:val="fr-FR"/>
        </w:rPr>
        <w:t>instruction des op</w:t>
      </w:r>
      <w:r w:rsidR="00C165B6" w:rsidRPr="00790510">
        <w:rPr>
          <w:lang w:val="fr-FR"/>
        </w:rPr>
        <w:t>érations effectuées dan</w:t>
      </w:r>
      <w:r w:rsidRPr="00790510">
        <w:rPr>
          <w:lang w:val="fr-FR"/>
        </w:rPr>
        <w:t>s</w:t>
      </w:r>
      <w:r w:rsidR="00C165B6" w:rsidRPr="00790510">
        <w:rPr>
          <w:lang w:val="fr-FR"/>
        </w:rPr>
        <w:t xml:space="preserve"> </w:t>
      </w:r>
      <w:r w:rsidRPr="00790510">
        <w:rPr>
          <w:lang w:val="fr-FR"/>
        </w:rPr>
        <w:t>le cadre du système de Madrid.  Par exemple, les délais d</w:t>
      </w:r>
      <w:r w:rsidR="00AA1806" w:rsidRPr="00790510">
        <w:rPr>
          <w:lang w:val="fr-FR"/>
        </w:rPr>
        <w:t>’</w:t>
      </w:r>
      <w:r w:rsidRPr="00790510">
        <w:rPr>
          <w:lang w:val="fr-FR"/>
        </w:rPr>
        <w:t>instruction au 29 février 2016 peuvent être consultés à l</w:t>
      </w:r>
      <w:r w:rsidR="00AA1806" w:rsidRPr="00790510">
        <w:rPr>
          <w:lang w:val="fr-FR"/>
        </w:rPr>
        <w:t>’</w:t>
      </w:r>
      <w:r w:rsidRPr="00790510">
        <w:rPr>
          <w:lang w:val="fr-FR"/>
        </w:rPr>
        <w:t>adresse www.wipo.int/madrid/fr</w:t>
      </w:r>
      <w:r w:rsidR="00790510">
        <w:rPr>
          <w:lang w:val="fr-FR"/>
        </w:rPr>
        <w:t>/news/2015/news_0012.html.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CCC" w:rsidRDefault="00052CCC" w:rsidP="00477D6B">
    <w:pPr>
      <w:jc w:val="right"/>
    </w:pPr>
    <w:bookmarkStart w:id="21" w:name="Code2"/>
    <w:bookmarkEnd w:id="21"/>
    <w:r>
      <w:t>MM/LD/WG/14/4</w:t>
    </w:r>
  </w:p>
  <w:p w:rsidR="00052CCC" w:rsidRDefault="00052CCC" w:rsidP="00477D6B">
    <w:pPr>
      <w:jc w:val="right"/>
    </w:pPr>
    <w:proofErr w:type="gramStart"/>
    <w:r>
      <w:t>page</w:t>
    </w:r>
    <w:proofErr w:type="gramEnd"/>
    <w:r w:rsidR="008A7BB2">
      <w:t> </w:t>
    </w:r>
    <w:r>
      <w:fldChar w:fldCharType="begin"/>
    </w:r>
    <w:r>
      <w:instrText xml:space="preserve"> PAGE  \* MERGEFORMAT </w:instrText>
    </w:r>
    <w:r>
      <w:fldChar w:fldCharType="separate"/>
    </w:r>
    <w:r w:rsidR="003F7B8F">
      <w:rPr>
        <w:noProof/>
      </w:rPr>
      <w:t>14</w:t>
    </w:r>
    <w:r>
      <w:fldChar w:fldCharType="end"/>
    </w:r>
  </w:p>
  <w:p w:rsidR="00052CCC" w:rsidRDefault="00052CC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BD449F"/>
    <w:multiLevelType w:val="hybridMultilevel"/>
    <w:tmpl w:val="B45806F0"/>
    <w:lvl w:ilvl="0" w:tplc="EF7885A4">
      <w:start w:val="2"/>
      <w:numFmt w:val="bullet"/>
      <w:lvlText w:val="̶"/>
      <w:lvlJc w:val="left"/>
      <w:pPr>
        <w:ind w:left="1440" w:hanging="360"/>
      </w:pPr>
      <w:rPr>
        <w:rFonts w:ascii="Arial" w:eastAsiaTheme="minorHAnsi" w:hAnsi="Arial" w:hint="default"/>
      </w:rPr>
    </w:lvl>
    <w:lvl w:ilvl="1" w:tplc="04090003">
      <w:start w:val="1"/>
      <w:numFmt w:val="bullet"/>
      <w:lvlText w:val="o"/>
      <w:lvlJc w:val="left"/>
      <w:pPr>
        <w:ind w:left="2160" w:hanging="360"/>
      </w:pPr>
      <w:rPr>
        <w:rFonts w:ascii="Courier New" w:hAnsi="Courier New" w:cs="Courier New" w:hint="default"/>
      </w:rPr>
    </w:lvl>
    <w:lvl w:ilvl="2" w:tplc="604EE6B2">
      <w:start w:val="2"/>
      <w:numFmt w:val="bullet"/>
      <w:lvlText w:val="-"/>
      <w:lvlJc w:val="left"/>
      <w:pPr>
        <w:ind w:left="2880" w:hanging="360"/>
      </w:pPr>
      <w:rPr>
        <w:rFonts w:ascii="Arial" w:eastAsiaTheme="minorHAnsi"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A567D06"/>
    <w:multiLevelType w:val="hybridMultilevel"/>
    <w:tmpl w:val="F1B2F4D4"/>
    <w:lvl w:ilvl="0" w:tplc="C10EC6C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990EB4"/>
    <w:multiLevelType w:val="hybridMultilevel"/>
    <w:tmpl w:val="DCD4754E"/>
    <w:lvl w:ilvl="0" w:tplc="C61C9C7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C35BD"/>
    <w:multiLevelType w:val="hybridMultilevel"/>
    <w:tmpl w:val="A51E01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ED0837"/>
    <w:multiLevelType w:val="hybridMultilevel"/>
    <w:tmpl w:val="159A0EF6"/>
    <w:lvl w:ilvl="0" w:tplc="744E4B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32506A9"/>
    <w:multiLevelType w:val="hybridMultilevel"/>
    <w:tmpl w:val="70D29806"/>
    <w:lvl w:ilvl="0" w:tplc="BE9CE64C">
      <w:start w:val="1"/>
      <w:numFmt w:val="lowerRoman"/>
      <w:lvlText w:val="(%1)"/>
      <w:lvlJc w:val="left"/>
      <w:pPr>
        <w:ind w:left="6313" w:hanging="720"/>
      </w:pPr>
      <w:rPr>
        <w:rFonts w:hint="default"/>
      </w:rPr>
    </w:lvl>
    <w:lvl w:ilvl="1" w:tplc="04090019" w:tentative="1">
      <w:start w:val="1"/>
      <w:numFmt w:val="lowerLetter"/>
      <w:lvlText w:val="%2."/>
      <w:lvlJc w:val="left"/>
      <w:pPr>
        <w:ind w:left="6673" w:hanging="360"/>
      </w:pPr>
    </w:lvl>
    <w:lvl w:ilvl="2" w:tplc="0409001B" w:tentative="1">
      <w:start w:val="1"/>
      <w:numFmt w:val="lowerRoman"/>
      <w:lvlText w:val="%3."/>
      <w:lvlJc w:val="right"/>
      <w:pPr>
        <w:ind w:left="7393" w:hanging="180"/>
      </w:pPr>
    </w:lvl>
    <w:lvl w:ilvl="3" w:tplc="0409000F" w:tentative="1">
      <w:start w:val="1"/>
      <w:numFmt w:val="decimal"/>
      <w:lvlText w:val="%4."/>
      <w:lvlJc w:val="left"/>
      <w:pPr>
        <w:ind w:left="8113" w:hanging="360"/>
      </w:pPr>
    </w:lvl>
    <w:lvl w:ilvl="4" w:tplc="04090019" w:tentative="1">
      <w:start w:val="1"/>
      <w:numFmt w:val="lowerLetter"/>
      <w:lvlText w:val="%5."/>
      <w:lvlJc w:val="left"/>
      <w:pPr>
        <w:ind w:left="8833" w:hanging="360"/>
      </w:pPr>
    </w:lvl>
    <w:lvl w:ilvl="5" w:tplc="0409001B" w:tentative="1">
      <w:start w:val="1"/>
      <w:numFmt w:val="lowerRoman"/>
      <w:lvlText w:val="%6."/>
      <w:lvlJc w:val="right"/>
      <w:pPr>
        <w:ind w:left="9553" w:hanging="180"/>
      </w:pPr>
    </w:lvl>
    <w:lvl w:ilvl="6" w:tplc="0409000F" w:tentative="1">
      <w:start w:val="1"/>
      <w:numFmt w:val="decimal"/>
      <w:lvlText w:val="%7."/>
      <w:lvlJc w:val="left"/>
      <w:pPr>
        <w:ind w:left="10273" w:hanging="360"/>
      </w:pPr>
    </w:lvl>
    <w:lvl w:ilvl="7" w:tplc="04090019" w:tentative="1">
      <w:start w:val="1"/>
      <w:numFmt w:val="lowerLetter"/>
      <w:lvlText w:val="%8."/>
      <w:lvlJc w:val="left"/>
      <w:pPr>
        <w:ind w:left="10993" w:hanging="360"/>
      </w:pPr>
    </w:lvl>
    <w:lvl w:ilvl="8" w:tplc="0409001B" w:tentative="1">
      <w:start w:val="1"/>
      <w:numFmt w:val="lowerRoman"/>
      <w:lvlText w:val="%9."/>
      <w:lvlJc w:val="right"/>
      <w:pPr>
        <w:ind w:left="11713" w:hanging="180"/>
      </w:pPr>
    </w:lvl>
  </w:abstractNum>
  <w:abstractNum w:abstractNumId="10">
    <w:nsid w:val="26997A8B"/>
    <w:multiLevelType w:val="hybridMultilevel"/>
    <w:tmpl w:val="FDE4C88A"/>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1D19B6"/>
    <w:multiLevelType w:val="hybridMultilevel"/>
    <w:tmpl w:val="45041172"/>
    <w:lvl w:ilvl="0" w:tplc="13062E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092A7A"/>
    <w:multiLevelType w:val="hybridMultilevel"/>
    <w:tmpl w:val="F1DADFA6"/>
    <w:lvl w:ilvl="0" w:tplc="391E8A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855827"/>
    <w:multiLevelType w:val="hybridMultilevel"/>
    <w:tmpl w:val="11CE7C0A"/>
    <w:lvl w:ilvl="0" w:tplc="13062E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EE6BCE"/>
    <w:multiLevelType w:val="hybridMultilevel"/>
    <w:tmpl w:val="2DE8A3EC"/>
    <w:lvl w:ilvl="0" w:tplc="EF7885A4">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2F2139"/>
    <w:multiLevelType w:val="hybridMultilevel"/>
    <w:tmpl w:val="6D361654"/>
    <w:lvl w:ilvl="0" w:tplc="13062E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85604D"/>
    <w:multiLevelType w:val="hybridMultilevel"/>
    <w:tmpl w:val="F1DADFA6"/>
    <w:lvl w:ilvl="0" w:tplc="391E8A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B02CB8"/>
    <w:multiLevelType w:val="hybridMultilevel"/>
    <w:tmpl w:val="AF0AB278"/>
    <w:lvl w:ilvl="0" w:tplc="13062E2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0"/>
  </w:num>
  <w:num w:numId="4">
    <w:abstractNumId w:val="14"/>
  </w:num>
  <w:num w:numId="5">
    <w:abstractNumId w:val="1"/>
  </w:num>
  <w:num w:numId="6">
    <w:abstractNumId w:val="8"/>
  </w:num>
  <w:num w:numId="7">
    <w:abstractNumId w:val="4"/>
  </w:num>
  <w:num w:numId="8">
    <w:abstractNumId w:val="5"/>
  </w:num>
  <w:num w:numId="9">
    <w:abstractNumId w:val="6"/>
  </w:num>
  <w:num w:numId="10">
    <w:abstractNumId w:val="12"/>
  </w:num>
  <w:num w:numId="11">
    <w:abstractNumId w:val="7"/>
  </w:num>
  <w:num w:numId="12">
    <w:abstractNumId w:val="18"/>
  </w:num>
  <w:num w:numId="13">
    <w:abstractNumId w:val="10"/>
  </w:num>
  <w:num w:numId="14">
    <w:abstractNumId w:val="2"/>
  </w:num>
  <w:num w:numId="15">
    <w:abstractNumId w:val="16"/>
  </w:num>
  <w:num w:numId="16">
    <w:abstractNumId w:val="9"/>
  </w:num>
  <w:num w:numId="17">
    <w:abstractNumId w:val="11"/>
  </w:num>
  <w:num w:numId="18">
    <w:abstractNumId w:val="15"/>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
    <w:docVar w:name="TextBaseURL" w:val="empty"/>
    <w:docVar w:name="UILng" w:val="en"/>
  </w:docVars>
  <w:rsids>
    <w:rsidRoot w:val="000C3895"/>
    <w:rsid w:val="00024551"/>
    <w:rsid w:val="000327F0"/>
    <w:rsid w:val="000401D9"/>
    <w:rsid w:val="00043CAA"/>
    <w:rsid w:val="00044E59"/>
    <w:rsid w:val="00052CCC"/>
    <w:rsid w:val="00054A8B"/>
    <w:rsid w:val="000642DE"/>
    <w:rsid w:val="00066F7E"/>
    <w:rsid w:val="00071A96"/>
    <w:rsid w:val="00075432"/>
    <w:rsid w:val="000850EC"/>
    <w:rsid w:val="0008595E"/>
    <w:rsid w:val="00093AA6"/>
    <w:rsid w:val="000968ED"/>
    <w:rsid w:val="000C3895"/>
    <w:rsid w:val="000D1829"/>
    <w:rsid w:val="000E27B4"/>
    <w:rsid w:val="000F3388"/>
    <w:rsid w:val="000F5E56"/>
    <w:rsid w:val="001005C2"/>
    <w:rsid w:val="00107257"/>
    <w:rsid w:val="00112395"/>
    <w:rsid w:val="00113B39"/>
    <w:rsid w:val="00114A4D"/>
    <w:rsid w:val="001362EE"/>
    <w:rsid w:val="00145C7B"/>
    <w:rsid w:val="0016744E"/>
    <w:rsid w:val="00180B57"/>
    <w:rsid w:val="0018114A"/>
    <w:rsid w:val="001832A6"/>
    <w:rsid w:val="00184508"/>
    <w:rsid w:val="00197436"/>
    <w:rsid w:val="001B3463"/>
    <w:rsid w:val="001B7854"/>
    <w:rsid w:val="001E1D75"/>
    <w:rsid w:val="001F449D"/>
    <w:rsid w:val="00205914"/>
    <w:rsid w:val="00215BAC"/>
    <w:rsid w:val="0022106F"/>
    <w:rsid w:val="00232E14"/>
    <w:rsid w:val="00243B94"/>
    <w:rsid w:val="0024626D"/>
    <w:rsid w:val="00254F03"/>
    <w:rsid w:val="002602E3"/>
    <w:rsid w:val="002634C4"/>
    <w:rsid w:val="00263736"/>
    <w:rsid w:val="00266101"/>
    <w:rsid w:val="002666F7"/>
    <w:rsid w:val="002763F9"/>
    <w:rsid w:val="00284F59"/>
    <w:rsid w:val="00286625"/>
    <w:rsid w:val="0028752D"/>
    <w:rsid w:val="00290A95"/>
    <w:rsid w:val="002928D3"/>
    <w:rsid w:val="002945BA"/>
    <w:rsid w:val="0029584C"/>
    <w:rsid w:val="00296AA5"/>
    <w:rsid w:val="002A0A11"/>
    <w:rsid w:val="002A37D3"/>
    <w:rsid w:val="002C64DD"/>
    <w:rsid w:val="002E7336"/>
    <w:rsid w:val="002F1FE6"/>
    <w:rsid w:val="002F4E68"/>
    <w:rsid w:val="00312EC9"/>
    <w:rsid w:val="00312F7F"/>
    <w:rsid w:val="00333686"/>
    <w:rsid w:val="00334B45"/>
    <w:rsid w:val="00335110"/>
    <w:rsid w:val="00351DEF"/>
    <w:rsid w:val="0035692E"/>
    <w:rsid w:val="00361450"/>
    <w:rsid w:val="003673CF"/>
    <w:rsid w:val="003845C1"/>
    <w:rsid w:val="003A6F89"/>
    <w:rsid w:val="003B38C1"/>
    <w:rsid w:val="003C5432"/>
    <w:rsid w:val="003E2CED"/>
    <w:rsid w:val="003F7B8F"/>
    <w:rsid w:val="00405AF9"/>
    <w:rsid w:val="00423E3E"/>
    <w:rsid w:val="00427AF4"/>
    <w:rsid w:val="0043504A"/>
    <w:rsid w:val="00452856"/>
    <w:rsid w:val="004647DA"/>
    <w:rsid w:val="00474062"/>
    <w:rsid w:val="00477D6B"/>
    <w:rsid w:val="0049420D"/>
    <w:rsid w:val="004C4362"/>
    <w:rsid w:val="004D296C"/>
    <w:rsid w:val="004F704C"/>
    <w:rsid w:val="005019FF"/>
    <w:rsid w:val="0051058B"/>
    <w:rsid w:val="00510F4F"/>
    <w:rsid w:val="00526BC9"/>
    <w:rsid w:val="0053057A"/>
    <w:rsid w:val="00560A29"/>
    <w:rsid w:val="005778DD"/>
    <w:rsid w:val="00583481"/>
    <w:rsid w:val="005861FD"/>
    <w:rsid w:val="005865B3"/>
    <w:rsid w:val="005912FF"/>
    <w:rsid w:val="005A054C"/>
    <w:rsid w:val="005A142B"/>
    <w:rsid w:val="005B05D8"/>
    <w:rsid w:val="005B6B85"/>
    <w:rsid w:val="005C2E38"/>
    <w:rsid w:val="005C306B"/>
    <w:rsid w:val="005C479F"/>
    <w:rsid w:val="005C6649"/>
    <w:rsid w:val="005F08A9"/>
    <w:rsid w:val="006041E7"/>
    <w:rsid w:val="00605827"/>
    <w:rsid w:val="00616718"/>
    <w:rsid w:val="00632B04"/>
    <w:rsid w:val="006334B8"/>
    <w:rsid w:val="00645238"/>
    <w:rsid w:val="00646050"/>
    <w:rsid w:val="00653500"/>
    <w:rsid w:val="006713CA"/>
    <w:rsid w:val="00676C5C"/>
    <w:rsid w:val="00681884"/>
    <w:rsid w:val="00682871"/>
    <w:rsid w:val="0069021C"/>
    <w:rsid w:val="00693A8C"/>
    <w:rsid w:val="006A6546"/>
    <w:rsid w:val="006B7FD9"/>
    <w:rsid w:val="006C7A1B"/>
    <w:rsid w:val="006E5753"/>
    <w:rsid w:val="006F1F0C"/>
    <w:rsid w:val="006F7532"/>
    <w:rsid w:val="007356A0"/>
    <w:rsid w:val="00737C5C"/>
    <w:rsid w:val="00743D2F"/>
    <w:rsid w:val="00774BC4"/>
    <w:rsid w:val="00790510"/>
    <w:rsid w:val="007A192D"/>
    <w:rsid w:val="007A49FA"/>
    <w:rsid w:val="007A59B1"/>
    <w:rsid w:val="007B5D69"/>
    <w:rsid w:val="007C4F08"/>
    <w:rsid w:val="007D09C3"/>
    <w:rsid w:val="007D1613"/>
    <w:rsid w:val="007D6C5D"/>
    <w:rsid w:val="007E0DDD"/>
    <w:rsid w:val="007F152C"/>
    <w:rsid w:val="0080029E"/>
    <w:rsid w:val="00836421"/>
    <w:rsid w:val="00855CBF"/>
    <w:rsid w:val="00855D9A"/>
    <w:rsid w:val="008641D7"/>
    <w:rsid w:val="00874C78"/>
    <w:rsid w:val="0087713C"/>
    <w:rsid w:val="008A0703"/>
    <w:rsid w:val="008A7BB2"/>
    <w:rsid w:val="008B2CC1"/>
    <w:rsid w:val="008B45F6"/>
    <w:rsid w:val="008B60B2"/>
    <w:rsid w:val="008D31F0"/>
    <w:rsid w:val="008D72EA"/>
    <w:rsid w:val="008E0B35"/>
    <w:rsid w:val="008E58A5"/>
    <w:rsid w:val="008F4EB7"/>
    <w:rsid w:val="00900DAD"/>
    <w:rsid w:val="00904CAE"/>
    <w:rsid w:val="0090731E"/>
    <w:rsid w:val="00916EE2"/>
    <w:rsid w:val="00923A92"/>
    <w:rsid w:val="009255EB"/>
    <w:rsid w:val="00926D44"/>
    <w:rsid w:val="009333B9"/>
    <w:rsid w:val="00933584"/>
    <w:rsid w:val="00961990"/>
    <w:rsid w:val="00966A22"/>
    <w:rsid w:val="0096722F"/>
    <w:rsid w:val="009716B0"/>
    <w:rsid w:val="00976791"/>
    <w:rsid w:val="00980843"/>
    <w:rsid w:val="00986A6E"/>
    <w:rsid w:val="009A6E26"/>
    <w:rsid w:val="009B0915"/>
    <w:rsid w:val="009B6AAB"/>
    <w:rsid w:val="009B7D02"/>
    <w:rsid w:val="009C278D"/>
    <w:rsid w:val="009C6463"/>
    <w:rsid w:val="009E2791"/>
    <w:rsid w:val="009E3F6F"/>
    <w:rsid w:val="009F298D"/>
    <w:rsid w:val="009F499F"/>
    <w:rsid w:val="009F5CF5"/>
    <w:rsid w:val="00A04293"/>
    <w:rsid w:val="00A04799"/>
    <w:rsid w:val="00A1096F"/>
    <w:rsid w:val="00A12249"/>
    <w:rsid w:val="00A13B3B"/>
    <w:rsid w:val="00A174CB"/>
    <w:rsid w:val="00A21F74"/>
    <w:rsid w:val="00A26E5C"/>
    <w:rsid w:val="00A27D91"/>
    <w:rsid w:val="00A30F7A"/>
    <w:rsid w:val="00A42DAF"/>
    <w:rsid w:val="00A45BD8"/>
    <w:rsid w:val="00A71283"/>
    <w:rsid w:val="00A83327"/>
    <w:rsid w:val="00A869B7"/>
    <w:rsid w:val="00A86EED"/>
    <w:rsid w:val="00A9139E"/>
    <w:rsid w:val="00A91E75"/>
    <w:rsid w:val="00AA1806"/>
    <w:rsid w:val="00AB4C3E"/>
    <w:rsid w:val="00AC205C"/>
    <w:rsid w:val="00AC54CE"/>
    <w:rsid w:val="00AD5F99"/>
    <w:rsid w:val="00AE0C1B"/>
    <w:rsid w:val="00AF0A6B"/>
    <w:rsid w:val="00AF394F"/>
    <w:rsid w:val="00AF5CE2"/>
    <w:rsid w:val="00B05A69"/>
    <w:rsid w:val="00B11D17"/>
    <w:rsid w:val="00B167C6"/>
    <w:rsid w:val="00B43111"/>
    <w:rsid w:val="00B53196"/>
    <w:rsid w:val="00B554AF"/>
    <w:rsid w:val="00B669B0"/>
    <w:rsid w:val="00B70B9F"/>
    <w:rsid w:val="00B7115A"/>
    <w:rsid w:val="00B71C4B"/>
    <w:rsid w:val="00B8384B"/>
    <w:rsid w:val="00B9734B"/>
    <w:rsid w:val="00BA2BF5"/>
    <w:rsid w:val="00BB10D7"/>
    <w:rsid w:val="00BD18C2"/>
    <w:rsid w:val="00BD2678"/>
    <w:rsid w:val="00BE08A2"/>
    <w:rsid w:val="00BF1E91"/>
    <w:rsid w:val="00BF46C1"/>
    <w:rsid w:val="00C03030"/>
    <w:rsid w:val="00C11BFE"/>
    <w:rsid w:val="00C165B6"/>
    <w:rsid w:val="00C33774"/>
    <w:rsid w:val="00C43461"/>
    <w:rsid w:val="00C67FB3"/>
    <w:rsid w:val="00C81032"/>
    <w:rsid w:val="00C85ED0"/>
    <w:rsid w:val="00C94C01"/>
    <w:rsid w:val="00C95A44"/>
    <w:rsid w:val="00CB67E7"/>
    <w:rsid w:val="00CB720F"/>
    <w:rsid w:val="00CC6FBC"/>
    <w:rsid w:val="00CD5984"/>
    <w:rsid w:val="00CD71DF"/>
    <w:rsid w:val="00CF0D3B"/>
    <w:rsid w:val="00D005F0"/>
    <w:rsid w:val="00D05336"/>
    <w:rsid w:val="00D15290"/>
    <w:rsid w:val="00D1792B"/>
    <w:rsid w:val="00D20483"/>
    <w:rsid w:val="00D27E10"/>
    <w:rsid w:val="00D45252"/>
    <w:rsid w:val="00D62433"/>
    <w:rsid w:val="00D64DC8"/>
    <w:rsid w:val="00D71B4D"/>
    <w:rsid w:val="00D75297"/>
    <w:rsid w:val="00D85DB6"/>
    <w:rsid w:val="00D91B6F"/>
    <w:rsid w:val="00D92975"/>
    <w:rsid w:val="00D93D55"/>
    <w:rsid w:val="00DA04CE"/>
    <w:rsid w:val="00DA308C"/>
    <w:rsid w:val="00DB113E"/>
    <w:rsid w:val="00DC1446"/>
    <w:rsid w:val="00DC4268"/>
    <w:rsid w:val="00DC4526"/>
    <w:rsid w:val="00DD0272"/>
    <w:rsid w:val="00DF5592"/>
    <w:rsid w:val="00E05114"/>
    <w:rsid w:val="00E2393A"/>
    <w:rsid w:val="00E335FE"/>
    <w:rsid w:val="00E4132D"/>
    <w:rsid w:val="00E5238C"/>
    <w:rsid w:val="00E56E0A"/>
    <w:rsid w:val="00E6128C"/>
    <w:rsid w:val="00E65377"/>
    <w:rsid w:val="00E71CDA"/>
    <w:rsid w:val="00E8092C"/>
    <w:rsid w:val="00E84E33"/>
    <w:rsid w:val="00EB2D9E"/>
    <w:rsid w:val="00EB514C"/>
    <w:rsid w:val="00EC4E49"/>
    <w:rsid w:val="00ED2D1C"/>
    <w:rsid w:val="00ED77FB"/>
    <w:rsid w:val="00EE1CE7"/>
    <w:rsid w:val="00EE45FA"/>
    <w:rsid w:val="00F00BAF"/>
    <w:rsid w:val="00F07231"/>
    <w:rsid w:val="00F1046B"/>
    <w:rsid w:val="00F23F46"/>
    <w:rsid w:val="00F249E4"/>
    <w:rsid w:val="00F31D8D"/>
    <w:rsid w:val="00F463F3"/>
    <w:rsid w:val="00F643FA"/>
    <w:rsid w:val="00F66152"/>
    <w:rsid w:val="00FA4682"/>
    <w:rsid w:val="00FA5A98"/>
    <w:rsid w:val="00FB364A"/>
    <w:rsid w:val="00FB382B"/>
    <w:rsid w:val="00FE703C"/>
    <w:rsid w:val="00FF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DC4526"/>
    <w:pPr>
      <w:spacing w:after="200" w:line="276" w:lineRule="auto"/>
      <w:ind w:left="720"/>
      <w:contextualSpacing/>
    </w:pPr>
    <w:rPr>
      <w:rFonts w:asciiTheme="minorHAnsi" w:eastAsiaTheme="minorHAnsi" w:hAnsiTheme="minorHAnsi" w:cstheme="minorBidi"/>
      <w:szCs w:val="22"/>
      <w:lang w:eastAsia="en-US"/>
    </w:rPr>
  </w:style>
  <w:style w:type="character" w:styleId="Hyperlink">
    <w:name w:val="Hyperlink"/>
    <w:basedOn w:val="DefaultParagraphFont"/>
    <w:uiPriority w:val="99"/>
    <w:rsid w:val="0043504A"/>
    <w:rPr>
      <w:color w:val="0000FF" w:themeColor="hyperlink"/>
      <w:u w:val="single"/>
    </w:rPr>
  </w:style>
  <w:style w:type="character" w:styleId="FollowedHyperlink">
    <w:name w:val="FollowedHyperlink"/>
    <w:basedOn w:val="DefaultParagraphFont"/>
    <w:rsid w:val="0043504A"/>
    <w:rPr>
      <w:color w:val="800080" w:themeColor="followedHyperlink"/>
      <w:u w:val="single"/>
    </w:rPr>
  </w:style>
  <w:style w:type="character" w:customStyle="1" w:styleId="FootnoteTextChar">
    <w:name w:val="Footnote Text Char"/>
    <w:basedOn w:val="DefaultParagraphFont"/>
    <w:link w:val="FootnoteText"/>
    <w:semiHidden/>
    <w:rsid w:val="005F08A9"/>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DC4526"/>
    <w:pPr>
      <w:spacing w:after="200" w:line="276" w:lineRule="auto"/>
      <w:ind w:left="720"/>
      <w:contextualSpacing/>
    </w:pPr>
    <w:rPr>
      <w:rFonts w:asciiTheme="minorHAnsi" w:eastAsiaTheme="minorHAnsi" w:hAnsiTheme="minorHAnsi" w:cstheme="minorBidi"/>
      <w:szCs w:val="22"/>
      <w:lang w:eastAsia="en-US"/>
    </w:rPr>
  </w:style>
  <w:style w:type="character" w:styleId="Hyperlink">
    <w:name w:val="Hyperlink"/>
    <w:basedOn w:val="DefaultParagraphFont"/>
    <w:uiPriority w:val="99"/>
    <w:rsid w:val="0043504A"/>
    <w:rPr>
      <w:color w:val="0000FF" w:themeColor="hyperlink"/>
      <w:u w:val="single"/>
    </w:rPr>
  </w:style>
  <w:style w:type="character" w:styleId="FollowedHyperlink">
    <w:name w:val="FollowedHyperlink"/>
    <w:basedOn w:val="DefaultParagraphFont"/>
    <w:rsid w:val="0043504A"/>
    <w:rPr>
      <w:color w:val="800080" w:themeColor="followedHyperlink"/>
      <w:u w:val="single"/>
    </w:rPr>
  </w:style>
  <w:style w:type="character" w:customStyle="1" w:styleId="FootnoteTextChar">
    <w:name w:val="Footnote Text Char"/>
    <w:basedOn w:val="DefaultParagraphFont"/>
    <w:link w:val="FootnoteText"/>
    <w:semiHidden/>
    <w:rsid w:val="005F08A9"/>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37F9-EC4D-475A-95B3-7E521CD57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5511</Words>
  <Characters>31416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ST/ko</cp:keywords>
  <cp:lastModifiedBy>Madrid Registry</cp:lastModifiedBy>
  <cp:revision>3</cp:revision>
  <cp:lastPrinted>2016-05-17T13:51:00Z</cp:lastPrinted>
  <dcterms:created xsi:type="dcterms:W3CDTF">2016-05-18T09:51:00Z</dcterms:created>
  <dcterms:modified xsi:type="dcterms:W3CDTF">2016-05-18T10:18:00Z</dcterms:modified>
</cp:coreProperties>
</file>