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2169B" w:rsidRPr="00BF4745" w:rsidTr="006603F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2169B" w:rsidRPr="00BF4745" w:rsidRDefault="0072169B" w:rsidP="006603F1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2169B" w:rsidRPr="00BF4745" w:rsidRDefault="0072169B" w:rsidP="006603F1">
            <w:pPr>
              <w:rPr>
                <w:lang w:val="fr-CH"/>
              </w:rPr>
            </w:pPr>
            <w:r w:rsidRPr="00BF4745">
              <w:rPr>
                <w:noProof/>
                <w:lang w:eastAsia="en-US"/>
              </w:rPr>
              <w:drawing>
                <wp:inline distT="0" distB="0" distL="0" distR="0" wp14:anchorId="041BB2DB" wp14:editId="35A92FDC">
                  <wp:extent cx="1858010" cy="1323975"/>
                  <wp:effectExtent l="0" t="0" r="889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2169B" w:rsidRPr="00BF4745" w:rsidRDefault="0072169B" w:rsidP="006603F1">
            <w:pPr>
              <w:jc w:val="right"/>
              <w:rPr>
                <w:lang w:val="fr-CH"/>
              </w:rPr>
            </w:pPr>
            <w:r w:rsidRPr="00BF4745">
              <w:rPr>
                <w:b/>
                <w:sz w:val="40"/>
                <w:szCs w:val="40"/>
                <w:lang w:val="fr-CH"/>
              </w:rPr>
              <w:t>F</w:t>
            </w:r>
          </w:p>
        </w:tc>
      </w:tr>
      <w:tr w:rsidR="0072169B" w:rsidRPr="00BF4745" w:rsidTr="006603F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2169B" w:rsidRPr="00BF4745" w:rsidRDefault="0072169B" w:rsidP="0072169B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bookmarkStart w:id="0" w:name="Code"/>
            <w:bookmarkEnd w:id="0"/>
            <w:r w:rsidRPr="00BF4745">
              <w:rPr>
                <w:rFonts w:ascii="Arial Black" w:hAnsi="Arial Black"/>
                <w:caps/>
                <w:sz w:val="15"/>
                <w:lang w:val="fr-CH"/>
              </w:rPr>
              <w:t>MM/LD/WG/13/</w:t>
            </w:r>
            <w:r>
              <w:rPr>
                <w:rFonts w:ascii="Arial Black" w:hAnsi="Arial Black"/>
                <w:caps/>
                <w:sz w:val="15"/>
                <w:lang w:val="fr-CH"/>
              </w:rPr>
              <w:t>8</w:t>
            </w:r>
            <w:r w:rsidRPr="00BF4745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</w:p>
        </w:tc>
      </w:tr>
      <w:tr w:rsidR="0072169B" w:rsidRPr="00BF4745" w:rsidTr="006603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2169B" w:rsidRPr="00BF4745" w:rsidRDefault="0072169B" w:rsidP="006603F1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BF4745">
              <w:rPr>
                <w:rFonts w:ascii="Arial Black" w:hAnsi="Arial Black"/>
                <w:caps/>
                <w:sz w:val="15"/>
                <w:lang w:val="fr-CH"/>
              </w:rPr>
              <w:t xml:space="preserve">ORIGINAL : </w:t>
            </w:r>
            <w:bookmarkStart w:id="1" w:name="Original"/>
            <w:bookmarkEnd w:id="1"/>
            <w:r w:rsidRPr="00BF4745">
              <w:rPr>
                <w:rFonts w:ascii="Arial Black" w:hAnsi="Arial Black"/>
                <w:caps/>
                <w:sz w:val="15"/>
                <w:lang w:val="fr-CH"/>
              </w:rPr>
              <w:t>anglais</w:t>
            </w:r>
          </w:p>
        </w:tc>
      </w:tr>
      <w:tr w:rsidR="0072169B" w:rsidRPr="00BF4745" w:rsidTr="006603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2169B" w:rsidRPr="00BF4745" w:rsidRDefault="0072169B" w:rsidP="006603F1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BF4745">
              <w:rPr>
                <w:rFonts w:ascii="Arial Black" w:hAnsi="Arial Black"/>
                <w:caps/>
                <w:sz w:val="15"/>
                <w:lang w:val="fr-CH"/>
              </w:rPr>
              <w:t xml:space="preserve">DATE 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fr-CH"/>
              </w:rPr>
              <w:t>14 octobre</w:t>
            </w:r>
            <w:r w:rsidRPr="00BF4745">
              <w:rPr>
                <w:rFonts w:ascii="Arial Black" w:hAnsi="Arial Black"/>
                <w:caps/>
                <w:sz w:val="15"/>
                <w:lang w:val="fr-CH"/>
              </w:rPr>
              <w:t> 2015</w:t>
            </w:r>
          </w:p>
        </w:tc>
      </w:tr>
    </w:tbl>
    <w:p w:rsidR="0072169B" w:rsidRPr="00BF4745" w:rsidRDefault="0072169B" w:rsidP="0072169B">
      <w:pPr>
        <w:rPr>
          <w:lang w:val="fr-CH"/>
        </w:rPr>
      </w:pPr>
    </w:p>
    <w:p w:rsidR="0072169B" w:rsidRPr="00BF4745" w:rsidRDefault="0072169B" w:rsidP="0072169B">
      <w:pPr>
        <w:rPr>
          <w:lang w:val="fr-CH"/>
        </w:rPr>
      </w:pPr>
    </w:p>
    <w:p w:rsidR="0072169B" w:rsidRPr="00BF4745" w:rsidRDefault="0072169B" w:rsidP="0072169B">
      <w:pPr>
        <w:rPr>
          <w:lang w:val="fr-CH"/>
        </w:rPr>
      </w:pPr>
    </w:p>
    <w:p w:rsidR="0072169B" w:rsidRPr="00BF4745" w:rsidRDefault="0072169B" w:rsidP="0072169B">
      <w:pPr>
        <w:rPr>
          <w:lang w:val="fr-CH"/>
        </w:rPr>
      </w:pPr>
    </w:p>
    <w:p w:rsidR="0072169B" w:rsidRPr="00BF4745" w:rsidRDefault="0072169B" w:rsidP="0072169B">
      <w:pPr>
        <w:rPr>
          <w:lang w:val="fr-CH"/>
        </w:rPr>
      </w:pPr>
    </w:p>
    <w:p w:rsidR="0072169B" w:rsidRPr="00BF4745" w:rsidRDefault="0072169B" w:rsidP="0072169B">
      <w:pPr>
        <w:rPr>
          <w:b/>
          <w:sz w:val="28"/>
          <w:szCs w:val="28"/>
          <w:lang w:val="fr-CH"/>
        </w:rPr>
      </w:pPr>
      <w:r w:rsidRPr="00BF4745">
        <w:rPr>
          <w:b/>
          <w:sz w:val="28"/>
          <w:szCs w:val="28"/>
          <w:lang w:val="fr-CH"/>
        </w:rPr>
        <w:t>Groupe de travail sur le développement juridique du système de</w:t>
      </w:r>
      <w:r w:rsidR="00EA5D7F">
        <w:rPr>
          <w:b/>
          <w:sz w:val="28"/>
          <w:szCs w:val="28"/>
          <w:lang w:val="fr-CH"/>
        </w:rPr>
        <w:t> </w:t>
      </w:r>
      <w:r w:rsidRPr="00BF4745">
        <w:rPr>
          <w:b/>
          <w:sz w:val="28"/>
          <w:szCs w:val="28"/>
          <w:lang w:val="fr-CH"/>
        </w:rPr>
        <w:t>Madrid concernant l</w:t>
      </w:r>
      <w:r>
        <w:rPr>
          <w:b/>
          <w:sz w:val="28"/>
          <w:szCs w:val="28"/>
          <w:lang w:val="fr-CH"/>
        </w:rPr>
        <w:t>’</w:t>
      </w:r>
      <w:r w:rsidRPr="00BF4745">
        <w:rPr>
          <w:b/>
          <w:sz w:val="28"/>
          <w:szCs w:val="28"/>
          <w:lang w:val="fr-CH"/>
        </w:rPr>
        <w:t>enregistrement international des marques</w:t>
      </w:r>
    </w:p>
    <w:p w:rsidR="0072169B" w:rsidRPr="00BF4745" w:rsidRDefault="0072169B" w:rsidP="0072169B">
      <w:pPr>
        <w:rPr>
          <w:lang w:val="fr-CH"/>
        </w:rPr>
      </w:pPr>
    </w:p>
    <w:p w:rsidR="0072169B" w:rsidRPr="00BF4745" w:rsidRDefault="0072169B" w:rsidP="0072169B">
      <w:pPr>
        <w:rPr>
          <w:lang w:val="fr-CH"/>
        </w:rPr>
      </w:pPr>
    </w:p>
    <w:p w:rsidR="0072169B" w:rsidRPr="00BF4745" w:rsidRDefault="0072169B" w:rsidP="0072169B">
      <w:pPr>
        <w:rPr>
          <w:b/>
          <w:bCs/>
          <w:sz w:val="24"/>
          <w:szCs w:val="24"/>
          <w:lang w:val="fr-CH"/>
        </w:rPr>
      </w:pPr>
      <w:r w:rsidRPr="00BF4745">
        <w:rPr>
          <w:b/>
          <w:bCs/>
          <w:sz w:val="24"/>
          <w:szCs w:val="24"/>
          <w:lang w:val="fr-CH"/>
        </w:rPr>
        <w:t>Treizième session</w:t>
      </w:r>
    </w:p>
    <w:p w:rsidR="0072169B" w:rsidRPr="00BF4745" w:rsidRDefault="0072169B" w:rsidP="0072169B">
      <w:pPr>
        <w:rPr>
          <w:b/>
          <w:sz w:val="24"/>
          <w:szCs w:val="24"/>
          <w:lang w:val="fr-CH"/>
        </w:rPr>
      </w:pPr>
      <w:r w:rsidRPr="00BF4745">
        <w:rPr>
          <w:b/>
          <w:bCs/>
          <w:sz w:val="24"/>
          <w:szCs w:val="24"/>
          <w:lang w:val="fr-CH"/>
        </w:rPr>
        <w:t>Genève, 2 – 6 novembre 2015</w:t>
      </w:r>
    </w:p>
    <w:p w:rsidR="000C145C" w:rsidRPr="00EA5D7F" w:rsidRDefault="000C145C" w:rsidP="008B2CC1">
      <w:pPr>
        <w:rPr>
          <w:lang w:val="fr-CH"/>
        </w:rPr>
      </w:pPr>
    </w:p>
    <w:p w:rsidR="000C145C" w:rsidRPr="00EA5D7F" w:rsidRDefault="000C145C" w:rsidP="008B2CC1">
      <w:pPr>
        <w:rPr>
          <w:lang w:val="fr-CH"/>
        </w:rPr>
      </w:pPr>
    </w:p>
    <w:p w:rsidR="000C145C" w:rsidRPr="00EA5D7F" w:rsidRDefault="000C145C" w:rsidP="008B2CC1">
      <w:pPr>
        <w:rPr>
          <w:lang w:val="fr-CH"/>
        </w:rPr>
      </w:pPr>
    </w:p>
    <w:p w:rsidR="0072169B" w:rsidRDefault="000C145C" w:rsidP="000C145C">
      <w:pPr>
        <w:rPr>
          <w:caps/>
          <w:sz w:val="24"/>
          <w:lang w:val="fr-CH"/>
        </w:rPr>
      </w:pPr>
      <w:bookmarkStart w:id="3" w:name="TitleOfDoc"/>
      <w:bookmarkEnd w:id="3"/>
      <w:r w:rsidRPr="00474FC4">
        <w:rPr>
          <w:caps/>
          <w:sz w:val="24"/>
          <w:lang w:val="fr-CH"/>
        </w:rPr>
        <w:t>Modification de la règle 24.5) du règlement d</w:t>
      </w:r>
      <w:r w:rsidR="0072169B">
        <w:rPr>
          <w:caps/>
          <w:sz w:val="24"/>
          <w:lang w:val="fr-CH"/>
        </w:rPr>
        <w:t>’</w:t>
      </w:r>
      <w:r w:rsidR="00FB31FD">
        <w:rPr>
          <w:caps/>
          <w:sz w:val="24"/>
          <w:lang w:val="fr-CH"/>
        </w:rPr>
        <w:t>exécution commun à </w:t>
      </w:r>
      <w:r w:rsidRPr="00474FC4">
        <w:rPr>
          <w:caps/>
          <w:sz w:val="24"/>
          <w:lang w:val="fr-CH"/>
        </w:rPr>
        <w:t>l</w:t>
      </w:r>
      <w:r w:rsidR="0072169B">
        <w:rPr>
          <w:caps/>
          <w:sz w:val="24"/>
          <w:lang w:val="fr-CH"/>
        </w:rPr>
        <w:t>’</w:t>
      </w:r>
      <w:r w:rsidRPr="00474FC4">
        <w:rPr>
          <w:caps/>
          <w:sz w:val="24"/>
          <w:lang w:val="fr-CH"/>
        </w:rPr>
        <w:t>Arrangement de Madrid concernant l</w:t>
      </w:r>
      <w:r w:rsidR="0072169B">
        <w:rPr>
          <w:caps/>
          <w:sz w:val="24"/>
          <w:lang w:val="fr-CH"/>
        </w:rPr>
        <w:t>’</w:t>
      </w:r>
      <w:r w:rsidRPr="00474FC4">
        <w:rPr>
          <w:caps/>
          <w:sz w:val="24"/>
          <w:lang w:val="fr-CH"/>
        </w:rPr>
        <w:t>enregistrement international des marques et au Protocole relatif à cet Arrangement</w:t>
      </w:r>
      <w:r w:rsidR="00C7440C">
        <w:rPr>
          <w:caps/>
          <w:sz w:val="24"/>
          <w:lang w:val="fr-CH"/>
        </w:rPr>
        <w:t> </w:t>
      </w:r>
      <w:r w:rsidRPr="00474FC4">
        <w:rPr>
          <w:caps/>
          <w:sz w:val="24"/>
          <w:lang w:val="fr-CH"/>
        </w:rPr>
        <w:t>: questions relatives à la mise en œuvre</w:t>
      </w:r>
    </w:p>
    <w:p w:rsidR="000C145C" w:rsidRPr="00474FC4" w:rsidRDefault="000C145C" w:rsidP="008B2CC1">
      <w:pPr>
        <w:rPr>
          <w:lang w:val="fr-CH"/>
        </w:rPr>
      </w:pPr>
    </w:p>
    <w:p w:rsidR="000C145C" w:rsidRPr="00474FC4" w:rsidRDefault="000C145C" w:rsidP="000C145C">
      <w:pPr>
        <w:rPr>
          <w:i/>
          <w:lang w:val="fr-CH"/>
        </w:rPr>
      </w:pPr>
      <w:bookmarkStart w:id="4" w:name="Prepared"/>
      <w:bookmarkEnd w:id="4"/>
      <w:r w:rsidRPr="00474FC4">
        <w:rPr>
          <w:i/>
          <w:lang w:val="fr-CH"/>
        </w:rPr>
        <w:t>Document établi par le Bureau international</w:t>
      </w:r>
    </w:p>
    <w:p w:rsidR="000C145C" w:rsidRPr="00474FC4" w:rsidRDefault="000C145C">
      <w:pPr>
        <w:rPr>
          <w:lang w:val="fr-CH"/>
        </w:rPr>
      </w:pPr>
    </w:p>
    <w:p w:rsidR="000C145C" w:rsidRPr="00474FC4" w:rsidRDefault="000C145C">
      <w:pPr>
        <w:rPr>
          <w:lang w:val="fr-CH"/>
        </w:rPr>
      </w:pPr>
    </w:p>
    <w:p w:rsidR="000C145C" w:rsidRPr="00474FC4" w:rsidRDefault="000C145C" w:rsidP="0053057A">
      <w:pPr>
        <w:rPr>
          <w:lang w:val="fr-CH"/>
        </w:rPr>
      </w:pPr>
    </w:p>
    <w:p w:rsidR="000C145C" w:rsidRPr="00474FC4" w:rsidRDefault="005616A6" w:rsidP="005616A6">
      <w:pPr>
        <w:pStyle w:val="Heading1"/>
      </w:pPr>
      <w:r w:rsidRPr="00474FC4">
        <w:t>Introduction</w:t>
      </w:r>
    </w:p>
    <w:p w:rsidR="000C145C" w:rsidRPr="00474FC4" w:rsidRDefault="000C145C" w:rsidP="005B6B85"/>
    <w:p w:rsidR="000C145C" w:rsidRPr="00474FC4" w:rsidRDefault="001C1107" w:rsidP="00FB31FD">
      <w:pPr>
        <w:pStyle w:val="ONUMFS"/>
        <w:rPr>
          <w:lang w:val="fr-CH"/>
        </w:rPr>
      </w:pPr>
      <w:r w:rsidRPr="00474FC4">
        <w:rPr>
          <w:lang w:val="fr-CH"/>
        </w:rPr>
        <w:t>À sa douzième</w:t>
      </w:r>
      <w:r w:rsidR="00C7440C">
        <w:rPr>
          <w:lang w:val="fr-CH"/>
        </w:rPr>
        <w:t> </w:t>
      </w:r>
      <w:r w:rsidRPr="00474FC4">
        <w:rPr>
          <w:lang w:val="fr-CH"/>
        </w:rPr>
        <w:t>session, le Groupe de travail sur le développement juridique du système de Madrid concernant l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 international des marques (ci</w:t>
      </w:r>
      <w:r w:rsidR="00297348">
        <w:rPr>
          <w:lang w:val="fr-CH"/>
        </w:rPr>
        <w:noBreakHyphen/>
      </w:r>
      <w:r w:rsidRPr="00474FC4">
        <w:rPr>
          <w:lang w:val="fr-CH"/>
        </w:rPr>
        <w:t>après dénommé “groupe de travail”) a examiné certaines modifications qu</w:t>
      </w:r>
      <w:r w:rsidR="0072169B">
        <w:rPr>
          <w:lang w:val="fr-CH"/>
        </w:rPr>
        <w:t>’</w:t>
      </w:r>
      <w:r w:rsidRPr="00474FC4">
        <w:rPr>
          <w:lang w:val="fr-CH"/>
        </w:rPr>
        <w:t>il est proposé d</w:t>
      </w:r>
      <w:r w:rsidR="0072169B">
        <w:rPr>
          <w:lang w:val="fr-CH"/>
        </w:rPr>
        <w:t>’</w:t>
      </w:r>
      <w:r w:rsidRPr="00474FC4">
        <w:rPr>
          <w:lang w:val="fr-CH"/>
        </w:rPr>
        <w:t>apporter au règlement d</w:t>
      </w:r>
      <w:r w:rsidR="0072169B">
        <w:rPr>
          <w:lang w:val="fr-CH"/>
        </w:rPr>
        <w:t>’</w:t>
      </w:r>
      <w:r w:rsidRPr="00474FC4">
        <w:rPr>
          <w:lang w:val="fr-CH"/>
        </w:rPr>
        <w:t>exécution commun à l</w:t>
      </w:r>
      <w:r w:rsidR="0072169B">
        <w:rPr>
          <w:lang w:val="fr-CH"/>
        </w:rPr>
        <w:t>’</w:t>
      </w:r>
      <w:r w:rsidRPr="00474FC4">
        <w:rPr>
          <w:lang w:val="fr-CH"/>
        </w:rPr>
        <w:t>Arrangement de Madrid concernant l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 international des marques et au Protocole relatif à cet Arrangement (ci</w:t>
      </w:r>
      <w:r w:rsidR="00297348">
        <w:rPr>
          <w:lang w:val="fr-CH"/>
        </w:rPr>
        <w:noBreakHyphen/>
      </w:r>
      <w:r w:rsidRPr="00474FC4">
        <w:rPr>
          <w:lang w:val="fr-CH"/>
        </w:rPr>
        <w:t>après dénommé “règlement d</w:t>
      </w:r>
      <w:r w:rsidR="0072169B">
        <w:rPr>
          <w:lang w:val="fr-CH"/>
        </w:rPr>
        <w:t>’</w:t>
      </w:r>
      <w:r w:rsidRPr="00474FC4">
        <w:rPr>
          <w:lang w:val="fr-CH"/>
        </w:rPr>
        <w:t>exécution commun”).</w:t>
      </w:r>
      <w:r w:rsidR="005616A6" w:rsidRPr="00474FC4">
        <w:rPr>
          <w:lang w:val="fr-CH"/>
        </w:rPr>
        <w:t xml:space="preserve">  </w:t>
      </w:r>
      <w:r w:rsidR="006D1C6B" w:rsidRPr="00474FC4">
        <w:rPr>
          <w:lang w:val="fr-CH"/>
        </w:rPr>
        <w:t xml:space="preserve">Le groupe de </w:t>
      </w:r>
      <w:proofErr w:type="gramStart"/>
      <w:r w:rsidR="006D1C6B" w:rsidRPr="00474FC4">
        <w:rPr>
          <w:lang w:val="fr-CH"/>
        </w:rPr>
        <w:t>travail a</w:t>
      </w:r>
      <w:proofErr w:type="gramEnd"/>
      <w:r w:rsidR="006D1C6B" w:rsidRPr="00474FC4">
        <w:rPr>
          <w:lang w:val="fr-CH"/>
        </w:rPr>
        <w:t xml:space="preserve"> notamment recommandé que la modification de la règle</w:t>
      </w:r>
      <w:r w:rsidR="00C7440C">
        <w:rPr>
          <w:lang w:val="fr-CH"/>
        </w:rPr>
        <w:t> </w:t>
      </w:r>
      <w:r w:rsidR="006D1C6B" w:rsidRPr="00474FC4">
        <w:rPr>
          <w:lang w:val="fr-CH"/>
        </w:rPr>
        <w:t>24.5) soit adoptée par l</w:t>
      </w:r>
      <w:r w:rsidR="0072169B">
        <w:rPr>
          <w:lang w:val="fr-CH"/>
        </w:rPr>
        <w:t>’</w:t>
      </w:r>
      <w:r w:rsidR="006D1C6B" w:rsidRPr="00474FC4">
        <w:rPr>
          <w:lang w:val="fr-CH"/>
        </w:rPr>
        <w:t>Assemblée de l</w:t>
      </w:r>
      <w:r w:rsidR="0072169B">
        <w:rPr>
          <w:lang w:val="fr-CH"/>
        </w:rPr>
        <w:t>’</w:t>
      </w:r>
      <w:r w:rsidR="006D1C6B" w:rsidRPr="00474FC4">
        <w:rPr>
          <w:lang w:val="fr-CH"/>
        </w:rPr>
        <w:t>Union de Madrid.</w:t>
      </w:r>
      <w:r w:rsidR="005616A6" w:rsidRPr="00474FC4">
        <w:rPr>
          <w:lang w:val="fr-CH"/>
        </w:rPr>
        <w:t xml:space="preserve"> </w:t>
      </w:r>
      <w:r w:rsidR="00B420C2" w:rsidRPr="00474FC4">
        <w:rPr>
          <w:lang w:val="fr-CH"/>
        </w:rPr>
        <w:t xml:space="preserve"> </w:t>
      </w:r>
      <w:r w:rsidR="00464FED" w:rsidRPr="00474FC4">
        <w:rPr>
          <w:lang w:val="fr-CH"/>
        </w:rPr>
        <w:t>L</w:t>
      </w:r>
      <w:r w:rsidR="0072169B">
        <w:rPr>
          <w:lang w:val="fr-CH"/>
        </w:rPr>
        <w:t>’</w:t>
      </w:r>
      <w:r w:rsidR="00464FED" w:rsidRPr="00474FC4">
        <w:rPr>
          <w:lang w:val="fr-CH"/>
        </w:rPr>
        <w:t>Assemblée de l</w:t>
      </w:r>
      <w:r w:rsidR="0072169B">
        <w:rPr>
          <w:lang w:val="fr-CH"/>
        </w:rPr>
        <w:t>’</w:t>
      </w:r>
      <w:r w:rsidR="00464FED" w:rsidRPr="00474FC4">
        <w:rPr>
          <w:lang w:val="fr-CH"/>
        </w:rPr>
        <w:t>Union de Madrid, à sa quarante</w:t>
      </w:r>
      <w:r w:rsidR="00297348">
        <w:rPr>
          <w:lang w:val="fr-CH"/>
        </w:rPr>
        <w:noBreakHyphen/>
      </w:r>
      <w:r w:rsidR="00464FED" w:rsidRPr="00474FC4">
        <w:rPr>
          <w:lang w:val="fr-CH"/>
        </w:rPr>
        <w:t xml:space="preserve">neuvième session tenue en </w:t>
      </w:r>
      <w:r w:rsidR="0072169B" w:rsidRPr="00474FC4">
        <w:rPr>
          <w:lang w:val="fr-CH"/>
        </w:rPr>
        <w:t>octobre</w:t>
      </w:r>
      <w:r w:rsidR="0072169B">
        <w:rPr>
          <w:lang w:val="fr-CH"/>
        </w:rPr>
        <w:t> </w:t>
      </w:r>
      <w:r w:rsidR="0072169B" w:rsidRPr="00474FC4">
        <w:rPr>
          <w:lang w:val="fr-CH"/>
        </w:rPr>
        <w:t>20</w:t>
      </w:r>
      <w:r w:rsidR="00464FED" w:rsidRPr="00474FC4">
        <w:rPr>
          <w:lang w:val="fr-CH"/>
        </w:rPr>
        <w:t xml:space="preserve">15, a </w:t>
      </w:r>
      <w:r w:rsidR="00464FED" w:rsidRPr="00EA5D7F">
        <w:rPr>
          <w:lang w:val="fr-CH"/>
        </w:rPr>
        <w:t>a</w:t>
      </w:r>
      <w:r w:rsidR="00464FED" w:rsidRPr="00474FC4">
        <w:rPr>
          <w:lang w:val="fr-CH"/>
        </w:rPr>
        <w:t>dopté les modifications de la règle</w:t>
      </w:r>
      <w:r w:rsidR="00C7440C">
        <w:rPr>
          <w:lang w:val="fr-CH"/>
        </w:rPr>
        <w:t> </w:t>
      </w:r>
      <w:r w:rsidR="00464FED" w:rsidRPr="00474FC4">
        <w:rPr>
          <w:lang w:val="fr-CH"/>
        </w:rPr>
        <w:t xml:space="preserve">24.5), pour une entrée en vigueur au </w:t>
      </w:r>
      <w:r w:rsidR="0072169B" w:rsidRPr="00474FC4">
        <w:rPr>
          <w:lang w:val="fr-CH"/>
        </w:rPr>
        <w:t>1</w:t>
      </w:r>
      <w:r w:rsidR="0072169B" w:rsidRPr="00474FC4">
        <w:rPr>
          <w:vertAlign w:val="superscript"/>
          <w:lang w:val="fr-CH"/>
        </w:rPr>
        <w:t>er</w:t>
      </w:r>
      <w:r w:rsidR="0072169B">
        <w:rPr>
          <w:lang w:val="fr-CH"/>
        </w:rPr>
        <w:t> </w:t>
      </w:r>
      <w:r w:rsidR="0072169B" w:rsidRPr="00474FC4">
        <w:rPr>
          <w:lang w:val="fr-CH"/>
        </w:rPr>
        <w:t>novembre</w:t>
      </w:r>
      <w:r w:rsidR="0072169B">
        <w:rPr>
          <w:lang w:val="fr-CH"/>
        </w:rPr>
        <w:t> </w:t>
      </w:r>
      <w:r w:rsidR="0072169B" w:rsidRPr="00474FC4">
        <w:rPr>
          <w:lang w:val="fr-CH"/>
        </w:rPr>
        <w:t>20</w:t>
      </w:r>
      <w:r w:rsidR="00464FED" w:rsidRPr="00474FC4">
        <w:rPr>
          <w:lang w:val="fr-CH"/>
        </w:rPr>
        <w:t>17</w:t>
      </w:r>
      <w:r w:rsidR="00464FED" w:rsidRPr="00474FC4">
        <w:rPr>
          <w:rStyle w:val="FootnoteReference"/>
        </w:rPr>
        <w:footnoteReference w:id="2"/>
      </w:r>
      <w:r w:rsidR="00464FED" w:rsidRPr="00474FC4">
        <w:rPr>
          <w:lang w:val="fr-CH"/>
        </w:rPr>
        <w:t>.</w:t>
      </w:r>
    </w:p>
    <w:p w:rsidR="000C145C" w:rsidRPr="00474FC4" w:rsidRDefault="00464FED" w:rsidP="00FB31FD">
      <w:pPr>
        <w:pStyle w:val="ONUMFS"/>
        <w:rPr>
          <w:lang w:val="fr-CH"/>
        </w:rPr>
      </w:pPr>
      <w:r w:rsidRPr="00474FC4">
        <w:rPr>
          <w:lang w:val="fr-CH"/>
        </w:rPr>
        <w:t>Le</w:t>
      </w:r>
      <w:r w:rsidR="00B420C2" w:rsidRPr="00474FC4">
        <w:rPr>
          <w:lang w:val="fr-CH"/>
        </w:rPr>
        <w:t>s</w:t>
      </w:r>
      <w:r w:rsidRPr="00474FC4">
        <w:rPr>
          <w:lang w:val="fr-CH"/>
        </w:rPr>
        <w:t xml:space="preserve"> modifications </w:t>
      </w:r>
      <w:r w:rsidR="00BC0434" w:rsidRPr="00474FC4">
        <w:rPr>
          <w:lang w:val="fr-CH"/>
        </w:rPr>
        <w:t>à apporter à</w:t>
      </w:r>
      <w:r w:rsidRPr="00474FC4">
        <w:rPr>
          <w:lang w:val="fr-CH"/>
        </w:rPr>
        <w:t xml:space="preserve">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 du règlement d</w:t>
      </w:r>
      <w:r w:rsidR="0072169B">
        <w:rPr>
          <w:lang w:val="fr-CH"/>
        </w:rPr>
        <w:t>’</w:t>
      </w:r>
      <w:r w:rsidRPr="00474FC4">
        <w:rPr>
          <w:lang w:val="fr-CH"/>
        </w:rPr>
        <w:t>exécution commun portent sur deux</w:t>
      </w:r>
      <w:r w:rsidR="00C7440C">
        <w:rPr>
          <w:lang w:val="fr-CH"/>
        </w:rPr>
        <w:t> </w:t>
      </w:r>
      <w:r w:rsidRPr="00474FC4">
        <w:rPr>
          <w:lang w:val="fr-CH"/>
        </w:rPr>
        <w:t>aspects précis relatifs aux désignations postérieures.</w:t>
      </w:r>
      <w:r w:rsidR="00054957" w:rsidRPr="00474FC4">
        <w:rPr>
          <w:lang w:val="fr-CH"/>
        </w:rPr>
        <w:t xml:space="preserve">  </w:t>
      </w:r>
      <w:r w:rsidR="002C78DC" w:rsidRPr="00474FC4">
        <w:rPr>
          <w:lang w:val="fr-CH"/>
        </w:rPr>
        <w:t xml:space="preserve">Les modifications </w:t>
      </w:r>
      <w:r w:rsidR="00BC0434" w:rsidRPr="00474FC4">
        <w:rPr>
          <w:lang w:val="fr-CH"/>
        </w:rPr>
        <w:t>à apporter aux</w:t>
      </w:r>
      <w:r w:rsidR="002C78DC" w:rsidRPr="00474FC4">
        <w:rPr>
          <w:lang w:val="fr-CH"/>
        </w:rPr>
        <w:t xml:space="preserve"> sous</w:t>
      </w:r>
      <w:r w:rsidR="00297348">
        <w:rPr>
          <w:lang w:val="fr-CH"/>
        </w:rPr>
        <w:noBreakHyphen/>
      </w:r>
      <w:r w:rsidR="002C78DC" w:rsidRPr="00474FC4">
        <w:rPr>
          <w:lang w:val="fr-CH"/>
        </w:rPr>
        <w:t>alinéas</w:t>
      </w:r>
      <w:r w:rsidR="00C7440C">
        <w:rPr>
          <w:lang w:val="fr-CH"/>
        </w:rPr>
        <w:t> </w:t>
      </w:r>
      <w:r w:rsidR="002C78DC" w:rsidRPr="00474FC4">
        <w:rPr>
          <w:lang w:val="fr-CH"/>
        </w:rPr>
        <w:t>a) et d)</w:t>
      </w:r>
      <w:r w:rsidR="00C7440C">
        <w:rPr>
          <w:lang w:val="fr-CH"/>
        </w:rPr>
        <w:t> </w:t>
      </w:r>
      <w:r w:rsidR="002C78DC" w:rsidRPr="00474FC4">
        <w:rPr>
          <w:lang w:val="fr-CH"/>
        </w:rPr>
        <w:t>prévoient l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 xml:space="preserve">application, </w:t>
      </w:r>
      <w:r w:rsidR="002C78DC" w:rsidRPr="00474FC4">
        <w:rPr>
          <w:i/>
          <w:lang w:val="fr-CH"/>
        </w:rPr>
        <w:t>mutatis mutandis</w:t>
      </w:r>
      <w:r w:rsidR="002C78DC" w:rsidRPr="00474FC4">
        <w:rPr>
          <w:lang w:val="fr-CH"/>
        </w:rPr>
        <w:t>, des règles</w:t>
      </w:r>
      <w:r w:rsidR="00C7440C">
        <w:rPr>
          <w:lang w:val="fr-CH"/>
        </w:rPr>
        <w:t> </w:t>
      </w:r>
      <w:r w:rsidR="002C78DC" w:rsidRPr="00474FC4">
        <w:rPr>
          <w:lang w:val="fr-CH"/>
        </w:rPr>
        <w:t>12 et 13 lorsqu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>une désignation postérieure ne concerne qu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>une partie des produits et services énumérés dans l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 xml:space="preserve">enregistrement international, et la modification </w:t>
      </w:r>
      <w:r w:rsidR="00BC0434" w:rsidRPr="00474FC4">
        <w:rPr>
          <w:lang w:val="fr-CH"/>
        </w:rPr>
        <w:t xml:space="preserve">à apporter au </w:t>
      </w:r>
      <w:r w:rsidR="002C78DC" w:rsidRPr="00474FC4">
        <w:rPr>
          <w:lang w:val="fr-CH"/>
        </w:rPr>
        <w:t>sous</w:t>
      </w:r>
      <w:r w:rsidR="00297348">
        <w:rPr>
          <w:lang w:val="fr-CH"/>
        </w:rPr>
        <w:noBreakHyphen/>
      </w:r>
      <w:r w:rsidR="002C78DC" w:rsidRPr="00474FC4">
        <w:rPr>
          <w:lang w:val="fr-CH"/>
        </w:rPr>
        <w:t>alinéa</w:t>
      </w:r>
      <w:r w:rsidR="00C7440C">
        <w:rPr>
          <w:lang w:val="fr-CH"/>
        </w:rPr>
        <w:t> </w:t>
      </w:r>
      <w:r w:rsidR="002C78DC" w:rsidRPr="00474FC4">
        <w:rPr>
          <w:lang w:val="fr-CH"/>
        </w:rPr>
        <w:t xml:space="preserve">c) </w:t>
      </w:r>
      <w:r w:rsidR="002C78DC" w:rsidRPr="00474FC4">
        <w:rPr>
          <w:lang w:val="fr-CH"/>
        </w:rPr>
        <w:lastRenderedPageBreak/>
        <w:t>limite les conséquences de l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>absence de correction d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 xml:space="preserve">une irrégularité relative à </w:t>
      </w:r>
      <w:r w:rsidR="00B12F95" w:rsidRPr="00474FC4">
        <w:rPr>
          <w:lang w:val="fr-CH"/>
        </w:rPr>
        <w:t>une</w:t>
      </w:r>
      <w:r w:rsidR="002C78DC" w:rsidRPr="00474FC4">
        <w:rPr>
          <w:lang w:val="fr-CH"/>
        </w:rPr>
        <w:t xml:space="preserve"> déclaration d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>intention d</w:t>
      </w:r>
      <w:r w:rsidR="0072169B">
        <w:rPr>
          <w:lang w:val="fr-CH"/>
        </w:rPr>
        <w:t>’</w:t>
      </w:r>
      <w:r w:rsidR="002C78DC" w:rsidRPr="00474FC4">
        <w:rPr>
          <w:lang w:val="fr-CH"/>
        </w:rPr>
        <w:t>utiliser la marque</w:t>
      </w:r>
      <w:r w:rsidR="00B12F95" w:rsidRPr="00474FC4">
        <w:rPr>
          <w:lang w:val="fr-CH"/>
        </w:rPr>
        <w:t xml:space="preserve"> qui serait défectueuse ou manquante</w:t>
      </w:r>
      <w:r w:rsidR="002C78DC" w:rsidRPr="00474FC4">
        <w:rPr>
          <w:lang w:val="fr-CH"/>
        </w:rPr>
        <w:t>.</w:t>
      </w:r>
    </w:p>
    <w:p w:rsidR="000C145C" w:rsidRPr="00474FC4" w:rsidRDefault="002C78DC" w:rsidP="00FB31FD">
      <w:pPr>
        <w:pStyle w:val="ONUMFS"/>
        <w:rPr>
          <w:lang w:val="fr-CH"/>
        </w:rPr>
      </w:pPr>
      <w:r w:rsidRPr="00474FC4">
        <w:rPr>
          <w:lang w:val="fr-CH"/>
        </w:rPr>
        <w:t xml:space="preserve">Au cours des travaux préparatoires visant à déterminer </w:t>
      </w:r>
      <w:r w:rsidR="00F96EF4" w:rsidRPr="00474FC4">
        <w:rPr>
          <w:lang w:val="fr-CH"/>
        </w:rPr>
        <w:t>de quelle manière les</w:t>
      </w:r>
      <w:r w:rsidRPr="00474FC4">
        <w:rPr>
          <w:lang w:val="fr-CH"/>
        </w:rPr>
        <w:t xml:space="preserve"> modifications</w:t>
      </w:r>
      <w:r w:rsidR="00F96EF4" w:rsidRPr="00474FC4">
        <w:rPr>
          <w:lang w:val="fr-CH"/>
        </w:rPr>
        <w:t xml:space="preserve"> à</w:t>
      </w:r>
      <w:r w:rsidRPr="00474FC4">
        <w:rPr>
          <w:lang w:val="fr-CH"/>
        </w:rPr>
        <w:t xml:space="preserve"> apport</w:t>
      </w:r>
      <w:r w:rsidR="00F96EF4" w:rsidRPr="00474FC4">
        <w:rPr>
          <w:lang w:val="fr-CH"/>
        </w:rPr>
        <w:t>er</w:t>
      </w:r>
      <w:r w:rsidRPr="00474FC4">
        <w:rPr>
          <w:lang w:val="fr-CH"/>
        </w:rPr>
        <w:t xml:space="preserve"> au règlement d</w:t>
      </w:r>
      <w:r w:rsidR="0072169B">
        <w:rPr>
          <w:lang w:val="fr-CH"/>
        </w:rPr>
        <w:t>’</w:t>
      </w:r>
      <w:r w:rsidRPr="00474FC4">
        <w:rPr>
          <w:lang w:val="fr-CH"/>
        </w:rPr>
        <w:t>exécution commun</w:t>
      </w:r>
      <w:r w:rsidR="00F96EF4" w:rsidRPr="00474FC4">
        <w:rPr>
          <w:lang w:val="fr-CH"/>
        </w:rPr>
        <w:t xml:space="preserve"> pourraient être mises en œuvre</w:t>
      </w:r>
      <w:r w:rsidRPr="00474FC4">
        <w:rPr>
          <w:lang w:val="fr-CH"/>
        </w:rPr>
        <w:t>, le Bureau international a recensé certain</w:t>
      </w:r>
      <w:r w:rsidR="00F96EF4" w:rsidRPr="00474FC4">
        <w:rPr>
          <w:lang w:val="fr-CH"/>
        </w:rPr>
        <w:t>e</w:t>
      </w:r>
      <w:r w:rsidRPr="00474FC4">
        <w:rPr>
          <w:lang w:val="fr-CH"/>
        </w:rPr>
        <w:t xml:space="preserve">s </w:t>
      </w:r>
      <w:r w:rsidR="00F96EF4" w:rsidRPr="00474FC4">
        <w:rPr>
          <w:lang w:val="fr-CH"/>
        </w:rPr>
        <w:t>questions</w:t>
      </w:r>
      <w:r w:rsidRPr="00474FC4">
        <w:rPr>
          <w:lang w:val="fr-CH"/>
        </w:rPr>
        <w:t xml:space="preserve"> ayant une incidence sur la mise en </w:t>
      </w:r>
      <w:r w:rsidR="00B420C2" w:rsidRPr="00474FC4">
        <w:rPr>
          <w:lang w:val="fr-CH"/>
        </w:rPr>
        <w:t>œuvre</w:t>
      </w:r>
      <w:r w:rsidRPr="00474FC4">
        <w:rPr>
          <w:lang w:val="fr-CH"/>
        </w:rPr>
        <w:t xml:space="preserve"> des modifications </w:t>
      </w:r>
      <w:r w:rsidR="00F96EF4" w:rsidRPr="00474FC4">
        <w:rPr>
          <w:lang w:val="fr-CH"/>
        </w:rPr>
        <w:t xml:space="preserve">à </w:t>
      </w:r>
      <w:r w:rsidRPr="00474FC4">
        <w:rPr>
          <w:lang w:val="fr-CH"/>
        </w:rPr>
        <w:t>apporter à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24.5)a) et d).</w:t>
      </w:r>
      <w:r w:rsidR="007C25AA" w:rsidRPr="00474FC4">
        <w:rPr>
          <w:lang w:val="fr-CH"/>
        </w:rPr>
        <w:t xml:space="preserve">  </w:t>
      </w:r>
      <w:r w:rsidR="00864BC7" w:rsidRPr="00474FC4">
        <w:rPr>
          <w:lang w:val="fr-CH"/>
        </w:rPr>
        <w:t xml:space="preserve">Ces </w:t>
      </w:r>
      <w:r w:rsidR="00F96EF4" w:rsidRPr="00474FC4">
        <w:rPr>
          <w:lang w:val="fr-CH"/>
        </w:rPr>
        <w:t>questions ont trait à</w:t>
      </w:r>
      <w:r w:rsidR="00864BC7" w:rsidRPr="00474FC4">
        <w:rPr>
          <w:lang w:val="fr-CH"/>
        </w:rPr>
        <w:t xml:space="preserve"> l</w:t>
      </w:r>
      <w:r w:rsidR="00F96EF4" w:rsidRPr="00474FC4">
        <w:rPr>
          <w:lang w:val="fr-CH"/>
        </w:rPr>
        <w:t>a</w:t>
      </w:r>
      <w:r w:rsidR="00864BC7" w:rsidRPr="00474FC4">
        <w:rPr>
          <w:lang w:val="fr-CH"/>
        </w:rPr>
        <w:t xml:space="preserve"> </w:t>
      </w:r>
      <w:r w:rsidR="00F96EF4" w:rsidRPr="00474FC4">
        <w:rPr>
          <w:lang w:val="fr-CH"/>
        </w:rPr>
        <w:t>nécessité</w:t>
      </w:r>
      <w:r w:rsidR="00864BC7" w:rsidRPr="00474FC4">
        <w:rPr>
          <w:lang w:val="fr-CH"/>
        </w:rPr>
        <w:t xml:space="preserve"> de vérifier la classification des indications énumérées dans les désignations postérieures d</w:t>
      </w:r>
      <w:r w:rsidR="0072169B">
        <w:rPr>
          <w:lang w:val="fr-CH"/>
        </w:rPr>
        <w:t>’</w:t>
      </w:r>
      <w:r w:rsidR="00864BC7" w:rsidRPr="00474FC4">
        <w:rPr>
          <w:lang w:val="fr-CH"/>
        </w:rPr>
        <w:t>après des</w:t>
      </w:r>
      <w:r w:rsidR="00EA5D7F">
        <w:rPr>
          <w:lang w:val="fr-CH"/>
        </w:rPr>
        <w:t xml:space="preserve"> éditions plus anciennes de la C</w:t>
      </w:r>
      <w:r w:rsidR="00864BC7" w:rsidRPr="00474FC4">
        <w:rPr>
          <w:lang w:val="fr-CH"/>
        </w:rPr>
        <w:t>lassification internationale des produits et services aux fins de l</w:t>
      </w:r>
      <w:r w:rsidR="0072169B">
        <w:rPr>
          <w:lang w:val="fr-CH"/>
        </w:rPr>
        <w:t>’</w:t>
      </w:r>
      <w:r w:rsidR="00EA5D7F">
        <w:rPr>
          <w:lang w:val="fr-CH"/>
        </w:rPr>
        <w:t>enregistrement des marques (C</w:t>
      </w:r>
      <w:r w:rsidR="00864BC7" w:rsidRPr="00474FC4">
        <w:rPr>
          <w:lang w:val="fr-CH"/>
        </w:rPr>
        <w:t xml:space="preserve">lassification de </w:t>
      </w:r>
      <w:r w:rsidR="00F96EF4" w:rsidRPr="00474FC4">
        <w:rPr>
          <w:lang w:val="fr-CH"/>
        </w:rPr>
        <w:t xml:space="preserve">Nice); </w:t>
      </w:r>
      <w:r w:rsidR="00864BC7" w:rsidRPr="00474FC4">
        <w:rPr>
          <w:lang w:val="fr-CH"/>
        </w:rPr>
        <w:t xml:space="preserve"> </w:t>
      </w:r>
      <w:r w:rsidR="00F96EF4" w:rsidRPr="00474FC4">
        <w:rPr>
          <w:lang w:val="fr-CH"/>
        </w:rPr>
        <w:t>à</w:t>
      </w:r>
      <w:r w:rsidR="00864BC7" w:rsidRPr="00474FC4">
        <w:rPr>
          <w:lang w:val="fr-CH"/>
        </w:rPr>
        <w:t xml:space="preserve"> une hausse attendue de la charge de travail </w:t>
      </w:r>
      <w:r w:rsidR="00F96EF4" w:rsidRPr="00474FC4">
        <w:rPr>
          <w:lang w:val="fr-CH"/>
        </w:rPr>
        <w:t>liée à l</w:t>
      </w:r>
      <w:r w:rsidR="0072169B">
        <w:rPr>
          <w:lang w:val="fr-CH"/>
        </w:rPr>
        <w:t>’</w:t>
      </w:r>
      <w:r w:rsidR="00F96EF4" w:rsidRPr="00474FC4">
        <w:rPr>
          <w:lang w:val="fr-CH"/>
        </w:rPr>
        <w:t xml:space="preserve">examen </w:t>
      </w:r>
      <w:r w:rsidR="00864BC7" w:rsidRPr="00474FC4">
        <w:rPr>
          <w:lang w:val="fr-CH"/>
        </w:rPr>
        <w:t xml:space="preserve">et </w:t>
      </w:r>
      <w:r w:rsidR="00474FC4" w:rsidRPr="00474FC4">
        <w:rPr>
          <w:lang w:val="fr-CH"/>
        </w:rPr>
        <w:t>à</w:t>
      </w:r>
      <w:r w:rsidR="00F96EF4" w:rsidRPr="00474FC4">
        <w:rPr>
          <w:lang w:val="fr-CH"/>
        </w:rPr>
        <w:t xml:space="preserve"> </w:t>
      </w:r>
      <w:r w:rsidR="00864BC7" w:rsidRPr="00474FC4">
        <w:rPr>
          <w:lang w:val="fr-CH"/>
        </w:rPr>
        <w:t>la complexité</w:t>
      </w:r>
      <w:r w:rsidR="00F96EF4" w:rsidRPr="00474FC4">
        <w:rPr>
          <w:lang w:val="fr-CH"/>
        </w:rPr>
        <w:t xml:space="preserve"> </w:t>
      </w:r>
      <w:r w:rsidR="00474FC4" w:rsidRPr="00474FC4">
        <w:rPr>
          <w:lang w:val="fr-CH"/>
        </w:rPr>
        <w:t xml:space="preserve">accrue </w:t>
      </w:r>
      <w:r w:rsidR="00F96EF4" w:rsidRPr="00474FC4">
        <w:rPr>
          <w:lang w:val="fr-CH"/>
        </w:rPr>
        <w:t>de cet</w:t>
      </w:r>
      <w:r w:rsidR="00474FC4" w:rsidRPr="00474FC4">
        <w:rPr>
          <w:lang w:val="fr-CH"/>
        </w:rPr>
        <w:t>te procédure</w:t>
      </w:r>
      <w:r w:rsidR="00F96EF4" w:rsidRPr="00474FC4">
        <w:rPr>
          <w:lang w:val="fr-CH"/>
        </w:rPr>
        <w:t xml:space="preserve">; </w:t>
      </w:r>
      <w:r w:rsidR="00864BC7" w:rsidRPr="00474FC4">
        <w:rPr>
          <w:lang w:val="fr-CH"/>
        </w:rPr>
        <w:t xml:space="preserve"> </w:t>
      </w:r>
      <w:r w:rsidR="00F96EF4" w:rsidRPr="00474FC4">
        <w:rPr>
          <w:lang w:val="fr-CH"/>
        </w:rPr>
        <w:t>aux</w:t>
      </w:r>
      <w:r w:rsidR="00864BC7" w:rsidRPr="00474FC4">
        <w:rPr>
          <w:lang w:val="fr-CH"/>
        </w:rPr>
        <w:t xml:space="preserve"> contraintes qui </w:t>
      </w:r>
      <w:r w:rsidR="00F96EF4" w:rsidRPr="00474FC4">
        <w:rPr>
          <w:lang w:val="fr-CH"/>
        </w:rPr>
        <w:t>pèsent sur ce qui pourrait être accompli</w:t>
      </w:r>
      <w:r w:rsidR="00864BC7" w:rsidRPr="00474FC4">
        <w:rPr>
          <w:lang w:val="fr-CH"/>
        </w:rPr>
        <w:t xml:space="preserve"> </w:t>
      </w:r>
      <w:r w:rsidR="00F96EF4" w:rsidRPr="00474FC4">
        <w:rPr>
          <w:lang w:val="fr-CH"/>
        </w:rPr>
        <w:t>grâce à</w:t>
      </w:r>
      <w:r w:rsidR="00864BC7" w:rsidRPr="00474FC4">
        <w:rPr>
          <w:lang w:val="fr-CH"/>
        </w:rPr>
        <w:t xml:space="preserve"> l</w:t>
      </w:r>
      <w:r w:rsidR="0072169B">
        <w:rPr>
          <w:lang w:val="fr-CH"/>
        </w:rPr>
        <w:t>’</w:t>
      </w:r>
      <w:r w:rsidR="00864BC7" w:rsidRPr="00474FC4">
        <w:rPr>
          <w:lang w:val="fr-CH"/>
        </w:rPr>
        <w:t>automatisation</w:t>
      </w:r>
      <w:r w:rsidR="00F96EF4" w:rsidRPr="00474FC4">
        <w:rPr>
          <w:lang w:val="fr-CH"/>
        </w:rPr>
        <w:t>;</w:t>
      </w:r>
      <w:r w:rsidR="00864BC7" w:rsidRPr="00474FC4">
        <w:rPr>
          <w:lang w:val="fr-CH"/>
        </w:rPr>
        <w:t xml:space="preserve"> </w:t>
      </w:r>
      <w:r w:rsidR="00F96EF4" w:rsidRPr="00474FC4">
        <w:rPr>
          <w:lang w:val="fr-CH"/>
        </w:rPr>
        <w:t xml:space="preserve"> </w:t>
      </w:r>
      <w:r w:rsidR="00864BC7" w:rsidRPr="00474FC4">
        <w:rPr>
          <w:lang w:val="fr-CH"/>
        </w:rPr>
        <w:t xml:space="preserve">et </w:t>
      </w:r>
      <w:r w:rsidR="00BC0434" w:rsidRPr="00474FC4">
        <w:rPr>
          <w:lang w:val="fr-CH"/>
        </w:rPr>
        <w:t>aux</w:t>
      </w:r>
      <w:r w:rsidR="00864BC7" w:rsidRPr="00474FC4">
        <w:rPr>
          <w:lang w:val="fr-CH"/>
        </w:rPr>
        <w:t xml:space="preserve"> ressources et</w:t>
      </w:r>
      <w:r w:rsidR="00F96EF4" w:rsidRPr="00474FC4">
        <w:rPr>
          <w:lang w:val="fr-CH"/>
        </w:rPr>
        <w:t xml:space="preserve"> </w:t>
      </w:r>
      <w:r w:rsidR="00864BC7" w:rsidRPr="00474FC4">
        <w:rPr>
          <w:lang w:val="fr-CH"/>
        </w:rPr>
        <w:t xml:space="preserve">compétences nécessaires pour mettre en </w:t>
      </w:r>
      <w:r w:rsidR="00B420C2" w:rsidRPr="00474FC4">
        <w:rPr>
          <w:lang w:val="fr-CH"/>
        </w:rPr>
        <w:t>œuvre</w:t>
      </w:r>
      <w:r w:rsidR="00864BC7" w:rsidRPr="00474FC4">
        <w:rPr>
          <w:lang w:val="fr-CH"/>
        </w:rPr>
        <w:t xml:space="preserve"> la règle modifiée.</w:t>
      </w:r>
    </w:p>
    <w:p w:rsidR="000C145C" w:rsidRPr="00474FC4" w:rsidRDefault="00A80037" w:rsidP="00FB31FD">
      <w:pPr>
        <w:pStyle w:val="ONUMFS"/>
        <w:rPr>
          <w:lang w:val="fr-CH"/>
        </w:rPr>
      </w:pPr>
      <w:r w:rsidRPr="00474FC4">
        <w:rPr>
          <w:lang w:val="fr-CH"/>
        </w:rPr>
        <w:t>Dans ce contexte, il est nécessaire de porter ces questions de mise en œuvre à l</w:t>
      </w:r>
      <w:r w:rsidR="0072169B">
        <w:rPr>
          <w:lang w:val="fr-CH"/>
        </w:rPr>
        <w:t>’</w:t>
      </w:r>
      <w:r w:rsidRPr="00474FC4">
        <w:rPr>
          <w:lang w:val="fr-CH"/>
        </w:rPr>
        <w:t>attention du groupe de travail, car un examen des modifications à apporter à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24.5)a) et</w:t>
      </w:r>
      <w:r w:rsidR="00DE73D1">
        <w:rPr>
          <w:lang w:val="fr-CH"/>
        </w:rPr>
        <w:t> </w:t>
      </w:r>
      <w:r w:rsidRPr="00474FC4">
        <w:rPr>
          <w:lang w:val="fr-CH"/>
        </w:rPr>
        <w:t>d)</w:t>
      </w:r>
      <w:r w:rsidR="00C7440C">
        <w:rPr>
          <w:lang w:val="fr-CH"/>
        </w:rPr>
        <w:t> </w:t>
      </w:r>
      <w:r w:rsidRPr="00474FC4">
        <w:rPr>
          <w:lang w:val="fr-CH"/>
        </w:rPr>
        <w:t>pourrait être requis.</w:t>
      </w:r>
    </w:p>
    <w:p w:rsidR="000C145C" w:rsidRPr="00474FC4" w:rsidRDefault="00A80037" w:rsidP="00FB31FD">
      <w:pPr>
        <w:pStyle w:val="ONUMFS"/>
        <w:rPr>
          <w:lang w:val="fr-CH"/>
        </w:rPr>
      </w:pPr>
      <w:r w:rsidRPr="00474FC4">
        <w:rPr>
          <w:lang w:val="fr-CH"/>
        </w:rPr>
        <w:t xml:space="preserve">Puisque le Bureau international ne voit aucun problème </w:t>
      </w:r>
      <w:r w:rsidR="00474FC4" w:rsidRPr="00474FC4">
        <w:rPr>
          <w:lang w:val="fr-CH"/>
        </w:rPr>
        <w:t>lié à la</w:t>
      </w:r>
      <w:r w:rsidRPr="00474FC4">
        <w:rPr>
          <w:lang w:val="fr-CH"/>
        </w:rPr>
        <w:t xml:space="preserve"> mise en </w:t>
      </w:r>
      <w:r w:rsidR="008A21B0" w:rsidRPr="00474FC4">
        <w:rPr>
          <w:lang w:val="fr-CH"/>
        </w:rPr>
        <w:t>œuvre</w:t>
      </w:r>
      <w:r w:rsidRPr="00474FC4">
        <w:rPr>
          <w:lang w:val="fr-CH"/>
        </w:rPr>
        <w:t xml:space="preserve"> </w:t>
      </w:r>
      <w:r w:rsidR="00474FC4" w:rsidRPr="00474FC4">
        <w:rPr>
          <w:lang w:val="fr-CH"/>
        </w:rPr>
        <w:t>de</w:t>
      </w:r>
      <w:r w:rsidRPr="00474FC4">
        <w:rPr>
          <w:lang w:val="fr-CH"/>
        </w:rPr>
        <w:t xml:space="preserve"> la modification de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24.5)c), celle</w:t>
      </w:r>
      <w:r w:rsidR="00297348">
        <w:rPr>
          <w:lang w:val="fr-CH"/>
        </w:rPr>
        <w:noBreakHyphen/>
      </w:r>
      <w:r w:rsidRPr="00474FC4">
        <w:rPr>
          <w:lang w:val="fr-CH"/>
        </w:rPr>
        <w:t>ci resterait telle qu</w:t>
      </w:r>
      <w:r w:rsidR="0072169B">
        <w:rPr>
          <w:lang w:val="fr-CH"/>
        </w:rPr>
        <w:t>’</w:t>
      </w:r>
      <w:r w:rsidRPr="00474FC4">
        <w:rPr>
          <w:lang w:val="fr-CH"/>
        </w:rPr>
        <w:t>elle a été adoptée par l</w:t>
      </w:r>
      <w:r w:rsidR="0072169B">
        <w:rPr>
          <w:lang w:val="fr-CH"/>
        </w:rPr>
        <w:t>’</w:t>
      </w:r>
      <w:r w:rsidRPr="00474FC4">
        <w:rPr>
          <w:lang w:val="fr-CH"/>
        </w:rPr>
        <w:t>Assemblée de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Union de Madrid, pour une entrée en vigueur au </w:t>
      </w:r>
      <w:r w:rsidR="0072169B" w:rsidRPr="00474FC4">
        <w:rPr>
          <w:lang w:val="fr-CH"/>
        </w:rPr>
        <w:t>1</w:t>
      </w:r>
      <w:r w:rsidR="0072169B" w:rsidRPr="00474FC4">
        <w:rPr>
          <w:vertAlign w:val="superscript"/>
          <w:lang w:val="fr-CH"/>
        </w:rPr>
        <w:t>er</w:t>
      </w:r>
      <w:r w:rsidR="0072169B">
        <w:rPr>
          <w:lang w:val="fr-CH"/>
        </w:rPr>
        <w:t> </w:t>
      </w:r>
      <w:r w:rsidR="0072169B" w:rsidRPr="00474FC4">
        <w:rPr>
          <w:lang w:val="fr-CH"/>
        </w:rPr>
        <w:t>novembre</w:t>
      </w:r>
      <w:r w:rsidR="0072169B">
        <w:rPr>
          <w:lang w:val="fr-CH"/>
        </w:rPr>
        <w:t> </w:t>
      </w:r>
      <w:r w:rsidR="0072169B" w:rsidRPr="00474FC4">
        <w:rPr>
          <w:lang w:val="fr-CH"/>
        </w:rPr>
        <w:t>20</w:t>
      </w:r>
      <w:r w:rsidRPr="00474FC4">
        <w:rPr>
          <w:lang w:val="fr-CH"/>
        </w:rPr>
        <w:t>17.</w:t>
      </w:r>
    </w:p>
    <w:p w:rsidR="0072169B" w:rsidRDefault="00A80037" w:rsidP="00A80037">
      <w:pPr>
        <w:pStyle w:val="Heading1"/>
        <w:rPr>
          <w:lang w:val="fr-CH"/>
        </w:rPr>
      </w:pPr>
      <w:r w:rsidRPr="00474FC4">
        <w:rPr>
          <w:lang w:val="fr-CH"/>
        </w:rPr>
        <w:t xml:space="preserve">QUESTIONS </w:t>
      </w:r>
      <w:r w:rsidR="00474FC4" w:rsidRPr="00474FC4">
        <w:rPr>
          <w:lang w:val="fr-CH"/>
        </w:rPr>
        <w:t xml:space="preserve">particulières LIÉES À LA </w:t>
      </w:r>
      <w:r w:rsidRPr="00474FC4">
        <w:rPr>
          <w:lang w:val="fr-CH"/>
        </w:rPr>
        <w:t>mise en œuvre</w:t>
      </w:r>
    </w:p>
    <w:p w:rsidR="0072169B" w:rsidRDefault="00A80037" w:rsidP="00A80037">
      <w:pPr>
        <w:pStyle w:val="Heading2"/>
        <w:rPr>
          <w:lang w:val="fr-CH"/>
        </w:rPr>
      </w:pPr>
      <w:r w:rsidRPr="00474FC4">
        <w:rPr>
          <w:lang w:val="fr-CH"/>
        </w:rPr>
        <w:t xml:space="preserve">VÉRIFICATION </w:t>
      </w:r>
      <w:r w:rsidR="00FB31FD">
        <w:rPr>
          <w:lang w:val="fr-CH"/>
        </w:rPr>
        <w:t>FONDÉE</w:t>
      </w:r>
      <w:r w:rsidR="00474FC4" w:rsidRPr="00474FC4">
        <w:rPr>
          <w:lang w:val="fr-CH"/>
        </w:rPr>
        <w:t xml:space="preserve"> SUR</w:t>
      </w:r>
      <w:r w:rsidRPr="00474FC4">
        <w:rPr>
          <w:lang w:val="fr-CH"/>
        </w:rPr>
        <w:t xml:space="preserve"> des éditions plus anciennes de la classification de Nice</w:t>
      </w:r>
    </w:p>
    <w:p w:rsidR="000C145C" w:rsidRPr="00474FC4" w:rsidRDefault="000C145C" w:rsidP="007C25AA">
      <w:pPr>
        <w:rPr>
          <w:lang w:val="fr-CH"/>
        </w:rPr>
      </w:pPr>
    </w:p>
    <w:p w:rsidR="000C145C" w:rsidRPr="00474FC4" w:rsidRDefault="008A21B0" w:rsidP="00FB31FD">
      <w:pPr>
        <w:pStyle w:val="ONUMFS"/>
        <w:rPr>
          <w:lang w:val="fr-CH"/>
        </w:rPr>
      </w:pPr>
      <w:r w:rsidRPr="00474FC4">
        <w:rPr>
          <w:lang w:val="fr-CH"/>
        </w:rPr>
        <w:t xml:space="preserve">Le Bureau international contrôle le classement des indications de produits et services figurant dans les </w:t>
      </w:r>
      <w:r w:rsidR="00F327FD">
        <w:rPr>
          <w:lang w:val="fr-CH"/>
        </w:rPr>
        <w:t>demandes d’</w:t>
      </w:r>
      <w:r w:rsidRPr="00474FC4">
        <w:rPr>
          <w:lang w:val="fr-CH"/>
        </w:rPr>
        <w:t xml:space="preserve">enregistrements internationaux </w:t>
      </w:r>
      <w:r w:rsidR="00CE4046" w:rsidRPr="00474FC4">
        <w:rPr>
          <w:lang w:val="fr-CH"/>
        </w:rPr>
        <w:t>conformément à</w:t>
      </w:r>
      <w:r w:rsidRPr="00474FC4">
        <w:rPr>
          <w:lang w:val="fr-CH"/>
        </w:rPr>
        <w:t xml:space="preserve"> l</w:t>
      </w:r>
      <w:r w:rsidR="0072169B">
        <w:rPr>
          <w:lang w:val="fr-CH"/>
        </w:rPr>
        <w:t>’</w:t>
      </w:r>
      <w:r w:rsidRPr="00474FC4">
        <w:rPr>
          <w:lang w:val="fr-CH"/>
        </w:rPr>
        <w:t>édition ou</w:t>
      </w:r>
      <w:r w:rsidR="00CE4046" w:rsidRPr="00474FC4">
        <w:rPr>
          <w:lang w:val="fr-CH"/>
        </w:rPr>
        <w:t xml:space="preserve"> à</w:t>
      </w:r>
      <w:r w:rsidRPr="00474FC4">
        <w:rPr>
          <w:lang w:val="fr-CH"/>
        </w:rPr>
        <w:t xml:space="preserve"> la </w:t>
      </w:r>
      <w:r w:rsidR="00EA5D7F">
        <w:rPr>
          <w:lang w:val="fr-CH"/>
        </w:rPr>
        <w:t>version de la C</w:t>
      </w:r>
      <w:r w:rsidRPr="00474FC4">
        <w:rPr>
          <w:lang w:val="fr-CH"/>
        </w:rPr>
        <w:t>lassification de Nice en vigueur à la date à laquelle l</w:t>
      </w:r>
      <w:r w:rsidR="0072169B">
        <w:rPr>
          <w:lang w:val="fr-CH"/>
        </w:rPr>
        <w:t>’</w:t>
      </w:r>
      <w:r w:rsidRPr="00474FC4">
        <w:rPr>
          <w:lang w:val="fr-CH"/>
        </w:rPr>
        <w:t>office d</w:t>
      </w:r>
      <w:r w:rsidR="0072169B">
        <w:rPr>
          <w:lang w:val="fr-CH"/>
        </w:rPr>
        <w:t>’</w:t>
      </w:r>
      <w:r w:rsidRPr="00474FC4">
        <w:rPr>
          <w:lang w:val="fr-CH"/>
        </w:rPr>
        <w:t>origine a reçu la demande d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 international.</w:t>
      </w:r>
      <w:r w:rsidR="007C25AA" w:rsidRPr="00474FC4">
        <w:rPr>
          <w:lang w:val="fr-CH"/>
        </w:rPr>
        <w:t xml:space="preserve">  </w:t>
      </w:r>
      <w:r w:rsidR="00E45CD5" w:rsidRPr="00474FC4">
        <w:rPr>
          <w:lang w:val="fr-CH"/>
        </w:rPr>
        <w:t xml:space="preserve">Le Bureau international ne procède pas au reclassement de la liste des produits et services à </w:t>
      </w:r>
      <w:r w:rsidR="00CE4046" w:rsidRPr="00474FC4">
        <w:rPr>
          <w:lang w:val="fr-CH"/>
        </w:rPr>
        <w:t xml:space="preserve">un </w:t>
      </w:r>
      <w:r w:rsidR="00E45CD5" w:rsidRPr="00474FC4">
        <w:rPr>
          <w:lang w:val="fr-CH"/>
        </w:rPr>
        <w:t>quel</w:t>
      </w:r>
      <w:r w:rsidR="00CE4046" w:rsidRPr="00474FC4">
        <w:rPr>
          <w:lang w:val="fr-CH"/>
        </w:rPr>
        <w:t>conqu</w:t>
      </w:r>
      <w:r w:rsidR="00E45CD5" w:rsidRPr="00474FC4">
        <w:rPr>
          <w:lang w:val="fr-CH"/>
        </w:rPr>
        <w:t>e moment après cela, et ni le</w:t>
      </w:r>
      <w:r w:rsidR="00DE73D1">
        <w:rPr>
          <w:lang w:val="fr-CH"/>
        </w:rPr>
        <w:t>s</w:t>
      </w:r>
      <w:r w:rsidR="00E45CD5" w:rsidRPr="00474FC4">
        <w:rPr>
          <w:lang w:val="fr-CH"/>
        </w:rPr>
        <w:t xml:space="preserve"> traité</w:t>
      </w:r>
      <w:r w:rsidR="00DE73D1">
        <w:rPr>
          <w:lang w:val="fr-CH"/>
        </w:rPr>
        <w:t>s</w:t>
      </w:r>
      <w:r w:rsidR="00E45CD5" w:rsidRPr="00474FC4">
        <w:rPr>
          <w:lang w:val="fr-CH"/>
        </w:rPr>
        <w:t xml:space="preserve"> ni le règlement d</w:t>
      </w:r>
      <w:r w:rsidR="0072169B">
        <w:rPr>
          <w:lang w:val="fr-CH"/>
        </w:rPr>
        <w:t>’</w:t>
      </w:r>
      <w:r w:rsidR="00E45CD5" w:rsidRPr="00474FC4">
        <w:rPr>
          <w:lang w:val="fr-CH"/>
        </w:rPr>
        <w:t>exécution commun ne prévoi</w:t>
      </w:r>
      <w:r w:rsidR="00CE4046" w:rsidRPr="00474FC4">
        <w:rPr>
          <w:lang w:val="fr-CH"/>
        </w:rPr>
        <w:t>en</w:t>
      </w:r>
      <w:r w:rsidR="00E45CD5" w:rsidRPr="00474FC4">
        <w:rPr>
          <w:lang w:val="fr-CH"/>
        </w:rPr>
        <w:t>t de mandat pour cela</w:t>
      </w:r>
      <w:r w:rsidR="00E45CD5" w:rsidRPr="00474FC4">
        <w:rPr>
          <w:rStyle w:val="FootnoteReference"/>
          <w:lang w:val="fr-CH"/>
        </w:rPr>
        <w:footnoteReference w:id="3"/>
      </w:r>
      <w:r w:rsidR="00E45CD5" w:rsidRPr="00474FC4">
        <w:rPr>
          <w:lang w:val="fr-CH"/>
        </w:rPr>
        <w:t>.</w:t>
      </w:r>
    </w:p>
    <w:p w:rsidR="000C145C" w:rsidRPr="00474FC4" w:rsidRDefault="00CE4046" w:rsidP="00FB31FD">
      <w:pPr>
        <w:pStyle w:val="ONUMFS"/>
        <w:rPr>
          <w:lang w:val="fr-CH"/>
        </w:rPr>
      </w:pPr>
      <w:r w:rsidRPr="00474FC4">
        <w:rPr>
          <w:lang w:val="fr-CH"/>
        </w:rPr>
        <w:t>Selon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 modifiée, le Bureau international devrait vérifier le classement des produits et services figurant dans une désignation postérieure et notifier au titulaire toute irrégularité dans le classement.</w:t>
      </w:r>
      <w:r w:rsidR="007C25AA" w:rsidRPr="00474FC4">
        <w:rPr>
          <w:lang w:val="fr-CH"/>
        </w:rPr>
        <w:t xml:space="preserve">  </w:t>
      </w:r>
      <w:r w:rsidR="00065F57" w:rsidRPr="00474FC4">
        <w:rPr>
          <w:lang w:val="fr-CH"/>
        </w:rPr>
        <w:t>Dans un souci de cohérence, les produits et services figurant dans une désignation postérieure devraient être énumérés par le titulaire et vérifiés par le Bureau international conformément à l</w:t>
      </w:r>
      <w:r w:rsidR="0072169B">
        <w:rPr>
          <w:lang w:val="fr-CH"/>
        </w:rPr>
        <w:t>’</w:t>
      </w:r>
      <w:r w:rsidR="00065F57" w:rsidRPr="00474FC4">
        <w:rPr>
          <w:lang w:val="fr-CH"/>
        </w:rPr>
        <w:t xml:space="preserve">édition et à la version de la </w:t>
      </w:r>
      <w:r w:rsidR="00EA5D7F">
        <w:rPr>
          <w:lang w:val="fr-CH"/>
        </w:rPr>
        <w:t>C</w:t>
      </w:r>
      <w:r w:rsidR="00065F57" w:rsidRPr="00474FC4">
        <w:rPr>
          <w:lang w:val="fr-CH"/>
        </w:rPr>
        <w:t>lassification de Nice qui a été utilisée pour le classement de la liste principale dans l</w:t>
      </w:r>
      <w:r w:rsidR="0072169B">
        <w:rPr>
          <w:lang w:val="fr-CH"/>
        </w:rPr>
        <w:t>’</w:t>
      </w:r>
      <w:r w:rsidR="00065F57" w:rsidRPr="00474FC4">
        <w:rPr>
          <w:lang w:val="fr-CH"/>
        </w:rPr>
        <w:t>enregistrement international concerné.</w:t>
      </w:r>
    </w:p>
    <w:p w:rsidR="000C145C" w:rsidRPr="00474FC4" w:rsidRDefault="00E7455F" w:rsidP="00FB31FD">
      <w:pPr>
        <w:pStyle w:val="ONUMFS"/>
        <w:rPr>
          <w:lang w:val="fr-CH"/>
        </w:rPr>
      </w:pPr>
      <w:r w:rsidRPr="00474FC4">
        <w:rPr>
          <w:lang w:val="fr-CH"/>
        </w:rPr>
        <w:t>Le tableau 1 ci</w:t>
      </w:r>
      <w:r w:rsidR="00297348">
        <w:rPr>
          <w:lang w:val="fr-CH"/>
        </w:rPr>
        <w:noBreakHyphen/>
      </w:r>
      <w:r w:rsidRPr="00474FC4">
        <w:rPr>
          <w:lang w:val="fr-CH"/>
        </w:rPr>
        <w:t>dessous indique le nombre d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enregistrements internationaux en vigueur correspondant aux diver</w:t>
      </w:r>
      <w:r w:rsidR="00EA5D7F">
        <w:rPr>
          <w:lang w:val="fr-CH"/>
        </w:rPr>
        <w:t>ses éditions et versions de la C</w:t>
      </w:r>
      <w:r w:rsidRPr="00474FC4">
        <w:rPr>
          <w:lang w:val="fr-CH"/>
        </w:rPr>
        <w:t xml:space="preserve">lassification de Nice utilisées pour </w:t>
      </w:r>
      <w:r w:rsidR="00474FC4" w:rsidRPr="00474FC4">
        <w:rPr>
          <w:lang w:val="fr-CH"/>
        </w:rPr>
        <w:t xml:space="preserve">le </w:t>
      </w:r>
      <w:r w:rsidRPr="00474FC4">
        <w:rPr>
          <w:lang w:val="fr-CH"/>
        </w:rPr>
        <w:t xml:space="preserve">classement </w:t>
      </w:r>
      <w:r w:rsidR="00474FC4" w:rsidRPr="00474FC4">
        <w:rPr>
          <w:lang w:val="fr-CH"/>
        </w:rPr>
        <w:t>de</w:t>
      </w:r>
      <w:r w:rsidRPr="00474FC4">
        <w:rPr>
          <w:lang w:val="fr-CH"/>
        </w:rPr>
        <w:t xml:space="preserve"> la liste principale</w:t>
      </w:r>
      <w:r w:rsidR="00474FC4" w:rsidRPr="00474FC4">
        <w:rPr>
          <w:lang w:val="fr-CH"/>
        </w:rPr>
        <w:t xml:space="preserve"> qui s</w:t>
      </w:r>
      <w:r w:rsidR="0072169B">
        <w:rPr>
          <w:lang w:val="fr-CH"/>
        </w:rPr>
        <w:t>’</w:t>
      </w:r>
      <w:r w:rsidR="00474FC4" w:rsidRPr="00474FC4">
        <w:rPr>
          <w:lang w:val="fr-CH"/>
        </w:rPr>
        <w:t>y rapporte</w:t>
      </w:r>
      <w:r w:rsidRPr="00474FC4">
        <w:rPr>
          <w:lang w:val="fr-CH"/>
        </w:rPr>
        <w:t xml:space="preserve">. </w:t>
      </w:r>
      <w:r w:rsidR="00474FC4" w:rsidRPr="00474FC4">
        <w:rPr>
          <w:lang w:val="fr-CH"/>
        </w:rPr>
        <w:t xml:space="preserve"> </w:t>
      </w:r>
      <w:r w:rsidRPr="00474FC4">
        <w:rPr>
          <w:lang w:val="fr-CH"/>
        </w:rPr>
        <w:t>Ainsi que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indique le tableau, une désignation postérieure pourrait contenir des produits et services énumérés dans presque toutes </w:t>
      </w:r>
      <w:r w:rsidR="00EA5D7F">
        <w:rPr>
          <w:lang w:val="fr-CH"/>
        </w:rPr>
        <w:t>les éditions ou versions de la C</w:t>
      </w:r>
      <w:r w:rsidRPr="00474FC4">
        <w:rPr>
          <w:lang w:val="fr-CH"/>
        </w:rPr>
        <w:t>lassification de Nice et, selon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 modifiée, le Bureau international est désormais chargé de vérifier ce classement.</w:t>
      </w:r>
    </w:p>
    <w:p w:rsidR="00DE73D1" w:rsidRDefault="00DE73D1" w:rsidP="00E7455F">
      <w:pPr>
        <w:pStyle w:val="Heading4"/>
        <w:rPr>
          <w:lang w:val="fr-CH"/>
        </w:rPr>
      </w:pPr>
      <w:r>
        <w:rPr>
          <w:lang w:val="fr-CH"/>
        </w:rPr>
        <w:br w:type="page"/>
      </w:r>
    </w:p>
    <w:p w:rsidR="000C145C" w:rsidRPr="00474FC4" w:rsidRDefault="00E7455F" w:rsidP="00E7455F">
      <w:pPr>
        <w:pStyle w:val="Heading4"/>
        <w:rPr>
          <w:lang w:val="fr-CH"/>
        </w:rPr>
      </w:pPr>
      <w:r w:rsidRPr="00474FC4">
        <w:rPr>
          <w:lang w:val="fr-CH"/>
        </w:rPr>
        <w:t>Tableau I – Nombre d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enregistrements internationaux par édition et version de la </w:t>
      </w:r>
      <w:r w:rsidR="00EA5D7F">
        <w:rPr>
          <w:lang w:val="fr-CH"/>
        </w:rPr>
        <w:t>C</w:t>
      </w:r>
      <w:r w:rsidRPr="00474FC4">
        <w:rPr>
          <w:lang w:val="fr-CH"/>
        </w:rPr>
        <w:t>lassification de Nice</w:t>
      </w:r>
    </w:p>
    <w:p w:rsidR="00B11D45" w:rsidRPr="00474FC4" w:rsidRDefault="00B11D45" w:rsidP="00B11D45">
      <w:pPr>
        <w:rPr>
          <w:lang w:val="fr-CH"/>
        </w:rPr>
      </w:pPr>
    </w:p>
    <w:tbl>
      <w:tblPr>
        <w:tblW w:w="7665" w:type="dxa"/>
        <w:jc w:val="center"/>
        <w:tblInd w:w="93" w:type="dxa"/>
        <w:tblLook w:val="04A0" w:firstRow="1" w:lastRow="0" w:firstColumn="1" w:lastColumn="0" w:noHBand="0" w:noVBand="1"/>
      </w:tblPr>
      <w:tblGrid>
        <w:gridCol w:w="1815"/>
        <w:gridCol w:w="2610"/>
        <w:gridCol w:w="1950"/>
        <w:gridCol w:w="1440"/>
      </w:tblGrid>
      <w:tr w:rsidR="00474FC4" w:rsidRPr="00297348" w:rsidTr="007C6EAB">
        <w:trPr>
          <w:trHeight w:val="885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297348" w:rsidRDefault="00786703" w:rsidP="00E7455F">
            <w:pPr>
              <w:jc w:val="center"/>
              <w:rPr>
                <w:rFonts w:eastAsia="Times New Roman"/>
                <w:b/>
                <w:bCs/>
                <w:sz w:val="20"/>
                <w:lang w:val="fr-FR"/>
              </w:rPr>
            </w:pPr>
            <w:r w:rsidRPr="00297348">
              <w:rPr>
                <w:rFonts w:eastAsia="Times New Roman"/>
                <w:b/>
                <w:bCs/>
                <w:sz w:val="20"/>
                <w:lang w:val="fr-FR"/>
              </w:rPr>
              <w:t>É</w:t>
            </w:r>
            <w:r w:rsidR="00E7455F" w:rsidRPr="00297348">
              <w:rPr>
                <w:rFonts w:eastAsia="Times New Roman"/>
                <w:b/>
                <w:bCs/>
                <w:sz w:val="20"/>
                <w:lang w:val="fr-FR"/>
              </w:rPr>
              <w:t>dition et version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b/>
                <w:bCs/>
                <w:sz w:val="20"/>
                <w:lang w:val="fr-FR"/>
              </w:rPr>
            </w:pPr>
            <w:r w:rsidRPr="00297348">
              <w:rPr>
                <w:rFonts w:eastAsia="Times New Roman"/>
                <w:b/>
                <w:bCs/>
                <w:sz w:val="20"/>
                <w:lang w:val="fr-FR"/>
              </w:rPr>
              <w:t>Publication ou entrée en vigueur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b/>
                <w:bCs/>
                <w:sz w:val="20"/>
                <w:lang w:val="fr-FR"/>
              </w:rPr>
            </w:pPr>
            <w:r w:rsidRPr="00297348">
              <w:rPr>
                <w:rFonts w:eastAsia="Times New Roman"/>
                <w:b/>
                <w:bCs/>
                <w:sz w:val="20"/>
                <w:lang w:val="fr-FR"/>
              </w:rPr>
              <w:t>Nombre d</w:t>
            </w:r>
            <w:r w:rsidR="0072169B" w:rsidRPr="00297348">
              <w:rPr>
                <w:rFonts w:eastAsia="Times New Roman"/>
                <w:b/>
                <w:bCs/>
                <w:sz w:val="20"/>
                <w:lang w:val="fr-FR"/>
              </w:rPr>
              <w:t>’</w:t>
            </w:r>
            <w:r w:rsidRPr="00297348">
              <w:rPr>
                <w:rFonts w:eastAsia="Times New Roman"/>
                <w:b/>
                <w:bCs/>
                <w:sz w:val="20"/>
                <w:lang w:val="fr-FR"/>
              </w:rPr>
              <w:t>enregistrements internationaux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b/>
                <w:bCs/>
                <w:sz w:val="20"/>
                <w:lang w:val="fr-FR"/>
              </w:rPr>
            </w:pPr>
            <w:r>
              <w:rPr>
                <w:rFonts w:eastAsia="Times New Roman"/>
                <w:b/>
                <w:bCs/>
                <w:sz w:val="20"/>
                <w:lang w:val="fr-FR"/>
              </w:rPr>
              <w:t>Pourcentage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A5D7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72169B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="00297348"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19</w:t>
            </w:r>
            <w:r w:rsidR="00E7455F" w:rsidRPr="00297348">
              <w:rPr>
                <w:rFonts w:eastAsia="Times New Roman"/>
                <w:sz w:val="20"/>
                <w:lang w:val="fr-FR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13 397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2%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A5D7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 (</w:t>
            </w:r>
            <w:r w:rsidR="00E7455F" w:rsidRPr="00297348">
              <w:rPr>
                <w:rFonts w:eastAsia="Times New Roman"/>
                <w:sz w:val="20"/>
                <w:lang w:val="fr-FR"/>
              </w:rPr>
              <w:t>3)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19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5 569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NCL (4)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19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17 835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3%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(5)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297348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19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33 314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5%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Pr="00297348">
              <w:rPr>
                <w:rFonts w:eastAsia="Times New Roman"/>
                <w:sz w:val="20"/>
                <w:lang w:val="fr-FR"/>
              </w:rPr>
              <w:t xml:space="preserve"> </w:t>
            </w:r>
            <w:r w:rsidR="00E7455F" w:rsidRPr="00297348">
              <w:rPr>
                <w:rFonts w:eastAsia="Times New Roman"/>
                <w:sz w:val="20"/>
                <w:lang w:val="fr-FR"/>
              </w:rPr>
              <w:t>(6)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19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53 781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9%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(7)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 19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53 374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9%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(8)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20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102 977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17%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(9)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20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189 426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30%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(10</w:t>
            </w:r>
            <w:r w:rsidR="00297348" w:rsidRPr="00297348">
              <w:rPr>
                <w:rFonts w:eastAsia="Times New Roman"/>
                <w:sz w:val="20"/>
                <w:lang w:val="fr-FR"/>
              </w:rPr>
              <w:noBreakHyphen/>
            </w:r>
            <w:r w:rsidR="00E7455F" w:rsidRPr="00297348">
              <w:rPr>
                <w:rFonts w:eastAsia="Times New Roman"/>
                <w:sz w:val="20"/>
                <w:lang w:val="fr-FR"/>
              </w:rPr>
              <w:t>2012)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 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20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42 430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7%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(10</w:t>
            </w:r>
            <w:r w:rsidR="00297348" w:rsidRPr="00297348">
              <w:rPr>
                <w:rFonts w:eastAsia="Times New Roman"/>
                <w:sz w:val="20"/>
                <w:lang w:val="fr-FR"/>
              </w:rPr>
              <w:noBreakHyphen/>
            </w:r>
            <w:r w:rsidR="00E7455F" w:rsidRPr="00297348">
              <w:rPr>
                <w:rFonts w:eastAsia="Times New Roman"/>
                <w:sz w:val="20"/>
                <w:lang w:val="fr-FR"/>
              </w:rPr>
              <w:t>2013)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 20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45 548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7%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(10</w:t>
            </w:r>
            <w:r w:rsidR="00297348" w:rsidRPr="00297348">
              <w:rPr>
                <w:rFonts w:eastAsia="Times New Roman"/>
                <w:sz w:val="20"/>
                <w:lang w:val="fr-FR"/>
              </w:rPr>
              <w:noBreakHyphen/>
            </w:r>
            <w:r w:rsidR="00E7455F" w:rsidRPr="00297348">
              <w:rPr>
                <w:rFonts w:eastAsia="Times New Roman"/>
                <w:sz w:val="20"/>
                <w:lang w:val="fr-FR"/>
              </w:rPr>
              <w:t>2014)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 20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45 469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7%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EA5D7F" w:rsidP="00E7455F">
            <w:pPr>
              <w:rPr>
                <w:rFonts w:eastAsia="Times New Roman"/>
                <w:sz w:val="20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>NCL</w:t>
            </w:r>
            <w:r w:rsidR="00E7455F" w:rsidRPr="00297348">
              <w:rPr>
                <w:rFonts w:eastAsia="Times New Roman"/>
                <w:sz w:val="20"/>
                <w:lang w:val="fr-FR"/>
              </w:rPr>
              <w:t xml:space="preserve"> (10</w:t>
            </w:r>
            <w:r w:rsidR="00297348" w:rsidRPr="00297348">
              <w:rPr>
                <w:rFonts w:eastAsia="Times New Roman"/>
                <w:sz w:val="20"/>
                <w:lang w:val="fr-FR"/>
              </w:rPr>
              <w:noBreakHyphen/>
            </w:r>
            <w:r w:rsidR="00E7455F" w:rsidRPr="00297348">
              <w:rPr>
                <w:rFonts w:eastAsia="Times New Roman"/>
                <w:sz w:val="20"/>
                <w:lang w:val="fr-FR"/>
              </w:rPr>
              <w:t>2015)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297348" w:rsidRDefault="00297348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1</w:t>
            </w:r>
            <w:r w:rsidRPr="00297348">
              <w:rPr>
                <w:rFonts w:eastAsia="Times New Roman"/>
                <w:sz w:val="20"/>
                <w:vertAlign w:val="superscript"/>
                <w:lang w:val="fr-FR"/>
              </w:rPr>
              <w:t>er</w:t>
            </w:r>
            <w:r w:rsidRPr="00297348">
              <w:rPr>
                <w:rFonts w:eastAsia="Times New Roman"/>
                <w:sz w:val="20"/>
                <w:lang w:val="fr-FR"/>
              </w:rPr>
              <w:t> janvier</w:t>
            </w:r>
            <w:r w:rsidR="0072169B" w:rsidRPr="00297348">
              <w:rPr>
                <w:rFonts w:eastAsia="Times New Roman"/>
                <w:sz w:val="20"/>
                <w:lang w:val="fr-FR"/>
              </w:rPr>
              <w:t> 20</w:t>
            </w:r>
            <w:r w:rsidR="00B11D45" w:rsidRPr="00297348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20 584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3%</w:t>
            </w:r>
          </w:p>
        </w:tc>
      </w:tr>
      <w:tr w:rsidR="00474FC4" w:rsidRPr="00297348" w:rsidTr="007C6EAB">
        <w:trPr>
          <w:trHeight w:val="25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rPr>
                <w:rFonts w:eastAsia="Times New Roman"/>
                <w:sz w:val="20"/>
                <w:lang w:val="fr-F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rPr>
                <w:rFonts w:eastAsia="Times New Roman"/>
                <w:sz w:val="20"/>
                <w:lang w:val="fr-F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rPr>
                <w:rFonts w:eastAsia="Times New Roman"/>
                <w:sz w:val="20"/>
                <w:lang w:val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rPr>
                <w:rFonts w:eastAsia="Times New Roman"/>
                <w:sz w:val="20"/>
                <w:lang w:val="fr-FR"/>
              </w:rPr>
            </w:pPr>
          </w:p>
        </w:tc>
      </w:tr>
      <w:tr w:rsidR="00474FC4" w:rsidRPr="00297348" w:rsidTr="007C6EAB">
        <w:trPr>
          <w:trHeight w:val="80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rPr>
                <w:rFonts w:eastAsia="Times New Roman"/>
                <w:sz w:val="20"/>
                <w:lang w:val="fr-F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E7455F" w:rsidP="00E7455F">
            <w:pPr>
              <w:jc w:val="center"/>
              <w:rPr>
                <w:rFonts w:eastAsia="Times New Roman"/>
                <w:sz w:val="20"/>
                <w:lang w:val="fr-FR"/>
              </w:rPr>
            </w:pPr>
            <w:r w:rsidRPr="00297348">
              <w:rPr>
                <w:rFonts w:eastAsia="Times New Roman"/>
                <w:sz w:val="20"/>
                <w:lang w:val="fr-FR"/>
              </w:rPr>
              <w:t>623 704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297348" w:rsidRDefault="00B11D45" w:rsidP="007C6EAB">
            <w:pPr>
              <w:rPr>
                <w:rFonts w:eastAsia="Times New Roman"/>
                <w:sz w:val="20"/>
                <w:lang w:val="fr-FR"/>
              </w:rPr>
            </w:pPr>
          </w:p>
        </w:tc>
      </w:tr>
    </w:tbl>
    <w:p w:rsidR="000C145C" w:rsidRPr="00474FC4" w:rsidRDefault="008E45A4" w:rsidP="008E45A4">
      <w:pPr>
        <w:pStyle w:val="Heading2"/>
        <w:rPr>
          <w:lang w:val="fr-CH"/>
        </w:rPr>
      </w:pPr>
      <w:r w:rsidRPr="00474FC4">
        <w:rPr>
          <w:lang w:val="fr-CH"/>
        </w:rPr>
        <w:t>hausse actuelle et prévue de la charge de travail liée à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examen </w:t>
      </w:r>
      <w:r w:rsidR="00581FFE" w:rsidRPr="00474FC4">
        <w:rPr>
          <w:lang w:val="fr-CH"/>
        </w:rPr>
        <w:t xml:space="preserve">PAR LE BUREAU INTERNATIONAL </w:t>
      </w:r>
      <w:r w:rsidRPr="00474FC4">
        <w:rPr>
          <w:lang w:val="fr-CH"/>
        </w:rPr>
        <w:t xml:space="preserve">et </w:t>
      </w:r>
      <w:r w:rsidR="00786703" w:rsidRPr="00474FC4">
        <w:rPr>
          <w:lang w:val="fr-CH"/>
        </w:rPr>
        <w:t>COMPLEXITÉ ACCRUE DE LA PROCÉDURE</w:t>
      </w:r>
    </w:p>
    <w:p w:rsidR="000C145C" w:rsidRPr="00474FC4" w:rsidRDefault="000C145C" w:rsidP="005B6B85">
      <w:pPr>
        <w:rPr>
          <w:lang w:val="fr-CH"/>
        </w:rPr>
      </w:pPr>
    </w:p>
    <w:p w:rsidR="0072169B" w:rsidRDefault="008E45A4" w:rsidP="00FB31FD">
      <w:pPr>
        <w:pStyle w:val="ONUMFS"/>
        <w:rPr>
          <w:lang w:val="fr-CH"/>
        </w:rPr>
      </w:pPr>
      <w:r w:rsidRPr="00474FC4">
        <w:rPr>
          <w:lang w:val="fr-CH"/>
        </w:rPr>
        <w:t xml:space="preserve">Il convient de noter que le nombre de désignations postérieures inscrites </w:t>
      </w:r>
      <w:r w:rsidR="00581FFE" w:rsidRPr="00474FC4">
        <w:rPr>
          <w:lang w:val="fr-CH"/>
        </w:rPr>
        <w:t>qui</w:t>
      </w:r>
      <w:r w:rsidRPr="00474FC4">
        <w:rPr>
          <w:lang w:val="fr-CH"/>
        </w:rPr>
        <w:t xml:space="preserve"> comport</w:t>
      </w:r>
      <w:r w:rsidR="00581FFE" w:rsidRPr="00474FC4">
        <w:rPr>
          <w:lang w:val="fr-CH"/>
        </w:rPr>
        <w:t>e</w:t>
      </w:r>
      <w:r w:rsidRPr="00474FC4">
        <w:rPr>
          <w:lang w:val="fr-CH"/>
        </w:rPr>
        <w:t>nt au moins une limitation est en hausse.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>En</w:t>
      </w:r>
      <w:r w:rsidR="00C7440C">
        <w:rPr>
          <w:lang w:val="fr-CH"/>
        </w:rPr>
        <w:t> </w:t>
      </w:r>
      <w:r w:rsidRPr="00474FC4">
        <w:rPr>
          <w:lang w:val="fr-CH"/>
        </w:rPr>
        <w:t xml:space="preserve">2011, 2248 désignations postérieures inscrites contenaient au </w:t>
      </w:r>
      <w:r w:rsidR="00786703" w:rsidRPr="00474FC4">
        <w:rPr>
          <w:lang w:val="fr-CH"/>
        </w:rPr>
        <w:t>moins</w:t>
      </w:r>
      <w:r w:rsidRPr="00474FC4">
        <w:rPr>
          <w:lang w:val="fr-CH"/>
        </w:rPr>
        <w:t xml:space="preserve"> une limitation.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>En</w:t>
      </w:r>
      <w:r w:rsidR="00C7440C">
        <w:rPr>
          <w:lang w:val="fr-CH"/>
        </w:rPr>
        <w:t> </w:t>
      </w:r>
      <w:r w:rsidRPr="00474FC4">
        <w:rPr>
          <w:lang w:val="fr-CH"/>
        </w:rPr>
        <w:t>2014, ce chiffre était passé à 3211 désignations postérieures inscrites</w:t>
      </w:r>
      <w:r w:rsidRPr="00474FC4">
        <w:rPr>
          <w:rStyle w:val="FootnoteReference"/>
        </w:rPr>
        <w:footnoteReference w:id="4"/>
      </w:r>
      <w:r w:rsidRPr="00474FC4">
        <w:rPr>
          <w:lang w:val="fr-CH"/>
        </w:rPr>
        <w:t>.</w:t>
      </w:r>
    </w:p>
    <w:p w:rsidR="000C145C" w:rsidRPr="00474FC4" w:rsidRDefault="00786703" w:rsidP="00FB31FD">
      <w:pPr>
        <w:pStyle w:val="ONUMFS"/>
        <w:rPr>
          <w:lang w:val="fr-CH"/>
        </w:rPr>
      </w:pPr>
      <w:r w:rsidRPr="00474FC4">
        <w:rPr>
          <w:lang w:val="fr-CH"/>
        </w:rPr>
        <w:t xml:space="preserve">En plus </w:t>
      </w:r>
      <w:r w:rsidR="00474FC4" w:rsidRPr="00474FC4">
        <w:rPr>
          <w:lang w:val="fr-CH"/>
        </w:rPr>
        <w:t>de la</w:t>
      </w:r>
      <w:r w:rsidRPr="00474FC4">
        <w:rPr>
          <w:lang w:val="fr-CH"/>
        </w:rPr>
        <w:t xml:space="preserve"> charge de travail accrue compte tenu du nombre plus élevé de désignations postérieures comportant au moins une limitation, il est également prévu que la mise en œuvre de la modification à apporter à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 rende la procédure du Bureau international relative à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examen plus complexe car un nombre croissant de ces limitations reposent sur des expressions libres, </w:t>
      </w:r>
      <w:r w:rsidR="00581FFE" w:rsidRPr="00474FC4">
        <w:rPr>
          <w:lang w:val="fr-CH"/>
        </w:rPr>
        <w:t>c</w:t>
      </w:r>
      <w:r w:rsidR="0072169B">
        <w:rPr>
          <w:lang w:val="fr-CH"/>
        </w:rPr>
        <w:t>’</w:t>
      </w:r>
      <w:r w:rsidR="00581FFE" w:rsidRPr="00474FC4">
        <w:rPr>
          <w:lang w:val="fr-CH"/>
        </w:rPr>
        <w:t>est</w:t>
      </w:r>
      <w:r w:rsidR="00297348">
        <w:rPr>
          <w:lang w:val="fr-CH"/>
        </w:rPr>
        <w:noBreakHyphen/>
      </w:r>
      <w:r w:rsidR="00581FFE" w:rsidRPr="00474FC4">
        <w:rPr>
          <w:lang w:val="fr-CH"/>
        </w:rPr>
        <w:t>à</w:t>
      </w:r>
      <w:r w:rsidR="00297348">
        <w:rPr>
          <w:lang w:val="fr-CH"/>
        </w:rPr>
        <w:noBreakHyphen/>
      </w:r>
      <w:r w:rsidR="00581FFE" w:rsidRPr="00474FC4">
        <w:rPr>
          <w:lang w:val="fr-CH"/>
        </w:rPr>
        <w:t>dire</w:t>
      </w:r>
      <w:r w:rsidRPr="00474FC4">
        <w:rPr>
          <w:lang w:val="fr-CH"/>
        </w:rPr>
        <w:t xml:space="preserve"> des indications qui ne </w:t>
      </w:r>
      <w:r w:rsidR="00581FFE" w:rsidRPr="00474FC4">
        <w:rPr>
          <w:lang w:val="fr-CH"/>
        </w:rPr>
        <w:t>figurent</w:t>
      </w:r>
      <w:r w:rsidRPr="00474FC4">
        <w:rPr>
          <w:lang w:val="fr-CH"/>
        </w:rPr>
        <w:t xml:space="preserve"> </w:t>
      </w:r>
      <w:r w:rsidR="00581FFE" w:rsidRPr="00474FC4">
        <w:rPr>
          <w:lang w:val="fr-CH"/>
        </w:rPr>
        <w:t>ni</w:t>
      </w:r>
      <w:r w:rsidRPr="00474FC4">
        <w:rPr>
          <w:lang w:val="fr-CH"/>
        </w:rPr>
        <w:t xml:space="preserve"> </w:t>
      </w:r>
      <w:r w:rsidR="00581FFE" w:rsidRPr="00474FC4">
        <w:rPr>
          <w:lang w:val="fr-CH"/>
        </w:rPr>
        <w:t>dans</w:t>
      </w:r>
      <w:r w:rsidRPr="00474FC4">
        <w:rPr>
          <w:lang w:val="fr-CH"/>
        </w:rPr>
        <w:t xml:space="preserve">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enregistrement international </w:t>
      </w:r>
      <w:r w:rsidR="00581FFE" w:rsidRPr="00474FC4">
        <w:rPr>
          <w:lang w:val="fr-CH"/>
        </w:rPr>
        <w:t>ni</w:t>
      </w:r>
      <w:r w:rsidRPr="00474FC4">
        <w:rPr>
          <w:lang w:val="fr-CH"/>
        </w:rPr>
        <w:t xml:space="preserve"> da</w:t>
      </w:r>
      <w:r w:rsidR="00F327FD">
        <w:rPr>
          <w:lang w:val="fr-CH"/>
        </w:rPr>
        <w:t>ns la liste alphabétique de la C</w:t>
      </w:r>
      <w:r w:rsidRPr="00474FC4">
        <w:rPr>
          <w:lang w:val="fr-CH"/>
        </w:rPr>
        <w:t>lassification de Nice</w:t>
      </w:r>
      <w:r w:rsidRPr="00474FC4">
        <w:rPr>
          <w:rStyle w:val="FootnoteReference"/>
        </w:rPr>
        <w:footnoteReference w:id="5"/>
      </w:r>
      <w:r w:rsidRPr="00474FC4">
        <w:rPr>
          <w:lang w:val="fr-CH"/>
        </w:rPr>
        <w:t>.</w:t>
      </w:r>
    </w:p>
    <w:p w:rsidR="000C145C" w:rsidRPr="00474FC4" w:rsidRDefault="000728C5" w:rsidP="00FB31FD">
      <w:pPr>
        <w:pStyle w:val="ONUMFS"/>
        <w:rPr>
          <w:lang w:val="fr-CH"/>
        </w:rPr>
      </w:pPr>
      <w:r w:rsidRPr="00474FC4">
        <w:rPr>
          <w:lang w:val="fr-CH"/>
        </w:rPr>
        <w:t>Lorsque la désignation postérieure concerne l</w:t>
      </w:r>
      <w:r w:rsidR="0072169B">
        <w:rPr>
          <w:lang w:val="fr-CH"/>
        </w:rPr>
        <w:t>’</w:t>
      </w:r>
      <w:r w:rsidRPr="00474FC4">
        <w:rPr>
          <w:lang w:val="fr-CH"/>
        </w:rPr>
        <w:t>ensemble des produits et services énumérés dans l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 international ou lorsqu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elle exclut simplement une ou plusieurs indications ou classes </w:t>
      </w:r>
      <w:r w:rsidR="00581FFE" w:rsidRPr="00474FC4">
        <w:rPr>
          <w:lang w:val="fr-CH"/>
        </w:rPr>
        <w:t>contenues</w:t>
      </w:r>
      <w:r w:rsidRPr="00474FC4">
        <w:rPr>
          <w:lang w:val="fr-CH"/>
        </w:rPr>
        <w:t xml:space="preserve"> dans </w:t>
      </w:r>
      <w:r w:rsidR="00581FFE" w:rsidRPr="00474FC4">
        <w:rPr>
          <w:lang w:val="fr-CH"/>
        </w:rPr>
        <w:t xml:space="preserve">enregistrement international, son examen et son </w:t>
      </w:r>
      <w:r w:rsidRPr="00474FC4">
        <w:rPr>
          <w:lang w:val="fr-CH"/>
        </w:rPr>
        <w:t xml:space="preserve">inscription </w:t>
      </w:r>
      <w:r w:rsidR="00581FFE" w:rsidRPr="00474FC4">
        <w:rPr>
          <w:lang w:val="fr-CH"/>
        </w:rPr>
        <w:t>sont</w:t>
      </w:r>
      <w:r w:rsidRPr="00474FC4">
        <w:rPr>
          <w:lang w:val="fr-CH"/>
        </w:rPr>
        <w:t xml:space="preserve"> chose facile.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>L</w:t>
      </w:r>
      <w:r w:rsidR="0072169B">
        <w:rPr>
          <w:lang w:val="fr-CH"/>
        </w:rPr>
        <w:t>’</w:t>
      </w:r>
      <w:r w:rsidRPr="00474FC4">
        <w:rPr>
          <w:lang w:val="fr-CH"/>
        </w:rPr>
        <w:t>examen devient plus complexe lorsque le</w:t>
      </w:r>
      <w:r w:rsidR="00581FFE" w:rsidRPr="00474FC4">
        <w:rPr>
          <w:lang w:val="fr-CH"/>
        </w:rPr>
        <w:t>s</w:t>
      </w:r>
      <w:r w:rsidRPr="00474FC4">
        <w:rPr>
          <w:lang w:val="fr-CH"/>
        </w:rPr>
        <w:t xml:space="preserve"> titulaire</w:t>
      </w:r>
      <w:r w:rsidR="00581FFE" w:rsidRPr="00474FC4">
        <w:rPr>
          <w:lang w:val="fr-CH"/>
        </w:rPr>
        <w:t>s</w:t>
      </w:r>
      <w:r w:rsidRPr="00474FC4">
        <w:rPr>
          <w:lang w:val="fr-CH"/>
        </w:rPr>
        <w:t xml:space="preserve"> exprime</w:t>
      </w:r>
      <w:r w:rsidR="00581FFE" w:rsidRPr="00474FC4">
        <w:rPr>
          <w:lang w:val="fr-CH"/>
        </w:rPr>
        <w:t>nt</w:t>
      </w:r>
      <w:r w:rsidRPr="00474FC4">
        <w:rPr>
          <w:lang w:val="fr-CH"/>
        </w:rPr>
        <w:t xml:space="preserve"> une limitation de la liste des produits et services </w:t>
      </w:r>
      <w:r w:rsidR="00474FC4" w:rsidRPr="00474FC4">
        <w:rPr>
          <w:lang w:val="fr-CH"/>
        </w:rPr>
        <w:t xml:space="preserve">en utilisant </w:t>
      </w:r>
      <w:r w:rsidRPr="00474FC4">
        <w:rPr>
          <w:lang w:val="fr-CH"/>
        </w:rPr>
        <w:t>d</w:t>
      </w:r>
      <w:r w:rsidR="00474FC4" w:rsidRPr="00474FC4">
        <w:rPr>
          <w:lang w:val="fr-CH"/>
        </w:rPr>
        <w:t xml:space="preserve">es </w:t>
      </w:r>
      <w:r w:rsidRPr="00474FC4">
        <w:rPr>
          <w:lang w:val="fr-CH"/>
        </w:rPr>
        <w:t>expressions libres.</w:t>
      </w:r>
    </w:p>
    <w:p w:rsidR="000C145C" w:rsidRPr="00474FC4" w:rsidRDefault="000728C5" w:rsidP="00FB31FD">
      <w:pPr>
        <w:pStyle w:val="ONUMFS"/>
        <w:rPr>
          <w:lang w:val="fr-CH"/>
        </w:rPr>
      </w:pPr>
      <w:r w:rsidRPr="00474FC4">
        <w:rPr>
          <w:lang w:val="fr-CH"/>
        </w:rPr>
        <w:t>L</w:t>
      </w:r>
      <w:r w:rsidR="0072169B">
        <w:rPr>
          <w:lang w:val="fr-CH"/>
        </w:rPr>
        <w:t>’</w:t>
      </w:r>
      <w:r w:rsidRPr="00474FC4">
        <w:rPr>
          <w:lang w:val="fr-CH"/>
        </w:rPr>
        <w:t>utilisa</w:t>
      </w:r>
      <w:r w:rsidR="00980836" w:rsidRPr="00474FC4">
        <w:rPr>
          <w:lang w:val="fr-CH"/>
        </w:rPr>
        <w:t>ti</w:t>
      </w:r>
      <w:r w:rsidRPr="00474FC4">
        <w:rPr>
          <w:lang w:val="fr-CH"/>
        </w:rPr>
        <w:t>on d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expressions libres permet aux titulaires </w:t>
      </w:r>
      <w:r w:rsidR="00581FFE" w:rsidRPr="00474FC4">
        <w:rPr>
          <w:lang w:val="fr-CH"/>
        </w:rPr>
        <w:t>d</w:t>
      </w:r>
      <w:r w:rsidR="0072169B">
        <w:rPr>
          <w:lang w:val="fr-CH"/>
        </w:rPr>
        <w:t>’</w:t>
      </w:r>
      <w:r w:rsidR="00581FFE" w:rsidRPr="00474FC4">
        <w:rPr>
          <w:lang w:val="fr-CH"/>
        </w:rPr>
        <w:t>indiquer de façon plus détaillée</w:t>
      </w:r>
      <w:r w:rsidRPr="00474FC4">
        <w:rPr>
          <w:lang w:val="fr-CH"/>
        </w:rPr>
        <w:t xml:space="preserve"> les produits et services auxquels la protection doit être étendue car la </w:t>
      </w:r>
      <w:r w:rsidR="00F327FD">
        <w:rPr>
          <w:lang w:val="fr-CH"/>
        </w:rPr>
        <w:t>C</w:t>
      </w:r>
      <w:r w:rsidRPr="00474FC4">
        <w:rPr>
          <w:lang w:val="fr-CH"/>
        </w:rPr>
        <w:t xml:space="preserve">lassification de Nice </w:t>
      </w:r>
      <w:r w:rsidR="00D11CF1" w:rsidRPr="00474FC4">
        <w:rPr>
          <w:lang w:val="fr-CH"/>
        </w:rPr>
        <w:t>compte</w:t>
      </w:r>
      <w:r w:rsidRPr="00474FC4">
        <w:rPr>
          <w:lang w:val="fr-CH"/>
        </w:rPr>
        <w:t xml:space="preserve"> relativement peu d</w:t>
      </w:r>
      <w:r w:rsidR="0072169B">
        <w:rPr>
          <w:lang w:val="fr-CH"/>
        </w:rPr>
        <w:t>’</w:t>
      </w:r>
      <w:r w:rsidRPr="00474FC4">
        <w:rPr>
          <w:lang w:val="fr-CH"/>
        </w:rPr>
        <w:t>indications dans la liste alphabétique.</w:t>
      </w:r>
      <w:r w:rsidR="0027625F" w:rsidRPr="00474FC4">
        <w:rPr>
          <w:lang w:val="fr-CH"/>
        </w:rPr>
        <w:t xml:space="preserve">  </w:t>
      </w:r>
      <w:r w:rsidR="00980836" w:rsidRPr="00474FC4">
        <w:rPr>
          <w:lang w:val="fr-CH"/>
        </w:rPr>
        <w:t>Le titulaire peut ainsi adapter l</w:t>
      </w:r>
      <w:r w:rsidR="00D11CF1" w:rsidRPr="00474FC4">
        <w:rPr>
          <w:lang w:val="fr-CH"/>
        </w:rPr>
        <w:t>es</w:t>
      </w:r>
      <w:r w:rsidR="00980836" w:rsidRPr="00474FC4">
        <w:rPr>
          <w:lang w:val="fr-CH"/>
        </w:rPr>
        <w:t xml:space="preserve"> liste</w:t>
      </w:r>
      <w:r w:rsidR="00D11CF1" w:rsidRPr="00474FC4">
        <w:rPr>
          <w:lang w:val="fr-CH"/>
        </w:rPr>
        <w:t>s de</w:t>
      </w:r>
      <w:r w:rsidR="00980836" w:rsidRPr="00474FC4">
        <w:rPr>
          <w:lang w:val="fr-CH"/>
        </w:rPr>
        <w:t xml:space="preserve"> produits et services aux diverses parties contractantes désignées, en particulier celles qui exigent un haut degré de spécificité, dans le souci </w:t>
      </w:r>
      <w:r w:rsidR="00D11CF1" w:rsidRPr="00474FC4">
        <w:rPr>
          <w:lang w:val="fr-CH"/>
        </w:rPr>
        <w:t>d</w:t>
      </w:r>
      <w:r w:rsidR="0072169B">
        <w:rPr>
          <w:lang w:val="fr-CH"/>
        </w:rPr>
        <w:t>’</w:t>
      </w:r>
      <w:r w:rsidR="00D11CF1" w:rsidRPr="00474FC4">
        <w:rPr>
          <w:lang w:val="fr-CH"/>
        </w:rPr>
        <w:t>éviter des refus provisoires.</w:t>
      </w:r>
    </w:p>
    <w:p w:rsidR="000C145C" w:rsidRPr="00474FC4" w:rsidRDefault="00980836" w:rsidP="00FB31FD">
      <w:pPr>
        <w:pStyle w:val="ONUMFS"/>
        <w:rPr>
          <w:lang w:val="fr-CH"/>
        </w:rPr>
      </w:pPr>
      <w:r w:rsidRPr="00474FC4">
        <w:rPr>
          <w:lang w:val="fr-CH"/>
        </w:rPr>
        <w:t>Si l</w:t>
      </w:r>
      <w:r w:rsidR="0072169B">
        <w:rPr>
          <w:lang w:val="fr-CH"/>
        </w:rPr>
        <w:t>’</w:t>
      </w:r>
      <w:r w:rsidRPr="00474FC4">
        <w:rPr>
          <w:lang w:val="fr-CH"/>
        </w:rPr>
        <w:t>utilisation d</w:t>
      </w:r>
      <w:r w:rsidR="0072169B">
        <w:rPr>
          <w:lang w:val="fr-CH"/>
        </w:rPr>
        <w:t>’</w:t>
      </w:r>
      <w:r w:rsidRPr="00474FC4">
        <w:rPr>
          <w:lang w:val="fr-CH"/>
        </w:rPr>
        <w:t>expressions libres dans les désignations postérieures offre une flexibilité très utile aux titulaires, elle complique le contrôle que le Bureau international devra exercer en vertu de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 modifiée.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>Ainsi qu</w:t>
      </w:r>
      <w:r w:rsidR="0072169B">
        <w:rPr>
          <w:lang w:val="fr-CH"/>
        </w:rPr>
        <w:t>’</w:t>
      </w:r>
      <w:r w:rsidRPr="00474FC4">
        <w:rPr>
          <w:lang w:val="fr-CH"/>
        </w:rPr>
        <w:t>il est indiqué précédemment, ce contrôle devra être effectué conformément à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édition et à la version de la </w:t>
      </w:r>
      <w:r w:rsidR="00F327FD">
        <w:rPr>
          <w:lang w:val="fr-CH"/>
        </w:rPr>
        <w:t>C</w:t>
      </w:r>
      <w:r w:rsidRPr="00474FC4">
        <w:rPr>
          <w:lang w:val="fr-CH"/>
        </w:rPr>
        <w:t xml:space="preserve">lassification de Nice utilisée pour </w:t>
      </w:r>
      <w:r w:rsidR="00D11CF1" w:rsidRPr="00474FC4">
        <w:rPr>
          <w:lang w:val="fr-CH"/>
        </w:rPr>
        <w:t xml:space="preserve">le </w:t>
      </w:r>
      <w:r w:rsidRPr="00474FC4">
        <w:rPr>
          <w:lang w:val="fr-CH"/>
        </w:rPr>
        <w:t>classe</w:t>
      </w:r>
      <w:r w:rsidR="00D11CF1" w:rsidRPr="00474FC4">
        <w:rPr>
          <w:lang w:val="fr-CH"/>
        </w:rPr>
        <w:t>ment de</w:t>
      </w:r>
      <w:r w:rsidRPr="00474FC4">
        <w:rPr>
          <w:lang w:val="fr-CH"/>
        </w:rPr>
        <w:t xml:space="preserve"> la liste principale dans l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 international concerné.</w:t>
      </w:r>
    </w:p>
    <w:p w:rsidR="000C145C" w:rsidRPr="00474FC4" w:rsidRDefault="00D11CF1" w:rsidP="00D11CF1">
      <w:pPr>
        <w:pStyle w:val="Heading2"/>
        <w:rPr>
          <w:lang w:val="fr-CH"/>
        </w:rPr>
      </w:pPr>
      <w:r w:rsidRPr="00474FC4">
        <w:rPr>
          <w:lang w:val="fr-CH"/>
        </w:rPr>
        <w:t>Limites de l</w:t>
      </w:r>
      <w:r w:rsidR="0072169B">
        <w:rPr>
          <w:lang w:val="fr-CH"/>
        </w:rPr>
        <w:t>’</w:t>
      </w:r>
      <w:r w:rsidRPr="00474FC4">
        <w:rPr>
          <w:lang w:val="fr-CH"/>
        </w:rPr>
        <w:t>automatisation du classement des limitations dans des désignations postérieures</w:t>
      </w:r>
    </w:p>
    <w:p w:rsidR="000C145C" w:rsidRPr="00474FC4" w:rsidRDefault="000C145C" w:rsidP="0027625F">
      <w:pPr>
        <w:rPr>
          <w:lang w:val="fr-CH"/>
        </w:rPr>
      </w:pPr>
    </w:p>
    <w:p w:rsidR="000C145C" w:rsidRPr="00474FC4" w:rsidRDefault="00324C9D" w:rsidP="00FB31FD">
      <w:pPr>
        <w:pStyle w:val="ONUMFS"/>
        <w:rPr>
          <w:lang w:val="fr-CH"/>
        </w:rPr>
      </w:pPr>
      <w:r w:rsidRPr="00474FC4">
        <w:rPr>
          <w:lang w:val="fr-CH"/>
        </w:rPr>
        <w:t>La base de données</w:t>
      </w:r>
      <w:r w:rsidR="00A843A2" w:rsidRPr="00474FC4">
        <w:rPr>
          <w:lang w:val="fr-CH"/>
        </w:rPr>
        <w:t xml:space="preserve"> de classification</w:t>
      </w:r>
      <w:r w:rsidRPr="00474FC4">
        <w:rPr>
          <w:lang w:val="fr-CH"/>
        </w:rPr>
        <w:t xml:space="preserve"> actuelle, qui aide les examinateurs dans le classement des produits et services énumérés dans les demandes internationales, a été introduite en</w:t>
      </w:r>
      <w:r w:rsidR="00C7440C">
        <w:rPr>
          <w:lang w:val="fr-CH"/>
        </w:rPr>
        <w:t> </w:t>
      </w:r>
      <w:r w:rsidRPr="00474FC4">
        <w:rPr>
          <w:lang w:val="fr-CH"/>
        </w:rPr>
        <w:t xml:space="preserve">2005. </w:t>
      </w:r>
      <w:r w:rsidR="0027625F" w:rsidRPr="00474FC4">
        <w:rPr>
          <w:lang w:val="fr-CH"/>
        </w:rPr>
        <w:t xml:space="preserve"> </w:t>
      </w:r>
      <w:r w:rsidRPr="00474FC4">
        <w:rPr>
          <w:lang w:val="fr-CH"/>
        </w:rPr>
        <w:t>Le contenu de cette base de données de classification (que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on appelle officieusement </w:t>
      </w:r>
      <w:r w:rsidR="00C7440C">
        <w:rPr>
          <w:lang w:val="fr-CH"/>
        </w:rPr>
        <w:t>“</w:t>
      </w:r>
      <w:r w:rsidRPr="00474FC4">
        <w:rPr>
          <w:lang w:val="fr-CH"/>
        </w:rPr>
        <w:t>Arbre de Noël</w:t>
      </w:r>
      <w:r w:rsidR="00C7440C">
        <w:rPr>
          <w:lang w:val="fr-CH"/>
        </w:rPr>
        <w:t>”</w:t>
      </w:r>
      <w:r w:rsidRPr="00474FC4">
        <w:rPr>
          <w:lang w:val="fr-CH"/>
        </w:rPr>
        <w:t xml:space="preserve">) a été établi conformément à la neuvième édition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Nice.</w:t>
      </w:r>
      <w:r w:rsidR="0027625F" w:rsidRPr="00474FC4">
        <w:rPr>
          <w:lang w:val="fr-CH"/>
        </w:rPr>
        <w:t xml:space="preserve"> </w:t>
      </w:r>
      <w:r w:rsidR="003D3609" w:rsidRPr="00474FC4">
        <w:rPr>
          <w:lang w:val="fr-CH"/>
        </w:rPr>
        <w:t xml:space="preserve"> </w:t>
      </w:r>
      <w:r w:rsidRPr="00474FC4">
        <w:rPr>
          <w:lang w:val="fr-CH"/>
        </w:rPr>
        <w:t xml:space="preserve">La base de données a été mise à jour pour tenir compte des modifications introduites par chaque version de la dixième édition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Nice, ainsi que pour inclu</w:t>
      </w:r>
      <w:r w:rsidR="008B2CE5" w:rsidRPr="00474FC4">
        <w:rPr>
          <w:lang w:val="fr-CH"/>
        </w:rPr>
        <w:t>re</w:t>
      </w:r>
      <w:r w:rsidRPr="00474FC4">
        <w:rPr>
          <w:lang w:val="fr-CH"/>
        </w:rPr>
        <w:t xml:space="preserve"> les termes utilisés </w:t>
      </w:r>
      <w:r w:rsidR="00474FC4" w:rsidRPr="00474FC4">
        <w:rPr>
          <w:lang w:val="fr-CH"/>
        </w:rPr>
        <w:t xml:space="preserve">fréquemment </w:t>
      </w:r>
      <w:r w:rsidRPr="00474FC4">
        <w:rPr>
          <w:lang w:val="fr-CH"/>
        </w:rPr>
        <w:t>et classés</w:t>
      </w:r>
      <w:r w:rsidR="00474FC4" w:rsidRPr="00474FC4">
        <w:rPr>
          <w:lang w:val="fr-CH"/>
        </w:rPr>
        <w:t xml:space="preserve"> systématiquement</w:t>
      </w:r>
      <w:r w:rsidRPr="00474FC4">
        <w:rPr>
          <w:lang w:val="fr-CH"/>
        </w:rPr>
        <w:t>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>Elle contient actuellement 88</w:t>
      </w:r>
      <w:r w:rsidR="00C7440C">
        <w:rPr>
          <w:lang w:val="fr-CH"/>
        </w:rPr>
        <w:t> </w:t>
      </w:r>
      <w:r w:rsidRPr="00474FC4">
        <w:rPr>
          <w:lang w:val="fr-CH"/>
        </w:rPr>
        <w:t>387 indications en anglais, 46</w:t>
      </w:r>
      <w:r w:rsidR="00C7440C">
        <w:rPr>
          <w:lang w:val="fr-CH"/>
        </w:rPr>
        <w:t> </w:t>
      </w:r>
      <w:r w:rsidRPr="00474FC4">
        <w:rPr>
          <w:lang w:val="fr-CH"/>
        </w:rPr>
        <w:t>425 indications en français et 45</w:t>
      </w:r>
      <w:r w:rsidR="00C7440C">
        <w:rPr>
          <w:lang w:val="fr-CH"/>
        </w:rPr>
        <w:t> </w:t>
      </w:r>
      <w:r w:rsidRPr="00474FC4">
        <w:rPr>
          <w:lang w:val="fr-CH"/>
        </w:rPr>
        <w:t>534</w:t>
      </w:r>
      <w:r w:rsidR="001E547B">
        <w:rPr>
          <w:lang w:val="fr-CH"/>
        </w:rPr>
        <w:t> </w:t>
      </w:r>
      <w:r w:rsidRPr="00474FC4">
        <w:rPr>
          <w:lang w:val="fr-CH"/>
        </w:rPr>
        <w:t>indications en espagnol.</w:t>
      </w:r>
      <w:r w:rsidR="0027625F" w:rsidRPr="00474FC4">
        <w:rPr>
          <w:lang w:val="fr-CH"/>
        </w:rPr>
        <w:t xml:space="preserve">  </w:t>
      </w:r>
      <w:r w:rsidR="00A843A2" w:rsidRPr="00474FC4">
        <w:rPr>
          <w:lang w:val="fr-CH"/>
        </w:rPr>
        <w:t xml:space="preserve">Les neuvième et dixième </w:t>
      </w:r>
      <w:r w:rsidR="00FB31FD">
        <w:rPr>
          <w:lang w:val="fr-CH"/>
        </w:rPr>
        <w:t>éditions</w:t>
      </w:r>
      <w:r w:rsidR="00A843A2" w:rsidRPr="00474FC4">
        <w:rPr>
          <w:lang w:val="fr-CH"/>
        </w:rPr>
        <w:t xml:space="preserve"> de la </w:t>
      </w:r>
      <w:r w:rsidR="00F327FD">
        <w:rPr>
          <w:lang w:val="fr-CH"/>
        </w:rPr>
        <w:t>Classification</w:t>
      </w:r>
      <w:r w:rsidR="00A843A2" w:rsidRPr="00474FC4">
        <w:rPr>
          <w:lang w:val="fr-CH"/>
        </w:rPr>
        <w:t xml:space="preserve"> de Nice ont été intégrées dans ce système, contrairement à toutes les éditions entre la première et la huitième.</w:t>
      </w:r>
    </w:p>
    <w:p w:rsidR="000C145C" w:rsidRPr="00474FC4" w:rsidRDefault="00ED508D" w:rsidP="00FB31FD">
      <w:pPr>
        <w:pStyle w:val="ONUMFS"/>
        <w:rPr>
          <w:lang w:val="fr-CH"/>
        </w:rPr>
      </w:pPr>
      <w:r w:rsidRPr="00474FC4">
        <w:rPr>
          <w:lang w:val="fr-CH"/>
        </w:rPr>
        <w:t>Cette base de données n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est pas la même que le Gestionnaire de produits et services de Madrid (MGS), qui est un outil de classement externe conçu pour permettre aux utilisateurs de participer à </w:t>
      </w:r>
      <w:r w:rsidR="00474FC4" w:rsidRPr="00474FC4">
        <w:rPr>
          <w:lang w:val="fr-CH"/>
        </w:rPr>
        <w:t>la compilation</w:t>
      </w:r>
      <w:r w:rsidRPr="00474FC4">
        <w:rPr>
          <w:lang w:val="fr-CH"/>
        </w:rPr>
        <w:t xml:space="preserve"> et au classement de la liste de produits et de services.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 xml:space="preserve">La base de données MGS est plus limitée, du point de vue des indications, que la base de données de classification </w:t>
      </w:r>
      <w:r w:rsidR="00474FC4" w:rsidRPr="00474FC4">
        <w:rPr>
          <w:lang w:val="fr-CH"/>
        </w:rPr>
        <w:t>interne</w:t>
      </w:r>
      <w:r w:rsidRPr="00474FC4">
        <w:rPr>
          <w:lang w:val="fr-CH"/>
        </w:rPr>
        <w:t xml:space="preserve"> et elle ne tient compte que de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édition et de la version actuelle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Nice.</w:t>
      </w:r>
    </w:p>
    <w:p w:rsidR="000C145C" w:rsidRPr="00474FC4" w:rsidRDefault="00C75090" w:rsidP="00FB31FD">
      <w:pPr>
        <w:pStyle w:val="ONUMFS"/>
        <w:rPr>
          <w:lang w:val="fr-CH"/>
        </w:rPr>
      </w:pPr>
      <w:r w:rsidRPr="00474FC4">
        <w:rPr>
          <w:lang w:val="fr-CH"/>
        </w:rPr>
        <w:t>En vertu de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24.5)a) et d)</w:t>
      </w:r>
      <w:r w:rsidR="00C7440C">
        <w:rPr>
          <w:lang w:val="fr-CH"/>
        </w:rPr>
        <w:t> </w:t>
      </w:r>
      <w:r w:rsidRPr="00474FC4">
        <w:rPr>
          <w:lang w:val="fr-CH"/>
        </w:rPr>
        <w:t>modifiée, lorsqu</w:t>
      </w:r>
      <w:r w:rsidR="0072169B">
        <w:rPr>
          <w:lang w:val="fr-CH"/>
        </w:rPr>
        <w:t>’</w:t>
      </w:r>
      <w:r w:rsidRPr="00474FC4">
        <w:rPr>
          <w:lang w:val="fr-CH"/>
        </w:rPr>
        <w:t>un titulaire présente une désignation postérieure comprenant des limitations avec des expressions libres (c</w:t>
      </w:r>
      <w:r w:rsidR="0072169B">
        <w:rPr>
          <w:lang w:val="fr-CH"/>
        </w:rPr>
        <w:t>’</w:t>
      </w:r>
      <w:r w:rsidRPr="00474FC4">
        <w:rPr>
          <w:lang w:val="fr-CH"/>
        </w:rPr>
        <w:t>est</w:t>
      </w:r>
      <w:r w:rsidR="00297348">
        <w:rPr>
          <w:lang w:val="fr-CH"/>
        </w:rPr>
        <w:noBreakHyphen/>
      </w:r>
      <w:r w:rsidRPr="00474FC4">
        <w:rPr>
          <w:lang w:val="fr-CH"/>
        </w:rPr>
        <w:t>à</w:t>
      </w:r>
      <w:r w:rsidR="00297348">
        <w:rPr>
          <w:lang w:val="fr-CH"/>
        </w:rPr>
        <w:noBreakHyphen/>
      </w:r>
      <w:r w:rsidRPr="00474FC4">
        <w:rPr>
          <w:lang w:val="fr-CH"/>
        </w:rPr>
        <w:t>dire qui ne sont pas contenues dans l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 international, qui n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apparaissent </w:t>
      </w:r>
      <w:r w:rsidR="00474FC4" w:rsidRPr="00474FC4">
        <w:rPr>
          <w:lang w:val="fr-CH"/>
        </w:rPr>
        <w:t xml:space="preserve">pas </w:t>
      </w:r>
      <w:r w:rsidRPr="00474FC4">
        <w:rPr>
          <w:lang w:val="fr-CH"/>
        </w:rPr>
        <w:t xml:space="preserve">dans la liste alphabétique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 et qui ne sont pas contenues dans la base de données de classification interne), le Bureau international doit examiner ces limitations manuellement, en vérifiant le classement conformément à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édition et la version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 utilisée dans l</w:t>
      </w:r>
      <w:r w:rsidR="0072169B">
        <w:rPr>
          <w:lang w:val="fr-CH"/>
        </w:rPr>
        <w:t>’</w:t>
      </w:r>
      <w:r w:rsidR="008B2CE5" w:rsidRPr="00474FC4">
        <w:rPr>
          <w:lang w:val="fr-CH"/>
        </w:rPr>
        <w:t>enregistrement international</w:t>
      </w:r>
      <w:r w:rsidRPr="00474FC4">
        <w:rPr>
          <w:lang w:val="fr-CH"/>
        </w:rPr>
        <w:t>.</w:t>
      </w:r>
    </w:p>
    <w:p w:rsidR="000C145C" w:rsidRPr="00474FC4" w:rsidRDefault="00C75090" w:rsidP="00FB31FD">
      <w:pPr>
        <w:pStyle w:val="ONUMFS"/>
        <w:rPr>
          <w:lang w:val="fr-CH"/>
        </w:rPr>
      </w:pPr>
      <w:r w:rsidRPr="00474FC4">
        <w:rPr>
          <w:lang w:val="fr-CH"/>
        </w:rPr>
        <w:t xml:space="preserve">La base de données de classification </w:t>
      </w:r>
      <w:r w:rsidR="00474FC4" w:rsidRPr="00474FC4">
        <w:rPr>
          <w:lang w:val="fr-CH"/>
        </w:rPr>
        <w:t xml:space="preserve">interne </w:t>
      </w:r>
      <w:r w:rsidRPr="00474FC4">
        <w:rPr>
          <w:lang w:val="fr-CH"/>
        </w:rPr>
        <w:t>pourrait être développée plus avant, afin d</w:t>
      </w:r>
      <w:r w:rsidR="0072169B">
        <w:rPr>
          <w:lang w:val="fr-CH"/>
        </w:rPr>
        <w:t>’</w:t>
      </w:r>
      <w:r w:rsidR="008B2CE5" w:rsidRPr="00474FC4">
        <w:rPr>
          <w:lang w:val="fr-CH"/>
        </w:rPr>
        <w:t xml:space="preserve">y </w:t>
      </w:r>
      <w:r w:rsidRPr="00474FC4">
        <w:rPr>
          <w:lang w:val="fr-CH"/>
        </w:rPr>
        <w:t xml:space="preserve">inclure également les listes alphabétiques de toutes les éditions précédentes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Nice.</w:t>
      </w:r>
      <w:r w:rsidR="0027625F" w:rsidRPr="00474FC4">
        <w:rPr>
          <w:lang w:val="fr-CH"/>
        </w:rPr>
        <w:t xml:space="preserve">  </w:t>
      </w:r>
      <w:r w:rsidR="005525FE" w:rsidRPr="00474FC4">
        <w:rPr>
          <w:lang w:val="fr-CH"/>
        </w:rPr>
        <w:t xml:space="preserve">Néanmoins, </w:t>
      </w:r>
      <w:r w:rsidR="008B2CE5" w:rsidRPr="00474FC4">
        <w:rPr>
          <w:lang w:val="fr-CH"/>
        </w:rPr>
        <w:t xml:space="preserve">il est fort probable que même une </w:t>
      </w:r>
      <w:r w:rsidR="005525FE" w:rsidRPr="00474FC4">
        <w:rPr>
          <w:lang w:val="fr-CH"/>
        </w:rPr>
        <w:t>te</w:t>
      </w:r>
      <w:r w:rsidR="008B2CE5" w:rsidRPr="00474FC4">
        <w:rPr>
          <w:lang w:val="fr-CH"/>
        </w:rPr>
        <w:t>lle</w:t>
      </w:r>
      <w:r w:rsidR="005525FE" w:rsidRPr="00474FC4">
        <w:rPr>
          <w:lang w:val="fr-CH"/>
        </w:rPr>
        <w:t xml:space="preserve"> évolution ne </w:t>
      </w:r>
      <w:r w:rsidR="008B2CE5" w:rsidRPr="00474FC4">
        <w:rPr>
          <w:lang w:val="fr-CH"/>
        </w:rPr>
        <w:t>soit</w:t>
      </w:r>
      <w:r w:rsidR="005525FE" w:rsidRPr="00474FC4">
        <w:rPr>
          <w:lang w:val="fr-CH"/>
        </w:rPr>
        <w:t xml:space="preserve"> pas suffisante pour permettre au Bureau international de s</w:t>
      </w:r>
      <w:r w:rsidR="0072169B">
        <w:rPr>
          <w:lang w:val="fr-CH"/>
        </w:rPr>
        <w:t>’</w:t>
      </w:r>
      <w:r w:rsidR="005525FE" w:rsidRPr="00474FC4">
        <w:rPr>
          <w:lang w:val="fr-CH"/>
        </w:rPr>
        <w:t>acquitter de ses nouvelles tâches en matière d</w:t>
      </w:r>
      <w:r w:rsidR="0072169B">
        <w:rPr>
          <w:lang w:val="fr-CH"/>
        </w:rPr>
        <w:t>’</w:t>
      </w:r>
      <w:r w:rsidR="005525FE" w:rsidRPr="00474FC4">
        <w:rPr>
          <w:lang w:val="fr-CH"/>
        </w:rPr>
        <w:t>examen et de classement.</w:t>
      </w:r>
    </w:p>
    <w:p w:rsidR="000C145C" w:rsidRPr="00297348" w:rsidRDefault="0028142B" w:rsidP="009B540F">
      <w:pPr>
        <w:pStyle w:val="Heading2"/>
        <w:rPr>
          <w:lang w:val="fr-FR"/>
        </w:rPr>
      </w:pPr>
      <w:r w:rsidRPr="00297348">
        <w:rPr>
          <w:lang w:val="fr-FR"/>
        </w:rPr>
        <w:t>RESSOURCES QUALIFIÉ</w:t>
      </w:r>
      <w:r w:rsidR="009B540F" w:rsidRPr="00297348">
        <w:rPr>
          <w:lang w:val="fr-FR"/>
        </w:rPr>
        <w:t>ES</w:t>
      </w:r>
      <w:r w:rsidRPr="00297348">
        <w:rPr>
          <w:lang w:val="fr-FR"/>
        </w:rPr>
        <w:t xml:space="preserve"> SUPPLÉMENTAIRES</w:t>
      </w:r>
    </w:p>
    <w:p w:rsidR="000C145C" w:rsidRPr="00474FC4" w:rsidRDefault="000C145C" w:rsidP="0027625F"/>
    <w:p w:rsidR="0072169B" w:rsidRDefault="008E7C98" w:rsidP="00FB31FD">
      <w:pPr>
        <w:pStyle w:val="ONUMFS"/>
        <w:rPr>
          <w:lang w:val="fr-CH"/>
        </w:rPr>
      </w:pPr>
      <w:r w:rsidRPr="00474FC4">
        <w:rPr>
          <w:lang w:val="fr-CH"/>
        </w:rPr>
        <w:t xml:space="preserve">Puisque la vérification du classement des produits et services énumérés dans les </w:t>
      </w:r>
      <w:r w:rsidR="00474FC4" w:rsidRPr="00474FC4">
        <w:rPr>
          <w:lang w:val="fr-CH"/>
        </w:rPr>
        <w:t>désignations postérieures devra</w:t>
      </w:r>
      <w:r w:rsidRPr="00474FC4">
        <w:rPr>
          <w:lang w:val="fr-CH"/>
        </w:rPr>
        <w:t xml:space="preserve"> être faite manuellement conformément à des éditions plus anciennes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Nice, les examinateurs qui en seront chargés devront </w:t>
      </w:r>
      <w:r w:rsidR="00474FC4" w:rsidRPr="00474FC4">
        <w:rPr>
          <w:lang w:val="fr-CH"/>
        </w:rPr>
        <w:t>avoir une connaissance approfondie de l</w:t>
      </w:r>
      <w:r w:rsidR="0072169B">
        <w:rPr>
          <w:lang w:val="fr-CH"/>
        </w:rPr>
        <w:t>’</w:t>
      </w:r>
      <w:r w:rsidR="00474FC4" w:rsidRPr="00474FC4">
        <w:rPr>
          <w:lang w:val="fr-CH"/>
        </w:rPr>
        <w:t>ensemble d</w:t>
      </w:r>
      <w:r w:rsidRPr="00474FC4">
        <w:rPr>
          <w:lang w:val="fr-CH"/>
        </w:rPr>
        <w:t xml:space="preserve">es éditions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</w:t>
      </w:r>
      <w:r w:rsidR="00474FC4" w:rsidRPr="00474FC4">
        <w:rPr>
          <w:lang w:val="fr-CH"/>
        </w:rPr>
        <w:t>, depuis leur conception</w:t>
      </w:r>
      <w:r w:rsidRPr="00474FC4">
        <w:rPr>
          <w:lang w:val="fr-CH"/>
        </w:rPr>
        <w:t>.</w:t>
      </w:r>
      <w:r w:rsidR="0027625F" w:rsidRPr="00474FC4">
        <w:rPr>
          <w:lang w:val="fr-CH"/>
        </w:rPr>
        <w:t xml:space="preserve"> </w:t>
      </w:r>
      <w:r w:rsidR="003D3609" w:rsidRPr="00474FC4">
        <w:rPr>
          <w:lang w:val="fr-CH"/>
        </w:rPr>
        <w:t xml:space="preserve"> </w:t>
      </w:r>
      <w:r w:rsidRPr="00474FC4">
        <w:rPr>
          <w:lang w:val="fr-CH"/>
        </w:rPr>
        <w:t>Le Service d</w:t>
      </w:r>
      <w:r w:rsidR="0072169B">
        <w:rPr>
          <w:lang w:val="fr-CH"/>
        </w:rPr>
        <w:t>’</w:t>
      </w:r>
      <w:r w:rsidRPr="00474FC4">
        <w:rPr>
          <w:lang w:val="fr-CH"/>
        </w:rPr>
        <w:t>enregistrement de Madrid ne dispose actuellement pas de ce type de connaissances et il sera difficile</w:t>
      </w:r>
      <w:r w:rsidR="00474FC4" w:rsidRPr="00474FC4">
        <w:rPr>
          <w:lang w:val="fr-CH"/>
        </w:rPr>
        <w:t>, au mieux,</w:t>
      </w:r>
      <w:r w:rsidRPr="00474FC4">
        <w:rPr>
          <w:lang w:val="fr-CH"/>
        </w:rPr>
        <w:t xml:space="preserve"> d</w:t>
      </w:r>
      <w:r w:rsidR="0072169B">
        <w:rPr>
          <w:lang w:val="fr-CH"/>
        </w:rPr>
        <w:t>’</w:t>
      </w:r>
      <w:r w:rsidRPr="00474FC4">
        <w:rPr>
          <w:lang w:val="fr-CH"/>
        </w:rPr>
        <w:t>obtenir les connaissances nécessaires.</w:t>
      </w:r>
    </w:p>
    <w:p w:rsidR="000C145C" w:rsidRPr="00474FC4" w:rsidRDefault="008E7C98" w:rsidP="00FB31FD">
      <w:pPr>
        <w:pStyle w:val="ONUMFS"/>
        <w:rPr>
          <w:lang w:val="fr-CH"/>
        </w:rPr>
      </w:pPr>
      <w:r w:rsidRPr="00474FC4">
        <w:rPr>
          <w:lang w:val="fr-CH"/>
        </w:rPr>
        <w:t>Si l</w:t>
      </w:r>
      <w:r w:rsidR="0072169B">
        <w:rPr>
          <w:lang w:val="fr-CH"/>
        </w:rPr>
        <w:t>’</w:t>
      </w:r>
      <w:r w:rsidRPr="00474FC4">
        <w:rPr>
          <w:lang w:val="fr-CH"/>
        </w:rPr>
        <w:t xml:space="preserve">on considère uniquement la charge de travail supplémentaire découlant de la mise en </w:t>
      </w:r>
      <w:r w:rsidR="0028142B" w:rsidRPr="00474FC4">
        <w:rPr>
          <w:lang w:val="fr-CH"/>
        </w:rPr>
        <w:t>œuvre</w:t>
      </w:r>
      <w:r w:rsidRPr="00474FC4">
        <w:rPr>
          <w:lang w:val="fr-CH"/>
        </w:rPr>
        <w:t xml:space="preserve"> de la règle</w:t>
      </w:r>
      <w:r w:rsidR="00C7440C">
        <w:rPr>
          <w:lang w:val="fr-CH"/>
        </w:rPr>
        <w:t> </w:t>
      </w:r>
      <w:r w:rsidRPr="00474FC4">
        <w:rPr>
          <w:lang w:val="fr-CH"/>
        </w:rPr>
        <w:t xml:space="preserve">24.5) </w:t>
      </w:r>
      <w:r w:rsidR="0028142B" w:rsidRPr="00474FC4">
        <w:rPr>
          <w:lang w:val="fr-CH"/>
        </w:rPr>
        <w:t>modifiée</w:t>
      </w:r>
      <w:r w:rsidRPr="00474FC4">
        <w:rPr>
          <w:lang w:val="fr-CH"/>
        </w:rPr>
        <w:t>, et non sa complexité, quatre</w:t>
      </w:r>
      <w:r w:rsidR="00C7440C">
        <w:rPr>
          <w:lang w:val="fr-CH"/>
        </w:rPr>
        <w:t> </w:t>
      </w:r>
      <w:r w:rsidRPr="00474FC4">
        <w:rPr>
          <w:lang w:val="fr-CH"/>
        </w:rPr>
        <w:t>examinateurs supplémentaires seront nécessaires.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 xml:space="preserve">Nous ne savons toutefois pas si des examinateurs dotés de telles connaissances de la </w:t>
      </w:r>
      <w:r w:rsidR="00F327FD">
        <w:rPr>
          <w:lang w:val="fr-CH"/>
        </w:rPr>
        <w:t>Classification</w:t>
      </w:r>
      <w:r w:rsidRPr="00474FC4">
        <w:rPr>
          <w:lang w:val="fr-CH"/>
        </w:rPr>
        <w:t xml:space="preserve"> de Nice peuvent être recrutés à l</w:t>
      </w:r>
      <w:r w:rsidR="0072169B">
        <w:rPr>
          <w:lang w:val="fr-CH"/>
        </w:rPr>
        <w:t>’</w:t>
      </w:r>
      <w:r w:rsidRPr="00474FC4">
        <w:rPr>
          <w:lang w:val="fr-CH"/>
        </w:rPr>
        <w:t>extérieur de l</w:t>
      </w:r>
      <w:r w:rsidR="0072169B">
        <w:rPr>
          <w:lang w:val="fr-CH"/>
        </w:rPr>
        <w:t>’</w:t>
      </w:r>
      <w:r w:rsidRPr="00474FC4">
        <w:rPr>
          <w:lang w:val="fr-CH"/>
        </w:rPr>
        <w:t>Organisation.</w:t>
      </w:r>
      <w:r w:rsidR="0027625F" w:rsidRPr="00474FC4">
        <w:rPr>
          <w:lang w:val="fr-CH"/>
        </w:rPr>
        <w:t xml:space="preserve">  </w:t>
      </w:r>
      <w:r w:rsidRPr="00474FC4">
        <w:rPr>
          <w:lang w:val="fr-CH"/>
        </w:rPr>
        <w:t>Cela constitue un défi égalem</w:t>
      </w:r>
      <w:r w:rsidR="0028142B" w:rsidRPr="00474FC4">
        <w:rPr>
          <w:lang w:val="fr-CH"/>
        </w:rPr>
        <w:t>ent pour les offices nationaux.</w:t>
      </w:r>
    </w:p>
    <w:p w:rsidR="000C145C" w:rsidRPr="00474FC4" w:rsidRDefault="008E7C98" w:rsidP="00FB31FD">
      <w:pPr>
        <w:pStyle w:val="ONUMFS"/>
        <w:rPr>
          <w:lang w:val="fr-CH"/>
        </w:rPr>
      </w:pPr>
      <w:r w:rsidRPr="00474FC4">
        <w:rPr>
          <w:lang w:val="fr-CH"/>
        </w:rPr>
        <w:t>Il pourrait être possible, avec le temps, de perfectionner les ressources internes afin d</w:t>
      </w:r>
      <w:r w:rsidR="0072169B">
        <w:rPr>
          <w:lang w:val="fr-CH"/>
        </w:rPr>
        <w:t>’</w:t>
      </w:r>
      <w:r w:rsidRPr="00474FC4">
        <w:rPr>
          <w:lang w:val="fr-CH"/>
        </w:rPr>
        <w:t>obtenir le niveau de connaissances requis, mais cela suppose un investissement considérable et permanent en matière de formation.</w:t>
      </w:r>
      <w:r w:rsidR="0027625F" w:rsidRPr="00474FC4">
        <w:rPr>
          <w:lang w:val="fr-CH"/>
        </w:rPr>
        <w:t xml:space="preserve"> </w:t>
      </w:r>
      <w:r w:rsidR="003D3609" w:rsidRPr="00474FC4">
        <w:rPr>
          <w:lang w:val="fr-CH"/>
        </w:rPr>
        <w:t xml:space="preserve"> </w:t>
      </w:r>
      <w:r w:rsidR="007B029D" w:rsidRPr="00474FC4">
        <w:rPr>
          <w:lang w:val="fr-CH"/>
        </w:rPr>
        <w:t>Toutefois, les efforts que suppose une telle démarche doivent être mis en balance avec le véritable gain que représente la vérification manuelle dont il est question plus haut.</w:t>
      </w:r>
    </w:p>
    <w:p w:rsidR="000C145C" w:rsidRPr="00DE73D1" w:rsidRDefault="00DE73D1" w:rsidP="00FB31FD">
      <w:pPr>
        <w:pStyle w:val="ONUMFS"/>
        <w:rPr>
          <w:lang w:val="fr-CH"/>
        </w:rPr>
      </w:pPr>
      <w:r w:rsidRPr="00DE73D1">
        <w:rPr>
          <w:lang w:val="fr-CH"/>
        </w:rPr>
        <w:br w:type="page"/>
      </w:r>
      <w:r>
        <w:rPr>
          <w:lang w:val="fr-CH"/>
        </w:rPr>
        <w:t>P</w:t>
      </w:r>
      <w:r w:rsidR="007B029D" w:rsidRPr="00DE73D1">
        <w:rPr>
          <w:lang w:val="fr-CH"/>
        </w:rPr>
        <w:t xml:space="preserve">ar ailleurs, </w:t>
      </w:r>
      <w:r w:rsidR="00474FC4" w:rsidRPr="00DE73D1">
        <w:rPr>
          <w:lang w:val="fr-CH"/>
        </w:rPr>
        <w:t>il existe d</w:t>
      </w:r>
      <w:r w:rsidR="007B029D" w:rsidRPr="00DE73D1">
        <w:rPr>
          <w:lang w:val="fr-CH"/>
        </w:rPr>
        <w:t xml:space="preserve">es risques potentiels </w:t>
      </w:r>
      <w:r w:rsidR="00474FC4" w:rsidRPr="00DE73D1">
        <w:rPr>
          <w:lang w:val="fr-CH"/>
        </w:rPr>
        <w:t>associés à</w:t>
      </w:r>
      <w:r w:rsidR="007B029D" w:rsidRPr="00DE73D1">
        <w:rPr>
          <w:lang w:val="fr-CH"/>
        </w:rPr>
        <w:t xml:space="preserve"> la mise en œuvre de la règle modifiée, notamment l</w:t>
      </w:r>
      <w:r w:rsidR="0072169B" w:rsidRPr="00DE73D1">
        <w:rPr>
          <w:lang w:val="fr-CH"/>
        </w:rPr>
        <w:t>’</w:t>
      </w:r>
      <w:r w:rsidR="007B029D" w:rsidRPr="00DE73D1">
        <w:rPr>
          <w:lang w:val="fr-CH"/>
        </w:rPr>
        <w:t>incidence négative qu</w:t>
      </w:r>
      <w:r w:rsidR="0072169B" w:rsidRPr="00DE73D1">
        <w:rPr>
          <w:lang w:val="fr-CH"/>
        </w:rPr>
        <w:t>’</w:t>
      </w:r>
      <w:r w:rsidR="007B029D" w:rsidRPr="00DE73D1">
        <w:rPr>
          <w:lang w:val="fr-CH"/>
        </w:rPr>
        <w:t xml:space="preserve">elle pourrait avoir sur le délai de traitement général et, en particulier, </w:t>
      </w:r>
      <w:r w:rsidR="00474FC4" w:rsidRPr="00DE73D1">
        <w:rPr>
          <w:lang w:val="fr-CH"/>
        </w:rPr>
        <w:t xml:space="preserve">sur </w:t>
      </w:r>
      <w:r w:rsidR="007B029D" w:rsidRPr="00DE73D1">
        <w:rPr>
          <w:lang w:val="fr-CH"/>
        </w:rPr>
        <w:t>le traitement des désignations postérieures</w:t>
      </w:r>
      <w:r w:rsidR="00474FC4" w:rsidRPr="00DE73D1">
        <w:rPr>
          <w:lang w:val="fr-CH"/>
        </w:rPr>
        <w:t>, ce</w:t>
      </w:r>
      <w:r w:rsidR="007B029D" w:rsidRPr="00DE73D1">
        <w:rPr>
          <w:lang w:val="fr-CH"/>
        </w:rPr>
        <w:t xml:space="preserve"> qui pourrait également e</w:t>
      </w:r>
      <w:r w:rsidR="00FB31FD" w:rsidRPr="00DE73D1">
        <w:rPr>
          <w:lang w:val="fr-CH"/>
        </w:rPr>
        <w:t>ntraî</w:t>
      </w:r>
      <w:r w:rsidR="007B029D" w:rsidRPr="00DE73D1">
        <w:rPr>
          <w:lang w:val="fr-CH"/>
        </w:rPr>
        <w:t>ner des retards inutiles pour les titulaires.</w:t>
      </w:r>
      <w:bookmarkStart w:id="5" w:name="_GoBack"/>
      <w:bookmarkEnd w:id="5"/>
    </w:p>
    <w:p w:rsidR="000C145C" w:rsidRPr="00474FC4" w:rsidRDefault="0028142B" w:rsidP="00FB31FD">
      <w:pPr>
        <w:pStyle w:val="ONUMFS"/>
        <w:rPr>
          <w:lang w:val="fr-CH"/>
        </w:rPr>
      </w:pPr>
      <w:r w:rsidRPr="00474FC4">
        <w:rPr>
          <w:lang w:val="fr-CH"/>
        </w:rPr>
        <w:t>Enfin, les parties contractantes et les titulaires doivent déterminer si le contrôle manuel du classement fait par le Bureau international, dans la mesure du possible, ajouterait de la valeur à l</w:t>
      </w:r>
      <w:r w:rsidR="0072169B">
        <w:rPr>
          <w:lang w:val="fr-CH"/>
        </w:rPr>
        <w:t>’</w:t>
      </w:r>
      <w:r w:rsidRPr="00474FC4">
        <w:rPr>
          <w:lang w:val="fr-CH"/>
        </w:rPr>
        <w:t>examen effectué par les offices désignés pour définir l</w:t>
      </w:r>
      <w:r w:rsidR="0072169B">
        <w:rPr>
          <w:lang w:val="fr-CH"/>
        </w:rPr>
        <w:t>’</w:t>
      </w:r>
      <w:r w:rsidRPr="00474FC4">
        <w:rPr>
          <w:lang w:val="fr-CH"/>
        </w:rPr>
        <w:t>étendue de la protection d</w:t>
      </w:r>
      <w:r w:rsidR="0072169B">
        <w:rPr>
          <w:lang w:val="fr-CH"/>
        </w:rPr>
        <w:t>’</w:t>
      </w:r>
      <w:r w:rsidRPr="00474FC4">
        <w:rPr>
          <w:lang w:val="fr-CH"/>
        </w:rPr>
        <w:t>une désignation postérieure avec une liste limitée.</w:t>
      </w:r>
    </w:p>
    <w:p w:rsidR="000C145C" w:rsidRPr="00474FC4" w:rsidRDefault="0028142B" w:rsidP="00FB31FD">
      <w:pPr>
        <w:pStyle w:val="ONUMFS"/>
        <w:rPr>
          <w:lang w:val="fr-CH"/>
        </w:rPr>
      </w:pPr>
      <w:r w:rsidRPr="00474FC4">
        <w:rPr>
          <w:lang w:val="fr-CH"/>
        </w:rPr>
        <w:t>Compte tenu des questions soulevées dans le présent document</w:t>
      </w:r>
      <w:r w:rsidR="00DE73D1">
        <w:rPr>
          <w:lang w:val="fr-CH"/>
        </w:rPr>
        <w:t>, l</w:t>
      </w:r>
      <w:r w:rsidRPr="00474FC4">
        <w:rPr>
          <w:lang w:val="fr-CH"/>
        </w:rPr>
        <w:t>e groupe de travail doit se poser la question de savoir si la modification de la règle</w:t>
      </w:r>
      <w:r w:rsidR="00C7440C">
        <w:rPr>
          <w:lang w:val="fr-CH"/>
        </w:rPr>
        <w:t> </w:t>
      </w:r>
      <w:r w:rsidRPr="00474FC4">
        <w:rPr>
          <w:lang w:val="fr-CH"/>
        </w:rPr>
        <w:t>24.5), en l</w:t>
      </w:r>
      <w:r w:rsidR="0072169B">
        <w:rPr>
          <w:lang w:val="fr-CH"/>
        </w:rPr>
        <w:t>’</w:t>
      </w:r>
      <w:r w:rsidRPr="00474FC4">
        <w:rPr>
          <w:lang w:val="fr-CH"/>
        </w:rPr>
        <w:t>état, devrait être mise en œuvre ou révisée</w:t>
      </w:r>
      <w:r w:rsidR="00474FC4" w:rsidRPr="00474FC4">
        <w:rPr>
          <w:lang w:val="fr-CH"/>
        </w:rPr>
        <w:t xml:space="preserve"> plus avant</w:t>
      </w:r>
      <w:r w:rsidRPr="00474FC4">
        <w:rPr>
          <w:lang w:val="fr-CH"/>
        </w:rPr>
        <w:t>.</w:t>
      </w:r>
    </w:p>
    <w:p w:rsidR="000C145C" w:rsidRPr="00FB31FD" w:rsidRDefault="0028142B" w:rsidP="00297348">
      <w:pPr>
        <w:pStyle w:val="ONUMFS"/>
        <w:spacing w:after="0"/>
        <w:ind w:left="5533"/>
        <w:rPr>
          <w:i/>
          <w:lang w:val="fr-CH"/>
        </w:rPr>
      </w:pPr>
      <w:r w:rsidRPr="00FB31FD">
        <w:rPr>
          <w:i/>
          <w:lang w:val="fr-CH"/>
        </w:rPr>
        <w:t xml:space="preserve">Le groupe de travail est prié de prendre note des questions relatives à la mise en œuvre </w:t>
      </w:r>
      <w:r w:rsidR="00DE73D1" w:rsidRPr="00FB31FD">
        <w:rPr>
          <w:i/>
          <w:lang w:val="fr-CH"/>
        </w:rPr>
        <w:t xml:space="preserve">susmentionnées </w:t>
      </w:r>
      <w:r w:rsidRPr="00FB31FD">
        <w:rPr>
          <w:i/>
          <w:lang w:val="fr-CH"/>
        </w:rPr>
        <w:t>et</w:t>
      </w:r>
      <w:r w:rsidR="00474FC4" w:rsidRPr="00FB31FD">
        <w:rPr>
          <w:i/>
          <w:lang w:val="fr-CH"/>
        </w:rPr>
        <w:t xml:space="preserve"> d</w:t>
      </w:r>
      <w:r w:rsidR="0072169B" w:rsidRPr="00FB31FD">
        <w:rPr>
          <w:i/>
          <w:lang w:val="fr-CH"/>
        </w:rPr>
        <w:t>’</w:t>
      </w:r>
      <w:r w:rsidRPr="00FB31FD">
        <w:rPr>
          <w:i/>
          <w:lang w:val="fr-CH"/>
        </w:rPr>
        <w:t>envisager quelles recommandations supplémentai</w:t>
      </w:r>
      <w:r w:rsidR="00474FC4" w:rsidRPr="00FB31FD">
        <w:rPr>
          <w:i/>
          <w:lang w:val="fr-CH"/>
        </w:rPr>
        <w:t>res pourraient être nécessaires, en vue de</w:t>
      </w:r>
      <w:r w:rsidRPr="00FB31FD">
        <w:rPr>
          <w:i/>
          <w:lang w:val="fr-CH"/>
        </w:rPr>
        <w:t xml:space="preserve"> leur adoption par l</w:t>
      </w:r>
      <w:r w:rsidR="0072169B" w:rsidRPr="00FB31FD">
        <w:rPr>
          <w:i/>
          <w:lang w:val="fr-CH"/>
        </w:rPr>
        <w:t>’</w:t>
      </w:r>
      <w:r w:rsidRPr="00FB31FD">
        <w:rPr>
          <w:i/>
          <w:lang w:val="fr-CH"/>
        </w:rPr>
        <w:t>Assemblée de l</w:t>
      </w:r>
      <w:r w:rsidR="0072169B" w:rsidRPr="00FB31FD">
        <w:rPr>
          <w:i/>
          <w:lang w:val="fr-CH"/>
        </w:rPr>
        <w:t>’</w:t>
      </w:r>
      <w:r w:rsidRPr="00FB31FD">
        <w:rPr>
          <w:i/>
          <w:lang w:val="fr-CH"/>
        </w:rPr>
        <w:t>Union de Madrid en</w:t>
      </w:r>
      <w:r w:rsidR="00C7440C" w:rsidRPr="00FB31FD">
        <w:rPr>
          <w:i/>
          <w:lang w:val="fr-CH"/>
        </w:rPr>
        <w:t> </w:t>
      </w:r>
      <w:r w:rsidRPr="00FB31FD">
        <w:rPr>
          <w:i/>
          <w:lang w:val="fr-CH"/>
        </w:rPr>
        <w:t>2016.</w:t>
      </w:r>
    </w:p>
    <w:p w:rsidR="000C145C" w:rsidRDefault="000C145C" w:rsidP="00297348">
      <w:pPr>
        <w:rPr>
          <w:lang w:val="fr-CH"/>
        </w:rPr>
      </w:pPr>
    </w:p>
    <w:p w:rsidR="00297348" w:rsidRPr="00474FC4" w:rsidRDefault="00297348" w:rsidP="00297348">
      <w:pPr>
        <w:rPr>
          <w:lang w:val="fr-CH"/>
        </w:rPr>
      </w:pPr>
    </w:p>
    <w:p w:rsidR="000C145C" w:rsidRPr="00474FC4" w:rsidRDefault="000C145C" w:rsidP="00297348">
      <w:pPr>
        <w:rPr>
          <w:lang w:val="fr-CH"/>
        </w:rPr>
      </w:pPr>
    </w:p>
    <w:p w:rsidR="000C145C" w:rsidRPr="00474FC4" w:rsidRDefault="00297348" w:rsidP="00297348">
      <w:pPr>
        <w:ind w:left="5534"/>
        <w:rPr>
          <w:lang w:val="fr-CH"/>
        </w:rPr>
      </w:pPr>
      <w:r>
        <w:rPr>
          <w:lang w:val="fr-CH"/>
        </w:rPr>
        <w:t>[Fin du document]</w:t>
      </w:r>
    </w:p>
    <w:p w:rsidR="000C145C" w:rsidRPr="00474FC4" w:rsidRDefault="000C145C" w:rsidP="00297348">
      <w:pPr>
        <w:rPr>
          <w:lang w:val="fr-CH"/>
        </w:rPr>
      </w:pPr>
    </w:p>
    <w:p w:rsidR="000C145C" w:rsidRPr="00474FC4" w:rsidRDefault="000C145C" w:rsidP="005B6B85">
      <w:pPr>
        <w:rPr>
          <w:lang w:val="fr-CH"/>
        </w:rPr>
      </w:pPr>
    </w:p>
    <w:p w:rsidR="000C145C" w:rsidRPr="00474FC4" w:rsidRDefault="000C145C" w:rsidP="005B6B85">
      <w:pPr>
        <w:rPr>
          <w:lang w:val="fr-CH"/>
        </w:rPr>
      </w:pPr>
    </w:p>
    <w:p w:rsidR="0027625F" w:rsidRPr="00474FC4" w:rsidRDefault="0027625F" w:rsidP="005B6B85">
      <w:pPr>
        <w:rPr>
          <w:lang w:val="fr-CH"/>
        </w:rPr>
      </w:pPr>
    </w:p>
    <w:sectPr w:rsidR="0027625F" w:rsidRPr="00474FC4" w:rsidSect="00FB31FD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AB" w:rsidRDefault="007C6EAB">
      <w:r>
        <w:separator/>
      </w:r>
    </w:p>
  </w:endnote>
  <w:endnote w:type="continuationSeparator" w:id="0">
    <w:p w:rsidR="007C6EAB" w:rsidRDefault="007C6EAB" w:rsidP="003B38C1">
      <w:r>
        <w:separator/>
      </w:r>
    </w:p>
    <w:p w:rsidR="007C6EAB" w:rsidRPr="003B38C1" w:rsidRDefault="007C6E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6EAB" w:rsidRPr="003B38C1" w:rsidRDefault="007C6E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AB" w:rsidRDefault="007C6EAB">
      <w:r>
        <w:separator/>
      </w:r>
    </w:p>
  </w:footnote>
  <w:footnote w:type="continuationSeparator" w:id="0">
    <w:p w:rsidR="007C6EAB" w:rsidRDefault="007C6EAB" w:rsidP="008B60B2">
      <w:r>
        <w:separator/>
      </w:r>
    </w:p>
    <w:p w:rsidR="007C6EAB" w:rsidRPr="00ED77FB" w:rsidRDefault="007C6E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C6EAB" w:rsidRPr="00ED77FB" w:rsidRDefault="007C6E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64FED" w:rsidRPr="00B420C2" w:rsidRDefault="00464FED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B420C2">
        <w:rPr>
          <w:lang w:val="fr-CH"/>
        </w:rPr>
        <w:t xml:space="preserve"> </w:t>
      </w:r>
      <w:r w:rsidRPr="00B420C2">
        <w:rPr>
          <w:lang w:val="fr-CH"/>
        </w:rPr>
        <w:tab/>
      </w:r>
      <w:r w:rsidR="00B420C2" w:rsidRPr="00B420C2">
        <w:rPr>
          <w:lang w:val="fr-CH"/>
        </w:rPr>
        <w:t>Voir le</w:t>
      </w:r>
      <w:r w:rsidRPr="00B420C2">
        <w:rPr>
          <w:lang w:val="fr-CH"/>
        </w:rPr>
        <w:t xml:space="preserve"> document MM/A/49/3.  </w:t>
      </w:r>
    </w:p>
  </w:footnote>
  <w:footnote w:id="3">
    <w:p w:rsidR="00E45CD5" w:rsidRPr="00474FC4" w:rsidRDefault="00E45CD5" w:rsidP="00CE4046">
      <w:pPr>
        <w:pStyle w:val="FootnoteText"/>
        <w:rPr>
          <w:lang w:val="fr-CH"/>
        </w:rPr>
      </w:pPr>
      <w:r w:rsidRPr="00474FC4">
        <w:rPr>
          <w:rStyle w:val="FootnoteReference"/>
        </w:rPr>
        <w:footnoteRef/>
      </w:r>
      <w:r w:rsidRPr="00474FC4">
        <w:rPr>
          <w:lang w:val="fr-CH"/>
        </w:rPr>
        <w:t xml:space="preserve"> </w:t>
      </w:r>
      <w:r w:rsidRPr="00474FC4">
        <w:rPr>
          <w:lang w:val="fr-CH"/>
        </w:rPr>
        <w:tab/>
        <w:t>Jusqu</w:t>
      </w:r>
      <w:r w:rsidR="00492F32">
        <w:rPr>
          <w:lang w:val="fr-CH"/>
        </w:rPr>
        <w:t>’</w:t>
      </w:r>
      <w:r w:rsidRPr="00474FC4">
        <w:rPr>
          <w:lang w:val="fr-CH"/>
        </w:rPr>
        <w:t>au 3</w:t>
      </w:r>
      <w:r w:rsidR="00492F32" w:rsidRPr="00474FC4">
        <w:rPr>
          <w:lang w:val="fr-CH"/>
        </w:rPr>
        <w:t>1</w:t>
      </w:r>
      <w:r w:rsidR="00492F32">
        <w:rPr>
          <w:lang w:val="fr-CH"/>
        </w:rPr>
        <w:t> </w:t>
      </w:r>
      <w:r w:rsidR="00492F32" w:rsidRPr="00474FC4">
        <w:rPr>
          <w:lang w:val="fr-CH"/>
        </w:rPr>
        <w:t>mars</w:t>
      </w:r>
      <w:r w:rsidR="00492F32">
        <w:rPr>
          <w:lang w:val="fr-CH"/>
        </w:rPr>
        <w:t> </w:t>
      </w:r>
      <w:r w:rsidR="00492F32" w:rsidRPr="00474FC4">
        <w:rPr>
          <w:lang w:val="fr-CH"/>
        </w:rPr>
        <w:t>19</w:t>
      </w:r>
      <w:r w:rsidRPr="00474FC4">
        <w:rPr>
          <w:lang w:val="fr-CH"/>
        </w:rPr>
        <w:t>96, le Bureau international un</w:t>
      </w:r>
      <w:r w:rsidR="00474FC4" w:rsidRPr="00474FC4">
        <w:rPr>
          <w:lang w:val="fr-CH"/>
        </w:rPr>
        <w:t>ifiait</w:t>
      </w:r>
      <w:r w:rsidRPr="00474FC4">
        <w:rPr>
          <w:lang w:val="fr-CH"/>
        </w:rPr>
        <w:t xml:space="preserve"> la liste des produits et services figurant dans les enregistrements internationaux </w:t>
      </w:r>
      <w:r w:rsidR="00474FC4" w:rsidRPr="00474FC4">
        <w:rPr>
          <w:lang w:val="fr-CH"/>
        </w:rPr>
        <w:t>au moment</w:t>
      </w:r>
      <w:r w:rsidRPr="00474FC4">
        <w:rPr>
          <w:lang w:val="fr-CH"/>
        </w:rPr>
        <w:t xml:space="preserve"> de leur renouvellement, en éliminant les indications qui étaient radiées et celles qui étaient refusées dans toutes les parties contractantes désignées.  </w:t>
      </w:r>
      <w:r w:rsidR="00CE4046" w:rsidRPr="00474FC4">
        <w:rPr>
          <w:lang w:val="fr-CH"/>
        </w:rPr>
        <w:t>En outre, le Bureau international procédait au reclassement de la liste des produits et services conformément à l</w:t>
      </w:r>
      <w:r w:rsidR="00492F32">
        <w:rPr>
          <w:lang w:val="fr-CH"/>
        </w:rPr>
        <w:t>’</w:t>
      </w:r>
      <w:r w:rsidR="00CE4046" w:rsidRPr="00474FC4">
        <w:rPr>
          <w:lang w:val="fr-CH"/>
        </w:rPr>
        <w:t xml:space="preserve">édition de la </w:t>
      </w:r>
      <w:r w:rsidR="00EA5D7F">
        <w:rPr>
          <w:lang w:val="fr-CH"/>
        </w:rPr>
        <w:t>C</w:t>
      </w:r>
      <w:r w:rsidR="00CE4046" w:rsidRPr="00474FC4">
        <w:rPr>
          <w:lang w:val="fr-CH"/>
        </w:rPr>
        <w:t>lassification de Nice en vigueur à la date de renouvellement de l</w:t>
      </w:r>
      <w:r w:rsidR="00492F32">
        <w:rPr>
          <w:lang w:val="fr-CH"/>
        </w:rPr>
        <w:t>’</w:t>
      </w:r>
      <w:r w:rsidR="00CE4046" w:rsidRPr="00474FC4">
        <w:rPr>
          <w:lang w:val="fr-CH"/>
        </w:rPr>
        <w:t>enregistrement international.</w:t>
      </w:r>
      <w:r w:rsidRPr="00474FC4">
        <w:rPr>
          <w:lang w:val="fr-CH"/>
        </w:rPr>
        <w:t xml:space="preserve">  </w:t>
      </w:r>
      <w:r w:rsidR="00CE4046" w:rsidRPr="00474FC4">
        <w:rPr>
          <w:lang w:val="fr-CH"/>
        </w:rPr>
        <w:t xml:space="preserve">Il a été mis fin à cette pratique le </w:t>
      </w:r>
      <w:r w:rsidR="00492F32" w:rsidRPr="00474FC4">
        <w:rPr>
          <w:lang w:val="fr-CH"/>
        </w:rPr>
        <w:t>1</w:t>
      </w:r>
      <w:r w:rsidR="00492F32" w:rsidRPr="00F327FD">
        <w:rPr>
          <w:vertAlign w:val="superscript"/>
          <w:lang w:val="fr-CH"/>
        </w:rPr>
        <w:t>er</w:t>
      </w:r>
      <w:r w:rsidR="00492F32">
        <w:rPr>
          <w:lang w:val="fr-CH"/>
        </w:rPr>
        <w:t> </w:t>
      </w:r>
      <w:r w:rsidR="00492F32" w:rsidRPr="00474FC4">
        <w:rPr>
          <w:lang w:val="fr-CH"/>
        </w:rPr>
        <w:t>avril</w:t>
      </w:r>
      <w:r w:rsidR="00492F32">
        <w:rPr>
          <w:lang w:val="fr-CH"/>
        </w:rPr>
        <w:t> </w:t>
      </w:r>
      <w:r w:rsidR="00492F32" w:rsidRPr="00474FC4">
        <w:rPr>
          <w:lang w:val="fr-CH"/>
        </w:rPr>
        <w:t>19</w:t>
      </w:r>
      <w:r w:rsidR="00CE4046" w:rsidRPr="00474FC4">
        <w:rPr>
          <w:lang w:val="fr-CH"/>
        </w:rPr>
        <w:t>96, lorsque le règlement d</w:t>
      </w:r>
      <w:r w:rsidR="00492F32">
        <w:rPr>
          <w:lang w:val="fr-CH"/>
        </w:rPr>
        <w:t>’</w:t>
      </w:r>
      <w:r w:rsidR="00CE4046" w:rsidRPr="00474FC4">
        <w:rPr>
          <w:lang w:val="fr-CH"/>
        </w:rPr>
        <w:t>exécution commun à l</w:t>
      </w:r>
      <w:r w:rsidR="00492F32">
        <w:rPr>
          <w:lang w:val="fr-CH"/>
        </w:rPr>
        <w:t>’</w:t>
      </w:r>
      <w:r w:rsidR="00CE4046" w:rsidRPr="00474FC4">
        <w:rPr>
          <w:lang w:val="fr-CH"/>
        </w:rPr>
        <w:t>Arrangement de Madrid concernant l</w:t>
      </w:r>
      <w:r w:rsidR="00492F32">
        <w:rPr>
          <w:lang w:val="fr-CH"/>
        </w:rPr>
        <w:t>’</w:t>
      </w:r>
      <w:r w:rsidR="00CE4046" w:rsidRPr="00474FC4">
        <w:rPr>
          <w:lang w:val="fr-CH"/>
        </w:rPr>
        <w:t xml:space="preserve">enregistrement international des marques et </w:t>
      </w:r>
      <w:r w:rsidR="00474FC4" w:rsidRPr="00474FC4">
        <w:rPr>
          <w:lang w:val="fr-CH"/>
        </w:rPr>
        <w:t>au</w:t>
      </w:r>
      <w:r w:rsidR="00CE4046" w:rsidRPr="00474FC4">
        <w:rPr>
          <w:lang w:val="fr-CH"/>
        </w:rPr>
        <w:t xml:space="preserve"> Protocole relatif à cet Arrangement </w:t>
      </w:r>
      <w:r w:rsidR="00474FC4" w:rsidRPr="00474FC4">
        <w:rPr>
          <w:lang w:val="fr-CH"/>
        </w:rPr>
        <w:t>est entré</w:t>
      </w:r>
      <w:r w:rsidR="00CE4046" w:rsidRPr="00474FC4">
        <w:rPr>
          <w:lang w:val="fr-CH"/>
        </w:rPr>
        <w:t xml:space="preserve"> en vigueur.</w:t>
      </w:r>
    </w:p>
  </w:footnote>
  <w:footnote w:id="4">
    <w:p w:rsidR="008E45A4" w:rsidRPr="00297348" w:rsidRDefault="008E45A4" w:rsidP="008E45A4">
      <w:pPr>
        <w:pStyle w:val="FootnoteText"/>
        <w:rPr>
          <w:lang w:val="fr-CH"/>
        </w:rPr>
      </w:pPr>
      <w:r w:rsidRPr="00297348">
        <w:rPr>
          <w:rStyle w:val="FootnoteReference"/>
        </w:rPr>
        <w:footnoteRef/>
      </w:r>
      <w:r w:rsidRPr="00297348">
        <w:rPr>
          <w:lang w:val="fr-CH"/>
        </w:rPr>
        <w:t xml:space="preserve"> </w:t>
      </w:r>
      <w:r w:rsidRPr="00297348">
        <w:rPr>
          <w:lang w:val="fr-CH"/>
        </w:rPr>
        <w:tab/>
        <w:t>Voir le tableau I du document MM/LD/WG/13/2.</w:t>
      </w:r>
    </w:p>
  </w:footnote>
  <w:footnote w:id="5">
    <w:p w:rsidR="00786703" w:rsidRPr="00297348" w:rsidRDefault="00786703" w:rsidP="0078670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786703">
        <w:rPr>
          <w:lang w:val="fr-CH"/>
        </w:rPr>
        <w:t xml:space="preserve"> </w:t>
      </w:r>
      <w:r w:rsidRPr="00297348">
        <w:rPr>
          <w:lang w:val="fr-CH"/>
        </w:rPr>
        <w:tab/>
        <w:t>Voir le document MM/LD/WG/12/2.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6" w:name="Code2"/>
    <w:bookmarkEnd w:id="6"/>
    <w:r>
      <w:t>MM/LD/WG/1</w:t>
    </w:r>
    <w:r w:rsidR="0028752D">
      <w:t>3</w:t>
    </w:r>
    <w:r>
      <w:t>/</w:t>
    </w:r>
    <w:r w:rsidR="005616A6">
      <w:t>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E547B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Administrative\Meetings|TextBase TMs\Administrative\Other|TextBase TMs\Administrative\Publications|TextBase TMs\Copyright\Meetings|TextBase TMs\Copyright\Other|TextBase TMs\Copyright\Publications|TextBase TMs\Budget and Finance\Meetings|TextBase TMs\Budget and Finance\Other|TextBase TMs\Budget and Finance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Trademarks\Meetings|TextBase TMs\Trademarks\Other|TextBase TMs\Trademarks\Publications|TextBase TMs\Patents\Meetings|TextBase TMs\Patents\Other|TextBase TMs\Patents\Publications"/>
    <w:docVar w:name="TextBaseURL" w:val="empty"/>
    <w:docVar w:name="UILng" w:val="en"/>
  </w:docVars>
  <w:rsids>
    <w:rsidRoot w:val="000C3895"/>
    <w:rsid w:val="00043CAA"/>
    <w:rsid w:val="00054957"/>
    <w:rsid w:val="00065F57"/>
    <w:rsid w:val="000728C5"/>
    <w:rsid w:val="000731AA"/>
    <w:rsid w:val="00075432"/>
    <w:rsid w:val="00095239"/>
    <w:rsid w:val="000968ED"/>
    <w:rsid w:val="000B24E4"/>
    <w:rsid w:val="000C145C"/>
    <w:rsid w:val="000C3895"/>
    <w:rsid w:val="000F5E56"/>
    <w:rsid w:val="001027B4"/>
    <w:rsid w:val="001362EE"/>
    <w:rsid w:val="00145C7B"/>
    <w:rsid w:val="00180B57"/>
    <w:rsid w:val="001832A6"/>
    <w:rsid w:val="001C1107"/>
    <w:rsid w:val="001E4D43"/>
    <w:rsid w:val="001E547B"/>
    <w:rsid w:val="00215BAC"/>
    <w:rsid w:val="00232E14"/>
    <w:rsid w:val="00237B20"/>
    <w:rsid w:val="00243B94"/>
    <w:rsid w:val="0024626D"/>
    <w:rsid w:val="002602E3"/>
    <w:rsid w:val="002634C4"/>
    <w:rsid w:val="0027625F"/>
    <w:rsid w:val="0028142B"/>
    <w:rsid w:val="0028752D"/>
    <w:rsid w:val="002928D3"/>
    <w:rsid w:val="00297348"/>
    <w:rsid w:val="002C2A92"/>
    <w:rsid w:val="002C78DC"/>
    <w:rsid w:val="002F1FE6"/>
    <w:rsid w:val="002F4E68"/>
    <w:rsid w:val="00312F7F"/>
    <w:rsid w:val="00324C9D"/>
    <w:rsid w:val="00361450"/>
    <w:rsid w:val="003673CF"/>
    <w:rsid w:val="003845C1"/>
    <w:rsid w:val="003A37E1"/>
    <w:rsid w:val="003A6F89"/>
    <w:rsid w:val="003B38C1"/>
    <w:rsid w:val="003C5432"/>
    <w:rsid w:val="003D3609"/>
    <w:rsid w:val="003E2CED"/>
    <w:rsid w:val="00412B9C"/>
    <w:rsid w:val="00423E3E"/>
    <w:rsid w:val="00427AF4"/>
    <w:rsid w:val="004647DA"/>
    <w:rsid w:val="00464FED"/>
    <w:rsid w:val="00474062"/>
    <w:rsid w:val="00474FC4"/>
    <w:rsid w:val="00477D6B"/>
    <w:rsid w:val="00492F32"/>
    <w:rsid w:val="005019FF"/>
    <w:rsid w:val="0053057A"/>
    <w:rsid w:val="005525FE"/>
    <w:rsid w:val="00560A29"/>
    <w:rsid w:val="005616A6"/>
    <w:rsid w:val="00581FFE"/>
    <w:rsid w:val="005A142B"/>
    <w:rsid w:val="005B05D8"/>
    <w:rsid w:val="005B6B85"/>
    <w:rsid w:val="005C2E38"/>
    <w:rsid w:val="005C6649"/>
    <w:rsid w:val="005F3F51"/>
    <w:rsid w:val="006041E7"/>
    <w:rsid w:val="00605827"/>
    <w:rsid w:val="00646050"/>
    <w:rsid w:val="00653500"/>
    <w:rsid w:val="006713CA"/>
    <w:rsid w:val="00676C5C"/>
    <w:rsid w:val="00681884"/>
    <w:rsid w:val="00682871"/>
    <w:rsid w:val="006D1C6B"/>
    <w:rsid w:val="006E02C9"/>
    <w:rsid w:val="0071424C"/>
    <w:rsid w:val="0072169B"/>
    <w:rsid w:val="00726420"/>
    <w:rsid w:val="00743D2F"/>
    <w:rsid w:val="00786703"/>
    <w:rsid w:val="007B029D"/>
    <w:rsid w:val="007C25AA"/>
    <w:rsid w:val="007C6EAB"/>
    <w:rsid w:val="007D1613"/>
    <w:rsid w:val="008102BD"/>
    <w:rsid w:val="00864BC7"/>
    <w:rsid w:val="008A21B0"/>
    <w:rsid w:val="008B2CC1"/>
    <w:rsid w:val="008B2CE5"/>
    <w:rsid w:val="008B60B2"/>
    <w:rsid w:val="008E45A4"/>
    <w:rsid w:val="008E7C98"/>
    <w:rsid w:val="0090731E"/>
    <w:rsid w:val="00916EE2"/>
    <w:rsid w:val="00923A92"/>
    <w:rsid w:val="009413C8"/>
    <w:rsid w:val="00966A22"/>
    <w:rsid w:val="0096722F"/>
    <w:rsid w:val="00980836"/>
    <w:rsid w:val="00980843"/>
    <w:rsid w:val="009A6E26"/>
    <w:rsid w:val="009B540F"/>
    <w:rsid w:val="009B6AAB"/>
    <w:rsid w:val="009E2791"/>
    <w:rsid w:val="009E3F6F"/>
    <w:rsid w:val="009F499F"/>
    <w:rsid w:val="00A42DAF"/>
    <w:rsid w:val="00A45BD8"/>
    <w:rsid w:val="00A80037"/>
    <w:rsid w:val="00A843A2"/>
    <w:rsid w:val="00A869B7"/>
    <w:rsid w:val="00A9139E"/>
    <w:rsid w:val="00AC205C"/>
    <w:rsid w:val="00AD14E8"/>
    <w:rsid w:val="00AF0A6B"/>
    <w:rsid w:val="00B05A69"/>
    <w:rsid w:val="00B11D45"/>
    <w:rsid w:val="00B12F95"/>
    <w:rsid w:val="00B330B2"/>
    <w:rsid w:val="00B420C2"/>
    <w:rsid w:val="00B51A1E"/>
    <w:rsid w:val="00B7115A"/>
    <w:rsid w:val="00B71C4B"/>
    <w:rsid w:val="00B8384B"/>
    <w:rsid w:val="00B87591"/>
    <w:rsid w:val="00B9734B"/>
    <w:rsid w:val="00BC0434"/>
    <w:rsid w:val="00C03030"/>
    <w:rsid w:val="00C11BFE"/>
    <w:rsid w:val="00C61630"/>
    <w:rsid w:val="00C7440C"/>
    <w:rsid w:val="00C75090"/>
    <w:rsid w:val="00CE4046"/>
    <w:rsid w:val="00CF0D3B"/>
    <w:rsid w:val="00D11CF1"/>
    <w:rsid w:val="00D1792B"/>
    <w:rsid w:val="00D45252"/>
    <w:rsid w:val="00D62433"/>
    <w:rsid w:val="00D64DC8"/>
    <w:rsid w:val="00D71B4D"/>
    <w:rsid w:val="00D85DB6"/>
    <w:rsid w:val="00D93D55"/>
    <w:rsid w:val="00DE73D1"/>
    <w:rsid w:val="00E335FE"/>
    <w:rsid w:val="00E45CD5"/>
    <w:rsid w:val="00E5238C"/>
    <w:rsid w:val="00E7455F"/>
    <w:rsid w:val="00E84E33"/>
    <w:rsid w:val="00EA5D7F"/>
    <w:rsid w:val="00EB2D9E"/>
    <w:rsid w:val="00EC4E49"/>
    <w:rsid w:val="00ED508D"/>
    <w:rsid w:val="00ED77FB"/>
    <w:rsid w:val="00EE45FA"/>
    <w:rsid w:val="00EF5DB8"/>
    <w:rsid w:val="00F00BAF"/>
    <w:rsid w:val="00F029C8"/>
    <w:rsid w:val="00F23F46"/>
    <w:rsid w:val="00F327FD"/>
    <w:rsid w:val="00F66152"/>
    <w:rsid w:val="00F92E84"/>
    <w:rsid w:val="00F96EF4"/>
    <w:rsid w:val="00F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5A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C25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25F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FB31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5A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C25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25F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FB3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1A96-2697-4F18-8848-63DFA938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1993</Words>
  <Characters>11143</Characters>
  <Application>Microsoft Office Word</Application>
  <DocSecurity>0</DocSecurity>
  <Lines>271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NGG/mhf</cp:keywords>
  <cp:lastModifiedBy>DIAZ Natacha</cp:lastModifiedBy>
  <cp:revision>16</cp:revision>
  <cp:lastPrinted>2015-10-19T06:17:00Z</cp:lastPrinted>
  <dcterms:created xsi:type="dcterms:W3CDTF">2015-10-16T07:36:00Z</dcterms:created>
  <dcterms:modified xsi:type="dcterms:W3CDTF">2015-10-19T13:44:00Z</dcterms:modified>
</cp:coreProperties>
</file>