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97293" w:rsidRPr="00B344B6" w:rsidTr="00A61D6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344B6" w:rsidRDefault="00EC4E49" w:rsidP="00997293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44B6" w:rsidRDefault="002E1465" w:rsidP="00997293">
            <w:pPr>
              <w:rPr>
                <w:lang w:val="fr-FR"/>
              </w:rPr>
            </w:pPr>
            <w:r w:rsidRPr="00B344B6">
              <w:rPr>
                <w:noProof/>
                <w:lang w:eastAsia="en-US"/>
              </w:rPr>
              <w:drawing>
                <wp:inline distT="0" distB="0" distL="0" distR="0" wp14:anchorId="383EEB13" wp14:editId="60CD1124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44B6" w:rsidRDefault="00524BFD" w:rsidP="00997293">
            <w:pPr>
              <w:jc w:val="right"/>
              <w:rPr>
                <w:lang w:val="fr-FR"/>
              </w:rPr>
            </w:pPr>
            <w:r w:rsidRPr="00B344B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97293" w:rsidRPr="00B344B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44B6" w:rsidRDefault="000C3895" w:rsidP="0099729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B344B6">
              <w:rPr>
                <w:rFonts w:ascii="Arial Black" w:hAnsi="Arial Black"/>
                <w:caps/>
                <w:sz w:val="15"/>
                <w:lang w:val="fr-FR"/>
              </w:rPr>
              <w:t>MM/LD/WG/1</w:t>
            </w:r>
            <w:r w:rsidR="00D1792B" w:rsidRPr="00B344B6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3C5432" w:rsidRPr="00B344B6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DE1E0B" w:rsidRPr="00B344B6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3C5432" w:rsidRPr="00B344B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997293" w:rsidRPr="00B344B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344B6" w:rsidRDefault="008B2CC1" w:rsidP="0099729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344B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24BFD" w:rsidRPr="00B344B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B344B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="00524BFD" w:rsidRPr="00B344B6">
              <w:rPr>
                <w:rFonts w:ascii="Arial Black" w:hAnsi="Arial Black"/>
                <w:caps/>
                <w:sz w:val="15"/>
                <w:lang w:val="fr-FR"/>
              </w:rPr>
              <w:t>A</w:t>
            </w:r>
            <w:r w:rsidR="000C3895" w:rsidRPr="00B344B6">
              <w:rPr>
                <w:rFonts w:ascii="Arial Black" w:hAnsi="Arial Black"/>
                <w:caps/>
                <w:sz w:val="15"/>
                <w:lang w:val="fr-FR"/>
              </w:rPr>
              <w:t>ngl</w:t>
            </w:r>
            <w:r w:rsidR="00524BFD" w:rsidRPr="00B344B6">
              <w:rPr>
                <w:rFonts w:ascii="Arial Black" w:hAnsi="Arial Black"/>
                <w:caps/>
                <w:sz w:val="15"/>
                <w:lang w:val="fr-FR"/>
              </w:rPr>
              <w:t>A</w:t>
            </w:r>
            <w:r w:rsidR="000C3895" w:rsidRPr="00B344B6">
              <w:rPr>
                <w:rFonts w:ascii="Arial Black" w:hAnsi="Arial Black"/>
                <w:caps/>
                <w:sz w:val="15"/>
                <w:lang w:val="fr-FR"/>
              </w:rPr>
              <w:t>is</w:t>
            </w:r>
          </w:p>
        </w:tc>
      </w:tr>
      <w:tr w:rsidR="008B2CC1" w:rsidRPr="00B344B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344B6" w:rsidRDefault="008B2CC1" w:rsidP="00EB0C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344B6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24BFD" w:rsidRPr="00B344B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B344B6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A42DAF" w:rsidRPr="00B344B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EB0C52" w:rsidRPr="00B344B6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EB0C52" w:rsidRPr="00B344B6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EB0C52" w:rsidRPr="00B344B6">
              <w:rPr>
                <w:rFonts w:ascii="Arial Black" w:hAnsi="Arial Black"/>
                <w:caps/>
                <w:sz w:val="15"/>
                <w:lang w:val="fr-FR"/>
              </w:rPr>
              <w:t xml:space="preserve"> septembre</w:t>
            </w:r>
            <w:r w:rsidR="00524BFD" w:rsidRPr="00B344B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0C3895" w:rsidRPr="00B344B6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D1792B" w:rsidRPr="00B344B6">
              <w:rPr>
                <w:rFonts w:ascii="Arial Black" w:hAnsi="Arial Black"/>
                <w:caps/>
                <w:sz w:val="15"/>
                <w:lang w:val="fr-FR"/>
              </w:rPr>
              <w:t>5</w:t>
            </w:r>
          </w:p>
        </w:tc>
      </w:tr>
    </w:tbl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524BFD" w:rsidP="00997293">
      <w:pPr>
        <w:rPr>
          <w:b/>
          <w:sz w:val="28"/>
          <w:szCs w:val="28"/>
          <w:lang w:val="fr-FR"/>
        </w:rPr>
      </w:pPr>
      <w:r w:rsidRPr="00B344B6">
        <w:rPr>
          <w:b/>
          <w:sz w:val="28"/>
          <w:szCs w:val="28"/>
          <w:lang w:val="fr-FR"/>
        </w:rPr>
        <w:t>Groupe de travail sur le développement juridique du système de Madrid concernant l</w:t>
      </w:r>
      <w:r w:rsidR="009A6927" w:rsidRPr="00B344B6">
        <w:rPr>
          <w:b/>
          <w:sz w:val="28"/>
          <w:szCs w:val="28"/>
          <w:lang w:val="fr-FR"/>
        </w:rPr>
        <w:t>’</w:t>
      </w:r>
      <w:r w:rsidRPr="00B344B6">
        <w:rPr>
          <w:b/>
          <w:sz w:val="28"/>
          <w:szCs w:val="28"/>
          <w:lang w:val="fr-FR"/>
        </w:rPr>
        <w:t>enregistrement international des marques</w:t>
      </w: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524BFD" w:rsidP="00997293">
      <w:pPr>
        <w:rPr>
          <w:b/>
          <w:sz w:val="24"/>
          <w:szCs w:val="24"/>
          <w:lang w:val="fr-FR"/>
        </w:rPr>
      </w:pPr>
      <w:r w:rsidRPr="00B344B6">
        <w:rPr>
          <w:b/>
          <w:sz w:val="24"/>
          <w:szCs w:val="24"/>
          <w:lang w:val="fr-FR"/>
        </w:rPr>
        <w:t>Treizième</w:t>
      </w:r>
      <w:r w:rsidR="00E11651" w:rsidRPr="00B344B6">
        <w:rPr>
          <w:b/>
          <w:sz w:val="24"/>
          <w:szCs w:val="24"/>
          <w:lang w:val="fr-FR"/>
        </w:rPr>
        <w:t> </w:t>
      </w:r>
      <w:r w:rsidRPr="00B344B6">
        <w:rPr>
          <w:b/>
          <w:sz w:val="24"/>
          <w:szCs w:val="24"/>
          <w:lang w:val="fr-FR"/>
        </w:rPr>
        <w:t>session</w:t>
      </w:r>
    </w:p>
    <w:p w:rsidR="0011695A" w:rsidRPr="00B344B6" w:rsidRDefault="00524BFD" w:rsidP="00997293">
      <w:pPr>
        <w:rPr>
          <w:b/>
          <w:sz w:val="24"/>
          <w:szCs w:val="24"/>
          <w:lang w:val="fr-FR"/>
        </w:rPr>
      </w:pPr>
      <w:r w:rsidRPr="00B344B6">
        <w:rPr>
          <w:b/>
          <w:sz w:val="24"/>
          <w:szCs w:val="24"/>
          <w:lang w:val="fr-FR"/>
        </w:rPr>
        <w:t>Genève, 2 – 6</w:t>
      </w:r>
      <w:r w:rsidR="00E11651" w:rsidRPr="00B344B6">
        <w:rPr>
          <w:b/>
          <w:sz w:val="24"/>
          <w:szCs w:val="24"/>
          <w:lang w:val="fr-FR"/>
        </w:rPr>
        <w:t> </w:t>
      </w:r>
      <w:r w:rsidRPr="00B344B6">
        <w:rPr>
          <w:b/>
          <w:sz w:val="24"/>
          <w:szCs w:val="24"/>
          <w:lang w:val="fr-FR"/>
        </w:rPr>
        <w:t>novembre</w:t>
      </w:r>
      <w:r w:rsidR="00E11651" w:rsidRPr="00B344B6">
        <w:rPr>
          <w:b/>
          <w:sz w:val="24"/>
          <w:szCs w:val="24"/>
          <w:lang w:val="fr-FR"/>
        </w:rPr>
        <w:t> </w:t>
      </w:r>
      <w:r w:rsidRPr="00B344B6">
        <w:rPr>
          <w:b/>
          <w:sz w:val="24"/>
          <w:szCs w:val="24"/>
          <w:lang w:val="fr-FR"/>
        </w:rPr>
        <w:t>2015</w:t>
      </w: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8F2F55" w:rsidP="00997293">
      <w:pPr>
        <w:rPr>
          <w:caps/>
          <w:sz w:val="24"/>
          <w:lang w:val="fr-FR"/>
        </w:rPr>
      </w:pPr>
      <w:bookmarkStart w:id="3" w:name="TitleOfDoc"/>
      <w:bookmarkEnd w:id="3"/>
      <w:r w:rsidRPr="00B344B6">
        <w:rPr>
          <w:caps/>
          <w:sz w:val="24"/>
          <w:lang w:val="fr-FR"/>
        </w:rPr>
        <w:t xml:space="preserve">EXAMEN </w:t>
      </w:r>
      <w:r w:rsidR="000712D2" w:rsidRPr="00B344B6">
        <w:rPr>
          <w:caps/>
          <w:sz w:val="24"/>
          <w:lang w:val="fr-FR"/>
        </w:rPr>
        <w:t>DE</w:t>
      </w:r>
      <w:r w:rsidRPr="00B344B6">
        <w:rPr>
          <w:caps/>
          <w:sz w:val="24"/>
          <w:lang w:val="fr-FR"/>
        </w:rPr>
        <w:t>S</w:t>
      </w:r>
      <w:r w:rsidR="000712D2" w:rsidRPr="00B344B6">
        <w:rPr>
          <w:caps/>
          <w:sz w:val="24"/>
          <w:lang w:val="fr-FR"/>
        </w:rPr>
        <w:t xml:space="preserve"> PRATIQUE</w:t>
      </w:r>
      <w:r w:rsidRPr="00B344B6">
        <w:rPr>
          <w:caps/>
          <w:sz w:val="24"/>
          <w:lang w:val="fr-FR"/>
        </w:rPr>
        <w:t>S</w:t>
      </w:r>
      <w:r w:rsidR="000712D2" w:rsidRPr="00B344B6">
        <w:rPr>
          <w:caps/>
          <w:sz w:val="24"/>
          <w:lang w:val="fr-FR"/>
        </w:rPr>
        <w:t xml:space="preserve"> </w:t>
      </w:r>
      <w:r w:rsidRPr="00B344B6">
        <w:rPr>
          <w:caps/>
          <w:sz w:val="24"/>
          <w:lang w:val="fr-FR"/>
        </w:rPr>
        <w:t>EN MATIÈRE DE</w:t>
      </w:r>
      <w:r w:rsidR="000712D2" w:rsidRPr="00B344B6">
        <w:rPr>
          <w:caps/>
          <w:sz w:val="24"/>
          <w:lang w:val="fr-FR"/>
        </w:rPr>
        <w:t xml:space="preserve"> TRADUCTION D</w:t>
      </w:r>
      <w:r w:rsidRPr="00B344B6">
        <w:rPr>
          <w:caps/>
          <w:sz w:val="24"/>
          <w:lang w:val="fr-FR"/>
        </w:rPr>
        <w:t>EMAND</w:t>
      </w:r>
      <w:r w:rsidR="00124B79" w:rsidRPr="00B344B6">
        <w:rPr>
          <w:caps/>
          <w:sz w:val="24"/>
          <w:lang w:val="fr-FR"/>
        </w:rPr>
        <w:t>É</w:t>
      </w:r>
      <w:r w:rsidR="000712D2" w:rsidRPr="00B344B6">
        <w:rPr>
          <w:caps/>
          <w:sz w:val="24"/>
          <w:lang w:val="fr-FR"/>
        </w:rPr>
        <w:t xml:space="preserve"> PAR L</w:t>
      </w:r>
      <w:r w:rsidR="009A6927" w:rsidRPr="00B344B6">
        <w:rPr>
          <w:caps/>
          <w:sz w:val="24"/>
          <w:lang w:val="fr-FR"/>
        </w:rPr>
        <w:t>’</w:t>
      </w:r>
      <w:r w:rsidR="000712D2" w:rsidRPr="00B344B6">
        <w:rPr>
          <w:caps/>
          <w:sz w:val="24"/>
          <w:lang w:val="fr-FR"/>
        </w:rPr>
        <w:t>ASSEMBL</w:t>
      </w:r>
      <w:r w:rsidR="00124B79" w:rsidRPr="00B344B6">
        <w:rPr>
          <w:caps/>
          <w:sz w:val="24"/>
          <w:lang w:val="fr-FR"/>
        </w:rPr>
        <w:t>É</w:t>
      </w:r>
      <w:r w:rsidR="000712D2" w:rsidRPr="00B344B6">
        <w:rPr>
          <w:caps/>
          <w:sz w:val="24"/>
          <w:lang w:val="fr-FR"/>
        </w:rPr>
        <w:t>E DE L</w:t>
      </w:r>
      <w:r w:rsidR="009A6927" w:rsidRPr="00B344B6">
        <w:rPr>
          <w:caps/>
          <w:sz w:val="24"/>
          <w:lang w:val="fr-FR"/>
        </w:rPr>
        <w:t>’</w:t>
      </w:r>
      <w:r w:rsidR="000712D2" w:rsidRPr="00B344B6">
        <w:rPr>
          <w:caps/>
          <w:sz w:val="24"/>
          <w:lang w:val="fr-FR"/>
        </w:rPr>
        <w:t>UNION DE MADRID</w:t>
      </w: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0712D2" w:rsidP="00997293">
      <w:pPr>
        <w:rPr>
          <w:i/>
          <w:lang w:val="fr-FR"/>
        </w:rPr>
      </w:pPr>
      <w:bookmarkStart w:id="4" w:name="Prepared"/>
      <w:bookmarkEnd w:id="4"/>
      <w:r w:rsidRPr="00B344B6">
        <w:rPr>
          <w:i/>
          <w:lang w:val="fr-FR"/>
        </w:rPr>
        <w:t>Document établi par le Bureau international</w:t>
      </w: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11695A" w:rsidP="00997293">
      <w:pPr>
        <w:rPr>
          <w:lang w:val="fr-FR"/>
        </w:rPr>
      </w:pPr>
    </w:p>
    <w:p w:rsidR="0011695A" w:rsidRPr="00B344B6" w:rsidRDefault="000712D2" w:rsidP="00997293">
      <w:pPr>
        <w:pStyle w:val="Heading1"/>
        <w:rPr>
          <w:lang w:val="fr-FR"/>
        </w:rPr>
      </w:pPr>
      <w:r w:rsidRPr="00B344B6">
        <w:rPr>
          <w:lang w:val="fr-FR"/>
        </w:rPr>
        <w:t>Introduction</w:t>
      </w:r>
    </w:p>
    <w:p w:rsidR="0011695A" w:rsidRPr="00B344B6" w:rsidRDefault="0011695A" w:rsidP="00997293">
      <w:pPr>
        <w:rPr>
          <w:lang w:val="fr-FR"/>
        </w:rPr>
      </w:pPr>
    </w:p>
    <w:p w:rsidR="009A6927" w:rsidRPr="00B344B6" w:rsidRDefault="00390A4D" w:rsidP="00997293">
      <w:pPr>
        <w:pStyle w:val="ONUMFS"/>
        <w:rPr>
          <w:lang w:val="fr-FR"/>
        </w:rPr>
      </w:pPr>
      <w:r w:rsidRPr="00B344B6">
        <w:rPr>
          <w:lang w:val="fr-FR"/>
        </w:rPr>
        <w:t>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inscription au registre international et la publication dans la </w:t>
      </w:r>
      <w:r w:rsidRPr="00B344B6">
        <w:rPr>
          <w:i/>
          <w:lang w:val="fr-FR"/>
        </w:rPr>
        <w:t>Gazette OMPI des marques internationales</w:t>
      </w:r>
      <w:r w:rsidRPr="00B344B6">
        <w:rPr>
          <w:lang w:val="fr-FR"/>
        </w:rPr>
        <w:t xml:space="preserve"> (“la gazette”)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 enregistrement international et de toutes données faisant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objet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une inscription et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une publication en vertu du </w:t>
      </w:r>
      <w:r w:rsidR="00175829" w:rsidRPr="00B344B6">
        <w:rPr>
          <w:lang w:val="fr-FR"/>
        </w:rPr>
        <w:t>règle</w:t>
      </w:r>
      <w:r w:rsidRPr="00B344B6">
        <w:rPr>
          <w:lang w:val="fr-FR"/>
        </w:rPr>
        <w:t>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 à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Arrangement de Madrid concernant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enregistrement international des marques et au Protocole relatif à cet Arrangement (ci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>après dénommés</w:t>
      </w:r>
      <w:r w:rsidR="00124B79" w:rsidRPr="00B344B6">
        <w:rPr>
          <w:lang w:val="fr-FR"/>
        </w:rPr>
        <w:t>,</w:t>
      </w:r>
      <w:r w:rsidRPr="00B344B6">
        <w:rPr>
          <w:lang w:val="fr-FR"/>
        </w:rPr>
        <w:t xml:space="preserve"> respectivement</w:t>
      </w:r>
      <w:r w:rsidR="00124B79" w:rsidRPr="00B344B6">
        <w:rPr>
          <w:lang w:val="fr-FR"/>
        </w:rPr>
        <w:t>,</w:t>
      </w:r>
      <w:r w:rsidRPr="00B344B6">
        <w:rPr>
          <w:lang w:val="fr-FR"/>
        </w:rPr>
        <w:t xml:space="preserve"> “règlement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exécution commun”, “Arrangement” et “Protocole”) </w:t>
      </w:r>
      <w:r w:rsidR="009A6927" w:rsidRPr="00B344B6">
        <w:rPr>
          <w:lang w:val="fr-FR"/>
        </w:rPr>
        <w:t>à l’égard</w:t>
      </w:r>
      <w:r w:rsidRPr="00B344B6">
        <w:rPr>
          <w:lang w:val="fr-FR"/>
        </w:rPr>
        <w:t xml:space="preserve">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 enregistrement international sont faites en français, en anglais et en espagnol.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Ce régime trilingue découle de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alinéa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>3 de la règle 6 du règlement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commun.</w:t>
      </w:r>
      <w:r w:rsidR="00DE1E0B" w:rsidRPr="00B344B6">
        <w:rPr>
          <w:lang w:val="fr-FR"/>
        </w:rPr>
        <w:t xml:space="preserve"> </w:t>
      </w:r>
      <w:r w:rsidR="007C38FF" w:rsidRPr="00B344B6">
        <w:rPr>
          <w:lang w:val="fr-FR"/>
        </w:rPr>
        <w:t xml:space="preserve"> </w:t>
      </w:r>
      <w:r w:rsidRPr="00B344B6">
        <w:rPr>
          <w:lang w:val="fr-FR"/>
        </w:rPr>
        <w:t>Conformément à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alinéa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 xml:space="preserve">4) de cette même règle, les traductions </w:t>
      </w:r>
      <w:r w:rsidR="008F2F55" w:rsidRPr="00B344B6">
        <w:rPr>
          <w:lang w:val="fr-FR"/>
        </w:rPr>
        <w:t xml:space="preserve">qui sont </w:t>
      </w:r>
      <w:r w:rsidRPr="00B344B6">
        <w:rPr>
          <w:lang w:val="fr-FR"/>
        </w:rPr>
        <w:t xml:space="preserve">nécessaires </w:t>
      </w:r>
      <w:r w:rsidR="008F2F55" w:rsidRPr="00B344B6">
        <w:rPr>
          <w:lang w:val="fr-FR"/>
        </w:rPr>
        <w:t>aux fins d</w:t>
      </w:r>
      <w:r w:rsidRPr="00B344B6">
        <w:rPr>
          <w:lang w:val="fr-FR"/>
        </w:rPr>
        <w:t>es</w:t>
      </w:r>
      <w:r w:rsidR="001064AF" w:rsidRPr="00B344B6">
        <w:rPr>
          <w:lang w:val="fr-FR"/>
        </w:rPr>
        <w:t>dites</w:t>
      </w:r>
      <w:r w:rsidRPr="00B344B6">
        <w:rPr>
          <w:lang w:val="fr-FR"/>
        </w:rPr>
        <w:t xml:space="preserve"> inscriptions et publications et </w:t>
      </w:r>
      <w:r w:rsidR="001064AF" w:rsidRPr="00B344B6">
        <w:rPr>
          <w:lang w:val="fr-FR"/>
        </w:rPr>
        <w:t xml:space="preserve">de </w:t>
      </w:r>
      <w:r w:rsidRPr="00B344B6">
        <w:rPr>
          <w:lang w:val="fr-FR"/>
        </w:rPr>
        <w:t>l</w:t>
      </w:r>
      <w:r w:rsidR="008F2F55" w:rsidRPr="00B344B6">
        <w:rPr>
          <w:lang w:val="fr-FR"/>
        </w:rPr>
        <w:t>eur</w:t>
      </w:r>
      <w:r w:rsidRPr="00B344B6">
        <w:rPr>
          <w:lang w:val="fr-FR"/>
        </w:rPr>
        <w:t xml:space="preserve"> communication aux offices des parties contractantes, aux déposants et aux titulaires</w:t>
      </w:r>
      <w:r w:rsidR="001064AF" w:rsidRPr="00B344B6">
        <w:rPr>
          <w:lang w:val="fr-FR"/>
        </w:rPr>
        <w:t>, sont établies par le Bureau international</w:t>
      </w:r>
      <w:r w:rsidRPr="00B344B6">
        <w:rPr>
          <w:lang w:val="fr-FR"/>
        </w:rPr>
        <w:t>.</w:t>
      </w:r>
    </w:p>
    <w:p w:rsidR="001A29EF" w:rsidRDefault="00D7688E" w:rsidP="00997293">
      <w:pPr>
        <w:pStyle w:val="ONUMFS"/>
        <w:rPr>
          <w:lang w:val="fr-FR"/>
        </w:rPr>
      </w:pPr>
      <w:r w:rsidRPr="00B344B6">
        <w:rPr>
          <w:lang w:val="fr-FR"/>
        </w:rPr>
        <w:t xml:space="preserve">Cependant, selon la pratique actuelle en matière de traduction mise en </w:t>
      </w:r>
      <w:r w:rsidR="00124B79" w:rsidRPr="00B344B6">
        <w:rPr>
          <w:lang w:val="fr-FR"/>
        </w:rPr>
        <w:t xml:space="preserve">œuvre </w:t>
      </w:r>
      <w:r w:rsidRPr="00B344B6">
        <w:rPr>
          <w:lang w:val="fr-FR"/>
        </w:rPr>
        <w:t>par le Bureau international, la liste des produits et services pour deux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>inscriptions spécifiques est seulement traduite, avant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inscr</w:t>
      </w:r>
      <w:r w:rsidR="00124B79" w:rsidRPr="00B344B6">
        <w:rPr>
          <w:lang w:val="fr-FR"/>
        </w:rPr>
        <w:t>i</w:t>
      </w:r>
      <w:r w:rsidRPr="00B344B6">
        <w:rPr>
          <w:lang w:val="fr-FR"/>
        </w:rPr>
        <w:t>ption, la publication et la notification, dans la langue de communication du titulaire et des offices concernés et dans la langue de la demande internationale.</w:t>
      </w:r>
      <w:r w:rsidR="007C38FF" w:rsidRPr="00B344B6">
        <w:rPr>
          <w:lang w:val="fr-FR"/>
        </w:rPr>
        <w:t xml:space="preserve">  </w:t>
      </w:r>
      <w:r w:rsidRPr="00B344B6">
        <w:rPr>
          <w:lang w:val="fr-FR"/>
        </w:rPr>
        <w:t>Il n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est procédé à la traduction de la liste des produits et services dans une autre langue de travail du </w:t>
      </w:r>
      <w:r w:rsidR="00BE0E71" w:rsidRPr="00B344B6">
        <w:rPr>
          <w:lang w:val="fr-FR"/>
        </w:rPr>
        <w:t>s</w:t>
      </w:r>
      <w:r w:rsidRPr="00B344B6">
        <w:rPr>
          <w:lang w:val="fr-FR"/>
        </w:rPr>
        <w:t>ystème de Madrid concernant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enregistrement international des marques (ci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>après dénommé “système de Madrid”), comme le</w:t>
      </w:r>
      <w:r w:rsidR="005A30C9" w:rsidRPr="00B344B6">
        <w:rPr>
          <w:lang w:val="fr-FR"/>
        </w:rPr>
        <w:t xml:space="preserve"> prévoit</w:t>
      </w:r>
      <w:r w:rsidRPr="00B344B6">
        <w:rPr>
          <w:lang w:val="fr-FR"/>
        </w:rPr>
        <w:t xml:space="preserve"> la règle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>6 du règlement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commun, qu</w:t>
      </w:r>
      <w:r w:rsidR="005A30C9" w:rsidRPr="00B344B6">
        <w:rPr>
          <w:lang w:val="fr-FR"/>
        </w:rPr>
        <w:t>e lorsqu</w:t>
      </w:r>
      <w:r w:rsidR="009A6927" w:rsidRPr="00B344B6">
        <w:rPr>
          <w:lang w:val="fr-FR"/>
        </w:rPr>
        <w:t>’</w:t>
      </w:r>
      <w:r w:rsidR="005A30C9" w:rsidRPr="00B344B6">
        <w:rPr>
          <w:lang w:val="fr-FR"/>
        </w:rPr>
        <w:t xml:space="preserve">une demande en ce sens est adressée par </w:t>
      </w:r>
      <w:r w:rsidRPr="00B344B6">
        <w:rPr>
          <w:lang w:val="fr-FR"/>
        </w:rPr>
        <w:t>la partie intéressée (le titulaire, un office ou un tiers).</w:t>
      </w:r>
      <w:r w:rsidR="001A29EF">
        <w:rPr>
          <w:lang w:val="fr-FR"/>
        </w:rPr>
        <w:t xml:space="preserve"> </w:t>
      </w:r>
      <w:r w:rsidR="001A29EF">
        <w:rPr>
          <w:lang w:val="fr-FR"/>
        </w:rPr>
        <w:br w:type="page"/>
      </w:r>
    </w:p>
    <w:p w:rsidR="009A6927" w:rsidRPr="00B344B6" w:rsidRDefault="00D7688E" w:rsidP="00997293">
      <w:pPr>
        <w:pStyle w:val="ONUMFS"/>
        <w:rPr>
          <w:lang w:val="fr-FR"/>
        </w:rPr>
      </w:pPr>
      <w:r w:rsidRPr="00B344B6">
        <w:rPr>
          <w:lang w:val="fr-FR"/>
        </w:rPr>
        <w:lastRenderedPageBreak/>
        <w:t>Cette pratique s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applique à la liste des produits et services </w:t>
      </w:r>
      <w:r w:rsidR="005A30C9" w:rsidRPr="00B344B6">
        <w:rPr>
          <w:lang w:val="fr-FR"/>
        </w:rPr>
        <w:t>figurant dans</w:t>
      </w:r>
      <w:r w:rsidRPr="00B344B6">
        <w:rPr>
          <w:lang w:val="fr-FR"/>
        </w:rPr>
        <w:t xml:space="preserve"> les deux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>inscriptions ci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>après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>:</w:t>
      </w:r>
    </w:p>
    <w:p w:rsidR="0011695A" w:rsidRPr="00B344B6" w:rsidRDefault="00442E5D" w:rsidP="00997293">
      <w:pPr>
        <w:keepNext/>
        <w:keepLines/>
        <w:ind w:firstLine="567"/>
        <w:rPr>
          <w:lang w:val="fr-FR"/>
        </w:rPr>
      </w:pPr>
      <w:r w:rsidRPr="00B344B6">
        <w:rPr>
          <w:lang w:val="fr-FR"/>
        </w:rPr>
        <w:t>–</w:t>
      </w:r>
      <w:r w:rsidRPr="00B344B6">
        <w:rPr>
          <w:lang w:val="fr-FR"/>
        </w:rPr>
        <w:tab/>
        <w:t>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effectuées en vertu de la règle 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>.2.ii) du règlement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 (c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est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>à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 xml:space="preserve">dire </w:t>
      </w:r>
      <w:r w:rsidR="00A54015" w:rsidRPr="00B344B6">
        <w:rPr>
          <w:lang w:val="fr-FR"/>
        </w:rPr>
        <w:t>faisant suite à</w:t>
      </w:r>
      <w:r w:rsidRPr="00B344B6">
        <w:rPr>
          <w:lang w:val="fr-FR"/>
        </w:rPr>
        <w:t xml:space="preserve"> un refus provisoire);  et</w:t>
      </w:r>
    </w:p>
    <w:p w:rsidR="00AA47A4" w:rsidRPr="00B344B6" w:rsidRDefault="00AA47A4" w:rsidP="00997293">
      <w:pPr>
        <w:keepNext/>
        <w:keepLines/>
        <w:ind w:firstLine="567"/>
        <w:rPr>
          <w:lang w:val="fr-FR"/>
        </w:rPr>
      </w:pPr>
    </w:p>
    <w:p w:rsidR="009A6927" w:rsidRPr="00B344B6" w:rsidRDefault="00442E5D" w:rsidP="00997293">
      <w:pPr>
        <w:keepNext/>
        <w:keepLines/>
        <w:ind w:firstLine="567"/>
        <w:rPr>
          <w:lang w:val="fr-FR"/>
        </w:rPr>
      </w:pPr>
      <w:r w:rsidRPr="00B344B6">
        <w:rPr>
          <w:lang w:val="fr-FR"/>
        </w:rPr>
        <w:t>–</w:t>
      </w:r>
      <w:r w:rsidRPr="00B344B6">
        <w:rPr>
          <w:lang w:val="fr-FR"/>
        </w:rPr>
        <w:tab/>
        <w:t>limitations demandées dans une demande internationale, une désignation postérieure ou u</w:t>
      </w:r>
      <w:r w:rsidR="00A54015" w:rsidRPr="00B344B6">
        <w:rPr>
          <w:lang w:val="fr-FR"/>
        </w:rPr>
        <w:t>ne demande</w:t>
      </w:r>
      <w:r w:rsidRPr="00B344B6">
        <w:rPr>
          <w:lang w:val="fr-FR"/>
        </w:rPr>
        <w:t xml:space="preserve"> </w:t>
      </w:r>
      <w:r w:rsidR="00A54015" w:rsidRPr="00B344B6">
        <w:rPr>
          <w:lang w:val="fr-FR"/>
        </w:rPr>
        <w:t>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inscription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</w:t>
      </w:r>
      <w:r w:rsidR="00A54015" w:rsidRPr="00B344B6">
        <w:rPr>
          <w:lang w:val="fr-FR"/>
        </w:rPr>
        <w:t>e</w:t>
      </w:r>
      <w:r w:rsidRPr="00B344B6">
        <w:rPr>
          <w:lang w:val="fr-FR"/>
        </w:rPr>
        <w:t xml:space="preserve"> </w:t>
      </w:r>
      <w:r w:rsidR="00A54015" w:rsidRPr="00B344B6">
        <w:rPr>
          <w:lang w:val="fr-FR"/>
        </w:rPr>
        <w:t>modification</w:t>
      </w:r>
      <w:r w:rsidRPr="00B344B6">
        <w:rPr>
          <w:lang w:val="fr-FR"/>
        </w:rPr>
        <w:t>.</w:t>
      </w:r>
    </w:p>
    <w:p w:rsidR="00A35243" w:rsidRPr="00B344B6" w:rsidRDefault="00A35243" w:rsidP="00997293">
      <w:pPr>
        <w:keepNext/>
        <w:keepLines/>
        <w:ind w:firstLine="567"/>
        <w:rPr>
          <w:lang w:val="fr-FR"/>
        </w:rPr>
      </w:pPr>
    </w:p>
    <w:p w:rsidR="009A6927" w:rsidRPr="00B344B6" w:rsidRDefault="00EA6BA9" w:rsidP="00997293">
      <w:pPr>
        <w:pStyle w:val="ONUMFS"/>
        <w:rPr>
          <w:lang w:val="fr-FR"/>
        </w:rPr>
      </w:pPr>
      <w:r w:rsidRPr="00B344B6">
        <w:rPr>
          <w:lang w:val="fr-FR"/>
        </w:rPr>
        <w:t>L</w:t>
      </w:r>
      <w:r w:rsidR="00A54015" w:rsidRPr="00B344B6">
        <w:rPr>
          <w:lang w:val="fr-FR"/>
        </w:rPr>
        <w:t>es</w:t>
      </w:r>
      <w:r w:rsidRPr="00B344B6">
        <w:rPr>
          <w:lang w:val="fr-FR"/>
        </w:rPr>
        <w:t xml:space="preserve"> pratique</w:t>
      </w:r>
      <w:r w:rsidR="00A54015" w:rsidRPr="00B344B6">
        <w:rPr>
          <w:lang w:val="fr-FR"/>
        </w:rPr>
        <w:t>s</w:t>
      </w:r>
      <w:r w:rsidRPr="00B344B6">
        <w:rPr>
          <w:lang w:val="fr-FR"/>
        </w:rPr>
        <w:t xml:space="preserve"> actuelle</w:t>
      </w:r>
      <w:r w:rsidR="00A54015" w:rsidRPr="00B344B6">
        <w:rPr>
          <w:lang w:val="fr-FR"/>
        </w:rPr>
        <w:t>s</w:t>
      </w:r>
      <w:r w:rsidRPr="00B344B6">
        <w:rPr>
          <w:lang w:val="fr-FR"/>
        </w:rPr>
        <w:t xml:space="preserve"> en matière de traduction </w:t>
      </w:r>
      <w:r w:rsidR="00A54015" w:rsidRPr="00B344B6">
        <w:rPr>
          <w:lang w:val="fr-FR"/>
        </w:rPr>
        <w:t>ont</w:t>
      </w:r>
      <w:r w:rsidRPr="00B344B6">
        <w:rPr>
          <w:lang w:val="fr-FR"/>
        </w:rPr>
        <w:t xml:space="preserve"> été revue</w:t>
      </w:r>
      <w:r w:rsidR="00A54015" w:rsidRPr="00B344B6">
        <w:rPr>
          <w:lang w:val="fr-FR"/>
        </w:rPr>
        <w:t>s</w:t>
      </w:r>
      <w:r w:rsidRPr="00B344B6">
        <w:rPr>
          <w:lang w:val="fr-FR"/>
        </w:rPr>
        <w:t xml:space="preserve"> pour la dernière fois par le Groupe de travail sur le développement juridique du système de Madrid concernant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enregistrement international des marques (ci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>après dénommé “groupe de travail”), à sa dixième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 xml:space="preserve">session, </w:t>
      </w:r>
      <w:r w:rsidR="00A54015" w:rsidRPr="00B344B6">
        <w:rPr>
          <w:lang w:val="fr-FR"/>
        </w:rPr>
        <w:t xml:space="preserve">où il a été </w:t>
      </w:r>
      <w:r w:rsidRPr="00B344B6">
        <w:rPr>
          <w:lang w:val="fr-FR"/>
        </w:rPr>
        <w:t>recommandé que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Assemblée de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Union de Madrid continue de prendre note de</w:t>
      </w:r>
      <w:r w:rsidR="00A54015" w:rsidRPr="00B344B6">
        <w:rPr>
          <w:lang w:val="fr-FR"/>
        </w:rPr>
        <w:t>s</w:t>
      </w:r>
      <w:r w:rsidRPr="00B344B6">
        <w:rPr>
          <w:lang w:val="fr-FR"/>
        </w:rPr>
        <w:t xml:space="preserve"> pratique</w:t>
      </w:r>
      <w:r w:rsidR="00A54015" w:rsidRPr="00B344B6">
        <w:rPr>
          <w:lang w:val="fr-FR"/>
        </w:rPr>
        <w:t>s</w:t>
      </w:r>
      <w:r w:rsidRPr="00B344B6">
        <w:rPr>
          <w:lang w:val="fr-FR"/>
        </w:rPr>
        <w:t xml:space="preserve"> en vigueur </w:t>
      </w:r>
      <w:r w:rsidR="00A54015" w:rsidRPr="00B344B6">
        <w:rPr>
          <w:lang w:val="fr-FR"/>
        </w:rPr>
        <w:t xml:space="preserve">en ce qui concerne </w:t>
      </w:r>
      <w:r w:rsidRPr="00B344B6">
        <w:rPr>
          <w:lang w:val="fr-FR"/>
        </w:rPr>
        <w:t>la traduction.</w:t>
      </w:r>
    </w:p>
    <w:p w:rsidR="009A6927" w:rsidRPr="00B344B6" w:rsidRDefault="00EA6BA9" w:rsidP="00997293">
      <w:pPr>
        <w:pStyle w:val="ONUMFS"/>
        <w:rPr>
          <w:lang w:val="fr-FR"/>
        </w:rPr>
      </w:pPr>
      <w:r w:rsidRPr="00B344B6">
        <w:rPr>
          <w:lang w:val="fr-FR"/>
        </w:rPr>
        <w:t>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Assemblée de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Union de Madrid, à sa quarante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>cinquième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>session, a continué de prendre note de</w:t>
      </w:r>
      <w:r w:rsidR="00A54015" w:rsidRPr="00B344B6">
        <w:rPr>
          <w:lang w:val="fr-FR"/>
        </w:rPr>
        <w:t>s</w:t>
      </w:r>
      <w:r w:rsidRPr="00B344B6">
        <w:rPr>
          <w:lang w:val="fr-FR"/>
        </w:rPr>
        <w:t xml:space="preserve"> pratique</w:t>
      </w:r>
      <w:r w:rsidR="00A54015" w:rsidRPr="00B344B6">
        <w:rPr>
          <w:lang w:val="fr-FR"/>
        </w:rPr>
        <w:t>s</w:t>
      </w:r>
      <w:r w:rsidRPr="00B344B6">
        <w:rPr>
          <w:lang w:val="fr-FR"/>
        </w:rPr>
        <w:t xml:space="preserve"> en vigueur, comme décrit dans le </w:t>
      </w:r>
      <w:r w:rsidR="009A6927" w:rsidRPr="00B344B6">
        <w:rPr>
          <w:lang w:val="fr-FR"/>
        </w:rPr>
        <w:t>document MM</w:t>
      </w:r>
      <w:r w:rsidRPr="00B344B6">
        <w:rPr>
          <w:lang w:val="fr-FR"/>
        </w:rPr>
        <w:t>/A/45/1, et a chargé le Bureau international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</w:t>
      </w:r>
      <w:r w:rsidR="00FC7F60" w:rsidRPr="00B344B6">
        <w:rPr>
          <w:lang w:val="fr-FR"/>
        </w:rPr>
        <w:t>ffectuer un examen d</w:t>
      </w:r>
      <w:r w:rsidRPr="00B344B6">
        <w:rPr>
          <w:lang w:val="fr-FR"/>
        </w:rPr>
        <w:t>e</w:t>
      </w:r>
      <w:r w:rsidR="00A54015" w:rsidRPr="00B344B6">
        <w:rPr>
          <w:lang w:val="fr-FR"/>
        </w:rPr>
        <w:t>s</w:t>
      </w:r>
      <w:r w:rsidR="00FC7F60" w:rsidRPr="00B344B6">
        <w:rPr>
          <w:lang w:val="fr-FR"/>
        </w:rPr>
        <w:t>dites</w:t>
      </w:r>
      <w:r w:rsidRPr="00B344B6">
        <w:rPr>
          <w:lang w:val="fr-FR"/>
        </w:rPr>
        <w:t xml:space="preserve"> pratique</w:t>
      </w:r>
      <w:r w:rsidR="00A54015" w:rsidRPr="00B344B6">
        <w:rPr>
          <w:lang w:val="fr-FR"/>
        </w:rPr>
        <w:t>s</w:t>
      </w:r>
      <w:r w:rsidRPr="00B344B6">
        <w:rPr>
          <w:lang w:val="fr-FR"/>
        </w:rPr>
        <w:t xml:space="preserve"> à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issue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une période de trois</w:t>
      </w:r>
      <w:r w:rsidR="00124B79" w:rsidRPr="00B344B6">
        <w:rPr>
          <w:lang w:val="fr-FR"/>
        </w:rPr>
        <w:t> </w:t>
      </w:r>
      <w:r w:rsidRPr="00B344B6">
        <w:rPr>
          <w:lang w:val="fr-FR"/>
        </w:rPr>
        <w:t>ans</w:t>
      </w:r>
      <w:r w:rsidRPr="00B344B6">
        <w:rPr>
          <w:rStyle w:val="FootnoteReference"/>
          <w:lang w:val="fr-FR"/>
        </w:rPr>
        <w:footnoteReference w:id="2"/>
      </w:r>
      <w:r w:rsidRPr="00B344B6">
        <w:rPr>
          <w:lang w:val="fr-FR"/>
        </w:rPr>
        <w:t>.</w:t>
      </w:r>
    </w:p>
    <w:p w:rsidR="009A6927" w:rsidRPr="00B344B6" w:rsidRDefault="001068DB" w:rsidP="00997293">
      <w:pPr>
        <w:pStyle w:val="ONUMFS"/>
        <w:rPr>
          <w:lang w:val="fr-FR"/>
        </w:rPr>
      </w:pPr>
      <w:r w:rsidRPr="00B344B6">
        <w:rPr>
          <w:lang w:val="fr-FR"/>
        </w:rPr>
        <w:t>Le présent document vise à passer en revue l</w:t>
      </w:r>
      <w:r w:rsidR="00FC7F60" w:rsidRPr="00B344B6">
        <w:rPr>
          <w:lang w:val="fr-FR"/>
        </w:rPr>
        <w:t>a</w:t>
      </w:r>
      <w:r w:rsidRPr="00B344B6">
        <w:rPr>
          <w:lang w:val="fr-FR"/>
        </w:rPr>
        <w:t xml:space="preserve"> pratique</w:t>
      </w:r>
      <w:r w:rsidR="00FC7F60" w:rsidRPr="00B344B6">
        <w:rPr>
          <w:lang w:val="fr-FR"/>
        </w:rPr>
        <w:t xml:space="preserve"> en vigueur</w:t>
      </w:r>
      <w:r w:rsidRPr="00B344B6">
        <w:rPr>
          <w:lang w:val="fr-FR"/>
        </w:rPr>
        <w:t xml:space="preserve"> en </w:t>
      </w:r>
      <w:r w:rsidR="00FC7F60" w:rsidRPr="00B344B6">
        <w:rPr>
          <w:lang w:val="fr-FR"/>
        </w:rPr>
        <w:t>ce qui concerne la</w:t>
      </w:r>
      <w:r w:rsidRPr="00B344B6">
        <w:rPr>
          <w:lang w:val="fr-FR"/>
        </w:rPr>
        <w:t xml:space="preserve"> traduction, à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issue de la période de trois</w:t>
      </w:r>
      <w:r w:rsidR="00E11651" w:rsidRPr="00B344B6">
        <w:rPr>
          <w:lang w:val="fr-FR"/>
        </w:rPr>
        <w:t> </w:t>
      </w:r>
      <w:r w:rsidRPr="00B344B6">
        <w:rPr>
          <w:lang w:val="fr-FR"/>
        </w:rPr>
        <w:t xml:space="preserve">ans, </w:t>
      </w:r>
      <w:r w:rsidR="00FC7F60" w:rsidRPr="00B344B6">
        <w:rPr>
          <w:lang w:val="fr-FR"/>
        </w:rPr>
        <w:t>comme demandé p</w:t>
      </w:r>
      <w:r w:rsidRPr="00B344B6">
        <w:rPr>
          <w:lang w:val="fr-FR"/>
        </w:rPr>
        <w:t>ar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Assemblée de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Union de Madrid.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Plus précisément, ce document présente des informations générales sur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ensemble des tâches de traduction effectuées par le Bureau international depuis le dernier examen de cette question par le groupe de travail, décrit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</w:t>
      </w:r>
      <w:r w:rsidR="00FC7F60" w:rsidRPr="00B344B6">
        <w:rPr>
          <w:lang w:val="fr-FR"/>
        </w:rPr>
        <w:t>ncidence</w:t>
      </w:r>
      <w:r w:rsidRPr="00B344B6">
        <w:rPr>
          <w:lang w:val="fr-FR"/>
        </w:rPr>
        <w:t xml:space="preserve"> des pratiques de traduction et </w:t>
      </w:r>
      <w:r w:rsidR="00FC7F60" w:rsidRPr="00B344B6">
        <w:rPr>
          <w:lang w:val="fr-FR"/>
        </w:rPr>
        <w:t>ex</w:t>
      </w:r>
      <w:r w:rsidRPr="00B344B6">
        <w:rPr>
          <w:lang w:val="fr-FR"/>
        </w:rPr>
        <w:t>a</w:t>
      </w:r>
      <w:r w:rsidR="00FC7F60" w:rsidRPr="00B344B6">
        <w:rPr>
          <w:lang w:val="fr-FR"/>
        </w:rPr>
        <w:t>min</w:t>
      </w:r>
      <w:r w:rsidRPr="00B344B6">
        <w:rPr>
          <w:lang w:val="fr-FR"/>
        </w:rPr>
        <w:t xml:space="preserve">e ces pratiques </w:t>
      </w:r>
      <w:r w:rsidR="00FC7F60" w:rsidRPr="00B344B6">
        <w:rPr>
          <w:lang w:val="fr-FR"/>
        </w:rPr>
        <w:t xml:space="preserve">compte tenu </w:t>
      </w:r>
      <w:r w:rsidRPr="00B344B6">
        <w:rPr>
          <w:lang w:val="fr-FR"/>
        </w:rPr>
        <w:t>des progrès en cours dans le domaine de</w:t>
      </w:r>
      <w:r w:rsidR="00FC7F60" w:rsidRPr="00B344B6">
        <w:rPr>
          <w:lang w:val="fr-FR"/>
        </w:rPr>
        <w:t>s technologies de</w:t>
      </w:r>
      <w:r w:rsidRPr="00B344B6">
        <w:rPr>
          <w:lang w:val="fr-FR"/>
        </w:rPr>
        <w:t xml:space="preserve">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informati</w:t>
      </w:r>
      <w:r w:rsidR="00FC7F60" w:rsidRPr="00B344B6">
        <w:rPr>
          <w:lang w:val="fr-FR"/>
        </w:rPr>
        <w:t>on</w:t>
      </w:r>
      <w:r w:rsidRPr="00B344B6">
        <w:rPr>
          <w:lang w:val="fr-FR"/>
        </w:rPr>
        <w:t xml:space="preserve"> et de la traduction automatique.</w:t>
      </w:r>
    </w:p>
    <w:p w:rsidR="009A6927" w:rsidRPr="00B344B6" w:rsidRDefault="00E11651" w:rsidP="00997293">
      <w:pPr>
        <w:pStyle w:val="ONUMFS"/>
        <w:rPr>
          <w:lang w:val="fr-FR"/>
        </w:rPr>
      </w:pPr>
      <w:r w:rsidRPr="00B344B6">
        <w:rPr>
          <w:lang w:val="fr-FR"/>
        </w:rPr>
        <w:t>L</w:t>
      </w:r>
      <w:r w:rsidR="00FC7F60" w:rsidRPr="00B344B6">
        <w:rPr>
          <w:lang w:val="fr-FR"/>
        </w:rPr>
        <w:t>a</w:t>
      </w:r>
      <w:r w:rsidR="001068DB" w:rsidRPr="00B344B6">
        <w:rPr>
          <w:lang w:val="fr-FR"/>
        </w:rPr>
        <w:t xml:space="preserve"> pratique actuelle en matière de traduction </w:t>
      </w:r>
      <w:r w:rsidR="00FC7F60" w:rsidRPr="00B344B6">
        <w:rPr>
          <w:lang w:val="fr-FR"/>
        </w:rPr>
        <w:t>e</w:t>
      </w:r>
      <w:r w:rsidRPr="00B344B6">
        <w:rPr>
          <w:lang w:val="fr-FR"/>
        </w:rPr>
        <w:t>s</w:t>
      </w:r>
      <w:r w:rsidR="00FC7F60" w:rsidRPr="00B344B6">
        <w:rPr>
          <w:lang w:val="fr-FR"/>
        </w:rPr>
        <w:t>t</w:t>
      </w:r>
      <w:r w:rsidRPr="00B344B6">
        <w:rPr>
          <w:lang w:val="fr-FR"/>
        </w:rPr>
        <w:t xml:space="preserve"> décrite plus précisément </w:t>
      </w:r>
      <w:r w:rsidR="001068DB" w:rsidRPr="00B344B6">
        <w:rPr>
          <w:lang w:val="fr-FR"/>
        </w:rPr>
        <w:t>aux paragraphes</w:t>
      </w:r>
      <w:r w:rsidRPr="00B344B6">
        <w:rPr>
          <w:lang w:val="fr-FR"/>
        </w:rPr>
        <w:t> </w:t>
      </w:r>
      <w:r w:rsidR="001068DB" w:rsidRPr="00B344B6">
        <w:rPr>
          <w:lang w:val="fr-FR"/>
        </w:rPr>
        <w:t>48 à</w:t>
      </w:r>
      <w:r w:rsidRPr="00B344B6">
        <w:rPr>
          <w:lang w:val="fr-FR"/>
        </w:rPr>
        <w:t> </w:t>
      </w:r>
      <w:r w:rsidR="001068DB" w:rsidRPr="00B344B6">
        <w:rPr>
          <w:lang w:val="fr-FR"/>
        </w:rPr>
        <w:t xml:space="preserve">63 du </w:t>
      </w:r>
      <w:r w:rsidR="009A6927" w:rsidRPr="00B344B6">
        <w:rPr>
          <w:lang w:val="fr-FR"/>
        </w:rPr>
        <w:t>document MM</w:t>
      </w:r>
      <w:r w:rsidR="001068DB" w:rsidRPr="00B344B6">
        <w:rPr>
          <w:lang w:val="fr-FR"/>
        </w:rPr>
        <w:t>/LD/WG/10/5.</w:t>
      </w:r>
    </w:p>
    <w:p w:rsidR="0011695A" w:rsidRPr="00B344B6" w:rsidRDefault="00142D41" w:rsidP="00142D41">
      <w:pPr>
        <w:pStyle w:val="Heading1"/>
        <w:rPr>
          <w:lang w:val="fr-FR"/>
        </w:rPr>
      </w:pPr>
      <w:r w:rsidRPr="00B344B6">
        <w:rPr>
          <w:lang w:val="fr-FR"/>
        </w:rPr>
        <w:t>Tâches de traduction effectuées par le Bureau international dans le cadre du système de Madrid entre 2012 et 2014</w:t>
      </w:r>
    </w:p>
    <w:p w:rsidR="00193B79" w:rsidRPr="00B344B6" w:rsidRDefault="00193B79" w:rsidP="00193B79">
      <w:pPr>
        <w:rPr>
          <w:lang w:val="fr-FR"/>
        </w:rPr>
      </w:pPr>
    </w:p>
    <w:p w:rsidR="009A6927" w:rsidRPr="00B344B6" w:rsidRDefault="00EF3A64" w:rsidP="001A29EF">
      <w:pPr>
        <w:pStyle w:val="ONUMFS"/>
        <w:spacing w:after="0"/>
        <w:rPr>
          <w:lang w:val="fr-FR"/>
        </w:rPr>
      </w:pPr>
      <w:r w:rsidRPr="00B344B6">
        <w:rPr>
          <w:lang w:val="fr-FR"/>
        </w:rPr>
        <w:t>Entre 2012 et 2014, une importante augmentation du volume de</w:t>
      </w:r>
      <w:r w:rsidR="00E11651" w:rsidRPr="00B344B6">
        <w:rPr>
          <w:lang w:val="fr-FR"/>
        </w:rPr>
        <w:t xml:space="preserve"> travail de</w:t>
      </w:r>
      <w:r w:rsidRPr="00B344B6">
        <w:rPr>
          <w:lang w:val="fr-FR"/>
        </w:rPr>
        <w:t xml:space="preserve"> traduction</w:t>
      </w:r>
      <w:r w:rsidR="00E11651" w:rsidRPr="00B344B6">
        <w:rPr>
          <w:lang w:val="fr-FR"/>
        </w:rPr>
        <w:t xml:space="preserve"> a été observée</w:t>
      </w:r>
      <w:r w:rsidRPr="00B344B6">
        <w:rPr>
          <w:lang w:val="fr-FR"/>
        </w:rPr>
        <w:t>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Le nombre d</w:t>
      </w:r>
      <w:r w:rsidR="009A6927" w:rsidRPr="00B344B6">
        <w:rPr>
          <w:lang w:val="fr-FR"/>
        </w:rPr>
        <w:t>’</w:t>
      </w:r>
      <w:r w:rsidR="0071167B" w:rsidRPr="00B344B6">
        <w:rPr>
          <w:lang w:val="fr-FR"/>
        </w:rPr>
        <w:t>inscriptions</w:t>
      </w:r>
      <w:r w:rsidRPr="00B344B6">
        <w:rPr>
          <w:lang w:val="fr-FR"/>
        </w:rPr>
        <w:t xml:space="preserve"> a progressé de 15% tandis que, sur la même période, le nombre de mots traduits augmentait de 77%.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En 2012, le Bureau international a procédé à 612 712 </w:t>
      </w:r>
      <w:r w:rsidR="005004EA" w:rsidRPr="00B344B6">
        <w:rPr>
          <w:lang w:val="fr-FR"/>
        </w:rPr>
        <w:t>inscriptions</w:t>
      </w:r>
      <w:r w:rsidRPr="00B344B6">
        <w:rPr>
          <w:lang w:val="fr-FR"/>
        </w:rPr>
        <w:t>, traduisant plus de 15 millions de mots.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 xml:space="preserve">En 2014, </w:t>
      </w:r>
      <w:r w:rsidR="000D5EFC" w:rsidRPr="00B344B6">
        <w:rPr>
          <w:lang w:val="fr-FR"/>
        </w:rPr>
        <w:t>on recensait</w:t>
      </w:r>
      <w:r w:rsidRPr="00B344B6">
        <w:rPr>
          <w:lang w:val="fr-FR"/>
        </w:rPr>
        <w:t xml:space="preserve"> 704 748 </w:t>
      </w:r>
      <w:r w:rsidR="00E94EFA" w:rsidRPr="00B344B6">
        <w:rPr>
          <w:lang w:val="fr-FR"/>
        </w:rPr>
        <w:t>inscriptions</w:t>
      </w:r>
      <w:r w:rsidRPr="00B344B6">
        <w:rPr>
          <w:lang w:val="fr-FR"/>
        </w:rPr>
        <w:t xml:space="preserve">, </w:t>
      </w:r>
      <w:r w:rsidR="000D5EFC" w:rsidRPr="00B344B6">
        <w:rPr>
          <w:lang w:val="fr-FR"/>
        </w:rPr>
        <w:t>nécessit</w:t>
      </w:r>
      <w:r w:rsidRPr="00B344B6">
        <w:rPr>
          <w:lang w:val="fr-FR"/>
        </w:rPr>
        <w:t>ant la traduction de plus de 26,6 millions de mots (voir le tableau</w:t>
      </w:r>
      <w:r w:rsidR="00E157DE" w:rsidRPr="00B344B6">
        <w:rPr>
          <w:lang w:val="fr-FR"/>
        </w:rPr>
        <w:t> </w:t>
      </w:r>
      <w:r w:rsidRPr="00B344B6">
        <w:rPr>
          <w:lang w:val="fr-FR"/>
        </w:rPr>
        <w:t>I).</w:t>
      </w:r>
    </w:p>
    <w:p w:rsidR="0011695A" w:rsidRPr="00B344B6" w:rsidRDefault="00EF3A64" w:rsidP="00997293">
      <w:pPr>
        <w:pStyle w:val="Heading4"/>
        <w:rPr>
          <w:lang w:val="fr-FR"/>
        </w:rPr>
      </w:pPr>
      <w:r w:rsidRPr="00B344B6">
        <w:rPr>
          <w:lang w:val="fr-FR"/>
        </w:rPr>
        <w:t>Tableau I</w:t>
      </w:r>
      <w:r w:rsidR="00E157DE" w:rsidRPr="00B344B6">
        <w:rPr>
          <w:lang w:val="fr-FR"/>
        </w:rPr>
        <w:t> </w:t>
      </w:r>
      <w:r w:rsidRPr="00B344B6">
        <w:rPr>
          <w:lang w:val="fr-FR"/>
        </w:rPr>
        <w:t xml:space="preserve">: </w:t>
      </w:r>
      <w:r w:rsidR="00E157DE" w:rsidRPr="00B344B6">
        <w:rPr>
          <w:lang w:val="fr-FR"/>
        </w:rPr>
        <w:t>a</w:t>
      </w:r>
      <w:r w:rsidRPr="00B344B6">
        <w:rPr>
          <w:lang w:val="fr-FR"/>
        </w:rPr>
        <w:t>ctivités de traduction entre 2012 et 2014</w:t>
      </w:r>
    </w:p>
    <w:p w:rsidR="00DE1E0B" w:rsidRPr="00B344B6" w:rsidRDefault="00DE1E0B" w:rsidP="00997293">
      <w:pPr>
        <w:rPr>
          <w:lang w:val="fr-FR"/>
        </w:rPr>
      </w:pPr>
    </w:p>
    <w:tbl>
      <w:tblPr>
        <w:tblW w:w="9360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8"/>
        <w:gridCol w:w="2837"/>
        <w:gridCol w:w="2837"/>
        <w:gridCol w:w="2558"/>
      </w:tblGrid>
      <w:tr w:rsidR="00997293" w:rsidRPr="00B344B6" w:rsidTr="008F563D">
        <w:trPr>
          <w:trHeight w:val="765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6597" w:rsidRPr="00B344B6" w:rsidRDefault="00F26597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Inscriptions au registre international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Nombre de traductions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Nombre de mots traduits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97" w:rsidRPr="00B344B6" w:rsidRDefault="00F26597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2012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612 712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123 668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15 029 668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97" w:rsidRPr="00B344B6" w:rsidRDefault="00F26597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2013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722 363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123 624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24 511 019</w:t>
            </w:r>
          </w:p>
        </w:tc>
      </w:tr>
      <w:tr w:rsidR="00F26597" w:rsidRPr="00B344B6" w:rsidTr="008F563D">
        <w:trPr>
          <w:trHeight w:val="255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97" w:rsidRPr="00B344B6" w:rsidRDefault="00F26597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2014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704 748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116 632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597" w:rsidRPr="00B344B6" w:rsidRDefault="00EF3A64" w:rsidP="00997293">
            <w:pPr>
              <w:tabs>
                <w:tab w:val="num" w:pos="284"/>
              </w:tabs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26 608 859</w:t>
            </w:r>
          </w:p>
        </w:tc>
      </w:tr>
    </w:tbl>
    <w:p w:rsidR="001A29EF" w:rsidRDefault="001A29EF" w:rsidP="000D5A9A">
      <w:pPr>
        <w:spacing w:after="240"/>
        <w:rPr>
          <w:lang w:val="fr-FR"/>
        </w:rPr>
      </w:pPr>
      <w:r>
        <w:rPr>
          <w:lang w:val="fr-FR"/>
        </w:rPr>
        <w:br w:type="page"/>
      </w:r>
    </w:p>
    <w:p w:rsidR="009A6927" w:rsidRPr="00B344B6" w:rsidRDefault="000D5EFC" w:rsidP="001024E9">
      <w:pPr>
        <w:pStyle w:val="ONUMFS"/>
        <w:rPr>
          <w:lang w:val="fr-FR"/>
        </w:rPr>
      </w:pPr>
      <w:r w:rsidRPr="00B344B6">
        <w:rPr>
          <w:lang w:val="fr-FR"/>
        </w:rPr>
        <w:lastRenderedPageBreak/>
        <w:t>L</w:t>
      </w:r>
      <w:r w:rsidR="009A6927" w:rsidRPr="00B344B6">
        <w:rPr>
          <w:lang w:val="fr-FR"/>
        </w:rPr>
        <w:t>’</w:t>
      </w:r>
      <w:r w:rsidR="00DA2904" w:rsidRPr="00B344B6">
        <w:rPr>
          <w:lang w:val="fr-FR"/>
        </w:rPr>
        <w:t>accroissement du volume de</w:t>
      </w:r>
      <w:r w:rsidR="00E157DE" w:rsidRPr="00B344B6">
        <w:rPr>
          <w:lang w:val="fr-FR"/>
        </w:rPr>
        <w:t xml:space="preserve"> travail de</w:t>
      </w:r>
      <w:r w:rsidR="00DA2904" w:rsidRPr="00B344B6">
        <w:rPr>
          <w:lang w:val="fr-FR"/>
        </w:rPr>
        <w:t xml:space="preserve"> traduction est </w:t>
      </w:r>
      <w:r w:rsidRPr="00B344B6">
        <w:rPr>
          <w:lang w:val="fr-FR"/>
        </w:rPr>
        <w:t>principalement dû à l</w:t>
      </w:r>
      <w:r w:rsidR="009A6927" w:rsidRPr="00B344B6">
        <w:rPr>
          <w:lang w:val="fr-FR"/>
        </w:rPr>
        <w:t>’</w:t>
      </w:r>
      <w:r w:rsidR="00DA2904" w:rsidRPr="00B344B6">
        <w:rPr>
          <w:lang w:val="fr-FR"/>
        </w:rPr>
        <w:t>augmentation du nombre de mots dans les enregistrements internationaux.</w:t>
      </w:r>
      <w:r w:rsidR="00DE1E0B" w:rsidRPr="00B344B6">
        <w:rPr>
          <w:lang w:val="fr-FR"/>
        </w:rPr>
        <w:t xml:space="preserve">  </w:t>
      </w:r>
      <w:r w:rsidR="00DA2904" w:rsidRPr="00B344B6">
        <w:rPr>
          <w:lang w:val="fr-FR"/>
        </w:rPr>
        <w:t>De fait, le nombre de mots traduits dans les enregistrements internationaux est passé de quelque 12,6 millions en 2012 à près de 23 millions en 2014, soit une hausse de plus de 82%, tandis que le nombre de mots traduits dans</w:t>
      </w:r>
      <w:r w:rsidR="00E157DE" w:rsidRPr="00B344B6">
        <w:rPr>
          <w:lang w:val="fr-FR"/>
        </w:rPr>
        <w:t xml:space="preserve"> les </w:t>
      </w:r>
      <w:r w:rsidR="00DA2904" w:rsidRPr="00B344B6">
        <w:rPr>
          <w:lang w:val="fr-FR"/>
        </w:rPr>
        <w:t xml:space="preserve">autres </w:t>
      </w:r>
      <w:r w:rsidR="001024E9" w:rsidRPr="00B344B6">
        <w:rPr>
          <w:lang w:val="fr-FR"/>
        </w:rPr>
        <w:t>inscriptions</w:t>
      </w:r>
      <w:r w:rsidR="00DA2904" w:rsidRPr="00B344B6">
        <w:rPr>
          <w:lang w:val="fr-FR"/>
        </w:rPr>
        <w:t xml:space="preserve"> augmentait de 50% (voir le tableau</w:t>
      </w:r>
      <w:r w:rsidR="00E157DE" w:rsidRPr="00B344B6">
        <w:rPr>
          <w:lang w:val="fr-FR"/>
        </w:rPr>
        <w:t> </w:t>
      </w:r>
      <w:r w:rsidR="00DA2904" w:rsidRPr="00B344B6">
        <w:rPr>
          <w:lang w:val="fr-FR"/>
        </w:rPr>
        <w:t>II).</w:t>
      </w:r>
    </w:p>
    <w:p w:rsidR="009A6927" w:rsidRPr="00B344B6" w:rsidRDefault="00DA2904" w:rsidP="001A29EF">
      <w:pPr>
        <w:pStyle w:val="ONUMFS"/>
        <w:spacing w:after="0"/>
        <w:rPr>
          <w:lang w:val="fr-FR"/>
        </w:rPr>
      </w:pPr>
      <w:r w:rsidRPr="00B344B6">
        <w:rPr>
          <w:lang w:val="fr-FR"/>
        </w:rPr>
        <w:t xml:space="preserve">Sur la base du nombre de mots traduits, </w:t>
      </w:r>
      <w:r w:rsidR="000D5EFC" w:rsidRPr="00B344B6">
        <w:rPr>
          <w:lang w:val="fr-FR"/>
        </w:rPr>
        <w:t>l</w:t>
      </w:r>
      <w:r w:rsidRPr="00B344B6">
        <w:rPr>
          <w:lang w:val="fr-FR"/>
        </w:rPr>
        <w:t>es enregistrements internationaux</w:t>
      </w:r>
      <w:r w:rsidR="000D5EFC" w:rsidRPr="00B344B6">
        <w:rPr>
          <w:lang w:val="fr-FR"/>
        </w:rPr>
        <w:t xml:space="preserve"> </w:t>
      </w:r>
      <w:r w:rsidRPr="00B344B6">
        <w:rPr>
          <w:lang w:val="fr-FR"/>
        </w:rPr>
        <w:t xml:space="preserve">représentent </w:t>
      </w:r>
      <w:r w:rsidR="000D5EFC" w:rsidRPr="00B344B6">
        <w:rPr>
          <w:lang w:val="fr-FR"/>
        </w:rPr>
        <w:t xml:space="preserve">toujours le plus gros volume de traduction avec </w:t>
      </w:r>
      <w:r w:rsidRPr="00B344B6">
        <w:rPr>
          <w:lang w:val="fr-FR"/>
        </w:rPr>
        <w:t>plus de 86% de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ensemble des traductions, suivis par les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envoyées en vertu de la règle</w:t>
      </w:r>
      <w:r w:rsidR="00E157DE" w:rsidRPr="00B344B6">
        <w:rPr>
          <w:lang w:val="fr-FR"/>
        </w:rPr>
        <w:t> </w:t>
      </w:r>
      <w:r w:rsidRPr="00B344B6">
        <w:rPr>
          <w:lang w:val="fr-FR"/>
        </w:rPr>
        <w:t>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 xml:space="preserve"> du règlement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commun, lesquelles, selon la pratique actuelle, représentent</w:t>
      </w:r>
      <w:r w:rsidR="00E157DE" w:rsidRPr="00B344B6">
        <w:rPr>
          <w:lang w:val="fr-FR"/>
        </w:rPr>
        <w:t> </w:t>
      </w:r>
      <w:r w:rsidRPr="00B344B6">
        <w:rPr>
          <w:lang w:val="fr-FR"/>
        </w:rPr>
        <w:t>8%.</w:t>
      </w:r>
    </w:p>
    <w:p w:rsidR="0011695A" w:rsidRPr="00B344B6" w:rsidRDefault="00DA2904" w:rsidP="00997293">
      <w:pPr>
        <w:pStyle w:val="Heading4"/>
        <w:rPr>
          <w:lang w:val="fr-FR"/>
        </w:rPr>
      </w:pPr>
      <w:r w:rsidRPr="00B344B6">
        <w:rPr>
          <w:lang w:val="fr-FR"/>
        </w:rPr>
        <w:t>Tableau</w:t>
      </w:r>
      <w:r w:rsidR="00E157DE" w:rsidRPr="00B344B6">
        <w:rPr>
          <w:lang w:val="fr-FR"/>
        </w:rPr>
        <w:t> </w:t>
      </w:r>
      <w:r w:rsidRPr="00B344B6">
        <w:rPr>
          <w:lang w:val="fr-FR"/>
        </w:rPr>
        <w:t>II</w:t>
      </w:r>
      <w:r w:rsidR="00E157DE" w:rsidRPr="00B344B6">
        <w:rPr>
          <w:lang w:val="fr-FR"/>
        </w:rPr>
        <w:t> </w:t>
      </w:r>
      <w:r w:rsidRPr="00B344B6">
        <w:rPr>
          <w:lang w:val="fr-FR"/>
        </w:rPr>
        <w:t xml:space="preserve">: </w:t>
      </w:r>
      <w:r w:rsidR="00E157DE" w:rsidRPr="00B344B6">
        <w:rPr>
          <w:lang w:val="fr-FR"/>
        </w:rPr>
        <w:t>m</w:t>
      </w:r>
      <w:r w:rsidRPr="00B344B6">
        <w:rPr>
          <w:lang w:val="fr-FR"/>
        </w:rPr>
        <w:t>ots traduits par type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inscription entre 2012 et 2014</w:t>
      </w:r>
    </w:p>
    <w:p w:rsidR="00DE1E0B" w:rsidRPr="00B344B6" w:rsidRDefault="00DE1E0B" w:rsidP="00997293">
      <w:pPr>
        <w:rPr>
          <w:lang w:val="fr-FR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31"/>
        <w:gridCol w:w="1171"/>
        <w:gridCol w:w="1171"/>
        <w:gridCol w:w="1171"/>
        <w:gridCol w:w="1170"/>
        <w:gridCol w:w="1171"/>
        <w:gridCol w:w="1171"/>
      </w:tblGrid>
      <w:tr w:rsidR="00997293" w:rsidRPr="00B344B6" w:rsidTr="008F563D">
        <w:trPr>
          <w:trHeight w:val="270"/>
        </w:trPr>
        <w:tc>
          <w:tcPr>
            <w:tcW w:w="2331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F563D" w:rsidRPr="00B344B6" w:rsidRDefault="008F563D" w:rsidP="00997293">
            <w:pPr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2012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2013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2014</w:t>
            </w:r>
          </w:p>
        </w:tc>
      </w:tr>
      <w:tr w:rsidR="00997293" w:rsidRPr="00B344B6" w:rsidTr="008F563D">
        <w:trPr>
          <w:trHeight w:val="270"/>
        </w:trPr>
        <w:tc>
          <w:tcPr>
            <w:tcW w:w="23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F563D" w:rsidRPr="00B344B6" w:rsidRDefault="008F563D" w:rsidP="00997293">
            <w:pPr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8F563D" w:rsidRPr="00B344B6" w:rsidRDefault="00DA2904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Traductions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F563D" w:rsidRPr="00B344B6" w:rsidRDefault="00DA2904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Mots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F563D" w:rsidRPr="00B344B6" w:rsidRDefault="00DA2904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Traductions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F563D" w:rsidRPr="00B344B6" w:rsidRDefault="00DA2904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Mots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F563D" w:rsidRPr="00B344B6" w:rsidRDefault="00DA2904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Traductions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F563D" w:rsidRPr="00B344B6" w:rsidRDefault="00DA2904" w:rsidP="00997293">
            <w:pPr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Mots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Enregistrement international (règle 14)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103 110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12 579 875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96 061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21 179 259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91 383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22 927 428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rPr>
                <w:sz w:val="18"/>
                <w:szCs w:val="18"/>
                <w:lang w:val="fr-FR"/>
              </w:rPr>
            </w:pPr>
            <w:proofErr w:type="gramStart"/>
            <w:r w:rsidRPr="00B344B6">
              <w:rPr>
                <w:sz w:val="18"/>
                <w:szCs w:val="18"/>
                <w:lang w:val="fr-FR"/>
              </w:rPr>
              <w:t>Refus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</w:t>
            </w:r>
            <w:r w:rsidR="00E157DE" w:rsidRPr="00B344B6">
              <w:rPr>
                <w:sz w:val="18"/>
                <w:szCs w:val="18"/>
                <w:lang w:val="fr-FR"/>
              </w:rPr>
              <w:t>r</w:t>
            </w:r>
            <w:r w:rsidRPr="00B344B6">
              <w:rPr>
                <w:sz w:val="18"/>
                <w:szCs w:val="18"/>
                <w:lang w:val="fr-FR"/>
              </w:rPr>
              <w:t>ègle 17.1))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809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58 093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4 006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194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DA2904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7 877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Décision finale et nouvelle décision (règles 18</w:t>
            </w:r>
            <w:r w:rsidRPr="00B344B6">
              <w:rPr>
                <w:i/>
                <w:sz w:val="18"/>
                <w:szCs w:val="18"/>
                <w:lang w:val="fr-FR"/>
              </w:rPr>
              <w:t>ter</w:t>
            </w:r>
            <w:r w:rsidRPr="00B344B6">
              <w:rPr>
                <w:sz w:val="18"/>
                <w:szCs w:val="18"/>
                <w:lang w:val="fr-FR"/>
              </w:rPr>
              <w:t>.2</w:t>
            </w:r>
            <w:proofErr w:type="gramStart"/>
            <w:r w:rsidRPr="00B344B6">
              <w:rPr>
                <w:sz w:val="18"/>
                <w:szCs w:val="18"/>
                <w:lang w:val="fr-FR"/>
              </w:rPr>
              <w:t>)ii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t>) et 4))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6 497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781 150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11 310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1 752 731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10 606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2 207 104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Invalidation (règle 19)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1 508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418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16 822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866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66 700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Restriction du droit du titulaire (règle</w:t>
            </w:r>
            <w:r w:rsidR="00E157DE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20)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178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17 871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581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41 447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598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44 773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Licence (règle 20</w:t>
            </w:r>
            <w:r w:rsidRPr="00B344B6">
              <w:rPr>
                <w:i/>
                <w:sz w:val="18"/>
                <w:szCs w:val="18"/>
                <w:lang w:val="fr-FR"/>
              </w:rPr>
              <w:t>bis</w:t>
            </w:r>
            <w:r w:rsidRPr="00B344B6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293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4 517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604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8 195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684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13 133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 xml:space="preserve">Cessation des </w:t>
            </w:r>
            <w:proofErr w:type="gramStart"/>
            <w:r w:rsidRPr="00B344B6">
              <w:rPr>
                <w:sz w:val="18"/>
                <w:szCs w:val="18"/>
                <w:lang w:val="fr-FR"/>
              </w:rPr>
              <w:t>effets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(règle 22)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4 441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618 012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9 167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1 063 896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7 299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871 835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Désignation postérieure (règle 24)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2 880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360 246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2 054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149 742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2 286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195 673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 xml:space="preserve">Changement de </w:t>
            </w:r>
            <w:proofErr w:type="gramStart"/>
            <w:r w:rsidRPr="00B344B6">
              <w:rPr>
                <w:sz w:val="18"/>
                <w:szCs w:val="18"/>
                <w:lang w:val="fr-FR"/>
              </w:rPr>
              <w:t>titulaire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(règle 25.1.a)i))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19 612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222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58 784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87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11 749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proofErr w:type="gramStart"/>
            <w:r w:rsidRPr="00B344B6">
              <w:rPr>
                <w:sz w:val="18"/>
                <w:szCs w:val="18"/>
                <w:lang w:val="fr-FR"/>
              </w:rPr>
              <w:t>Limitation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(règle 25.1.a)ii))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4 391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572 441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1 745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186 706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1 873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224 113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 xml:space="preserve">Radiation </w:t>
            </w:r>
            <w:proofErr w:type="gramStart"/>
            <w:r w:rsidRPr="00B344B6">
              <w:rPr>
                <w:sz w:val="18"/>
                <w:szCs w:val="18"/>
                <w:lang w:val="fr-FR"/>
              </w:rPr>
              <w:t>partielle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(règle 25.1.a)v))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403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11 618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605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25 000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567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29 453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Limitation sans effet (règle 27.5))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2 587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442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11 259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3 738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Remplacement (article 4</w:t>
            </w:r>
            <w:r w:rsidRPr="00B344B6">
              <w:rPr>
                <w:i/>
                <w:sz w:val="18"/>
                <w:szCs w:val="18"/>
                <w:lang w:val="fr-FR"/>
              </w:rPr>
              <w:t>bis</w:t>
            </w:r>
            <w:r w:rsidRPr="00B344B6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2 138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282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13 172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126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5 180</w:t>
            </w:r>
          </w:p>
        </w:tc>
      </w:tr>
      <w:tr w:rsidR="00997293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 xml:space="preserve">Traduction </w:t>
            </w:r>
            <w:r w:rsidR="000D5EFC"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sur</w:t>
            </w: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 xml:space="preserve"> demande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817F2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103</w:t>
            </w:r>
          </w:p>
        </w:tc>
      </w:tr>
      <w:tr w:rsidR="00817F28" w:rsidRPr="00B344B6" w:rsidTr="008F563D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rPr>
                <w:sz w:val="18"/>
                <w:szCs w:val="18"/>
                <w:highlight w:val="yellow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Total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123 668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15 029 221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123 624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24 511 019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116 632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817F28" w:rsidRPr="00B344B6" w:rsidRDefault="004F6535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26 608 859</w:t>
            </w:r>
          </w:p>
        </w:tc>
      </w:tr>
    </w:tbl>
    <w:p w:rsidR="00E14C90" w:rsidRDefault="00E14C90" w:rsidP="00E14C9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A6927" w:rsidRPr="00B344B6" w:rsidRDefault="001264AE" w:rsidP="00997293">
      <w:pPr>
        <w:pStyle w:val="ONUMFS"/>
        <w:rPr>
          <w:lang w:val="fr-FR"/>
        </w:rPr>
      </w:pPr>
      <w:r w:rsidRPr="00B344B6">
        <w:rPr>
          <w:lang w:val="fr-FR"/>
        </w:rPr>
        <w:t>La répartition du volume d</w:t>
      </w:r>
      <w:r w:rsidR="00E157DE" w:rsidRPr="00B344B6">
        <w:rPr>
          <w:lang w:val="fr-FR"/>
        </w:rPr>
        <w:t>u travail</w:t>
      </w:r>
      <w:r w:rsidRPr="00B344B6">
        <w:rPr>
          <w:lang w:val="fr-FR"/>
        </w:rPr>
        <w:t xml:space="preserve"> </w:t>
      </w:r>
      <w:r w:rsidR="00E157DE" w:rsidRPr="00B344B6">
        <w:rPr>
          <w:lang w:val="fr-FR"/>
        </w:rPr>
        <w:t xml:space="preserve">de </w:t>
      </w:r>
      <w:r w:rsidRPr="00B344B6">
        <w:rPr>
          <w:lang w:val="fr-FR"/>
        </w:rPr>
        <w:t>traduction en fonction de la langue cible a varié depuis le dernier rapport présenté au groupe de travail en 2011, date à laquelle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anglais représentait 15%, le français 36% et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espagnol 49%.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En 2014,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anglais représentait 10%, le français 45% et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espagnol 45% </w:t>
      </w:r>
      <w:r w:rsidR="006E54F1" w:rsidRPr="00B344B6">
        <w:rPr>
          <w:lang w:val="fr-FR"/>
        </w:rPr>
        <w:t xml:space="preserve">également </w:t>
      </w:r>
      <w:r w:rsidRPr="00B344B6">
        <w:rPr>
          <w:lang w:val="fr-FR"/>
        </w:rPr>
        <w:t>(voir le tableau</w:t>
      </w:r>
      <w:r w:rsidR="006E54F1" w:rsidRPr="00B344B6">
        <w:rPr>
          <w:lang w:val="fr-FR"/>
        </w:rPr>
        <w:t> </w:t>
      </w:r>
      <w:r w:rsidRPr="00B344B6">
        <w:rPr>
          <w:lang w:val="fr-FR"/>
        </w:rPr>
        <w:t>III).</w:t>
      </w:r>
    </w:p>
    <w:p w:rsidR="00E14C90" w:rsidRDefault="00E14C90" w:rsidP="00997293">
      <w:pPr>
        <w:rPr>
          <w:lang w:val="fr-FR"/>
        </w:rPr>
      </w:pPr>
      <w:r>
        <w:rPr>
          <w:lang w:val="fr-FR"/>
        </w:rPr>
        <w:br w:type="page"/>
      </w:r>
    </w:p>
    <w:p w:rsidR="0011695A" w:rsidRPr="00B344B6" w:rsidRDefault="001264AE" w:rsidP="00997293">
      <w:pPr>
        <w:pStyle w:val="Heading4"/>
        <w:keepLines/>
        <w:rPr>
          <w:lang w:val="fr-FR"/>
        </w:rPr>
      </w:pPr>
      <w:r w:rsidRPr="00B344B6">
        <w:rPr>
          <w:lang w:val="fr-FR"/>
        </w:rPr>
        <w:t>Tableau</w:t>
      </w:r>
      <w:r w:rsidR="006E54F1" w:rsidRPr="00B344B6">
        <w:rPr>
          <w:lang w:val="fr-FR"/>
        </w:rPr>
        <w:t> </w:t>
      </w:r>
      <w:r w:rsidRPr="00B344B6">
        <w:rPr>
          <w:lang w:val="fr-FR"/>
        </w:rPr>
        <w:t>III</w:t>
      </w:r>
      <w:r w:rsidR="006E54F1" w:rsidRPr="00B344B6">
        <w:rPr>
          <w:lang w:val="fr-FR"/>
        </w:rPr>
        <w:t> </w:t>
      </w:r>
      <w:r w:rsidRPr="00B344B6">
        <w:rPr>
          <w:lang w:val="fr-FR"/>
        </w:rPr>
        <w:t xml:space="preserve">: </w:t>
      </w:r>
      <w:r w:rsidR="006E54F1" w:rsidRPr="00B344B6">
        <w:rPr>
          <w:lang w:val="fr-FR"/>
        </w:rPr>
        <w:t>m</w:t>
      </w:r>
      <w:r w:rsidRPr="00B344B6">
        <w:rPr>
          <w:lang w:val="fr-FR"/>
        </w:rPr>
        <w:t>ots traduits par type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inscription et langue cible en 2014</w:t>
      </w:r>
    </w:p>
    <w:p w:rsidR="00DE1E0B" w:rsidRPr="00B344B6" w:rsidRDefault="00DE1E0B" w:rsidP="00997293">
      <w:pPr>
        <w:keepNext/>
        <w:keepLines/>
        <w:rPr>
          <w:lang w:val="fr-FR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06"/>
        <w:gridCol w:w="1237"/>
        <w:gridCol w:w="1058"/>
        <w:gridCol w:w="1252"/>
        <w:gridCol w:w="1252"/>
        <w:gridCol w:w="1251"/>
        <w:gridCol w:w="1113"/>
      </w:tblGrid>
      <w:tr w:rsidR="00997293" w:rsidRPr="00B344B6" w:rsidTr="008F563D">
        <w:trPr>
          <w:trHeight w:val="270"/>
          <w:jc w:val="center"/>
        </w:trPr>
        <w:tc>
          <w:tcPr>
            <w:tcW w:w="230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F563D" w:rsidRPr="00B344B6" w:rsidRDefault="008F563D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Anglais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Français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Espagnol</w:t>
            </w:r>
          </w:p>
        </w:tc>
      </w:tr>
      <w:tr w:rsidR="00997293" w:rsidRPr="00B344B6" w:rsidTr="008F563D">
        <w:trPr>
          <w:trHeight w:val="270"/>
          <w:jc w:val="center"/>
        </w:trPr>
        <w:tc>
          <w:tcPr>
            <w:tcW w:w="230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8F563D" w:rsidRPr="00B344B6" w:rsidRDefault="008F563D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Traductions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Mots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Traductions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Mots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Traductions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8F563D" w:rsidRPr="00B344B6" w:rsidRDefault="001264AE" w:rsidP="00997293">
            <w:pPr>
              <w:keepNext/>
              <w:keepLines/>
              <w:jc w:val="center"/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Mots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1264AE" w:rsidP="00997293">
            <w:pPr>
              <w:keepNext/>
              <w:keepLines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Enregistrement international (règle 14)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1264AE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9 850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1264AE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2 101 772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1264AE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37 279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1264AE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9 649 441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1264AE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44 254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1264AE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11 176 215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1264AE" w:rsidP="00997293">
            <w:pPr>
              <w:keepNext/>
              <w:keepLines/>
              <w:rPr>
                <w:sz w:val="18"/>
                <w:szCs w:val="18"/>
                <w:lang w:val="fr-FR"/>
              </w:rPr>
            </w:pPr>
            <w:proofErr w:type="gramStart"/>
            <w:r w:rsidRPr="00B344B6">
              <w:rPr>
                <w:sz w:val="18"/>
                <w:szCs w:val="18"/>
                <w:lang w:val="fr-FR"/>
              </w:rPr>
              <w:t>Refus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(règle 17.1))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28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488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187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160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1264AE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7 202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1264AE" w:rsidP="00997293">
            <w:pPr>
              <w:keepNext/>
              <w:keepLines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Décision finale et nouvelle décision</w:t>
            </w:r>
            <w:r w:rsidR="005C7B38" w:rsidRPr="00B344B6">
              <w:rPr>
                <w:sz w:val="18"/>
                <w:szCs w:val="18"/>
                <w:lang w:val="fr-FR"/>
              </w:rPr>
              <w:t xml:space="preserve"> (</w:t>
            </w:r>
            <w:r w:rsidRPr="00B344B6">
              <w:rPr>
                <w:sz w:val="18"/>
                <w:szCs w:val="18"/>
                <w:lang w:val="fr-FR"/>
              </w:rPr>
              <w:t>règ</w:t>
            </w:r>
            <w:r w:rsidR="005C7B38" w:rsidRPr="00B344B6">
              <w:rPr>
                <w:sz w:val="18"/>
                <w:szCs w:val="18"/>
                <w:lang w:val="fr-FR"/>
              </w:rPr>
              <w:t>les 18</w:t>
            </w:r>
            <w:r w:rsidR="005C7B38" w:rsidRPr="00B344B6">
              <w:rPr>
                <w:i/>
                <w:iCs/>
                <w:sz w:val="18"/>
                <w:szCs w:val="18"/>
                <w:lang w:val="fr-FR"/>
              </w:rPr>
              <w:t>ter</w:t>
            </w:r>
            <w:r w:rsidRPr="00B344B6">
              <w:rPr>
                <w:i/>
                <w:iCs/>
                <w:sz w:val="18"/>
                <w:szCs w:val="18"/>
                <w:lang w:val="fr-FR"/>
              </w:rPr>
              <w:t>.</w:t>
            </w:r>
            <w:r w:rsidR="005C7B38" w:rsidRPr="00B344B6">
              <w:rPr>
                <w:sz w:val="18"/>
                <w:szCs w:val="18"/>
                <w:lang w:val="fr-FR"/>
              </w:rPr>
              <w:t>2</w:t>
            </w:r>
            <w:proofErr w:type="gramStart"/>
            <w:r w:rsidR="005C7B38" w:rsidRPr="00B344B6">
              <w:rPr>
                <w:sz w:val="18"/>
                <w:szCs w:val="18"/>
                <w:lang w:val="fr-FR"/>
              </w:rPr>
              <w:t>)ii</w:t>
            </w:r>
            <w:proofErr w:type="gramEnd"/>
            <w:r w:rsidR="005C7B38" w:rsidRPr="00B344B6">
              <w:rPr>
                <w:sz w:val="18"/>
                <w:szCs w:val="18"/>
                <w:lang w:val="fr-FR"/>
              </w:rPr>
              <w:t xml:space="preserve">) </w:t>
            </w:r>
            <w:r w:rsidRPr="00B344B6">
              <w:rPr>
                <w:sz w:val="18"/>
                <w:szCs w:val="18"/>
                <w:lang w:val="fr-FR"/>
              </w:rPr>
              <w:t>et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="005C7B38" w:rsidRPr="00B344B6">
              <w:rPr>
                <w:sz w:val="18"/>
                <w:szCs w:val="18"/>
                <w:lang w:val="fr-FR"/>
              </w:rPr>
              <w:t>4))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565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501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058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126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548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579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915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keepLines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157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467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5C7B38" w:rsidP="00997293">
            <w:pPr>
              <w:keepNext/>
              <w:rPr>
                <w:sz w:val="18"/>
                <w:szCs w:val="18"/>
                <w:lang w:val="fr-FR"/>
              </w:rPr>
            </w:pPr>
            <w:proofErr w:type="gramStart"/>
            <w:r w:rsidRPr="00B344B6">
              <w:rPr>
                <w:sz w:val="18"/>
                <w:szCs w:val="18"/>
                <w:lang w:val="fr-FR"/>
              </w:rPr>
              <w:t>Invalidation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</w:t>
            </w:r>
            <w:r w:rsidR="001264AE" w:rsidRPr="00B344B6">
              <w:rPr>
                <w:sz w:val="18"/>
                <w:szCs w:val="18"/>
                <w:lang w:val="fr-FR"/>
              </w:rPr>
              <w:t>règ</w:t>
            </w:r>
            <w:r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19)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46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378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782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446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38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876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5C7B38" w:rsidP="00997293">
            <w:pPr>
              <w:keepNext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 xml:space="preserve">Restriction </w:t>
            </w:r>
            <w:r w:rsidR="001264AE" w:rsidRPr="00B344B6">
              <w:rPr>
                <w:sz w:val="18"/>
                <w:szCs w:val="18"/>
                <w:lang w:val="fr-FR"/>
              </w:rPr>
              <w:t>du droit du titulaire</w:t>
            </w:r>
            <w:r w:rsidRPr="00B344B6">
              <w:rPr>
                <w:sz w:val="18"/>
                <w:szCs w:val="18"/>
                <w:lang w:val="fr-FR"/>
              </w:rPr>
              <w:t xml:space="preserve"> (</w:t>
            </w:r>
            <w:r w:rsidR="001264AE" w:rsidRPr="00B344B6">
              <w:rPr>
                <w:sz w:val="18"/>
                <w:szCs w:val="18"/>
                <w:lang w:val="fr-FR"/>
              </w:rPr>
              <w:t>règ</w:t>
            </w:r>
            <w:r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20)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94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858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248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18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319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256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19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596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5C7B38" w:rsidP="00997293">
            <w:pPr>
              <w:keepNext/>
              <w:rPr>
                <w:sz w:val="18"/>
                <w:szCs w:val="18"/>
                <w:lang w:val="fr-FR"/>
              </w:rPr>
            </w:pPr>
            <w:proofErr w:type="gramStart"/>
            <w:r w:rsidRPr="00B344B6">
              <w:rPr>
                <w:sz w:val="18"/>
                <w:szCs w:val="18"/>
                <w:lang w:val="fr-FR"/>
              </w:rPr>
              <w:t>Licen</w:t>
            </w:r>
            <w:r w:rsidR="001264AE" w:rsidRPr="00B344B6">
              <w:rPr>
                <w:sz w:val="18"/>
                <w:szCs w:val="18"/>
                <w:lang w:val="fr-FR"/>
              </w:rPr>
              <w:t>c</w:t>
            </w:r>
            <w:r w:rsidRPr="00B344B6">
              <w:rPr>
                <w:sz w:val="18"/>
                <w:szCs w:val="18"/>
                <w:lang w:val="fr-FR"/>
              </w:rPr>
              <w:t>e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</w:t>
            </w:r>
            <w:r w:rsidR="001264AE" w:rsidRPr="00B344B6">
              <w:rPr>
                <w:sz w:val="18"/>
                <w:szCs w:val="18"/>
                <w:lang w:val="fr-FR"/>
              </w:rPr>
              <w:t>règ</w:t>
            </w:r>
            <w:r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20</w:t>
            </w:r>
            <w:r w:rsidRPr="00B344B6">
              <w:rPr>
                <w:i/>
                <w:iCs/>
                <w:sz w:val="18"/>
                <w:szCs w:val="18"/>
                <w:lang w:val="fr-FR"/>
              </w:rPr>
              <w:t>bis</w:t>
            </w:r>
            <w:r w:rsidRPr="00B344B6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124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424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252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426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308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283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5C7B38" w:rsidP="00997293">
            <w:pPr>
              <w:keepNext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Ces</w:t>
            </w:r>
            <w:r w:rsidR="001264AE" w:rsidRPr="00B344B6">
              <w:rPr>
                <w:sz w:val="18"/>
                <w:szCs w:val="18"/>
                <w:lang w:val="fr-FR"/>
              </w:rPr>
              <w:t xml:space="preserve">sation des </w:t>
            </w:r>
            <w:proofErr w:type="gramStart"/>
            <w:r w:rsidR="001264AE" w:rsidRPr="00B344B6">
              <w:rPr>
                <w:sz w:val="18"/>
                <w:szCs w:val="18"/>
                <w:lang w:val="fr-FR"/>
              </w:rPr>
              <w:t>e</w:t>
            </w:r>
            <w:r w:rsidRPr="00B344B6">
              <w:rPr>
                <w:sz w:val="18"/>
                <w:szCs w:val="18"/>
                <w:lang w:val="fr-FR"/>
              </w:rPr>
              <w:t>ffet</w:t>
            </w:r>
            <w:r w:rsidR="001264AE" w:rsidRPr="00B344B6">
              <w:rPr>
                <w:sz w:val="18"/>
                <w:szCs w:val="18"/>
                <w:lang w:val="fr-FR"/>
              </w:rPr>
              <w:t>s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</w:t>
            </w:r>
            <w:r w:rsidR="001264AE" w:rsidRPr="00B344B6">
              <w:rPr>
                <w:sz w:val="18"/>
                <w:szCs w:val="18"/>
                <w:lang w:val="fr-FR"/>
              </w:rPr>
              <w:t>règ</w:t>
            </w:r>
            <w:r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22)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322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24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706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377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417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173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600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429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956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1264AE" w:rsidP="00997293">
            <w:pPr>
              <w:keepNext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Dé</w:t>
            </w:r>
            <w:r w:rsidR="005C7B38" w:rsidRPr="00B344B6">
              <w:rPr>
                <w:sz w:val="18"/>
                <w:szCs w:val="18"/>
                <w:lang w:val="fr-FR"/>
              </w:rPr>
              <w:t xml:space="preserve">signation </w:t>
            </w:r>
            <w:r w:rsidRPr="00B344B6">
              <w:rPr>
                <w:sz w:val="18"/>
                <w:szCs w:val="18"/>
                <w:lang w:val="fr-FR"/>
              </w:rPr>
              <w:t xml:space="preserve">postérieure </w:t>
            </w:r>
            <w:r w:rsidR="005C7B38" w:rsidRPr="00B344B6">
              <w:rPr>
                <w:sz w:val="18"/>
                <w:szCs w:val="18"/>
                <w:lang w:val="fr-FR"/>
              </w:rPr>
              <w:t>(</w:t>
            </w:r>
            <w:r w:rsidRPr="00B344B6">
              <w:rPr>
                <w:sz w:val="18"/>
                <w:szCs w:val="18"/>
                <w:lang w:val="fr-FR"/>
              </w:rPr>
              <w:t>règ</w:t>
            </w:r>
            <w:r w:rsidR="005C7B38"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="005C7B38" w:rsidRPr="00B344B6">
              <w:rPr>
                <w:sz w:val="18"/>
                <w:szCs w:val="18"/>
                <w:lang w:val="fr-FR"/>
              </w:rPr>
              <w:t>24)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632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35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202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052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105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364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602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55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107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5C7B38" w:rsidP="00997293">
            <w:pPr>
              <w:keepNext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Change</w:t>
            </w:r>
            <w:r w:rsidR="001264AE" w:rsidRPr="00B344B6">
              <w:rPr>
                <w:sz w:val="18"/>
                <w:szCs w:val="18"/>
                <w:lang w:val="fr-FR"/>
              </w:rPr>
              <w:t xml:space="preserve">ment de </w:t>
            </w:r>
            <w:proofErr w:type="gramStart"/>
            <w:r w:rsidR="001264AE" w:rsidRPr="00B344B6">
              <w:rPr>
                <w:sz w:val="18"/>
                <w:szCs w:val="18"/>
                <w:lang w:val="fr-FR"/>
              </w:rPr>
              <w:t>titulaire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</w:t>
            </w:r>
            <w:r w:rsidR="001264AE" w:rsidRPr="00B344B6">
              <w:rPr>
                <w:sz w:val="18"/>
                <w:szCs w:val="18"/>
                <w:lang w:val="fr-FR"/>
              </w:rPr>
              <w:t>règ</w:t>
            </w:r>
            <w:r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25</w:t>
            </w:r>
            <w:r w:rsidR="001264AE" w:rsidRPr="00B344B6">
              <w:rPr>
                <w:sz w:val="18"/>
                <w:szCs w:val="18"/>
                <w:lang w:val="fr-FR"/>
              </w:rPr>
              <w:t>.</w:t>
            </w:r>
            <w:r w:rsidRPr="00B344B6">
              <w:rPr>
                <w:sz w:val="18"/>
                <w:szCs w:val="18"/>
                <w:lang w:val="fr-FR"/>
              </w:rPr>
              <w:t>1</w:t>
            </w:r>
            <w:r w:rsidR="001264AE" w:rsidRPr="00B344B6">
              <w:rPr>
                <w:sz w:val="18"/>
                <w:szCs w:val="18"/>
                <w:lang w:val="fr-FR"/>
              </w:rPr>
              <w:t>.</w:t>
            </w:r>
            <w:r w:rsidRPr="00B344B6">
              <w:rPr>
                <w:sz w:val="18"/>
                <w:szCs w:val="18"/>
                <w:lang w:val="fr-FR"/>
              </w:rPr>
              <w:t>a)i))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13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290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37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478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37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981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5C7B38" w:rsidP="00997293">
            <w:pPr>
              <w:keepNext/>
              <w:rPr>
                <w:sz w:val="18"/>
                <w:szCs w:val="18"/>
                <w:lang w:val="fr-FR"/>
              </w:rPr>
            </w:pPr>
            <w:proofErr w:type="gramStart"/>
            <w:r w:rsidRPr="00B344B6">
              <w:rPr>
                <w:sz w:val="18"/>
                <w:szCs w:val="18"/>
                <w:lang w:val="fr-FR"/>
              </w:rPr>
              <w:t>Limitation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</w:t>
            </w:r>
            <w:r w:rsidR="001264AE" w:rsidRPr="00B344B6">
              <w:rPr>
                <w:sz w:val="18"/>
                <w:szCs w:val="18"/>
                <w:lang w:val="fr-FR"/>
              </w:rPr>
              <w:t>règ</w:t>
            </w:r>
            <w:r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25</w:t>
            </w:r>
            <w:r w:rsidR="001264AE" w:rsidRPr="00B344B6">
              <w:rPr>
                <w:sz w:val="18"/>
                <w:szCs w:val="18"/>
                <w:lang w:val="fr-FR"/>
              </w:rPr>
              <w:t>.</w:t>
            </w:r>
            <w:r w:rsidRPr="00B344B6">
              <w:rPr>
                <w:sz w:val="18"/>
                <w:szCs w:val="18"/>
                <w:lang w:val="fr-FR"/>
              </w:rPr>
              <w:t>1</w:t>
            </w:r>
            <w:r w:rsidR="001264AE" w:rsidRPr="00B344B6">
              <w:rPr>
                <w:sz w:val="18"/>
                <w:szCs w:val="18"/>
                <w:lang w:val="fr-FR"/>
              </w:rPr>
              <w:t>.</w:t>
            </w:r>
            <w:r w:rsidRPr="00B344B6">
              <w:rPr>
                <w:sz w:val="18"/>
                <w:szCs w:val="18"/>
                <w:lang w:val="fr-FR"/>
              </w:rPr>
              <w:t>a)ii))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341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33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459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310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166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834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222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23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820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1264AE" w:rsidP="00997293">
            <w:pPr>
              <w:keepNext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 xml:space="preserve">Radiation </w:t>
            </w:r>
            <w:proofErr w:type="gramStart"/>
            <w:r w:rsidRPr="00B344B6">
              <w:rPr>
                <w:sz w:val="18"/>
                <w:szCs w:val="18"/>
                <w:lang w:val="fr-FR"/>
              </w:rPr>
              <w:t>p</w:t>
            </w:r>
            <w:r w:rsidR="005C7B38" w:rsidRPr="00B344B6">
              <w:rPr>
                <w:sz w:val="18"/>
                <w:szCs w:val="18"/>
                <w:lang w:val="fr-FR"/>
              </w:rPr>
              <w:t>arti</w:t>
            </w:r>
            <w:r w:rsidRPr="00B344B6">
              <w:rPr>
                <w:sz w:val="18"/>
                <w:szCs w:val="18"/>
                <w:lang w:val="fr-FR"/>
              </w:rPr>
              <w:t>e</w:t>
            </w:r>
            <w:r w:rsidR="005C7B38" w:rsidRPr="00B344B6">
              <w:rPr>
                <w:sz w:val="18"/>
                <w:szCs w:val="18"/>
                <w:lang w:val="fr-FR"/>
              </w:rPr>
              <w:t>l</w:t>
            </w:r>
            <w:r w:rsidRPr="00B344B6">
              <w:rPr>
                <w:sz w:val="18"/>
                <w:szCs w:val="18"/>
                <w:lang w:val="fr-FR"/>
              </w:rPr>
              <w:t>le</w:t>
            </w:r>
            <w:proofErr w:type="gramEnd"/>
            <w:r w:rsidR="005C7B38" w:rsidRPr="00B344B6">
              <w:rPr>
                <w:sz w:val="18"/>
                <w:szCs w:val="18"/>
                <w:lang w:val="fr-FR"/>
              </w:rPr>
              <w:br/>
              <w:t>(</w:t>
            </w:r>
            <w:r w:rsidRPr="00B344B6">
              <w:rPr>
                <w:sz w:val="18"/>
                <w:szCs w:val="18"/>
                <w:lang w:val="fr-FR"/>
              </w:rPr>
              <w:t>règ</w:t>
            </w:r>
            <w:r w:rsidR="005C7B38"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="005C7B38" w:rsidRPr="00B344B6">
              <w:rPr>
                <w:sz w:val="18"/>
                <w:szCs w:val="18"/>
                <w:lang w:val="fr-FR"/>
              </w:rPr>
              <w:t>25</w:t>
            </w:r>
            <w:r w:rsidRPr="00B344B6">
              <w:rPr>
                <w:sz w:val="18"/>
                <w:szCs w:val="18"/>
                <w:lang w:val="fr-FR"/>
              </w:rPr>
              <w:t>.</w:t>
            </w:r>
            <w:r w:rsidR="005C7B38" w:rsidRPr="00B344B6">
              <w:rPr>
                <w:sz w:val="18"/>
                <w:szCs w:val="18"/>
                <w:lang w:val="fr-FR"/>
              </w:rPr>
              <w:t>1)</w:t>
            </w:r>
            <w:r w:rsidRPr="00B344B6">
              <w:rPr>
                <w:sz w:val="18"/>
                <w:szCs w:val="18"/>
                <w:lang w:val="fr-FR"/>
              </w:rPr>
              <w:t>.</w:t>
            </w:r>
            <w:r w:rsidR="005C7B38" w:rsidRPr="00B344B6">
              <w:rPr>
                <w:sz w:val="18"/>
                <w:szCs w:val="18"/>
                <w:lang w:val="fr-FR"/>
              </w:rPr>
              <w:t>a)v))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68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303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264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14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430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235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13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720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5C7B38" w:rsidP="00997293">
            <w:pPr>
              <w:keepNext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 xml:space="preserve">Limitation </w:t>
            </w:r>
            <w:r w:rsidR="001264AE" w:rsidRPr="00B344B6">
              <w:rPr>
                <w:sz w:val="18"/>
                <w:szCs w:val="18"/>
                <w:lang w:val="fr-FR"/>
              </w:rPr>
              <w:t>s</w:t>
            </w:r>
            <w:r w:rsidRPr="00B344B6">
              <w:rPr>
                <w:sz w:val="18"/>
                <w:szCs w:val="18"/>
                <w:lang w:val="fr-FR"/>
              </w:rPr>
              <w:t>a</w:t>
            </w:r>
            <w:r w:rsidR="001264AE" w:rsidRPr="00B344B6">
              <w:rPr>
                <w:sz w:val="18"/>
                <w:szCs w:val="18"/>
                <w:lang w:val="fr-FR"/>
              </w:rPr>
              <w:t>n</w:t>
            </w:r>
            <w:r w:rsidRPr="00B344B6">
              <w:rPr>
                <w:sz w:val="18"/>
                <w:szCs w:val="18"/>
                <w:lang w:val="fr-FR"/>
              </w:rPr>
              <w:t xml:space="preserve">s </w:t>
            </w:r>
            <w:r w:rsidR="001264AE" w:rsidRPr="00B344B6">
              <w:rPr>
                <w:sz w:val="18"/>
                <w:szCs w:val="18"/>
                <w:lang w:val="fr-FR"/>
              </w:rPr>
              <w:t>e</w:t>
            </w:r>
            <w:r w:rsidRPr="00B344B6">
              <w:rPr>
                <w:sz w:val="18"/>
                <w:szCs w:val="18"/>
                <w:lang w:val="fr-FR"/>
              </w:rPr>
              <w:t>ffet (</w:t>
            </w:r>
            <w:r w:rsidR="001264AE" w:rsidRPr="00B344B6">
              <w:rPr>
                <w:sz w:val="18"/>
                <w:szCs w:val="18"/>
                <w:lang w:val="fr-FR"/>
              </w:rPr>
              <w:t>règ</w:t>
            </w:r>
            <w:r w:rsidRPr="00B344B6">
              <w:rPr>
                <w:sz w:val="18"/>
                <w:szCs w:val="18"/>
                <w:lang w:val="fr-FR"/>
              </w:rPr>
              <w:t>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27</w:t>
            </w:r>
            <w:r w:rsidR="001264AE" w:rsidRPr="00B344B6">
              <w:rPr>
                <w:sz w:val="18"/>
                <w:szCs w:val="18"/>
                <w:lang w:val="fr-FR"/>
              </w:rPr>
              <w:t>.</w:t>
            </w:r>
            <w:r w:rsidRPr="00B344B6">
              <w:rPr>
                <w:sz w:val="18"/>
                <w:szCs w:val="18"/>
                <w:lang w:val="fr-FR"/>
              </w:rPr>
              <w:t>5))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3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621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111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bottom"/>
          </w:tcPr>
          <w:p w:rsidR="005C7B38" w:rsidRPr="00B344B6" w:rsidRDefault="005C7B38" w:rsidP="00997293">
            <w:pPr>
              <w:rPr>
                <w:rFonts w:ascii="Calibri" w:hAnsi="Calibri"/>
                <w:szCs w:val="22"/>
                <w:lang w:val="fr-FR"/>
              </w:rPr>
            </w:pPr>
            <w:proofErr w:type="gramStart"/>
            <w:r w:rsidRPr="00B344B6">
              <w:rPr>
                <w:sz w:val="18"/>
                <w:szCs w:val="18"/>
                <w:lang w:val="fr-FR"/>
              </w:rPr>
              <w:t>Re</w:t>
            </w:r>
            <w:r w:rsidR="001264AE" w:rsidRPr="00B344B6">
              <w:rPr>
                <w:sz w:val="18"/>
                <w:szCs w:val="18"/>
                <w:lang w:val="fr-FR"/>
              </w:rPr>
              <w:t>m</w:t>
            </w:r>
            <w:r w:rsidRPr="00B344B6">
              <w:rPr>
                <w:sz w:val="18"/>
                <w:szCs w:val="18"/>
                <w:lang w:val="fr-FR"/>
              </w:rPr>
              <w:t>placement</w:t>
            </w:r>
            <w:proofErr w:type="gramEnd"/>
            <w:r w:rsidRPr="00B344B6">
              <w:rPr>
                <w:sz w:val="18"/>
                <w:szCs w:val="18"/>
                <w:lang w:val="fr-FR"/>
              </w:rPr>
              <w:br/>
              <w:t>(</w:t>
            </w:r>
            <w:r w:rsidR="001264AE" w:rsidRPr="00B344B6">
              <w:rPr>
                <w:sz w:val="18"/>
                <w:szCs w:val="18"/>
                <w:lang w:val="fr-FR"/>
              </w:rPr>
              <w:t>a</w:t>
            </w:r>
            <w:r w:rsidRPr="00B344B6">
              <w:rPr>
                <w:sz w:val="18"/>
                <w:szCs w:val="18"/>
                <w:lang w:val="fr-FR"/>
              </w:rPr>
              <w:t>rticle</w:t>
            </w:r>
            <w:r w:rsidR="008F563D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</w:t>
            </w:r>
            <w:r w:rsidRPr="00B344B6">
              <w:rPr>
                <w:i/>
                <w:iCs/>
                <w:sz w:val="18"/>
                <w:szCs w:val="18"/>
                <w:lang w:val="fr-FR"/>
              </w:rPr>
              <w:t>bis</w:t>
            </w:r>
            <w:r w:rsidRPr="00B344B6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16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322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56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448</w:t>
            </w:r>
          </w:p>
        </w:tc>
      </w:tr>
      <w:tr w:rsidR="00997293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5C7B38" w:rsidRPr="00B344B6" w:rsidRDefault="008F563D" w:rsidP="00997293">
            <w:pPr>
              <w:rPr>
                <w:rFonts w:eastAsia="MS Mincho"/>
                <w:bCs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Tra</w:t>
            </w:r>
            <w:r w:rsidR="001264AE"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duc</w:t>
            </w: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 xml:space="preserve">tion </w:t>
            </w:r>
            <w:r w:rsidR="000D5EFC"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sur</w:t>
            </w:r>
            <w:r w:rsidR="001264AE"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 xml:space="preserve"> demande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94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0</w:t>
            </w:r>
          </w:p>
        </w:tc>
      </w:tr>
      <w:tr w:rsidR="005C7B38" w:rsidRPr="00B344B6" w:rsidTr="008F563D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5C7B38" w:rsidRPr="00B344B6" w:rsidRDefault="005C7B38" w:rsidP="00997293">
            <w:pPr>
              <w:rPr>
                <w:sz w:val="18"/>
                <w:szCs w:val="18"/>
                <w:highlight w:val="yellow"/>
                <w:lang w:val="fr-FR"/>
              </w:rPr>
            </w:pPr>
            <w:r w:rsidRPr="00B344B6">
              <w:rPr>
                <w:rFonts w:eastAsia="MS Mincho"/>
                <w:bCs/>
                <w:sz w:val="18"/>
                <w:szCs w:val="18"/>
                <w:lang w:val="fr-FR" w:eastAsia="ja-JP"/>
              </w:rPr>
              <w:t>Total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15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101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2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710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363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50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846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999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714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50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685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5C7B38" w:rsidRPr="00B344B6" w:rsidRDefault="005C7B38" w:rsidP="00A252F2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11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898</w:t>
            </w:r>
            <w:r w:rsidR="00A252F2" w:rsidRPr="00B344B6">
              <w:rPr>
                <w:sz w:val="18"/>
                <w:szCs w:val="18"/>
                <w:lang w:val="fr-FR"/>
              </w:rPr>
              <w:t> </w:t>
            </w:r>
            <w:r w:rsidRPr="00B344B6">
              <w:rPr>
                <w:sz w:val="18"/>
                <w:szCs w:val="18"/>
                <w:lang w:val="fr-FR"/>
              </w:rPr>
              <w:t>782</w:t>
            </w:r>
          </w:p>
        </w:tc>
      </w:tr>
    </w:tbl>
    <w:p w:rsidR="0011695A" w:rsidRPr="00B344B6" w:rsidRDefault="000D5A9A" w:rsidP="000D5A9A">
      <w:pPr>
        <w:pStyle w:val="Heading1"/>
        <w:rPr>
          <w:lang w:val="fr-FR"/>
        </w:rPr>
      </w:pPr>
      <w:r w:rsidRPr="00B344B6">
        <w:rPr>
          <w:lang w:val="fr-FR"/>
        </w:rPr>
        <w:t>Incidence de la pratique en matière de traduction sur les déclarations d’octroi de la protection envoyées en vertu de la règle 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>.2</w:t>
      </w:r>
      <w:proofErr w:type="gramStart"/>
      <w:r w:rsidRPr="00B344B6">
        <w:rPr>
          <w:lang w:val="fr-FR"/>
        </w:rPr>
        <w:t>)ii</w:t>
      </w:r>
      <w:proofErr w:type="gramEnd"/>
      <w:r w:rsidRPr="00B344B6">
        <w:rPr>
          <w:lang w:val="fr-FR"/>
        </w:rPr>
        <w:t>) du règlement d’exécution commun inscrites en 2014</w:t>
      </w:r>
    </w:p>
    <w:p w:rsidR="00997293" w:rsidRPr="00B344B6" w:rsidRDefault="00997293" w:rsidP="00997293">
      <w:pPr>
        <w:rPr>
          <w:lang w:val="fr-FR"/>
        </w:rPr>
      </w:pPr>
    </w:p>
    <w:p w:rsidR="009A6927" w:rsidRPr="00B344B6" w:rsidRDefault="00E274A4" w:rsidP="00E14C90">
      <w:pPr>
        <w:pStyle w:val="ONUMFS"/>
        <w:spacing w:after="0"/>
        <w:rPr>
          <w:lang w:val="fr-FR"/>
        </w:rPr>
      </w:pPr>
      <w:r w:rsidRPr="00B344B6">
        <w:rPr>
          <w:lang w:val="fr-FR"/>
        </w:rPr>
        <w:t xml:space="preserve">En 2014, selon la pratique en vigueur, le Bureau international a traduit près de 2,3 millions de mots </w:t>
      </w:r>
      <w:r w:rsidR="007D7406" w:rsidRPr="00B344B6">
        <w:rPr>
          <w:lang w:val="fr-FR"/>
        </w:rPr>
        <w:t>d</w:t>
      </w:r>
      <w:r w:rsidRPr="00B344B6">
        <w:rPr>
          <w:lang w:val="fr-FR"/>
        </w:rPr>
        <w:t>é</w:t>
      </w:r>
      <w:r w:rsidR="007D7406" w:rsidRPr="00B344B6">
        <w:rPr>
          <w:lang w:val="fr-FR"/>
        </w:rPr>
        <w:t>co</w:t>
      </w:r>
      <w:r w:rsidRPr="00B344B6">
        <w:rPr>
          <w:lang w:val="fr-FR"/>
        </w:rPr>
        <w:t>ulant de l</w:t>
      </w:r>
      <w:r w:rsidR="009A6927" w:rsidRPr="00B344B6">
        <w:rPr>
          <w:lang w:val="fr-FR"/>
        </w:rPr>
        <w:t>’</w:t>
      </w:r>
      <w:r w:rsidR="0040026D" w:rsidRPr="00B344B6">
        <w:rPr>
          <w:lang w:val="fr-FR"/>
        </w:rPr>
        <w:t>inscription</w:t>
      </w:r>
      <w:r w:rsidRPr="00B344B6">
        <w:rPr>
          <w:lang w:val="fr-FR"/>
        </w:rPr>
        <w:t xml:space="preserve"> des décisions envoyées par les offices.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 xml:space="preserve">Si la pratique actuelle </w:t>
      </w:r>
      <w:r w:rsidR="007D7406" w:rsidRPr="00B344B6">
        <w:rPr>
          <w:lang w:val="fr-FR"/>
        </w:rPr>
        <w:t xml:space="preserve">en matière de traduction </w:t>
      </w:r>
      <w:r w:rsidRPr="00B344B6">
        <w:rPr>
          <w:lang w:val="fr-FR"/>
        </w:rPr>
        <w:t>n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avait pas été </w:t>
      </w:r>
      <w:r w:rsidR="007D7406" w:rsidRPr="00B344B6">
        <w:rPr>
          <w:lang w:val="fr-FR"/>
        </w:rPr>
        <w:t>ap</w:t>
      </w:r>
      <w:r w:rsidRPr="00B344B6">
        <w:rPr>
          <w:lang w:val="fr-FR"/>
        </w:rPr>
        <w:t>pl</w:t>
      </w:r>
      <w:r w:rsidR="007D7406" w:rsidRPr="00B344B6">
        <w:rPr>
          <w:lang w:val="fr-FR"/>
        </w:rPr>
        <w:t>iqué</w:t>
      </w:r>
      <w:r w:rsidRPr="00B344B6">
        <w:rPr>
          <w:lang w:val="fr-FR"/>
        </w:rPr>
        <w:t xml:space="preserve">e, le Bureau international aurait dû traduire plus de 12,5 millions de mots </w:t>
      </w:r>
      <w:r w:rsidR="007D7406" w:rsidRPr="00B344B6">
        <w:rPr>
          <w:lang w:val="fr-FR"/>
        </w:rPr>
        <w:t>d</w:t>
      </w:r>
      <w:r w:rsidRPr="00B344B6">
        <w:rPr>
          <w:lang w:val="fr-FR"/>
        </w:rPr>
        <w:t>é</w:t>
      </w:r>
      <w:r w:rsidR="007D7406" w:rsidRPr="00B344B6">
        <w:rPr>
          <w:lang w:val="fr-FR"/>
        </w:rPr>
        <w:t>co</w:t>
      </w:r>
      <w:r w:rsidRPr="00B344B6">
        <w:rPr>
          <w:lang w:val="fr-FR"/>
        </w:rPr>
        <w:t>ulant de l</w:t>
      </w:r>
      <w:r w:rsidR="009A6927" w:rsidRPr="00B344B6">
        <w:rPr>
          <w:lang w:val="fr-FR"/>
        </w:rPr>
        <w:t>’</w:t>
      </w:r>
      <w:r w:rsidR="00D822BD" w:rsidRPr="00B344B6">
        <w:rPr>
          <w:lang w:val="fr-FR"/>
        </w:rPr>
        <w:t>inscription</w:t>
      </w:r>
      <w:r w:rsidRPr="00B344B6">
        <w:rPr>
          <w:lang w:val="fr-FR"/>
        </w:rPr>
        <w:t xml:space="preserve"> de ces décisions.</w:t>
      </w:r>
      <w:r w:rsidR="00DE1E0B" w:rsidRPr="00B344B6">
        <w:rPr>
          <w:lang w:val="fr-FR"/>
        </w:rPr>
        <w:t xml:space="preserve"> </w:t>
      </w:r>
      <w:r w:rsidR="008F563D" w:rsidRPr="00B344B6">
        <w:rPr>
          <w:lang w:val="fr-FR"/>
        </w:rPr>
        <w:t xml:space="preserve"> </w:t>
      </w:r>
      <w:r w:rsidRPr="00B344B6">
        <w:rPr>
          <w:lang w:val="fr-FR"/>
        </w:rPr>
        <w:t>En termes relatifs, le volume de travail de traduction du Bureau international aurait été supérieur de 39% (voir le tableau IV).</w:t>
      </w:r>
    </w:p>
    <w:p w:rsidR="0011695A" w:rsidRPr="00B344B6" w:rsidRDefault="00E274A4" w:rsidP="00997293">
      <w:pPr>
        <w:pStyle w:val="Heading4"/>
        <w:rPr>
          <w:lang w:val="fr-FR"/>
        </w:rPr>
      </w:pPr>
      <w:r w:rsidRPr="00B344B6">
        <w:rPr>
          <w:lang w:val="fr-FR"/>
        </w:rPr>
        <w:t>Tableau</w:t>
      </w:r>
      <w:r w:rsidR="006E54F1" w:rsidRPr="00B344B6">
        <w:rPr>
          <w:lang w:val="fr-FR"/>
        </w:rPr>
        <w:t> </w:t>
      </w:r>
      <w:r w:rsidRPr="00B344B6">
        <w:rPr>
          <w:lang w:val="fr-FR"/>
        </w:rPr>
        <w:t>IV</w:t>
      </w:r>
      <w:r w:rsidR="006E54F1" w:rsidRPr="00B344B6">
        <w:rPr>
          <w:lang w:val="fr-FR"/>
        </w:rPr>
        <w:t> </w:t>
      </w:r>
      <w:r w:rsidRPr="00B344B6">
        <w:rPr>
          <w:lang w:val="fr-FR"/>
        </w:rPr>
        <w:t>: mots traduits en 2014</w:t>
      </w:r>
    </w:p>
    <w:p w:rsidR="00DE1E0B" w:rsidRPr="00B344B6" w:rsidRDefault="00DE1E0B" w:rsidP="00997293">
      <w:pPr>
        <w:rPr>
          <w:lang w:val="fr-FR"/>
        </w:rPr>
      </w:pPr>
    </w:p>
    <w:tbl>
      <w:tblPr>
        <w:tblW w:w="9356" w:type="dxa"/>
        <w:tblInd w:w="9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79"/>
        <w:gridCol w:w="1143"/>
        <w:gridCol w:w="1310"/>
        <w:gridCol w:w="1660"/>
        <w:gridCol w:w="1339"/>
        <w:gridCol w:w="1225"/>
      </w:tblGrid>
      <w:tr w:rsidR="00997293" w:rsidRPr="000C69E9" w:rsidTr="00D6562C">
        <w:trPr>
          <w:trHeight w:val="255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bookmarkStart w:id="5" w:name="_Hlk317231747"/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3D" w:rsidRPr="00B344B6" w:rsidRDefault="00E274A4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Nombre de mots traduits en</w:t>
            </w:r>
            <w:r w:rsidR="006E54F1" w:rsidRPr="00B344B6">
              <w:rPr>
                <w:rFonts w:eastAsia="MS Mincho"/>
                <w:sz w:val="18"/>
                <w:szCs w:val="18"/>
                <w:lang w:val="fr-FR" w:eastAsia="ja-JP"/>
              </w:rPr>
              <w:t> 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2014</w:t>
            </w:r>
          </w:p>
        </w:tc>
      </w:tr>
      <w:tr w:rsidR="00997293" w:rsidRPr="00B344B6" w:rsidTr="00D6562C">
        <w:trPr>
          <w:trHeight w:val="765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3D" w:rsidRPr="00B344B6" w:rsidRDefault="006E54F1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Ré</w:t>
            </w:r>
            <w:r w:rsidR="00E274A4" w:rsidRPr="00B344B6">
              <w:rPr>
                <w:rFonts w:eastAsia="MS Mincho"/>
                <w:sz w:val="18"/>
                <w:szCs w:val="18"/>
                <w:lang w:val="fr-FR" w:eastAsia="ja-JP"/>
              </w:rPr>
              <w:t>e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l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Pourcentage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 xml:space="preserve">Simulation </w:t>
            </w:r>
            <w:r w:rsidR="006E54F1" w:rsidRPr="00B344B6">
              <w:rPr>
                <w:rFonts w:eastAsia="MS Mincho"/>
                <w:sz w:val="18"/>
                <w:szCs w:val="18"/>
                <w:lang w:val="fr-FR" w:eastAsia="ja-JP"/>
              </w:rPr>
              <w:t>sur l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a</w:t>
            </w:r>
            <w:r w:rsidR="006E54F1" w:rsidRPr="00B344B6">
              <w:rPr>
                <w:rFonts w:eastAsia="MS Mincho"/>
                <w:sz w:val="18"/>
                <w:szCs w:val="18"/>
                <w:lang w:val="fr-FR" w:eastAsia="ja-JP"/>
              </w:rPr>
              <w:t xml:space="preserve"> bas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 xml:space="preserve">e </w:t>
            </w:r>
            <w:r w:rsidR="006E54F1" w:rsidRPr="00B344B6">
              <w:rPr>
                <w:rFonts w:eastAsia="MS Mincho"/>
                <w:sz w:val="18"/>
                <w:szCs w:val="18"/>
                <w:lang w:val="fr-FR" w:eastAsia="ja-JP"/>
              </w:rPr>
              <w:t xml:space="preserve">de 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la règle</w:t>
            </w:r>
            <w:r w:rsidR="00175829" w:rsidRPr="00B344B6">
              <w:rPr>
                <w:rFonts w:eastAsia="MS Mincho"/>
                <w:sz w:val="18"/>
                <w:szCs w:val="18"/>
                <w:lang w:val="fr-FR" w:eastAsia="ja-JP"/>
              </w:rPr>
              <w:t> 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18</w:t>
            </w:r>
            <w:r w:rsidRPr="00B344B6">
              <w:rPr>
                <w:rFonts w:eastAsia="MS Mincho"/>
                <w:i/>
                <w:sz w:val="18"/>
                <w:szCs w:val="18"/>
                <w:lang w:val="fr-FR" w:eastAsia="ja-JP"/>
              </w:rPr>
              <w:t>ter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.2</w:t>
            </w:r>
            <w:proofErr w:type="gramStart"/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)ii</w:t>
            </w:r>
            <w:proofErr w:type="gramEnd"/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Pourcentage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Augmentation</w:t>
            </w:r>
          </w:p>
        </w:tc>
      </w:tr>
      <w:tr w:rsidR="00997293" w:rsidRPr="00B344B6" w:rsidTr="00D6562C">
        <w:trPr>
          <w:trHeight w:val="25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Enregistrements internationaux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22 927 428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86,2%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22 927 428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62,1%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997293" w:rsidRPr="00B344B6" w:rsidTr="00D6562C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6E54F1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Modification</w:t>
            </w:r>
            <w:r w:rsidR="00E274A4" w:rsidRPr="00B344B6">
              <w:rPr>
                <w:rFonts w:eastAsia="MS Mincho"/>
                <w:sz w:val="18"/>
                <w:szCs w:val="18"/>
                <w:lang w:val="fr-FR" w:eastAsia="ja-JP"/>
              </w:rPr>
              <w:t>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527 812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2,0%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527 812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1,4%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997293" w:rsidRPr="00B344B6" w:rsidTr="00D6562C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Refus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7 877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0,0%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7 877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0,0%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997293" w:rsidRPr="00B344B6" w:rsidTr="00D6562C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EE42F4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Cessation des effets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871 835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3,3%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871 835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2,4%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997293" w:rsidRPr="00B344B6" w:rsidTr="00D6562C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Autr</w:t>
            </w:r>
            <w:r w:rsidR="008F563D" w:rsidRPr="00B344B6">
              <w:rPr>
                <w:rFonts w:eastAsia="MS Mincho"/>
                <w:sz w:val="18"/>
                <w:szCs w:val="18"/>
                <w:lang w:val="fr-FR" w:eastAsia="ja-JP"/>
              </w:rPr>
              <w:t>e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s</w:t>
            </w:r>
            <w:r w:rsidR="008F563D" w:rsidRPr="00B344B6">
              <w:rPr>
                <w:rFonts w:eastAsia="MS Mincho"/>
                <w:sz w:val="18"/>
                <w:szCs w:val="18"/>
                <w:lang w:val="fr-FR" w:eastAsia="ja-JP"/>
              </w:rPr>
              <w:t xml:space="preserve"> 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dé</w:t>
            </w:r>
            <w:r w:rsidR="008F563D" w:rsidRPr="00B344B6">
              <w:rPr>
                <w:rFonts w:eastAsia="MS Mincho"/>
                <w:sz w:val="18"/>
                <w:szCs w:val="18"/>
                <w:lang w:val="fr-FR" w:eastAsia="ja-JP"/>
              </w:rPr>
              <w:t>cisions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2 273 907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8,5%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12 574 672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34,1%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8F563D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453%</w:t>
            </w:r>
          </w:p>
        </w:tc>
      </w:tr>
      <w:tr w:rsidR="008F563D" w:rsidRPr="00B344B6" w:rsidTr="00D6562C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Total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26 608 859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100,0%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36 909 624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100,0%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3D" w:rsidRPr="00B344B6" w:rsidRDefault="00E274A4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38,7%</w:t>
            </w:r>
          </w:p>
        </w:tc>
      </w:tr>
      <w:bookmarkEnd w:id="5"/>
    </w:tbl>
    <w:p w:rsidR="00E14C90" w:rsidRDefault="00E14C90" w:rsidP="00997293">
      <w:pPr>
        <w:rPr>
          <w:lang w:val="fr-FR"/>
        </w:rPr>
      </w:pPr>
      <w:r>
        <w:rPr>
          <w:lang w:val="fr-FR"/>
        </w:rPr>
        <w:br w:type="page"/>
      </w:r>
    </w:p>
    <w:p w:rsidR="009A6927" w:rsidRPr="00B344B6" w:rsidRDefault="00950492" w:rsidP="00997293">
      <w:pPr>
        <w:pStyle w:val="ONUMFS"/>
        <w:rPr>
          <w:lang w:val="fr-FR"/>
        </w:rPr>
      </w:pPr>
      <w:r w:rsidRPr="00B344B6">
        <w:rPr>
          <w:lang w:val="fr-FR"/>
        </w:rPr>
        <w:t>Le Bureau international a adopté une approche nuancée en ce qui concerne la traduction des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envoyées en vertu de la règle</w:t>
      </w:r>
      <w:r w:rsidR="009A7B9A" w:rsidRPr="00B344B6">
        <w:rPr>
          <w:lang w:val="fr-FR"/>
        </w:rPr>
        <w:t> </w:t>
      </w:r>
      <w:r w:rsidRPr="00B344B6">
        <w:rPr>
          <w:lang w:val="fr-FR"/>
        </w:rPr>
        <w:t>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>.2</w:t>
      </w:r>
      <w:proofErr w:type="gramStart"/>
      <w:r w:rsidRPr="00B344B6">
        <w:rPr>
          <w:lang w:val="fr-FR"/>
        </w:rPr>
        <w:t>)ii</w:t>
      </w:r>
      <w:proofErr w:type="gramEnd"/>
      <w:r w:rsidRPr="00B344B6">
        <w:rPr>
          <w:lang w:val="fr-FR"/>
        </w:rPr>
        <w:t>) du règlement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exécution commun </w:t>
      </w:r>
      <w:r w:rsidR="00767B9B" w:rsidRPr="00B344B6">
        <w:rPr>
          <w:lang w:val="fr-FR"/>
        </w:rPr>
        <w:t>a</w:t>
      </w:r>
      <w:r w:rsidRPr="00B344B6">
        <w:rPr>
          <w:lang w:val="fr-FR"/>
        </w:rPr>
        <w:t xml:space="preserve">u </w:t>
      </w:r>
      <w:r w:rsidR="00767B9B" w:rsidRPr="00B344B6">
        <w:rPr>
          <w:lang w:val="fr-FR"/>
        </w:rPr>
        <w:t>motif</w:t>
      </w:r>
      <w:r w:rsidRPr="00B344B6">
        <w:rPr>
          <w:lang w:val="fr-FR"/>
        </w:rPr>
        <w:t xml:space="preserve"> que l</w:t>
      </w:r>
      <w:r w:rsidR="00015D4C" w:rsidRPr="00B344B6">
        <w:rPr>
          <w:lang w:val="fr-FR"/>
        </w:rPr>
        <w:t xml:space="preserve">eur </w:t>
      </w:r>
      <w:r w:rsidRPr="00B344B6">
        <w:rPr>
          <w:lang w:val="fr-FR"/>
        </w:rPr>
        <w:t>inscription répond rarement aux besoins des titulaires</w:t>
      </w:r>
      <w:r w:rsidR="00767B9B" w:rsidRPr="00B344B6">
        <w:rPr>
          <w:lang w:val="fr-FR"/>
        </w:rPr>
        <w:t xml:space="preserve">, lesquels </w:t>
      </w:r>
      <w:r w:rsidR="00015D4C" w:rsidRPr="00B344B6">
        <w:rPr>
          <w:lang w:val="fr-FR"/>
        </w:rPr>
        <w:t>aur</w:t>
      </w:r>
      <w:r w:rsidRPr="00B344B6">
        <w:rPr>
          <w:lang w:val="fr-FR"/>
        </w:rPr>
        <w:t xml:space="preserve">ont </w:t>
      </w:r>
      <w:r w:rsidR="00767B9B" w:rsidRPr="00B344B6">
        <w:rPr>
          <w:lang w:val="fr-FR"/>
        </w:rPr>
        <w:t>sans doute</w:t>
      </w:r>
      <w:r w:rsidRPr="00B344B6">
        <w:rPr>
          <w:lang w:val="fr-FR"/>
        </w:rPr>
        <w:t xml:space="preserve"> pris part à la procédure </w:t>
      </w:r>
      <w:r w:rsidR="00767B9B" w:rsidRPr="00B344B6">
        <w:rPr>
          <w:lang w:val="fr-FR"/>
        </w:rPr>
        <w:t>conduis</w:t>
      </w:r>
      <w:r w:rsidRPr="00B344B6">
        <w:rPr>
          <w:lang w:val="fr-FR"/>
        </w:rPr>
        <w:t>ant à la déclaration.</w:t>
      </w:r>
    </w:p>
    <w:p w:rsidR="009A6927" w:rsidRPr="00B344B6" w:rsidRDefault="00950492" w:rsidP="00E14C90">
      <w:pPr>
        <w:pStyle w:val="ONUMFS"/>
        <w:spacing w:after="0"/>
        <w:rPr>
          <w:lang w:val="fr-FR"/>
        </w:rPr>
      </w:pPr>
      <w:r w:rsidRPr="00B344B6">
        <w:rPr>
          <w:lang w:val="fr-FR"/>
        </w:rPr>
        <w:t>Depuis 2011, un simple formulaire électronique de demande de traduction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 document non traduit dans la pratique courante est disponible sur le site</w:t>
      </w:r>
      <w:r w:rsidR="00175829" w:rsidRPr="00B344B6">
        <w:rPr>
          <w:lang w:val="fr-FR"/>
        </w:rPr>
        <w:t> </w:t>
      </w:r>
      <w:r w:rsidRPr="00B344B6">
        <w:rPr>
          <w:lang w:val="fr-FR"/>
        </w:rPr>
        <w:t>Web du système de Madrid.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La demande de traduction de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a été négligeable.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Le Bureau international n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 en effet reçu que trois</w:t>
      </w:r>
      <w:r w:rsidR="00767B9B" w:rsidRPr="00B344B6">
        <w:rPr>
          <w:lang w:val="fr-FR"/>
        </w:rPr>
        <w:t> </w:t>
      </w:r>
      <w:r w:rsidRPr="00B344B6">
        <w:rPr>
          <w:lang w:val="fr-FR"/>
        </w:rPr>
        <w:t>demandes de traduction valables, dont deux</w:t>
      </w:r>
      <w:r w:rsidR="009A7B9A" w:rsidRPr="00B344B6">
        <w:rPr>
          <w:lang w:val="fr-FR"/>
        </w:rPr>
        <w:t> </w:t>
      </w:r>
      <w:r w:rsidRPr="00B344B6">
        <w:rPr>
          <w:lang w:val="fr-FR"/>
        </w:rPr>
        <w:t>en 2014.</w:t>
      </w:r>
      <w:r w:rsidR="00DE1E0B" w:rsidRPr="00B344B6">
        <w:rPr>
          <w:lang w:val="fr-FR"/>
        </w:rPr>
        <w:t xml:space="preserve">  </w:t>
      </w:r>
      <w:r w:rsidR="00EF1188" w:rsidRPr="00B344B6">
        <w:rPr>
          <w:lang w:val="fr-FR"/>
        </w:rPr>
        <w:t>La faible demande pour ce service peut s</w:t>
      </w:r>
      <w:r w:rsidR="009A6927" w:rsidRPr="00B344B6">
        <w:rPr>
          <w:lang w:val="fr-FR"/>
        </w:rPr>
        <w:t>’</w:t>
      </w:r>
      <w:r w:rsidR="00EF1188" w:rsidRPr="00B344B6">
        <w:rPr>
          <w:lang w:val="fr-FR"/>
        </w:rPr>
        <w:t>expliquer par le fait que la traduction de ces déclarations d</w:t>
      </w:r>
      <w:r w:rsidR="009A6927" w:rsidRPr="00B344B6">
        <w:rPr>
          <w:lang w:val="fr-FR"/>
        </w:rPr>
        <w:t>’</w:t>
      </w:r>
      <w:r w:rsidR="00EF1188" w:rsidRPr="00B344B6">
        <w:rPr>
          <w:lang w:val="fr-FR"/>
        </w:rPr>
        <w:t>octroi de la protection répond principalement aux besoins d</w:t>
      </w:r>
      <w:r w:rsidR="009A6927" w:rsidRPr="00B344B6">
        <w:rPr>
          <w:lang w:val="fr-FR"/>
        </w:rPr>
        <w:t>’</w:t>
      </w:r>
      <w:r w:rsidR="00EF1188" w:rsidRPr="00B344B6">
        <w:rPr>
          <w:lang w:val="fr-FR"/>
        </w:rPr>
        <w:t>information des tiers.</w:t>
      </w:r>
    </w:p>
    <w:p w:rsidR="0011695A" w:rsidRPr="00B344B6" w:rsidRDefault="000D5A9A" w:rsidP="000D5A9A">
      <w:pPr>
        <w:pStyle w:val="Heading1"/>
        <w:rPr>
          <w:lang w:val="fr-FR"/>
        </w:rPr>
      </w:pPr>
      <w:r w:rsidRPr="00B344B6">
        <w:rPr>
          <w:lang w:val="fr-FR"/>
        </w:rPr>
        <w:t>Incidence de la pratique en matière de traduction sur les limitations demandées dans les demandes internationales, les désignations postérieures et les demandes d’inscription d’une modification inscrites en 2014</w:t>
      </w:r>
    </w:p>
    <w:p w:rsidR="0011695A" w:rsidRPr="00B344B6" w:rsidRDefault="0011695A" w:rsidP="00997293">
      <w:pPr>
        <w:rPr>
          <w:lang w:val="fr-FR"/>
        </w:rPr>
      </w:pPr>
    </w:p>
    <w:p w:rsidR="009A6927" w:rsidRPr="00B344B6" w:rsidRDefault="00A61D6D" w:rsidP="00997293">
      <w:pPr>
        <w:pStyle w:val="ONUMFS"/>
        <w:rPr>
          <w:lang w:val="fr-FR"/>
        </w:rPr>
      </w:pPr>
      <w:r w:rsidRPr="00B344B6">
        <w:rPr>
          <w:lang w:val="fr-FR"/>
        </w:rPr>
        <w:t>L</w:t>
      </w:r>
      <w:r w:rsidR="00EF1188" w:rsidRPr="00B344B6">
        <w:rPr>
          <w:lang w:val="fr-FR"/>
        </w:rPr>
        <w:t>a pratique actuelle consist</w:t>
      </w:r>
      <w:r w:rsidR="007C35DD" w:rsidRPr="00B344B6">
        <w:rPr>
          <w:lang w:val="fr-FR"/>
        </w:rPr>
        <w:t>ant</w:t>
      </w:r>
      <w:r w:rsidR="00EF1188" w:rsidRPr="00B344B6">
        <w:rPr>
          <w:lang w:val="fr-FR"/>
        </w:rPr>
        <w:t xml:space="preserve"> à traduire les limitations de manière sélective </w:t>
      </w:r>
      <w:r w:rsidR="007C35DD" w:rsidRPr="00B344B6">
        <w:rPr>
          <w:lang w:val="fr-FR"/>
        </w:rPr>
        <w:t>repos</w:t>
      </w:r>
      <w:r w:rsidR="00EF1188" w:rsidRPr="00B344B6">
        <w:rPr>
          <w:lang w:val="fr-FR"/>
        </w:rPr>
        <w:t xml:space="preserve">e </w:t>
      </w:r>
      <w:r w:rsidR="007C35DD" w:rsidRPr="00B344B6">
        <w:rPr>
          <w:lang w:val="fr-FR"/>
        </w:rPr>
        <w:t>su</w:t>
      </w:r>
      <w:r w:rsidR="00EF1188" w:rsidRPr="00B344B6">
        <w:rPr>
          <w:lang w:val="fr-FR"/>
        </w:rPr>
        <w:t>r la volonté d</w:t>
      </w:r>
      <w:r w:rsidR="009A6927" w:rsidRPr="00B344B6">
        <w:rPr>
          <w:lang w:val="fr-FR"/>
        </w:rPr>
        <w:t>’</w:t>
      </w:r>
      <w:r w:rsidR="00EF1188" w:rsidRPr="00B344B6">
        <w:rPr>
          <w:lang w:val="fr-FR"/>
        </w:rPr>
        <w:t>accélérer leur inscription et leur notification.</w:t>
      </w:r>
      <w:r w:rsidR="00DE1E0B" w:rsidRPr="00B344B6">
        <w:rPr>
          <w:lang w:val="fr-FR"/>
        </w:rPr>
        <w:t xml:space="preserve">  </w:t>
      </w:r>
      <w:r w:rsidR="00EA12CE" w:rsidRPr="00B344B6">
        <w:rPr>
          <w:lang w:val="fr-FR"/>
        </w:rPr>
        <w:t>En règle générale, les limitations sont demandées par le titulaire pour répondre à un besoin lié à un délai particulier, comme la nécessité de répondre à un refus provisoire ou de réduire la portée dans une partie contractante désignée avant le renouvellement de l</w:t>
      </w:r>
      <w:r w:rsidR="009A6927" w:rsidRPr="00B344B6">
        <w:rPr>
          <w:lang w:val="fr-FR"/>
        </w:rPr>
        <w:t>’</w:t>
      </w:r>
      <w:r w:rsidR="00EA12CE" w:rsidRPr="00B344B6">
        <w:rPr>
          <w:lang w:val="fr-FR"/>
        </w:rPr>
        <w:t>enregistrement international.</w:t>
      </w:r>
    </w:p>
    <w:p w:rsidR="009A6927" w:rsidRPr="00B344B6" w:rsidRDefault="005E6719" w:rsidP="00997293">
      <w:pPr>
        <w:pStyle w:val="ONUMFS"/>
        <w:rPr>
          <w:lang w:val="fr-FR"/>
        </w:rPr>
      </w:pPr>
      <w:r w:rsidRPr="00B344B6">
        <w:rPr>
          <w:lang w:val="fr-FR"/>
        </w:rPr>
        <w:t>En 2014, il y a eu au total</w:t>
      </w:r>
      <w:r w:rsidR="009A7B9A" w:rsidRPr="00B344B6">
        <w:rPr>
          <w:lang w:val="fr-FR"/>
        </w:rPr>
        <w:t xml:space="preserve"> </w:t>
      </w:r>
      <w:r w:rsidRPr="00B344B6">
        <w:rPr>
          <w:lang w:val="fr-FR"/>
        </w:rPr>
        <w:t>14</w:t>
      </w:r>
      <w:r w:rsidR="009A7B9A" w:rsidRPr="00B344B6">
        <w:rPr>
          <w:lang w:val="fr-FR"/>
        </w:rPr>
        <w:t> </w:t>
      </w:r>
      <w:r w:rsidRPr="00B344B6">
        <w:rPr>
          <w:lang w:val="fr-FR"/>
        </w:rPr>
        <w:t>123</w:t>
      </w:r>
      <w:r w:rsidR="009A7B9A" w:rsidRPr="00B344B6">
        <w:rPr>
          <w:lang w:val="fr-FR"/>
        </w:rPr>
        <w:t> </w:t>
      </w:r>
      <w:r w:rsidR="009C65A2" w:rsidRPr="00B344B6">
        <w:rPr>
          <w:lang w:val="fr-FR"/>
        </w:rPr>
        <w:t xml:space="preserve">inscriptions de </w:t>
      </w:r>
      <w:r w:rsidRPr="00B344B6">
        <w:rPr>
          <w:lang w:val="fr-FR"/>
        </w:rPr>
        <w:t>limitations, que ce soit au titre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</w:t>
      </w:r>
      <w:r w:rsidR="002B7F48" w:rsidRPr="00B344B6">
        <w:rPr>
          <w:lang w:val="fr-FR"/>
        </w:rPr>
        <w:t>e</w:t>
      </w:r>
      <w:r w:rsidRPr="00B344B6">
        <w:rPr>
          <w:lang w:val="fr-FR"/>
        </w:rPr>
        <w:t xml:space="preserve"> </w:t>
      </w:r>
      <w:r w:rsidR="002B7F48" w:rsidRPr="00B344B6">
        <w:rPr>
          <w:lang w:val="fr-FR"/>
        </w:rPr>
        <w:t>modification</w:t>
      </w:r>
      <w:r w:rsidRPr="00B344B6">
        <w:rPr>
          <w:lang w:val="fr-FR"/>
        </w:rPr>
        <w:t xml:space="preserve"> ou </w:t>
      </w:r>
      <w:r w:rsidR="0051077F" w:rsidRPr="00B344B6">
        <w:rPr>
          <w:lang w:val="fr-FR"/>
        </w:rPr>
        <w:t>simultanément, dans le cadre d’</w:t>
      </w:r>
      <w:r w:rsidRPr="00B344B6">
        <w:rPr>
          <w:lang w:val="fr-FR"/>
        </w:rPr>
        <w:t xml:space="preserve">un enregistrement international ou </w:t>
      </w:r>
      <w:r w:rsidR="0051077F" w:rsidRPr="00B344B6">
        <w:rPr>
          <w:lang w:val="fr-FR"/>
        </w:rPr>
        <w:t>d’</w:t>
      </w:r>
      <w:r w:rsidRPr="00B344B6">
        <w:rPr>
          <w:lang w:val="fr-FR"/>
        </w:rPr>
        <w:t>une désignation postérieure.</w:t>
      </w:r>
      <w:r w:rsidR="00DE1E0B" w:rsidRPr="00B344B6">
        <w:rPr>
          <w:lang w:val="fr-FR"/>
        </w:rPr>
        <w:t xml:space="preserve">  </w:t>
      </w:r>
      <w:r w:rsidR="00D34F3E" w:rsidRPr="00B344B6">
        <w:rPr>
          <w:lang w:val="fr-FR"/>
        </w:rPr>
        <w:t>Dans </w:t>
      </w:r>
      <w:r w:rsidR="00175829" w:rsidRPr="00B344B6">
        <w:rPr>
          <w:lang w:val="fr-FR"/>
        </w:rPr>
        <w:t>7</w:t>
      </w:r>
      <w:r w:rsidR="00EE42F4" w:rsidRPr="00B344B6">
        <w:rPr>
          <w:lang w:val="fr-FR"/>
        </w:rPr>
        <w:t> </w:t>
      </w:r>
      <w:r w:rsidR="00175829" w:rsidRPr="00B344B6">
        <w:rPr>
          <w:lang w:val="fr-FR"/>
        </w:rPr>
        <w:t>195</w:t>
      </w:r>
      <w:r w:rsidR="00D34F3E" w:rsidRPr="00B344B6">
        <w:rPr>
          <w:lang w:val="fr-FR"/>
        </w:rPr>
        <w:t xml:space="preserve"> de ces inscriptions, soit 51% du total, la langue dans laquelle la demande a été </w:t>
      </w:r>
      <w:r w:rsidR="0089366F" w:rsidRPr="00B344B6">
        <w:rPr>
          <w:lang w:val="fr-FR"/>
        </w:rPr>
        <w:t>présentée</w:t>
      </w:r>
      <w:r w:rsidR="00D34F3E" w:rsidRPr="00B344B6">
        <w:rPr>
          <w:lang w:val="fr-FR"/>
        </w:rPr>
        <w:t xml:space="preserve"> était la même que la langue de communication de l</w:t>
      </w:r>
      <w:r w:rsidR="009A6927" w:rsidRPr="00B344B6">
        <w:rPr>
          <w:lang w:val="fr-FR"/>
        </w:rPr>
        <w:t>’</w:t>
      </w:r>
      <w:r w:rsidR="00D34F3E" w:rsidRPr="00B344B6">
        <w:rPr>
          <w:lang w:val="fr-FR"/>
        </w:rPr>
        <w:t>office</w:t>
      </w:r>
      <w:r w:rsidR="006D5CA6" w:rsidRPr="00B344B6">
        <w:rPr>
          <w:lang w:val="fr-FR"/>
        </w:rPr>
        <w:t xml:space="preserve"> </w:t>
      </w:r>
      <w:r w:rsidR="00D34F3E" w:rsidRPr="00B344B6">
        <w:rPr>
          <w:lang w:val="fr-FR"/>
        </w:rPr>
        <w:t>a</w:t>
      </w:r>
      <w:r w:rsidR="006D5CA6" w:rsidRPr="00B344B6">
        <w:rPr>
          <w:lang w:val="fr-FR"/>
        </w:rPr>
        <w:t>uprès du</w:t>
      </w:r>
      <w:r w:rsidR="00D34F3E" w:rsidRPr="00B344B6">
        <w:rPr>
          <w:lang w:val="fr-FR"/>
        </w:rPr>
        <w:t>quel la limitation devait produire ses effets (voir le tableau V).</w:t>
      </w:r>
    </w:p>
    <w:p w:rsidR="009A6927" w:rsidRPr="00B344B6" w:rsidRDefault="00D34F3E" w:rsidP="00E14C90">
      <w:pPr>
        <w:pStyle w:val="ONUMFS"/>
        <w:spacing w:after="0"/>
        <w:rPr>
          <w:lang w:val="fr-FR"/>
        </w:rPr>
      </w:pPr>
      <w:r w:rsidRPr="00B344B6">
        <w:rPr>
          <w:lang w:val="fr-FR"/>
        </w:rPr>
        <w:t>En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autres termes, le </w:t>
      </w:r>
      <w:r w:rsidR="00FB5C80" w:rsidRPr="00B344B6">
        <w:rPr>
          <w:lang w:val="fr-FR"/>
        </w:rPr>
        <w:t>délai</w:t>
      </w:r>
      <w:r w:rsidRPr="00B344B6">
        <w:rPr>
          <w:lang w:val="fr-FR"/>
        </w:rPr>
        <w:t xml:space="preserve"> requis pour </w:t>
      </w:r>
      <w:r w:rsidR="00FB5C80" w:rsidRPr="00B344B6">
        <w:rPr>
          <w:lang w:val="fr-FR"/>
        </w:rPr>
        <w:t>l’inscription de</w:t>
      </w:r>
      <w:r w:rsidRPr="00B344B6">
        <w:rPr>
          <w:lang w:val="fr-FR"/>
        </w:rPr>
        <w:t xml:space="preserve"> plus de la moitié des limitations </w:t>
      </w:r>
      <w:r w:rsidR="006D5CA6" w:rsidRPr="00B344B6">
        <w:rPr>
          <w:lang w:val="fr-FR"/>
        </w:rPr>
        <w:t xml:space="preserve">a </w:t>
      </w:r>
      <w:r w:rsidRPr="00B344B6">
        <w:rPr>
          <w:lang w:val="fr-FR"/>
        </w:rPr>
        <w:t>ét</w:t>
      </w:r>
      <w:r w:rsidR="006D5CA6" w:rsidRPr="00B344B6">
        <w:rPr>
          <w:lang w:val="fr-FR"/>
        </w:rPr>
        <w:t>é</w:t>
      </w:r>
      <w:r w:rsidRPr="00B344B6">
        <w:rPr>
          <w:lang w:val="fr-FR"/>
        </w:rPr>
        <w:t xml:space="preserve"> fortement réduit du fait qu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elles ne nécessitaient pas de traduction.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Comme indiqué précédemment,</w:t>
      </w:r>
      <w:r w:rsidR="00FB5C80" w:rsidRPr="00B344B6">
        <w:rPr>
          <w:lang w:val="fr-FR"/>
        </w:rPr>
        <w:t xml:space="preserve"> cela a eu d’importantes retombées positives pour</w:t>
      </w:r>
      <w:r w:rsidRPr="00B344B6">
        <w:rPr>
          <w:lang w:val="fr-FR"/>
        </w:rPr>
        <w:t xml:space="preserve"> </w:t>
      </w:r>
      <w:r w:rsidR="00FB5C80" w:rsidRPr="00B344B6">
        <w:rPr>
          <w:lang w:val="fr-FR"/>
        </w:rPr>
        <w:t>les</w:t>
      </w:r>
      <w:r w:rsidRPr="00B344B6">
        <w:rPr>
          <w:lang w:val="fr-FR"/>
        </w:rPr>
        <w:t xml:space="preserve"> titulaires concernés.</w:t>
      </w:r>
    </w:p>
    <w:p w:rsidR="0011695A" w:rsidRPr="00B344B6" w:rsidRDefault="00D34F3E" w:rsidP="00997293">
      <w:pPr>
        <w:pStyle w:val="Heading4"/>
        <w:rPr>
          <w:lang w:val="fr-FR"/>
        </w:rPr>
      </w:pPr>
      <w:r w:rsidRPr="00B344B6">
        <w:rPr>
          <w:lang w:val="fr-FR"/>
        </w:rPr>
        <w:t>Tableau V</w:t>
      </w:r>
      <w:r w:rsidR="009A7B9A" w:rsidRPr="00B344B6">
        <w:rPr>
          <w:lang w:val="fr-FR"/>
        </w:rPr>
        <w:t> </w:t>
      </w:r>
      <w:r w:rsidRPr="00B344B6">
        <w:rPr>
          <w:lang w:val="fr-FR"/>
        </w:rPr>
        <w:t>: limitations inscrites en 2014</w:t>
      </w:r>
    </w:p>
    <w:p w:rsidR="00DE1E0B" w:rsidRPr="00B344B6" w:rsidRDefault="00DE1E0B" w:rsidP="00997293">
      <w:pPr>
        <w:rPr>
          <w:lang w:val="fr-FR"/>
        </w:rPr>
      </w:pPr>
    </w:p>
    <w:tbl>
      <w:tblPr>
        <w:tblW w:w="9361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77"/>
        <w:gridCol w:w="3342"/>
        <w:gridCol w:w="3342"/>
      </w:tblGrid>
      <w:tr w:rsidR="00997293" w:rsidRPr="00B344B6" w:rsidTr="00D6562C">
        <w:trPr>
          <w:trHeight w:val="510"/>
          <w:jc w:val="center"/>
        </w:trPr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62C" w:rsidRPr="00B344B6" w:rsidRDefault="00D6562C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Langue de la limitation = langue de l</w:t>
            </w:r>
            <w:r w:rsidR="009A6927" w:rsidRPr="00B344B6">
              <w:rPr>
                <w:rFonts w:eastAsia="MS Mincho"/>
                <w:sz w:val="18"/>
                <w:szCs w:val="18"/>
                <w:lang w:val="fr-FR" w:eastAsia="ja-JP"/>
              </w:rPr>
              <w:t>’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office concerné</w:t>
            </w:r>
          </w:p>
        </w:tc>
        <w:tc>
          <w:tcPr>
            <w:tcW w:w="3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Limitations</w:t>
            </w: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br/>
              <w:t>inscrites</w:t>
            </w:r>
          </w:p>
        </w:tc>
      </w:tr>
      <w:tr w:rsidR="00997293" w:rsidRPr="00B344B6" w:rsidTr="00D6562C">
        <w:trPr>
          <w:trHeight w:val="510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562C" w:rsidRPr="00B344B6" w:rsidRDefault="009A7B9A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Limitations dans une demande internationale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1 770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6 154</w:t>
            </w:r>
          </w:p>
        </w:tc>
      </w:tr>
      <w:tr w:rsidR="00997293" w:rsidRPr="00B344B6" w:rsidTr="00D6562C">
        <w:trPr>
          <w:trHeight w:val="510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562C" w:rsidRPr="00B344B6" w:rsidRDefault="009A7B9A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Limitations dans une désignation postérieure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2 510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3 580</w:t>
            </w:r>
          </w:p>
        </w:tc>
      </w:tr>
      <w:tr w:rsidR="00997293" w:rsidRPr="00B344B6" w:rsidTr="00D6562C">
        <w:trPr>
          <w:trHeight w:val="510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562C" w:rsidRPr="00B344B6" w:rsidRDefault="002D08F3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Limitations dans une d</w:t>
            </w:r>
            <w:r w:rsidR="009A7B9A" w:rsidRPr="00B344B6">
              <w:rPr>
                <w:rFonts w:eastAsia="MS Mincho"/>
                <w:sz w:val="18"/>
                <w:szCs w:val="18"/>
                <w:lang w:val="fr-FR" w:eastAsia="ja-JP"/>
              </w:rPr>
              <w:t>emande d</w:t>
            </w:r>
            <w:r w:rsidR="009A6927" w:rsidRPr="00B344B6">
              <w:rPr>
                <w:rFonts w:eastAsia="MS Mincho"/>
                <w:sz w:val="18"/>
                <w:szCs w:val="18"/>
                <w:lang w:val="fr-FR" w:eastAsia="ja-JP"/>
              </w:rPr>
              <w:t>’</w:t>
            </w:r>
            <w:r w:rsidR="009A7B9A" w:rsidRPr="00B344B6">
              <w:rPr>
                <w:rFonts w:eastAsia="MS Mincho"/>
                <w:sz w:val="18"/>
                <w:szCs w:val="18"/>
                <w:lang w:val="fr-FR" w:eastAsia="ja-JP"/>
              </w:rPr>
              <w:t>inscription d</w:t>
            </w:r>
            <w:r w:rsidR="009A6927" w:rsidRPr="00B344B6">
              <w:rPr>
                <w:rFonts w:eastAsia="MS Mincho"/>
                <w:sz w:val="18"/>
                <w:szCs w:val="18"/>
                <w:lang w:val="fr-FR" w:eastAsia="ja-JP"/>
              </w:rPr>
              <w:t>’</w:t>
            </w:r>
            <w:r w:rsidR="009A7B9A" w:rsidRPr="00B344B6">
              <w:rPr>
                <w:rFonts w:eastAsia="MS Mincho"/>
                <w:sz w:val="18"/>
                <w:szCs w:val="18"/>
                <w:lang w:val="fr-FR" w:eastAsia="ja-JP"/>
              </w:rPr>
              <w:t>une modification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2 915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 w:rsidRPr="00B344B6">
              <w:rPr>
                <w:rFonts w:eastAsia="Calibri"/>
                <w:sz w:val="18"/>
                <w:szCs w:val="18"/>
                <w:lang w:val="fr-FR"/>
              </w:rPr>
              <w:t>4 389</w:t>
            </w:r>
          </w:p>
        </w:tc>
      </w:tr>
      <w:tr w:rsidR="00D6562C" w:rsidRPr="00B344B6" w:rsidTr="00D6562C">
        <w:trPr>
          <w:trHeight w:val="510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562C" w:rsidRPr="00B344B6" w:rsidRDefault="009A7B9A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Total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7 195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6562C" w:rsidRPr="00B344B6" w:rsidRDefault="009A7B9A" w:rsidP="00997293">
            <w:pPr>
              <w:jc w:val="center"/>
              <w:rPr>
                <w:sz w:val="18"/>
                <w:szCs w:val="18"/>
                <w:lang w:val="fr-FR"/>
              </w:rPr>
            </w:pPr>
            <w:r w:rsidRPr="00B344B6">
              <w:rPr>
                <w:sz w:val="18"/>
                <w:szCs w:val="18"/>
                <w:lang w:val="fr-FR"/>
              </w:rPr>
              <w:t>14 123</w:t>
            </w:r>
          </w:p>
        </w:tc>
      </w:tr>
    </w:tbl>
    <w:p w:rsidR="00E14C90" w:rsidRDefault="00E14C90" w:rsidP="000D5A9A">
      <w:pPr>
        <w:pStyle w:val="Heading1"/>
        <w:rPr>
          <w:lang w:val="fr-FR"/>
        </w:rPr>
      </w:pPr>
      <w:r>
        <w:rPr>
          <w:lang w:val="fr-FR"/>
        </w:rPr>
        <w:br w:type="page"/>
      </w:r>
    </w:p>
    <w:p w:rsidR="0011695A" w:rsidRPr="00B344B6" w:rsidRDefault="000D5A9A" w:rsidP="000D5A9A">
      <w:pPr>
        <w:pStyle w:val="Heading1"/>
        <w:rPr>
          <w:lang w:val="fr-FR"/>
        </w:rPr>
      </w:pPr>
      <w:r w:rsidRPr="00B344B6">
        <w:rPr>
          <w:lang w:val="fr-FR"/>
        </w:rPr>
        <w:t>Mise en place par le Bureau international d’un nouveau processus de traduction fondé sur les technologies de l’information</w:t>
      </w:r>
    </w:p>
    <w:p w:rsidR="00860EA0" w:rsidRPr="00B344B6" w:rsidRDefault="00860EA0" w:rsidP="00860EA0">
      <w:pPr>
        <w:rPr>
          <w:lang w:val="fr-FR"/>
        </w:rPr>
      </w:pPr>
    </w:p>
    <w:p w:rsidR="009A6927" w:rsidRPr="00B344B6" w:rsidRDefault="006E2C3B" w:rsidP="00997293">
      <w:pPr>
        <w:pStyle w:val="ONUMFS"/>
        <w:rPr>
          <w:lang w:val="fr-FR"/>
        </w:rPr>
      </w:pPr>
      <w:r w:rsidRPr="00B344B6">
        <w:rPr>
          <w:lang w:val="fr-FR"/>
        </w:rPr>
        <w:t>Dès</w:t>
      </w:r>
      <w:r w:rsidR="00F45C7C" w:rsidRPr="00B344B6">
        <w:rPr>
          <w:lang w:val="fr-FR"/>
        </w:rPr>
        <w:t xml:space="preserve"> 2012, </w:t>
      </w:r>
      <w:r w:rsidR="00756AE9" w:rsidRPr="00B344B6">
        <w:rPr>
          <w:lang w:val="fr-FR"/>
        </w:rPr>
        <w:t>afin</w:t>
      </w:r>
      <w:r w:rsidR="00F45C7C" w:rsidRPr="00B344B6">
        <w:rPr>
          <w:lang w:val="fr-FR"/>
        </w:rPr>
        <w:t xml:space="preserve"> d</w:t>
      </w:r>
      <w:r w:rsidR="009A6927" w:rsidRPr="00B344B6">
        <w:rPr>
          <w:lang w:val="fr-FR"/>
        </w:rPr>
        <w:t>’</w:t>
      </w:r>
      <w:r w:rsidR="00F45C7C" w:rsidRPr="00B344B6">
        <w:rPr>
          <w:lang w:val="fr-FR"/>
        </w:rPr>
        <w:t>assurer la cohérence et la qualité des traductions fournies et d</w:t>
      </w:r>
      <w:r w:rsidR="009A6927" w:rsidRPr="00B344B6">
        <w:rPr>
          <w:lang w:val="fr-FR"/>
        </w:rPr>
        <w:t>’</w:t>
      </w:r>
      <w:r w:rsidR="00F45C7C" w:rsidRPr="00B344B6">
        <w:rPr>
          <w:lang w:val="fr-FR"/>
        </w:rPr>
        <w:t>anticiper l</w:t>
      </w:r>
      <w:r w:rsidR="009A6927" w:rsidRPr="00B344B6">
        <w:rPr>
          <w:lang w:val="fr-FR"/>
        </w:rPr>
        <w:t>’</w:t>
      </w:r>
      <w:r w:rsidR="00F45C7C" w:rsidRPr="00B344B6">
        <w:rPr>
          <w:lang w:val="fr-FR"/>
        </w:rPr>
        <w:t>accroissement prévisible du volume de travail de traduction, le Bureau international a décidé d</w:t>
      </w:r>
      <w:r w:rsidR="009A6927" w:rsidRPr="00B344B6">
        <w:rPr>
          <w:lang w:val="fr-FR"/>
        </w:rPr>
        <w:t>’</w:t>
      </w:r>
      <w:r w:rsidR="00F45C7C" w:rsidRPr="00B344B6">
        <w:rPr>
          <w:lang w:val="fr-FR"/>
        </w:rPr>
        <w:t xml:space="preserve">installer le système de gestion des traductions SDL </w:t>
      </w:r>
      <w:proofErr w:type="spellStart"/>
      <w:r w:rsidR="00F45C7C" w:rsidRPr="00B344B6">
        <w:rPr>
          <w:lang w:val="fr-FR"/>
        </w:rPr>
        <w:t>WorldServer</w:t>
      </w:r>
      <w:proofErr w:type="spellEnd"/>
      <w:r w:rsidR="00F45C7C" w:rsidRPr="00B344B6">
        <w:rPr>
          <w:lang w:val="fr-FR"/>
        </w:rPr>
        <w:t xml:space="preserve"> (WS) pour </w:t>
      </w:r>
      <w:r w:rsidR="00756AE9" w:rsidRPr="00B344B6">
        <w:rPr>
          <w:lang w:val="fr-FR"/>
        </w:rPr>
        <w:t>effec</w:t>
      </w:r>
      <w:r w:rsidR="00F45C7C" w:rsidRPr="00B344B6">
        <w:rPr>
          <w:lang w:val="fr-FR"/>
        </w:rPr>
        <w:t>t</w:t>
      </w:r>
      <w:r w:rsidR="00756AE9" w:rsidRPr="00B344B6">
        <w:rPr>
          <w:lang w:val="fr-FR"/>
        </w:rPr>
        <w:t>u</w:t>
      </w:r>
      <w:r w:rsidR="00F45C7C" w:rsidRPr="00B344B6">
        <w:rPr>
          <w:lang w:val="fr-FR"/>
        </w:rPr>
        <w:t xml:space="preserve">er les traductions dans le cadre des procédures de Madrid, de </w:t>
      </w:r>
      <w:r w:rsidR="009A6927" w:rsidRPr="00B344B6">
        <w:rPr>
          <w:lang w:val="fr-FR"/>
        </w:rPr>
        <w:t>La Haye</w:t>
      </w:r>
      <w:r w:rsidR="00F45C7C" w:rsidRPr="00B344B6">
        <w:rPr>
          <w:lang w:val="fr-FR"/>
        </w:rPr>
        <w:t xml:space="preserve"> et</w:t>
      </w:r>
      <w:r w:rsidR="009A6927" w:rsidRPr="00B344B6">
        <w:rPr>
          <w:lang w:val="fr-FR"/>
        </w:rPr>
        <w:t xml:space="preserve"> du PCT</w:t>
      </w:r>
      <w:r w:rsidR="00F45C7C" w:rsidRPr="00B344B6">
        <w:rPr>
          <w:lang w:val="fr-FR"/>
        </w:rPr>
        <w:t>.</w:t>
      </w:r>
      <w:r w:rsidR="00DE1E0B" w:rsidRPr="00B344B6">
        <w:rPr>
          <w:lang w:val="fr-FR"/>
        </w:rPr>
        <w:t xml:space="preserve">  </w:t>
      </w:r>
      <w:r w:rsidR="008034E6" w:rsidRPr="00B344B6">
        <w:rPr>
          <w:lang w:val="fr-FR"/>
        </w:rPr>
        <w:t>WS</w:t>
      </w:r>
      <w:r w:rsidR="00756AE9" w:rsidRPr="00B344B6">
        <w:rPr>
          <w:lang w:val="fr-FR"/>
        </w:rPr>
        <w:t> </w:t>
      </w:r>
      <w:r w:rsidR="008034E6" w:rsidRPr="00B344B6">
        <w:rPr>
          <w:lang w:val="fr-FR"/>
        </w:rPr>
        <w:t>automatise les tâches de traduction en s</w:t>
      </w:r>
      <w:r w:rsidR="009A6927" w:rsidRPr="00B344B6">
        <w:rPr>
          <w:lang w:val="fr-FR"/>
        </w:rPr>
        <w:t>’</w:t>
      </w:r>
      <w:r w:rsidR="008034E6" w:rsidRPr="00B344B6">
        <w:rPr>
          <w:lang w:val="fr-FR"/>
        </w:rPr>
        <w:t xml:space="preserve">appuyant sur une base de données interne constamment étoffée de précédents et de termes </w:t>
      </w:r>
      <w:r w:rsidR="00FB5C80" w:rsidRPr="00B344B6">
        <w:rPr>
          <w:lang w:val="fr-FR"/>
        </w:rPr>
        <w:t>soigneusement vérifiés</w:t>
      </w:r>
      <w:r w:rsidR="008034E6" w:rsidRPr="00B344B6">
        <w:rPr>
          <w:lang w:val="fr-FR"/>
        </w:rPr>
        <w:t>.</w:t>
      </w:r>
      <w:r w:rsidR="00DE1E0B" w:rsidRPr="00B344B6">
        <w:rPr>
          <w:lang w:val="fr-FR"/>
        </w:rPr>
        <w:t xml:space="preserve">  </w:t>
      </w:r>
      <w:r w:rsidR="008034E6" w:rsidRPr="00B344B6">
        <w:rPr>
          <w:lang w:val="fr-FR"/>
        </w:rPr>
        <w:t>La</w:t>
      </w:r>
      <w:r w:rsidR="00756AE9" w:rsidRPr="00B344B6">
        <w:rPr>
          <w:lang w:val="fr-FR"/>
        </w:rPr>
        <w:t> </w:t>
      </w:r>
      <w:r w:rsidR="008034E6" w:rsidRPr="00B344B6">
        <w:rPr>
          <w:lang w:val="fr-FR"/>
        </w:rPr>
        <w:t>décision d</w:t>
      </w:r>
      <w:r w:rsidR="009A6927" w:rsidRPr="00B344B6">
        <w:rPr>
          <w:lang w:val="fr-FR"/>
        </w:rPr>
        <w:t>’</w:t>
      </w:r>
      <w:r w:rsidR="008034E6" w:rsidRPr="00B344B6">
        <w:rPr>
          <w:lang w:val="fr-FR"/>
        </w:rPr>
        <w:t>opter pour WS a été prise à l</w:t>
      </w:r>
      <w:r w:rsidR="009A6927" w:rsidRPr="00B344B6">
        <w:rPr>
          <w:lang w:val="fr-FR"/>
        </w:rPr>
        <w:t>’</w:t>
      </w:r>
      <w:r w:rsidR="008034E6" w:rsidRPr="00B344B6">
        <w:rPr>
          <w:lang w:val="fr-FR"/>
        </w:rPr>
        <w:t>issue d</w:t>
      </w:r>
      <w:r w:rsidR="009A6927" w:rsidRPr="00B344B6">
        <w:rPr>
          <w:lang w:val="fr-FR"/>
        </w:rPr>
        <w:t>’</w:t>
      </w:r>
      <w:r w:rsidR="008034E6" w:rsidRPr="00B344B6">
        <w:rPr>
          <w:lang w:val="fr-FR"/>
        </w:rPr>
        <w:t>un audit approfondi des technologies de gestion des traductions susceptibles de convenir et sa mise en place s</w:t>
      </w:r>
      <w:r w:rsidR="009A6927" w:rsidRPr="00B344B6">
        <w:rPr>
          <w:lang w:val="fr-FR"/>
        </w:rPr>
        <w:t>’</w:t>
      </w:r>
      <w:r w:rsidR="008034E6" w:rsidRPr="00B344B6">
        <w:rPr>
          <w:lang w:val="fr-FR"/>
        </w:rPr>
        <w:t xml:space="preserve">est </w:t>
      </w:r>
      <w:r w:rsidR="00756AE9" w:rsidRPr="00B344B6">
        <w:rPr>
          <w:lang w:val="fr-FR"/>
        </w:rPr>
        <w:t>inscrit</w:t>
      </w:r>
      <w:r w:rsidR="008034E6" w:rsidRPr="00B344B6">
        <w:rPr>
          <w:lang w:val="fr-FR"/>
        </w:rPr>
        <w:t>e dans le cadre du programme de modernisation informatique.</w:t>
      </w:r>
    </w:p>
    <w:p w:rsidR="009A6927" w:rsidRPr="00B344B6" w:rsidRDefault="008034E6" w:rsidP="00E14C90">
      <w:pPr>
        <w:pStyle w:val="ONUMFS"/>
        <w:spacing w:after="0"/>
        <w:rPr>
          <w:lang w:val="fr-FR"/>
        </w:rPr>
      </w:pPr>
      <w:r w:rsidRPr="00B344B6">
        <w:rPr>
          <w:lang w:val="fr-FR"/>
        </w:rPr>
        <w:t>Comme indiqué précédemment, le nombre de mots traduits par le Bureau international a augmenté de 77% entre 2012 et 2014.</w:t>
      </w:r>
      <w:r w:rsidR="00DE1E0B" w:rsidRPr="00B344B6">
        <w:rPr>
          <w:lang w:val="fr-FR"/>
        </w:rPr>
        <w:t xml:space="preserve">  </w:t>
      </w:r>
      <w:r w:rsidR="00FD6976" w:rsidRPr="00B344B6">
        <w:rPr>
          <w:lang w:val="fr-FR"/>
        </w:rPr>
        <w:t>Le Bureau international a pu faire face à cette augmentation grâce à l</w:t>
      </w:r>
      <w:r w:rsidR="009A6927" w:rsidRPr="00B344B6">
        <w:rPr>
          <w:lang w:val="fr-FR"/>
        </w:rPr>
        <w:t>’</w:t>
      </w:r>
      <w:r w:rsidR="00FD6976" w:rsidRPr="00B344B6">
        <w:rPr>
          <w:lang w:val="fr-FR"/>
        </w:rPr>
        <w:t>installation du système WS.  En 2011, près de 26% de l</w:t>
      </w:r>
      <w:r w:rsidR="009A6927" w:rsidRPr="00B344B6">
        <w:rPr>
          <w:lang w:val="fr-FR"/>
        </w:rPr>
        <w:t>’</w:t>
      </w:r>
      <w:r w:rsidR="00FD6976" w:rsidRPr="00B344B6">
        <w:rPr>
          <w:lang w:val="fr-FR"/>
        </w:rPr>
        <w:t>ensemble des traductions étaient effectuées de manière automatique.</w:t>
      </w:r>
      <w:r w:rsidR="00DE1E0B" w:rsidRPr="00B344B6">
        <w:rPr>
          <w:lang w:val="fr-FR"/>
        </w:rPr>
        <w:t xml:space="preserve">  </w:t>
      </w:r>
      <w:r w:rsidR="00FD6976" w:rsidRPr="00B344B6">
        <w:rPr>
          <w:lang w:val="fr-FR"/>
        </w:rPr>
        <w:t>En 2014, le pourcentage de traductions effectuées automatiquement à l</w:t>
      </w:r>
      <w:r w:rsidR="009A6927" w:rsidRPr="00B344B6">
        <w:rPr>
          <w:lang w:val="fr-FR"/>
        </w:rPr>
        <w:t>’</w:t>
      </w:r>
      <w:r w:rsidR="00FD6976" w:rsidRPr="00B344B6">
        <w:rPr>
          <w:lang w:val="fr-FR"/>
        </w:rPr>
        <w:t>aide du système WS, sans intervention humaine, avait dépassé 66% (voir le tableau</w:t>
      </w:r>
      <w:r w:rsidR="00325545" w:rsidRPr="00B344B6">
        <w:rPr>
          <w:lang w:val="fr-FR"/>
        </w:rPr>
        <w:t> </w:t>
      </w:r>
      <w:r w:rsidR="00FD6976" w:rsidRPr="00B344B6">
        <w:rPr>
          <w:lang w:val="fr-FR"/>
        </w:rPr>
        <w:t>VI).</w:t>
      </w:r>
    </w:p>
    <w:p w:rsidR="0011695A" w:rsidRPr="00B344B6" w:rsidRDefault="00FD6976" w:rsidP="00997293">
      <w:pPr>
        <w:pStyle w:val="Heading4"/>
        <w:rPr>
          <w:lang w:val="fr-FR"/>
        </w:rPr>
      </w:pPr>
      <w:r w:rsidRPr="00B344B6">
        <w:rPr>
          <w:lang w:val="fr-FR"/>
        </w:rPr>
        <w:t>Tableau VI</w:t>
      </w:r>
      <w:r w:rsidR="00325545" w:rsidRPr="00B344B6">
        <w:rPr>
          <w:lang w:val="fr-FR"/>
        </w:rPr>
        <w:t> </w:t>
      </w:r>
      <w:r w:rsidRPr="00B344B6">
        <w:rPr>
          <w:lang w:val="fr-FR"/>
        </w:rPr>
        <w:t>: mots traduits par moyen de traduction et langue cible en</w:t>
      </w:r>
      <w:r w:rsidR="00325545" w:rsidRPr="00B344B6">
        <w:rPr>
          <w:lang w:val="fr-FR"/>
        </w:rPr>
        <w:t> </w:t>
      </w:r>
      <w:r w:rsidRPr="00B344B6">
        <w:rPr>
          <w:lang w:val="fr-FR"/>
        </w:rPr>
        <w:t>2014</w:t>
      </w:r>
    </w:p>
    <w:p w:rsidR="00DE1E0B" w:rsidRPr="00B344B6" w:rsidRDefault="00DE1E0B" w:rsidP="00997293">
      <w:pPr>
        <w:rPr>
          <w:lang w:val="fr-FR"/>
        </w:rPr>
      </w:pPr>
    </w:p>
    <w:tbl>
      <w:tblPr>
        <w:tblW w:w="9670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113"/>
        <w:gridCol w:w="903"/>
        <w:gridCol w:w="1123"/>
        <w:gridCol w:w="1003"/>
        <w:gridCol w:w="1153"/>
        <w:gridCol w:w="1003"/>
        <w:gridCol w:w="1123"/>
        <w:gridCol w:w="1044"/>
        <w:gridCol w:w="1205"/>
      </w:tblGrid>
      <w:tr w:rsidR="00997293" w:rsidRPr="00B344B6" w:rsidTr="000C69E9">
        <w:trPr>
          <w:trHeight w:val="252"/>
          <w:jc w:val="center"/>
        </w:trPr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EA442A" w:rsidP="00997293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FD6976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Anglais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FD6976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Pourcentage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FD6976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Français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FD6976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Pourcentage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FD6976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Espagnol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FD6976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Pourcentage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FD6976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Total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442A" w:rsidRPr="00B344B6" w:rsidRDefault="00FD6976" w:rsidP="00997293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Pourcentage</w:t>
            </w:r>
          </w:p>
        </w:tc>
      </w:tr>
      <w:tr w:rsidR="000C69E9" w:rsidRPr="00B344B6" w:rsidTr="000C69E9">
        <w:trPr>
          <w:trHeight w:val="252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Externe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523 100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19,30%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3 359 920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0C69E9">
              <w:rPr>
                <w:rFonts w:eastAsia="MS Mincho"/>
                <w:sz w:val="18"/>
                <w:szCs w:val="18"/>
                <w:lang w:val="fr-FR" w:eastAsia="ja-JP"/>
              </w:rPr>
              <w:t>28%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1 499 247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12,60%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5 382 267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0C69E9">
              <w:rPr>
                <w:rFonts w:eastAsia="MS Mincho"/>
                <w:sz w:val="18"/>
                <w:szCs w:val="18"/>
                <w:lang w:val="fr-FR" w:eastAsia="ja-JP"/>
              </w:rPr>
              <w:t>20%</w:t>
            </w:r>
          </w:p>
        </w:tc>
      </w:tr>
      <w:tr w:rsidR="000C69E9" w:rsidRPr="00B344B6" w:rsidTr="000C69E9">
        <w:trPr>
          <w:trHeight w:val="252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Automatique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1 761 736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0C69E9">
              <w:rPr>
                <w:rFonts w:eastAsia="MS Mincho"/>
                <w:sz w:val="18"/>
                <w:szCs w:val="18"/>
                <w:lang w:val="fr-FR" w:eastAsia="ja-JP"/>
              </w:rPr>
              <w:t>65%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7 883 812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65,70%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8 031 678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67,50%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17 677 226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66,50%</w:t>
            </w:r>
          </w:p>
        </w:tc>
      </w:tr>
      <w:tr w:rsidR="000C69E9" w:rsidRPr="00B344B6" w:rsidTr="000C69E9">
        <w:trPr>
          <w:trHeight w:val="252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Interne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425 527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15,70%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755 982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6,30%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2 367 858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19,90%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3 549 367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13,50%</w:t>
            </w:r>
          </w:p>
        </w:tc>
      </w:tr>
      <w:tr w:rsidR="000C69E9" w:rsidRPr="00B344B6" w:rsidTr="000C69E9">
        <w:trPr>
          <w:trHeight w:val="252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Total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2 710 363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0C69E9">
              <w:rPr>
                <w:rFonts w:eastAsia="MS Mincho"/>
                <w:sz w:val="18"/>
                <w:szCs w:val="18"/>
                <w:lang w:val="fr-FR" w:eastAsia="ja-JP"/>
              </w:rPr>
              <w:t>100%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11 999 714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0C69E9">
              <w:rPr>
                <w:rFonts w:eastAsia="MS Mincho"/>
                <w:sz w:val="18"/>
                <w:szCs w:val="18"/>
                <w:lang w:val="fr-FR" w:eastAsia="ja-JP"/>
              </w:rPr>
              <w:t>100%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11 898 782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0C69E9">
              <w:rPr>
                <w:rFonts w:eastAsia="MS Mincho"/>
                <w:sz w:val="18"/>
                <w:szCs w:val="18"/>
                <w:lang w:val="fr-FR" w:eastAsia="ja-JP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B344B6">
              <w:rPr>
                <w:rFonts w:eastAsia="MS Mincho"/>
                <w:sz w:val="18"/>
                <w:szCs w:val="18"/>
                <w:lang w:val="fr-FR" w:eastAsia="ja-JP"/>
              </w:rPr>
              <w:t>26 608 859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9E9" w:rsidRPr="00B344B6" w:rsidRDefault="000C69E9" w:rsidP="00E56915">
            <w:pPr>
              <w:jc w:val="center"/>
              <w:rPr>
                <w:rFonts w:eastAsia="MS Mincho"/>
                <w:sz w:val="18"/>
                <w:szCs w:val="18"/>
                <w:lang w:val="fr-FR" w:eastAsia="ja-JP"/>
              </w:rPr>
            </w:pPr>
            <w:r w:rsidRPr="000C69E9">
              <w:rPr>
                <w:rFonts w:eastAsia="MS Mincho"/>
                <w:sz w:val="18"/>
                <w:szCs w:val="18"/>
                <w:lang w:val="fr-FR" w:eastAsia="ja-JP"/>
              </w:rPr>
              <w:t>100%</w:t>
            </w:r>
          </w:p>
        </w:tc>
      </w:tr>
    </w:tbl>
    <w:p w:rsidR="0011695A" w:rsidRPr="00B344B6" w:rsidRDefault="0011695A" w:rsidP="00997293">
      <w:pPr>
        <w:rPr>
          <w:lang w:val="fr-FR"/>
        </w:rPr>
      </w:pPr>
    </w:p>
    <w:p w:rsidR="009A6927" w:rsidRPr="00B344B6" w:rsidRDefault="00706BE5" w:rsidP="00997293">
      <w:pPr>
        <w:pStyle w:val="ONUMFS"/>
        <w:rPr>
          <w:lang w:val="fr-FR"/>
        </w:rPr>
      </w:pPr>
      <w:r w:rsidRPr="00B344B6">
        <w:rPr>
          <w:lang w:val="fr-FR"/>
        </w:rPr>
        <w:t>Afin de compléter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approche en matière de traduction adoptée par le Bureau international, </w:t>
      </w:r>
      <w:bookmarkStart w:id="6" w:name="_GoBack"/>
      <w:r w:rsidRPr="00B344B6">
        <w:rPr>
          <w:lang w:val="fr-FR"/>
        </w:rPr>
        <w:t>TAPTA4MARKS, un moteur de traduction automatique sur mesure a été installé.</w:t>
      </w:r>
      <w:r w:rsidR="00DE1E0B" w:rsidRPr="00B344B6">
        <w:rPr>
          <w:lang w:val="fr-FR"/>
        </w:rPr>
        <w:t xml:space="preserve">  </w:t>
      </w:r>
      <w:r w:rsidR="009567E6" w:rsidRPr="00B344B6">
        <w:rPr>
          <w:lang w:val="fr-FR"/>
        </w:rPr>
        <w:t>Il s</w:t>
      </w:r>
      <w:r w:rsidR="009A6927" w:rsidRPr="00B344B6">
        <w:rPr>
          <w:lang w:val="fr-FR"/>
        </w:rPr>
        <w:t>’</w:t>
      </w:r>
      <w:r w:rsidR="009567E6" w:rsidRPr="00B344B6">
        <w:rPr>
          <w:lang w:val="fr-FR"/>
        </w:rPr>
        <w:t>agit d</w:t>
      </w:r>
      <w:r w:rsidR="009A6927" w:rsidRPr="00B344B6">
        <w:rPr>
          <w:lang w:val="fr-FR"/>
        </w:rPr>
        <w:t>’</w:t>
      </w:r>
      <w:r w:rsidR="009567E6" w:rsidRPr="00B344B6">
        <w:rPr>
          <w:lang w:val="fr-FR"/>
        </w:rPr>
        <w:t xml:space="preserve">une </w:t>
      </w:r>
      <w:bookmarkEnd w:id="6"/>
      <w:r w:rsidR="009567E6" w:rsidRPr="00B344B6">
        <w:rPr>
          <w:lang w:val="fr-FR"/>
        </w:rPr>
        <w:t>version adaptée de la technologie TAPTA (</w:t>
      </w:r>
      <w:r w:rsidR="009567E6" w:rsidRPr="00B344B6">
        <w:rPr>
          <w:i/>
          <w:lang w:val="fr-FR"/>
        </w:rPr>
        <w:t xml:space="preserve">Translation Assistant for Patent </w:t>
      </w:r>
      <w:proofErr w:type="spellStart"/>
      <w:r w:rsidR="009567E6" w:rsidRPr="00B344B6">
        <w:rPr>
          <w:i/>
          <w:lang w:val="fr-FR"/>
        </w:rPr>
        <w:t>Texts</w:t>
      </w:r>
      <w:proofErr w:type="spellEnd"/>
      <w:r w:rsidR="009567E6" w:rsidRPr="00B344B6">
        <w:rPr>
          <w:i/>
          <w:lang w:val="fr-FR"/>
        </w:rPr>
        <w:t xml:space="preserve"> and Abstracts</w:t>
      </w:r>
      <w:r w:rsidR="009567E6" w:rsidRPr="00B344B6">
        <w:rPr>
          <w:lang w:val="fr-FR"/>
        </w:rPr>
        <w:t>), développée par le Secteur de l</w:t>
      </w:r>
      <w:r w:rsidR="009A6927" w:rsidRPr="00B344B6">
        <w:rPr>
          <w:lang w:val="fr-FR"/>
        </w:rPr>
        <w:t>’</w:t>
      </w:r>
      <w:r w:rsidR="009567E6" w:rsidRPr="00B344B6">
        <w:rPr>
          <w:lang w:val="fr-FR"/>
        </w:rPr>
        <w:t>infrastructure mondiale de l</w:t>
      </w:r>
      <w:r w:rsidR="009A6927" w:rsidRPr="00B344B6">
        <w:rPr>
          <w:lang w:val="fr-FR"/>
        </w:rPr>
        <w:t>’</w:t>
      </w:r>
      <w:r w:rsidR="009567E6" w:rsidRPr="00B344B6">
        <w:rPr>
          <w:lang w:val="fr-FR"/>
        </w:rPr>
        <w:t xml:space="preserve">OMPI et qui est déjà mise en </w:t>
      </w:r>
      <w:r w:rsidR="00C978F3" w:rsidRPr="00B344B6">
        <w:rPr>
          <w:lang w:val="fr-FR"/>
        </w:rPr>
        <w:t xml:space="preserve">œuvre </w:t>
      </w:r>
      <w:r w:rsidR="009567E6" w:rsidRPr="00B344B6">
        <w:rPr>
          <w:lang w:val="fr-FR"/>
        </w:rPr>
        <w:t>dans un certain nombre de procédures PCT et utilisée dans d</w:t>
      </w:r>
      <w:r w:rsidR="009A6927" w:rsidRPr="00B344B6">
        <w:rPr>
          <w:lang w:val="fr-FR"/>
        </w:rPr>
        <w:t>’</w:t>
      </w:r>
      <w:r w:rsidR="009567E6" w:rsidRPr="00B344B6">
        <w:rPr>
          <w:lang w:val="fr-FR"/>
        </w:rPr>
        <w:t xml:space="preserve">autres institutions des </w:t>
      </w:r>
      <w:r w:rsidR="009A6927" w:rsidRPr="00B344B6">
        <w:rPr>
          <w:lang w:val="fr-FR"/>
        </w:rPr>
        <w:t>Nations Unies</w:t>
      </w:r>
      <w:r w:rsidR="009567E6" w:rsidRPr="00B344B6">
        <w:rPr>
          <w:lang w:val="fr-FR"/>
        </w:rPr>
        <w:t xml:space="preserve"> pour les documents administratifs.</w:t>
      </w:r>
      <w:r w:rsidR="00DE1E0B" w:rsidRPr="00B344B6">
        <w:rPr>
          <w:lang w:val="fr-FR"/>
        </w:rPr>
        <w:t xml:space="preserve">  </w:t>
      </w:r>
      <w:r w:rsidR="00B978AF" w:rsidRPr="00B344B6">
        <w:rPr>
          <w:lang w:val="fr-FR"/>
        </w:rPr>
        <w:t xml:space="preserve">La traduction automatique est un système configuré pour analyser statistiquement les traductions et mettre à profit les ressources internes et externes afin de </w:t>
      </w:r>
      <w:r w:rsidR="00C978F3" w:rsidRPr="00B344B6">
        <w:rPr>
          <w:lang w:val="fr-FR"/>
        </w:rPr>
        <w:t>liv</w:t>
      </w:r>
      <w:r w:rsidR="00B978AF" w:rsidRPr="00B344B6">
        <w:rPr>
          <w:lang w:val="fr-FR"/>
        </w:rPr>
        <w:t>r</w:t>
      </w:r>
      <w:r w:rsidR="00C978F3" w:rsidRPr="00B344B6">
        <w:rPr>
          <w:lang w:val="fr-FR"/>
        </w:rPr>
        <w:t>e</w:t>
      </w:r>
      <w:r w:rsidR="00B978AF" w:rsidRPr="00B344B6">
        <w:rPr>
          <w:lang w:val="fr-FR"/>
        </w:rPr>
        <w:t xml:space="preserve">r une traduction </w:t>
      </w:r>
      <w:r w:rsidR="00FB5C80" w:rsidRPr="00B344B6">
        <w:rPr>
          <w:lang w:val="fr-FR"/>
        </w:rPr>
        <w:t>plausible</w:t>
      </w:r>
      <w:r w:rsidR="00B978AF" w:rsidRPr="00B344B6">
        <w:rPr>
          <w:lang w:val="fr-FR"/>
        </w:rPr>
        <w:t xml:space="preserve"> pouvant nécessiter un</w:t>
      </w:r>
      <w:r w:rsidR="00FB5C80" w:rsidRPr="00B344B6">
        <w:rPr>
          <w:lang w:val="fr-FR"/>
        </w:rPr>
        <w:t>e révision</w:t>
      </w:r>
      <w:r w:rsidR="00B978AF" w:rsidRPr="00B344B6">
        <w:rPr>
          <w:lang w:val="fr-FR"/>
        </w:rPr>
        <w:t xml:space="preserve"> ultérieur</w:t>
      </w:r>
      <w:r w:rsidR="00AC774C" w:rsidRPr="00B344B6">
        <w:rPr>
          <w:lang w:val="fr-FR"/>
        </w:rPr>
        <w:t>e</w:t>
      </w:r>
      <w:r w:rsidR="00B978AF" w:rsidRPr="00B344B6">
        <w:rPr>
          <w:lang w:val="fr-FR"/>
        </w:rPr>
        <w:t xml:space="preserve"> (</w:t>
      </w:r>
      <w:proofErr w:type="spellStart"/>
      <w:r w:rsidR="002E1465" w:rsidRPr="00B344B6">
        <w:rPr>
          <w:lang w:val="fr-FR"/>
        </w:rPr>
        <w:t>postédition</w:t>
      </w:r>
      <w:proofErr w:type="spellEnd"/>
      <w:r w:rsidR="00B978AF" w:rsidRPr="00B344B6">
        <w:rPr>
          <w:lang w:val="fr-FR"/>
        </w:rPr>
        <w:t>).</w:t>
      </w:r>
    </w:p>
    <w:p w:rsidR="009A6927" w:rsidRPr="00B344B6" w:rsidRDefault="006A704F" w:rsidP="00997293">
      <w:pPr>
        <w:pStyle w:val="ONUMFS"/>
        <w:rPr>
          <w:lang w:val="fr-FR"/>
        </w:rPr>
      </w:pPr>
      <w:r w:rsidRPr="00B344B6">
        <w:rPr>
          <w:lang w:val="fr-FR"/>
        </w:rPr>
        <w:t xml:space="preserve">TAPTA4MARKS prend en charge les indications de produits et services qui ne sont pas traduites par WS, soit 34%, et propose, avec une grande fiabilité, leur traduction la plus </w:t>
      </w:r>
      <w:r w:rsidR="00FB5C80" w:rsidRPr="00B344B6">
        <w:rPr>
          <w:lang w:val="fr-FR"/>
        </w:rPr>
        <w:t>plausible</w:t>
      </w:r>
      <w:r w:rsidRPr="00B344B6">
        <w:rPr>
          <w:lang w:val="fr-FR"/>
        </w:rPr>
        <w:t>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Une révision est effectuée par des ressources internes ou externes.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Une fois révisée, la traduction proposée par TAPTA4MARKS est validée ou améliorée, réduisant ainsi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intervention humaine dans le processus de traduction</w:t>
      </w:r>
      <w:r w:rsidR="00664013" w:rsidRPr="00B344B6">
        <w:rPr>
          <w:lang w:val="fr-FR"/>
        </w:rPr>
        <w:t xml:space="preserve"> à l</w:t>
      </w:r>
      <w:r w:rsidR="009A6927" w:rsidRPr="00B344B6">
        <w:rPr>
          <w:lang w:val="fr-FR"/>
        </w:rPr>
        <w:t>’</w:t>
      </w:r>
      <w:r w:rsidR="00664013" w:rsidRPr="00B344B6">
        <w:rPr>
          <w:lang w:val="fr-FR"/>
        </w:rPr>
        <w:t xml:space="preserve">activité de </w:t>
      </w:r>
      <w:proofErr w:type="spellStart"/>
      <w:r w:rsidR="002E1465" w:rsidRPr="00B344B6">
        <w:rPr>
          <w:lang w:val="fr-FR"/>
        </w:rPr>
        <w:t>postédition</w:t>
      </w:r>
      <w:proofErr w:type="spellEnd"/>
      <w:r w:rsidRPr="00B344B6">
        <w:rPr>
          <w:lang w:val="fr-FR"/>
        </w:rPr>
        <w:t>.</w:t>
      </w:r>
    </w:p>
    <w:p w:rsidR="009A6927" w:rsidRPr="00B344B6" w:rsidRDefault="00664013" w:rsidP="00997293">
      <w:pPr>
        <w:pStyle w:val="ONUMFS"/>
        <w:rPr>
          <w:lang w:val="fr-FR"/>
        </w:rPr>
      </w:pPr>
      <w:r w:rsidRPr="00B344B6">
        <w:rPr>
          <w:lang w:val="fr-FR"/>
        </w:rPr>
        <w:t xml:space="preserve">Grâce à </w:t>
      </w:r>
      <w:r w:rsidR="00D800FD" w:rsidRPr="00B344B6">
        <w:rPr>
          <w:lang w:val="fr-FR"/>
        </w:rPr>
        <w:t>WS et TAPTA4MARKS</w:t>
      </w:r>
      <w:r w:rsidRPr="00B344B6">
        <w:rPr>
          <w:lang w:val="fr-FR"/>
        </w:rPr>
        <w:t>, une proposition de traduction automatique est fournie pour</w:t>
      </w:r>
      <w:r w:rsidR="00D800FD" w:rsidRPr="00B344B6">
        <w:rPr>
          <w:lang w:val="fr-FR"/>
        </w:rPr>
        <w:t xml:space="preserve"> chaque indication de la liste des produits et services </w:t>
      </w:r>
      <w:r w:rsidRPr="00B344B6">
        <w:rPr>
          <w:lang w:val="fr-FR"/>
        </w:rPr>
        <w:t>d</w:t>
      </w:r>
      <w:r w:rsidR="00391103" w:rsidRPr="00B344B6">
        <w:rPr>
          <w:lang w:val="fr-FR"/>
        </w:rPr>
        <w:t>evan</w:t>
      </w:r>
      <w:r w:rsidRPr="00B344B6">
        <w:rPr>
          <w:lang w:val="fr-FR"/>
        </w:rPr>
        <w:t>t être</w:t>
      </w:r>
      <w:r w:rsidR="00D800FD" w:rsidRPr="00B344B6">
        <w:rPr>
          <w:lang w:val="fr-FR"/>
        </w:rPr>
        <w:t xml:space="preserve"> tradui</w:t>
      </w:r>
      <w:r w:rsidRPr="00B344B6">
        <w:rPr>
          <w:lang w:val="fr-FR"/>
        </w:rPr>
        <w:t>t</w:t>
      </w:r>
      <w:r w:rsidR="00D800FD" w:rsidRPr="00B344B6">
        <w:rPr>
          <w:lang w:val="fr-FR"/>
        </w:rPr>
        <w:t>e,</w:t>
      </w:r>
      <w:r w:rsidRPr="00B344B6">
        <w:rPr>
          <w:lang w:val="fr-FR"/>
        </w:rPr>
        <w:t xml:space="preserve"> </w:t>
      </w:r>
      <w:r w:rsidR="00D800FD" w:rsidRPr="00B344B6">
        <w:rPr>
          <w:lang w:val="fr-FR"/>
        </w:rPr>
        <w:t>ce qui améliore sensiblement l</w:t>
      </w:r>
      <w:r w:rsidR="009A6927" w:rsidRPr="00B344B6">
        <w:rPr>
          <w:lang w:val="fr-FR"/>
        </w:rPr>
        <w:t>’</w:t>
      </w:r>
      <w:r w:rsidR="00D800FD" w:rsidRPr="00B344B6">
        <w:rPr>
          <w:lang w:val="fr-FR"/>
        </w:rPr>
        <w:t>efficacité du processus.</w:t>
      </w:r>
      <w:r w:rsidR="00DE1E0B" w:rsidRPr="00B344B6">
        <w:rPr>
          <w:lang w:val="fr-FR"/>
        </w:rPr>
        <w:t xml:space="preserve">  </w:t>
      </w:r>
      <w:r w:rsidR="00D800FD" w:rsidRPr="00B344B6">
        <w:rPr>
          <w:lang w:val="fr-FR"/>
        </w:rPr>
        <w:t>L</w:t>
      </w:r>
      <w:r w:rsidRPr="00B344B6">
        <w:rPr>
          <w:lang w:val="fr-FR"/>
        </w:rPr>
        <w:t>e recours</w:t>
      </w:r>
      <w:r w:rsidR="00D800FD" w:rsidRPr="00B344B6">
        <w:rPr>
          <w:lang w:val="fr-FR"/>
        </w:rPr>
        <w:t xml:space="preserve"> </w:t>
      </w:r>
      <w:r w:rsidRPr="00B344B6">
        <w:rPr>
          <w:lang w:val="fr-FR"/>
        </w:rPr>
        <w:t>à</w:t>
      </w:r>
      <w:r w:rsidR="00D800FD" w:rsidRPr="00B344B6">
        <w:rPr>
          <w:lang w:val="fr-FR"/>
        </w:rPr>
        <w:t xml:space="preserve"> la traduction automatique a </w:t>
      </w:r>
      <w:r w:rsidR="00391103" w:rsidRPr="00B344B6">
        <w:rPr>
          <w:lang w:val="fr-FR"/>
        </w:rPr>
        <w:t xml:space="preserve">ainsi </w:t>
      </w:r>
      <w:r w:rsidR="00D800FD" w:rsidRPr="00B344B6">
        <w:rPr>
          <w:lang w:val="fr-FR"/>
        </w:rPr>
        <w:t>permis de réduire le nombre de traductions en souffrance et le délai de traitement.</w:t>
      </w:r>
    </w:p>
    <w:p w:rsidR="007035DD" w:rsidRDefault="000B1C3E" w:rsidP="00997293">
      <w:pPr>
        <w:pStyle w:val="ONUMFS"/>
        <w:rPr>
          <w:lang w:val="fr-FR"/>
        </w:rPr>
      </w:pPr>
      <w:r w:rsidRPr="00B344B6">
        <w:rPr>
          <w:lang w:val="fr-FR"/>
        </w:rPr>
        <w:t>L</w:t>
      </w:r>
      <w:r w:rsidR="009A6927" w:rsidRPr="00B344B6">
        <w:rPr>
          <w:lang w:val="fr-FR"/>
        </w:rPr>
        <w:t>’</w:t>
      </w:r>
      <w:r w:rsidR="00391103" w:rsidRPr="00B344B6">
        <w:rPr>
          <w:lang w:val="fr-FR"/>
        </w:rPr>
        <w:t>introduc</w:t>
      </w:r>
      <w:r w:rsidRPr="00B344B6">
        <w:rPr>
          <w:lang w:val="fr-FR"/>
        </w:rPr>
        <w:t>tion du processus d</w:t>
      </w:r>
      <w:r w:rsidR="00664013" w:rsidRPr="00B344B6">
        <w:rPr>
          <w:lang w:val="fr-FR"/>
        </w:rPr>
        <w:t xml:space="preserve">e </w:t>
      </w:r>
      <w:proofErr w:type="spellStart"/>
      <w:r w:rsidR="002E1465" w:rsidRPr="00B344B6">
        <w:rPr>
          <w:lang w:val="fr-FR"/>
        </w:rPr>
        <w:t>postédition</w:t>
      </w:r>
      <w:proofErr w:type="spellEnd"/>
      <w:r w:rsidRPr="00B344B6">
        <w:rPr>
          <w:lang w:val="fr-FR"/>
        </w:rPr>
        <w:t xml:space="preserve"> d</w:t>
      </w:r>
      <w:r w:rsidR="00391103" w:rsidRPr="00B344B6">
        <w:rPr>
          <w:lang w:val="fr-FR"/>
        </w:rPr>
        <w:t xml:space="preserve">ans </w:t>
      </w:r>
      <w:r w:rsidRPr="00B344B6">
        <w:rPr>
          <w:lang w:val="fr-FR"/>
        </w:rPr>
        <w:t>la traduction automatique a renforcé la capacité de traduction du Bureau international, permettant de gérer efficacement un volume de travail en constante augmentation sans accro</w:t>
      </w:r>
      <w:r w:rsidR="00391103" w:rsidRPr="00B344B6">
        <w:rPr>
          <w:lang w:val="fr-FR"/>
        </w:rPr>
        <w:t>îtr</w:t>
      </w:r>
      <w:r w:rsidRPr="00B344B6">
        <w:rPr>
          <w:lang w:val="fr-FR"/>
        </w:rPr>
        <w:t xml:space="preserve">e </w:t>
      </w:r>
      <w:r w:rsidR="00391103" w:rsidRPr="00B344B6">
        <w:rPr>
          <w:lang w:val="fr-FR"/>
        </w:rPr>
        <w:t>l</w:t>
      </w:r>
      <w:r w:rsidRPr="00B344B6">
        <w:rPr>
          <w:lang w:val="fr-FR"/>
        </w:rPr>
        <w:t>es ressources humaines.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Les</w:t>
      </w:r>
      <w:r w:rsidR="00391103" w:rsidRPr="00B344B6">
        <w:rPr>
          <w:lang w:val="fr-FR"/>
        </w:rPr>
        <w:t> </w:t>
      </w:r>
      <w:r w:rsidRPr="00B344B6">
        <w:rPr>
          <w:lang w:val="fr-FR"/>
        </w:rPr>
        <w:t>ressources internes se con</w:t>
      </w:r>
      <w:r w:rsidR="00721229" w:rsidRPr="00B344B6">
        <w:rPr>
          <w:lang w:val="fr-FR"/>
        </w:rPr>
        <w:t>sa</w:t>
      </w:r>
      <w:r w:rsidRPr="00B344B6">
        <w:rPr>
          <w:lang w:val="fr-FR"/>
        </w:rPr>
        <w:t>c</w:t>
      </w:r>
      <w:r w:rsidR="00721229" w:rsidRPr="00B344B6">
        <w:rPr>
          <w:lang w:val="fr-FR"/>
        </w:rPr>
        <w:t>r</w:t>
      </w:r>
      <w:r w:rsidRPr="00B344B6">
        <w:rPr>
          <w:lang w:val="fr-FR"/>
        </w:rPr>
        <w:t xml:space="preserve">ent </w:t>
      </w:r>
      <w:r w:rsidR="00721229" w:rsidRPr="00B344B6">
        <w:rPr>
          <w:lang w:val="fr-FR"/>
        </w:rPr>
        <w:t>à</w:t>
      </w:r>
      <w:r w:rsidRPr="00B344B6">
        <w:rPr>
          <w:lang w:val="fr-FR"/>
        </w:rPr>
        <w:t xml:space="preserve"> la </w:t>
      </w:r>
      <w:r w:rsidR="00FB5C80" w:rsidRPr="00B344B6">
        <w:rPr>
          <w:lang w:val="fr-FR"/>
        </w:rPr>
        <w:t>gestion des données entrées</w:t>
      </w:r>
      <w:r w:rsidRPr="00B344B6">
        <w:rPr>
          <w:lang w:val="fr-FR"/>
        </w:rPr>
        <w:t xml:space="preserve"> </w:t>
      </w:r>
      <w:r w:rsidR="00721229" w:rsidRPr="00B344B6">
        <w:rPr>
          <w:lang w:val="fr-FR"/>
        </w:rPr>
        <w:t>dans l</w:t>
      </w:r>
      <w:r w:rsidRPr="00B344B6">
        <w:rPr>
          <w:lang w:val="fr-FR"/>
        </w:rPr>
        <w:t>es sol</w:t>
      </w:r>
      <w:r w:rsidR="00721229" w:rsidRPr="00B344B6">
        <w:rPr>
          <w:lang w:val="fr-FR"/>
        </w:rPr>
        <w:t>utions automatiques ai</w:t>
      </w:r>
      <w:r w:rsidRPr="00B344B6">
        <w:rPr>
          <w:lang w:val="fr-FR"/>
        </w:rPr>
        <w:t>nsi qu</w:t>
      </w:r>
      <w:r w:rsidR="009A6927" w:rsidRPr="00B344B6">
        <w:rPr>
          <w:lang w:val="fr-FR"/>
        </w:rPr>
        <w:t>’</w:t>
      </w:r>
      <w:r w:rsidR="00721229" w:rsidRPr="00B344B6">
        <w:rPr>
          <w:lang w:val="fr-FR"/>
        </w:rPr>
        <w:t>à</w:t>
      </w:r>
      <w:r w:rsidRPr="00B344B6">
        <w:rPr>
          <w:lang w:val="fr-FR"/>
        </w:rPr>
        <w:t xml:space="preserve"> la mise en </w:t>
      </w:r>
      <w:r w:rsidR="00391103" w:rsidRPr="00B344B6">
        <w:rPr>
          <w:lang w:val="fr-FR"/>
        </w:rPr>
        <w:t xml:space="preserve">œuvre </w:t>
      </w:r>
      <w:r w:rsidRPr="00B344B6">
        <w:rPr>
          <w:lang w:val="fr-FR"/>
        </w:rPr>
        <w:t xml:space="preserve">et </w:t>
      </w:r>
      <w:r w:rsidR="00721229" w:rsidRPr="00B344B6">
        <w:rPr>
          <w:lang w:val="fr-FR"/>
        </w:rPr>
        <w:t xml:space="preserve">à </w:t>
      </w:r>
      <w:r w:rsidRPr="00B344B6">
        <w:rPr>
          <w:lang w:val="fr-FR"/>
        </w:rPr>
        <w:t>la supervision de la procédure de contrôle de la qualité de manière à assurer la qualité globale du produit final.</w:t>
      </w:r>
      <w:r w:rsidR="007035DD">
        <w:rPr>
          <w:lang w:val="fr-FR"/>
        </w:rPr>
        <w:br w:type="page"/>
      </w:r>
    </w:p>
    <w:p w:rsidR="009A6927" w:rsidRPr="00B344B6" w:rsidRDefault="00B0492D" w:rsidP="00997293">
      <w:pPr>
        <w:pStyle w:val="ONUMFS"/>
        <w:rPr>
          <w:lang w:val="fr-FR"/>
        </w:rPr>
      </w:pPr>
      <w:r w:rsidRPr="00B344B6">
        <w:rPr>
          <w:lang w:val="fr-FR"/>
        </w:rPr>
        <w:t>Dans le cadre de sa stratégie globale en matière de traduction, le Bureau international a établi des partenariats à long terme avec des agences de traduction extérieures, ce qui a réduit le coût de la sous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>traitance, lequel s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élève aujourd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hui en moyenne à 0,05 franc suisse par mot ayant fait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objet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une </w:t>
      </w:r>
      <w:proofErr w:type="spellStart"/>
      <w:r w:rsidR="002E1465" w:rsidRPr="00B344B6">
        <w:rPr>
          <w:lang w:val="fr-FR"/>
        </w:rPr>
        <w:t>postédition</w:t>
      </w:r>
      <w:proofErr w:type="spellEnd"/>
      <w:r w:rsidRPr="00B344B6">
        <w:rPr>
          <w:lang w:val="fr-FR"/>
        </w:rPr>
        <w:t>, contre 0,25 franc suisse par mot traduit auparavant.</w:t>
      </w:r>
    </w:p>
    <w:p w:rsidR="009A6927" w:rsidRPr="00B344B6" w:rsidRDefault="00DE6B2D" w:rsidP="0085349E">
      <w:pPr>
        <w:pStyle w:val="ONUMFS"/>
        <w:spacing w:after="0"/>
        <w:rPr>
          <w:lang w:val="fr-FR"/>
        </w:rPr>
      </w:pPr>
      <w:r w:rsidRPr="00B344B6">
        <w:rPr>
          <w:lang w:val="fr-FR"/>
        </w:rPr>
        <w:t>Enfin, le Bureau international ayant modifié son processus de traduction pour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aligner sur les pratiques recommandées du secteur, il a également re</w:t>
      </w:r>
      <w:r w:rsidR="004329F1" w:rsidRPr="00B344B6">
        <w:rPr>
          <w:lang w:val="fr-FR"/>
        </w:rPr>
        <w:t>manié</w:t>
      </w:r>
      <w:r w:rsidRPr="00B344B6">
        <w:rPr>
          <w:lang w:val="fr-FR"/>
        </w:rPr>
        <w:t xml:space="preserve"> son organisation interne, passant de trois</w:t>
      </w:r>
      <w:r w:rsidR="004329F1" w:rsidRPr="00B344B6">
        <w:rPr>
          <w:lang w:val="fr-FR"/>
        </w:rPr>
        <w:t> </w:t>
      </w:r>
      <w:r w:rsidRPr="00B344B6">
        <w:rPr>
          <w:lang w:val="fr-FR"/>
        </w:rPr>
        <w:t>unités linguistiques à une seule (la Section de la traduction et de la terminologie du système de Madrid), qui gère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ensemble des processus de traduction internes, externes et automatisés.</w:t>
      </w:r>
      <w:r w:rsidR="00DE1E0B" w:rsidRPr="00B344B6">
        <w:rPr>
          <w:lang w:val="fr-FR"/>
        </w:rPr>
        <w:t xml:space="preserve">  </w:t>
      </w:r>
      <w:r w:rsidR="004329F1" w:rsidRPr="00B344B6">
        <w:rPr>
          <w:lang w:val="fr-FR"/>
        </w:rPr>
        <w:t>À</w:t>
      </w:r>
      <w:r w:rsidRPr="00B344B6">
        <w:rPr>
          <w:lang w:val="fr-FR"/>
        </w:rPr>
        <w:t xml:space="preserve"> la suite de ce changement, la nouvelle section est devenue un groupe axé sur les services, doté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un point de contact unique qui distribue le travail aux traducteurs internes et aux partenaires de traduction externes.</w:t>
      </w:r>
    </w:p>
    <w:p w:rsidR="0011695A" w:rsidRPr="00B344B6" w:rsidRDefault="000D5A9A" w:rsidP="000D5A9A">
      <w:pPr>
        <w:pStyle w:val="Heading1"/>
        <w:rPr>
          <w:lang w:val="fr-FR"/>
        </w:rPr>
      </w:pPr>
      <w:r w:rsidRPr="00B344B6">
        <w:rPr>
          <w:lang w:val="fr-FR"/>
        </w:rPr>
        <w:t>Mesures spéciales concernant le retard dans la traduction des déclarations d’octroi de la protection en vertu de la règle 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>.2</w:t>
      </w:r>
      <w:proofErr w:type="gramStart"/>
      <w:r w:rsidRPr="00B344B6">
        <w:rPr>
          <w:lang w:val="fr-FR"/>
        </w:rPr>
        <w:t>)ii</w:t>
      </w:r>
      <w:proofErr w:type="gramEnd"/>
      <w:r w:rsidRPr="00B344B6">
        <w:rPr>
          <w:lang w:val="fr-FR"/>
        </w:rPr>
        <w:t>) du règlement d’exécution commun reçues avant 2012</w:t>
      </w:r>
    </w:p>
    <w:p w:rsidR="00997293" w:rsidRPr="00B344B6" w:rsidRDefault="00997293" w:rsidP="00997293">
      <w:pPr>
        <w:rPr>
          <w:lang w:val="fr-FR"/>
        </w:rPr>
      </w:pPr>
    </w:p>
    <w:p w:rsidR="009A6927" w:rsidRPr="00B344B6" w:rsidRDefault="002076C0" w:rsidP="00997293">
      <w:pPr>
        <w:pStyle w:val="ONUMFS"/>
        <w:rPr>
          <w:lang w:val="fr-FR"/>
        </w:rPr>
      </w:pPr>
      <w:r w:rsidRPr="00B344B6">
        <w:rPr>
          <w:lang w:val="fr-FR"/>
        </w:rPr>
        <w:t>En 2012, on a recensé 133 794 traductions en souffrance découlant de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en vertu de la règle</w:t>
      </w:r>
      <w:r w:rsidR="00CB5A7F" w:rsidRPr="00B344B6">
        <w:rPr>
          <w:lang w:val="fr-FR"/>
        </w:rPr>
        <w:t> </w:t>
      </w:r>
      <w:r w:rsidRPr="00B344B6">
        <w:rPr>
          <w:lang w:val="fr-FR"/>
        </w:rPr>
        <w:t>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>.2</w:t>
      </w:r>
      <w:proofErr w:type="gramStart"/>
      <w:r w:rsidRPr="00B344B6">
        <w:rPr>
          <w:lang w:val="fr-FR"/>
        </w:rPr>
        <w:t>)ii</w:t>
      </w:r>
      <w:proofErr w:type="gramEnd"/>
      <w:r w:rsidRPr="00B344B6">
        <w:rPr>
          <w:lang w:val="fr-FR"/>
        </w:rPr>
        <w:t xml:space="preserve">) du </w:t>
      </w:r>
      <w:r w:rsidR="00175829" w:rsidRPr="00B344B6">
        <w:rPr>
          <w:lang w:val="fr-FR"/>
        </w:rPr>
        <w:t>règle</w:t>
      </w:r>
      <w:r w:rsidRPr="00B344B6">
        <w:rPr>
          <w:lang w:val="fr-FR"/>
        </w:rPr>
        <w:t>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 reçues avant 2012.</w:t>
      </w:r>
    </w:p>
    <w:p w:rsidR="009A6927" w:rsidRPr="00B344B6" w:rsidRDefault="00787E57" w:rsidP="00997293">
      <w:pPr>
        <w:pStyle w:val="ONUMFS"/>
        <w:rPr>
          <w:lang w:val="fr-FR"/>
        </w:rPr>
      </w:pPr>
      <w:r w:rsidRPr="00B344B6">
        <w:rPr>
          <w:lang w:val="fr-FR"/>
        </w:rPr>
        <w:t>Suite à la mise en service des solutions automatisées susmentionnées et grâce aux mesures spéciales qui ont été prises entre 2012 et 2013, le Bureau international a résorbé son retard, recourant à des outils informatiques pour traduire près de 32 millions de mots.</w:t>
      </w:r>
    </w:p>
    <w:p w:rsidR="009A6927" w:rsidRPr="00B344B6" w:rsidRDefault="00AE230F" w:rsidP="0085349E">
      <w:pPr>
        <w:pStyle w:val="ONUMFS"/>
        <w:spacing w:after="0"/>
        <w:rPr>
          <w:lang w:val="fr-FR"/>
        </w:rPr>
      </w:pPr>
      <w:r w:rsidRPr="00B344B6">
        <w:rPr>
          <w:lang w:val="fr-FR"/>
        </w:rPr>
        <w:t>La traduction des indications de produits et services dans ces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a été complètement automatisée, sans</w:t>
      </w:r>
      <w:r w:rsidR="00C12CC8" w:rsidRPr="00B344B6">
        <w:rPr>
          <w:lang w:val="fr-FR"/>
        </w:rPr>
        <w:t xml:space="preserve"> aucune</w:t>
      </w:r>
      <w:r w:rsidRPr="00B344B6">
        <w:rPr>
          <w:lang w:val="fr-FR"/>
        </w:rPr>
        <w:t xml:space="preserve"> intervention humaine ni </w:t>
      </w:r>
      <w:proofErr w:type="spellStart"/>
      <w:r w:rsidR="002E1465" w:rsidRPr="00B344B6">
        <w:rPr>
          <w:lang w:val="fr-FR"/>
        </w:rPr>
        <w:t>postédition</w:t>
      </w:r>
      <w:proofErr w:type="spellEnd"/>
      <w:r w:rsidRPr="00B344B6">
        <w:rPr>
          <w:lang w:val="fr-FR"/>
        </w:rPr>
        <w:t>.</w:t>
      </w:r>
    </w:p>
    <w:p w:rsidR="0011695A" w:rsidRPr="00B344B6" w:rsidRDefault="000D5A9A" w:rsidP="000D5A9A">
      <w:pPr>
        <w:pStyle w:val="Heading1"/>
        <w:rPr>
          <w:lang w:val="fr-FR"/>
        </w:rPr>
      </w:pPr>
      <w:r w:rsidRPr="00B344B6">
        <w:rPr>
          <w:lang w:val="fr-FR"/>
        </w:rPr>
        <w:t>Examen des pratiques en matière de traduction et éventuelles actions à entreprendre</w:t>
      </w:r>
    </w:p>
    <w:p w:rsidR="00997293" w:rsidRPr="00B344B6" w:rsidRDefault="00997293" w:rsidP="00997293">
      <w:pPr>
        <w:rPr>
          <w:lang w:val="fr-FR"/>
        </w:rPr>
      </w:pPr>
    </w:p>
    <w:p w:rsidR="009A6927" w:rsidRPr="00B344B6" w:rsidRDefault="006D3EEF" w:rsidP="00997293">
      <w:pPr>
        <w:pStyle w:val="ONUMFS"/>
        <w:rPr>
          <w:lang w:val="fr-FR"/>
        </w:rPr>
      </w:pPr>
      <w:r w:rsidRPr="00B344B6">
        <w:rPr>
          <w:lang w:val="fr-FR"/>
        </w:rPr>
        <w:t xml:space="preserve">La pratique en matière de traduction a permis au Bureau international de mettre en </w:t>
      </w:r>
      <w:r w:rsidR="00CB5A7F" w:rsidRPr="00B344B6">
        <w:rPr>
          <w:lang w:val="fr-FR"/>
        </w:rPr>
        <w:t xml:space="preserve">œuvre </w:t>
      </w:r>
      <w:r w:rsidRPr="00B344B6">
        <w:rPr>
          <w:lang w:val="fr-FR"/>
        </w:rPr>
        <w:t xml:space="preserve">un processus adéquat pour gérer le volume de travail de traduction en constante augmentation sans </w:t>
      </w:r>
      <w:r w:rsidR="00CB5A7F" w:rsidRPr="00B344B6">
        <w:rPr>
          <w:lang w:val="fr-FR"/>
        </w:rPr>
        <w:t>devoir accro</w:t>
      </w:r>
      <w:r w:rsidRPr="00B344B6">
        <w:rPr>
          <w:lang w:val="fr-FR"/>
        </w:rPr>
        <w:t>î</w:t>
      </w:r>
      <w:r w:rsidR="00CB5A7F" w:rsidRPr="00B344B6">
        <w:rPr>
          <w:lang w:val="fr-FR"/>
        </w:rPr>
        <w:t>t</w:t>
      </w:r>
      <w:r w:rsidRPr="00B344B6">
        <w:rPr>
          <w:lang w:val="fr-FR"/>
        </w:rPr>
        <w:t>r</w:t>
      </w:r>
      <w:r w:rsidR="00CB5A7F" w:rsidRPr="00B344B6">
        <w:rPr>
          <w:lang w:val="fr-FR"/>
        </w:rPr>
        <w:t>e</w:t>
      </w:r>
      <w:r w:rsidRPr="00B344B6">
        <w:rPr>
          <w:lang w:val="fr-FR"/>
        </w:rPr>
        <w:t xml:space="preserve"> </w:t>
      </w:r>
      <w:r w:rsidR="00CB5A7F" w:rsidRPr="00B344B6">
        <w:rPr>
          <w:lang w:val="fr-FR"/>
        </w:rPr>
        <w:t>l</w:t>
      </w:r>
      <w:r w:rsidRPr="00B344B6">
        <w:rPr>
          <w:lang w:val="fr-FR"/>
        </w:rPr>
        <w:t>es ressources humaines.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 xml:space="preserve">Le processus met à profit les solutions technologiques pour livrer une traduction préalablement </w:t>
      </w:r>
      <w:r w:rsidR="00CB5A7F" w:rsidRPr="00B344B6">
        <w:rPr>
          <w:lang w:val="fr-FR"/>
        </w:rPr>
        <w:t>approuv</w:t>
      </w:r>
      <w:r w:rsidRPr="00B344B6">
        <w:rPr>
          <w:lang w:val="fr-FR"/>
        </w:rPr>
        <w:t>ée ou proposer une nouvelle traduction, avec une grande fiabilité.</w:t>
      </w:r>
    </w:p>
    <w:p w:rsidR="009A6927" w:rsidRPr="00B344B6" w:rsidRDefault="006D3EEF" w:rsidP="00997293">
      <w:pPr>
        <w:pStyle w:val="ONUMFS"/>
        <w:rPr>
          <w:lang w:val="fr-FR"/>
        </w:rPr>
      </w:pPr>
      <w:r w:rsidRPr="00B344B6">
        <w:rPr>
          <w:lang w:val="fr-FR"/>
        </w:rPr>
        <w:t>Le Bureau international a pu, selon la pratique en vigueur, a</w:t>
      </w:r>
      <w:r w:rsidR="00CB5A7F" w:rsidRPr="00B344B6">
        <w:rPr>
          <w:lang w:val="fr-FR"/>
        </w:rPr>
        <w:t>x</w:t>
      </w:r>
      <w:r w:rsidRPr="00B344B6">
        <w:rPr>
          <w:lang w:val="fr-FR"/>
        </w:rPr>
        <w:t>er ses ressources techniques et humaines sur l</w:t>
      </w:r>
      <w:r w:rsidR="000969A6" w:rsidRPr="00B344B6">
        <w:rPr>
          <w:lang w:val="fr-FR"/>
        </w:rPr>
        <w:t>a forte augmentation</w:t>
      </w:r>
      <w:r w:rsidRPr="00B344B6">
        <w:rPr>
          <w:lang w:val="fr-FR"/>
        </w:rPr>
        <w:t xml:space="preserve"> de</w:t>
      </w:r>
      <w:r w:rsidR="000969A6" w:rsidRPr="00B344B6">
        <w:rPr>
          <w:lang w:val="fr-FR"/>
        </w:rPr>
        <w:t>s</w:t>
      </w:r>
      <w:r w:rsidRPr="00B344B6">
        <w:rPr>
          <w:lang w:val="fr-FR"/>
        </w:rPr>
        <w:t xml:space="preserve"> traductions découlant des enregistrements internationaux.</w:t>
      </w:r>
      <w:r w:rsidR="00DE1E0B" w:rsidRPr="00B344B6">
        <w:rPr>
          <w:lang w:val="fr-FR"/>
        </w:rPr>
        <w:t xml:space="preserve">  </w:t>
      </w:r>
      <w:r w:rsidR="00371A40" w:rsidRPr="00B344B6">
        <w:rPr>
          <w:lang w:val="fr-FR"/>
        </w:rPr>
        <w:t xml:space="preserve">Du point de vue des utilisateurs, </w:t>
      </w:r>
      <w:r w:rsidR="000969A6" w:rsidRPr="00B344B6">
        <w:rPr>
          <w:lang w:val="fr-FR"/>
        </w:rPr>
        <w:t xml:space="preserve">cette activité revêt une </w:t>
      </w:r>
      <w:r w:rsidR="00371A40" w:rsidRPr="00B344B6">
        <w:rPr>
          <w:lang w:val="fr-FR"/>
        </w:rPr>
        <w:t>importan</w:t>
      </w:r>
      <w:r w:rsidR="000969A6" w:rsidRPr="00B344B6">
        <w:rPr>
          <w:lang w:val="fr-FR"/>
        </w:rPr>
        <w:t>c</w:t>
      </w:r>
      <w:r w:rsidR="00371A40" w:rsidRPr="00B344B6">
        <w:rPr>
          <w:lang w:val="fr-FR"/>
        </w:rPr>
        <w:t>e</w:t>
      </w:r>
      <w:r w:rsidR="000969A6" w:rsidRPr="00B344B6">
        <w:rPr>
          <w:lang w:val="fr-FR"/>
        </w:rPr>
        <w:t xml:space="preserve"> particulière</w:t>
      </w:r>
      <w:r w:rsidR="00371A40" w:rsidRPr="00B344B6">
        <w:rPr>
          <w:lang w:val="fr-FR"/>
        </w:rPr>
        <w:t xml:space="preserve"> car c</w:t>
      </w:r>
      <w:r w:rsidR="009A6927" w:rsidRPr="00B344B6">
        <w:rPr>
          <w:lang w:val="fr-FR"/>
        </w:rPr>
        <w:t>’</w:t>
      </w:r>
      <w:r w:rsidR="00371A40" w:rsidRPr="00B344B6">
        <w:rPr>
          <w:lang w:val="fr-FR"/>
        </w:rPr>
        <w:t xml:space="preserve">est là que la </w:t>
      </w:r>
      <w:r w:rsidR="000969A6" w:rsidRPr="00B344B6">
        <w:rPr>
          <w:lang w:val="fr-FR"/>
        </w:rPr>
        <w:t xml:space="preserve">portée de la </w:t>
      </w:r>
      <w:r w:rsidR="00371A40" w:rsidRPr="00B344B6">
        <w:rPr>
          <w:lang w:val="fr-FR"/>
        </w:rPr>
        <w:t>protection recherchée est inscrite pour la première</w:t>
      </w:r>
      <w:r w:rsidR="000969A6" w:rsidRPr="00B344B6">
        <w:rPr>
          <w:lang w:val="fr-FR"/>
        </w:rPr>
        <w:t> </w:t>
      </w:r>
      <w:r w:rsidR="00371A40" w:rsidRPr="00B344B6">
        <w:rPr>
          <w:lang w:val="fr-FR"/>
        </w:rPr>
        <w:t>fois au registre international et notifiée en tant que telle aux offices des parties contractantes désignées.</w:t>
      </w:r>
    </w:p>
    <w:p w:rsidR="009A6927" w:rsidRPr="00B344B6" w:rsidRDefault="00E04407" w:rsidP="00997293">
      <w:pPr>
        <w:pStyle w:val="ONUMFS"/>
        <w:rPr>
          <w:lang w:val="fr-FR"/>
        </w:rPr>
      </w:pPr>
      <w:r w:rsidRPr="00B344B6">
        <w:rPr>
          <w:lang w:val="fr-FR"/>
        </w:rPr>
        <w:t>Le processus de traduction automatique mis en place par le Bureau international requiert toujours une intervention humaine pour la gestion globale du processus, le contrôle de la qualité, l</w:t>
      </w:r>
      <w:r w:rsidR="000969A6" w:rsidRPr="00B344B6">
        <w:rPr>
          <w:lang w:val="fr-FR"/>
        </w:rPr>
        <w:t>e rendu</w:t>
      </w:r>
      <w:r w:rsidRPr="00B344B6">
        <w:rPr>
          <w:lang w:val="fr-FR"/>
        </w:rPr>
        <w:t xml:space="preserve"> des nuances d</w:t>
      </w:r>
      <w:r w:rsidR="000969A6" w:rsidRPr="00B344B6">
        <w:rPr>
          <w:lang w:val="fr-FR"/>
        </w:rPr>
        <w:t>ans l</w:t>
      </w:r>
      <w:r w:rsidRPr="00B344B6">
        <w:rPr>
          <w:lang w:val="fr-FR"/>
        </w:rPr>
        <w:t>es indications des produits et services</w:t>
      </w:r>
      <w:r w:rsidR="000969A6" w:rsidRPr="00B344B6">
        <w:rPr>
          <w:lang w:val="fr-FR"/>
        </w:rPr>
        <w:t>,</w:t>
      </w:r>
      <w:r w:rsidRPr="00B344B6">
        <w:rPr>
          <w:lang w:val="fr-FR"/>
        </w:rPr>
        <w:t xml:space="preserve"> la </w:t>
      </w:r>
      <w:proofErr w:type="spellStart"/>
      <w:r w:rsidR="002E1465" w:rsidRPr="00B344B6">
        <w:rPr>
          <w:lang w:val="fr-FR"/>
        </w:rPr>
        <w:t>postédition</w:t>
      </w:r>
      <w:proofErr w:type="spellEnd"/>
      <w:r w:rsidRPr="00B344B6">
        <w:rPr>
          <w:lang w:val="fr-FR"/>
        </w:rPr>
        <w:t xml:space="preserve"> ou la traduction des nouveaux termes utilisés pour décrire des innovations dans un domaine particulier.</w:t>
      </w:r>
      <w:r w:rsidR="00B62EFE" w:rsidRPr="00B344B6">
        <w:rPr>
          <w:lang w:val="fr-FR"/>
        </w:rPr>
        <w:t xml:space="preserve">  </w:t>
      </w:r>
      <w:r w:rsidR="006F464A" w:rsidRPr="00B344B6">
        <w:rPr>
          <w:lang w:val="fr-FR"/>
        </w:rPr>
        <w:t>Toutefois, comme e</w:t>
      </w:r>
      <w:r w:rsidR="000969A6" w:rsidRPr="00B344B6">
        <w:rPr>
          <w:lang w:val="fr-FR"/>
        </w:rPr>
        <w:t>n attes</w:t>
      </w:r>
      <w:r w:rsidR="006F464A" w:rsidRPr="00B344B6">
        <w:rPr>
          <w:lang w:val="fr-FR"/>
        </w:rPr>
        <w:t xml:space="preserve">tent les mesures spéciales </w:t>
      </w:r>
      <w:r w:rsidR="00F31AC4" w:rsidRPr="00B344B6">
        <w:rPr>
          <w:lang w:val="fr-FR"/>
        </w:rPr>
        <w:t>susmentionnées prises</w:t>
      </w:r>
      <w:r w:rsidR="006F464A" w:rsidRPr="00B344B6">
        <w:rPr>
          <w:lang w:val="fr-FR"/>
        </w:rPr>
        <w:t xml:space="preserve"> par le Bureau international, les solutions informatiques mises en place sont en mesure </w:t>
      </w:r>
      <w:r w:rsidR="00C12CC8" w:rsidRPr="00B344B6">
        <w:rPr>
          <w:lang w:val="fr-FR"/>
        </w:rPr>
        <w:t>de générer des gain</w:t>
      </w:r>
      <w:r w:rsidR="00EB14E1" w:rsidRPr="00B344B6">
        <w:rPr>
          <w:lang w:val="fr-FR"/>
        </w:rPr>
        <w:t>s supplémentaires en matière de</w:t>
      </w:r>
      <w:r w:rsidR="00C12CC8" w:rsidRPr="00B344B6">
        <w:rPr>
          <w:lang w:val="fr-FR"/>
        </w:rPr>
        <w:t xml:space="preserve"> </w:t>
      </w:r>
      <w:r w:rsidR="006F464A" w:rsidRPr="00B344B6">
        <w:rPr>
          <w:lang w:val="fr-FR"/>
        </w:rPr>
        <w:t>traduction automatique.</w:t>
      </w:r>
    </w:p>
    <w:p w:rsidR="0085349E" w:rsidRDefault="00962692" w:rsidP="00997293">
      <w:pPr>
        <w:pStyle w:val="ONUMFS"/>
        <w:rPr>
          <w:lang w:val="fr-FR"/>
        </w:rPr>
      </w:pPr>
      <w:r w:rsidRPr="00B344B6">
        <w:rPr>
          <w:lang w:val="fr-FR"/>
        </w:rPr>
        <w:t xml:space="preserve">Si les résultats obtenus </w:t>
      </w:r>
      <w:r w:rsidR="00EB14E1" w:rsidRPr="00B344B6">
        <w:rPr>
          <w:lang w:val="fr-FR"/>
        </w:rPr>
        <w:t>dans le cadre</w:t>
      </w:r>
      <w:r w:rsidRPr="00B344B6">
        <w:rPr>
          <w:lang w:val="fr-FR"/>
        </w:rPr>
        <w:t xml:space="preserve"> de</w:t>
      </w:r>
      <w:r w:rsidR="00EB14E1" w:rsidRPr="00B344B6">
        <w:rPr>
          <w:lang w:val="fr-FR"/>
        </w:rPr>
        <w:t xml:space="preserve"> la</w:t>
      </w:r>
      <w:r w:rsidRPr="00B344B6">
        <w:rPr>
          <w:lang w:val="fr-FR"/>
        </w:rPr>
        <w:t xml:space="preserve"> traduction automatique sont encourageants, il convient de veiller en permanence à ce que le</w:t>
      </w:r>
      <w:r w:rsidR="00EB14E1" w:rsidRPr="00B344B6">
        <w:rPr>
          <w:lang w:val="fr-FR"/>
        </w:rPr>
        <w:t>s gains générés par les</w:t>
      </w:r>
      <w:r w:rsidRPr="00B344B6">
        <w:rPr>
          <w:lang w:val="fr-FR"/>
        </w:rPr>
        <w:t xml:space="preserve"> solutions technologiques mises en place reste</w:t>
      </w:r>
      <w:r w:rsidR="00EB14E1" w:rsidRPr="00B344B6">
        <w:rPr>
          <w:lang w:val="fr-FR"/>
        </w:rPr>
        <w:t>nt</w:t>
      </w:r>
      <w:r w:rsidRPr="00B344B6">
        <w:rPr>
          <w:lang w:val="fr-FR"/>
        </w:rPr>
        <w:t xml:space="preserve"> stable</w:t>
      </w:r>
      <w:r w:rsidR="00EB14E1" w:rsidRPr="00B344B6">
        <w:rPr>
          <w:lang w:val="fr-FR"/>
        </w:rPr>
        <w:t>s</w:t>
      </w:r>
      <w:r w:rsidRPr="00B344B6">
        <w:rPr>
          <w:lang w:val="fr-FR"/>
        </w:rPr>
        <w:t xml:space="preserve"> et </w:t>
      </w:r>
      <w:r w:rsidR="0078723A" w:rsidRPr="00B344B6">
        <w:rPr>
          <w:lang w:val="fr-FR"/>
        </w:rPr>
        <w:t>de</w:t>
      </w:r>
      <w:r w:rsidRPr="00B344B6">
        <w:rPr>
          <w:lang w:val="fr-FR"/>
        </w:rPr>
        <w:t xml:space="preserve"> continuer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accroître le niveau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automatisation déjà atteint.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Les ressources humaines demeurent indispensables pour maintenir et assurer le niveau de qualité des traductions fournies.</w:t>
      </w:r>
      <w:r w:rsidR="0085349E">
        <w:rPr>
          <w:lang w:val="fr-FR"/>
        </w:rPr>
        <w:br w:type="page"/>
      </w:r>
    </w:p>
    <w:p w:rsidR="009A6927" w:rsidRPr="00B344B6" w:rsidRDefault="00962692" w:rsidP="00997293">
      <w:pPr>
        <w:pStyle w:val="ONUMFS"/>
        <w:rPr>
          <w:lang w:val="fr-FR"/>
        </w:rPr>
      </w:pPr>
      <w:r w:rsidRPr="00B344B6">
        <w:rPr>
          <w:lang w:val="fr-FR"/>
        </w:rPr>
        <w:t xml:space="preserve">Compte tenu de ce qui précède, le Bureau international serait maintenant à même de traduire automatiquement la liste des produits et services </w:t>
      </w:r>
      <w:r w:rsidR="0078723A" w:rsidRPr="00B344B6">
        <w:rPr>
          <w:lang w:val="fr-FR"/>
        </w:rPr>
        <w:t xml:space="preserve">figurant </w:t>
      </w:r>
      <w:r w:rsidRPr="00B344B6">
        <w:rPr>
          <w:lang w:val="fr-FR"/>
        </w:rPr>
        <w:t>dans les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envoyées en vertu de la règle</w:t>
      </w:r>
      <w:r w:rsidR="00175829" w:rsidRPr="00B344B6">
        <w:rPr>
          <w:lang w:val="fr-FR"/>
        </w:rPr>
        <w:t> </w:t>
      </w:r>
      <w:r w:rsidRPr="00B344B6">
        <w:rPr>
          <w:lang w:val="fr-FR"/>
        </w:rPr>
        <w:t>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 xml:space="preserve">.2)ii) du </w:t>
      </w:r>
      <w:r w:rsidR="00175829" w:rsidRPr="00B344B6">
        <w:rPr>
          <w:lang w:val="fr-FR"/>
        </w:rPr>
        <w:t>règle</w:t>
      </w:r>
      <w:r w:rsidRPr="00B344B6">
        <w:rPr>
          <w:lang w:val="fr-FR"/>
        </w:rPr>
        <w:t>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commun, à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aide des solutions technologiques mises en </w:t>
      </w:r>
      <w:r w:rsidR="0078723A" w:rsidRPr="00B344B6">
        <w:rPr>
          <w:lang w:val="fr-FR"/>
        </w:rPr>
        <w:t xml:space="preserve">œuvre </w:t>
      </w:r>
      <w:r w:rsidRPr="00B344B6">
        <w:rPr>
          <w:lang w:val="fr-FR"/>
        </w:rPr>
        <w:t xml:space="preserve">(WS et TAPTA4MARKS), la </w:t>
      </w:r>
      <w:proofErr w:type="spellStart"/>
      <w:r w:rsidR="002E1465" w:rsidRPr="00B344B6">
        <w:rPr>
          <w:lang w:val="fr-FR"/>
        </w:rPr>
        <w:t>postédition</w:t>
      </w:r>
      <w:proofErr w:type="spellEnd"/>
      <w:r w:rsidRPr="00B344B6">
        <w:rPr>
          <w:lang w:val="fr-FR"/>
        </w:rPr>
        <w:t xml:space="preserve"> étant limitée aux traductions dans la langue de communication du titulaire, un processus qui est déjà </w:t>
      </w:r>
      <w:r w:rsidR="0078723A" w:rsidRPr="00B344B6">
        <w:rPr>
          <w:lang w:val="fr-FR"/>
        </w:rPr>
        <w:t>intégré</w:t>
      </w:r>
      <w:r w:rsidRPr="00B344B6">
        <w:rPr>
          <w:lang w:val="fr-FR"/>
        </w:rPr>
        <w:t xml:space="preserve"> dans la pratique actuelle.</w:t>
      </w:r>
    </w:p>
    <w:p w:rsidR="009A6927" w:rsidRPr="00B344B6" w:rsidRDefault="00962692" w:rsidP="00997293">
      <w:pPr>
        <w:pStyle w:val="ONUMFS"/>
        <w:rPr>
          <w:lang w:val="fr-FR"/>
        </w:rPr>
      </w:pPr>
      <w:r w:rsidRPr="00B344B6">
        <w:rPr>
          <w:lang w:val="fr-FR"/>
        </w:rPr>
        <w:t>De même, le Bureau international serait également en mesure de traduir</w:t>
      </w:r>
      <w:r w:rsidR="0078723A" w:rsidRPr="00B344B6">
        <w:rPr>
          <w:lang w:val="fr-FR"/>
        </w:rPr>
        <w:t>e</w:t>
      </w:r>
      <w:r w:rsidRPr="00B344B6">
        <w:rPr>
          <w:lang w:val="fr-FR"/>
        </w:rPr>
        <w:t xml:space="preserve"> la liste des produits et services </w:t>
      </w:r>
      <w:r w:rsidR="0078723A" w:rsidRPr="00B344B6">
        <w:rPr>
          <w:lang w:val="fr-FR"/>
        </w:rPr>
        <w:t>figurant</w:t>
      </w:r>
      <w:r w:rsidRPr="00B344B6">
        <w:rPr>
          <w:lang w:val="fr-FR"/>
        </w:rPr>
        <w:t xml:space="preserve"> dans les limitations dans une langue autre que la langue de communication du titulaire ou de l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office concerné.</w:t>
      </w:r>
      <w:r w:rsidR="00DE1E0B" w:rsidRPr="00B344B6">
        <w:rPr>
          <w:lang w:val="fr-FR"/>
        </w:rPr>
        <w:t xml:space="preserve">  </w:t>
      </w:r>
      <w:r w:rsidR="00D74C26" w:rsidRPr="00B344B6">
        <w:rPr>
          <w:lang w:val="fr-FR"/>
        </w:rPr>
        <w:t xml:space="preserve">Les solutions de traduction mises en place par le Bureau international ayant réduit les traductions en souffrance et le temps de traitement global, la </w:t>
      </w:r>
      <w:r w:rsidR="006D73B0" w:rsidRPr="00B344B6">
        <w:rPr>
          <w:lang w:val="fr-FR"/>
        </w:rPr>
        <w:t>voi</w:t>
      </w:r>
      <w:r w:rsidR="00D74C26" w:rsidRPr="00B344B6">
        <w:rPr>
          <w:lang w:val="fr-FR"/>
        </w:rPr>
        <w:t xml:space="preserve">e </w:t>
      </w:r>
      <w:r w:rsidR="006D73B0" w:rsidRPr="00B344B6">
        <w:rPr>
          <w:lang w:val="fr-FR"/>
        </w:rPr>
        <w:t>qu</w:t>
      </w:r>
      <w:r w:rsidR="009A6927" w:rsidRPr="00B344B6">
        <w:rPr>
          <w:lang w:val="fr-FR"/>
        </w:rPr>
        <w:t>’</w:t>
      </w:r>
      <w:r w:rsidR="00D74C26" w:rsidRPr="00B344B6">
        <w:rPr>
          <w:lang w:val="fr-FR"/>
        </w:rPr>
        <w:t xml:space="preserve">il est proposé de suivre ne </w:t>
      </w:r>
      <w:r w:rsidR="00C12CC8" w:rsidRPr="00B344B6">
        <w:rPr>
          <w:lang w:val="fr-FR"/>
        </w:rPr>
        <w:t>serait pas préjudiciable aux</w:t>
      </w:r>
      <w:r w:rsidR="006D73B0" w:rsidRPr="00B344B6">
        <w:rPr>
          <w:lang w:val="fr-FR"/>
        </w:rPr>
        <w:t xml:space="preserve"> </w:t>
      </w:r>
      <w:r w:rsidR="00D74C26" w:rsidRPr="00B344B6">
        <w:rPr>
          <w:lang w:val="fr-FR"/>
        </w:rPr>
        <w:t xml:space="preserve">titulaires en accroissant le délai de traitement des inscriptions et notifications </w:t>
      </w:r>
      <w:r w:rsidR="00C12CC8" w:rsidRPr="00B344B6">
        <w:rPr>
          <w:lang w:val="fr-FR"/>
        </w:rPr>
        <w:t>relatives aux</w:t>
      </w:r>
      <w:r w:rsidR="00D74C26" w:rsidRPr="00B344B6">
        <w:rPr>
          <w:lang w:val="fr-FR"/>
        </w:rPr>
        <w:t xml:space="preserve"> limitations.</w:t>
      </w:r>
    </w:p>
    <w:p w:rsidR="009A6927" w:rsidRPr="00B344B6" w:rsidRDefault="00D74C26" w:rsidP="00997293">
      <w:pPr>
        <w:pStyle w:val="ONUMFS"/>
        <w:rPr>
          <w:lang w:val="fr-FR"/>
        </w:rPr>
      </w:pPr>
      <w:r w:rsidRPr="00B344B6">
        <w:rPr>
          <w:lang w:val="fr-FR"/>
        </w:rPr>
        <w:t xml:space="preserve">Suite à la mise en </w:t>
      </w:r>
      <w:r w:rsidR="006D73B0" w:rsidRPr="00B344B6">
        <w:rPr>
          <w:lang w:val="fr-FR"/>
        </w:rPr>
        <w:t xml:space="preserve">œuvre </w:t>
      </w:r>
      <w:r w:rsidRPr="00B344B6">
        <w:rPr>
          <w:lang w:val="fr-FR"/>
        </w:rPr>
        <w:t>des mesures proposées décrites ci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 xml:space="preserve">dessus, la pratique actuelle de traduction </w:t>
      </w:r>
      <w:r w:rsidR="006D73B0" w:rsidRPr="00B344B6">
        <w:rPr>
          <w:lang w:val="fr-FR"/>
        </w:rPr>
        <w:t>sur</w:t>
      </w:r>
      <w:r w:rsidRPr="00B344B6">
        <w:rPr>
          <w:lang w:val="fr-FR"/>
        </w:rPr>
        <w:t xml:space="preserve"> demande ne serait plus </w:t>
      </w:r>
      <w:r w:rsidR="006D73B0" w:rsidRPr="00B344B6">
        <w:rPr>
          <w:lang w:val="fr-FR"/>
        </w:rPr>
        <w:t>utile puisqu</w:t>
      </w:r>
      <w:r w:rsidRPr="00B344B6">
        <w:rPr>
          <w:lang w:val="fr-FR"/>
        </w:rPr>
        <w:t xml:space="preserve">e la liste des produits et services </w:t>
      </w:r>
      <w:r w:rsidR="006D73B0" w:rsidRPr="00B344B6">
        <w:rPr>
          <w:lang w:val="fr-FR"/>
        </w:rPr>
        <w:t xml:space="preserve">figurant </w:t>
      </w:r>
      <w:r w:rsidRPr="00B344B6">
        <w:rPr>
          <w:lang w:val="fr-FR"/>
        </w:rPr>
        <w:t>dans les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envoyées en vertu de la règle</w:t>
      </w:r>
      <w:r w:rsidR="00175829" w:rsidRPr="00B344B6">
        <w:rPr>
          <w:lang w:val="fr-FR"/>
        </w:rPr>
        <w:t> </w:t>
      </w:r>
      <w:r w:rsidRPr="00B344B6">
        <w:rPr>
          <w:lang w:val="fr-FR"/>
        </w:rPr>
        <w:t>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>.2</w:t>
      </w:r>
      <w:proofErr w:type="gramStart"/>
      <w:r w:rsidRPr="00B344B6">
        <w:rPr>
          <w:lang w:val="fr-FR"/>
        </w:rPr>
        <w:t>)ii</w:t>
      </w:r>
      <w:proofErr w:type="gramEnd"/>
      <w:r w:rsidRPr="00B344B6">
        <w:rPr>
          <w:lang w:val="fr-FR"/>
        </w:rPr>
        <w:t xml:space="preserve">) du </w:t>
      </w:r>
      <w:r w:rsidR="00175829" w:rsidRPr="00B344B6">
        <w:rPr>
          <w:lang w:val="fr-FR"/>
        </w:rPr>
        <w:t>règle</w:t>
      </w:r>
      <w:r w:rsidRPr="00B344B6">
        <w:rPr>
          <w:lang w:val="fr-FR"/>
        </w:rPr>
        <w:t>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 et dans les limitations serait traduite dans toutes les langues de travail du système de Madrid avant inscription, notification et publication</w:t>
      </w:r>
      <w:r w:rsidR="00DE1E0B" w:rsidRPr="00B344B6">
        <w:rPr>
          <w:lang w:val="fr-FR"/>
        </w:rPr>
        <w:t xml:space="preserve"> </w:t>
      </w:r>
      <w:r w:rsidR="00E073E3" w:rsidRPr="00B344B6">
        <w:rPr>
          <w:lang w:val="fr-FR"/>
        </w:rPr>
        <w:t>desdites déclarations</w:t>
      </w:r>
      <w:r w:rsidR="00E201EE" w:rsidRPr="00B344B6">
        <w:rPr>
          <w:lang w:val="fr-FR"/>
        </w:rPr>
        <w:t xml:space="preserve"> et limitations</w:t>
      </w:r>
      <w:r w:rsidR="00E073E3" w:rsidRPr="00B344B6">
        <w:rPr>
          <w:lang w:val="fr-FR"/>
        </w:rPr>
        <w:t>.</w:t>
      </w:r>
    </w:p>
    <w:p w:rsidR="009A6927" w:rsidRPr="00B344B6" w:rsidRDefault="00D74C26" w:rsidP="00997293">
      <w:pPr>
        <w:pStyle w:val="ONUMFS"/>
        <w:rPr>
          <w:lang w:val="fr-FR"/>
        </w:rPr>
      </w:pPr>
      <w:r w:rsidRPr="00B344B6">
        <w:rPr>
          <w:lang w:val="fr-FR"/>
        </w:rPr>
        <w:t xml:space="preserve">Afin de </w:t>
      </w:r>
      <w:r w:rsidR="006D73B0" w:rsidRPr="00B344B6">
        <w:rPr>
          <w:lang w:val="fr-FR"/>
        </w:rPr>
        <w:t>g</w:t>
      </w:r>
      <w:r w:rsidRPr="00B344B6">
        <w:rPr>
          <w:lang w:val="fr-FR"/>
        </w:rPr>
        <w:t>ar</w:t>
      </w:r>
      <w:r w:rsidR="006D73B0" w:rsidRPr="00B344B6">
        <w:rPr>
          <w:lang w:val="fr-FR"/>
        </w:rPr>
        <w:t>antir</w:t>
      </w:r>
      <w:r w:rsidRPr="00B344B6">
        <w:rPr>
          <w:lang w:val="fr-FR"/>
        </w:rPr>
        <w:t xml:space="preserve"> qu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il soit procédé à tous les ajustements technologiques nécessaires, il est proposé que le Bureau international applique les mesures </w:t>
      </w:r>
      <w:r w:rsidR="00E073E3" w:rsidRPr="00B344B6">
        <w:rPr>
          <w:lang w:val="fr-FR"/>
        </w:rPr>
        <w:t>propo</w:t>
      </w:r>
      <w:r w:rsidRPr="00B344B6">
        <w:rPr>
          <w:lang w:val="fr-FR"/>
        </w:rPr>
        <w:t xml:space="preserve">sées à la traduction de la liste des produits et services </w:t>
      </w:r>
      <w:r w:rsidR="00E073E3" w:rsidRPr="00B344B6">
        <w:rPr>
          <w:lang w:val="fr-FR"/>
        </w:rPr>
        <w:t xml:space="preserve">figurant </w:t>
      </w:r>
      <w:r w:rsidRPr="00B344B6">
        <w:rPr>
          <w:lang w:val="fr-FR"/>
        </w:rPr>
        <w:t>dans les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envoyées en vertu de la règle</w:t>
      </w:r>
      <w:r w:rsidR="00175829" w:rsidRPr="00B344B6">
        <w:rPr>
          <w:lang w:val="fr-FR"/>
        </w:rPr>
        <w:t> </w:t>
      </w:r>
      <w:r w:rsidRPr="00B344B6">
        <w:rPr>
          <w:lang w:val="fr-FR"/>
        </w:rPr>
        <w:t>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 xml:space="preserve">.2)ii) du </w:t>
      </w:r>
      <w:r w:rsidR="00175829" w:rsidRPr="00B344B6">
        <w:rPr>
          <w:lang w:val="fr-FR"/>
        </w:rPr>
        <w:t>règle</w:t>
      </w:r>
      <w:r w:rsidRPr="00B344B6">
        <w:rPr>
          <w:lang w:val="fr-FR"/>
        </w:rPr>
        <w:t>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exécution commun et dans les limitations reçues à compter du </w:t>
      </w:r>
      <w:r w:rsidR="009A6927" w:rsidRPr="00B344B6">
        <w:rPr>
          <w:lang w:val="fr-FR"/>
        </w:rPr>
        <w:t>1</w:t>
      </w:r>
      <w:r w:rsidR="009A6927" w:rsidRPr="00B344B6">
        <w:rPr>
          <w:vertAlign w:val="superscript"/>
          <w:lang w:val="fr-FR"/>
        </w:rPr>
        <w:t>er</w:t>
      </w:r>
      <w:r w:rsidR="000D5A9A" w:rsidRPr="00B344B6">
        <w:rPr>
          <w:lang w:val="fr-FR"/>
        </w:rPr>
        <w:t> </w:t>
      </w:r>
      <w:r w:rsidR="00E073E3" w:rsidRPr="00B344B6">
        <w:rPr>
          <w:lang w:val="fr-FR"/>
        </w:rPr>
        <w:t>a</w:t>
      </w:r>
      <w:r w:rsidRPr="00B344B6">
        <w:rPr>
          <w:lang w:val="fr-FR"/>
        </w:rPr>
        <w:t>vri</w:t>
      </w:r>
      <w:r w:rsidR="00E073E3" w:rsidRPr="00B344B6">
        <w:rPr>
          <w:lang w:val="fr-FR"/>
        </w:rPr>
        <w:t>l</w:t>
      </w:r>
      <w:r w:rsidRPr="00B344B6">
        <w:rPr>
          <w:lang w:val="fr-FR"/>
        </w:rPr>
        <w:t> 2016.</w:t>
      </w:r>
    </w:p>
    <w:p w:rsidR="009A6927" w:rsidRPr="00B344B6" w:rsidRDefault="0037685D" w:rsidP="00997293">
      <w:pPr>
        <w:pStyle w:val="ONUMFS"/>
        <w:rPr>
          <w:lang w:val="fr-FR"/>
        </w:rPr>
      </w:pPr>
      <w:r w:rsidRPr="00B344B6">
        <w:rPr>
          <w:lang w:val="fr-FR"/>
        </w:rPr>
        <w:t>Enfin, selon la pratique actuelle, entre 2012 et 2014, le Bureau international n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 xml:space="preserve">a pas eu à traduire les 26 millions de mots contenus dans les listes des produits et services </w:t>
      </w:r>
      <w:r w:rsidR="00E073E3" w:rsidRPr="00B344B6">
        <w:rPr>
          <w:lang w:val="fr-FR"/>
        </w:rPr>
        <w:t>figurant dans le</w:t>
      </w:r>
      <w:r w:rsidRPr="00B344B6">
        <w:rPr>
          <w:lang w:val="fr-FR"/>
        </w:rPr>
        <w:t>s déclarations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octroi de la protection envoyées en vertu de la règle</w:t>
      </w:r>
      <w:r w:rsidR="00175829" w:rsidRPr="00B344B6">
        <w:rPr>
          <w:lang w:val="fr-FR"/>
        </w:rPr>
        <w:t> </w:t>
      </w:r>
      <w:r w:rsidRPr="00B344B6">
        <w:rPr>
          <w:lang w:val="fr-FR"/>
        </w:rPr>
        <w:t>18</w:t>
      </w:r>
      <w:r w:rsidRPr="00B344B6">
        <w:rPr>
          <w:i/>
          <w:lang w:val="fr-FR"/>
        </w:rPr>
        <w:t>ter</w:t>
      </w:r>
      <w:r w:rsidRPr="00B344B6">
        <w:rPr>
          <w:lang w:val="fr-FR"/>
        </w:rPr>
        <w:t xml:space="preserve">.2)ii) du </w:t>
      </w:r>
      <w:r w:rsidR="00175829" w:rsidRPr="00B344B6">
        <w:rPr>
          <w:lang w:val="fr-FR"/>
        </w:rPr>
        <w:t>règle</w:t>
      </w:r>
      <w:r w:rsidRPr="00B344B6">
        <w:rPr>
          <w:lang w:val="fr-FR"/>
        </w:rPr>
        <w:t>ment d</w:t>
      </w:r>
      <w:r w:rsidR="009A6927" w:rsidRPr="00B344B6">
        <w:rPr>
          <w:lang w:val="fr-FR"/>
        </w:rPr>
        <w:t>’</w:t>
      </w:r>
      <w:r w:rsidRPr="00B344B6">
        <w:rPr>
          <w:lang w:val="fr-FR"/>
        </w:rPr>
        <w:t>exécution commun et les trois millions de mots figurant dans la liste des produits et services d</w:t>
      </w:r>
      <w:r w:rsidR="00E073E3" w:rsidRPr="00B344B6">
        <w:rPr>
          <w:lang w:val="fr-FR"/>
        </w:rPr>
        <w:t>ans le cadre d</w:t>
      </w:r>
      <w:r w:rsidRPr="00B344B6">
        <w:rPr>
          <w:lang w:val="fr-FR"/>
        </w:rPr>
        <w:t>es limitations.</w:t>
      </w:r>
      <w:r w:rsidR="00DE1E0B" w:rsidRPr="00B344B6">
        <w:rPr>
          <w:lang w:val="fr-FR"/>
        </w:rPr>
        <w:t xml:space="preserve">  </w:t>
      </w:r>
      <w:r w:rsidRPr="00B344B6">
        <w:rPr>
          <w:lang w:val="fr-FR"/>
        </w:rPr>
        <w:t>Des mesures particulières, similaires à celles décrites dans les paragraphes 26 à 28 ci</w:t>
      </w:r>
      <w:r w:rsidR="002E1465" w:rsidRPr="00B344B6">
        <w:rPr>
          <w:lang w:val="fr-FR"/>
        </w:rPr>
        <w:noBreakHyphen/>
      </w:r>
      <w:r w:rsidRPr="00B344B6">
        <w:rPr>
          <w:lang w:val="fr-FR"/>
        </w:rPr>
        <w:t>dessus, pourraient être prises pour les documents reçus avant le 1</w:t>
      </w:r>
      <w:r w:rsidRPr="00B344B6">
        <w:rPr>
          <w:vertAlign w:val="superscript"/>
          <w:lang w:val="fr-FR"/>
        </w:rPr>
        <w:t>er</w:t>
      </w:r>
      <w:r w:rsidRPr="00B344B6">
        <w:rPr>
          <w:lang w:val="fr-FR"/>
        </w:rPr>
        <w:t> avril 2016.</w:t>
      </w:r>
    </w:p>
    <w:p w:rsidR="009A6927" w:rsidRPr="00B344B6" w:rsidRDefault="0037685D" w:rsidP="000D5A9A">
      <w:pPr>
        <w:pStyle w:val="ONUMFS"/>
        <w:ind w:left="5533"/>
        <w:rPr>
          <w:i/>
          <w:lang w:val="fr-FR"/>
        </w:rPr>
      </w:pPr>
      <w:r w:rsidRPr="00B344B6">
        <w:rPr>
          <w:i/>
          <w:lang w:val="fr-FR"/>
        </w:rPr>
        <w:t xml:space="preserve">Le groupe de travail est invité </w:t>
      </w:r>
    </w:p>
    <w:p w:rsidR="0011695A" w:rsidRPr="00B344B6" w:rsidRDefault="00F31186" w:rsidP="000D5A9A">
      <w:pPr>
        <w:pStyle w:val="ONUMFS"/>
        <w:numPr>
          <w:ilvl w:val="2"/>
          <w:numId w:val="6"/>
        </w:numPr>
        <w:ind w:left="5529" w:firstLine="708"/>
        <w:rPr>
          <w:i/>
          <w:lang w:val="fr-FR"/>
        </w:rPr>
      </w:pPr>
      <w:r w:rsidRPr="00B344B6">
        <w:rPr>
          <w:i/>
          <w:lang w:val="fr-FR"/>
        </w:rPr>
        <w:t xml:space="preserve">à </w:t>
      </w:r>
      <w:r w:rsidR="0037685D" w:rsidRPr="00B344B6">
        <w:rPr>
          <w:i/>
          <w:lang w:val="fr-FR"/>
        </w:rPr>
        <w:t>examiner les informations fourn</w:t>
      </w:r>
      <w:r w:rsidRPr="00B344B6">
        <w:rPr>
          <w:i/>
          <w:lang w:val="fr-FR"/>
        </w:rPr>
        <w:t>ies dans le présent document, et</w:t>
      </w:r>
    </w:p>
    <w:p w:rsidR="009A6927" w:rsidRPr="00B344B6" w:rsidRDefault="00F31186" w:rsidP="000D5A9A">
      <w:pPr>
        <w:pStyle w:val="ONUMFS"/>
        <w:numPr>
          <w:ilvl w:val="2"/>
          <w:numId w:val="6"/>
        </w:numPr>
        <w:ind w:left="5529" w:firstLine="708"/>
        <w:rPr>
          <w:i/>
          <w:lang w:val="fr-FR"/>
        </w:rPr>
      </w:pPr>
      <w:r w:rsidRPr="00B344B6">
        <w:rPr>
          <w:i/>
          <w:lang w:val="fr-FR"/>
        </w:rPr>
        <w:t xml:space="preserve">à </w:t>
      </w:r>
      <w:r w:rsidR="0037685D" w:rsidRPr="00B344B6">
        <w:rPr>
          <w:i/>
          <w:lang w:val="fr-FR"/>
        </w:rPr>
        <w:t>indiquer s</w:t>
      </w:r>
      <w:r w:rsidR="009A6927" w:rsidRPr="00B344B6">
        <w:rPr>
          <w:i/>
          <w:lang w:val="fr-FR"/>
        </w:rPr>
        <w:t>’</w:t>
      </w:r>
      <w:r w:rsidR="0037685D" w:rsidRPr="00B344B6">
        <w:rPr>
          <w:i/>
          <w:lang w:val="fr-FR"/>
        </w:rPr>
        <w:t>il approuve les mesures proposées aux paragraphes</w:t>
      </w:r>
      <w:r w:rsidR="00175829" w:rsidRPr="00B344B6">
        <w:rPr>
          <w:i/>
          <w:lang w:val="fr-FR"/>
        </w:rPr>
        <w:t> </w:t>
      </w:r>
      <w:r w:rsidR="0037685D" w:rsidRPr="00B344B6">
        <w:rPr>
          <w:i/>
          <w:lang w:val="fr-FR"/>
        </w:rPr>
        <w:t>33 à</w:t>
      </w:r>
      <w:r w:rsidR="003D4702" w:rsidRPr="00B344B6">
        <w:rPr>
          <w:i/>
          <w:lang w:val="fr-FR"/>
        </w:rPr>
        <w:t> </w:t>
      </w:r>
      <w:r w:rsidR="0037685D" w:rsidRPr="00B344B6">
        <w:rPr>
          <w:i/>
          <w:lang w:val="fr-FR"/>
        </w:rPr>
        <w:t>37.</w:t>
      </w:r>
    </w:p>
    <w:p w:rsidR="0011695A" w:rsidRPr="00B344B6" w:rsidRDefault="0011695A" w:rsidP="000D5A9A">
      <w:pPr>
        <w:pStyle w:val="Endofdocument-Annex"/>
        <w:rPr>
          <w:lang w:val="fr-FR"/>
        </w:rPr>
      </w:pPr>
    </w:p>
    <w:p w:rsidR="0011695A" w:rsidRPr="00B344B6" w:rsidRDefault="0011695A" w:rsidP="000D5A9A">
      <w:pPr>
        <w:pStyle w:val="Endofdocument-Annex"/>
        <w:rPr>
          <w:lang w:val="fr-FR"/>
        </w:rPr>
      </w:pPr>
    </w:p>
    <w:p w:rsidR="0011695A" w:rsidRPr="00B344B6" w:rsidRDefault="0037685D" w:rsidP="000D5A9A">
      <w:pPr>
        <w:pStyle w:val="Endofdocument-Annex"/>
        <w:rPr>
          <w:lang w:val="fr-FR"/>
        </w:rPr>
      </w:pPr>
      <w:r w:rsidRPr="00B344B6">
        <w:rPr>
          <w:lang w:val="fr-FR"/>
        </w:rPr>
        <w:t>[Fin du document]</w:t>
      </w:r>
    </w:p>
    <w:p w:rsidR="0011695A" w:rsidRPr="00B344B6" w:rsidRDefault="0011695A" w:rsidP="00997293">
      <w:pPr>
        <w:pStyle w:val="Endofdocument-Annex"/>
        <w:rPr>
          <w:lang w:val="fr-FR"/>
        </w:rPr>
      </w:pPr>
    </w:p>
    <w:sectPr w:rsidR="0011695A" w:rsidRPr="00B344B6" w:rsidSect="00142D41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41" w:rsidRDefault="00142D41">
      <w:r>
        <w:separator/>
      </w:r>
    </w:p>
  </w:endnote>
  <w:endnote w:type="continuationSeparator" w:id="0">
    <w:p w:rsidR="00142D41" w:rsidRDefault="00142D41" w:rsidP="003B38C1">
      <w:r>
        <w:separator/>
      </w:r>
    </w:p>
    <w:p w:rsidR="00142D41" w:rsidRPr="003B38C1" w:rsidRDefault="00142D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2D41" w:rsidRPr="003B38C1" w:rsidRDefault="00142D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41" w:rsidRDefault="00142D41">
      <w:r>
        <w:separator/>
      </w:r>
    </w:p>
  </w:footnote>
  <w:footnote w:type="continuationSeparator" w:id="0">
    <w:p w:rsidR="00142D41" w:rsidRDefault="00142D41" w:rsidP="008B60B2">
      <w:r>
        <w:separator/>
      </w:r>
    </w:p>
    <w:p w:rsidR="00142D41" w:rsidRPr="00ED77FB" w:rsidRDefault="00142D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2D41" w:rsidRPr="00ED77FB" w:rsidRDefault="00142D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42D41" w:rsidRPr="00EA6BA9" w:rsidRDefault="00142D41" w:rsidP="00EA6BA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A6BA9">
        <w:rPr>
          <w:lang w:val="fr-CH"/>
        </w:rPr>
        <w:t xml:space="preserve"> </w:t>
      </w:r>
      <w:r w:rsidRPr="00EA6BA9">
        <w:rPr>
          <w:lang w:val="fr-CH"/>
        </w:rPr>
        <w:tab/>
      </w:r>
      <w:r w:rsidRPr="00EA6BA9">
        <w:rPr>
          <w:color w:val="000000"/>
          <w:lang w:val="fr-CH"/>
        </w:rPr>
        <w:t>Voir les paragraphes</w:t>
      </w:r>
      <w:r>
        <w:rPr>
          <w:color w:val="000000"/>
          <w:lang w:val="fr-CH"/>
        </w:rPr>
        <w:t> </w:t>
      </w:r>
      <w:r w:rsidRPr="00EA6BA9">
        <w:rPr>
          <w:color w:val="000000"/>
          <w:lang w:val="fr-CH"/>
        </w:rPr>
        <w:t>21 à</w:t>
      </w:r>
      <w:r>
        <w:rPr>
          <w:color w:val="000000"/>
          <w:lang w:val="fr-CH"/>
        </w:rPr>
        <w:t> </w:t>
      </w:r>
      <w:r w:rsidRPr="00EA6BA9">
        <w:rPr>
          <w:color w:val="000000"/>
          <w:lang w:val="fr-CH"/>
        </w:rPr>
        <w:t xml:space="preserve">24 </w:t>
      </w:r>
      <w:r w:rsidRPr="00124B79">
        <w:rPr>
          <w:lang w:val="fr-CH"/>
        </w:rPr>
        <w:t>du document</w:t>
      </w:r>
      <w:r>
        <w:rPr>
          <w:lang w:val="fr-CH"/>
        </w:rPr>
        <w:t> </w:t>
      </w:r>
      <w:r w:rsidRPr="00124B79">
        <w:rPr>
          <w:lang w:val="fr-CH"/>
        </w:rPr>
        <w:t>MM/</w:t>
      </w:r>
      <w:r w:rsidRPr="00EA6BA9">
        <w:rPr>
          <w:color w:val="000000"/>
          <w:lang w:val="fr-CH"/>
        </w:rPr>
        <w:t>A/45/5.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41" w:rsidRPr="00CB7A5E" w:rsidRDefault="00142D41" w:rsidP="0037685D">
    <w:pPr>
      <w:jc w:val="right"/>
    </w:pPr>
    <w:r w:rsidRPr="00CB7A5E">
      <w:t>MM/LD/WG/13/5</w:t>
    </w:r>
  </w:p>
  <w:p w:rsidR="00142D41" w:rsidRPr="00CB7A5E" w:rsidRDefault="00142D41" w:rsidP="0037685D">
    <w:pPr>
      <w:jc w:val="right"/>
    </w:pPr>
    <w:proofErr w:type="gramStart"/>
    <w:r>
      <w:t>p</w:t>
    </w:r>
    <w:r w:rsidRPr="00CB7A5E">
      <w:t>age</w:t>
    </w:r>
    <w:proofErr w:type="gramEnd"/>
    <w:r w:rsidRPr="00CB7A5E">
      <w:t xml:space="preserve"> </w:t>
    </w:r>
    <w:r w:rsidRPr="00CB7A5E">
      <w:fldChar w:fldCharType="begin"/>
    </w:r>
    <w:r w:rsidRPr="00CB7A5E">
      <w:instrText xml:space="preserve"> PAGE  \* MERGEFORMAT </w:instrText>
    </w:r>
    <w:r w:rsidRPr="00CB7A5E">
      <w:fldChar w:fldCharType="separate"/>
    </w:r>
    <w:r w:rsidR="000C69E9">
      <w:rPr>
        <w:noProof/>
      </w:rPr>
      <w:t>6</w:t>
    </w:r>
    <w:r w:rsidRPr="00CB7A5E">
      <w:fldChar w:fldCharType="end"/>
    </w:r>
  </w:p>
  <w:p w:rsidR="00142D41" w:rsidRDefault="00142D4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Glossaries\EN-FR|TextBase TMs\Treaties\WIPO-administered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eaties\Model Laws|TextBase TMs\Treaties\Other Laws and Agreements|Team Server TMs\Default|TextBase TMs\Trademarks\Meetings|TextBase TMs\Trademarks\Other|TextBase TMs\Trademarks\Publications"/>
    <w:docVar w:name="TextBaseURL" w:val="empty"/>
    <w:docVar w:name="UILng" w:val="en"/>
  </w:docVars>
  <w:rsids>
    <w:rsidRoot w:val="000C3895"/>
    <w:rsid w:val="00015D4C"/>
    <w:rsid w:val="000163C0"/>
    <w:rsid w:val="0002397C"/>
    <w:rsid w:val="00024C55"/>
    <w:rsid w:val="00043CAA"/>
    <w:rsid w:val="000616DD"/>
    <w:rsid w:val="00065296"/>
    <w:rsid w:val="000712D2"/>
    <w:rsid w:val="00075432"/>
    <w:rsid w:val="000968ED"/>
    <w:rsid w:val="000969A6"/>
    <w:rsid w:val="000B1C3E"/>
    <w:rsid w:val="000B677B"/>
    <w:rsid w:val="000C0E9D"/>
    <w:rsid w:val="000C3895"/>
    <w:rsid w:val="000C69E9"/>
    <w:rsid w:val="000D5A9A"/>
    <w:rsid w:val="000D5EFC"/>
    <w:rsid w:val="000F03F1"/>
    <w:rsid w:val="000F5E56"/>
    <w:rsid w:val="001024E9"/>
    <w:rsid w:val="001064AF"/>
    <w:rsid w:val="001068DB"/>
    <w:rsid w:val="0011695A"/>
    <w:rsid w:val="00122D2C"/>
    <w:rsid w:val="00124B79"/>
    <w:rsid w:val="001264AE"/>
    <w:rsid w:val="001362EE"/>
    <w:rsid w:val="00142D41"/>
    <w:rsid w:val="00145C7B"/>
    <w:rsid w:val="00156A46"/>
    <w:rsid w:val="00170F61"/>
    <w:rsid w:val="00174CBB"/>
    <w:rsid w:val="00175829"/>
    <w:rsid w:val="00180226"/>
    <w:rsid w:val="00180B57"/>
    <w:rsid w:val="001832A6"/>
    <w:rsid w:val="00190B70"/>
    <w:rsid w:val="00193B79"/>
    <w:rsid w:val="001A29EF"/>
    <w:rsid w:val="001E60ED"/>
    <w:rsid w:val="002076C0"/>
    <w:rsid w:val="00215BAC"/>
    <w:rsid w:val="00227A1E"/>
    <w:rsid w:val="00230ED5"/>
    <w:rsid w:val="00232E14"/>
    <w:rsid w:val="00243B94"/>
    <w:rsid w:val="0024626D"/>
    <w:rsid w:val="002602E3"/>
    <w:rsid w:val="002634C4"/>
    <w:rsid w:val="00276F0B"/>
    <w:rsid w:val="0028752D"/>
    <w:rsid w:val="002928D3"/>
    <w:rsid w:val="002B7F48"/>
    <w:rsid w:val="002D08F3"/>
    <w:rsid w:val="002E1465"/>
    <w:rsid w:val="002F1FE6"/>
    <w:rsid w:val="002F4E68"/>
    <w:rsid w:val="00312F7F"/>
    <w:rsid w:val="00325545"/>
    <w:rsid w:val="00343007"/>
    <w:rsid w:val="00361450"/>
    <w:rsid w:val="00362324"/>
    <w:rsid w:val="003673CF"/>
    <w:rsid w:val="00371A40"/>
    <w:rsid w:val="0037685D"/>
    <w:rsid w:val="003845C1"/>
    <w:rsid w:val="00390A4D"/>
    <w:rsid w:val="00391103"/>
    <w:rsid w:val="0039706F"/>
    <w:rsid w:val="003A0A7B"/>
    <w:rsid w:val="003A63B8"/>
    <w:rsid w:val="003A6F89"/>
    <w:rsid w:val="003A78A4"/>
    <w:rsid w:val="003B35DE"/>
    <w:rsid w:val="003B38C1"/>
    <w:rsid w:val="003C5432"/>
    <w:rsid w:val="003D4702"/>
    <w:rsid w:val="003E2CED"/>
    <w:rsid w:val="0040026D"/>
    <w:rsid w:val="00411E81"/>
    <w:rsid w:val="004229AE"/>
    <w:rsid w:val="00423E3E"/>
    <w:rsid w:val="00427AF4"/>
    <w:rsid w:val="004329F1"/>
    <w:rsid w:val="00435D0F"/>
    <w:rsid w:val="00442E5D"/>
    <w:rsid w:val="00445AA7"/>
    <w:rsid w:val="00464321"/>
    <w:rsid w:val="004647DA"/>
    <w:rsid w:val="00474062"/>
    <w:rsid w:val="00475A89"/>
    <w:rsid w:val="00477D6B"/>
    <w:rsid w:val="004C4A36"/>
    <w:rsid w:val="004C4E5E"/>
    <w:rsid w:val="004D7869"/>
    <w:rsid w:val="004E2086"/>
    <w:rsid w:val="004F6535"/>
    <w:rsid w:val="005004EA"/>
    <w:rsid w:val="005019FF"/>
    <w:rsid w:val="0051077F"/>
    <w:rsid w:val="005242AE"/>
    <w:rsid w:val="00524BFD"/>
    <w:rsid w:val="0053057A"/>
    <w:rsid w:val="00545577"/>
    <w:rsid w:val="00560A29"/>
    <w:rsid w:val="005A142B"/>
    <w:rsid w:val="005A30C9"/>
    <w:rsid w:val="005B05D8"/>
    <w:rsid w:val="005B6B85"/>
    <w:rsid w:val="005C2E38"/>
    <w:rsid w:val="005C6649"/>
    <w:rsid w:val="005C7B38"/>
    <w:rsid w:val="005E6719"/>
    <w:rsid w:val="006041E7"/>
    <w:rsid w:val="00605827"/>
    <w:rsid w:val="00646050"/>
    <w:rsid w:val="00653500"/>
    <w:rsid w:val="00664013"/>
    <w:rsid w:val="006713CA"/>
    <w:rsid w:val="00676C5C"/>
    <w:rsid w:val="00681884"/>
    <w:rsid w:val="006A704F"/>
    <w:rsid w:val="006D3EEF"/>
    <w:rsid w:val="006D5CA6"/>
    <w:rsid w:val="006D73B0"/>
    <w:rsid w:val="006E2C3B"/>
    <w:rsid w:val="006E54F1"/>
    <w:rsid w:val="006F0164"/>
    <w:rsid w:val="006F464A"/>
    <w:rsid w:val="007035DD"/>
    <w:rsid w:val="00706BE5"/>
    <w:rsid w:val="0071167B"/>
    <w:rsid w:val="00721229"/>
    <w:rsid w:val="007275F8"/>
    <w:rsid w:val="00743D2F"/>
    <w:rsid w:val="0075496F"/>
    <w:rsid w:val="00756AE9"/>
    <w:rsid w:val="00767B9B"/>
    <w:rsid w:val="007827C4"/>
    <w:rsid w:val="0078723A"/>
    <w:rsid w:val="00787E57"/>
    <w:rsid w:val="00792C93"/>
    <w:rsid w:val="007B31C6"/>
    <w:rsid w:val="007C32E6"/>
    <w:rsid w:val="007C35DD"/>
    <w:rsid w:val="007C38FF"/>
    <w:rsid w:val="007D1613"/>
    <w:rsid w:val="007D1B67"/>
    <w:rsid w:val="007D7406"/>
    <w:rsid w:val="00801B52"/>
    <w:rsid w:val="008034E6"/>
    <w:rsid w:val="0081234C"/>
    <w:rsid w:val="00817F28"/>
    <w:rsid w:val="0085349E"/>
    <w:rsid w:val="008556F1"/>
    <w:rsid w:val="00860EA0"/>
    <w:rsid w:val="0089366F"/>
    <w:rsid w:val="008B2CC1"/>
    <w:rsid w:val="008B60B2"/>
    <w:rsid w:val="008C0A15"/>
    <w:rsid w:val="008D0B39"/>
    <w:rsid w:val="008F2F55"/>
    <w:rsid w:val="008F563D"/>
    <w:rsid w:val="0090731E"/>
    <w:rsid w:val="00907FB4"/>
    <w:rsid w:val="00916E14"/>
    <w:rsid w:val="00916EE2"/>
    <w:rsid w:val="00923A92"/>
    <w:rsid w:val="00950492"/>
    <w:rsid w:val="009567E6"/>
    <w:rsid w:val="00962692"/>
    <w:rsid w:val="00966A22"/>
    <w:rsid w:val="0096722F"/>
    <w:rsid w:val="00980843"/>
    <w:rsid w:val="0099321A"/>
    <w:rsid w:val="00997293"/>
    <w:rsid w:val="009A6927"/>
    <w:rsid w:val="009A6CDD"/>
    <w:rsid w:val="009A7B9A"/>
    <w:rsid w:val="009B1E2E"/>
    <w:rsid w:val="009B4783"/>
    <w:rsid w:val="009B6AAB"/>
    <w:rsid w:val="009C65A2"/>
    <w:rsid w:val="009D6DBC"/>
    <w:rsid w:val="009E2791"/>
    <w:rsid w:val="009E3F6F"/>
    <w:rsid w:val="009F499F"/>
    <w:rsid w:val="00A252F2"/>
    <w:rsid w:val="00A35243"/>
    <w:rsid w:val="00A42DAF"/>
    <w:rsid w:val="00A45BD8"/>
    <w:rsid w:val="00A463FE"/>
    <w:rsid w:val="00A54015"/>
    <w:rsid w:val="00A61D6D"/>
    <w:rsid w:val="00A869B7"/>
    <w:rsid w:val="00A9139E"/>
    <w:rsid w:val="00AA47A4"/>
    <w:rsid w:val="00AB412F"/>
    <w:rsid w:val="00AB6B7C"/>
    <w:rsid w:val="00AC205C"/>
    <w:rsid w:val="00AC774C"/>
    <w:rsid w:val="00AE230F"/>
    <w:rsid w:val="00AF0A6B"/>
    <w:rsid w:val="00B0492D"/>
    <w:rsid w:val="00B05A69"/>
    <w:rsid w:val="00B344B6"/>
    <w:rsid w:val="00B62EFE"/>
    <w:rsid w:val="00B7115A"/>
    <w:rsid w:val="00B71C4B"/>
    <w:rsid w:val="00B8384B"/>
    <w:rsid w:val="00B9734B"/>
    <w:rsid w:val="00B978AF"/>
    <w:rsid w:val="00BE0E71"/>
    <w:rsid w:val="00C03030"/>
    <w:rsid w:val="00C055C3"/>
    <w:rsid w:val="00C059C4"/>
    <w:rsid w:val="00C11BFE"/>
    <w:rsid w:val="00C12CC8"/>
    <w:rsid w:val="00C500D6"/>
    <w:rsid w:val="00C64946"/>
    <w:rsid w:val="00C67568"/>
    <w:rsid w:val="00C978F3"/>
    <w:rsid w:val="00CB0783"/>
    <w:rsid w:val="00CB5A7F"/>
    <w:rsid w:val="00CB7A5E"/>
    <w:rsid w:val="00CE0BA6"/>
    <w:rsid w:val="00CF0D3B"/>
    <w:rsid w:val="00D14C35"/>
    <w:rsid w:val="00D1792B"/>
    <w:rsid w:val="00D34F3E"/>
    <w:rsid w:val="00D45252"/>
    <w:rsid w:val="00D62433"/>
    <w:rsid w:val="00D64DC8"/>
    <w:rsid w:val="00D6562C"/>
    <w:rsid w:val="00D71B4D"/>
    <w:rsid w:val="00D74C26"/>
    <w:rsid w:val="00D7688E"/>
    <w:rsid w:val="00D800FD"/>
    <w:rsid w:val="00D822BD"/>
    <w:rsid w:val="00D85DB6"/>
    <w:rsid w:val="00D93D55"/>
    <w:rsid w:val="00DA2904"/>
    <w:rsid w:val="00DE1E0B"/>
    <w:rsid w:val="00DE6B2D"/>
    <w:rsid w:val="00E02CEF"/>
    <w:rsid w:val="00E04407"/>
    <w:rsid w:val="00E073E3"/>
    <w:rsid w:val="00E11651"/>
    <w:rsid w:val="00E14C90"/>
    <w:rsid w:val="00E157DE"/>
    <w:rsid w:val="00E201EE"/>
    <w:rsid w:val="00E274A4"/>
    <w:rsid w:val="00E335FE"/>
    <w:rsid w:val="00E5238C"/>
    <w:rsid w:val="00E84E33"/>
    <w:rsid w:val="00E94EFA"/>
    <w:rsid w:val="00E96FC5"/>
    <w:rsid w:val="00EA12CE"/>
    <w:rsid w:val="00EA442A"/>
    <w:rsid w:val="00EA6BA9"/>
    <w:rsid w:val="00EB0C52"/>
    <w:rsid w:val="00EB14E1"/>
    <w:rsid w:val="00EB18A3"/>
    <w:rsid w:val="00EB2D9E"/>
    <w:rsid w:val="00EC4E49"/>
    <w:rsid w:val="00EC6747"/>
    <w:rsid w:val="00ED77FB"/>
    <w:rsid w:val="00ED7A5F"/>
    <w:rsid w:val="00EE42F4"/>
    <w:rsid w:val="00EE45FA"/>
    <w:rsid w:val="00EF1188"/>
    <w:rsid w:val="00EF3A64"/>
    <w:rsid w:val="00F00BAF"/>
    <w:rsid w:val="00F23F46"/>
    <w:rsid w:val="00F26597"/>
    <w:rsid w:val="00F31186"/>
    <w:rsid w:val="00F31AC4"/>
    <w:rsid w:val="00F45C7C"/>
    <w:rsid w:val="00F66152"/>
    <w:rsid w:val="00F7540C"/>
    <w:rsid w:val="00F80BCD"/>
    <w:rsid w:val="00FB5C80"/>
    <w:rsid w:val="00FC7F60"/>
    <w:rsid w:val="00FD2030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445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AA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2E1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445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AA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2E1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2214-E8D6-4A74-898F-F2164010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3571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JCH/ko</cp:keywords>
  <cp:lastModifiedBy>DIAZ Natacha</cp:lastModifiedBy>
  <cp:revision>8</cp:revision>
  <cp:lastPrinted>2015-08-18T07:06:00Z</cp:lastPrinted>
  <dcterms:created xsi:type="dcterms:W3CDTF">2015-08-18T08:16:00Z</dcterms:created>
  <dcterms:modified xsi:type="dcterms:W3CDTF">2015-08-26T15:48:00Z</dcterms:modified>
</cp:coreProperties>
</file>