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E7366" w:rsidRPr="00F37CDA" w:rsidTr="0020327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E7366" w:rsidRPr="00F37CDA" w:rsidRDefault="005E7366" w:rsidP="00F37CDA">
            <w:pPr>
              <w:widowControl w:val="0"/>
              <w:rPr>
                <w:u w:val="single"/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E7366" w:rsidRPr="00F37CDA" w:rsidRDefault="005E7366" w:rsidP="00F37CDA">
            <w:pPr>
              <w:widowControl w:val="0"/>
              <w:rPr>
                <w:lang w:val="es-ES"/>
              </w:rPr>
            </w:pPr>
            <w:r w:rsidRPr="00F37CDA">
              <w:rPr>
                <w:noProof/>
                <w:lang w:val="en-US" w:eastAsia="en-US"/>
              </w:rPr>
              <w:drawing>
                <wp:inline distT="0" distB="0" distL="0" distR="0" wp14:anchorId="3F8ABA8A" wp14:editId="482322D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E7366" w:rsidRPr="00F37CDA" w:rsidRDefault="005E7366" w:rsidP="00F37CDA">
            <w:pPr>
              <w:widowControl w:val="0"/>
              <w:jc w:val="right"/>
              <w:rPr>
                <w:lang w:val="es-ES"/>
              </w:rPr>
            </w:pPr>
            <w:r w:rsidRPr="00F37CDA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5E7366" w:rsidRPr="00F37CDA" w:rsidTr="002032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E7366" w:rsidRPr="00F37CDA" w:rsidRDefault="005E7366" w:rsidP="00F37CDA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37CDA">
              <w:rPr>
                <w:rFonts w:ascii="Arial Black" w:hAnsi="Arial Black"/>
                <w:caps/>
                <w:sz w:val="15"/>
                <w:lang w:val="es-ES"/>
              </w:rPr>
              <w:t>MM/LD/WG/13/</w:t>
            </w:r>
            <w:bookmarkStart w:id="0" w:name="Code"/>
            <w:bookmarkEnd w:id="0"/>
            <w:r w:rsidR="00637B19" w:rsidRPr="00F37CDA">
              <w:rPr>
                <w:rFonts w:ascii="Arial Black" w:hAnsi="Arial Black"/>
                <w:caps/>
                <w:sz w:val="15"/>
                <w:lang w:val="es-ES"/>
              </w:rPr>
              <w:t>5</w:t>
            </w:r>
          </w:p>
        </w:tc>
      </w:tr>
      <w:tr w:rsidR="005E7366" w:rsidRPr="00F37CDA" w:rsidTr="002032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E7366" w:rsidRPr="00F37CDA" w:rsidRDefault="005E7366" w:rsidP="00F37CDA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37CDA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Pr="00F37CDA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5E7366" w:rsidRPr="00F37CDA" w:rsidTr="002032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E7366" w:rsidRPr="00F37CDA" w:rsidRDefault="005E7366" w:rsidP="00E96DCB">
            <w:pPr>
              <w:widowControl w:val="0"/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37CDA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2" w:name="Date"/>
            <w:bookmarkEnd w:id="2"/>
            <w:r w:rsidR="00E96DCB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Pr="00F37CDA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E96DCB">
              <w:rPr>
                <w:rFonts w:ascii="Arial Black" w:hAnsi="Arial Black"/>
                <w:caps/>
                <w:sz w:val="15"/>
                <w:lang w:val="es-ES"/>
              </w:rPr>
              <w:t>septiembre</w:t>
            </w:r>
            <w:r w:rsidRPr="00F37CDA">
              <w:rPr>
                <w:rFonts w:ascii="Arial Black" w:hAnsi="Arial Black"/>
                <w:caps/>
                <w:sz w:val="15"/>
                <w:lang w:val="es-ES"/>
              </w:rPr>
              <w:t xml:space="preserve"> de 2015</w:t>
            </w:r>
          </w:p>
        </w:tc>
      </w:tr>
    </w:tbl>
    <w:p w:rsidR="00115924" w:rsidRPr="00F37CDA" w:rsidRDefault="00115924" w:rsidP="00F37CDA">
      <w:pPr>
        <w:widowControl w:val="0"/>
        <w:rPr>
          <w:color w:val="000000" w:themeColor="text1"/>
          <w:lang w:val="es-ES"/>
        </w:rPr>
      </w:pPr>
    </w:p>
    <w:p w:rsidR="00115924" w:rsidRPr="00F37CDA" w:rsidRDefault="00115924" w:rsidP="00F37CDA">
      <w:pPr>
        <w:widowControl w:val="0"/>
        <w:rPr>
          <w:color w:val="000000" w:themeColor="text1"/>
          <w:lang w:val="es-ES"/>
        </w:rPr>
      </w:pPr>
    </w:p>
    <w:p w:rsidR="005E7366" w:rsidRPr="00F37CDA" w:rsidRDefault="005E7366" w:rsidP="00F37CDA">
      <w:pPr>
        <w:widowControl w:val="0"/>
        <w:rPr>
          <w:color w:val="000000" w:themeColor="text1"/>
          <w:lang w:val="es-ES"/>
        </w:rPr>
      </w:pPr>
    </w:p>
    <w:p w:rsidR="00115924" w:rsidRPr="00F37CDA" w:rsidRDefault="00115924" w:rsidP="00F37CDA">
      <w:pPr>
        <w:widowControl w:val="0"/>
        <w:rPr>
          <w:color w:val="000000" w:themeColor="text1"/>
          <w:lang w:val="es-ES"/>
        </w:rPr>
      </w:pPr>
    </w:p>
    <w:p w:rsidR="008B6120" w:rsidRPr="00F37CDA" w:rsidRDefault="008B6120" w:rsidP="00F37CDA">
      <w:pPr>
        <w:widowControl w:val="0"/>
        <w:rPr>
          <w:color w:val="000000" w:themeColor="text1"/>
          <w:lang w:val="es-ES"/>
        </w:rPr>
      </w:pPr>
    </w:p>
    <w:p w:rsidR="00115924" w:rsidRPr="00F37CDA" w:rsidRDefault="00115924" w:rsidP="00F37CDA">
      <w:pPr>
        <w:widowControl w:val="0"/>
        <w:rPr>
          <w:b/>
          <w:color w:val="000000" w:themeColor="text1"/>
          <w:sz w:val="28"/>
          <w:szCs w:val="28"/>
          <w:lang w:val="es-ES"/>
        </w:rPr>
      </w:pPr>
      <w:r w:rsidRPr="00F37CDA">
        <w:rPr>
          <w:b/>
          <w:color w:val="000000" w:themeColor="text1"/>
          <w:sz w:val="28"/>
          <w:szCs w:val="28"/>
          <w:lang w:val="es-ES"/>
        </w:rPr>
        <w:t>Grupo de Trabajo sobre el Desarrollo Jurídico del Sistema de Madrid para el Registro Internacional de Marcas</w:t>
      </w:r>
    </w:p>
    <w:p w:rsidR="00115924" w:rsidRPr="00F37CDA" w:rsidRDefault="00115924" w:rsidP="00F37CDA">
      <w:pPr>
        <w:widowControl w:val="0"/>
        <w:rPr>
          <w:color w:val="000000" w:themeColor="text1"/>
          <w:lang w:val="es-ES"/>
        </w:rPr>
      </w:pPr>
    </w:p>
    <w:p w:rsidR="00115924" w:rsidRPr="00F37CDA" w:rsidRDefault="00115924" w:rsidP="00F37CDA">
      <w:pPr>
        <w:widowControl w:val="0"/>
        <w:rPr>
          <w:color w:val="000000" w:themeColor="text1"/>
          <w:lang w:val="es-ES"/>
        </w:rPr>
      </w:pPr>
    </w:p>
    <w:p w:rsidR="00115924" w:rsidRPr="00F37CDA" w:rsidRDefault="00763DA9" w:rsidP="00F37CDA">
      <w:pPr>
        <w:widowControl w:val="0"/>
        <w:rPr>
          <w:b/>
          <w:color w:val="000000" w:themeColor="text1"/>
          <w:sz w:val="24"/>
          <w:szCs w:val="24"/>
          <w:lang w:val="es-ES"/>
        </w:rPr>
      </w:pPr>
      <w:r w:rsidRPr="00F37CDA">
        <w:rPr>
          <w:b/>
          <w:color w:val="000000" w:themeColor="text1"/>
          <w:sz w:val="24"/>
          <w:szCs w:val="24"/>
          <w:lang w:val="es-ES"/>
        </w:rPr>
        <w:t>D</w:t>
      </w:r>
      <w:r w:rsidR="00E46B01" w:rsidRPr="00F37CDA">
        <w:rPr>
          <w:b/>
          <w:color w:val="000000" w:themeColor="text1"/>
          <w:sz w:val="24"/>
          <w:szCs w:val="24"/>
          <w:lang w:val="es-ES"/>
        </w:rPr>
        <w:t>ecimotercera</w:t>
      </w:r>
      <w:r w:rsidR="00115924" w:rsidRPr="00F37CDA">
        <w:rPr>
          <w:b/>
          <w:color w:val="000000" w:themeColor="text1"/>
          <w:sz w:val="24"/>
          <w:szCs w:val="24"/>
          <w:lang w:val="es-ES"/>
        </w:rPr>
        <w:t xml:space="preserve"> reunión</w:t>
      </w:r>
    </w:p>
    <w:p w:rsidR="00115924" w:rsidRPr="00F37CDA" w:rsidRDefault="00115924" w:rsidP="00F37CDA">
      <w:pPr>
        <w:widowControl w:val="0"/>
        <w:rPr>
          <w:b/>
          <w:color w:val="000000" w:themeColor="text1"/>
          <w:sz w:val="24"/>
          <w:szCs w:val="24"/>
          <w:lang w:val="es-ES"/>
        </w:rPr>
      </w:pPr>
      <w:r w:rsidRPr="00F37CDA">
        <w:rPr>
          <w:b/>
          <w:color w:val="000000" w:themeColor="text1"/>
          <w:sz w:val="24"/>
          <w:szCs w:val="24"/>
          <w:lang w:val="es-ES"/>
        </w:rPr>
        <w:t xml:space="preserve">Ginebra, </w:t>
      </w:r>
      <w:r w:rsidR="007E727D" w:rsidRPr="00F37CDA">
        <w:rPr>
          <w:b/>
          <w:color w:val="000000" w:themeColor="text1"/>
          <w:sz w:val="24"/>
          <w:szCs w:val="24"/>
          <w:lang w:val="es-ES"/>
        </w:rPr>
        <w:t xml:space="preserve">2 a </w:t>
      </w:r>
      <w:r w:rsidR="00E46B01" w:rsidRPr="00F37CDA">
        <w:rPr>
          <w:b/>
          <w:color w:val="000000" w:themeColor="text1"/>
          <w:sz w:val="24"/>
          <w:szCs w:val="24"/>
          <w:lang w:val="es-ES"/>
        </w:rPr>
        <w:t>6 de noviembre</w:t>
      </w:r>
      <w:r w:rsidRPr="00F37CDA">
        <w:rPr>
          <w:b/>
          <w:color w:val="000000" w:themeColor="text1"/>
          <w:sz w:val="24"/>
          <w:szCs w:val="24"/>
          <w:lang w:val="es-ES"/>
        </w:rPr>
        <w:t xml:space="preserve"> de 201</w:t>
      </w:r>
      <w:r w:rsidR="002E6B1D" w:rsidRPr="00F37CDA">
        <w:rPr>
          <w:b/>
          <w:color w:val="000000" w:themeColor="text1"/>
          <w:sz w:val="24"/>
          <w:szCs w:val="24"/>
          <w:lang w:val="es-ES"/>
        </w:rPr>
        <w:t>5</w:t>
      </w:r>
    </w:p>
    <w:p w:rsidR="00115924" w:rsidRPr="00F37CDA" w:rsidRDefault="00115924" w:rsidP="00F37CDA">
      <w:pPr>
        <w:widowControl w:val="0"/>
        <w:rPr>
          <w:color w:val="000000" w:themeColor="text1"/>
          <w:lang w:val="es-ES"/>
        </w:rPr>
      </w:pPr>
    </w:p>
    <w:p w:rsidR="00115924" w:rsidRPr="00F37CDA" w:rsidRDefault="00115924" w:rsidP="00F37CDA">
      <w:pPr>
        <w:widowControl w:val="0"/>
        <w:rPr>
          <w:color w:val="000000" w:themeColor="text1"/>
          <w:lang w:val="es-ES"/>
        </w:rPr>
      </w:pPr>
    </w:p>
    <w:p w:rsidR="00115924" w:rsidRPr="00F37CDA" w:rsidRDefault="00115924" w:rsidP="00F37CDA">
      <w:pPr>
        <w:widowControl w:val="0"/>
        <w:rPr>
          <w:color w:val="000000" w:themeColor="text1"/>
          <w:lang w:val="es-ES"/>
        </w:rPr>
      </w:pPr>
    </w:p>
    <w:p w:rsidR="002E6B1D" w:rsidRPr="00F37CDA" w:rsidRDefault="004D18A2" w:rsidP="00F37CDA">
      <w:pPr>
        <w:widowControl w:val="0"/>
        <w:rPr>
          <w:caps/>
          <w:sz w:val="24"/>
          <w:lang w:val="es-ES"/>
        </w:rPr>
      </w:pPr>
      <w:bookmarkStart w:id="3" w:name="TitleOfDoc"/>
      <w:bookmarkEnd w:id="3"/>
      <w:r w:rsidRPr="00F37CDA">
        <w:rPr>
          <w:caps/>
          <w:sz w:val="24"/>
          <w:lang w:val="es-ES"/>
        </w:rPr>
        <w:t>EXAMEN DE LA</w:t>
      </w:r>
      <w:r w:rsidR="007544CA" w:rsidRPr="00F37CDA">
        <w:rPr>
          <w:caps/>
          <w:sz w:val="24"/>
          <w:lang w:val="es-ES"/>
        </w:rPr>
        <w:t>s</w:t>
      </w:r>
      <w:r w:rsidRPr="00F37CDA">
        <w:rPr>
          <w:caps/>
          <w:sz w:val="24"/>
          <w:lang w:val="es-ES"/>
        </w:rPr>
        <w:t xml:space="preserve"> PRÁCTICA</w:t>
      </w:r>
      <w:r w:rsidR="007544CA" w:rsidRPr="00F37CDA">
        <w:rPr>
          <w:caps/>
          <w:sz w:val="24"/>
          <w:lang w:val="es-ES"/>
        </w:rPr>
        <w:t>s vigentes en materia</w:t>
      </w:r>
      <w:r w:rsidRPr="00F37CDA">
        <w:rPr>
          <w:caps/>
          <w:sz w:val="24"/>
          <w:lang w:val="es-ES"/>
        </w:rPr>
        <w:t xml:space="preserve"> DE TRADUCCIÓN por mandato de la asamblea de la unión de madrid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2E6B1D" w:rsidRPr="00F37CDA" w:rsidRDefault="002E6B1D" w:rsidP="00F37CDA">
      <w:pPr>
        <w:widowControl w:val="0"/>
        <w:rPr>
          <w:i/>
          <w:lang w:val="es-ES"/>
        </w:rPr>
      </w:pPr>
      <w:r w:rsidRPr="00F37CDA">
        <w:rPr>
          <w:i/>
          <w:lang w:val="es-ES"/>
        </w:rPr>
        <w:t>Document</w:t>
      </w:r>
      <w:r w:rsidR="0092080B" w:rsidRPr="00F37CDA">
        <w:rPr>
          <w:i/>
          <w:lang w:val="es-ES"/>
        </w:rPr>
        <w:t>o preparado por la Oficina Internacional</w:t>
      </w:r>
    </w:p>
    <w:p w:rsidR="002E6B1D" w:rsidRPr="00F37CDA" w:rsidRDefault="002E6B1D" w:rsidP="00F37CDA">
      <w:pPr>
        <w:widowControl w:val="0"/>
        <w:rPr>
          <w:lang w:val="es-ES"/>
        </w:rPr>
      </w:pPr>
    </w:p>
    <w:p w:rsidR="002E6B1D" w:rsidRPr="00F37CDA" w:rsidRDefault="002E6B1D" w:rsidP="00F37CDA">
      <w:pPr>
        <w:widowControl w:val="0"/>
        <w:rPr>
          <w:lang w:val="es-ES"/>
        </w:rPr>
      </w:pPr>
    </w:p>
    <w:p w:rsidR="002E6B1D" w:rsidRPr="00F37CDA" w:rsidRDefault="002E6B1D" w:rsidP="00F37CDA">
      <w:pPr>
        <w:widowControl w:val="0"/>
        <w:rPr>
          <w:lang w:val="es-ES"/>
        </w:rPr>
      </w:pPr>
    </w:p>
    <w:p w:rsidR="00A4218B" w:rsidRPr="00F37CDA" w:rsidRDefault="004D18A2" w:rsidP="00F37CDA">
      <w:pPr>
        <w:pStyle w:val="Heading1"/>
        <w:keepNext w:val="0"/>
        <w:widowControl w:val="0"/>
        <w:rPr>
          <w:lang w:val="es-ES"/>
        </w:rPr>
      </w:pPr>
      <w:r w:rsidRPr="00F37CDA">
        <w:rPr>
          <w:lang w:val="es-ES"/>
        </w:rPr>
        <w:t>Introducción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autoSpaceDE w:val="0"/>
        <w:autoSpaceDN w:val="0"/>
        <w:adjustRightInd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1E6C90" w:rsidRPr="00F37CDA">
        <w:rPr>
          <w:lang w:val="es-ES"/>
        </w:rPr>
        <w:t xml:space="preserve">La inscripción en el Registro Internacional y la publicación en la </w:t>
      </w:r>
      <w:r w:rsidR="001E6C90" w:rsidRPr="00F37CDA">
        <w:rPr>
          <w:i/>
          <w:lang w:val="es-ES"/>
        </w:rPr>
        <w:t xml:space="preserve">Gaceta de la OMPI de Marcas Internacionales </w:t>
      </w:r>
      <w:r w:rsidRPr="00F37CDA">
        <w:rPr>
          <w:lang w:val="es-ES"/>
        </w:rPr>
        <w:t>(“</w:t>
      </w:r>
      <w:r w:rsidR="001E6C90" w:rsidRPr="00F37CDA">
        <w:rPr>
          <w:lang w:val="es-ES"/>
        </w:rPr>
        <w:t>la Gaceta</w:t>
      </w:r>
      <w:r w:rsidRPr="00F37CDA">
        <w:rPr>
          <w:lang w:val="es-ES"/>
        </w:rPr>
        <w:t xml:space="preserve">”) </w:t>
      </w:r>
      <w:r w:rsidR="001E6C90" w:rsidRPr="00F37CDA">
        <w:rPr>
          <w:lang w:val="es-ES"/>
        </w:rPr>
        <w:t xml:space="preserve">de un registro internacional y de </w:t>
      </w:r>
      <w:r w:rsidR="0085436D" w:rsidRPr="00F37CDA">
        <w:rPr>
          <w:lang w:val="es-ES"/>
        </w:rPr>
        <w:t xml:space="preserve">cualquier </w:t>
      </w:r>
      <w:r w:rsidR="001E6C90" w:rsidRPr="00F37CDA">
        <w:rPr>
          <w:lang w:val="es-ES"/>
        </w:rPr>
        <w:t xml:space="preserve">dato </w:t>
      </w:r>
      <w:r w:rsidR="00206417" w:rsidRPr="00F37CDA">
        <w:rPr>
          <w:lang w:val="es-ES"/>
        </w:rPr>
        <w:t>inscrito</w:t>
      </w:r>
      <w:r w:rsidR="001E6C90" w:rsidRPr="00F37CDA">
        <w:rPr>
          <w:lang w:val="es-ES"/>
        </w:rPr>
        <w:t xml:space="preserve"> y publicado en virtud del Reglamento Común del Arreglo de Madrid relativo al Registro Internacional de Marcas y del Protocolo concerniente a ese Arreglo </w:t>
      </w:r>
      <w:r w:rsidRPr="00F37CDA">
        <w:rPr>
          <w:rFonts w:eastAsia="Times New Roman"/>
          <w:szCs w:val="22"/>
          <w:lang w:val="es-ES" w:eastAsia="en-US"/>
        </w:rPr>
        <w:t>(</w:t>
      </w:r>
      <w:r w:rsidR="001E6C90" w:rsidRPr="00F37CDA">
        <w:rPr>
          <w:rFonts w:eastAsia="Times New Roman"/>
          <w:szCs w:val="22"/>
          <w:lang w:val="es-ES" w:eastAsia="en-US"/>
        </w:rPr>
        <w:t xml:space="preserve">en adelante, el “Reglamento Común”, “el Arreglo” y “el </w:t>
      </w:r>
      <w:r w:rsidRPr="00F37CDA">
        <w:rPr>
          <w:rFonts w:eastAsia="Times New Roman"/>
          <w:szCs w:val="22"/>
          <w:lang w:val="es-ES" w:eastAsia="en-US"/>
        </w:rPr>
        <w:t>Protocol</w:t>
      </w:r>
      <w:r w:rsidR="001E6C90" w:rsidRPr="00F37CDA">
        <w:rPr>
          <w:rFonts w:eastAsia="Times New Roman"/>
          <w:szCs w:val="22"/>
          <w:lang w:val="es-ES" w:eastAsia="en-US"/>
        </w:rPr>
        <w:t>o</w:t>
      </w:r>
      <w:r w:rsidRPr="00F37CDA">
        <w:rPr>
          <w:rFonts w:eastAsia="Times New Roman"/>
          <w:szCs w:val="22"/>
          <w:lang w:val="es-ES" w:eastAsia="en-US"/>
        </w:rPr>
        <w:t>”)</w:t>
      </w:r>
      <w:r w:rsidRPr="00F37CDA">
        <w:rPr>
          <w:lang w:val="es-ES"/>
        </w:rPr>
        <w:t xml:space="preserve"> </w:t>
      </w:r>
      <w:r w:rsidR="001E6C90" w:rsidRPr="00F37CDA">
        <w:rPr>
          <w:lang w:val="es-ES"/>
        </w:rPr>
        <w:t xml:space="preserve">en relación con un registro internacional se </w:t>
      </w:r>
      <w:r w:rsidR="0085436D" w:rsidRPr="00F37CDA">
        <w:rPr>
          <w:lang w:val="es-ES"/>
        </w:rPr>
        <w:t>efectuarán</w:t>
      </w:r>
      <w:r w:rsidR="001E6C90" w:rsidRPr="00F37CDA">
        <w:rPr>
          <w:lang w:val="es-ES"/>
        </w:rPr>
        <w:t xml:space="preserve"> en inglés, francés y español</w:t>
      </w:r>
      <w:r w:rsidRPr="00F37CDA">
        <w:rPr>
          <w:lang w:val="es-ES"/>
        </w:rPr>
        <w:t xml:space="preserve">.  </w:t>
      </w:r>
      <w:r w:rsidR="00AC1B3F" w:rsidRPr="00F37CDA">
        <w:rPr>
          <w:lang w:val="es-ES"/>
        </w:rPr>
        <w:t>Este régimen trilingüe dimana</w:t>
      </w:r>
      <w:r w:rsidR="00206417" w:rsidRPr="00F37CDA">
        <w:rPr>
          <w:lang w:val="es-ES"/>
        </w:rPr>
        <w:t xml:space="preserve"> del párrafo</w:t>
      </w:r>
      <w:r w:rsidRPr="00F37CDA">
        <w:rPr>
          <w:lang w:val="es-ES"/>
        </w:rPr>
        <w:t xml:space="preserve"> 3) </w:t>
      </w:r>
      <w:r w:rsidR="00206417" w:rsidRPr="00F37CDA">
        <w:rPr>
          <w:lang w:val="es-ES"/>
        </w:rPr>
        <w:t>de la Regla</w:t>
      </w:r>
      <w:r w:rsidRPr="00F37CDA">
        <w:rPr>
          <w:lang w:val="es-ES"/>
        </w:rPr>
        <w:t xml:space="preserve"> 6 </w:t>
      </w:r>
      <w:r w:rsidR="00206417" w:rsidRPr="00F37CDA">
        <w:rPr>
          <w:lang w:val="es-ES"/>
        </w:rPr>
        <w:t>del Reglamento Común</w:t>
      </w:r>
      <w:r w:rsidRPr="00F37CDA">
        <w:rPr>
          <w:lang w:val="es-ES"/>
        </w:rPr>
        <w:t xml:space="preserve">.  </w:t>
      </w:r>
      <w:r w:rsidR="00206417" w:rsidRPr="00F37CDA">
        <w:rPr>
          <w:lang w:val="es-ES"/>
        </w:rPr>
        <w:t>Con arreglo al párrafo </w:t>
      </w:r>
      <w:r w:rsidRPr="00F37CDA">
        <w:rPr>
          <w:lang w:val="es-ES"/>
        </w:rPr>
        <w:t xml:space="preserve">4) </w:t>
      </w:r>
      <w:r w:rsidR="00206417" w:rsidRPr="00F37CDA">
        <w:rPr>
          <w:lang w:val="es-ES"/>
        </w:rPr>
        <w:t xml:space="preserve">de la misma Regla, la Oficina Internacional realizará las traducciones </w:t>
      </w:r>
      <w:r w:rsidR="00930075" w:rsidRPr="00F37CDA">
        <w:rPr>
          <w:lang w:val="es-ES"/>
        </w:rPr>
        <w:t xml:space="preserve">que resulten </w:t>
      </w:r>
      <w:r w:rsidR="00206417" w:rsidRPr="00F37CDA">
        <w:rPr>
          <w:lang w:val="es-ES"/>
        </w:rPr>
        <w:t xml:space="preserve">necesarias </w:t>
      </w:r>
      <w:r w:rsidR="00930075" w:rsidRPr="00F37CDA">
        <w:rPr>
          <w:lang w:val="es-ES"/>
        </w:rPr>
        <w:t xml:space="preserve">a los efectos de </w:t>
      </w:r>
      <w:r w:rsidR="00206417" w:rsidRPr="00F37CDA">
        <w:rPr>
          <w:lang w:val="es-ES"/>
        </w:rPr>
        <w:t xml:space="preserve">las inscripciones y publicaciones </w:t>
      </w:r>
      <w:r w:rsidR="00930075" w:rsidRPr="00F37CDA">
        <w:rPr>
          <w:lang w:val="es-ES"/>
        </w:rPr>
        <w:t>señaladas</w:t>
      </w:r>
      <w:r w:rsidR="00206417" w:rsidRPr="00F37CDA">
        <w:rPr>
          <w:lang w:val="es-ES"/>
        </w:rPr>
        <w:t xml:space="preserve">, y </w:t>
      </w:r>
      <w:r w:rsidR="00930075" w:rsidRPr="00F37CDA">
        <w:rPr>
          <w:lang w:val="es-ES"/>
        </w:rPr>
        <w:t xml:space="preserve">de </w:t>
      </w:r>
      <w:r w:rsidR="00206417" w:rsidRPr="00F37CDA">
        <w:rPr>
          <w:lang w:val="es-ES"/>
        </w:rPr>
        <w:t>su comunicación a las Oficinas de las Partes Contratantes, los solicitantes y los titulares.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8D1931" w:rsidRPr="00F37CDA">
        <w:rPr>
          <w:lang w:val="es-ES"/>
        </w:rPr>
        <w:t>No obstante</w:t>
      </w:r>
      <w:r w:rsidRPr="00F37CDA">
        <w:rPr>
          <w:lang w:val="es-ES"/>
        </w:rPr>
        <w:t xml:space="preserve">, </w:t>
      </w:r>
      <w:r w:rsidR="00930075" w:rsidRPr="00F37CDA">
        <w:rPr>
          <w:lang w:val="es-ES"/>
        </w:rPr>
        <w:t xml:space="preserve">de conformidad con </w:t>
      </w:r>
      <w:r w:rsidR="008D1931" w:rsidRPr="00F37CDA">
        <w:rPr>
          <w:lang w:val="es-ES"/>
        </w:rPr>
        <w:t>la</w:t>
      </w:r>
      <w:r w:rsidR="007544CA" w:rsidRPr="00F37CDA">
        <w:rPr>
          <w:lang w:val="es-ES"/>
        </w:rPr>
        <w:t>s</w:t>
      </w:r>
      <w:r w:rsidR="008D1931" w:rsidRPr="00F37CDA">
        <w:rPr>
          <w:lang w:val="es-ES"/>
        </w:rPr>
        <w:t xml:space="preserve"> práctica</w:t>
      </w:r>
      <w:r w:rsidR="007544CA" w:rsidRPr="00F37CDA">
        <w:rPr>
          <w:lang w:val="es-ES"/>
        </w:rPr>
        <w:t>s</w:t>
      </w:r>
      <w:r w:rsidR="008D1931" w:rsidRPr="00F37CDA">
        <w:rPr>
          <w:lang w:val="es-ES"/>
        </w:rPr>
        <w:t xml:space="preserve"> </w:t>
      </w:r>
      <w:r w:rsidR="00C81256" w:rsidRPr="00F37CDA">
        <w:rPr>
          <w:lang w:val="es-ES"/>
        </w:rPr>
        <w:t>actuales</w:t>
      </w:r>
      <w:r w:rsidR="008D1931" w:rsidRPr="00F37CDA">
        <w:rPr>
          <w:lang w:val="es-ES"/>
        </w:rPr>
        <w:t xml:space="preserve"> </w:t>
      </w:r>
      <w:r w:rsidR="007544CA" w:rsidRPr="00F37CDA">
        <w:rPr>
          <w:lang w:val="es-ES"/>
        </w:rPr>
        <w:t xml:space="preserve">en materia </w:t>
      </w:r>
      <w:r w:rsidR="008D1931" w:rsidRPr="00F37CDA">
        <w:rPr>
          <w:lang w:val="es-ES"/>
        </w:rPr>
        <w:t>de traducción aplicada</w:t>
      </w:r>
      <w:r w:rsidR="0085436D" w:rsidRPr="00F37CDA">
        <w:rPr>
          <w:lang w:val="es-ES"/>
        </w:rPr>
        <w:t>s</w:t>
      </w:r>
      <w:r w:rsidR="008D1931" w:rsidRPr="00F37CDA">
        <w:rPr>
          <w:lang w:val="es-ES"/>
        </w:rPr>
        <w:t xml:space="preserve"> por la Oficina Internacional, la lista de productos y servicios </w:t>
      </w:r>
      <w:r w:rsidR="00930075" w:rsidRPr="00F37CDA">
        <w:rPr>
          <w:lang w:val="es-ES"/>
        </w:rPr>
        <w:t xml:space="preserve">de </w:t>
      </w:r>
      <w:r w:rsidR="008D1931" w:rsidRPr="00F37CDA">
        <w:rPr>
          <w:lang w:val="es-ES"/>
        </w:rPr>
        <w:t xml:space="preserve">dos </w:t>
      </w:r>
      <w:r w:rsidR="0085436D" w:rsidRPr="00F37CDA">
        <w:rPr>
          <w:lang w:val="es-ES"/>
        </w:rPr>
        <w:t xml:space="preserve">tipos específicos de inscripción </w:t>
      </w:r>
      <w:r w:rsidR="008D1931" w:rsidRPr="00F37CDA">
        <w:rPr>
          <w:lang w:val="es-ES"/>
        </w:rPr>
        <w:t xml:space="preserve">solo se traduce, antes de su inscripción, publicación y notificación, </w:t>
      </w:r>
      <w:r w:rsidR="00930075" w:rsidRPr="00F37CDA">
        <w:rPr>
          <w:lang w:val="es-ES"/>
        </w:rPr>
        <w:t>a</w:t>
      </w:r>
      <w:r w:rsidR="008D1931" w:rsidRPr="00F37CDA">
        <w:rPr>
          <w:lang w:val="es-ES"/>
        </w:rPr>
        <w:t>l idioma de com</w:t>
      </w:r>
      <w:r w:rsidRPr="00F37CDA">
        <w:rPr>
          <w:lang w:val="es-ES"/>
        </w:rPr>
        <w:t>un</w:t>
      </w:r>
      <w:r w:rsidR="008D1931" w:rsidRPr="00F37CDA">
        <w:rPr>
          <w:lang w:val="es-ES"/>
        </w:rPr>
        <w:t xml:space="preserve">icación del titular y </w:t>
      </w:r>
      <w:r w:rsidR="00C81256" w:rsidRPr="00F37CDA">
        <w:rPr>
          <w:lang w:val="es-ES"/>
        </w:rPr>
        <w:t xml:space="preserve">de </w:t>
      </w:r>
      <w:r w:rsidR="008D1931" w:rsidRPr="00F37CDA">
        <w:rPr>
          <w:lang w:val="es-ES"/>
        </w:rPr>
        <w:t xml:space="preserve">las Oficinas a las que atañe y </w:t>
      </w:r>
      <w:r w:rsidR="00930075" w:rsidRPr="00F37CDA">
        <w:rPr>
          <w:lang w:val="es-ES"/>
        </w:rPr>
        <w:t xml:space="preserve">al </w:t>
      </w:r>
      <w:r w:rsidR="008D1931" w:rsidRPr="00F37CDA">
        <w:rPr>
          <w:lang w:val="es-ES"/>
        </w:rPr>
        <w:t>idioma de la solicitud internacional</w:t>
      </w:r>
      <w:r w:rsidRPr="00F37CDA">
        <w:rPr>
          <w:lang w:val="es-ES"/>
        </w:rPr>
        <w:t xml:space="preserve">.  </w:t>
      </w:r>
      <w:r w:rsidR="0085436D" w:rsidRPr="00F37CDA">
        <w:rPr>
          <w:lang w:val="es-ES"/>
        </w:rPr>
        <w:t>C</w:t>
      </w:r>
      <w:r w:rsidR="00930075" w:rsidRPr="00F37CDA">
        <w:rPr>
          <w:lang w:val="es-ES"/>
        </w:rPr>
        <w:t>onforme a lo dispuesto en la Regla</w:t>
      </w:r>
      <w:r w:rsidRPr="00F37CDA">
        <w:rPr>
          <w:lang w:val="es-ES"/>
        </w:rPr>
        <w:t xml:space="preserve"> 6 </w:t>
      </w:r>
      <w:r w:rsidR="00930075" w:rsidRPr="00F37CDA">
        <w:rPr>
          <w:lang w:val="es-ES"/>
        </w:rPr>
        <w:t xml:space="preserve">del Reglamento Común, </w:t>
      </w:r>
      <w:r w:rsidR="006E0231" w:rsidRPr="00F37CDA">
        <w:rPr>
          <w:lang w:val="es-ES"/>
        </w:rPr>
        <w:t>únicamente</w:t>
      </w:r>
      <w:r w:rsidR="00930075" w:rsidRPr="00F37CDA">
        <w:rPr>
          <w:lang w:val="es-ES"/>
        </w:rPr>
        <w:t xml:space="preserve"> se </w:t>
      </w:r>
      <w:r w:rsidR="0085436D" w:rsidRPr="00F37CDA">
        <w:rPr>
          <w:lang w:val="es-ES"/>
        </w:rPr>
        <w:t xml:space="preserve">traduce la lista de productos y servicios a otros idiomas de trabajo del Sistema de Madrid para el Registro Internacional de Marcas (en adelante, “el Sistema de Madrid”) </w:t>
      </w:r>
      <w:r w:rsidR="00930075" w:rsidRPr="00F37CDA">
        <w:rPr>
          <w:lang w:val="es-ES"/>
        </w:rPr>
        <w:t xml:space="preserve">tras recibir una </w:t>
      </w:r>
      <w:r w:rsidR="00AC1B3F" w:rsidRPr="00F37CDA">
        <w:rPr>
          <w:lang w:val="es-ES"/>
        </w:rPr>
        <w:t>petición</w:t>
      </w:r>
      <w:r w:rsidR="00930075" w:rsidRPr="00F37CDA">
        <w:rPr>
          <w:lang w:val="es-ES"/>
        </w:rPr>
        <w:t xml:space="preserve"> de una parte interesada </w:t>
      </w:r>
      <w:r w:rsidRPr="00F37CDA">
        <w:rPr>
          <w:lang w:val="es-ES"/>
        </w:rPr>
        <w:t>(</w:t>
      </w:r>
      <w:r w:rsidR="00930075" w:rsidRPr="00F37CDA">
        <w:rPr>
          <w:lang w:val="es-ES"/>
        </w:rPr>
        <w:t>el titular, una Oficina o un tercero</w:t>
      </w:r>
      <w:r w:rsidRPr="00F37CDA">
        <w:rPr>
          <w:lang w:val="es-ES"/>
        </w:rPr>
        <w:t xml:space="preserve">).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C46B0A" w:rsidRDefault="00C46B0A" w:rsidP="00F37CDA">
      <w:pPr>
        <w:widowControl w:val="0"/>
        <w:rPr>
          <w:lang w:val="es-ES"/>
        </w:rPr>
      </w:pPr>
      <w:r>
        <w:rPr>
          <w:lang w:val="es-ES"/>
        </w:rPr>
        <w:br w:type="page"/>
      </w: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lastRenderedPageBreak/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3F0E2F" w:rsidRPr="00F37CDA">
        <w:rPr>
          <w:lang w:val="es-ES"/>
        </w:rPr>
        <w:t xml:space="preserve">Esta práctica se aplica a la lista de productos y servicios </w:t>
      </w:r>
      <w:r w:rsidR="0007619A" w:rsidRPr="00F37CDA">
        <w:rPr>
          <w:lang w:val="es-ES"/>
        </w:rPr>
        <w:t xml:space="preserve">de dos </w:t>
      </w:r>
      <w:r w:rsidR="0085436D" w:rsidRPr="00F37CDA">
        <w:rPr>
          <w:lang w:val="es-ES"/>
        </w:rPr>
        <w:t>tipos de inscripción, a saber</w:t>
      </w:r>
      <w:r w:rsidRPr="00F37CDA">
        <w:rPr>
          <w:lang w:val="es-ES"/>
        </w:rPr>
        <w:t xml:space="preserve">: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ind w:firstLine="567"/>
        <w:rPr>
          <w:lang w:val="es-ES"/>
        </w:rPr>
      </w:pPr>
      <w:r w:rsidRPr="00F37CDA">
        <w:rPr>
          <w:lang w:val="es-ES"/>
        </w:rPr>
        <w:t>–</w:t>
      </w:r>
      <w:r w:rsidRPr="00F37CDA">
        <w:rPr>
          <w:lang w:val="es-ES"/>
        </w:rPr>
        <w:tab/>
      </w:r>
      <w:r w:rsidR="00E759F8" w:rsidRPr="00F37CDA">
        <w:rPr>
          <w:lang w:val="es-ES"/>
        </w:rPr>
        <w:t>las</w:t>
      </w:r>
      <w:r w:rsidR="0007619A" w:rsidRPr="00F37CDA">
        <w:rPr>
          <w:lang w:val="es-ES"/>
        </w:rPr>
        <w:t xml:space="preserve"> declaraciones de concesión de la protección </w:t>
      </w:r>
      <w:r w:rsidR="00AC1B3F" w:rsidRPr="00F37CDA">
        <w:rPr>
          <w:lang w:val="es-ES"/>
        </w:rPr>
        <w:t>efectuadas</w:t>
      </w:r>
      <w:r w:rsidR="0007619A" w:rsidRPr="00F37CDA">
        <w:rPr>
          <w:lang w:val="es-ES"/>
        </w:rPr>
        <w:t xml:space="preserve"> en virtud de la Regla</w:t>
      </w:r>
      <w:r w:rsidRPr="00F37CDA">
        <w:rPr>
          <w:lang w:val="es-ES"/>
        </w:rPr>
        <w:t> 18</w:t>
      </w:r>
      <w:r w:rsidRPr="00F37CDA">
        <w:rPr>
          <w:i/>
          <w:lang w:val="es-ES"/>
        </w:rPr>
        <w:t>ter</w:t>
      </w:r>
      <w:r w:rsidR="0007619A" w:rsidRPr="00F37CDA">
        <w:rPr>
          <w:lang w:val="es-ES"/>
        </w:rPr>
        <w:t>.</w:t>
      </w:r>
      <w:r w:rsidRPr="00F37CDA">
        <w:rPr>
          <w:lang w:val="es-ES"/>
        </w:rPr>
        <w:t>2</w:t>
      </w:r>
      <w:proofErr w:type="gramStart"/>
      <w:r w:rsidRPr="00F37CDA">
        <w:rPr>
          <w:lang w:val="es-ES"/>
        </w:rPr>
        <w:t>)ii</w:t>
      </w:r>
      <w:proofErr w:type="gramEnd"/>
      <w:r w:rsidRPr="00F37CDA">
        <w:rPr>
          <w:lang w:val="es-ES"/>
        </w:rPr>
        <w:t xml:space="preserve">) </w:t>
      </w:r>
      <w:r w:rsidR="0007619A" w:rsidRPr="00F37CDA">
        <w:rPr>
          <w:lang w:val="es-ES"/>
        </w:rPr>
        <w:t>del Reglamento Común</w:t>
      </w:r>
      <w:r w:rsidRPr="00F37CDA">
        <w:rPr>
          <w:lang w:val="es-ES"/>
        </w:rPr>
        <w:t xml:space="preserve"> (</w:t>
      </w:r>
      <w:r w:rsidR="0007619A" w:rsidRPr="00F37CDA">
        <w:rPr>
          <w:lang w:val="es-ES"/>
        </w:rPr>
        <w:t>es</w:t>
      </w:r>
      <w:r w:rsidR="00C81256" w:rsidRPr="00F37CDA">
        <w:rPr>
          <w:lang w:val="es-ES"/>
        </w:rPr>
        <w:t>to es</w:t>
      </w:r>
      <w:r w:rsidR="0007619A" w:rsidRPr="00F37CDA">
        <w:rPr>
          <w:lang w:val="es-ES"/>
        </w:rPr>
        <w:t>, tras una denegación provisional</w:t>
      </w:r>
      <w:r w:rsidRPr="00F37CDA">
        <w:rPr>
          <w:lang w:val="es-ES"/>
        </w:rPr>
        <w:t xml:space="preserve">);  </w:t>
      </w:r>
      <w:r w:rsidR="0007619A" w:rsidRPr="00F37CDA">
        <w:rPr>
          <w:lang w:val="es-ES"/>
        </w:rPr>
        <w:t>y</w:t>
      </w:r>
      <w:r w:rsidRPr="00F37CDA">
        <w:rPr>
          <w:lang w:val="es-ES"/>
        </w:rPr>
        <w:t>,</w:t>
      </w:r>
    </w:p>
    <w:p w:rsidR="00A4218B" w:rsidRPr="00F37CDA" w:rsidRDefault="00A4218B" w:rsidP="00F37CDA">
      <w:pPr>
        <w:widowControl w:val="0"/>
        <w:ind w:firstLine="567"/>
        <w:rPr>
          <w:lang w:val="es-ES"/>
        </w:rPr>
      </w:pPr>
    </w:p>
    <w:p w:rsidR="00A4218B" w:rsidRPr="00F37CDA" w:rsidRDefault="00A4218B" w:rsidP="00F37CDA">
      <w:pPr>
        <w:widowControl w:val="0"/>
        <w:ind w:firstLine="567"/>
        <w:rPr>
          <w:lang w:val="es-ES"/>
        </w:rPr>
      </w:pPr>
      <w:r w:rsidRPr="00F37CDA">
        <w:rPr>
          <w:lang w:val="es-ES"/>
        </w:rPr>
        <w:t>–</w:t>
      </w:r>
      <w:r w:rsidRPr="00F37CDA">
        <w:rPr>
          <w:lang w:val="es-ES"/>
        </w:rPr>
        <w:tab/>
      </w:r>
      <w:r w:rsidR="00E759F8" w:rsidRPr="00F37CDA">
        <w:rPr>
          <w:lang w:val="es-ES"/>
        </w:rPr>
        <w:t xml:space="preserve">las </w:t>
      </w:r>
      <w:r w:rsidR="0007619A" w:rsidRPr="00F37CDA">
        <w:rPr>
          <w:lang w:val="es-ES"/>
        </w:rPr>
        <w:t xml:space="preserve">limitaciones </w:t>
      </w:r>
      <w:r w:rsidR="004361AA" w:rsidRPr="00F37CDA">
        <w:rPr>
          <w:lang w:val="es-ES"/>
        </w:rPr>
        <w:t>que se pretenden</w:t>
      </w:r>
      <w:r w:rsidR="0007619A" w:rsidRPr="00F37CDA">
        <w:rPr>
          <w:lang w:val="es-ES"/>
        </w:rPr>
        <w:t xml:space="preserve"> </w:t>
      </w:r>
      <w:r w:rsidR="004361AA" w:rsidRPr="00F37CDA">
        <w:rPr>
          <w:lang w:val="es-ES"/>
        </w:rPr>
        <w:t>mediante</w:t>
      </w:r>
      <w:r w:rsidR="003B1D18" w:rsidRPr="00F37CDA">
        <w:rPr>
          <w:lang w:val="es-ES"/>
        </w:rPr>
        <w:t xml:space="preserve"> </w:t>
      </w:r>
      <w:r w:rsidR="0007619A" w:rsidRPr="00F37CDA">
        <w:rPr>
          <w:lang w:val="es-ES"/>
        </w:rPr>
        <w:t>una solicitud internacional, una designación posterior o como inscripción de una modificación</w:t>
      </w:r>
      <w:r w:rsidRPr="00F37CDA">
        <w:rPr>
          <w:lang w:val="es-ES"/>
        </w:rPr>
        <w:t xml:space="preserve">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07619A" w:rsidRPr="00F37CDA">
        <w:rPr>
          <w:lang w:val="es-ES"/>
        </w:rPr>
        <w:t>La</w:t>
      </w:r>
      <w:r w:rsidR="00544E65" w:rsidRPr="00F37CDA">
        <w:rPr>
          <w:lang w:val="es-ES"/>
        </w:rPr>
        <w:t>s</w:t>
      </w:r>
      <w:r w:rsidR="0007619A" w:rsidRPr="00F37CDA">
        <w:rPr>
          <w:lang w:val="es-ES"/>
        </w:rPr>
        <w:t xml:space="preserve"> práctica</w:t>
      </w:r>
      <w:r w:rsidR="00544E65" w:rsidRPr="00F37CDA">
        <w:rPr>
          <w:lang w:val="es-ES"/>
        </w:rPr>
        <w:t>s</w:t>
      </w:r>
      <w:r w:rsidR="0007619A" w:rsidRPr="00F37CDA">
        <w:rPr>
          <w:lang w:val="es-ES"/>
        </w:rPr>
        <w:t xml:space="preserve"> </w:t>
      </w:r>
      <w:r w:rsidR="004D14E8" w:rsidRPr="00F37CDA">
        <w:rPr>
          <w:lang w:val="es-ES"/>
        </w:rPr>
        <w:t>relativas a la</w:t>
      </w:r>
      <w:r w:rsidR="0007619A" w:rsidRPr="00F37CDA">
        <w:rPr>
          <w:lang w:val="es-ES"/>
        </w:rPr>
        <w:t xml:space="preserve"> traducción actualmente en vigor fue</w:t>
      </w:r>
      <w:r w:rsidR="00544E65" w:rsidRPr="00F37CDA">
        <w:rPr>
          <w:lang w:val="es-ES"/>
        </w:rPr>
        <w:t>ron</w:t>
      </w:r>
      <w:r w:rsidR="0007619A" w:rsidRPr="00F37CDA">
        <w:rPr>
          <w:lang w:val="es-ES"/>
        </w:rPr>
        <w:t xml:space="preserve"> examinada</w:t>
      </w:r>
      <w:r w:rsidR="00544E65" w:rsidRPr="00F37CDA">
        <w:rPr>
          <w:lang w:val="es-ES"/>
        </w:rPr>
        <w:t>s</w:t>
      </w:r>
      <w:r w:rsidR="0007619A" w:rsidRPr="00F37CDA">
        <w:rPr>
          <w:lang w:val="es-ES"/>
        </w:rPr>
        <w:t xml:space="preserve"> por última vez por el Grupo de Trabajo sobre el Desarrollo Jur</w:t>
      </w:r>
      <w:r w:rsidR="0007619A" w:rsidRPr="00F37CDA">
        <w:rPr>
          <w:rFonts w:ascii="Tahoma" w:hAnsi="Tahoma" w:cs="Tahoma"/>
          <w:lang w:val="es-ES"/>
        </w:rPr>
        <w:t>í</w:t>
      </w:r>
      <w:r w:rsidR="0007619A" w:rsidRPr="00F37CDA">
        <w:rPr>
          <w:lang w:val="es-ES"/>
        </w:rPr>
        <w:t>dico del Sistema de Madrid para el Registro Internacional de Marcas</w:t>
      </w:r>
      <w:r w:rsidRPr="00F37CDA">
        <w:rPr>
          <w:lang w:val="es-ES"/>
        </w:rPr>
        <w:t xml:space="preserve"> (“</w:t>
      </w:r>
      <w:r w:rsidR="0007619A" w:rsidRPr="00F37CDA">
        <w:rPr>
          <w:lang w:val="es-ES"/>
        </w:rPr>
        <w:t>el Grupo de Trabajo</w:t>
      </w:r>
      <w:r w:rsidRPr="00F37CDA">
        <w:rPr>
          <w:lang w:val="es-ES"/>
        </w:rPr>
        <w:t xml:space="preserve">”), </w:t>
      </w:r>
      <w:r w:rsidR="0007619A" w:rsidRPr="00F37CDA">
        <w:rPr>
          <w:lang w:val="es-ES"/>
        </w:rPr>
        <w:t xml:space="preserve">en su décima reunión, cuando </w:t>
      </w:r>
      <w:r w:rsidR="00544E65" w:rsidRPr="00F37CDA">
        <w:rPr>
          <w:lang w:val="es-ES"/>
        </w:rPr>
        <w:t xml:space="preserve">dicho Grupo </w:t>
      </w:r>
      <w:r w:rsidR="0007619A" w:rsidRPr="00F37CDA">
        <w:rPr>
          <w:lang w:val="es-ES"/>
        </w:rPr>
        <w:t xml:space="preserve">recomendó que la Asamblea de </w:t>
      </w:r>
      <w:r w:rsidR="003B1D18" w:rsidRPr="00F37CDA">
        <w:rPr>
          <w:lang w:val="es-ES"/>
        </w:rPr>
        <w:t xml:space="preserve">la Unión de </w:t>
      </w:r>
      <w:r w:rsidR="0007619A" w:rsidRPr="00F37CDA">
        <w:rPr>
          <w:lang w:val="es-ES"/>
        </w:rPr>
        <w:t>Madrid continuara tomando nota de la</w:t>
      </w:r>
      <w:r w:rsidR="007544CA" w:rsidRPr="00F37CDA">
        <w:rPr>
          <w:lang w:val="es-ES"/>
        </w:rPr>
        <w:t>s</w:t>
      </w:r>
      <w:r w:rsidR="0007619A" w:rsidRPr="00F37CDA">
        <w:rPr>
          <w:lang w:val="es-ES"/>
        </w:rPr>
        <w:t xml:space="preserve"> práctica</w:t>
      </w:r>
      <w:r w:rsidR="007544CA" w:rsidRPr="00F37CDA">
        <w:rPr>
          <w:lang w:val="es-ES"/>
        </w:rPr>
        <w:t>s</w:t>
      </w:r>
      <w:r w:rsidR="0007619A" w:rsidRPr="00F37CDA">
        <w:rPr>
          <w:lang w:val="es-ES"/>
        </w:rPr>
        <w:t xml:space="preserve"> </w:t>
      </w:r>
      <w:r w:rsidR="007544CA" w:rsidRPr="00F37CDA">
        <w:rPr>
          <w:lang w:val="es-ES"/>
        </w:rPr>
        <w:t xml:space="preserve">en materia de </w:t>
      </w:r>
      <w:r w:rsidR="0007619A" w:rsidRPr="00F37CDA">
        <w:rPr>
          <w:lang w:val="es-ES"/>
        </w:rPr>
        <w:t>traducción</w:t>
      </w:r>
      <w:r w:rsidR="00544E65" w:rsidRPr="00F37CDA">
        <w:rPr>
          <w:lang w:val="es-ES"/>
        </w:rPr>
        <w:t xml:space="preserve"> vigentes</w:t>
      </w:r>
      <w:r w:rsidRPr="00F37CDA">
        <w:rPr>
          <w:lang w:val="es-ES"/>
        </w:rPr>
        <w:t xml:space="preserve">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7544CA" w:rsidRPr="00F37CDA">
        <w:rPr>
          <w:lang w:val="es-ES"/>
        </w:rPr>
        <w:t>La Asamblea de la Unión de Madrid, en su cuadragésimo quinto período de sesiones</w:t>
      </w:r>
      <w:r w:rsidRPr="00F37CDA">
        <w:rPr>
          <w:lang w:val="es-ES"/>
        </w:rPr>
        <w:t xml:space="preserve">, </w:t>
      </w:r>
      <w:r w:rsidR="00824D8B" w:rsidRPr="00F37CDA">
        <w:rPr>
          <w:lang w:val="es-ES"/>
        </w:rPr>
        <w:t>siguió tomando nota de l</w:t>
      </w:r>
      <w:r w:rsidR="007544CA" w:rsidRPr="00F37CDA">
        <w:rPr>
          <w:lang w:val="es-ES"/>
        </w:rPr>
        <w:t xml:space="preserve">as prácticas, </w:t>
      </w:r>
      <w:r w:rsidR="003C4C41" w:rsidRPr="00F37CDA">
        <w:rPr>
          <w:lang w:val="es-ES"/>
        </w:rPr>
        <w:t xml:space="preserve">según se </w:t>
      </w:r>
      <w:r w:rsidR="00C65811" w:rsidRPr="00F37CDA">
        <w:rPr>
          <w:lang w:val="es-ES"/>
        </w:rPr>
        <w:t>explica</w:t>
      </w:r>
      <w:r w:rsidR="003C4C41" w:rsidRPr="00F37CDA">
        <w:rPr>
          <w:lang w:val="es-ES"/>
        </w:rPr>
        <w:t xml:space="preserve"> en </w:t>
      </w:r>
      <w:r w:rsidR="007544CA" w:rsidRPr="00F37CDA">
        <w:rPr>
          <w:lang w:val="es-ES"/>
        </w:rPr>
        <w:t>el documento</w:t>
      </w:r>
      <w:r w:rsidRPr="00F37CDA">
        <w:rPr>
          <w:lang w:val="es-ES"/>
        </w:rPr>
        <w:t> MM/A/45/</w:t>
      </w:r>
      <w:r w:rsidR="00544E65" w:rsidRPr="00F37CDA">
        <w:rPr>
          <w:lang w:val="es-ES"/>
        </w:rPr>
        <w:t>4</w:t>
      </w:r>
      <w:r w:rsidRPr="00F37CDA">
        <w:rPr>
          <w:lang w:val="es-ES"/>
        </w:rPr>
        <w:t xml:space="preserve">, </w:t>
      </w:r>
      <w:r w:rsidR="007544CA" w:rsidRPr="00F37CDA">
        <w:rPr>
          <w:lang w:val="es-ES"/>
        </w:rPr>
        <w:t>y encomendó a la Oficina Internacional el mandato de llevar a cabo un examen de dichas prácticas transcurrido un período de tres años</w:t>
      </w:r>
      <w:r w:rsidRPr="00F37CDA">
        <w:rPr>
          <w:rStyle w:val="FootnoteReference"/>
          <w:lang w:val="es-ES"/>
        </w:rPr>
        <w:footnoteReference w:id="2"/>
      </w:r>
      <w:r w:rsidRPr="00F37CDA">
        <w:rPr>
          <w:lang w:val="es-ES"/>
        </w:rPr>
        <w:t xml:space="preserve">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7544CA" w:rsidRPr="00F37CDA">
        <w:rPr>
          <w:lang w:val="es-ES"/>
        </w:rPr>
        <w:t xml:space="preserve">La finalidad del presente documento consiste en </w:t>
      </w:r>
      <w:r w:rsidR="00D3367D" w:rsidRPr="00F37CDA">
        <w:rPr>
          <w:lang w:val="es-ES"/>
        </w:rPr>
        <w:t>presentar un examen</w:t>
      </w:r>
      <w:r w:rsidR="007544CA" w:rsidRPr="00F37CDA">
        <w:rPr>
          <w:lang w:val="es-ES"/>
        </w:rPr>
        <w:t xml:space="preserve"> </w:t>
      </w:r>
      <w:r w:rsidR="00D3367D" w:rsidRPr="00F37CDA">
        <w:rPr>
          <w:lang w:val="es-ES"/>
        </w:rPr>
        <w:t xml:space="preserve">de </w:t>
      </w:r>
      <w:r w:rsidR="007544CA" w:rsidRPr="00F37CDA">
        <w:rPr>
          <w:lang w:val="es-ES"/>
        </w:rPr>
        <w:t>las prácticas actuales en materia de traducción</w:t>
      </w:r>
      <w:r w:rsidRPr="00F37CDA">
        <w:rPr>
          <w:lang w:val="es-ES"/>
        </w:rPr>
        <w:t xml:space="preserve">, </w:t>
      </w:r>
      <w:r w:rsidR="0048479C" w:rsidRPr="00F37CDA">
        <w:rPr>
          <w:lang w:val="es-ES"/>
        </w:rPr>
        <w:t xml:space="preserve">tras </w:t>
      </w:r>
      <w:r w:rsidR="00F94196" w:rsidRPr="00F37CDA">
        <w:rPr>
          <w:lang w:val="es-ES"/>
        </w:rPr>
        <w:t xml:space="preserve">el </w:t>
      </w:r>
      <w:r w:rsidR="007544CA" w:rsidRPr="00F37CDA">
        <w:rPr>
          <w:lang w:val="es-ES"/>
        </w:rPr>
        <w:t>período de</w:t>
      </w:r>
      <w:r w:rsidR="006F7EA8" w:rsidRPr="00F37CDA">
        <w:rPr>
          <w:lang w:val="es-ES"/>
        </w:rPr>
        <w:t xml:space="preserve"> tres </w:t>
      </w:r>
      <w:r w:rsidR="007544CA" w:rsidRPr="00F37CDA">
        <w:rPr>
          <w:lang w:val="es-ES"/>
        </w:rPr>
        <w:t>años</w:t>
      </w:r>
      <w:r w:rsidR="00310E4C" w:rsidRPr="00F37CDA">
        <w:rPr>
          <w:lang w:val="es-ES"/>
        </w:rPr>
        <w:t xml:space="preserve"> susodicho</w:t>
      </w:r>
      <w:r w:rsidRPr="00F37CDA">
        <w:rPr>
          <w:lang w:val="es-ES"/>
        </w:rPr>
        <w:t xml:space="preserve">, </w:t>
      </w:r>
      <w:r w:rsidR="007544CA" w:rsidRPr="00F37CDA">
        <w:rPr>
          <w:lang w:val="es-ES"/>
        </w:rPr>
        <w:t>conforme al mandato de la Asamblea de la Unión de Madrid</w:t>
      </w:r>
      <w:r w:rsidRPr="00F37CDA">
        <w:rPr>
          <w:lang w:val="es-ES"/>
        </w:rPr>
        <w:t xml:space="preserve">.  </w:t>
      </w:r>
      <w:r w:rsidR="007544CA" w:rsidRPr="00F37CDA">
        <w:rPr>
          <w:lang w:val="es-ES"/>
        </w:rPr>
        <w:t xml:space="preserve">En concreto, </w:t>
      </w:r>
      <w:r w:rsidR="00310E4C" w:rsidRPr="00F37CDA">
        <w:rPr>
          <w:lang w:val="es-ES"/>
        </w:rPr>
        <w:t xml:space="preserve">en </w:t>
      </w:r>
      <w:r w:rsidR="007544CA" w:rsidRPr="00F37CDA">
        <w:rPr>
          <w:lang w:val="es-ES"/>
        </w:rPr>
        <w:t xml:space="preserve">este documento </w:t>
      </w:r>
      <w:r w:rsidR="00310E4C" w:rsidRPr="00F37CDA">
        <w:rPr>
          <w:lang w:val="es-ES"/>
        </w:rPr>
        <w:t xml:space="preserve">figura </w:t>
      </w:r>
      <w:r w:rsidR="007544CA" w:rsidRPr="00F37CDA">
        <w:rPr>
          <w:lang w:val="es-ES"/>
        </w:rPr>
        <w:t xml:space="preserve">información </w:t>
      </w:r>
      <w:r w:rsidR="003522A9" w:rsidRPr="00F37CDA">
        <w:rPr>
          <w:lang w:val="es-ES"/>
        </w:rPr>
        <w:t xml:space="preserve">de carácter general </w:t>
      </w:r>
      <w:r w:rsidR="007544CA" w:rsidRPr="00F37CDA">
        <w:rPr>
          <w:lang w:val="es-ES"/>
        </w:rPr>
        <w:t xml:space="preserve">sobre </w:t>
      </w:r>
      <w:r w:rsidR="003522A9" w:rsidRPr="00F37CDA">
        <w:rPr>
          <w:lang w:val="es-ES"/>
        </w:rPr>
        <w:t xml:space="preserve">el conjunto de las actividades de </w:t>
      </w:r>
      <w:r w:rsidR="007544CA" w:rsidRPr="00F37CDA">
        <w:rPr>
          <w:lang w:val="es-ES"/>
        </w:rPr>
        <w:t xml:space="preserve">traducción </w:t>
      </w:r>
      <w:r w:rsidR="003522A9" w:rsidRPr="00F37CDA">
        <w:rPr>
          <w:lang w:val="es-ES"/>
        </w:rPr>
        <w:t>emprendidas</w:t>
      </w:r>
      <w:r w:rsidR="007544CA" w:rsidRPr="00F37CDA">
        <w:rPr>
          <w:lang w:val="es-ES"/>
        </w:rPr>
        <w:t xml:space="preserve"> por la Oficina Internacional desde que esta cuestión fue examinada por última vez por el Grupo de Trabajo, se describe la repercusión de las prácticas en materia de traducción y se examinan dichas prácticas teniendo presente </w:t>
      </w:r>
      <w:r w:rsidR="00213215" w:rsidRPr="00F37CDA">
        <w:rPr>
          <w:lang w:val="es-ES"/>
        </w:rPr>
        <w:t>los avances</w:t>
      </w:r>
      <w:r w:rsidR="007544CA" w:rsidRPr="00F37CDA">
        <w:rPr>
          <w:lang w:val="es-ES"/>
        </w:rPr>
        <w:t xml:space="preserve"> en curso </w:t>
      </w:r>
      <w:r w:rsidR="004C3C52" w:rsidRPr="00F37CDA">
        <w:rPr>
          <w:lang w:val="es-ES"/>
        </w:rPr>
        <w:t>de</w:t>
      </w:r>
      <w:r w:rsidR="007544CA" w:rsidRPr="00F37CDA">
        <w:rPr>
          <w:lang w:val="es-ES"/>
        </w:rPr>
        <w:t xml:space="preserve"> la</w:t>
      </w:r>
      <w:r w:rsidR="0052696B" w:rsidRPr="00F37CDA">
        <w:rPr>
          <w:lang w:val="es-ES"/>
        </w:rPr>
        <w:t>s</w:t>
      </w:r>
      <w:r w:rsidR="007544CA" w:rsidRPr="00F37CDA">
        <w:rPr>
          <w:lang w:val="es-ES"/>
        </w:rPr>
        <w:t xml:space="preserve"> tecnología</w:t>
      </w:r>
      <w:r w:rsidR="0052696B" w:rsidRPr="00F37CDA">
        <w:rPr>
          <w:lang w:val="es-ES"/>
        </w:rPr>
        <w:t>s</w:t>
      </w:r>
      <w:r w:rsidR="000B5DEE" w:rsidRPr="00F37CDA">
        <w:rPr>
          <w:lang w:val="es-ES"/>
        </w:rPr>
        <w:t xml:space="preserve"> de la información</w:t>
      </w:r>
      <w:r w:rsidR="00213215" w:rsidRPr="00F37CDA">
        <w:rPr>
          <w:lang w:val="es-ES"/>
        </w:rPr>
        <w:t xml:space="preserve"> </w:t>
      </w:r>
      <w:r w:rsidR="00F07E5C" w:rsidRPr="00F37CDA">
        <w:rPr>
          <w:lang w:val="es-ES"/>
        </w:rPr>
        <w:t xml:space="preserve">(T.I.) </w:t>
      </w:r>
      <w:r w:rsidR="007544CA" w:rsidRPr="00F37CDA">
        <w:rPr>
          <w:lang w:val="es-ES"/>
        </w:rPr>
        <w:t>y la traducción automática</w:t>
      </w:r>
      <w:r w:rsidRPr="00F37CDA">
        <w:rPr>
          <w:lang w:val="es-ES"/>
        </w:rPr>
        <w:t xml:space="preserve">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143A5A" w:rsidRPr="00F37CDA">
        <w:rPr>
          <w:lang w:val="es-ES"/>
        </w:rPr>
        <w:t>Se remite al documento</w:t>
      </w:r>
      <w:r w:rsidRPr="00F37CDA">
        <w:rPr>
          <w:lang w:val="es-ES"/>
        </w:rPr>
        <w:t xml:space="preserve"> MM/LD/WG/10/5, </w:t>
      </w:r>
      <w:r w:rsidR="00213215" w:rsidRPr="00F37CDA">
        <w:rPr>
          <w:lang w:val="es-ES"/>
        </w:rPr>
        <w:t>párrafos </w:t>
      </w:r>
      <w:r w:rsidRPr="00F37CDA">
        <w:rPr>
          <w:lang w:val="es-ES"/>
        </w:rPr>
        <w:t xml:space="preserve">48 </w:t>
      </w:r>
      <w:r w:rsidR="00143A5A" w:rsidRPr="00F37CDA">
        <w:rPr>
          <w:lang w:val="es-ES"/>
        </w:rPr>
        <w:t>a</w:t>
      </w:r>
      <w:r w:rsidRPr="00F37CDA">
        <w:rPr>
          <w:lang w:val="es-ES"/>
        </w:rPr>
        <w:t> 63</w:t>
      </w:r>
      <w:r w:rsidR="00143A5A" w:rsidRPr="00F37CDA">
        <w:rPr>
          <w:lang w:val="es-ES"/>
        </w:rPr>
        <w:t xml:space="preserve">, para </w:t>
      </w:r>
      <w:r w:rsidR="00A42B64" w:rsidRPr="00F37CDA">
        <w:rPr>
          <w:lang w:val="es-ES"/>
        </w:rPr>
        <w:t xml:space="preserve">consultar </w:t>
      </w:r>
      <w:r w:rsidR="00143A5A" w:rsidRPr="00F37CDA">
        <w:rPr>
          <w:lang w:val="es-ES"/>
        </w:rPr>
        <w:t xml:space="preserve">una explicación más pormenorizada acerca de las prácticas </w:t>
      </w:r>
      <w:r w:rsidR="00213215" w:rsidRPr="00F37CDA">
        <w:rPr>
          <w:lang w:val="es-ES"/>
        </w:rPr>
        <w:t>actuales</w:t>
      </w:r>
      <w:r w:rsidR="00143A5A" w:rsidRPr="00F37CDA">
        <w:rPr>
          <w:lang w:val="es-ES"/>
        </w:rPr>
        <w:t xml:space="preserve"> en materia de traducción</w:t>
      </w:r>
      <w:r w:rsidRPr="00F37CDA">
        <w:rPr>
          <w:lang w:val="es-ES"/>
        </w:rPr>
        <w:t xml:space="preserve">.  </w:t>
      </w:r>
    </w:p>
    <w:p w:rsidR="00A4218B" w:rsidRPr="00F37CDA" w:rsidRDefault="00F5390A" w:rsidP="00F37CDA">
      <w:pPr>
        <w:pStyle w:val="Heading1"/>
        <w:keepNext w:val="0"/>
        <w:widowControl w:val="0"/>
        <w:rPr>
          <w:lang w:val="es-ES"/>
        </w:rPr>
      </w:pPr>
      <w:r w:rsidRPr="00F37CDA">
        <w:rPr>
          <w:lang w:val="es-ES"/>
        </w:rPr>
        <w:t xml:space="preserve">ACTIVIDADES EN RELACIÓN CON LA TRADUCCIÓN </w:t>
      </w:r>
      <w:r w:rsidR="00213215" w:rsidRPr="00F37CDA">
        <w:rPr>
          <w:lang w:val="es-ES"/>
        </w:rPr>
        <w:t>emprendidas</w:t>
      </w:r>
      <w:r w:rsidRPr="00F37CDA">
        <w:rPr>
          <w:lang w:val="es-ES"/>
        </w:rPr>
        <w:t xml:space="preserve"> POR LA OFICINA INTERNACIONAL EN </w:t>
      </w:r>
      <w:r w:rsidR="006C4801" w:rsidRPr="00F37CDA">
        <w:rPr>
          <w:lang w:val="es-ES"/>
        </w:rPr>
        <w:t xml:space="preserve">el marco </w:t>
      </w:r>
      <w:r w:rsidRPr="00F37CDA">
        <w:rPr>
          <w:lang w:val="es-ES"/>
        </w:rPr>
        <w:t>DEL SISTEMA DE MADRID</w:t>
      </w:r>
      <w:proofErr w:type="gramStart"/>
      <w:r w:rsidR="00A4218B" w:rsidRPr="00F37CDA">
        <w:rPr>
          <w:lang w:val="es-ES"/>
        </w:rPr>
        <w:t>:  2012</w:t>
      </w:r>
      <w:proofErr w:type="gramEnd"/>
      <w:r w:rsidR="00A4218B" w:rsidRPr="00F37CDA">
        <w:rPr>
          <w:lang w:val="es-ES"/>
        </w:rPr>
        <w:t xml:space="preserve"> </w:t>
      </w:r>
      <w:r w:rsidRPr="00F37CDA">
        <w:rPr>
          <w:lang w:val="es-ES"/>
        </w:rPr>
        <w:t>A</w:t>
      </w:r>
      <w:r w:rsidR="00A4218B" w:rsidRPr="00F37CDA">
        <w:rPr>
          <w:lang w:val="es-ES"/>
        </w:rPr>
        <w:t xml:space="preserve"> 2014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F5390A" w:rsidRPr="00F37CDA">
        <w:rPr>
          <w:lang w:val="es-ES"/>
        </w:rPr>
        <w:t>Entre</w:t>
      </w:r>
      <w:r w:rsidRPr="00F37CDA">
        <w:rPr>
          <w:lang w:val="es-ES"/>
        </w:rPr>
        <w:t xml:space="preserve"> 2012 </w:t>
      </w:r>
      <w:r w:rsidR="00F5390A" w:rsidRPr="00F37CDA">
        <w:rPr>
          <w:lang w:val="es-ES"/>
        </w:rPr>
        <w:t xml:space="preserve">y </w:t>
      </w:r>
      <w:r w:rsidRPr="00F37CDA">
        <w:rPr>
          <w:lang w:val="es-ES"/>
        </w:rPr>
        <w:t xml:space="preserve">2014 </w:t>
      </w:r>
      <w:r w:rsidR="00F5390A" w:rsidRPr="00F37CDA">
        <w:rPr>
          <w:lang w:val="es-ES"/>
        </w:rPr>
        <w:t xml:space="preserve">se produjo un aumento </w:t>
      </w:r>
      <w:r w:rsidR="00D74987" w:rsidRPr="00F37CDA">
        <w:rPr>
          <w:lang w:val="es-ES"/>
        </w:rPr>
        <w:t xml:space="preserve">considerable </w:t>
      </w:r>
      <w:r w:rsidR="002E693B" w:rsidRPr="00F37CDA">
        <w:rPr>
          <w:lang w:val="es-ES"/>
        </w:rPr>
        <w:t>d</w:t>
      </w:r>
      <w:r w:rsidR="00F5390A" w:rsidRPr="00F37CDA">
        <w:rPr>
          <w:lang w:val="es-ES"/>
        </w:rPr>
        <w:t>el volumen de traducción</w:t>
      </w:r>
      <w:r w:rsidRPr="00F37CDA">
        <w:rPr>
          <w:lang w:val="es-ES"/>
        </w:rPr>
        <w:t xml:space="preserve">.  </w:t>
      </w:r>
      <w:r w:rsidR="00F5390A" w:rsidRPr="00F37CDA">
        <w:rPr>
          <w:lang w:val="es-ES"/>
        </w:rPr>
        <w:t xml:space="preserve">El número de inscripciones </w:t>
      </w:r>
      <w:r w:rsidR="004C242B" w:rsidRPr="00F37CDA">
        <w:rPr>
          <w:lang w:val="es-ES"/>
        </w:rPr>
        <w:t>creció</w:t>
      </w:r>
      <w:r w:rsidR="002E693B" w:rsidRPr="00F37CDA">
        <w:rPr>
          <w:lang w:val="es-ES"/>
        </w:rPr>
        <w:t xml:space="preserve"> </w:t>
      </w:r>
      <w:r w:rsidR="00F5390A" w:rsidRPr="00F37CDA">
        <w:rPr>
          <w:lang w:val="es-ES"/>
        </w:rPr>
        <w:t xml:space="preserve">en un </w:t>
      </w:r>
      <w:r w:rsidRPr="00F37CDA">
        <w:rPr>
          <w:lang w:val="es-ES"/>
        </w:rPr>
        <w:t xml:space="preserve">15%, </w:t>
      </w:r>
      <w:r w:rsidR="00F5390A" w:rsidRPr="00F37CDA">
        <w:rPr>
          <w:lang w:val="es-ES"/>
        </w:rPr>
        <w:t>mientras que</w:t>
      </w:r>
      <w:r w:rsidR="001A126D" w:rsidRPr="00F37CDA">
        <w:rPr>
          <w:lang w:val="es-ES"/>
        </w:rPr>
        <w:t xml:space="preserve"> </w:t>
      </w:r>
      <w:r w:rsidR="00F5390A" w:rsidRPr="00F37CDA">
        <w:rPr>
          <w:lang w:val="es-ES"/>
        </w:rPr>
        <w:t xml:space="preserve">el número de palabras traducidas </w:t>
      </w:r>
      <w:r w:rsidR="002E693B" w:rsidRPr="00F37CDA">
        <w:rPr>
          <w:lang w:val="es-ES"/>
        </w:rPr>
        <w:t xml:space="preserve">se incrementó </w:t>
      </w:r>
      <w:r w:rsidR="00F5390A" w:rsidRPr="00F37CDA">
        <w:rPr>
          <w:lang w:val="es-ES"/>
        </w:rPr>
        <w:t xml:space="preserve">en un </w:t>
      </w:r>
      <w:r w:rsidRPr="00F37CDA">
        <w:rPr>
          <w:lang w:val="es-ES"/>
        </w:rPr>
        <w:t>77%</w:t>
      </w:r>
      <w:r w:rsidR="001A126D" w:rsidRPr="00F37CDA">
        <w:rPr>
          <w:lang w:val="es-ES"/>
        </w:rPr>
        <w:t xml:space="preserve"> en el mismo período</w:t>
      </w:r>
      <w:r w:rsidRPr="00F37CDA">
        <w:rPr>
          <w:lang w:val="es-ES"/>
        </w:rPr>
        <w:t xml:space="preserve">.  </w:t>
      </w:r>
      <w:r w:rsidR="00F5390A" w:rsidRPr="00F37CDA">
        <w:rPr>
          <w:lang w:val="es-ES"/>
        </w:rPr>
        <w:t>E</w:t>
      </w:r>
      <w:r w:rsidRPr="00F37CDA">
        <w:rPr>
          <w:lang w:val="es-ES"/>
        </w:rPr>
        <w:t xml:space="preserve">n 2012, </w:t>
      </w:r>
      <w:r w:rsidR="00F5390A" w:rsidRPr="00F37CDA">
        <w:rPr>
          <w:lang w:val="es-ES"/>
        </w:rPr>
        <w:t xml:space="preserve">la Oficina Internacional </w:t>
      </w:r>
      <w:r w:rsidR="000C1063">
        <w:rPr>
          <w:lang w:val="es-ES"/>
        </w:rPr>
        <w:t>efectuó </w:t>
      </w:r>
      <w:r w:rsidR="00F5390A" w:rsidRPr="00F37CDA">
        <w:rPr>
          <w:lang w:val="es-ES"/>
        </w:rPr>
        <w:t>612.</w:t>
      </w:r>
      <w:r w:rsidRPr="00F37CDA">
        <w:rPr>
          <w:lang w:val="es-ES"/>
        </w:rPr>
        <w:t>712 </w:t>
      </w:r>
      <w:r w:rsidR="00F5390A" w:rsidRPr="00F37CDA">
        <w:rPr>
          <w:lang w:val="es-ES"/>
        </w:rPr>
        <w:t>inscripciones</w:t>
      </w:r>
      <w:r w:rsidRPr="00F37CDA">
        <w:rPr>
          <w:lang w:val="es-ES"/>
        </w:rPr>
        <w:t xml:space="preserve">, </w:t>
      </w:r>
      <w:r w:rsidR="00F5390A" w:rsidRPr="00F37CDA">
        <w:rPr>
          <w:lang w:val="es-ES"/>
        </w:rPr>
        <w:t xml:space="preserve">con lo que se tradujeron más de </w:t>
      </w:r>
      <w:r w:rsidRPr="00F37CDA">
        <w:rPr>
          <w:lang w:val="es-ES"/>
        </w:rPr>
        <w:t>15 </w:t>
      </w:r>
      <w:r w:rsidR="00F5390A" w:rsidRPr="00F37CDA">
        <w:rPr>
          <w:lang w:val="es-ES"/>
        </w:rPr>
        <w:t>millones de palabras</w:t>
      </w:r>
      <w:r w:rsidRPr="00F37CDA">
        <w:rPr>
          <w:lang w:val="es-ES"/>
        </w:rPr>
        <w:t xml:space="preserve">.  </w:t>
      </w:r>
      <w:r w:rsidR="00F5390A" w:rsidRPr="00F37CDA">
        <w:rPr>
          <w:lang w:val="es-ES"/>
        </w:rPr>
        <w:t>E</w:t>
      </w:r>
      <w:r w:rsidRPr="00F37CDA">
        <w:rPr>
          <w:lang w:val="es-ES"/>
        </w:rPr>
        <w:t xml:space="preserve">n 2014, </w:t>
      </w:r>
      <w:r w:rsidR="00F5390A" w:rsidRPr="00F37CDA">
        <w:rPr>
          <w:lang w:val="es-ES"/>
        </w:rPr>
        <w:t>esa</w:t>
      </w:r>
      <w:r w:rsidR="002E693B" w:rsidRPr="00F37CDA">
        <w:rPr>
          <w:lang w:val="es-ES"/>
        </w:rPr>
        <w:t xml:space="preserve"> cifra</w:t>
      </w:r>
      <w:r w:rsidR="00F5390A" w:rsidRPr="00F37CDA">
        <w:rPr>
          <w:lang w:val="es-ES"/>
        </w:rPr>
        <w:t xml:space="preserve"> </w:t>
      </w:r>
      <w:r w:rsidR="002E693B" w:rsidRPr="00F37CDA">
        <w:rPr>
          <w:lang w:val="es-ES"/>
        </w:rPr>
        <w:t xml:space="preserve">aumentó hasta las </w:t>
      </w:r>
      <w:r w:rsidR="00F5390A" w:rsidRPr="00F37CDA">
        <w:rPr>
          <w:lang w:val="es-ES"/>
        </w:rPr>
        <w:t>704.</w:t>
      </w:r>
      <w:r w:rsidRPr="00F37CDA">
        <w:rPr>
          <w:lang w:val="es-ES"/>
        </w:rPr>
        <w:t>748 </w:t>
      </w:r>
      <w:r w:rsidR="00F5390A" w:rsidRPr="00F37CDA">
        <w:rPr>
          <w:lang w:val="es-ES"/>
        </w:rPr>
        <w:t>inscripciones</w:t>
      </w:r>
      <w:r w:rsidRPr="00F37CDA">
        <w:rPr>
          <w:lang w:val="es-ES"/>
        </w:rPr>
        <w:t xml:space="preserve">, </w:t>
      </w:r>
      <w:r w:rsidR="00F5390A" w:rsidRPr="00F37CDA">
        <w:rPr>
          <w:lang w:val="es-ES"/>
        </w:rPr>
        <w:t xml:space="preserve">lo que supuso la traducción de más de </w:t>
      </w:r>
      <w:r w:rsidRPr="00F37CDA">
        <w:rPr>
          <w:lang w:val="es-ES"/>
        </w:rPr>
        <w:t>26</w:t>
      </w:r>
      <w:r w:rsidR="00F5390A" w:rsidRPr="00F37CDA">
        <w:rPr>
          <w:lang w:val="es-ES"/>
        </w:rPr>
        <w:t>,</w:t>
      </w:r>
      <w:r w:rsidRPr="00F37CDA">
        <w:rPr>
          <w:lang w:val="es-ES"/>
        </w:rPr>
        <w:t>6 </w:t>
      </w:r>
      <w:r w:rsidR="00F5390A" w:rsidRPr="00F37CDA">
        <w:rPr>
          <w:lang w:val="es-ES"/>
        </w:rPr>
        <w:t>millones de palabras</w:t>
      </w:r>
      <w:r w:rsidRPr="00F37CDA">
        <w:rPr>
          <w:lang w:val="es-ES"/>
        </w:rPr>
        <w:t xml:space="preserve"> (</w:t>
      </w:r>
      <w:r w:rsidR="00F5390A" w:rsidRPr="00F37CDA">
        <w:rPr>
          <w:lang w:val="es-ES"/>
        </w:rPr>
        <w:t xml:space="preserve">véase el </w:t>
      </w:r>
      <w:r w:rsidR="001252D0" w:rsidRPr="00F37CDA">
        <w:rPr>
          <w:lang w:val="es-ES"/>
        </w:rPr>
        <w:t>c</w:t>
      </w:r>
      <w:r w:rsidR="00F5390A" w:rsidRPr="00F37CDA">
        <w:rPr>
          <w:lang w:val="es-ES"/>
        </w:rPr>
        <w:t>uadro </w:t>
      </w:r>
      <w:r w:rsidR="000C1063">
        <w:rPr>
          <w:lang w:val="es-ES"/>
        </w:rPr>
        <w:t>I).</w:t>
      </w:r>
    </w:p>
    <w:p w:rsidR="00A4218B" w:rsidRPr="00F37CDA" w:rsidRDefault="00F5390A" w:rsidP="00F37CDA">
      <w:pPr>
        <w:pStyle w:val="Heading4"/>
        <w:keepNext w:val="0"/>
        <w:widowControl w:val="0"/>
        <w:rPr>
          <w:lang w:val="es-ES"/>
        </w:rPr>
      </w:pPr>
      <w:r w:rsidRPr="00F37CDA">
        <w:rPr>
          <w:lang w:val="es-ES"/>
        </w:rPr>
        <w:t>Cuadro</w:t>
      </w:r>
      <w:r w:rsidR="00A4218B" w:rsidRPr="00F37CDA">
        <w:rPr>
          <w:lang w:val="es-ES"/>
        </w:rPr>
        <w:t> I</w:t>
      </w:r>
      <w:proofErr w:type="gramStart"/>
      <w:r w:rsidR="00A4218B" w:rsidRPr="00F37CDA">
        <w:rPr>
          <w:lang w:val="es-ES"/>
        </w:rPr>
        <w:t xml:space="preserve">:  </w:t>
      </w:r>
      <w:r w:rsidRPr="00F37CDA">
        <w:rPr>
          <w:lang w:val="es-ES"/>
        </w:rPr>
        <w:t>Actividades</w:t>
      </w:r>
      <w:proofErr w:type="gramEnd"/>
      <w:r w:rsidRPr="00F37CDA">
        <w:rPr>
          <w:lang w:val="es-ES"/>
        </w:rPr>
        <w:t xml:space="preserve"> de traducción (</w:t>
      </w:r>
      <w:r w:rsidR="00A4218B" w:rsidRPr="00F37CDA">
        <w:rPr>
          <w:lang w:val="es-ES"/>
        </w:rPr>
        <w:t xml:space="preserve">2012 </w:t>
      </w:r>
      <w:r w:rsidRPr="00F37CDA">
        <w:rPr>
          <w:lang w:val="es-ES"/>
        </w:rPr>
        <w:t>a</w:t>
      </w:r>
      <w:r w:rsidR="00A4218B" w:rsidRPr="00F37CDA">
        <w:rPr>
          <w:lang w:val="es-ES"/>
        </w:rPr>
        <w:t xml:space="preserve"> 2014</w:t>
      </w:r>
      <w:r w:rsidRPr="00F37CDA">
        <w:rPr>
          <w:lang w:val="es-ES"/>
        </w:rPr>
        <w:t>)</w:t>
      </w:r>
    </w:p>
    <w:p w:rsidR="00A4218B" w:rsidRPr="00F37CDA" w:rsidRDefault="00A4218B" w:rsidP="00F37CDA">
      <w:pPr>
        <w:widowControl w:val="0"/>
        <w:rPr>
          <w:lang w:val="es-ES"/>
        </w:rPr>
      </w:pPr>
    </w:p>
    <w:tbl>
      <w:tblPr>
        <w:tblW w:w="9360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8"/>
        <w:gridCol w:w="2837"/>
        <w:gridCol w:w="2837"/>
        <w:gridCol w:w="2558"/>
      </w:tblGrid>
      <w:tr w:rsidR="00A4218B" w:rsidRPr="00F37CDA" w:rsidTr="001E6C90">
        <w:trPr>
          <w:trHeight w:val="765"/>
          <w:jc w:val="center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18B" w:rsidRPr="00F37CDA" w:rsidRDefault="008D1931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 xml:space="preserve">Inscripciones en el </w:t>
            </w:r>
            <w:r w:rsidR="00A4218B" w:rsidRPr="00F37CDA">
              <w:rPr>
                <w:sz w:val="18"/>
                <w:szCs w:val="18"/>
                <w:lang w:val="es-ES"/>
              </w:rPr>
              <w:br/>
            </w:r>
            <w:r w:rsidRPr="00F37CDA">
              <w:rPr>
                <w:sz w:val="18"/>
                <w:szCs w:val="18"/>
                <w:lang w:val="es-ES"/>
              </w:rPr>
              <w:t xml:space="preserve">Registro </w:t>
            </w:r>
            <w:r w:rsidR="00A4218B" w:rsidRPr="00F37CDA">
              <w:rPr>
                <w:sz w:val="18"/>
                <w:szCs w:val="18"/>
                <w:lang w:val="es-ES"/>
              </w:rPr>
              <w:t>Interna</w:t>
            </w:r>
            <w:r w:rsidRPr="00F37CDA">
              <w:rPr>
                <w:sz w:val="18"/>
                <w:szCs w:val="18"/>
                <w:lang w:val="es-ES"/>
              </w:rPr>
              <w:t>c</w:t>
            </w:r>
            <w:r w:rsidR="00A4218B" w:rsidRPr="00F37CDA">
              <w:rPr>
                <w:sz w:val="18"/>
                <w:szCs w:val="18"/>
                <w:lang w:val="es-ES"/>
              </w:rPr>
              <w:t>ional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18B" w:rsidRPr="00F37CDA" w:rsidRDefault="008D1931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Número de traducciones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4218B" w:rsidRPr="00F37CDA" w:rsidRDefault="008D1931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Número de palabras traducidas</w:t>
            </w:r>
          </w:p>
        </w:tc>
      </w:tr>
      <w:tr w:rsidR="00A4218B" w:rsidRPr="00F37CDA" w:rsidTr="001E6C90">
        <w:trPr>
          <w:trHeight w:val="25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2012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612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712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123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668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15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029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668</w:t>
            </w:r>
          </w:p>
        </w:tc>
      </w:tr>
      <w:tr w:rsidR="00A4218B" w:rsidRPr="00F37CDA" w:rsidTr="001E6C90">
        <w:trPr>
          <w:trHeight w:val="25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2013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722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363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123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624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24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511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019</w:t>
            </w:r>
          </w:p>
        </w:tc>
      </w:tr>
      <w:tr w:rsidR="00A4218B" w:rsidRPr="00F37CDA" w:rsidTr="001E6C90">
        <w:trPr>
          <w:trHeight w:val="255"/>
          <w:jc w:val="center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2014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704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748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116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632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tabs>
                <w:tab w:val="num" w:pos="284"/>
              </w:tabs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26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608</w:t>
            </w:r>
            <w:r w:rsidR="00F5390A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859</w:t>
            </w:r>
          </w:p>
        </w:tc>
      </w:tr>
    </w:tbl>
    <w:p w:rsidR="00C46B0A" w:rsidRDefault="00C46B0A" w:rsidP="00F37CDA">
      <w:pPr>
        <w:widowControl w:val="0"/>
        <w:rPr>
          <w:lang w:val="es-ES"/>
        </w:rPr>
      </w:pPr>
      <w:r>
        <w:rPr>
          <w:lang w:val="es-ES"/>
        </w:rPr>
        <w:br w:type="page"/>
      </w: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lastRenderedPageBreak/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1252D0" w:rsidRPr="00F37CDA">
        <w:rPr>
          <w:lang w:val="es-ES"/>
        </w:rPr>
        <w:t xml:space="preserve">El motivo principal de este aumento del volumen de traducción </w:t>
      </w:r>
      <w:r w:rsidR="004C3C52" w:rsidRPr="00F37CDA">
        <w:rPr>
          <w:lang w:val="es-ES"/>
        </w:rPr>
        <w:t>es</w:t>
      </w:r>
      <w:r w:rsidR="002E693B" w:rsidRPr="00F37CDA">
        <w:rPr>
          <w:lang w:val="es-ES"/>
        </w:rPr>
        <w:t xml:space="preserve"> </w:t>
      </w:r>
      <w:r w:rsidR="004C3C52" w:rsidRPr="00F37CDA">
        <w:rPr>
          <w:lang w:val="es-ES"/>
        </w:rPr>
        <w:t xml:space="preserve">el </w:t>
      </w:r>
      <w:r w:rsidR="001252D0" w:rsidRPr="00F37CDA">
        <w:rPr>
          <w:lang w:val="es-ES"/>
        </w:rPr>
        <w:t xml:space="preserve">auge </w:t>
      </w:r>
      <w:r w:rsidR="00A87782" w:rsidRPr="00F37CDA">
        <w:rPr>
          <w:lang w:val="es-ES"/>
        </w:rPr>
        <w:t>d</w:t>
      </w:r>
      <w:r w:rsidR="001252D0" w:rsidRPr="00F37CDA">
        <w:rPr>
          <w:lang w:val="es-ES"/>
        </w:rPr>
        <w:t>el número de palabras en los registros internacionales</w:t>
      </w:r>
      <w:r w:rsidRPr="00F37CDA">
        <w:rPr>
          <w:lang w:val="es-ES"/>
        </w:rPr>
        <w:t xml:space="preserve">.  </w:t>
      </w:r>
      <w:r w:rsidR="00A87782" w:rsidRPr="00F37CDA">
        <w:rPr>
          <w:lang w:val="es-ES"/>
        </w:rPr>
        <w:t>En rigor</w:t>
      </w:r>
      <w:r w:rsidRPr="00F37CDA">
        <w:rPr>
          <w:lang w:val="es-ES"/>
        </w:rPr>
        <w:t xml:space="preserve">, </w:t>
      </w:r>
      <w:r w:rsidR="00A87782" w:rsidRPr="00F37CDA">
        <w:rPr>
          <w:lang w:val="es-ES"/>
        </w:rPr>
        <w:t>el número de palabras</w:t>
      </w:r>
      <w:r w:rsidR="0040359E" w:rsidRPr="00F37CDA">
        <w:rPr>
          <w:lang w:val="es-ES"/>
        </w:rPr>
        <w:t xml:space="preserve"> traducidas </w:t>
      </w:r>
      <w:r w:rsidR="00CD6E93" w:rsidRPr="00F37CDA">
        <w:rPr>
          <w:lang w:val="es-ES"/>
        </w:rPr>
        <w:t xml:space="preserve">correspondiente a los </w:t>
      </w:r>
      <w:r w:rsidR="0040359E" w:rsidRPr="00F37CDA">
        <w:rPr>
          <w:lang w:val="es-ES"/>
        </w:rPr>
        <w:t>registros internacionales</w:t>
      </w:r>
      <w:r w:rsidR="00A87782" w:rsidRPr="00F37CDA">
        <w:rPr>
          <w:lang w:val="es-ES"/>
        </w:rPr>
        <w:t xml:space="preserve"> pasó de cerca de 12,</w:t>
      </w:r>
      <w:r w:rsidRPr="00F37CDA">
        <w:rPr>
          <w:lang w:val="es-ES"/>
        </w:rPr>
        <w:t>6 </w:t>
      </w:r>
      <w:r w:rsidR="00A87782" w:rsidRPr="00F37CDA">
        <w:rPr>
          <w:lang w:val="es-ES"/>
        </w:rPr>
        <w:t>millones</w:t>
      </w:r>
      <w:r w:rsidRPr="00F37CDA">
        <w:rPr>
          <w:lang w:val="es-ES"/>
        </w:rPr>
        <w:t xml:space="preserve">, </w:t>
      </w:r>
      <w:r w:rsidR="00A87782" w:rsidRPr="00F37CDA">
        <w:rPr>
          <w:lang w:val="es-ES"/>
        </w:rPr>
        <w:t>e</w:t>
      </w:r>
      <w:r w:rsidRPr="00F37CDA">
        <w:rPr>
          <w:lang w:val="es-ES"/>
        </w:rPr>
        <w:t xml:space="preserve">n 2012, </w:t>
      </w:r>
      <w:r w:rsidR="000C1063">
        <w:rPr>
          <w:lang w:val="es-ES"/>
        </w:rPr>
        <w:t>a casi </w:t>
      </w:r>
      <w:r w:rsidRPr="00F37CDA">
        <w:rPr>
          <w:lang w:val="es-ES"/>
        </w:rPr>
        <w:t>23 </w:t>
      </w:r>
      <w:r w:rsidR="00A87782" w:rsidRPr="00F37CDA">
        <w:rPr>
          <w:lang w:val="es-ES"/>
        </w:rPr>
        <w:t>millones</w:t>
      </w:r>
      <w:r w:rsidRPr="00F37CDA">
        <w:rPr>
          <w:lang w:val="es-ES"/>
        </w:rPr>
        <w:t xml:space="preserve">, </w:t>
      </w:r>
      <w:r w:rsidR="00A87782" w:rsidRPr="00F37CDA">
        <w:rPr>
          <w:lang w:val="es-ES"/>
        </w:rPr>
        <w:t>e</w:t>
      </w:r>
      <w:r w:rsidRPr="00F37CDA">
        <w:rPr>
          <w:lang w:val="es-ES"/>
        </w:rPr>
        <w:t xml:space="preserve">n 2014, </w:t>
      </w:r>
      <w:r w:rsidR="00A87782" w:rsidRPr="00F37CDA">
        <w:rPr>
          <w:lang w:val="es-ES"/>
        </w:rPr>
        <w:t xml:space="preserve">lo que </w:t>
      </w:r>
      <w:r w:rsidR="002E693B" w:rsidRPr="00F37CDA">
        <w:rPr>
          <w:lang w:val="es-ES"/>
        </w:rPr>
        <w:t xml:space="preserve">supuso </w:t>
      </w:r>
      <w:r w:rsidR="00A87782" w:rsidRPr="00F37CDA">
        <w:rPr>
          <w:lang w:val="es-ES"/>
        </w:rPr>
        <w:t xml:space="preserve">un aumento </w:t>
      </w:r>
      <w:r w:rsidR="00B7400B" w:rsidRPr="00F37CDA">
        <w:rPr>
          <w:lang w:val="es-ES"/>
        </w:rPr>
        <w:t>superior al</w:t>
      </w:r>
      <w:r w:rsidR="002E693B" w:rsidRPr="00F37CDA">
        <w:rPr>
          <w:lang w:val="es-ES"/>
        </w:rPr>
        <w:t xml:space="preserve"> </w:t>
      </w:r>
      <w:r w:rsidRPr="00F37CDA">
        <w:rPr>
          <w:lang w:val="es-ES"/>
        </w:rPr>
        <w:t xml:space="preserve">82%, </w:t>
      </w:r>
      <w:r w:rsidR="00A87782" w:rsidRPr="00F37CDA">
        <w:rPr>
          <w:lang w:val="es-ES"/>
        </w:rPr>
        <w:t xml:space="preserve">mientras que el número de palabras traducidas </w:t>
      </w:r>
      <w:r w:rsidR="00063294" w:rsidRPr="00F37CDA">
        <w:rPr>
          <w:lang w:val="es-ES"/>
        </w:rPr>
        <w:t xml:space="preserve">en relación con </w:t>
      </w:r>
      <w:r w:rsidR="00A87782" w:rsidRPr="00F37CDA">
        <w:rPr>
          <w:lang w:val="es-ES"/>
        </w:rPr>
        <w:t>otr</w:t>
      </w:r>
      <w:r w:rsidR="00063294" w:rsidRPr="00F37CDA">
        <w:rPr>
          <w:lang w:val="es-ES"/>
        </w:rPr>
        <w:t>os tipos de inscripción</w:t>
      </w:r>
      <w:r w:rsidR="00A87782" w:rsidRPr="00F37CDA">
        <w:rPr>
          <w:lang w:val="es-ES"/>
        </w:rPr>
        <w:t xml:space="preserve"> se incrementó en un </w:t>
      </w:r>
      <w:r w:rsidRPr="00F37CDA">
        <w:rPr>
          <w:lang w:val="es-ES"/>
        </w:rPr>
        <w:t>50% (</w:t>
      </w:r>
      <w:r w:rsidR="00A87782" w:rsidRPr="00F37CDA">
        <w:rPr>
          <w:lang w:val="es-ES"/>
        </w:rPr>
        <w:t>véase el cuadro </w:t>
      </w:r>
      <w:r w:rsidR="000C1063">
        <w:rPr>
          <w:lang w:val="es-ES"/>
        </w:rPr>
        <w:t>II).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A87782" w:rsidRPr="00F37CDA">
        <w:rPr>
          <w:lang w:val="es-ES"/>
        </w:rPr>
        <w:t xml:space="preserve">Teniendo en cuenta el número de palabras traducidas, el </w:t>
      </w:r>
      <w:r w:rsidR="006829C8" w:rsidRPr="00F37CDA">
        <w:rPr>
          <w:lang w:val="es-ES"/>
        </w:rPr>
        <w:t xml:space="preserve">mayor </w:t>
      </w:r>
      <w:r w:rsidR="00A87782" w:rsidRPr="00F37CDA">
        <w:rPr>
          <w:lang w:val="es-ES"/>
        </w:rPr>
        <w:t xml:space="preserve">volumen de traducción continúa </w:t>
      </w:r>
      <w:r w:rsidR="006829C8" w:rsidRPr="00F37CDA">
        <w:rPr>
          <w:lang w:val="es-ES"/>
        </w:rPr>
        <w:t xml:space="preserve">teniendo su origen en </w:t>
      </w:r>
      <w:r w:rsidR="00A87782" w:rsidRPr="00F37CDA">
        <w:rPr>
          <w:lang w:val="es-ES"/>
        </w:rPr>
        <w:t xml:space="preserve">los registros internacionales, que representan más del </w:t>
      </w:r>
      <w:r w:rsidRPr="00F37CDA">
        <w:rPr>
          <w:lang w:val="es-ES"/>
        </w:rPr>
        <w:t xml:space="preserve">86% </w:t>
      </w:r>
      <w:r w:rsidR="00A87782" w:rsidRPr="00F37CDA">
        <w:rPr>
          <w:lang w:val="es-ES"/>
        </w:rPr>
        <w:t xml:space="preserve">de </w:t>
      </w:r>
      <w:r w:rsidR="0040359E" w:rsidRPr="00F37CDA">
        <w:rPr>
          <w:lang w:val="es-ES"/>
        </w:rPr>
        <w:t>todas las traducciones, seguido</w:t>
      </w:r>
      <w:r w:rsidR="00A87782" w:rsidRPr="00F37CDA">
        <w:rPr>
          <w:lang w:val="es-ES"/>
        </w:rPr>
        <w:t xml:space="preserve"> </w:t>
      </w:r>
      <w:r w:rsidR="0040359E" w:rsidRPr="00F37CDA">
        <w:rPr>
          <w:lang w:val="es-ES"/>
        </w:rPr>
        <w:t xml:space="preserve">por </w:t>
      </w:r>
      <w:r w:rsidR="00A87782" w:rsidRPr="00F37CDA">
        <w:rPr>
          <w:lang w:val="es-ES"/>
        </w:rPr>
        <w:t xml:space="preserve">las declaraciones de concesión de la protección </w:t>
      </w:r>
      <w:r w:rsidR="006829C8" w:rsidRPr="00F37CDA">
        <w:rPr>
          <w:lang w:val="es-ES"/>
        </w:rPr>
        <w:t xml:space="preserve">enviadas </w:t>
      </w:r>
      <w:r w:rsidR="00A87782" w:rsidRPr="00F37CDA">
        <w:rPr>
          <w:lang w:val="es-ES"/>
        </w:rPr>
        <w:t>en virtud de la Regla</w:t>
      </w:r>
      <w:r w:rsidRPr="00F37CDA">
        <w:rPr>
          <w:lang w:val="es-ES"/>
        </w:rPr>
        <w:t> 18</w:t>
      </w:r>
      <w:r w:rsidRPr="00F37CDA">
        <w:rPr>
          <w:i/>
          <w:lang w:val="es-ES"/>
        </w:rPr>
        <w:t>ter</w:t>
      </w:r>
      <w:r w:rsidRPr="00F37CDA">
        <w:rPr>
          <w:lang w:val="es-ES"/>
        </w:rPr>
        <w:t xml:space="preserve"> </w:t>
      </w:r>
      <w:r w:rsidR="00A87782" w:rsidRPr="00F37CDA">
        <w:rPr>
          <w:lang w:val="es-ES"/>
        </w:rPr>
        <w:t xml:space="preserve">del Reglamento Común que, </w:t>
      </w:r>
      <w:r w:rsidR="006829C8" w:rsidRPr="00F37CDA">
        <w:rPr>
          <w:lang w:val="es-ES"/>
        </w:rPr>
        <w:t xml:space="preserve">en el marco de </w:t>
      </w:r>
      <w:r w:rsidR="00A87782" w:rsidRPr="00F37CDA">
        <w:rPr>
          <w:lang w:val="es-ES"/>
        </w:rPr>
        <w:t xml:space="preserve">las prácticas en vigor, representan el </w:t>
      </w:r>
      <w:r w:rsidRPr="00F37CDA">
        <w:rPr>
          <w:lang w:val="es-ES"/>
        </w:rPr>
        <w:t xml:space="preserve">8%.  </w:t>
      </w:r>
    </w:p>
    <w:p w:rsidR="00A4218B" w:rsidRPr="00F37CDA" w:rsidRDefault="00A87782" w:rsidP="00F37CDA">
      <w:pPr>
        <w:pStyle w:val="Heading4"/>
        <w:keepNext w:val="0"/>
        <w:widowControl w:val="0"/>
        <w:rPr>
          <w:lang w:val="es-ES"/>
        </w:rPr>
      </w:pPr>
      <w:r w:rsidRPr="00F37CDA">
        <w:rPr>
          <w:lang w:val="es-ES"/>
        </w:rPr>
        <w:t>Cuadro </w:t>
      </w:r>
      <w:r w:rsidR="00A4218B" w:rsidRPr="00F37CDA">
        <w:rPr>
          <w:lang w:val="es-ES"/>
        </w:rPr>
        <w:t>II</w:t>
      </w:r>
      <w:proofErr w:type="gramStart"/>
      <w:r w:rsidR="00A4218B" w:rsidRPr="00F37CDA">
        <w:rPr>
          <w:lang w:val="es-ES"/>
        </w:rPr>
        <w:t xml:space="preserve">:  </w:t>
      </w:r>
      <w:r w:rsidRPr="00F37CDA">
        <w:rPr>
          <w:lang w:val="es-ES"/>
        </w:rPr>
        <w:t>Palabras</w:t>
      </w:r>
      <w:proofErr w:type="gramEnd"/>
      <w:r w:rsidRPr="00F37CDA">
        <w:rPr>
          <w:lang w:val="es-ES"/>
        </w:rPr>
        <w:t xml:space="preserve"> traducidas por tipo de inscripción (</w:t>
      </w:r>
      <w:r w:rsidR="00A4218B" w:rsidRPr="00F37CDA">
        <w:rPr>
          <w:lang w:val="es-ES"/>
        </w:rPr>
        <w:t xml:space="preserve">2012 </w:t>
      </w:r>
      <w:r w:rsidRPr="00F37CDA">
        <w:rPr>
          <w:lang w:val="es-ES"/>
        </w:rPr>
        <w:t>a</w:t>
      </w:r>
      <w:r w:rsidR="00A4218B" w:rsidRPr="00F37CDA">
        <w:rPr>
          <w:lang w:val="es-ES"/>
        </w:rPr>
        <w:t xml:space="preserve"> 2014</w:t>
      </w:r>
      <w:r w:rsidRPr="00F37CDA">
        <w:rPr>
          <w:lang w:val="es-ES"/>
        </w:rPr>
        <w:t>)</w:t>
      </w:r>
    </w:p>
    <w:p w:rsidR="00A4218B" w:rsidRPr="00F37CDA" w:rsidRDefault="00A4218B" w:rsidP="00F37CDA">
      <w:pPr>
        <w:widowControl w:val="0"/>
        <w:rPr>
          <w:lang w:val="es-ES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31"/>
        <w:gridCol w:w="1171"/>
        <w:gridCol w:w="1171"/>
        <w:gridCol w:w="1171"/>
        <w:gridCol w:w="1170"/>
        <w:gridCol w:w="1171"/>
        <w:gridCol w:w="1171"/>
      </w:tblGrid>
      <w:tr w:rsidR="00A4218B" w:rsidRPr="00F37CDA" w:rsidTr="001E6C90">
        <w:trPr>
          <w:trHeight w:val="270"/>
        </w:trPr>
        <w:tc>
          <w:tcPr>
            <w:tcW w:w="2331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2012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2013</w:t>
            </w: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2014</w:t>
            </w:r>
          </w:p>
        </w:tc>
      </w:tr>
      <w:tr w:rsidR="008D1931" w:rsidRPr="00F37CDA" w:rsidTr="001E6C90">
        <w:trPr>
          <w:trHeight w:val="270"/>
        </w:trPr>
        <w:tc>
          <w:tcPr>
            <w:tcW w:w="23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D1931" w:rsidRPr="00F37CDA" w:rsidRDefault="008D1931" w:rsidP="00F37CDA">
            <w:pPr>
              <w:widowControl w:val="0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8D1931" w:rsidRPr="00F37CDA" w:rsidRDefault="008D1931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proofErr w:type="spellStart"/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Traduccio</w:t>
            </w:r>
            <w:r w:rsidR="00D12DDD">
              <w:rPr>
                <w:rFonts w:eastAsia="MS Mincho"/>
                <w:bCs/>
                <w:sz w:val="18"/>
                <w:szCs w:val="18"/>
                <w:lang w:val="es-ES" w:eastAsia="ja-JP"/>
              </w:rPr>
              <w:t>-</w:t>
            </w: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nes</w:t>
            </w:r>
            <w:proofErr w:type="spellEnd"/>
          </w:p>
        </w:tc>
        <w:tc>
          <w:tcPr>
            <w:tcW w:w="1171" w:type="dxa"/>
            <w:shd w:val="clear" w:color="auto" w:fill="auto"/>
            <w:vAlign w:val="center"/>
          </w:tcPr>
          <w:p w:rsidR="008D1931" w:rsidRPr="00F37CDA" w:rsidRDefault="008D1931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Palabras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D1931" w:rsidRPr="00F37CDA" w:rsidRDefault="008D1931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proofErr w:type="spellStart"/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Traduccio</w:t>
            </w:r>
            <w:r w:rsidR="00D12DDD">
              <w:rPr>
                <w:rFonts w:eastAsia="MS Mincho"/>
                <w:bCs/>
                <w:sz w:val="18"/>
                <w:szCs w:val="18"/>
                <w:lang w:val="es-ES" w:eastAsia="ja-JP"/>
              </w:rPr>
              <w:t>-</w:t>
            </w: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nes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8D1931" w:rsidRPr="00F37CDA" w:rsidRDefault="008D1931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Palabras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8D1931" w:rsidRPr="00F37CDA" w:rsidRDefault="008D1931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proofErr w:type="spellStart"/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Traduccio</w:t>
            </w:r>
            <w:r w:rsidR="00D12DDD">
              <w:rPr>
                <w:rFonts w:eastAsia="MS Mincho"/>
                <w:bCs/>
                <w:sz w:val="18"/>
                <w:szCs w:val="18"/>
                <w:lang w:val="es-ES" w:eastAsia="ja-JP"/>
              </w:rPr>
              <w:t>-</w:t>
            </w: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nes</w:t>
            </w:r>
            <w:proofErr w:type="spellEnd"/>
          </w:p>
        </w:tc>
        <w:tc>
          <w:tcPr>
            <w:tcW w:w="1171" w:type="dxa"/>
            <w:shd w:val="clear" w:color="auto" w:fill="auto"/>
            <w:vAlign w:val="center"/>
          </w:tcPr>
          <w:p w:rsidR="008D1931" w:rsidRPr="00F37CDA" w:rsidRDefault="008D1931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Palabras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Regis</w:t>
            </w:r>
            <w:r w:rsidR="000A5E07" w:rsidRPr="00F37CDA">
              <w:rPr>
                <w:sz w:val="18"/>
                <w:szCs w:val="18"/>
                <w:lang w:val="es-ES"/>
              </w:rPr>
              <w:t>tro i</w:t>
            </w:r>
            <w:r w:rsidRPr="00F37CDA">
              <w:rPr>
                <w:sz w:val="18"/>
                <w:szCs w:val="18"/>
                <w:lang w:val="es-ES"/>
              </w:rPr>
              <w:t>nternacional</w:t>
            </w:r>
            <w:r w:rsidR="00A4218B" w:rsidRPr="00F37CDA">
              <w:rPr>
                <w:sz w:val="18"/>
                <w:szCs w:val="18"/>
                <w:lang w:val="es-ES"/>
              </w:rPr>
              <w:t xml:space="preserve"> 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14)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103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110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579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875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96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061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179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259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91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383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927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428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Denegación</w:t>
            </w:r>
            <w:r w:rsidR="00A4218B" w:rsidRPr="00F37CDA">
              <w:rPr>
                <w:sz w:val="18"/>
                <w:szCs w:val="18"/>
                <w:lang w:val="es-ES"/>
              </w:rPr>
              <w:br/>
              <w:t>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</w:t>
            </w:r>
            <w:r w:rsidRPr="00F37CDA">
              <w:rPr>
                <w:sz w:val="18"/>
                <w:szCs w:val="18"/>
                <w:lang w:val="es-ES"/>
              </w:rPr>
              <w:t>17.</w:t>
            </w:r>
            <w:r w:rsidR="00A4218B" w:rsidRPr="00F37CDA">
              <w:rPr>
                <w:sz w:val="18"/>
                <w:szCs w:val="18"/>
                <w:lang w:val="es-ES"/>
              </w:rPr>
              <w:t>1))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809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58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093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006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194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7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877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 xml:space="preserve">Decisión </w:t>
            </w:r>
            <w:r w:rsidR="00BC6236" w:rsidRPr="00F37CDA">
              <w:rPr>
                <w:sz w:val="18"/>
                <w:szCs w:val="18"/>
                <w:lang w:val="es-ES"/>
              </w:rPr>
              <w:t>definitiva</w:t>
            </w:r>
            <w:r w:rsidRPr="00F37CDA">
              <w:rPr>
                <w:sz w:val="18"/>
                <w:szCs w:val="18"/>
                <w:lang w:val="es-ES"/>
              </w:rPr>
              <w:t xml:space="preserve"> y ulterior</w:t>
            </w:r>
            <w:r w:rsidR="00A4218B" w:rsidRPr="00F37CDA">
              <w:rPr>
                <w:sz w:val="18"/>
                <w:szCs w:val="18"/>
                <w:lang w:val="es-ES"/>
              </w:rPr>
              <w:t xml:space="preserve"> 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s </w:t>
            </w:r>
            <w:r w:rsidRPr="00F37CDA">
              <w:rPr>
                <w:sz w:val="18"/>
                <w:szCs w:val="18"/>
                <w:lang w:val="es-ES"/>
              </w:rPr>
              <w:t>1</w:t>
            </w:r>
            <w:r w:rsidR="00A4218B" w:rsidRPr="00F37CDA">
              <w:rPr>
                <w:sz w:val="18"/>
                <w:szCs w:val="18"/>
                <w:lang w:val="es-ES"/>
              </w:rPr>
              <w:t>8</w:t>
            </w:r>
            <w:r w:rsidR="00A4218B" w:rsidRPr="00F37CDA">
              <w:rPr>
                <w:i/>
                <w:iCs/>
                <w:sz w:val="18"/>
                <w:szCs w:val="18"/>
                <w:lang w:val="es-ES"/>
              </w:rPr>
              <w:t>ter</w:t>
            </w:r>
            <w:r w:rsidRPr="00F37CDA">
              <w:rPr>
                <w:sz w:val="18"/>
                <w:szCs w:val="18"/>
                <w:lang w:val="es-ES"/>
              </w:rPr>
              <w:t>.2)</w:t>
            </w:r>
            <w:r w:rsidR="00A4218B" w:rsidRPr="00F37CDA">
              <w:rPr>
                <w:sz w:val="18"/>
                <w:szCs w:val="18"/>
                <w:lang w:val="es-ES"/>
              </w:rPr>
              <w:t xml:space="preserve">ii) </w:t>
            </w:r>
            <w:r w:rsidRPr="00F37CDA">
              <w:rPr>
                <w:sz w:val="18"/>
                <w:szCs w:val="18"/>
                <w:lang w:val="es-ES"/>
              </w:rPr>
              <w:t xml:space="preserve">y </w:t>
            </w:r>
            <w:r w:rsidR="00A4218B" w:rsidRPr="00F37CDA">
              <w:rPr>
                <w:sz w:val="18"/>
                <w:szCs w:val="18"/>
                <w:lang w:val="es-ES"/>
              </w:rPr>
              <w:t>4))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497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781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150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752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731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606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highlight w:val="cyan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207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104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Invalidación</w:t>
            </w:r>
            <w:r w:rsidR="00A4218B" w:rsidRPr="00F37CDA">
              <w:rPr>
                <w:sz w:val="18"/>
                <w:szCs w:val="18"/>
                <w:lang w:val="es-ES"/>
              </w:rPr>
              <w:br/>
              <w:t>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19)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508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418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16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822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866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66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700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Restricción del derecho del titular</w:t>
            </w:r>
            <w:r w:rsidR="00A4218B" w:rsidRPr="00F37CDA">
              <w:rPr>
                <w:sz w:val="18"/>
                <w:szCs w:val="18"/>
                <w:lang w:val="es-ES"/>
              </w:rPr>
              <w:t xml:space="preserve"> 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20)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178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17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871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581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447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598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44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773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Licencia</w:t>
            </w:r>
            <w:r w:rsidR="00A4218B" w:rsidRPr="00F37CDA">
              <w:rPr>
                <w:sz w:val="18"/>
                <w:szCs w:val="18"/>
                <w:lang w:val="es-ES"/>
              </w:rPr>
              <w:br/>
              <w:t>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20</w:t>
            </w:r>
            <w:r w:rsidR="00A4218B" w:rsidRPr="00F37CDA">
              <w:rPr>
                <w:i/>
                <w:iCs/>
                <w:sz w:val="18"/>
                <w:szCs w:val="18"/>
                <w:lang w:val="es-ES"/>
              </w:rPr>
              <w:t>bis</w:t>
            </w:r>
            <w:r w:rsidR="00A4218B" w:rsidRPr="00F37CDA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293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517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604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195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684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13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133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Cesación de</w:t>
            </w:r>
            <w:r w:rsidR="00D73975" w:rsidRPr="00F37CDA">
              <w:rPr>
                <w:sz w:val="18"/>
                <w:szCs w:val="18"/>
                <w:lang w:val="es-ES"/>
              </w:rPr>
              <w:t xml:space="preserve"> los efectos</w:t>
            </w:r>
            <w:r w:rsidR="00A4218B" w:rsidRPr="00F37CDA">
              <w:rPr>
                <w:sz w:val="18"/>
                <w:szCs w:val="18"/>
                <w:lang w:val="es-ES"/>
              </w:rPr>
              <w:br/>
              <w:t>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22)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441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618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012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9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167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063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896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7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299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871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835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 xml:space="preserve">Designación posterior </w:t>
            </w:r>
            <w:r w:rsidR="00A4218B" w:rsidRPr="00F37CDA">
              <w:rPr>
                <w:sz w:val="18"/>
                <w:szCs w:val="18"/>
                <w:lang w:val="es-ES"/>
              </w:rPr>
              <w:t>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24)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880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360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246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054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149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742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286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195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673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 xml:space="preserve">Cambio de titularidad </w:t>
            </w:r>
            <w:r w:rsidR="00A4218B" w:rsidRPr="00F37CDA">
              <w:rPr>
                <w:sz w:val="18"/>
                <w:szCs w:val="18"/>
                <w:lang w:val="es-ES"/>
              </w:rPr>
              <w:br/>
              <w:t>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25</w:t>
            </w:r>
            <w:r w:rsidRPr="00F37CDA">
              <w:rPr>
                <w:sz w:val="18"/>
                <w:szCs w:val="18"/>
                <w:lang w:val="es-ES"/>
              </w:rPr>
              <w:t>.1)</w:t>
            </w:r>
            <w:r w:rsidR="00A4218B" w:rsidRPr="00F37CDA">
              <w:rPr>
                <w:sz w:val="18"/>
                <w:szCs w:val="18"/>
                <w:lang w:val="es-ES"/>
              </w:rPr>
              <w:t>a</w:t>
            </w:r>
            <w:r w:rsidRPr="00F37CDA">
              <w:rPr>
                <w:sz w:val="18"/>
                <w:szCs w:val="18"/>
                <w:lang w:val="es-ES"/>
              </w:rPr>
              <w:t>)</w:t>
            </w:r>
            <w:r w:rsidR="00A4218B" w:rsidRPr="00F37CDA">
              <w:rPr>
                <w:sz w:val="18"/>
                <w:szCs w:val="18"/>
                <w:lang w:val="es-ES"/>
              </w:rPr>
              <w:t>i))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116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19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612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222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58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784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749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 xml:space="preserve">Limitación </w:t>
            </w:r>
            <w:r w:rsidR="00A4218B" w:rsidRPr="00F37CDA">
              <w:rPr>
                <w:sz w:val="18"/>
                <w:szCs w:val="18"/>
                <w:lang w:val="es-ES"/>
              </w:rPr>
              <w:br/>
              <w:t>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</w:t>
            </w:r>
            <w:r w:rsidRPr="00F37CDA">
              <w:rPr>
                <w:sz w:val="18"/>
                <w:szCs w:val="18"/>
                <w:lang w:val="es-ES"/>
              </w:rPr>
              <w:t>25.1)a)</w:t>
            </w:r>
            <w:r w:rsidR="00A4218B" w:rsidRPr="00F37CDA">
              <w:rPr>
                <w:sz w:val="18"/>
                <w:szCs w:val="18"/>
                <w:lang w:val="es-ES"/>
              </w:rPr>
              <w:t>ii))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391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572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441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745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186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706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873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224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113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Cancelación parcial</w:t>
            </w:r>
            <w:r w:rsidR="00A4218B" w:rsidRPr="00F37CDA">
              <w:rPr>
                <w:sz w:val="18"/>
                <w:szCs w:val="18"/>
                <w:lang w:val="es-ES"/>
              </w:rPr>
              <w:br/>
              <w:t>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</w:t>
            </w:r>
            <w:r w:rsidRPr="00F37CDA">
              <w:rPr>
                <w:sz w:val="18"/>
                <w:szCs w:val="18"/>
                <w:lang w:val="es-ES"/>
              </w:rPr>
              <w:t>25.1)a)</w:t>
            </w:r>
            <w:r w:rsidR="00A4218B" w:rsidRPr="00F37CDA">
              <w:rPr>
                <w:sz w:val="18"/>
                <w:szCs w:val="18"/>
                <w:lang w:val="es-ES"/>
              </w:rPr>
              <w:t>v))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403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618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605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25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000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567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29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453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Limitación que no surte efecto</w:t>
            </w:r>
            <w:r w:rsidR="00A4218B" w:rsidRPr="00F37CDA">
              <w:rPr>
                <w:sz w:val="18"/>
                <w:szCs w:val="18"/>
                <w:lang w:val="es-ES"/>
              </w:rPr>
              <w:t xml:space="preserve"> (</w:t>
            </w:r>
            <w:r w:rsidRPr="00F37CDA">
              <w:rPr>
                <w:sz w:val="18"/>
                <w:szCs w:val="18"/>
                <w:lang w:val="es-ES"/>
              </w:rPr>
              <w:t>Regla</w:t>
            </w:r>
            <w:r w:rsidR="00A4218B" w:rsidRPr="00F37CDA">
              <w:rPr>
                <w:sz w:val="18"/>
                <w:szCs w:val="18"/>
                <w:lang w:val="es-ES"/>
              </w:rPr>
              <w:t> </w:t>
            </w:r>
            <w:r w:rsidRPr="00F37CDA">
              <w:rPr>
                <w:sz w:val="18"/>
                <w:szCs w:val="18"/>
                <w:lang w:val="es-ES"/>
              </w:rPr>
              <w:t>27.</w:t>
            </w:r>
            <w:r w:rsidR="00A4218B" w:rsidRPr="00F37CDA">
              <w:rPr>
                <w:sz w:val="18"/>
                <w:szCs w:val="18"/>
                <w:lang w:val="es-ES"/>
              </w:rPr>
              <w:t>5))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587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442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259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738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Sustitución</w:t>
            </w:r>
            <w:r w:rsidR="00F27847" w:rsidRPr="00F37CDA">
              <w:rPr>
                <w:sz w:val="18"/>
                <w:szCs w:val="18"/>
                <w:lang w:val="es-ES"/>
              </w:rPr>
              <w:br/>
              <w:t>(Artí</w:t>
            </w:r>
            <w:r w:rsidR="00A4218B" w:rsidRPr="00F37CDA">
              <w:rPr>
                <w:sz w:val="18"/>
                <w:szCs w:val="18"/>
                <w:lang w:val="es-ES"/>
              </w:rPr>
              <w:t>c</w:t>
            </w:r>
            <w:r w:rsidR="00F27847" w:rsidRPr="00F37CDA">
              <w:rPr>
                <w:sz w:val="18"/>
                <w:szCs w:val="18"/>
                <w:lang w:val="es-ES"/>
              </w:rPr>
              <w:t>ulo</w:t>
            </w:r>
            <w:r w:rsidR="00A4218B" w:rsidRPr="00F37CDA">
              <w:rPr>
                <w:sz w:val="18"/>
                <w:szCs w:val="18"/>
                <w:lang w:val="es-ES"/>
              </w:rPr>
              <w:t> 4</w:t>
            </w:r>
            <w:r w:rsidR="00A4218B" w:rsidRPr="00F37CDA">
              <w:rPr>
                <w:i/>
                <w:iCs/>
                <w:sz w:val="18"/>
                <w:szCs w:val="18"/>
                <w:lang w:val="es-ES"/>
              </w:rPr>
              <w:t>bis</w:t>
            </w:r>
            <w:r w:rsidR="00A4218B" w:rsidRPr="00F37CDA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138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282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13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172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126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180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87782" w:rsidP="00F37CDA">
            <w:pPr>
              <w:widowControl w:val="0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Peticiones de traducción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103</w:t>
            </w:r>
          </w:p>
        </w:tc>
      </w:tr>
      <w:tr w:rsidR="00A4218B" w:rsidRPr="00F37CDA" w:rsidTr="001E6C90">
        <w:trPr>
          <w:trHeight w:val="255"/>
        </w:trPr>
        <w:tc>
          <w:tcPr>
            <w:tcW w:w="233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rPr>
                <w:sz w:val="18"/>
                <w:szCs w:val="18"/>
                <w:highlight w:val="yellow"/>
                <w:lang w:val="es-ES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Total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123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668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15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029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221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123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624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24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511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019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116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632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26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608</w:t>
            </w:r>
            <w:r w:rsidR="00A87782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859</w:t>
            </w:r>
          </w:p>
        </w:tc>
      </w:tr>
    </w:tbl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F14860" w:rsidRPr="00F37CDA">
        <w:rPr>
          <w:lang w:val="es-ES"/>
        </w:rPr>
        <w:t>La distribución del volumen de traducción por idioma de destino ha variado desde la última vez que se informó al Grupo de Trabajo, en</w:t>
      </w:r>
      <w:r w:rsidRPr="00F37CDA">
        <w:rPr>
          <w:lang w:val="es-ES"/>
        </w:rPr>
        <w:t xml:space="preserve"> 2011, </w:t>
      </w:r>
      <w:r w:rsidR="00F14860" w:rsidRPr="00F37CDA">
        <w:rPr>
          <w:lang w:val="es-ES"/>
        </w:rPr>
        <w:t xml:space="preserve">cuando el inglés representaba el </w:t>
      </w:r>
      <w:r w:rsidRPr="00F37CDA">
        <w:rPr>
          <w:lang w:val="es-ES"/>
        </w:rPr>
        <w:t xml:space="preserve">15%, </w:t>
      </w:r>
      <w:r w:rsidR="00F14860" w:rsidRPr="00F37CDA">
        <w:rPr>
          <w:lang w:val="es-ES"/>
        </w:rPr>
        <w:t xml:space="preserve">el francés, el </w:t>
      </w:r>
      <w:r w:rsidRPr="00F37CDA">
        <w:rPr>
          <w:lang w:val="es-ES"/>
        </w:rPr>
        <w:t>36%</w:t>
      </w:r>
      <w:r w:rsidR="006829C8" w:rsidRPr="00F37CDA">
        <w:rPr>
          <w:lang w:val="es-ES"/>
        </w:rPr>
        <w:t>,</w:t>
      </w:r>
      <w:r w:rsidRPr="00F37CDA">
        <w:rPr>
          <w:lang w:val="es-ES"/>
        </w:rPr>
        <w:t xml:space="preserve"> </w:t>
      </w:r>
      <w:r w:rsidR="00F14860" w:rsidRPr="00F37CDA">
        <w:rPr>
          <w:lang w:val="es-ES"/>
        </w:rPr>
        <w:t xml:space="preserve">y el español, el </w:t>
      </w:r>
      <w:r w:rsidRPr="00F37CDA">
        <w:rPr>
          <w:lang w:val="es-ES"/>
        </w:rPr>
        <w:t xml:space="preserve">49%.  </w:t>
      </w:r>
      <w:r w:rsidR="00F14860" w:rsidRPr="00F37CDA">
        <w:rPr>
          <w:lang w:val="es-ES"/>
        </w:rPr>
        <w:t>E</w:t>
      </w:r>
      <w:r w:rsidRPr="00F37CDA">
        <w:rPr>
          <w:lang w:val="es-ES"/>
        </w:rPr>
        <w:t xml:space="preserve">n 2014, </w:t>
      </w:r>
      <w:r w:rsidR="00F14860" w:rsidRPr="00F37CDA">
        <w:rPr>
          <w:lang w:val="es-ES"/>
        </w:rPr>
        <w:t xml:space="preserve">el inglés representaba el </w:t>
      </w:r>
      <w:r w:rsidRPr="00F37CDA">
        <w:rPr>
          <w:lang w:val="es-ES"/>
        </w:rPr>
        <w:t xml:space="preserve">10%, </w:t>
      </w:r>
      <w:r w:rsidR="000C1063">
        <w:rPr>
          <w:lang w:val="es-ES"/>
        </w:rPr>
        <w:t>el francés, el </w:t>
      </w:r>
      <w:r w:rsidRPr="00F37CDA">
        <w:rPr>
          <w:lang w:val="es-ES"/>
        </w:rPr>
        <w:t>45%</w:t>
      </w:r>
      <w:r w:rsidR="006829C8" w:rsidRPr="00F37CDA">
        <w:rPr>
          <w:lang w:val="es-ES"/>
        </w:rPr>
        <w:t>,</w:t>
      </w:r>
      <w:r w:rsidRPr="00F37CDA">
        <w:rPr>
          <w:lang w:val="es-ES"/>
        </w:rPr>
        <w:t xml:space="preserve"> </w:t>
      </w:r>
      <w:r w:rsidR="00F14860" w:rsidRPr="00F37CDA">
        <w:rPr>
          <w:lang w:val="es-ES"/>
        </w:rPr>
        <w:t xml:space="preserve">y el español, también el </w:t>
      </w:r>
      <w:r w:rsidRPr="00F37CDA">
        <w:rPr>
          <w:lang w:val="es-ES"/>
        </w:rPr>
        <w:t>45% (</w:t>
      </w:r>
      <w:r w:rsidR="00F14860" w:rsidRPr="00F37CDA">
        <w:rPr>
          <w:lang w:val="es-ES"/>
        </w:rPr>
        <w:t>véase el cuadro</w:t>
      </w:r>
      <w:r w:rsidRPr="00F37CDA">
        <w:rPr>
          <w:lang w:val="es-ES"/>
        </w:rPr>
        <w:t xml:space="preserve"> III).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F37CDA" w:rsidRPr="00F37CDA" w:rsidRDefault="00F37CDA">
      <w:pPr>
        <w:rPr>
          <w:bCs/>
          <w:i/>
          <w:szCs w:val="28"/>
          <w:lang w:val="es-ES"/>
        </w:rPr>
      </w:pPr>
      <w:r w:rsidRPr="00F37CDA">
        <w:rPr>
          <w:lang w:val="es-ES"/>
        </w:rPr>
        <w:br w:type="page"/>
      </w:r>
    </w:p>
    <w:p w:rsidR="00A4218B" w:rsidRPr="00F37CDA" w:rsidRDefault="00F25A24" w:rsidP="00F37CDA">
      <w:pPr>
        <w:pStyle w:val="Heading4"/>
        <w:keepNext w:val="0"/>
        <w:widowControl w:val="0"/>
        <w:rPr>
          <w:lang w:val="es-ES"/>
        </w:rPr>
      </w:pPr>
      <w:r w:rsidRPr="00F37CDA">
        <w:rPr>
          <w:lang w:val="es-ES"/>
        </w:rPr>
        <w:t>Cuadro </w:t>
      </w:r>
      <w:r w:rsidR="00A4218B" w:rsidRPr="00F37CDA">
        <w:rPr>
          <w:lang w:val="es-ES"/>
        </w:rPr>
        <w:t>III</w:t>
      </w:r>
      <w:proofErr w:type="gramStart"/>
      <w:r w:rsidR="00A4218B" w:rsidRPr="00F37CDA">
        <w:rPr>
          <w:lang w:val="es-ES"/>
        </w:rPr>
        <w:t xml:space="preserve">:  </w:t>
      </w:r>
      <w:r w:rsidRPr="00F37CDA">
        <w:rPr>
          <w:lang w:val="es-ES"/>
        </w:rPr>
        <w:t>Palabras</w:t>
      </w:r>
      <w:proofErr w:type="gramEnd"/>
      <w:r w:rsidRPr="00F37CDA">
        <w:rPr>
          <w:lang w:val="es-ES"/>
        </w:rPr>
        <w:t xml:space="preserve"> traducidas por tipo de inscripción e idioma de destino en </w:t>
      </w:r>
      <w:r w:rsidR="00A4218B" w:rsidRPr="00F37CDA">
        <w:rPr>
          <w:lang w:val="es-ES"/>
        </w:rPr>
        <w:t>2014</w:t>
      </w:r>
    </w:p>
    <w:p w:rsidR="00A4218B" w:rsidRPr="00F37CDA" w:rsidRDefault="00A4218B" w:rsidP="00F37CDA">
      <w:pPr>
        <w:widowControl w:val="0"/>
        <w:rPr>
          <w:lang w:val="es-ES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06"/>
        <w:gridCol w:w="1237"/>
        <w:gridCol w:w="1058"/>
        <w:gridCol w:w="1252"/>
        <w:gridCol w:w="1252"/>
        <w:gridCol w:w="1251"/>
        <w:gridCol w:w="1113"/>
      </w:tblGrid>
      <w:tr w:rsidR="00A4218B" w:rsidRPr="00F37CDA" w:rsidTr="001E6C90">
        <w:trPr>
          <w:trHeight w:val="270"/>
          <w:jc w:val="center"/>
        </w:trPr>
        <w:tc>
          <w:tcPr>
            <w:tcW w:w="230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A4218B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Inglés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:rsidR="00A4218B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Francés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:rsidR="00A4218B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Español</w:t>
            </w:r>
          </w:p>
        </w:tc>
      </w:tr>
      <w:tr w:rsidR="00F25A24" w:rsidRPr="00F37CDA" w:rsidTr="001E6C90">
        <w:trPr>
          <w:trHeight w:val="270"/>
          <w:jc w:val="center"/>
        </w:trPr>
        <w:tc>
          <w:tcPr>
            <w:tcW w:w="230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Traducciones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Palabras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Traducciones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Palabras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Traducciones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Palabras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0A5E07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Registro i</w:t>
            </w:r>
            <w:r w:rsidR="00F25A24" w:rsidRPr="00F37CDA">
              <w:rPr>
                <w:sz w:val="18"/>
                <w:szCs w:val="18"/>
                <w:lang w:val="es-ES"/>
              </w:rPr>
              <w:t>nternacional (Regla 14)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9.850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2.101.772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37.279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9.649.441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44.254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11.176.215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Denegación</w:t>
            </w:r>
            <w:r w:rsidRPr="00F37CDA">
              <w:rPr>
                <w:sz w:val="18"/>
                <w:szCs w:val="18"/>
                <w:lang w:val="es-ES"/>
              </w:rPr>
              <w:br/>
              <w:t>(Regla 17.1))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28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488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187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160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7.202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 xml:space="preserve">Decisión </w:t>
            </w:r>
            <w:r w:rsidR="00BC6236" w:rsidRPr="00F37CDA">
              <w:rPr>
                <w:sz w:val="18"/>
                <w:szCs w:val="18"/>
                <w:lang w:val="es-ES"/>
              </w:rPr>
              <w:t>definitiva</w:t>
            </w:r>
            <w:r w:rsidRPr="00F37CDA">
              <w:rPr>
                <w:sz w:val="18"/>
                <w:szCs w:val="18"/>
                <w:lang w:val="es-ES"/>
              </w:rPr>
              <w:t xml:space="preserve"> y ulterior (Reglas 18</w:t>
            </w:r>
            <w:r w:rsidRPr="00F37CDA">
              <w:rPr>
                <w:i/>
                <w:iCs/>
                <w:sz w:val="18"/>
                <w:szCs w:val="18"/>
                <w:lang w:val="es-ES"/>
              </w:rPr>
              <w:t>ter</w:t>
            </w:r>
            <w:r w:rsidRPr="00F37CDA">
              <w:rPr>
                <w:sz w:val="18"/>
                <w:szCs w:val="18"/>
                <w:lang w:val="es-ES"/>
              </w:rPr>
              <w:t>.2)ii) y 4))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3.565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501.058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6.126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1.548.579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915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157.467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Invalidación</w:t>
            </w:r>
            <w:r w:rsidRPr="00F37CDA">
              <w:rPr>
                <w:sz w:val="18"/>
                <w:szCs w:val="18"/>
                <w:lang w:val="es-ES"/>
              </w:rPr>
              <w:br/>
              <w:t>(Regla 19)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46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1.378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782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61.446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38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3.876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Restricción del derecho del titular (Regla 20)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94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6.858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248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18.319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256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19.596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Licencia</w:t>
            </w:r>
            <w:r w:rsidRPr="00F37CDA">
              <w:rPr>
                <w:sz w:val="18"/>
                <w:szCs w:val="18"/>
                <w:lang w:val="es-ES"/>
              </w:rPr>
              <w:br/>
              <w:t>(Regla 20</w:t>
            </w:r>
            <w:r w:rsidRPr="00F37CDA">
              <w:rPr>
                <w:i/>
                <w:iCs/>
                <w:sz w:val="18"/>
                <w:szCs w:val="18"/>
                <w:lang w:val="es-ES"/>
              </w:rPr>
              <w:t>bis</w:t>
            </w:r>
            <w:r w:rsidRPr="00F37CDA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124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1.424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252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7.426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308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4.283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D73975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Cesación de los</w:t>
            </w:r>
            <w:r w:rsidR="00F25A24" w:rsidRPr="00F37CDA">
              <w:rPr>
                <w:sz w:val="18"/>
                <w:szCs w:val="18"/>
                <w:lang w:val="es-ES"/>
              </w:rPr>
              <w:t xml:space="preserve"> efecto</w:t>
            </w:r>
            <w:r w:rsidRPr="00F37CDA">
              <w:rPr>
                <w:sz w:val="18"/>
                <w:szCs w:val="18"/>
                <w:lang w:val="es-ES"/>
              </w:rPr>
              <w:t>s</w:t>
            </w:r>
            <w:r w:rsidR="00F25A24" w:rsidRPr="00F37CDA">
              <w:rPr>
                <w:sz w:val="18"/>
                <w:szCs w:val="18"/>
                <w:lang w:val="es-ES"/>
              </w:rPr>
              <w:t xml:space="preserve"> </w:t>
            </w:r>
            <w:r w:rsidR="00F25A24" w:rsidRPr="00F37CDA">
              <w:rPr>
                <w:sz w:val="18"/>
                <w:szCs w:val="18"/>
                <w:lang w:val="es-ES"/>
              </w:rPr>
              <w:br/>
              <w:t>(Regla 22)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322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24.706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3.377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417.173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3.600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429.956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Designación posterior (Regla 24)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632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35.202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1.052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105.364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602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55.107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 xml:space="preserve">Cambio de titularidad </w:t>
            </w:r>
            <w:r w:rsidRPr="00F37CDA">
              <w:rPr>
                <w:sz w:val="18"/>
                <w:szCs w:val="18"/>
                <w:lang w:val="es-ES"/>
              </w:rPr>
              <w:br/>
              <w:t>(Regla 25.1)a)i))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13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2.290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37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4.478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37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4.981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 xml:space="preserve">Limitación </w:t>
            </w:r>
            <w:r w:rsidRPr="00F37CDA">
              <w:rPr>
                <w:sz w:val="18"/>
                <w:szCs w:val="18"/>
                <w:lang w:val="es-ES"/>
              </w:rPr>
              <w:br/>
              <w:t>(Regla 25.1)a)ii))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341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33.459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1.310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166.834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222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23.820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Cancelación parcial</w:t>
            </w:r>
            <w:r w:rsidRPr="00F37CDA">
              <w:rPr>
                <w:sz w:val="18"/>
                <w:szCs w:val="18"/>
                <w:lang w:val="es-ES"/>
              </w:rPr>
              <w:br/>
              <w:t>(Regla 25.1)a)v))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68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1.303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264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14.430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235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13.720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Limitación que no surte efecto (Regla 27.5))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58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3.621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111</w:t>
            </w:r>
          </w:p>
        </w:tc>
      </w:tr>
      <w:tr w:rsidR="00F25A24" w:rsidRPr="00F37CDA" w:rsidTr="009E6B3E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Sustitución</w:t>
            </w:r>
            <w:r w:rsidRPr="00F37CDA">
              <w:rPr>
                <w:sz w:val="18"/>
                <w:szCs w:val="18"/>
                <w:lang w:val="es-ES"/>
              </w:rPr>
              <w:br/>
              <w:t>(</w:t>
            </w:r>
            <w:r w:rsidR="00F27847" w:rsidRPr="00F37CDA">
              <w:rPr>
                <w:sz w:val="18"/>
                <w:szCs w:val="18"/>
                <w:lang w:val="es-ES"/>
              </w:rPr>
              <w:t>Artículo</w:t>
            </w:r>
            <w:r w:rsidRPr="00F37CDA">
              <w:rPr>
                <w:sz w:val="18"/>
                <w:szCs w:val="18"/>
                <w:lang w:val="es-ES"/>
              </w:rPr>
              <w:t> 4</w:t>
            </w:r>
            <w:r w:rsidRPr="00F37CDA">
              <w:rPr>
                <w:i/>
                <w:iCs/>
                <w:sz w:val="18"/>
                <w:szCs w:val="18"/>
                <w:lang w:val="es-ES"/>
              </w:rPr>
              <w:t>bis</w:t>
            </w:r>
            <w:r w:rsidRPr="00F37CDA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16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410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54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2.322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56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2.448</w:t>
            </w:r>
          </w:p>
        </w:tc>
      </w:tr>
      <w:tr w:rsidR="00F25A24" w:rsidRPr="00F37CDA" w:rsidTr="001E6C90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rPr>
                <w:rFonts w:eastAsia="MS Mincho"/>
                <w:bCs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Peticiones de traducción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9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94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F25A24" w:rsidRPr="00F37CDA" w:rsidRDefault="00F25A24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0</w:t>
            </w:r>
          </w:p>
        </w:tc>
      </w:tr>
      <w:tr w:rsidR="00A4218B" w:rsidRPr="00F37CDA" w:rsidTr="001E6C90">
        <w:trPr>
          <w:trHeight w:val="255"/>
          <w:jc w:val="center"/>
        </w:trPr>
        <w:tc>
          <w:tcPr>
            <w:tcW w:w="2306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rPr>
                <w:sz w:val="18"/>
                <w:szCs w:val="18"/>
                <w:highlight w:val="yellow"/>
                <w:lang w:val="es-ES"/>
              </w:rPr>
            </w:pPr>
            <w:r w:rsidRPr="00F37CDA">
              <w:rPr>
                <w:rFonts w:eastAsia="MS Mincho"/>
                <w:bCs/>
                <w:sz w:val="18"/>
                <w:szCs w:val="18"/>
                <w:lang w:val="es-ES" w:eastAsia="ja-JP"/>
              </w:rPr>
              <w:t>Total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15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101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2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710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363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50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846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11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999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714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50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685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sz w:val="18"/>
                <w:szCs w:val="18"/>
                <w:lang w:val="es-ES"/>
              </w:rPr>
            </w:pPr>
            <w:r w:rsidRPr="00F37CDA">
              <w:rPr>
                <w:sz w:val="18"/>
                <w:szCs w:val="18"/>
                <w:lang w:val="es-ES"/>
              </w:rPr>
              <w:t>11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898</w:t>
            </w:r>
            <w:r w:rsidR="00F25A24" w:rsidRPr="00F37CDA">
              <w:rPr>
                <w:sz w:val="18"/>
                <w:szCs w:val="18"/>
                <w:lang w:val="es-ES"/>
              </w:rPr>
              <w:t>.</w:t>
            </w:r>
            <w:r w:rsidRPr="00F37CDA">
              <w:rPr>
                <w:sz w:val="18"/>
                <w:szCs w:val="18"/>
                <w:lang w:val="es-ES"/>
              </w:rPr>
              <w:t>782</w:t>
            </w:r>
          </w:p>
        </w:tc>
      </w:tr>
    </w:tbl>
    <w:p w:rsidR="00A4218B" w:rsidRPr="00F37CDA" w:rsidRDefault="00F27847" w:rsidP="00F37CDA">
      <w:pPr>
        <w:pStyle w:val="Heading1"/>
        <w:keepNext w:val="0"/>
        <w:widowControl w:val="0"/>
        <w:rPr>
          <w:lang w:val="es-ES"/>
        </w:rPr>
      </w:pPr>
      <w:r w:rsidRPr="00F37CDA">
        <w:rPr>
          <w:lang w:val="es-ES"/>
        </w:rPr>
        <w:t>REPERCUSIÓN</w:t>
      </w:r>
      <w:r w:rsidR="009E6B3E" w:rsidRPr="00F37CDA">
        <w:rPr>
          <w:lang w:val="es-ES"/>
        </w:rPr>
        <w:t xml:space="preserve"> de las prácticas en materia de traducción en las declaraciones de concesión de la protección </w:t>
      </w:r>
      <w:r w:rsidR="00354A76" w:rsidRPr="00F37CDA">
        <w:rPr>
          <w:lang w:val="es-ES"/>
        </w:rPr>
        <w:t>enviadas</w:t>
      </w:r>
      <w:r w:rsidR="009E6B3E" w:rsidRPr="00F37CDA">
        <w:rPr>
          <w:lang w:val="es-ES"/>
        </w:rPr>
        <w:t xml:space="preserve"> en virtud de la regla </w:t>
      </w:r>
      <w:r w:rsidR="00A4218B" w:rsidRPr="00F37CDA">
        <w:rPr>
          <w:lang w:val="es-ES"/>
        </w:rPr>
        <w:t>18</w:t>
      </w:r>
      <w:r w:rsidR="00A4218B" w:rsidRPr="00F37CDA">
        <w:rPr>
          <w:i/>
          <w:lang w:val="es-ES"/>
        </w:rPr>
        <w:t>TER</w:t>
      </w:r>
      <w:r w:rsidR="009E6B3E" w:rsidRPr="00F37CDA">
        <w:rPr>
          <w:lang w:val="es-ES"/>
        </w:rPr>
        <w:t>.2</w:t>
      </w:r>
      <w:proofErr w:type="gramStart"/>
      <w:r w:rsidR="009E6B3E" w:rsidRPr="00F37CDA">
        <w:rPr>
          <w:lang w:val="es-ES"/>
        </w:rPr>
        <w:t>)</w:t>
      </w:r>
      <w:r w:rsidR="00A4218B" w:rsidRPr="00F37CDA">
        <w:rPr>
          <w:lang w:val="es-ES"/>
        </w:rPr>
        <w:t>II</w:t>
      </w:r>
      <w:proofErr w:type="gramEnd"/>
      <w:r w:rsidR="00A4218B" w:rsidRPr="00F37CDA">
        <w:rPr>
          <w:lang w:val="es-ES"/>
        </w:rPr>
        <w:t xml:space="preserve">) </w:t>
      </w:r>
      <w:r w:rsidR="009E6B3E" w:rsidRPr="00F37CDA">
        <w:rPr>
          <w:lang w:val="es-ES"/>
        </w:rPr>
        <w:t xml:space="preserve">del reglamento común inscritas en </w:t>
      </w:r>
      <w:r w:rsidR="00A4218B" w:rsidRPr="00F37CDA">
        <w:rPr>
          <w:lang w:val="es-ES"/>
        </w:rPr>
        <w:t>2014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9E6B3E" w:rsidRPr="00F37CDA">
        <w:rPr>
          <w:lang w:val="es-ES"/>
        </w:rPr>
        <w:t>E</w:t>
      </w:r>
      <w:r w:rsidRPr="00F37CDA">
        <w:rPr>
          <w:lang w:val="es-ES"/>
        </w:rPr>
        <w:t xml:space="preserve">n 2014, </w:t>
      </w:r>
      <w:r w:rsidR="00CD7860" w:rsidRPr="00F37CDA">
        <w:rPr>
          <w:lang w:val="es-ES"/>
        </w:rPr>
        <w:t>conforme a</w:t>
      </w:r>
      <w:r w:rsidR="009E6B3E" w:rsidRPr="00F37CDA">
        <w:rPr>
          <w:lang w:val="es-ES"/>
        </w:rPr>
        <w:t xml:space="preserve"> las prácticas</w:t>
      </w:r>
      <w:r w:rsidR="00610E9B" w:rsidRPr="00F37CDA">
        <w:rPr>
          <w:lang w:val="es-ES"/>
        </w:rPr>
        <w:t xml:space="preserve"> actuales</w:t>
      </w:r>
      <w:r w:rsidR="009E6B3E" w:rsidRPr="00F37CDA">
        <w:rPr>
          <w:lang w:val="es-ES"/>
        </w:rPr>
        <w:t>, la Ofi</w:t>
      </w:r>
      <w:r w:rsidR="000C1063">
        <w:rPr>
          <w:lang w:val="es-ES"/>
        </w:rPr>
        <w:t>cina Internacional tradujo casi </w:t>
      </w:r>
      <w:r w:rsidR="009E6B3E" w:rsidRPr="00F37CDA">
        <w:rPr>
          <w:lang w:val="es-ES"/>
        </w:rPr>
        <w:t>2,</w:t>
      </w:r>
      <w:r w:rsidRPr="00F37CDA">
        <w:rPr>
          <w:lang w:val="es-ES"/>
        </w:rPr>
        <w:t>3 mill</w:t>
      </w:r>
      <w:r w:rsidR="009E6B3E" w:rsidRPr="00F37CDA">
        <w:rPr>
          <w:lang w:val="es-ES"/>
        </w:rPr>
        <w:t xml:space="preserve">ones de palabras </w:t>
      </w:r>
      <w:r w:rsidR="00E35798" w:rsidRPr="00F37CDA">
        <w:rPr>
          <w:lang w:val="es-ES"/>
        </w:rPr>
        <w:t xml:space="preserve">a raíz de </w:t>
      </w:r>
      <w:r w:rsidR="009E6B3E" w:rsidRPr="00F37CDA">
        <w:rPr>
          <w:lang w:val="es-ES"/>
        </w:rPr>
        <w:t xml:space="preserve">la inscripción de </w:t>
      </w:r>
      <w:r w:rsidR="003063F5" w:rsidRPr="00F37CDA">
        <w:rPr>
          <w:lang w:val="es-ES"/>
        </w:rPr>
        <w:t xml:space="preserve">las </w:t>
      </w:r>
      <w:r w:rsidR="009E6B3E" w:rsidRPr="00F37CDA">
        <w:rPr>
          <w:lang w:val="es-ES"/>
        </w:rPr>
        <w:t>decisiones remitidas por las Oficinas</w:t>
      </w:r>
      <w:r w:rsidRPr="00F37CDA">
        <w:rPr>
          <w:lang w:val="es-ES"/>
        </w:rPr>
        <w:t xml:space="preserve">.  </w:t>
      </w:r>
      <w:r w:rsidR="009E6B3E" w:rsidRPr="00F37CDA">
        <w:rPr>
          <w:lang w:val="es-ES"/>
        </w:rPr>
        <w:t xml:space="preserve">Si las prácticas actuales </w:t>
      </w:r>
      <w:r w:rsidR="009727A6" w:rsidRPr="00F37CDA">
        <w:rPr>
          <w:lang w:val="es-ES"/>
        </w:rPr>
        <w:t>en materia de</w:t>
      </w:r>
      <w:r w:rsidR="00610E9B" w:rsidRPr="00F37CDA">
        <w:rPr>
          <w:lang w:val="es-ES"/>
        </w:rPr>
        <w:t xml:space="preserve"> </w:t>
      </w:r>
      <w:r w:rsidR="009E6B3E" w:rsidRPr="00F37CDA">
        <w:rPr>
          <w:lang w:val="es-ES"/>
        </w:rPr>
        <w:t xml:space="preserve">traducción no hubieran estado en vigor, la Oficina Internacional habría tenido que traducir más de </w:t>
      </w:r>
      <w:r w:rsidRPr="00F37CDA">
        <w:rPr>
          <w:lang w:val="es-ES"/>
        </w:rPr>
        <w:t>12</w:t>
      </w:r>
      <w:r w:rsidR="009E6B3E" w:rsidRPr="00F37CDA">
        <w:rPr>
          <w:lang w:val="es-ES"/>
        </w:rPr>
        <w:t>,</w:t>
      </w:r>
      <w:r w:rsidRPr="00F37CDA">
        <w:rPr>
          <w:lang w:val="es-ES"/>
        </w:rPr>
        <w:t>5 mill</w:t>
      </w:r>
      <w:r w:rsidR="009E6B3E" w:rsidRPr="00F37CDA">
        <w:rPr>
          <w:lang w:val="es-ES"/>
        </w:rPr>
        <w:t xml:space="preserve">ones de palabras como </w:t>
      </w:r>
      <w:r w:rsidR="00E35798" w:rsidRPr="00F37CDA">
        <w:rPr>
          <w:lang w:val="es-ES"/>
        </w:rPr>
        <w:t>consecuencia</w:t>
      </w:r>
      <w:r w:rsidR="00354A76" w:rsidRPr="00F37CDA">
        <w:rPr>
          <w:lang w:val="es-ES"/>
        </w:rPr>
        <w:t xml:space="preserve"> </w:t>
      </w:r>
      <w:r w:rsidR="009E6B3E" w:rsidRPr="00F37CDA">
        <w:rPr>
          <w:lang w:val="es-ES"/>
        </w:rPr>
        <w:t>de la inscripción de esas decisiones</w:t>
      </w:r>
      <w:r w:rsidRPr="00F37CDA">
        <w:rPr>
          <w:lang w:val="es-ES"/>
        </w:rPr>
        <w:t xml:space="preserve">.  </w:t>
      </w:r>
      <w:r w:rsidR="009E6B3E" w:rsidRPr="00F37CDA">
        <w:rPr>
          <w:lang w:val="es-ES"/>
        </w:rPr>
        <w:t xml:space="preserve">En términos relativos, el volumen de traducción de la </w:t>
      </w:r>
      <w:r w:rsidR="00F27847" w:rsidRPr="00F37CDA">
        <w:rPr>
          <w:lang w:val="es-ES"/>
        </w:rPr>
        <w:t>Oficina</w:t>
      </w:r>
      <w:r w:rsidR="009E6B3E" w:rsidRPr="00F37CDA">
        <w:rPr>
          <w:lang w:val="es-ES"/>
        </w:rPr>
        <w:t xml:space="preserve"> Internacional habría sido un 39% mayor</w:t>
      </w:r>
      <w:r w:rsidRPr="00F37CDA">
        <w:rPr>
          <w:lang w:val="es-ES"/>
        </w:rPr>
        <w:t xml:space="preserve"> (</w:t>
      </w:r>
      <w:r w:rsidR="009E6B3E" w:rsidRPr="00F37CDA">
        <w:rPr>
          <w:lang w:val="es-ES"/>
        </w:rPr>
        <w:t>véase el cuadro</w:t>
      </w:r>
      <w:r w:rsidR="000C1063">
        <w:rPr>
          <w:lang w:val="es-ES"/>
        </w:rPr>
        <w:t> IV).</w:t>
      </w:r>
    </w:p>
    <w:p w:rsidR="00A4218B" w:rsidRPr="00F37CDA" w:rsidRDefault="009E6B3E" w:rsidP="00F37CDA">
      <w:pPr>
        <w:pStyle w:val="Heading4"/>
        <w:keepNext w:val="0"/>
        <w:widowControl w:val="0"/>
        <w:rPr>
          <w:lang w:val="es-ES"/>
        </w:rPr>
      </w:pPr>
      <w:r w:rsidRPr="00F37CDA">
        <w:rPr>
          <w:lang w:val="es-ES"/>
        </w:rPr>
        <w:t>Cuadro </w:t>
      </w:r>
      <w:r w:rsidR="00A4218B" w:rsidRPr="00F37CDA">
        <w:rPr>
          <w:lang w:val="es-ES"/>
        </w:rPr>
        <w:t>IV</w:t>
      </w:r>
      <w:proofErr w:type="gramStart"/>
      <w:r w:rsidR="00A4218B" w:rsidRPr="00F37CDA">
        <w:rPr>
          <w:lang w:val="es-ES"/>
        </w:rPr>
        <w:t xml:space="preserve">:  </w:t>
      </w:r>
      <w:r w:rsidRPr="00F37CDA">
        <w:rPr>
          <w:lang w:val="es-ES"/>
        </w:rPr>
        <w:t>Palabras</w:t>
      </w:r>
      <w:proofErr w:type="gramEnd"/>
      <w:r w:rsidRPr="00F37CDA">
        <w:rPr>
          <w:lang w:val="es-ES"/>
        </w:rPr>
        <w:t xml:space="preserve"> traducidas en </w:t>
      </w:r>
      <w:r w:rsidR="00A4218B" w:rsidRPr="00F37CDA">
        <w:rPr>
          <w:lang w:val="es-ES"/>
        </w:rPr>
        <w:t>2014</w:t>
      </w:r>
    </w:p>
    <w:p w:rsidR="00A4218B" w:rsidRPr="00F37CDA" w:rsidRDefault="00A4218B" w:rsidP="00F37CDA">
      <w:pPr>
        <w:widowControl w:val="0"/>
        <w:rPr>
          <w:lang w:val="es-ES"/>
        </w:rPr>
      </w:pPr>
    </w:p>
    <w:tbl>
      <w:tblPr>
        <w:tblW w:w="9356" w:type="dxa"/>
        <w:tblInd w:w="9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79"/>
        <w:gridCol w:w="1312"/>
        <w:gridCol w:w="1310"/>
        <w:gridCol w:w="1660"/>
        <w:gridCol w:w="1339"/>
        <w:gridCol w:w="1056"/>
      </w:tblGrid>
      <w:tr w:rsidR="00A4218B" w:rsidRPr="00F37CDA" w:rsidTr="001E6C90">
        <w:trPr>
          <w:trHeight w:val="255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bookmarkStart w:id="4" w:name="_Hlk317231747"/>
          </w:p>
        </w:tc>
        <w:tc>
          <w:tcPr>
            <w:tcW w:w="6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8B" w:rsidRPr="00F37CDA" w:rsidRDefault="009E6B3E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Número de palabras traducidas e</w:t>
            </w:r>
            <w:r w:rsidR="00A4218B" w:rsidRPr="00F37CDA">
              <w:rPr>
                <w:rFonts w:eastAsia="MS Mincho"/>
                <w:sz w:val="18"/>
                <w:szCs w:val="18"/>
                <w:lang w:val="es-ES" w:eastAsia="ja-JP"/>
              </w:rPr>
              <w:t>n 2014</w:t>
            </w:r>
          </w:p>
        </w:tc>
      </w:tr>
      <w:tr w:rsidR="00A4218B" w:rsidRPr="00F37CDA" w:rsidTr="001E6C90">
        <w:trPr>
          <w:trHeight w:val="765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8B" w:rsidRPr="00F37CDA" w:rsidRDefault="00AE3AD8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Efectivo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9044E8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Porcentaje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9044E8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Simulación con la Regla</w:t>
            </w:r>
            <w:r w:rsidR="00A4218B" w:rsidRPr="00F37CDA">
              <w:rPr>
                <w:rFonts w:eastAsia="MS Mincho"/>
                <w:sz w:val="18"/>
                <w:szCs w:val="18"/>
                <w:lang w:val="es-ES" w:eastAsia="ja-JP"/>
              </w:rPr>
              <w:t xml:space="preserve"> 18</w:t>
            </w:r>
            <w:r w:rsidR="00A4218B" w:rsidRPr="00F37CDA">
              <w:rPr>
                <w:rFonts w:eastAsia="MS Mincho"/>
                <w:i/>
                <w:sz w:val="18"/>
                <w:szCs w:val="18"/>
                <w:lang w:val="es-ES" w:eastAsia="ja-JP"/>
              </w:rPr>
              <w:t>ter</w:t>
            </w: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.2)</w:t>
            </w:r>
            <w:r w:rsidR="00A4218B" w:rsidRPr="00F37CDA">
              <w:rPr>
                <w:rFonts w:eastAsia="MS Mincho"/>
                <w:sz w:val="18"/>
                <w:szCs w:val="18"/>
                <w:lang w:val="es-ES" w:eastAsia="ja-JP"/>
              </w:rPr>
              <w:t>ii)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18B" w:rsidRPr="00F37CDA" w:rsidRDefault="009044E8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Porcentaje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9044E8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Incremento</w:t>
            </w:r>
          </w:p>
        </w:tc>
      </w:tr>
      <w:tr w:rsidR="00A4218B" w:rsidRPr="00F37CDA" w:rsidTr="001E6C90">
        <w:trPr>
          <w:trHeight w:val="25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9044E8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Registros internacionales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22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927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428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86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22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927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62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</w:p>
        </w:tc>
      </w:tr>
      <w:tr w:rsidR="00A4218B" w:rsidRPr="00F37CDA" w:rsidTr="001E6C90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9044E8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Modificaciones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527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527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</w:p>
        </w:tc>
      </w:tr>
      <w:tr w:rsidR="00A4218B" w:rsidRPr="00F37CDA" w:rsidTr="001E6C90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9044E8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Denegaciones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7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877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0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7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0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</w:p>
        </w:tc>
      </w:tr>
      <w:tr w:rsidR="00A4218B" w:rsidRPr="00F37CDA" w:rsidTr="001E6C90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9044E8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Cesación de los efectos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871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871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4%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</w:p>
        </w:tc>
      </w:tr>
      <w:tr w:rsidR="00A4218B" w:rsidRPr="00F37CDA" w:rsidTr="001E6C90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9044E8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Otras decisiones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273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907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12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574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34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453%</w:t>
            </w:r>
          </w:p>
        </w:tc>
      </w:tr>
      <w:tr w:rsidR="00A4218B" w:rsidRPr="00F37CDA" w:rsidTr="001E6C90">
        <w:trPr>
          <w:trHeight w:val="255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Total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26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608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859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100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36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909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100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0%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38</w:t>
            </w:r>
            <w:r w:rsidR="009044E8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7%</w:t>
            </w:r>
          </w:p>
        </w:tc>
      </w:tr>
      <w:bookmarkEnd w:id="4"/>
    </w:tbl>
    <w:p w:rsidR="00C46B0A" w:rsidRDefault="00C46B0A" w:rsidP="00F37CDA">
      <w:pPr>
        <w:widowControl w:val="0"/>
        <w:rPr>
          <w:lang w:val="es-ES"/>
        </w:rPr>
      </w:pPr>
      <w:r>
        <w:rPr>
          <w:lang w:val="es-ES"/>
        </w:rPr>
        <w:br w:type="page"/>
      </w: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8D1135" w:rsidRPr="00F37CDA">
        <w:rPr>
          <w:lang w:val="es-ES"/>
        </w:rPr>
        <w:t xml:space="preserve">La Oficina Internacional adoptó un enfoque matizado </w:t>
      </w:r>
      <w:r w:rsidR="001B5728" w:rsidRPr="00F37CDA">
        <w:rPr>
          <w:lang w:val="es-ES"/>
        </w:rPr>
        <w:t>con respecto a</w:t>
      </w:r>
      <w:r w:rsidR="008D1135" w:rsidRPr="00F37CDA">
        <w:rPr>
          <w:lang w:val="es-ES"/>
        </w:rPr>
        <w:t xml:space="preserve"> la traducción de las declaraciones de concesión de la protección enviadas en virtud de la </w:t>
      </w:r>
      <w:r w:rsidR="00942B38">
        <w:rPr>
          <w:lang w:val="es-ES"/>
        </w:rPr>
        <w:t>Regla</w:t>
      </w:r>
      <w:r w:rsidR="00942B38" w:rsidRPr="00F37CDA">
        <w:rPr>
          <w:lang w:val="es-ES"/>
        </w:rPr>
        <w:t> </w:t>
      </w:r>
      <w:r w:rsidRPr="00F37CDA">
        <w:rPr>
          <w:lang w:val="es-ES"/>
        </w:rPr>
        <w:t>18</w:t>
      </w:r>
      <w:r w:rsidRPr="00F37CDA">
        <w:rPr>
          <w:i/>
          <w:lang w:val="es-ES"/>
        </w:rPr>
        <w:t>ter</w:t>
      </w:r>
      <w:r w:rsidR="008D1135" w:rsidRPr="00F37CDA">
        <w:rPr>
          <w:lang w:val="es-ES"/>
        </w:rPr>
        <w:t>.2</w:t>
      </w:r>
      <w:proofErr w:type="gramStart"/>
      <w:r w:rsidR="008D1135" w:rsidRPr="00F37CDA">
        <w:rPr>
          <w:lang w:val="es-ES"/>
        </w:rPr>
        <w:t>)</w:t>
      </w:r>
      <w:r w:rsidRPr="00F37CDA">
        <w:rPr>
          <w:lang w:val="es-ES"/>
        </w:rPr>
        <w:t>ii</w:t>
      </w:r>
      <w:proofErr w:type="gramEnd"/>
      <w:r w:rsidRPr="00F37CDA">
        <w:rPr>
          <w:lang w:val="es-ES"/>
        </w:rPr>
        <w:t xml:space="preserve">) </w:t>
      </w:r>
      <w:r w:rsidR="008D1135" w:rsidRPr="00F37CDA">
        <w:rPr>
          <w:lang w:val="es-ES"/>
        </w:rPr>
        <w:t xml:space="preserve">del Reglamento Común </w:t>
      </w:r>
      <w:r w:rsidR="00822918" w:rsidRPr="00F37CDA">
        <w:rPr>
          <w:lang w:val="es-ES"/>
        </w:rPr>
        <w:t xml:space="preserve">por cuanto </w:t>
      </w:r>
      <w:r w:rsidR="008D1135" w:rsidRPr="00F37CDA">
        <w:rPr>
          <w:lang w:val="es-ES"/>
        </w:rPr>
        <w:t xml:space="preserve">su inscripción solo </w:t>
      </w:r>
      <w:r w:rsidR="00822918" w:rsidRPr="00F37CDA">
        <w:rPr>
          <w:lang w:val="es-ES"/>
        </w:rPr>
        <w:t>colma</w:t>
      </w:r>
      <w:r w:rsidR="008D1135" w:rsidRPr="00F37CDA">
        <w:rPr>
          <w:lang w:val="es-ES"/>
        </w:rPr>
        <w:t xml:space="preserve"> las necesidades de los titulares en contadas ocasiones</w:t>
      </w:r>
      <w:r w:rsidRPr="00F37CDA">
        <w:rPr>
          <w:lang w:val="es-ES"/>
        </w:rPr>
        <w:t xml:space="preserve">, </w:t>
      </w:r>
      <w:r w:rsidR="00822918" w:rsidRPr="00F37CDA">
        <w:rPr>
          <w:lang w:val="es-ES"/>
        </w:rPr>
        <w:t xml:space="preserve">dado que </w:t>
      </w:r>
      <w:r w:rsidR="008D1135" w:rsidRPr="00F37CDA">
        <w:rPr>
          <w:lang w:val="es-ES"/>
        </w:rPr>
        <w:t>probablemente habrán participado en los procedimientos que dieron origen a la declaración</w:t>
      </w:r>
      <w:r w:rsidR="000C1063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8D1135" w:rsidRPr="00F37CDA">
        <w:rPr>
          <w:lang w:val="es-ES"/>
        </w:rPr>
        <w:t>Desde</w:t>
      </w:r>
      <w:r w:rsidRPr="00F37CDA">
        <w:rPr>
          <w:lang w:val="es-ES"/>
        </w:rPr>
        <w:t xml:space="preserve"> 2011, </w:t>
      </w:r>
      <w:r w:rsidR="008D1135" w:rsidRPr="00F37CDA">
        <w:rPr>
          <w:lang w:val="es-ES"/>
        </w:rPr>
        <w:t xml:space="preserve">en el sitio web del Sistema de Madrid se puede acceder a un formulario electrónico </w:t>
      </w:r>
      <w:r w:rsidR="00536380" w:rsidRPr="00F37CDA">
        <w:rPr>
          <w:lang w:val="es-ES"/>
        </w:rPr>
        <w:t xml:space="preserve">único </w:t>
      </w:r>
      <w:r w:rsidR="008D1135" w:rsidRPr="00F37CDA">
        <w:rPr>
          <w:lang w:val="es-ES"/>
        </w:rPr>
        <w:t>para solicitar la traducción de un documento que no ha</w:t>
      </w:r>
      <w:r w:rsidR="00F410BC" w:rsidRPr="00F37CDA">
        <w:rPr>
          <w:lang w:val="es-ES"/>
        </w:rPr>
        <w:t>ya</w:t>
      </w:r>
      <w:r w:rsidR="008D1135" w:rsidRPr="00F37CDA">
        <w:rPr>
          <w:lang w:val="es-ES"/>
        </w:rPr>
        <w:t xml:space="preserve"> </w:t>
      </w:r>
      <w:r w:rsidR="001B5728" w:rsidRPr="00F37CDA">
        <w:rPr>
          <w:lang w:val="es-ES"/>
        </w:rPr>
        <w:t xml:space="preserve">sido </w:t>
      </w:r>
      <w:r w:rsidR="008D1135" w:rsidRPr="00F37CDA">
        <w:rPr>
          <w:lang w:val="es-ES"/>
        </w:rPr>
        <w:t>traducido con arreglo a las prácticas</w:t>
      </w:r>
      <w:r w:rsidR="00376436" w:rsidRPr="00F37CDA">
        <w:rPr>
          <w:lang w:val="es-ES"/>
        </w:rPr>
        <w:t xml:space="preserve"> actuales</w:t>
      </w:r>
      <w:r w:rsidR="008D1135" w:rsidRPr="00F37CDA">
        <w:rPr>
          <w:lang w:val="es-ES"/>
        </w:rPr>
        <w:t>.  La</w:t>
      </w:r>
      <w:r w:rsidR="008E3A5E" w:rsidRPr="00F37CDA">
        <w:rPr>
          <w:lang w:val="es-ES"/>
        </w:rPr>
        <w:t xml:space="preserve"> </w:t>
      </w:r>
      <w:r w:rsidRPr="00F37CDA">
        <w:rPr>
          <w:lang w:val="es-ES"/>
        </w:rPr>
        <w:t>demand</w:t>
      </w:r>
      <w:r w:rsidR="008D1135" w:rsidRPr="00F37CDA">
        <w:rPr>
          <w:lang w:val="es-ES"/>
        </w:rPr>
        <w:t xml:space="preserve">a </w:t>
      </w:r>
      <w:r w:rsidR="004C3C52" w:rsidRPr="00F37CDA">
        <w:rPr>
          <w:lang w:val="es-ES"/>
        </w:rPr>
        <w:t xml:space="preserve">de traducciones de las </w:t>
      </w:r>
      <w:r w:rsidR="008D1135" w:rsidRPr="00F37CDA">
        <w:rPr>
          <w:lang w:val="es-ES"/>
        </w:rPr>
        <w:t>declaraciones de concesión de la protección ha sido ínfima</w:t>
      </w:r>
      <w:r w:rsidRPr="00F37CDA">
        <w:rPr>
          <w:lang w:val="es-ES"/>
        </w:rPr>
        <w:t xml:space="preserve">.  </w:t>
      </w:r>
      <w:r w:rsidR="008D1135" w:rsidRPr="00F37CDA">
        <w:rPr>
          <w:lang w:val="es-ES"/>
        </w:rPr>
        <w:t>La Oficina Internacional solo ha recibido tres peticiones de traducción válidas, dos de ellas en</w:t>
      </w:r>
      <w:r w:rsidRPr="00F37CDA">
        <w:rPr>
          <w:lang w:val="es-ES"/>
        </w:rPr>
        <w:t xml:space="preserve"> 2014.  </w:t>
      </w:r>
      <w:r w:rsidR="008D1135" w:rsidRPr="00F37CDA">
        <w:rPr>
          <w:lang w:val="es-ES"/>
        </w:rPr>
        <w:t xml:space="preserve">La baja demanda de este servicio puede obedecer a que la traducción de las declaraciones de concesión de la protección </w:t>
      </w:r>
      <w:r w:rsidR="00822918" w:rsidRPr="00F37CDA">
        <w:rPr>
          <w:lang w:val="es-ES"/>
        </w:rPr>
        <w:t xml:space="preserve">sirve </w:t>
      </w:r>
      <w:r w:rsidR="00E9651A" w:rsidRPr="00F37CDA">
        <w:rPr>
          <w:lang w:val="es-ES"/>
        </w:rPr>
        <w:t>principalmente</w:t>
      </w:r>
      <w:r w:rsidR="008D1135" w:rsidRPr="00F37CDA">
        <w:rPr>
          <w:lang w:val="es-ES"/>
        </w:rPr>
        <w:t xml:space="preserve"> </w:t>
      </w:r>
      <w:r w:rsidR="00822918" w:rsidRPr="00F37CDA">
        <w:rPr>
          <w:lang w:val="es-ES"/>
        </w:rPr>
        <w:t xml:space="preserve">para satisfacer </w:t>
      </w:r>
      <w:r w:rsidR="008D1135" w:rsidRPr="00F37CDA">
        <w:rPr>
          <w:lang w:val="es-ES"/>
        </w:rPr>
        <w:t>las necesidades de información de terceros</w:t>
      </w:r>
      <w:r w:rsidR="000C1063">
        <w:rPr>
          <w:lang w:val="es-ES"/>
        </w:rPr>
        <w:t>.</w:t>
      </w:r>
    </w:p>
    <w:p w:rsidR="00A4218B" w:rsidRPr="00F37CDA" w:rsidRDefault="008D1135" w:rsidP="00F37CDA">
      <w:pPr>
        <w:pStyle w:val="Heading1"/>
        <w:keepNext w:val="0"/>
        <w:widowControl w:val="0"/>
        <w:rPr>
          <w:lang w:val="es-ES"/>
        </w:rPr>
      </w:pPr>
      <w:r w:rsidRPr="00F37CDA">
        <w:rPr>
          <w:lang w:val="es-ES"/>
        </w:rPr>
        <w:t xml:space="preserve">REPERCUSIÓN DE LAS PRÁCTICAS EN MATERIA DE TRADUCCIÓN EN LAS LIMITACIONES EFECTUADAS EN SOLICITUDES INTERNACIONALES, las DESIGNACIONES POSTERIORES Y las PETICIONES DE INSCRIPCIÓN DE UNA modificación INSCRITAS EN </w:t>
      </w:r>
      <w:r w:rsidR="00A4218B" w:rsidRPr="00F37CDA">
        <w:rPr>
          <w:lang w:val="es-ES"/>
        </w:rPr>
        <w:t>2014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C05228" w:rsidRPr="00F37CDA">
        <w:rPr>
          <w:lang w:val="es-ES"/>
        </w:rPr>
        <w:t xml:space="preserve">La justificación de las prácticas </w:t>
      </w:r>
      <w:r w:rsidR="002825E0" w:rsidRPr="00F37CDA">
        <w:rPr>
          <w:lang w:val="es-ES"/>
        </w:rPr>
        <w:t xml:space="preserve">actuales de traducción selectiva de </w:t>
      </w:r>
      <w:r w:rsidR="00C05228" w:rsidRPr="00F37CDA">
        <w:rPr>
          <w:lang w:val="es-ES"/>
        </w:rPr>
        <w:t xml:space="preserve">las limitaciones radica en </w:t>
      </w:r>
      <w:r w:rsidR="002825E0" w:rsidRPr="00F37CDA">
        <w:rPr>
          <w:lang w:val="es-ES"/>
        </w:rPr>
        <w:t xml:space="preserve">facilitar </w:t>
      </w:r>
      <w:r w:rsidR="00C05228" w:rsidRPr="00F37CDA">
        <w:rPr>
          <w:lang w:val="es-ES"/>
        </w:rPr>
        <w:t>su inscripción y notificación</w:t>
      </w:r>
      <w:r w:rsidRPr="00F37CDA">
        <w:rPr>
          <w:lang w:val="es-ES"/>
        </w:rPr>
        <w:t xml:space="preserve">.  </w:t>
      </w:r>
      <w:r w:rsidR="00C05228" w:rsidRPr="00F37CDA">
        <w:rPr>
          <w:lang w:val="es-ES"/>
        </w:rPr>
        <w:t xml:space="preserve">Por lo general, </w:t>
      </w:r>
      <w:r w:rsidR="002825E0" w:rsidRPr="00F37CDA">
        <w:rPr>
          <w:lang w:val="es-ES"/>
        </w:rPr>
        <w:t xml:space="preserve">el titular solicita </w:t>
      </w:r>
      <w:r w:rsidR="00C05228" w:rsidRPr="00F37CDA">
        <w:rPr>
          <w:lang w:val="es-ES"/>
        </w:rPr>
        <w:t xml:space="preserve">limitaciones para </w:t>
      </w:r>
      <w:r w:rsidR="002825E0" w:rsidRPr="00F37CDA">
        <w:rPr>
          <w:lang w:val="es-ES"/>
        </w:rPr>
        <w:t xml:space="preserve">satisfacer </w:t>
      </w:r>
      <w:r w:rsidR="00C05228" w:rsidRPr="00F37CDA">
        <w:rPr>
          <w:lang w:val="es-ES"/>
        </w:rPr>
        <w:t xml:space="preserve">una necesidad </w:t>
      </w:r>
      <w:r w:rsidR="002825E0" w:rsidRPr="00F37CDA">
        <w:rPr>
          <w:lang w:val="es-ES"/>
        </w:rPr>
        <w:t>sujeta a un plazo determinado</w:t>
      </w:r>
      <w:r w:rsidRPr="00F37CDA">
        <w:rPr>
          <w:lang w:val="es-ES"/>
        </w:rPr>
        <w:t xml:space="preserve">, </w:t>
      </w:r>
      <w:r w:rsidR="00C05228" w:rsidRPr="00F37CDA">
        <w:rPr>
          <w:lang w:val="es-ES"/>
        </w:rPr>
        <w:t xml:space="preserve">como responder a una denegación provisional o reducir el alcance </w:t>
      </w:r>
      <w:r w:rsidR="004965FE" w:rsidRPr="00F37CDA">
        <w:rPr>
          <w:lang w:val="es-ES"/>
        </w:rPr>
        <w:t>correspondiente</w:t>
      </w:r>
      <w:r w:rsidR="00A421D4" w:rsidRPr="00F37CDA">
        <w:rPr>
          <w:lang w:val="es-ES"/>
        </w:rPr>
        <w:t xml:space="preserve"> a</w:t>
      </w:r>
      <w:r w:rsidR="002825E0" w:rsidRPr="00F37CDA">
        <w:rPr>
          <w:lang w:val="es-ES"/>
        </w:rPr>
        <w:t xml:space="preserve"> </w:t>
      </w:r>
      <w:r w:rsidR="00C05228" w:rsidRPr="00F37CDA">
        <w:rPr>
          <w:lang w:val="es-ES"/>
        </w:rPr>
        <w:t>una Parte Contratante designada antes de la renovación del registro internacional</w:t>
      </w:r>
      <w:r w:rsidR="000C1063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C05228" w:rsidRPr="00F37CDA">
        <w:rPr>
          <w:lang w:val="es-ES"/>
        </w:rPr>
        <w:t>E</w:t>
      </w:r>
      <w:r w:rsidRPr="00F37CDA">
        <w:rPr>
          <w:lang w:val="es-ES"/>
        </w:rPr>
        <w:t xml:space="preserve">n 2014, </w:t>
      </w:r>
      <w:r w:rsidR="00C05228" w:rsidRPr="00F37CDA">
        <w:rPr>
          <w:lang w:val="es-ES"/>
        </w:rPr>
        <w:t>el número total de limitaciones inscritas, bien como modificación, bien simultáneamente como parte de un registro internacional o</w:t>
      </w:r>
      <w:r w:rsidR="00A05021" w:rsidRPr="00F37CDA">
        <w:rPr>
          <w:lang w:val="es-ES"/>
        </w:rPr>
        <w:t xml:space="preserve"> una</w:t>
      </w:r>
      <w:r w:rsidR="00C05228" w:rsidRPr="00F37CDA">
        <w:rPr>
          <w:lang w:val="es-ES"/>
        </w:rPr>
        <w:t xml:space="preserve"> designación posterior, ascendió a </w:t>
      </w:r>
      <w:r w:rsidRPr="00F37CDA">
        <w:rPr>
          <w:lang w:val="es-ES"/>
        </w:rPr>
        <w:t>14</w:t>
      </w:r>
      <w:r w:rsidR="00641EB3" w:rsidRPr="00F37CDA">
        <w:rPr>
          <w:lang w:val="es-ES"/>
        </w:rPr>
        <w:t>.</w:t>
      </w:r>
      <w:r w:rsidRPr="00F37CDA">
        <w:rPr>
          <w:lang w:val="es-ES"/>
        </w:rPr>
        <w:t xml:space="preserve">123.  </w:t>
      </w:r>
      <w:r w:rsidR="00C05228" w:rsidRPr="00F37CDA">
        <w:rPr>
          <w:lang w:val="es-ES"/>
        </w:rPr>
        <w:t>E</w:t>
      </w:r>
      <w:r w:rsidRPr="00F37CDA">
        <w:rPr>
          <w:lang w:val="es-ES"/>
        </w:rPr>
        <w:t>n 7</w:t>
      </w:r>
      <w:r w:rsidR="00C05228" w:rsidRPr="00F37CDA">
        <w:rPr>
          <w:lang w:val="es-ES"/>
        </w:rPr>
        <w:t>.</w:t>
      </w:r>
      <w:r w:rsidRPr="00F37CDA">
        <w:rPr>
          <w:lang w:val="es-ES"/>
        </w:rPr>
        <w:t xml:space="preserve">195 </w:t>
      </w:r>
      <w:r w:rsidR="00C05228" w:rsidRPr="00F37CDA">
        <w:rPr>
          <w:lang w:val="es-ES"/>
        </w:rPr>
        <w:t>de esas inscripciones</w:t>
      </w:r>
      <w:r w:rsidRPr="00F37CDA">
        <w:rPr>
          <w:lang w:val="es-ES"/>
        </w:rPr>
        <w:t xml:space="preserve"> </w:t>
      </w:r>
      <w:r w:rsidR="00641EB3" w:rsidRPr="00F37CDA">
        <w:rPr>
          <w:lang w:val="es-ES"/>
        </w:rPr>
        <w:t>(</w:t>
      </w:r>
      <w:r w:rsidR="00C05228" w:rsidRPr="00F37CDA">
        <w:rPr>
          <w:lang w:val="es-ES"/>
        </w:rPr>
        <w:t xml:space="preserve">el </w:t>
      </w:r>
      <w:r w:rsidRPr="00F37CDA">
        <w:rPr>
          <w:lang w:val="es-ES"/>
        </w:rPr>
        <w:t xml:space="preserve">51% </w:t>
      </w:r>
      <w:r w:rsidR="00C05228" w:rsidRPr="00F37CDA">
        <w:rPr>
          <w:lang w:val="es-ES"/>
        </w:rPr>
        <w:t xml:space="preserve">del </w:t>
      </w:r>
      <w:r w:rsidRPr="00F37CDA">
        <w:rPr>
          <w:lang w:val="es-ES"/>
        </w:rPr>
        <w:t>total</w:t>
      </w:r>
      <w:r w:rsidR="00641EB3" w:rsidRPr="00F37CDA">
        <w:rPr>
          <w:lang w:val="es-ES"/>
        </w:rPr>
        <w:t>),</w:t>
      </w:r>
      <w:r w:rsidRPr="00F37CDA">
        <w:rPr>
          <w:lang w:val="es-ES"/>
        </w:rPr>
        <w:t xml:space="preserve"> </w:t>
      </w:r>
      <w:r w:rsidR="00C05228" w:rsidRPr="00F37CDA">
        <w:rPr>
          <w:lang w:val="es-ES"/>
        </w:rPr>
        <w:t xml:space="preserve">el idioma en que se presentó </w:t>
      </w:r>
      <w:r w:rsidR="00641EB3" w:rsidRPr="00F37CDA">
        <w:rPr>
          <w:lang w:val="es-ES"/>
        </w:rPr>
        <w:t xml:space="preserve">la petición se correspondía con </w:t>
      </w:r>
      <w:r w:rsidR="00C05228" w:rsidRPr="00F37CDA">
        <w:rPr>
          <w:lang w:val="es-ES"/>
        </w:rPr>
        <w:t xml:space="preserve">el idioma de comunicación de la Oficina en que la limitación </w:t>
      </w:r>
      <w:r w:rsidR="00641EB3" w:rsidRPr="00F37CDA">
        <w:rPr>
          <w:lang w:val="es-ES"/>
        </w:rPr>
        <w:t xml:space="preserve">surtiría </w:t>
      </w:r>
      <w:r w:rsidR="00C05228" w:rsidRPr="00F37CDA">
        <w:rPr>
          <w:lang w:val="es-ES"/>
        </w:rPr>
        <w:t>efecto</w:t>
      </w:r>
      <w:r w:rsidRPr="00F37CDA">
        <w:rPr>
          <w:lang w:val="es-ES"/>
        </w:rPr>
        <w:t xml:space="preserve"> (</w:t>
      </w:r>
      <w:r w:rsidR="00C05228" w:rsidRPr="00F37CDA">
        <w:rPr>
          <w:lang w:val="es-ES"/>
        </w:rPr>
        <w:t>véase el cuadro</w:t>
      </w:r>
      <w:r w:rsidR="000C1063">
        <w:rPr>
          <w:lang w:val="es-ES"/>
        </w:rPr>
        <w:t> V).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4C3C52" w:rsidRPr="00F37CDA">
        <w:rPr>
          <w:lang w:val="es-ES"/>
        </w:rPr>
        <w:t>Por lo tanto</w:t>
      </w:r>
      <w:r w:rsidR="00C05228" w:rsidRPr="00F37CDA">
        <w:rPr>
          <w:lang w:val="es-ES"/>
        </w:rPr>
        <w:t>, el tiempo necesario para inscribir más de la mitad de las limitaciones se redujo considerablemente porque no era necesaria su traducción</w:t>
      </w:r>
      <w:r w:rsidRPr="00F37CDA">
        <w:rPr>
          <w:lang w:val="es-ES"/>
        </w:rPr>
        <w:t xml:space="preserve">.  </w:t>
      </w:r>
      <w:r w:rsidR="00C05228" w:rsidRPr="00F37CDA">
        <w:rPr>
          <w:lang w:val="es-ES"/>
        </w:rPr>
        <w:t xml:space="preserve">Esta circunstancia, como se explicaba anteriormente, reportó notables beneficios </w:t>
      </w:r>
      <w:r w:rsidR="00A421D4" w:rsidRPr="00F37CDA">
        <w:rPr>
          <w:lang w:val="es-ES"/>
        </w:rPr>
        <w:t xml:space="preserve">a </w:t>
      </w:r>
      <w:r w:rsidR="00C05228" w:rsidRPr="00F37CDA">
        <w:rPr>
          <w:lang w:val="es-ES"/>
        </w:rPr>
        <w:t xml:space="preserve">los titulares </w:t>
      </w:r>
      <w:r w:rsidR="004965FE" w:rsidRPr="00F37CDA">
        <w:rPr>
          <w:lang w:val="es-ES"/>
        </w:rPr>
        <w:t>interesados</w:t>
      </w:r>
      <w:r w:rsidRPr="00F37CDA">
        <w:rPr>
          <w:lang w:val="es-ES"/>
        </w:rPr>
        <w:t xml:space="preserve">.  </w:t>
      </w:r>
    </w:p>
    <w:p w:rsidR="00A4218B" w:rsidRPr="00F37CDA" w:rsidRDefault="00C05228" w:rsidP="00F37CDA">
      <w:pPr>
        <w:pStyle w:val="Heading4"/>
        <w:keepNext w:val="0"/>
        <w:widowControl w:val="0"/>
        <w:rPr>
          <w:lang w:val="es-ES"/>
        </w:rPr>
      </w:pPr>
      <w:r w:rsidRPr="00F37CDA">
        <w:rPr>
          <w:lang w:val="es-ES"/>
        </w:rPr>
        <w:t>Cuadro</w:t>
      </w:r>
      <w:r w:rsidR="00A4218B" w:rsidRPr="00F37CDA">
        <w:rPr>
          <w:lang w:val="es-ES"/>
        </w:rPr>
        <w:t> V</w:t>
      </w:r>
      <w:proofErr w:type="gramStart"/>
      <w:r w:rsidR="00A4218B" w:rsidRPr="00F37CDA">
        <w:rPr>
          <w:lang w:val="es-ES"/>
        </w:rPr>
        <w:t xml:space="preserve">:  </w:t>
      </w:r>
      <w:r w:rsidRPr="00F37CDA">
        <w:rPr>
          <w:lang w:val="es-ES"/>
        </w:rPr>
        <w:t>Limitaciones</w:t>
      </w:r>
      <w:proofErr w:type="gramEnd"/>
      <w:r w:rsidRPr="00F37CDA">
        <w:rPr>
          <w:lang w:val="es-ES"/>
        </w:rPr>
        <w:t xml:space="preserve"> inscritas en </w:t>
      </w:r>
      <w:r w:rsidR="00A4218B" w:rsidRPr="00F37CDA">
        <w:rPr>
          <w:lang w:val="es-ES"/>
        </w:rPr>
        <w:t>2014</w:t>
      </w:r>
    </w:p>
    <w:p w:rsidR="00A4218B" w:rsidRPr="00F37CDA" w:rsidRDefault="00A4218B" w:rsidP="00F37CDA">
      <w:pPr>
        <w:widowControl w:val="0"/>
        <w:rPr>
          <w:lang w:val="es-ES"/>
        </w:rPr>
      </w:pPr>
    </w:p>
    <w:tbl>
      <w:tblPr>
        <w:tblW w:w="9361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77"/>
        <w:gridCol w:w="3342"/>
        <w:gridCol w:w="3342"/>
      </w:tblGrid>
      <w:tr w:rsidR="00A4218B" w:rsidRPr="00F37CDA" w:rsidTr="001E6C90">
        <w:trPr>
          <w:trHeight w:val="510"/>
          <w:jc w:val="center"/>
        </w:trPr>
        <w:tc>
          <w:tcPr>
            <w:tcW w:w="2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18B" w:rsidRPr="00F37CDA" w:rsidRDefault="00C05228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 xml:space="preserve">Idioma de la limitación </w:t>
            </w:r>
            <w:r w:rsidR="00A4218B" w:rsidRPr="00F37CDA">
              <w:rPr>
                <w:rFonts w:eastAsia="MS Mincho"/>
                <w:sz w:val="18"/>
                <w:szCs w:val="18"/>
                <w:lang w:val="es-ES" w:eastAsia="ja-JP"/>
              </w:rPr>
              <w:t xml:space="preserve">= </w:t>
            </w: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 xml:space="preserve">idioma de la Oficina </w:t>
            </w:r>
            <w:r w:rsidR="004965FE" w:rsidRPr="00F37CDA">
              <w:rPr>
                <w:rFonts w:eastAsia="MS Mincho"/>
                <w:sz w:val="18"/>
                <w:szCs w:val="18"/>
                <w:lang w:val="es-ES" w:eastAsia="ja-JP"/>
              </w:rPr>
              <w:t>correspondiente</w:t>
            </w:r>
          </w:p>
        </w:tc>
        <w:tc>
          <w:tcPr>
            <w:tcW w:w="3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18B" w:rsidRPr="00F37CDA" w:rsidRDefault="00C05228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Limitaciones</w:t>
            </w: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br/>
              <w:t>inscritas</w:t>
            </w:r>
          </w:p>
        </w:tc>
      </w:tr>
      <w:tr w:rsidR="00A4218B" w:rsidRPr="00F37CDA" w:rsidTr="001E6C90">
        <w:trPr>
          <w:trHeight w:val="510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18B" w:rsidRPr="00F37CDA" w:rsidRDefault="00C05228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Limitaciones en una solicitud internacional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C0522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770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</w:t>
            </w:r>
            <w:r w:rsidR="00C0522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154</w:t>
            </w:r>
          </w:p>
        </w:tc>
      </w:tr>
      <w:tr w:rsidR="00A4218B" w:rsidRPr="00F37CDA" w:rsidTr="001E6C90">
        <w:trPr>
          <w:trHeight w:val="510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18B" w:rsidRPr="00F37CDA" w:rsidRDefault="00C05228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Limitaciones en una designación posterior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C0522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510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ascii="Calibri" w:eastAsia="Calibri" w:hAnsi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</w:t>
            </w:r>
            <w:r w:rsidR="00C0522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580</w:t>
            </w:r>
          </w:p>
        </w:tc>
      </w:tr>
      <w:tr w:rsidR="00A4218B" w:rsidRPr="00F37CDA" w:rsidTr="001E6C90">
        <w:trPr>
          <w:trHeight w:val="510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18B" w:rsidRPr="00F37CDA" w:rsidRDefault="00C05228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Como peticiones de inscripción de una modificación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C0522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915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Calibri"/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</w:t>
            </w:r>
            <w:r w:rsidR="00C0522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389</w:t>
            </w:r>
          </w:p>
        </w:tc>
      </w:tr>
      <w:tr w:rsidR="00A4218B" w:rsidRPr="00F37CDA" w:rsidTr="001E6C90">
        <w:trPr>
          <w:trHeight w:val="510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Total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7</w:t>
            </w:r>
            <w:r w:rsidR="00C0522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195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14</w:t>
            </w:r>
            <w:r w:rsidR="00C05228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123</w:t>
            </w:r>
          </w:p>
        </w:tc>
      </w:tr>
    </w:tbl>
    <w:p w:rsidR="00C46B0A" w:rsidRDefault="00C46B0A" w:rsidP="00F37CDA">
      <w:pPr>
        <w:pStyle w:val="Heading1"/>
        <w:widowControl w:val="0"/>
        <w:rPr>
          <w:lang w:val="es-ES"/>
        </w:rPr>
      </w:pPr>
      <w:r>
        <w:rPr>
          <w:lang w:val="es-ES"/>
        </w:rPr>
        <w:br w:type="page"/>
      </w:r>
    </w:p>
    <w:p w:rsidR="00A4218B" w:rsidRPr="00F37CDA" w:rsidRDefault="008C7D32" w:rsidP="00F37CDA">
      <w:pPr>
        <w:pStyle w:val="Heading1"/>
        <w:widowControl w:val="0"/>
        <w:rPr>
          <w:lang w:val="es-ES"/>
        </w:rPr>
      </w:pPr>
      <w:r w:rsidRPr="00F37CDA">
        <w:rPr>
          <w:lang w:val="es-ES"/>
        </w:rPr>
        <w:t xml:space="preserve">IMPLANTACIÓN </w:t>
      </w:r>
      <w:r w:rsidR="006D1AED" w:rsidRPr="00F37CDA">
        <w:rPr>
          <w:lang w:val="es-ES"/>
        </w:rPr>
        <w:t xml:space="preserve">POR parte de LA OFICINA INTERNACIONAL </w:t>
      </w:r>
      <w:r w:rsidRPr="00F37CDA">
        <w:rPr>
          <w:lang w:val="es-ES"/>
        </w:rPr>
        <w:t>DE UN NUEVO PROCE</w:t>
      </w:r>
      <w:r w:rsidR="004851A7" w:rsidRPr="00F37CDA">
        <w:rPr>
          <w:lang w:val="es-ES"/>
        </w:rPr>
        <w:t>dimiento</w:t>
      </w:r>
      <w:r w:rsidRPr="00F37CDA">
        <w:rPr>
          <w:lang w:val="es-ES"/>
        </w:rPr>
        <w:t xml:space="preserve"> DE TRADUCCIÓN BASADO EN </w:t>
      </w:r>
      <w:r w:rsidR="00C52FB8" w:rsidRPr="00F37CDA">
        <w:rPr>
          <w:lang w:val="es-ES"/>
        </w:rPr>
        <w:t xml:space="preserve">las </w:t>
      </w:r>
      <w:r w:rsidRPr="00F37CDA">
        <w:rPr>
          <w:lang w:val="es-ES"/>
        </w:rPr>
        <w:t>TECNOLOGÍA</w:t>
      </w:r>
      <w:r w:rsidR="00C52FB8" w:rsidRPr="00F37CDA">
        <w:rPr>
          <w:lang w:val="es-ES"/>
        </w:rPr>
        <w:t>s</w:t>
      </w:r>
      <w:r w:rsidRPr="00F37CDA">
        <w:rPr>
          <w:lang w:val="es-ES"/>
        </w:rPr>
        <w:t xml:space="preserve"> DE LA INFORMACIÓN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D0543F" w:rsidRPr="00F37CDA">
        <w:rPr>
          <w:lang w:val="es-ES"/>
        </w:rPr>
        <w:t>Desde</w:t>
      </w:r>
      <w:r w:rsidRPr="00F37CDA">
        <w:rPr>
          <w:lang w:val="es-ES"/>
        </w:rPr>
        <w:t xml:space="preserve"> 2012, </w:t>
      </w:r>
      <w:r w:rsidR="00942B38">
        <w:rPr>
          <w:lang w:val="es-ES"/>
        </w:rPr>
        <w:t>con el</w:t>
      </w:r>
      <w:r w:rsidR="00942B38" w:rsidRPr="00F37CDA">
        <w:rPr>
          <w:lang w:val="es-ES"/>
        </w:rPr>
        <w:t xml:space="preserve"> </w:t>
      </w:r>
      <w:r w:rsidR="00D0543F" w:rsidRPr="00F37CDA">
        <w:rPr>
          <w:lang w:val="es-ES"/>
        </w:rPr>
        <w:t>objeto de garantizar la coherencia y la calidad de las traducciones</w:t>
      </w:r>
      <w:r w:rsidR="00A05021" w:rsidRPr="00F37CDA">
        <w:rPr>
          <w:lang w:val="es-ES"/>
        </w:rPr>
        <w:t>,</w:t>
      </w:r>
      <w:r w:rsidR="00D0543F" w:rsidRPr="00F37CDA">
        <w:rPr>
          <w:lang w:val="es-ES"/>
        </w:rPr>
        <w:t xml:space="preserve"> y como medida preventiva para gestionar un incremento previsible del volumen de traducción, la Oficina Internacional decidió implantar </w:t>
      </w:r>
      <w:r w:rsidRPr="00F37CDA">
        <w:rPr>
          <w:lang w:val="es-ES"/>
        </w:rPr>
        <w:t xml:space="preserve">SDL </w:t>
      </w:r>
      <w:proofErr w:type="spellStart"/>
      <w:r w:rsidRPr="00F37CDA">
        <w:rPr>
          <w:lang w:val="es-ES"/>
        </w:rPr>
        <w:t>WorldServer</w:t>
      </w:r>
      <w:proofErr w:type="spellEnd"/>
      <w:r w:rsidRPr="00F37CDA">
        <w:rPr>
          <w:lang w:val="es-ES"/>
        </w:rPr>
        <w:t xml:space="preserve"> </w:t>
      </w:r>
      <w:r w:rsidR="00D0543F" w:rsidRPr="00F37CDA">
        <w:rPr>
          <w:lang w:val="es-ES"/>
        </w:rPr>
        <w:t xml:space="preserve">(WS) como sistema de gestión de la traducción </w:t>
      </w:r>
      <w:r w:rsidR="002E44D1" w:rsidRPr="00F37CDA">
        <w:rPr>
          <w:lang w:val="es-ES"/>
        </w:rPr>
        <w:t xml:space="preserve">de </w:t>
      </w:r>
      <w:r w:rsidR="004851A7" w:rsidRPr="00F37CDA">
        <w:rPr>
          <w:lang w:val="es-ES"/>
        </w:rPr>
        <w:t>preferencia</w:t>
      </w:r>
      <w:r w:rsidR="002E44D1" w:rsidRPr="00F37CDA">
        <w:rPr>
          <w:lang w:val="es-ES"/>
        </w:rPr>
        <w:t xml:space="preserve"> </w:t>
      </w:r>
      <w:r w:rsidR="00D0543F" w:rsidRPr="00F37CDA">
        <w:rPr>
          <w:lang w:val="es-ES"/>
        </w:rPr>
        <w:t xml:space="preserve">para los procedimientos de Madrid, La Haya y el </w:t>
      </w:r>
      <w:r w:rsidR="006D1AED" w:rsidRPr="00F37CDA">
        <w:rPr>
          <w:lang w:val="es-ES"/>
        </w:rPr>
        <w:t>PCT.  WS </w:t>
      </w:r>
      <w:r w:rsidR="00D0543F" w:rsidRPr="00F37CDA">
        <w:rPr>
          <w:lang w:val="es-ES"/>
        </w:rPr>
        <w:t xml:space="preserve">automatiza las tareas de traducción a partir de una base de datos interna en constante crecimiento de traducciones anteriores y términos exhaustivamente </w:t>
      </w:r>
      <w:r w:rsidR="00A05021" w:rsidRPr="00F37CDA">
        <w:rPr>
          <w:lang w:val="es-ES"/>
        </w:rPr>
        <w:t>revisados</w:t>
      </w:r>
      <w:r w:rsidRPr="00F37CDA">
        <w:rPr>
          <w:lang w:val="es-ES"/>
        </w:rPr>
        <w:t xml:space="preserve">.  </w:t>
      </w:r>
      <w:r w:rsidR="00D0543F" w:rsidRPr="00F37CDA">
        <w:rPr>
          <w:lang w:val="es-ES"/>
        </w:rPr>
        <w:t xml:space="preserve">La decisión de adoptar </w:t>
      </w:r>
      <w:r w:rsidRPr="00F37CDA">
        <w:rPr>
          <w:lang w:val="es-ES"/>
        </w:rPr>
        <w:t xml:space="preserve">WS </w:t>
      </w:r>
      <w:r w:rsidR="00D0543F" w:rsidRPr="00F37CDA">
        <w:rPr>
          <w:lang w:val="es-ES"/>
        </w:rPr>
        <w:t xml:space="preserve">se tomó </w:t>
      </w:r>
      <w:r w:rsidR="00034259" w:rsidRPr="00F37CDA">
        <w:rPr>
          <w:lang w:val="es-ES"/>
        </w:rPr>
        <w:t>tras</w:t>
      </w:r>
      <w:r w:rsidR="00D0543F" w:rsidRPr="00F37CDA">
        <w:rPr>
          <w:lang w:val="es-ES"/>
        </w:rPr>
        <w:t xml:space="preserve"> </w:t>
      </w:r>
      <w:r w:rsidR="00A05021" w:rsidRPr="00F37CDA">
        <w:rPr>
          <w:lang w:val="es-ES"/>
        </w:rPr>
        <w:t>un minucioso</w:t>
      </w:r>
      <w:r w:rsidR="00D0543F" w:rsidRPr="00F37CDA">
        <w:rPr>
          <w:lang w:val="es-ES"/>
        </w:rPr>
        <w:t xml:space="preserve"> </w:t>
      </w:r>
      <w:r w:rsidR="00A05021" w:rsidRPr="00F37CDA">
        <w:rPr>
          <w:lang w:val="es-ES"/>
        </w:rPr>
        <w:t xml:space="preserve">estudio </w:t>
      </w:r>
      <w:r w:rsidR="00D0543F" w:rsidRPr="00F37CDA">
        <w:rPr>
          <w:lang w:val="es-ES"/>
        </w:rPr>
        <w:t xml:space="preserve">de </w:t>
      </w:r>
      <w:r w:rsidR="00A05021" w:rsidRPr="00F37CDA">
        <w:rPr>
          <w:lang w:val="es-ES"/>
        </w:rPr>
        <w:t xml:space="preserve">varios </w:t>
      </w:r>
      <w:r w:rsidR="00D0543F" w:rsidRPr="00F37CDA">
        <w:rPr>
          <w:lang w:val="es-ES"/>
        </w:rPr>
        <w:t xml:space="preserve">sistemas de gestión de la traducción </w:t>
      </w:r>
      <w:r w:rsidR="00A05021" w:rsidRPr="00F37CDA">
        <w:rPr>
          <w:lang w:val="es-ES"/>
        </w:rPr>
        <w:t xml:space="preserve">con buenas perspectivas, </w:t>
      </w:r>
      <w:r w:rsidR="00D0543F" w:rsidRPr="00F37CDA">
        <w:rPr>
          <w:lang w:val="es-ES"/>
        </w:rPr>
        <w:t>y su implantación s</w:t>
      </w:r>
      <w:r w:rsidR="0052696B" w:rsidRPr="00F37CDA">
        <w:rPr>
          <w:lang w:val="es-ES"/>
        </w:rPr>
        <w:t>e llevó a cabo en el marco del P</w:t>
      </w:r>
      <w:r w:rsidR="00D0543F" w:rsidRPr="00F37CDA">
        <w:rPr>
          <w:lang w:val="es-ES"/>
        </w:rPr>
        <w:t>rograma de modernización de las tecnologías de la información</w:t>
      </w:r>
      <w:r w:rsidR="000C1063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D0543F" w:rsidRPr="00F37CDA">
        <w:rPr>
          <w:lang w:val="es-ES"/>
        </w:rPr>
        <w:t xml:space="preserve">Como se señalaba con anterioridad, el número de palabras traducidas por la Oficina Internacional </w:t>
      </w:r>
      <w:r w:rsidR="007F217D" w:rsidRPr="00F37CDA">
        <w:rPr>
          <w:lang w:val="es-ES"/>
        </w:rPr>
        <w:t>creció en</w:t>
      </w:r>
      <w:r w:rsidR="00D0543F" w:rsidRPr="00F37CDA">
        <w:rPr>
          <w:lang w:val="es-ES"/>
        </w:rPr>
        <w:t xml:space="preserve"> un </w:t>
      </w:r>
      <w:r w:rsidRPr="00F37CDA">
        <w:rPr>
          <w:lang w:val="es-ES"/>
        </w:rPr>
        <w:t xml:space="preserve">77% </w:t>
      </w:r>
      <w:r w:rsidR="00D0543F" w:rsidRPr="00F37CDA">
        <w:rPr>
          <w:lang w:val="es-ES"/>
        </w:rPr>
        <w:t xml:space="preserve">entre </w:t>
      </w:r>
      <w:r w:rsidRPr="00F37CDA">
        <w:rPr>
          <w:lang w:val="es-ES"/>
        </w:rPr>
        <w:t xml:space="preserve">2012 </w:t>
      </w:r>
      <w:r w:rsidR="00D0543F" w:rsidRPr="00F37CDA">
        <w:rPr>
          <w:lang w:val="es-ES"/>
        </w:rPr>
        <w:t xml:space="preserve">y </w:t>
      </w:r>
      <w:r w:rsidRPr="00F37CDA">
        <w:rPr>
          <w:lang w:val="es-ES"/>
        </w:rPr>
        <w:t xml:space="preserve">2014.  </w:t>
      </w:r>
      <w:r w:rsidR="00D0543F" w:rsidRPr="00F37CDA">
        <w:rPr>
          <w:lang w:val="es-ES"/>
        </w:rPr>
        <w:t xml:space="preserve">La Oficina Internacional ha podido gestionar este incremento gracias a la implantación de </w:t>
      </w:r>
      <w:r w:rsidRPr="00F37CDA">
        <w:rPr>
          <w:lang w:val="es-ES"/>
        </w:rPr>
        <w:t xml:space="preserve">WS.  </w:t>
      </w:r>
      <w:r w:rsidR="00D0543F" w:rsidRPr="00F37CDA">
        <w:rPr>
          <w:lang w:val="es-ES"/>
        </w:rPr>
        <w:t>E</w:t>
      </w:r>
      <w:r w:rsidRPr="00F37CDA">
        <w:rPr>
          <w:lang w:val="es-ES"/>
        </w:rPr>
        <w:t xml:space="preserve">n 2011, </w:t>
      </w:r>
      <w:r w:rsidR="00D0543F" w:rsidRPr="00F37CDA">
        <w:rPr>
          <w:lang w:val="es-ES"/>
        </w:rPr>
        <w:t xml:space="preserve">casi el </w:t>
      </w:r>
      <w:r w:rsidRPr="00F37CDA">
        <w:rPr>
          <w:lang w:val="es-ES"/>
        </w:rPr>
        <w:t xml:space="preserve">26% </w:t>
      </w:r>
      <w:r w:rsidR="00D0543F" w:rsidRPr="00F37CDA">
        <w:rPr>
          <w:lang w:val="es-ES"/>
        </w:rPr>
        <w:t xml:space="preserve">de todas las traducciones se </w:t>
      </w:r>
      <w:r w:rsidR="00A20A3C" w:rsidRPr="00F37CDA">
        <w:rPr>
          <w:lang w:val="es-ES"/>
        </w:rPr>
        <w:t>realizó</w:t>
      </w:r>
      <w:r w:rsidR="00D0543F" w:rsidRPr="00F37CDA">
        <w:rPr>
          <w:lang w:val="es-ES"/>
        </w:rPr>
        <w:t xml:space="preserve"> mediante traducción automática</w:t>
      </w:r>
      <w:r w:rsidRPr="00F37CDA">
        <w:rPr>
          <w:lang w:val="es-ES"/>
        </w:rPr>
        <w:t xml:space="preserve">.  </w:t>
      </w:r>
      <w:r w:rsidR="00D0543F" w:rsidRPr="00F37CDA">
        <w:rPr>
          <w:lang w:val="es-ES"/>
        </w:rPr>
        <w:t>E</w:t>
      </w:r>
      <w:r w:rsidRPr="00F37CDA">
        <w:rPr>
          <w:lang w:val="es-ES"/>
        </w:rPr>
        <w:t xml:space="preserve">n 2014, </w:t>
      </w:r>
      <w:r w:rsidR="00D0543F" w:rsidRPr="00F37CDA">
        <w:rPr>
          <w:lang w:val="es-ES"/>
        </w:rPr>
        <w:t xml:space="preserve">el porcentaje de traducciones </w:t>
      </w:r>
      <w:r w:rsidR="00ED0FEE" w:rsidRPr="00F37CDA">
        <w:rPr>
          <w:lang w:val="es-ES"/>
        </w:rPr>
        <w:t xml:space="preserve">automáticas </w:t>
      </w:r>
      <w:r w:rsidR="00D0543F" w:rsidRPr="00F37CDA">
        <w:rPr>
          <w:lang w:val="es-ES"/>
        </w:rPr>
        <w:t xml:space="preserve">que se efectuó mediante </w:t>
      </w:r>
      <w:r w:rsidRPr="00F37CDA">
        <w:rPr>
          <w:lang w:val="es-ES"/>
        </w:rPr>
        <w:t xml:space="preserve">WS, </w:t>
      </w:r>
      <w:r w:rsidR="00D0543F" w:rsidRPr="00F37CDA">
        <w:rPr>
          <w:lang w:val="es-ES"/>
        </w:rPr>
        <w:t>sin intervención humana</w:t>
      </w:r>
      <w:r w:rsidRPr="00F37CDA">
        <w:rPr>
          <w:lang w:val="es-ES"/>
        </w:rPr>
        <w:t xml:space="preserve">, </w:t>
      </w:r>
      <w:r w:rsidR="00D0543F" w:rsidRPr="00F37CDA">
        <w:rPr>
          <w:lang w:val="es-ES"/>
        </w:rPr>
        <w:t xml:space="preserve">aumentó </w:t>
      </w:r>
      <w:r w:rsidR="007F217D" w:rsidRPr="00F37CDA">
        <w:rPr>
          <w:lang w:val="es-ES"/>
        </w:rPr>
        <w:t>hasta</w:t>
      </w:r>
      <w:r w:rsidR="00D0543F" w:rsidRPr="00F37CDA">
        <w:rPr>
          <w:lang w:val="es-ES"/>
        </w:rPr>
        <w:t xml:space="preserve"> </w:t>
      </w:r>
      <w:r w:rsidR="007F217D" w:rsidRPr="00F37CDA">
        <w:rPr>
          <w:lang w:val="es-ES"/>
        </w:rPr>
        <w:t>superar el</w:t>
      </w:r>
      <w:r w:rsidR="00D0543F" w:rsidRPr="00F37CDA">
        <w:rPr>
          <w:lang w:val="es-ES"/>
        </w:rPr>
        <w:t xml:space="preserve"> </w:t>
      </w:r>
      <w:r w:rsidRPr="00F37CDA">
        <w:rPr>
          <w:lang w:val="es-ES"/>
        </w:rPr>
        <w:t>66% (</w:t>
      </w:r>
      <w:r w:rsidR="00D0543F" w:rsidRPr="00F37CDA">
        <w:rPr>
          <w:lang w:val="es-ES"/>
        </w:rPr>
        <w:t>véase el cuadro</w:t>
      </w:r>
      <w:r w:rsidR="000C1063">
        <w:rPr>
          <w:lang w:val="es-ES"/>
        </w:rPr>
        <w:t> VI).</w:t>
      </w:r>
    </w:p>
    <w:p w:rsidR="00A4218B" w:rsidRPr="00F37CDA" w:rsidRDefault="00D0543F" w:rsidP="00F37CDA">
      <w:pPr>
        <w:pStyle w:val="Heading4"/>
        <w:keepNext w:val="0"/>
        <w:widowControl w:val="0"/>
        <w:rPr>
          <w:lang w:val="es-ES"/>
        </w:rPr>
      </w:pPr>
      <w:r w:rsidRPr="00F37CDA">
        <w:rPr>
          <w:lang w:val="es-ES"/>
        </w:rPr>
        <w:t>Cuadro</w:t>
      </w:r>
      <w:r w:rsidR="00A4218B" w:rsidRPr="00F37CDA">
        <w:rPr>
          <w:lang w:val="es-ES"/>
        </w:rPr>
        <w:t> VI</w:t>
      </w:r>
      <w:proofErr w:type="gramStart"/>
      <w:r w:rsidR="00A4218B" w:rsidRPr="00F37CDA">
        <w:rPr>
          <w:lang w:val="es-ES"/>
        </w:rPr>
        <w:t xml:space="preserve">:  </w:t>
      </w:r>
      <w:r w:rsidRPr="00F37CDA">
        <w:rPr>
          <w:lang w:val="es-ES"/>
        </w:rPr>
        <w:t>Palabras</w:t>
      </w:r>
      <w:proofErr w:type="gramEnd"/>
      <w:r w:rsidRPr="00F37CDA">
        <w:rPr>
          <w:lang w:val="es-ES"/>
        </w:rPr>
        <w:t xml:space="preserve"> traducidas según el tipo de traducción y el idioma de destino en </w:t>
      </w:r>
      <w:r w:rsidR="00A4218B" w:rsidRPr="00F37CDA">
        <w:rPr>
          <w:lang w:val="es-ES"/>
        </w:rPr>
        <w:t>2014</w:t>
      </w:r>
    </w:p>
    <w:p w:rsidR="00A4218B" w:rsidRPr="00F37CDA" w:rsidRDefault="00A4218B" w:rsidP="00F37CDA">
      <w:pPr>
        <w:widowControl w:val="0"/>
        <w:rPr>
          <w:lang w:val="es-ES"/>
        </w:rPr>
      </w:pPr>
    </w:p>
    <w:tbl>
      <w:tblPr>
        <w:tblW w:w="9457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229"/>
        <w:gridCol w:w="934"/>
        <w:gridCol w:w="1031"/>
        <w:gridCol w:w="1082"/>
        <w:gridCol w:w="1032"/>
        <w:gridCol w:w="1082"/>
        <w:gridCol w:w="1032"/>
        <w:gridCol w:w="1012"/>
        <w:gridCol w:w="1023"/>
      </w:tblGrid>
      <w:tr w:rsidR="00A4218B" w:rsidRPr="00F37CDA" w:rsidTr="001E6C90">
        <w:trPr>
          <w:trHeight w:val="252"/>
          <w:jc w:val="center"/>
        </w:trPr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color w:val="000000"/>
                <w:sz w:val="18"/>
                <w:szCs w:val="18"/>
                <w:lang w:val="es-ES" w:eastAsia="ja-JP"/>
              </w:rPr>
              <w:t>Inglés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color w:val="000000"/>
                <w:sz w:val="18"/>
                <w:szCs w:val="18"/>
                <w:lang w:val="es-ES" w:eastAsia="ja-JP"/>
              </w:rPr>
              <w:t>Porcentaje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color w:val="000000"/>
                <w:sz w:val="18"/>
                <w:szCs w:val="18"/>
                <w:lang w:val="es-ES" w:eastAsia="ja-JP"/>
              </w:rPr>
              <w:t>Francés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color w:val="000000"/>
                <w:sz w:val="18"/>
                <w:szCs w:val="18"/>
                <w:lang w:val="es-ES" w:eastAsia="ja-JP"/>
              </w:rPr>
              <w:t>Porcentaje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color w:val="000000"/>
                <w:sz w:val="18"/>
                <w:szCs w:val="18"/>
                <w:lang w:val="es-ES" w:eastAsia="ja-JP"/>
              </w:rPr>
              <w:t>Español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color w:val="000000"/>
                <w:sz w:val="18"/>
                <w:szCs w:val="18"/>
                <w:lang w:val="es-ES" w:eastAsia="ja-JP"/>
              </w:rPr>
              <w:t>Porcentaje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color w:val="000000"/>
                <w:sz w:val="18"/>
                <w:szCs w:val="18"/>
                <w:lang w:val="es-ES" w:eastAsia="ja-JP"/>
              </w:rPr>
              <w:t>Total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color w:val="000000"/>
                <w:sz w:val="18"/>
                <w:szCs w:val="18"/>
                <w:lang w:val="es-ES" w:eastAsia="ja-JP"/>
              </w:rPr>
              <w:t>Porcentaje</w:t>
            </w:r>
          </w:p>
        </w:tc>
      </w:tr>
      <w:tr w:rsidR="00A4218B" w:rsidRPr="00F37CDA" w:rsidTr="001E6C90">
        <w:trPr>
          <w:trHeight w:val="25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Externalizada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523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100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19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30%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359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920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28%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499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247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12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60%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5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382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267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20%</w:t>
            </w:r>
          </w:p>
        </w:tc>
      </w:tr>
      <w:tr w:rsidR="00A4218B" w:rsidRPr="00F37CDA" w:rsidTr="001E6C90">
        <w:trPr>
          <w:trHeight w:val="25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Automática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761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736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65%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7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883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812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65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70%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8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031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678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67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50%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17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677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226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66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50%</w:t>
            </w:r>
          </w:p>
        </w:tc>
      </w:tr>
      <w:tr w:rsidR="00A4218B" w:rsidRPr="00F37CDA" w:rsidTr="001E6C90">
        <w:trPr>
          <w:trHeight w:val="25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D0543F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Interna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425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527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15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70%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755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982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6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30%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367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858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19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90%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3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549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367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13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,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50%</w:t>
            </w:r>
          </w:p>
        </w:tc>
      </w:tr>
      <w:tr w:rsidR="00A4218B" w:rsidRPr="00F37CDA" w:rsidTr="001E6C90">
        <w:trPr>
          <w:trHeight w:val="25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rFonts w:eastAsia="MS Mincho"/>
                <w:sz w:val="18"/>
                <w:szCs w:val="18"/>
                <w:lang w:val="es-ES" w:eastAsia="ja-JP"/>
              </w:rPr>
              <w:t>Total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710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363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100%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11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999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714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100%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11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898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782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100%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26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608</w:t>
            </w:r>
            <w:r w:rsidR="00D0543F" w:rsidRPr="00F37CDA">
              <w:rPr>
                <w:color w:val="000000"/>
                <w:sz w:val="18"/>
                <w:szCs w:val="18"/>
                <w:lang w:val="es-ES"/>
              </w:rPr>
              <w:t>.</w:t>
            </w:r>
            <w:r w:rsidRPr="00F37CDA">
              <w:rPr>
                <w:color w:val="000000"/>
                <w:sz w:val="18"/>
                <w:szCs w:val="18"/>
                <w:lang w:val="es-ES"/>
              </w:rPr>
              <w:t>859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:rsidR="00A4218B" w:rsidRPr="00F37CDA" w:rsidRDefault="00A4218B" w:rsidP="00F37CDA">
            <w:pPr>
              <w:widowControl w:val="0"/>
              <w:jc w:val="center"/>
              <w:rPr>
                <w:rFonts w:eastAsia="MS Mincho"/>
                <w:sz w:val="18"/>
                <w:szCs w:val="18"/>
                <w:lang w:val="es-ES" w:eastAsia="ja-JP"/>
              </w:rPr>
            </w:pPr>
            <w:r w:rsidRPr="00F37CDA">
              <w:rPr>
                <w:color w:val="000000"/>
                <w:sz w:val="18"/>
                <w:szCs w:val="18"/>
                <w:lang w:val="es-ES"/>
              </w:rPr>
              <w:t>100%</w:t>
            </w:r>
          </w:p>
        </w:tc>
      </w:tr>
    </w:tbl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2E44D1" w:rsidRPr="00F37CDA">
        <w:rPr>
          <w:lang w:val="es-ES"/>
        </w:rPr>
        <w:t xml:space="preserve">Para </w:t>
      </w:r>
      <w:r w:rsidR="005D0F2F" w:rsidRPr="00F37CDA">
        <w:rPr>
          <w:lang w:val="es-ES"/>
        </w:rPr>
        <w:t>complementar el método de traducción elegido por la Oficina Internacional</w:t>
      </w:r>
      <w:r w:rsidRPr="00F37CDA">
        <w:rPr>
          <w:lang w:val="es-ES"/>
        </w:rPr>
        <w:t xml:space="preserve"> </w:t>
      </w:r>
      <w:r w:rsidR="005D0F2F" w:rsidRPr="00F37CDA">
        <w:rPr>
          <w:lang w:val="es-ES"/>
        </w:rPr>
        <w:t xml:space="preserve">se ha incorporado </w:t>
      </w:r>
      <w:r w:rsidRPr="00F37CDA">
        <w:rPr>
          <w:lang w:val="es-ES"/>
        </w:rPr>
        <w:t xml:space="preserve">TAPTA4MARKS, </w:t>
      </w:r>
      <w:r w:rsidR="005D0F2F" w:rsidRPr="00F37CDA">
        <w:rPr>
          <w:lang w:val="es-ES"/>
        </w:rPr>
        <w:t>un motor de traducción automática entrenado a medida</w:t>
      </w:r>
      <w:r w:rsidRPr="00F37CDA">
        <w:rPr>
          <w:lang w:val="es-ES"/>
        </w:rPr>
        <w:t xml:space="preserve">.  </w:t>
      </w:r>
      <w:r w:rsidR="005D0F2F" w:rsidRPr="00F37CDA">
        <w:rPr>
          <w:lang w:val="es-ES"/>
        </w:rPr>
        <w:t xml:space="preserve">Se trata de una versión adaptada de la tecnología </w:t>
      </w:r>
      <w:r w:rsidRPr="00F37CDA">
        <w:rPr>
          <w:lang w:val="es-ES"/>
        </w:rPr>
        <w:t>TAPTA (</w:t>
      </w:r>
      <w:r w:rsidR="005D0F2F" w:rsidRPr="00F37CDA">
        <w:rPr>
          <w:lang w:val="es-ES"/>
        </w:rPr>
        <w:t>Traducción asistida de los resúmenes y los títulos de las patentes</w:t>
      </w:r>
      <w:r w:rsidRPr="00F37CDA">
        <w:rPr>
          <w:lang w:val="es-ES"/>
        </w:rPr>
        <w:t xml:space="preserve">), </w:t>
      </w:r>
      <w:r w:rsidR="005D0F2F" w:rsidRPr="00F37CDA">
        <w:rPr>
          <w:lang w:val="es-ES"/>
        </w:rPr>
        <w:t>desarrollad</w:t>
      </w:r>
      <w:r w:rsidR="00A20A3C" w:rsidRPr="00F37CDA">
        <w:rPr>
          <w:lang w:val="es-ES"/>
        </w:rPr>
        <w:t>a</w:t>
      </w:r>
      <w:r w:rsidR="005D0F2F" w:rsidRPr="00F37CDA">
        <w:rPr>
          <w:lang w:val="es-ES"/>
        </w:rPr>
        <w:t xml:space="preserve"> por el Sector de la Infraestructura Mundial de </w:t>
      </w:r>
      <w:r w:rsidR="00A20A3C" w:rsidRPr="00F37CDA">
        <w:rPr>
          <w:lang w:val="es-ES"/>
        </w:rPr>
        <w:t>la OMPI y que ya se ha implantado</w:t>
      </w:r>
      <w:r w:rsidR="005D0F2F" w:rsidRPr="00F37CDA">
        <w:rPr>
          <w:lang w:val="es-ES"/>
        </w:rPr>
        <w:t xml:space="preserve"> en varios procedimientos del PCT y en otros organismos de las Naciones Unidas para la traducción de documentos administrativos</w:t>
      </w:r>
      <w:r w:rsidRPr="00F37CDA">
        <w:rPr>
          <w:lang w:val="es-ES"/>
        </w:rPr>
        <w:t xml:space="preserve">.  </w:t>
      </w:r>
      <w:r w:rsidR="005D0F2F" w:rsidRPr="00F37CDA">
        <w:rPr>
          <w:lang w:val="es-ES"/>
        </w:rPr>
        <w:t xml:space="preserve">La traducción automática es un sistema configurado para analizar estadísticamente </w:t>
      </w:r>
      <w:r w:rsidR="00A20A3C" w:rsidRPr="00F37CDA">
        <w:rPr>
          <w:lang w:val="es-ES"/>
        </w:rPr>
        <w:t>documentos traducidos</w:t>
      </w:r>
      <w:r w:rsidR="005D0F2F" w:rsidRPr="00F37CDA">
        <w:rPr>
          <w:lang w:val="es-ES"/>
        </w:rPr>
        <w:t xml:space="preserve"> y </w:t>
      </w:r>
      <w:r w:rsidR="00A20A3C" w:rsidRPr="00F37CDA">
        <w:rPr>
          <w:lang w:val="es-ES"/>
        </w:rPr>
        <w:t>sacar el máximo partido de los</w:t>
      </w:r>
      <w:r w:rsidR="005D0F2F" w:rsidRPr="00F37CDA">
        <w:rPr>
          <w:lang w:val="es-ES"/>
        </w:rPr>
        <w:t xml:space="preserve"> recursos internos y externos a fin de obtener una traducción </w:t>
      </w:r>
      <w:r w:rsidR="002C31DD" w:rsidRPr="00F37CDA">
        <w:rPr>
          <w:lang w:val="es-ES"/>
        </w:rPr>
        <w:t xml:space="preserve">probable que </w:t>
      </w:r>
      <w:r w:rsidR="00A20A3C" w:rsidRPr="00F37CDA">
        <w:rPr>
          <w:lang w:val="es-ES"/>
        </w:rPr>
        <w:t xml:space="preserve">quizá </w:t>
      </w:r>
      <w:r w:rsidR="00A374A1" w:rsidRPr="00F37CDA">
        <w:rPr>
          <w:lang w:val="es-ES"/>
        </w:rPr>
        <w:t>requiera</w:t>
      </w:r>
      <w:r w:rsidR="00A20A3C" w:rsidRPr="00F37CDA">
        <w:rPr>
          <w:lang w:val="es-ES"/>
        </w:rPr>
        <w:t xml:space="preserve"> </w:t>
      </w:r>
      <w:r w:rsidR="00A374A1" w:rsidRPr="00F37CDA">
        <w:rPr>
          <w:lang w:val="es-ES"/>
        </w:rPr>
        <w:t>un</w:t>
      </w:r>
      <w:r w:rsidR="00A20A3C" w:rsidRPr="00F37CDA">
        <w:rPr>
          <w:lang w:val="es-ES"/>
        </w:rPr>
        <w:t>a revisi</w:t>
      </w:r>
      <w:r w:rsidR="00A374A1" w:rsidRPr="00F37CDA">
        <w:rPr>
          <w:lang w:val="es-ES"/>
        </w:rPr>
        <w:t>ón posterior</w:t>
      </w:r>
      <w:r w:rsidR="00A20A3C" w:rsidRPr="00F37CDA">
        <w:rPr>
          <w:lang w:val="es-ES"/>
        </w:rPr>
        <w:t xml:space="preserve"> </w:t>
      </w:r>
      <w:r w:rsidR="005D0F2F" w:rsidRPr="00F37CDA">
        <w:rPr>
          <w:lang w:val="es-ES"/>
        </w:rPr>
        <w:t>(</w:t>
      </w:r>
      <w:r w:rsidR="00A20A3C" w:rsidRPr="00F37CDA">
        <w:rPr>
          <w:lang w:val="es-ES"/>
        </w:rPr>
        <w:t>traducción automática con revisión posterior</w:t>
      </w:r>
      <w:r w:rsidR="005D0F2F" w:rsidRPr="00F37CDA">
        <w:rPr>
          <w:lang w:val="es-ES"/>
        </w:rPr>
        <w:t>)</w:t>
      </w:r>
      <w:r w:rsidR="00D12DDD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  <w:t xml:space="preserve">TAPTA4MARKS </w:t>
      </w:r>
      <w:r w:rsidR="002C31DD" w:rsidRPr="00F37CDA">
        <w:rPr>
          <w:lang w:val="es-ES"/>
        </w:rPr>
        <w:t xml:space="preserve">asume el </w:t>
      </w:r>
      <w:r w:rsidRPr="00F37CDA">
        <w:rPr>
          <w:lang w:val="es-ES"/>
        </w:rPr>
        <w:t xml:space="preserve">34% </w:t>
      </w:r>
      <w:r w:rsidR="002C31DD" w:rsidRPr="00F37CDA">
        <w:rPr>
          <w:lang w:val="es-ES"/>
        </w:rPr>
        <w:t xml:space="preserve">de las indicaciones y </w:t>
      </w:r>
      <w:r w:rsidR="002E44D1" w:rsidRPr="00F37CDA">
        <w:rPr>
          <w:lang w:val="es-ES"/>
        </w:rPr>
        <w:t xml:space="preserve">los </w:t>
      </w:r>
      <w:r w:rsidR="002C31DD" w:rsidRPr="00F37CDA">
        <w:rPr>
          <w:lang w:val="es-ES"/>
        </w:rPr>
        <w:t xml:space="preserve">productos que no se traducen mediante </w:t>
      </w:r>
      <w:r w:rsidRPr="00F37CDA">
        <w:rPr>
          <w:lang w:val="es-ES"/>
        </w:rPr>
        <w:t xml:space="preserve">WS </w:t>
      </w:r>
      <w:r w:rsidR="002C31DD" w:rsidRPr="00F37CDA">
        <w:rPr>
          <w:lang w:val="es-ES"/>
        </w:rPr>
        <w:t>y propone, con un</w:t>
      </w:r>
      <w:r w:rsidR="00250D1E" w:rsidRPr="00F37CDA">
        <w:rPr>
          <w:lang w:val="es-ES"/>
        </w:rPr>
        <w:t>a gran</w:t>
      </w:r>
      <w:r w:rsidR="002C31DD" w:rsidRPr="00F37CDA">
        <w:rPr>
          <w:lang w:val="es-ES"/>
        </w:rPr>
        <w:t xml:space="preserve"> fiabilidad, su traducción más probable</w:t>
      </w:r>
      <w:r w:rsidRPr="00F37CDA">
        <w:rPr>
          <w:lang w:val="es-ES"/>
        </w:rPr>
        <w:t xml:space="preserve">.  </w:t>
      </w:r>
      <w:r w:rsidR="00C62940" w:rsidRPr="00F37CDA">
        <w:rPr>
          <w:lang w:val="es-ES"/>
        </w:rPr>
        <w:t xml:space="preserve">Los </w:t>
      </w:r>
      <w:r w:rsidR="002C31DD" w:rsidRPr="00F37CDA">
        <w:rPr>
          <w:lang w:val="es-ES"/>
        </w:rPr>
        <w:t xml:space="preserve">recursos internos o externos se </w:t>
      </w:r>
      <w:r w:rsidR="00C62940" w:rsidRPr="00F37CDA">
        <w:rPr>
          <w:lang w:val="es-ES"/>
        </w:rPr>
        <w:t>encargan de revisarla posteriormente</w:t>
      </w:r>
      <w:r w:rsidRPr="00F37CDA">
        <w:rPr>
          <w:lang w:val="es-ES"/>
        </w:rPr>
        <w:t xml:space="preserve">.  </w:t>
      </w:r>
      <w:r w:rsidR="002C31DD" w:rsidRPr="00F37CDA">
        <w:rPr>
          <w:lang w:val="es-ES"/>
        </w:rPr>
        <w:t xml:space="preserve">Tras dicha revisión, la traducción propuesta por </w:t>
      </w:r>
      <w:r w:rsidRPr="00F37CDA">
        <w:rPr>
          <w:lang w:val="es-ES"/>
        </w:rPr>
        <w:t xml:space="preserve">TAPTA4MARKS </w:t>
      </w:r>
      <w:r w:rsidR="002C31DD" w:rsidRPr="00F37CDA">
        <w:rPr>
          <w:lang w:val="es-ES"/>
        </w:rPr>
        <w:t>se valida o se mejora, por lo que la intervención humana se restringe a los pr</w:t>
      </w:r>
      <w:r w:rsidR="00477732" w:rsidRPr="00F37CDA">
        <w:rPr>
          <w:lang w:val="es-ES"/>
        </w:rPr>
        <w:t>ocedimientos</w:t>
      </w:r>
      <w:r w:rsidR="002C31DD" w:rsidRPr="00F37CDA">
        <w:rPr>
          <w:lang w:val="es-ES"/>
        </w:rPr>
        <w:t xml:space="preserve"> de </w:t>
      </w:r>
      <w:r w:rsidR="00C62940" w:rsidRPr="00F37CDA">
        <w:rPr>
          <w:lang w:val="es-ES"/>
        </w:rPr>
        <w:t>revisión posterior</w:t>
      </w:r>
      <w:r w:rsidR="000C1063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FB0C5D" w:rsidRPr="00F37CDA">
        <w:rPr>
          <w:lang w:val="es-ES"/>
        </w:rPr>
        <w:t>Gracias a la utilización de</w:t>
      </w:r>
      <w:r w:rsidR="00544DCC" w:rsidRPr="00F37CDA">
        <w:rPr>
          <w:lang w:val="es-ES"/>
        </w:rPr>
        <w:t xml:space="preserve"> </w:t>
      </w:r>
      <w:r w:rsidRPr="00F37CDA">
        <w:rPr>
          <w:lang w:val="es-ES"/>
        </w:rPr>
        <w:t xml:space="preserve">WS </w:t>
      </w:r>
      <w:r w:rsidR="00544DCC" w:rsidRPr="00F37CDA">
        <w:rPr>
          <w:lang w:val="es-ES"/>
        </w:rPr>
        <w:t xml:space="preserve">y </w:t>
      </w:r>
      <w:r w:rsidRPr="00F37CDA">
        <w:rPr>
          <w:lang w:val="es-ES"/>
        </w:rPr>
        <w:t xml:space="preserve">TAPTA4MARKS, </w:t>
      </w:r>
      <w:r w:rsidR="00544DCC" w:rsidRPr="00F37CDA">
        <w:rPr>
          <w:lang w:val="es-ES"/>
        </w:rPr>
        <w:t xml:space="preserve">siempre </w:t>
      </w:r>
      <w:r w:rsidR="00FB0C5D" w:rsidRPr="00F37CDA">
        <w:rPr>
          <w:lang w:val="es-ES"/>
        </w:rPr>
        <w:t xml:space="preserve">se dispone de </w:t>
      </w:r>
      <w:r w:rsidR="00544DCC" w:rsidRPr="00F37CDA">
        <w:rPr>
          <w:lang w:val="es-ES"/>
        </w:rPr>
        <w:t xml:space="preserve">una propuesta de traducción automática para </w:t>
      </w:r>
      <w:r w:rsidR="00675D12" w:rsidRPr="00F37CDA">
        <w:rPr>
          <w:lang w:val="es-ES"/>
        </w:rPr>
        <w:t>cada una de</w:t>
      </w:r>
      <w:r w:rsidR="00FB0C5D" w:rsidRPr="00F37CDA">
        <w:rPr>
          <w:lang w:val="es-ES"/>
        </w:rPr>
        <w:t xml:space="preserve"> las indicaciones</w:t>
      </w:r>
      <w:r w:rsidR="00544DCC" w:rsidRPr="00F37CDA">
        <w:rPr>
          <w:lang w:val="es-ES"/>
        </w:rPr>
        <w:t xml:space="preserve"> de la lista de productos y servicios sujeta a traducción</w:t>
      </w:r>
      <w:r w:rsidRPr="00F37CDA">
        <w:rPr>
          <w:lang w:val="es-ES"/>
        </w:rPr>
        <w:t xml:space="preserve">, </w:t>
      </w:r>
      <w:r w:rsidR="00544DCC" w:rsidRPr="00F37CDA">
        <w:rPr>
          <w:lang w:val="es-ES"/>
        </w:rPr>
        <w:t xml:space="preserve">con lo que la eficiencia del </w:t>
      </w:r>
      <w:r w:rsidR="00477732" w:rsidRPr="00F37CDA">
        <w:rPr>
          <w:lang w:val="es-ES"/>
        </w:rPr>
        <w:t>procedimiento</w:t>
      </w:r>
      <w:r w:rsidR="00370D7C" w:rsidRPr="00F37CDA">
        <w:rPr>
          <w:lang w:val="es-ES"/>
        </w:rPr>
        <w:t xml:space="preserve"> aumenta ostensiblemente</w:t>
      </w:r>
      <w:r w:rsidRPr="00F37CDA">
        <w:rPr>
          <w:lang w:val="es-ES"/>
        </w:rPr>
        <w:t xml:space="preserve">.  </w:t>
      </w:r>
      <w:r w:rsidR="00544DCC" w:rsidRPr="00F37CDA">
        <w:rPr>
          <w:lang w:val="es-ES"/>
        </w:rPr>
        <w:t xml:space="preserve">El </w:t>
      </w:r>
      <w:r w:rsidR="006D1AED" w:rsidRPr="00F37CDA">
        <w:rPr>
          <w:lang w:val="es-ES"/>
        </w:rPr>
        <w:t>partido</w:t>
      </w:r>
      <w:r w:rsidR="00370D7C" w:rsidRPr="00F37CDA">
        <w:rPr>
          <w:lang w:val="es-ES"/>
        </w:rPr>
        <w:t xml:space="preserve"> que se ha conseguido sacar </w:t>
      </w:r>
      <w:r w:rsidR="006D1AED" w:rsidRPr="00F37CDA">
        <w:rPr>
          <w:lang w:val="es-ES"/>
        </w:rPr>
        <w:t xml:space="preserve">a </w:t>
      </w:r>
      <w:r w:rsidR="00544DCC" w:rsidRPr="00F37CDA">
        <w:rPr>
          <w:lang w:val="es-ES"/>
        </w:rPr>
        <w:t xml:space="preserve">la traducción automática ha tenido como consecuencia una reducción de los retrasos y </w:t>
      </w:r>
      <w:r w:rsidR="006D1AED" w:rsidRPr="00F37CDA">
        <w:rPr>
          <w:lang w:val="es-ES"/>
        </w:rPr>
        <w:t>d</w:t>
      </w:r>
      <w:r w:rsidR="00544DCC" w:rsidRPr="00F37CDA">
        <w:rPr>
          <w:lang w:val="es-ES"/>
        </w:rPr>
        <w:t>el tiempo de procesamiento de las traducciones</w:t>
      </w:r>
      <w:r w:rsidR="000C1063">
        <w:rPr>
          <w:lang w:val="es-ES"/>
        </w:rPr>
        <w:t>.</w:t>
      </w:r>
    </w:p>
    <w:p w:rsidR="00C46B0A" w:rsidRPr="00F37CDA" w:rsidRDefault="00C46B0A" w:rsidP="00F37CDA">
      <w:pPr>
        <w:widowControl w:val="0"/>
        <w:rPr>
          <w:lang w:val="es-ES"/>
        </w:rPr>
      </w:pPr>
    </w:p>
    <w:p w:rsidR="00F26D55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477732" w:rsidRPr="00F37CDA">
        <w:rPr>
          <w:lang w:val="es-ES"/>
        </w:rPr>
        <w:t>La introducción de la etapa</w:t>
      </w:r>
      <w:r w:rsidR="00FA39FE" w:rsidRPr="00F37CDA">
        <w:rPr>
          <w:lang w:val="es-ES"/>
        </w:rPr>
        <w:t xml:space="preserve"> de </w:t>
      </w:r>
      <w:r w:rsidR="00361F46" w:rsidRPr="00F37CDA">
        <w:rPr>
          <w:lang w:val="es-ES"/>
        </w:rPr>
        <w:t>revisión posterior</w:t>
      </w:r>
      <w:r w:rsidR="00FA39FE" w:rsidRPr="00F37CDA">
        <w:rPr>
          <w:lang w:val="es-ES"/>
        </w:rPr>
        <w:t xml:space="preserve"> de la traducción automática ha </w:t>
      </w:r>
      <w:r w:rsidR="002E44D1" w:rsidRPr="00F37CDA">
        <w:rPr>
          <w:lang w:val="es-ES"/>
        </w:rPr>
        <w:t>acrecentado</w:t>
      </w:r>
      <w:r w:rsidR="00FA39FE" w:rsidRPr="00F37CDA">
        <w:rPr>
          <w:lang w:val="es-ES"/>
        </w:rPr>
        <w:t xml:space="preserve"> la capacidad de traducción de la Oficina Internacional, a la vez que </w:t>
      </w:r>
      <w:r w:rsidR="00361F46" w:rsidRPr="00F37CDA">
        <w:rPr>
          <w:lang w:val="es-ES"/>
        </w:rPr>
        <w:t>permite</w:t>
      </w:r>
      <w:r w:rsidR="00FA39FE" w:rsidRPr="00F37CDA">
        <w:rPr>
          <w:lang w:val="es-ES"/>
        </w:rPr>
        <w:t xml:space="preserve"> </w:t>
      </w:r>
      <w:r w:rsidR="00361F46" w:rsidRPr="00F37CDA">
        <w:rPr>
          <w:lang w:val="es-ES"/>
        </w:rPr>
        <w:t>gestionar</w:t>
      </w:r>
      <w:r w:rsidR="00FA39FE" w:rsidRPr="00F37CDA">
        <w:rPr>
          <w:lang w:val="es-ES"/>
        </w:rPr>
        <w:t xml:space="preserve"> </w:t>
      </w:r>
      <w:r w:rsidR="00361F46" w:rsidRPr="00F37CDA">
        <w:rPr>
          <w:lang w:val="es-ES"/>
        </w:rPr>
        <w:t xml:space="preserve">de manera eficiente </w:t>
      </w:r>
      <w:r w:rsidR="00FA39FE" w:rsidRPr="00F37CDA">
        <w:rPr>
          <w:lang w:val="es-ES"/>
        </w:rPr>
        <w:t xml:space="preserve">un volumen </w:t>
      </w:r>
      <w:r w:rsidR="00361F46" w:rsidRPr="00F37CDA">
        <w:rPr>
          <w:lang w:val="es-ES"/>
        </w:rPr>
        <w:t xml:space="preserve">en constante crecimiento sin </w:t>
      </w:r>
      <w:r w:rsidR="00FA39FE" w:rsidRPr="00F37CDA">
        <w:rPr>
          <w:lang w:val="es-ES"/>
        </w:rPr>
        <w:t>la necesidad de aumentar los recursos humanos</w:t>
      </w:r>
      <w:r w:rsidRPr="00F37CDA">
        <w:rPr>
          <w:lang w:val="es-ES"/>
        </w:rPr>
        <w:t xml:space="preserve">.  </w:t>
      </w:r>
      <w:r w:rsidR="00FA39FE" w:rsidRPr="00F37CDA">
        <w:rPr>
          <w:lang w:val="es-ES"/>
        </w:rPr>
        <w:t>Los recursos inte</w:t>
      </w:r>
      <w:r w:rsidR="001F4B99" w:rsidRPr="00F37CDA">
        <w:rPr>
          <w:lang w:val="es-ES"/>
        </w:rPr>
        <w:t>rnos se centran en gestionar la</w:t>
      </w:r>
      <w:r w:rsidR="00D42B44" w:rsidRPr="00F37CDA">
        <w:rPr>
          <w:lang w:val="es-ES"/>
        </w:rPr>
        <w:t>s traducciones que alimentan</w:t>
      </w:r>
      <w:r w:rsidR="001055A9" w:rsidRPr="00F37CDA">
        <w:rPr>
          <w:lang w:val="es-ES"/>
        </w:rPr>
        <w:t xml:space="preserve"> </w:t>
      </w:r>
      <w:r w:rsidR="00FA39FE" w:rsidRPr="00F37CDA">
        <w:rPr>
          <w:lang w:val="es-ES"/>
        </w:rPr>
        <w:t xml:space="preserve">las soluciones automáticas y </w:t>
      </w:r>
      <w:r w:rsidR="001055A9" w:rsidRPr="00F37CDA">
        <w:rPr>
          <w:lang w:val="es-ES"/>
        </w:rPr>
        <w:t xml:space="preserve">en implantar </w:t>
      </w:r>
      <w:r w:rsidR="00477732" w:rsidRPr="00F37CDA">
        <w:rPr>
          <w:lang w:val="es-ES"/>
        </w:rPr>
        <w:t>y supervisar un mecanismo</w:t>
      </w:r>
      <w:r w:rsidR="00FA39FE" w:rsidRPr="00F37CDA">
        <w:rPr>
          <w:lang w:val="es-ES"/>
        </w:rPr>
        <w:t xml:space="preserve"> de garantía de la calidad para </w:t>
      </w:r>
      <w:r w:rsidR="001055A9" w:rsidRPr="00F37CDA">
        <w:rPr>
          <w:lang w:val="es-ES"/>
        </w:rPr>
        <w:t xml:space="preserve">salvaguardar </w:t>
      </w:r>
      <w:r w:rsidR="001F4B99" w:rsidRPr="00F37CDA">
        <w:rPr>
          <w:lang w:val="es-ES"/>
        </w:rPr>
        <w:t>la calidad general del producto final</w:t>
      </w:r>
      <w:r w:rsidRPr="00F37CDA">
        <w:rPr>
          <w:lang w:val="es-ES"/>
        </w:rPr>
        <w:t xml:space="preserve">.  </w:t>
      </w:r>
      <w:r w:rsidR="00F26D55">
        <w:rPr>
          <w:lang w:val="es-ES"/>
        </w:rPr>
        <w:br w:type="page"/>
      </w: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1F4B99" w:rsidRPr="00F37CDA">
        <w:rPr>
          <w:lang w:val="es-ES"/>
        </w:rPr>
        <w:t xml:space="preserve">En el marco de su estrategia general en materia de traducción, la Oficina Internacional ha entablado asociaciones a largo plazo con agencias de traducción externas, </w:t>
      </w:r>
      <w:r w:rsidR="00671E17" w:rsidRPr="00F37CDA">
        <w:rPr>
          <w:lang w:val="es-ES"/>
        </w:rPr>
        <w:t>con lo</w:t>
      </w:r>
      <w:r w:rsidR="001B7714" w:rsidRPr="00F37CDA">
        <w:rPr>
          <w:lang w:val="es-ES"/>
        </w:rPr>
        <w:t xml:space="preserve"> que se ha </w:t>
      </w:r>
      <w:r w:rsidR="001F4B99" w:rsidRPr="00F37CDA">
        <w:rPr>
          <w:lang w:val="es-ES"/>
        </w:rPr>
        <w:t>reducido el costo</w:t>
      </w:r>
      <w:r w:rsidR="00171501" w:rsidRPr="00F37CDA">
        <w:rPr>
          <w:lang w:val="es-ES"/>
        </w:rPr>
        <w:t xml:space="preserve"> de la traducción externalizada;  dicho costo </w:t>
      </w:r>
      <w:r w:rsidR="001F4B99" w:rsidRPr="00F37CDA">
        <w:rPr>
          <w:lang w:val="es-ES"/>
        </w:rPr>
        <w:t>asciende</w:t>
      </w:r>
      <w:r w:rsidR="00671E17" w:rsidRPr="00F37CDA">
        <w:rPr>
          <w:lang w:val="es-ES"/>
        </w:rPr>
        <w:t xml:space="preserve"> actualmente</w:t>
      </w:r>
      <w:r w:rsidR="00171501" w:rsidRPr="00F37CDA">
        <w:rPr>
          <w:lang w:val="es-ES"/>
        </w:rPr>
        <w:t>,</w:t>
      </w:r>
      <w:r w:rsidR="001F4B99" w:rsidRPr="00F37CDA">
        <w:rPr>
          <w:lang w:val="es-ES"/>
        </w:rPr>
        <w:t xml:space="preserve"> </w:t>
      </w:r>
      <w:r w:rsidR="00671E17" w:rsidRPr="00F37CDA">
        <w:rPr>
          <w:lang w:val="es-ES"/>
        </w:rPr>
        <w:t>en promedio</w:t>
      </w:r>
      <w:r w:rsidR="00171501" w:rsidRPr="00F37CDA">
        <w:rPr>
          <w:lang w:val="es-ES"/>
        </w:rPr>
        <w:t>,</w:t>
      </w:r>
      <w:r w:rsidR="00671E17" w:rsidRPr="00F37CDA">
        <w:rPr>
          <w:lang w:val="es-ES"/>
        </w:rPr>
        <w:t xml:space="preserve"> </w:t>
      </w:r>
      <w:r w:rsidR="001F4B99" w:rsidRPr="00F37CDA">
        <w:rPr>
          <w:lang w:val="es-ES"/>
        </w:rPr>
        <w:t xml:space="preserve">a 0,05 francos suizos por palabra </w:t>
      </w:r>
      <w:r w:rsidR="00671E17" w:rsidRPr="00F37CDA">
        <w:rPr>
          <w:lang w:val="es-ES"/>
        </w:rPr>
        <w:t xml:space="preserve">revisada </w:t>
      </w:r>
      <w:r w:rsidR="00D42B44" w:rsidRPr="00F37CDA">
        <w:rPr>
          <w:lang w:val="es-ES"/>
        </w:rPr>
        <w:t xml:space="preserve">después de </w:t>
      </w:r>
      <w:r w:rsidR="006D1AED" w:rsidRPr="00F37CDA">
        <w:rPr>
          <w:lang w:val="es-ES"/>
        </w:rPr>
        <w:t>su</w:t>
      </w:r>
      <w:r w:rsidR="00D42B44" w:rsidRPr="00F37CDA">
        <w:rPr>
          <w:lang w:val="es-ES"/>
        </w:rPr>
        <w:t xml:space="preserve"> traducción automática</w:t>
      </w:r>
      <w:r w:rsidR="001F4B99" w:rsidRPr="00F37CDA">
        <w:rPr>
          <w:lang w:val="es-ES"/>
        </w:rPr>
        <w:t xml:space="preserve">, en lugar de </w:t>
      </w:r>
      <w:r w:rsidR="00671E17" w:rsidRPr="00F37CDA">
        <w:rPr>
          <w:lang w:val="es-ES"/>
        </w:rPr>
        <w:t xml:space="preserve">la media anterior de </w:t>
      </w:r>
      <w:r w:rsidR="001F4B99" w:rsidRPr="00F37CDA">
        <w:rPr>
          <w:lang w:val="es-ES"/>
        </w:rPr>
        <w:t>0,25 francos suizos por palabra traducida</w:t>
      </w:r>
      <w:r w:rsidRPr="00F37CDA">
        <w:rPr>
          <w:lang w:val="es-ES"/>
        </w:rPr>
        <w:t xml:space="preserve">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336198" w:rsidRPr="00F37CDA">
        <w:rPr>
          <w:lang w:val="es-ES"/>
        </w:rPr>
        <w:t>Finalmente</w:t>
      </w:r>
      <w:r w:rsidR="001F4B99" w:rsidRPr="00F37CDA">
        <w:rPr>
          <w:lang w:val="es-ES"/>
        </w:rPr>
        <w:t xml:space="preserve">, dado que la Oficina Internacional </w:t>
      </w:r>
      <w:r w:rsidR="00671E17" w:rsidRPr="00F37CDA">
        <w:rPr>
          <w:lang w:val="es-ES"/>
        </w:rPr>
        <w:t>ha modificado</w:t>
      </w:r>
      <w:r w:rsidR="001F4B99" w:rsidRPr="00F37CDA">
        <w:rPr>
          <w:lang w:val="es-ES"/>
        </w:rPr>
        <w:t xml:space="preserve"> su </w:t>
      </w:r>
      <w:r w:rsidR="00477732" w:rsidRPr="00F37CDA">
        <w:rPr>
          <w:lang w:val="es-ES"/>
        </w:rPr>
        <w:t>procedimiento</w:t>
      </w:r>
      <w:r w:rsidR="001F4B99" w:rsidRPr="00F37CDA">
        <w:rPr>
          <w:lang w:val="es-ES"/>
        </w:rPr>
        <w:t xml:space="preserve"> de traducción para armonizarlo con las mejores prácticas del sector de la traducción, también ha reformado su organización interna, que ha pasado de</w:t>
      </w:r>
      <w:r w:rsidR="00EA4A88" w:rsidRPr="00F37CDA">
        <w:rPr>
          <w:lang w:val="es-ES"/>
        </w:rPr>
        <w:t xml:space="preserve"> </w:t>
      </w:r>
      <w:r w:rsidR="001F4B99" w:rsidRPr="00F37CDA">
        <w:rPr>
          <w:lang w:val="es-ES"/>
        </w:rPr>
        <w:t xml:space="preserve">tres </w:t>
      </w:r>
      <w:r w:rsidR="00671E17" w:rsidRPr="00F37CDA">
        <w:rPr>
          <w:lang w:val="es-ES"/>
        </w:rPr>
        <w:t>dependencias</w:t>
      </w:r>
      <w:r w:rsidR="001F4B99" w:rsidRPr="00F37CDA">
        <w:rPr>
          <w:lang w:val="es-ES"/>
        </w:rPr>
        <w:t xml:space="preserve"> lingüísticas a una única sección </w:t>
      </w:r>
      <w:r w:rsidRPr="00F37CDA">
        <w:rPr>
          <w:lang w:val="es-ES"/>
        </w:rPr>
        <w:t>(</w:t>
      </w:r>
      <w:r w:rsidR="001F4B99" w:rsidRPr="00F37CDA">
        <w:rPr>
          <w:lang w:val="es-ES"/>
        </w:rPr>
        <w:t xml:space="preserve">la Sección de Traducción y Terminología de </w:t>
      </w:r>
      <w:r w:rsidRPr="00F37CDA">
        <w:rPr>
          <w:lang w:val="es-ES"/>
        </w:rPr>
        <w:t>Madrid</w:t>
      </w:r>
      <w:r w:rsidR="001F4B99" w:rsidRPr="00F37CDA">
        <w:rPr>
          <w:lang w:val="es-ES"/>
        </w:rPr>
        <w:t xml:space="preserve">) </w:t>
      </w:r>
      <w:r w:rsidR="00671E17" w:rsidRPr="00F37CDA">
        <w:rPr>
          <w:lang w:val="es-ES"/>
        </w:rPr>
        <w:t xml:space="preserve">encargada de la gestión de </w:t>
      </w:r>
      <w:r w:rsidR="00477732" w:rsidRPr="00F37CDA">
        <w:rPr>
          <w:lang w:val="es-ES"/>
        </w:rPr>
        <w:t>todos los procedimient</w:t>
      </w:r>
      <w:r w:rsidR="001F4B99" w:rsidRPr="00F37CDA">
        <w:rPr>
          <w:lang w:val="es-ES"/>
        </w:rPr>
        <w:t xml:space="preserve">os </w:t>
      </w:r>
      <w:r w:rsidR="00A849BC" w:rsidRPr="00F37CDA">
        <w:rPr>
          <w:lang w:val="es-ES"/>
        </w:rPr>
        <w:t xml:space="preserve">relativos a la </w:t>
      </w:r>
      <w:r w:rsidR="001F4B99" w:rsidRPr="00F37CDA">
        <w:rPr>
          <w:lang w:val="es-ES"/>
        </w:rPr>
        <w:t>traducción interna, externa y automática</w:t>
      </w:r>
      <w:r w:rsidRPr="00F37CDA">
        <w:rPr>
          <w:lang w:val="es-ES"/>
        </w:rPr>
        <w:t xml:space="preserve">.  </w:t>
      </w:r>
      <w:r w:rsidR="001F4B99" w:rsidRPr="00F37CDA">
        <w:rPr>
          <w:lang w:val="es-ES"/>
        </w:rPr>
        <w:t xml:space="preserve">A raíz de </w:t>
      </w:r>
      <w:r w:rsidR="00671E17" w:rsidRPr="00F37CDA">
        <w:rPr>
          <w:lang w:val="es-ES"/>
        </w:rPr>
        <w:t xml:space="preserve">dicho </w:t>
      </w:r>
      <w:r w:rsidR="001F4B99" w:rsidRPr="00F37CDA">
        <w:rPr>
          <w:lang w:val="es-ES"/>
        </w:rPr>
        <w:t xml:space="preserve">cambio, </w:t>
      </w:r>
      <w:r w:rsidR="00671E17" w:rsidRPr="00F37CDA">
        <w:rPr>
          <w:lang w:val="es-ES"/>
        </w:rPr>
        <w:t>est</w:t>
      </w:r>
      <w:r w:rsidR="001F4B99" w:rsidRPr="00F37CDA">
        <w:rPr>
          <w:lang w:val="es-ES"/>
        </w:rPr>
        <w:t>a</w:t>
      </w:r>
      <w:r w:rsidRPr="00F37CDA">
        <w:rPr>
          <w:lang w:val="es-ES"/>
        </w:rPr>
        <w:t xml:space="preserve"> </w:t>
      </w:r>
      <w:r w:rsidR="001F4B99" w:rsidRPr="00F37CDA">
        <w:rPr>
          <w:lang w:val="es-ES"/>
        </w:rPr>
        <w:t xml:space="preserve">sección conjunta funciona como grupo </w:t>
      </w:r>
      <w:r w:rsidR="00671E17" w:rsidRPr="00F37CDA">
        <w:rPr>
          <w:lang w:val="es-ES"/>
        </w:rPr>
        <w:t>orientado</w:t>
      </w:r>
      <w:r w:rsidR="001F4B99" w:rsidRPr="00F37CDA">
        <w:rPr>
          <w:lang w:val="es-ES"/>
        </w:rPr>
        <w:t xml:space="preserve"> </w:t>
      </w:r>
      <w:r w:rsidR="00671E17" w:rsidRPr="00F37CDA">
        <w:rPr>
          <w:lang w:val="es-ES"/>
        </w:rPr>
        <w:t xml:space="preserve">a </w:t>
      </w:r>
      <w:r w:rsidR="001F4B99" w:rsidRPr="00F37CDA">
        <w:rPr>
          <w:lang w:val="es-ES"/>
        </w:rPr>
        <w:t xml:space="preserve">los servicios </w:t>
      </w:r>
      <w:r w:rsidR="00E829F8" w:rsidRPr="00F37CDA">
        <w:rPr>
          <w:lang w:val="es-ES"/>
        </w:rPr>
        <w:t xml:space="preserve">y </w:t>
      </w:r>
      <w:r w:rsidR="00671E17" w:rsidRPr="00F37CDA">
        <w:rPr>
          <w:lang w:val="es-ES"/>
        </w:rPr>
        <w:t>cuenta con</w:t>
      </w:r>
      <w:r w:rsidR="001F4B99" w:rsidRPr="00F37CDA">
        <w:rPr>
          <w:lang w:val="es-ES"/>
        </w:rPr>
        <w:t xml:space="preserve"> un único </w:t>
      </w:r>
      <w:r w:rsidR="00671E17" w:rsidRPr="00F37CDA">
        <w:rPr>
          <w:lang w:val="es-ES"/>
        </w:rPr>
        <w:t xml:space="preserve">coordinador </w:t>
      </w:r>
      <w:r w:rsidR="001F4B99" w:rsidRPr="00F37CDA">
        <w:rPr>
          <w:lang w:val="es-ES"/>
        </w:rPr>
        <w:t xml:space="preserve">para distribuir el trabajo a los traductores internos y los </w:t>
      </w:r>
      <w:r w:rsidR="00376436" w:rsidRPr="00F37CDA">
        <w:rPr>
          <w:lang w:val="es-ES"/>
        </w:rPr>
        <w:t xml:space="preserve">proveedores externos de </w:t>
      </w:r>
      <w:r w:rsidR="00384B19" w:rsidRPr="00F37CDA">
        <w:rPr>
          <w:lang w:val="es-ES"/>
        </w:rPr>
        <w:t xml:space="preserve">la </w:t>
      </w:r>
      <w:r w:rsidR="00E829F8" w:rsidRPr="00F37CDA">
        <w:rPr>
          <w:lang w:val="es-ES"/>
        </w:rPr>
        <w:t>traducción</w:t>
      </w:r>
      <w:r w:rsidR="000C1063">
        <w:rPr>
          <w:lang w:val="es-ES"/>
        </w:rPr>
        <w:t>.</w:t>
      </w:r>
    </w:p>
    <w:p w:rsidR="00A4218B" w:rsidRPr="00F37CDA" w:rsidRDefault="001F4B99" w:rsidP="00F37CDA">
      <w:pPr>
        <w:pStyle w:val="Heading1"/>
        <w:keepNext w:val="0"/>
        <w:widowControl w:val="0"/>
        <w:rPr>
          <w:lang w:val="es-ES"/>
        </w:rPr>
      </w:pPr>
      <w:r w:rsidRPr="00F37CDA">
        <w:rPr>
          <w:lang w:val="es-ES"/>
        </w:rPr>
        <w:t>MEDIDA ESPECIAL CON RESPECTO AL RETRASO EN LA</w:t>
      </w:r>
      <w:r w:rsidR="00687600" w:rsidRPr="00F37CDA">
        <w:rPr>
          <w:lang w:val="es-ES"/>
        </w:rPr>
        <w:t xml:space="preserve"> TRADUCCIón</w:t>
      </w:r>
      <w:r w:rsidRPr="00F37CDA">
        <w:rPr>
          <w:lang w:val="es-ES"/>
        </w:rPr>
        <w:t xml:space="preserve"> DE LAS DECLARACIONES DE CONCESIÓN DE LA PROTECCIÓN EN VIRTUD DE LA REGLA</w:t>
      </w:r>
      <w:r w:rsidR="000C1063">
        <w:rPr>
          <w:lang w:val="es-ES"/>
        </w:rPr>
        <w:t> </w:t>
      </w:r>
      <w:r w:rsidR="00A4218B" w:rsidRPr="00F37CDA">
        <w:rPr>
          <w:lang w:val="es-ES"/>
        </w:rPr>
        <w:t>18</w:t>
      </w:r>
      <w:r w:rsidR="00A4218B" w:rsidRPr="00F37CDA">
        <w:rPr>
          <w:i/>
          <w:lang w:val="es-ES"/>
        </w:rPr>
        <w:t>TER</w:t>
      </w:r>
      <w:r w:rsidRPr="00F37CDA">
        <w:rPr>
          <w:lang w:val="es-ES"/>
        </w:rPr>
        <w:t>.</w:t>
      </w:r>
      <w:r w:rsidR="00A4218B" w:rsidRPr="00F37CDA">
        <w:rPr>
          <w:lang w:val="es-ES"/>
        </w:rPr>
        <w:t>2</w:t>
      </w:r>
      <w:proofErr w:type="gramStart"/>
      <w:r w:rsidR="00A4218B" w:rsidRPr="00F37CDA">
        <w:rPr>
          <w:lang w:val="es-ES"/>
        </w:rPr>
        <w:t>)II</w:t>
      </w:r>
      <w:proofErr w:type="gramEnd"/>
      <w:r w:rsidR="00A4218B" w:rsidRPr="00F37CDA">
        <w:rPr>
          <w:lang w:val="es-ES"/>
        </w:rPr>
        <w:t xml:space="preserve">) </w:t>
      </w:r>
      <w:r w:rsidRPr="00F37CDA">
        <w:rPr>
          <w:lang w:val="es-ES"/>
        </w:rPr>
        <w:t xml:space="preserve">DEL REGLAMENTO COMÚN RECIBIDAS ANTES DE </w:t>
      </w:r>
      <w:r w:rsidR="00A4218B" w:rsidRPr="00F37CDA">
        <w:rPr>
          <w:lang w:val="es-ES"/>
        </w:rPr>
        <w:t>2012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1F4B99" w:rsidRPr="00F37CDA">
        <w:rPr>
          <w:lang w:val="es-ES"/>
        </w:rPr>
        <w:t>Según se informó e</w:t>
      </w:r>
      <w:r w:rsidRPr="00F37CDA">
        <w:rPr>
          <w:lang w:val="es-ES"/>
        </w:rPr>
        <w:t xml:space="preserve">n 2012, </w:t>
      </w:r>
      <w:r w:rsidR="001F4B99" w:rsidRPr="00F37CDA">
        <w:rPr>
          <w:lang w:val="es-ES"/>
        </w:rPr>
        <w:t xml:space="preserve">había </w:t>
      </w:r>
      <w:r w:rsidRPr="00F37CDA">
        <w:rPr>
          <w:lang w:val="es-ES"/>
        </w:rPr>
        <w:t>133</w:t>
      </w:r>
      <w:r w:rsidR="001F4B99" w:rsidRPr="00F37CDA">
        <w:rPr>
          <w:lang w:val="es-ES"/>
        </w:rPr>
        <w:t>.</w:t>
      </w:r>
      <w:r w:rsidRPr="00F37CDA">
        <w:rPr>
          <w:lang w:val="es-ES"/>
        </w:rPr>
        <w:t>794 </w:t>
      </w:r>
      <w:r w:rsidR="001F4B99" w:rsidRPr="00F37CDA">
        <w:rPr>
          <w:lang w:val="es-ES"/>
        </w:rPr>
        <w:t xml:space="preserve">traducciones pendientes </w:t>
      </w:r>
      <w:r w:rsidR="00171501" w:rsidRPr="00F37CDA">
        <w:rPr>
          <w:lang w:val="es-ES"/>
        </w:rPr>
        <w:t xml:space="preserve">como consecuencia de las </w:t>
      </w:r>
      <w:r w:rsidR="005A38C9" w:rsidRPr="00F37CDA">
        <w:rPr>
          <w:lang w:val="es-ES"/>
        </w:rPr>
        <w:t>declaraciones de concesión de la protección en virtud de la Regla </w:t>
      </w:r>
      <w:r w:rsidRPr="00F37CDA">
        <w:rPr>
          <w:lang w:val="es-ES"/>
        </w:rPr>
        <w:t>18</w:t>
      </w:r>
      <w:r w:rsidRPr="00F37CDA">
        <w:rPr>
          <w:i/>
          <w:lang w:val="es-ES"/>
        </w:rPr>
        <w:t>ter</w:t>
      </w:r>
      <w:r w:rsidR="005A38C9" w:rsidRPr="00F37CDA">
        <w:rPr>
          <w:lang w:val="es-ES"/>
        </w:rPr>
        <w:t>.</w:t>
      </w:r>
      <w:r w:rsidRPr="00F37CDA">
        <w:rPr>
          <w:lang w:val="es-ES"/>
        </w:rPr>
        <w:t>2</w:t>
      </w:r>
      <w:proofErr w:type="gramStart"/>
      <w:r w:rsidRPr="00F37CDA">
        <w:rPr>
          <w:lang w:val="es-ES"/>
        </w:rPr>
        <w:t>)ii</w:t>
      </w:r>
      <w:proofErr w:type="gramEnd"/>
      <w:r w:rsidRPr="00F37CDA">
        <w:rPr>
          <w:lang w:val="es-ES"/>
        </w:rPr>
        <w:t xml:space="preserve">) </w:t>
      </w:r>
      <w:r w:rsidR="005A38C9" w:rsidRPr="00F37CDA">
        <w:rPr>
          <w:lang w:val="es-ES"/>
        </w:rPr>
        <w:t>del Reglamento Común recibidas antes de</w:t>
      </w:r>
      <w:r w:rsidR="0067722D" w:rsidRPr="00F37CDA">
        <w:rPr>
          <w:lang w:val="es-ES"/>
        </w:rPr>
        <w:t> </w:t>
      </w:r>
      <w:r w:rsidR="000C1063">
        <w:rPr>
          <w:lang w:val="es-ES"/>
        </w:rPr>
        <w:t>2012.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5A38C9" w:rsidRPr="00F37CDA">
        <w:rPr>
          <w:lang w:val="es-ES"/>
        </w:rPr>
        <w:t xml:space="preserve">Tras la implantación de las soluciones automáticas mencionadas </w:t>
      </w:r>
      <w:r w:rsidR="0067722D" w:rsidRPr="00F37CDA">
        <w:rPr>
          <w:lang w:val="es-ES"/>
        </w:rPr>
        <w:t xml:space="preserve">anteriormente, </w:t>
      </w:r>
      <w:r w:rsidR="005A38C9" w:rsidRPr="00F37CDA">
        <w:rPr>
          <w:lang w:val="es-ES"/>
        </w:rPr>
        <w:t xml:space="preserve">y conforme a una medida especial que se </w:t>
      </w:r>
      <w:r w:rsidR="0067722D" w:rsidRPr="00F37CDA">
        <w:rPr>
          <w:lang w:val="es-ES"/>
        </w:rPr>
        <w:t>puso en práctica</w:t>
      </w:r>
      <w:r w:rsidR="005A38C9" w:rsidRPr="00F37CDA">
        <w:rPr>
          <w:lang w:val="es-ES"/>
        </w:rPr>
        <w:t xml:space="preserve"> entre 2012 y 2013, la Oficina Internacional ha solventado </w:t>
      </w:r>
      <w:r w:rsidR="00F51DCB" w:rsidRPr="00F37CDA">
        <w:rPr>
          <w:lang w:val="es-ES"/>
        </w:rPr>
        <w:t>el</w:t>
      </w:r>
      <w:r w:rsidR="005A38C9" w:rsidRPr="00F37CDA">
        <w:rPr>
          <w:lang w:val="es-ES"/>
        </w:rPr>
        <w:t xml:space="preserve"> retraso, al utilizar herramientas</w:t>
      </w:r>
      <w:r w:rsidR="000C1063">
        <w:rPr>
          <w:lang w:val="es-ES"/>
        </w:rPr>
        <w:t xml:space="preserve"> automáticas para traducir casi </w:t>
      </w:r>
      <w:r w:rsidR="005A38C9" w:rsidRPr="00F37CDA">
        <w:rPr>
          <w:lang w:val="es-ES"/>
        </w:rPr>
        <w:t>32 millones de palabras</w:t>
      </w:r>
      <w:r w:rsidR="000C1063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67722D" w:rsidRPr="00F37CDA">
        <w:rPr>
          <w:lang w:val="es-ES"/>
        </w:rPr>
        <w:t>L</w:t>
      </w:r>
      <w:r w:rsidR="005A38C9" w:rsidRPr="00F37CDA">
        <w:rPr>
          <w:lang w:val="es-ES"/>
        </w:rPr>
        <w:t xml:space="preserve">a traducción de las indicaciones de productos y servicios </w:t>
      </w:r>
      <w:r w:rsidR="0067722D" w:rsidRPr="00F37CDA">
        <w:rPr>
          <w:lang w:val="es-ES"/>
        </w:rPr>
        <w:t xml:space="preserve">de </w:t>
      </w:r>
      <w:r w:rsidR="005A38C9" w:rsidRPr="00F37CDA">
        <w:rPr>
          <w:lang w:val="es-ES"/>
        </w:rPr>
        <w:t>esas declaraciones de concesión de la protección</w:t>
      </w:r>
      <w:r w:rsidR="0067722D" w:rsidRPr="00F37CDA">
        <w:rPr>
          <w:lang w:val="es-ES"/>
        </w:rPr>
        <w:t xml:space="preserve"> se efectuó de forma completamente automática</w:t>
      </w:r>
      <w:r w:rsidR="005A38C9" w:rsidRPr="00F37CDA">
        <w:rPr>
          <w:lang w:val="es-ES"/>
        </w:rPr>
        <w:t xml:space="preserve">, sin ningún tipo de intervención humana ni revisión </w:t>
      </w:r>
      <w:r w:rsidR="0067722D" w:rsidRPr="00F37CDA">
        <w:rPr>
          <w:lang w:val="es-ES"/>
        </w:rPr>
        <w:t xml:space="preserve">posterior </w:t>
      </w:r>
      <w:r w:rsidR="005A38C9" w:rsidRPr="00F37CDA">
        <w:rPr>
          <w:lang w:val="es-ES"/>
        </w:rPr>
        <w:t>a la traducción automática</w:t>
      </w:r>
      <w:r w:rsidR="000C1063">
        <w:rPr>
          <w:lang w:val="es-ES"/>
        </w:rPr>
        <w:t>.</w:t>
      </w:r>
    </w:p>
    <w:p w:rsidR="00A4218B" w:rsidRPr="00F37CDA" w:rsidRDefault="005A38C9" w:rsidP="00F37CDA">
      <w:pPr>
        <w:pStyle w:val="Heading1"/>
        <w:keepNext w:val="0"/>
        <w:widowControl w:val="0"/>
        <w:rPr>
          <w:lang w:val="es-ES"/>
        </w:rPr>
      </w:pPr>
      <w:r w:rsidRPr="00F37CDA">
        <w:rPr>
          <w:lang w:val="es-ES"/>
        </w:rPr>
        <w:t>examen de las prácticas en materia de traducción y posibles medidas ulteriores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9D3B8B" w:rsidRPr="00F37CDA">
        <w:rPr>
          <w:lang w:val="es-ES"/>
        </w:rPr>
        <w:t xml:space="preserve">Las prácticas en materia de traducción han permitido a la Oficina Internacional poner en marcha un </w:t>
      </w:r>
      <w:r w:rsidR="00477732" w:rsidRPr="00F37CDA">
        <w:rPr>
          <w:lang w:val="es-ES"/>
        </w:rPr>
        <w:t>procedimiento</w:t>
      </w:r>
      <w:r w:rsidR="009D3B8B" w:rsidRPr="00F37CDA">
        <w:rPr>
          <w:lang w:val="es-ES"/>
        </w:rPr>
        <w:t xml:space="preserve"> </w:t>
      </w:r>
      <w:r w:rsidR="0067722D" w:rsidRPr="00F37CDA">
        <w:rPr>
          <w:lang w:val="es-ES"/>
        </w:rPr>
        <w:t xml:space="preserve">idóneo </w:t>
      </w:r>
      <w:r w:rsidR="009D3B8B" w:rsidRPr="00F37CDA">
        <w:rPr>
          <w:lang w:val="es-ES"/>
        </w:rPr>
        <w:t xml:space="preserve">para gestionar el volumen de traducción en constante crecimiento sin </w:t>
      </w:r>
      <w:r w:rsidR="003C635C" w:rsidRPr="00F37CDA">
        <w:rPr>
          <w:lang w:val="es-ES"/>
        </w:rPr>
        <w:t xml:space="preserve">la </w:t>
      </w:r>
      <w:r w:rsidR="009D3B8B" w:rsidRPr="00F37CDA">
        <w:rPr>
          <w:lang w:val="es-ES"/>
        </w:rPr>
        <w:t>necesidad de aumentar los recursos humanos.</w:t>
      </w:r>
      <w:r w:rsidRPr="00F37CDA">
        <w:rPr>
          <w:lang w:val="es-ES"/>
        </w:rPr>
        <w:t xml:space="preserve">  </w:t>
      </w:r>
      <w:r w:rsidR="009D3B8B" w:rsidRPr="00F37CDA">
        <w:rPr>
          <w:lang w:val="es-ES"/>
        </w:rPr>
        <w:t>E</w:t>
      </w:r>
      <w:r w:rsidR="0067722D" w:rsidRPr="00F37CDA">
        <w:rPr>
          <w:lang w:val="es-ES"/>
        </w:rPr>
        <w:t>ste</w:t>
      </w:r>
      <w:r w:rsidR="009D3B8B" w:rsidRPr="00F37CDA">
        <w:rPr>
          <w:lang w:val="es-ES"/>
        </w:rPr>
        <w:t xml:space="preserve"> </w:t>
      </w:r>
      <w:r w:rsidR="00477732" w:rsidRPr="00F37CDA">
        <w:rPr>
          <w:lang w:val="es-ES"/>
        </w:rPr>
        <w:t>procedimiento</w:t>
      </w:r>
      <w:r w:rsidR="009D3B8B" w:rsidRPr="00F37CDA">
        <w:rPr>
          <w:lang w:val="es-ES"/>
        </w:rPr>
        <w:t xml:space="preserve"> saca </w:t>
      </w:r>
      <w:r w:rsidR="0067722D" w:rsidRPr="00F37CDA">
        <w:rPr>
          <w:lang w:val="es-ES"/>
        </w:rPr>
        <w:t xml:space="preserve">el máximo </w:t>
      </w:r>
      <w:r w:rsidR="009D3B8B" w:rsidRPr="00F37CDA">
        <w:rPr>
          <w:lang w:val="es-ES"/>
        </w:rPr>
        <w:t xml:space="preserve">partido de las soluciones tecnológicas </w:t>
      </w:r>
      <w:r w:rsidR="0067722D" w:rsidRPr="00F37CDA">
        <w:rPr>
          <w:lang w:val="es-ES"/>
        </w:rPr>
        <w:t xml:space="preserve">a fin de </w:t>
      </w:r>
      <w:r w:rsidR="009D3B8B" w:rsidRPr="00F37CDA">
        <w:rPr>
          <w:lang w:val="es-ES"/>
        </w:rPr>
        <w:t xml:space="preserve">entregar una traducción </w:t>
      </w:r>
      <w:r w:rsidR="0067722D" w:rsidRPr="00F37CDA">
        <w:rPr>
          <w:lang w:val="es-ES"/>
        </w:rPr>
        <w:t xml:space="preserve">revisada con anterioridad </w:t>
      </w:r>
      <w:r w:rsidR="009D3B8B" w:rsidRPr="00F37CDA">
        <w:rPr>
          <w:lang w:val="es-ES"/>
        </w:rPr>
        <w:t>o proponer una nueva traducción, con un alto nivel de fiabilidad</w:t>
      </w:r>
      <w:r w:rsidRPr="00F37CDA">
        <w:rPr>
          <w:lang w:val="es-ES"/>
        </w:rPr>
        <w:t xml:space="preserve">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9D3B8B" w:rsidRPr="00F37CDA">
        <w:rPr>
          <w:lang w:val="es-ES"/>
        </w:rPr>
        <w:t>La Oficina Internacional ha sido capaz, gracias a la</w:t>
      </w:r>
      <w:r w:rsidR="003C635C" w:rsidRPr="00F37CDA">
        <w:rPr>
          <w:lang w:val="es-ES"/>
        </w:rPr>
        <w:t>s</w:t>
      </w:r>
      <w:r w:rsidR="009D3B8B" w:rsidRPr="00F37CDA">
        <w:rPr>
          <w:lang w:val="es-ES"/>
        </w:rPr>
        <w:t xml:space="preserve"> práctica</w:t>
      </w:r>
      <w:r w:rsidR="003C635C" w:rsidRPr="00F37CDA">
        <w:rPr>
          <w:lang w:val="es-ES"/>
        </w:rPr>
        <w:t>s</w:t>
      </w:r>
      <w:r w:rsidR="009D3B8B" w:rsidRPr="00F37CDA">
        <w:rPr>
          <w:lang w:val="es-ES"/>
        </w:rPr>
        <w:t xml:space="preserve"> actual</w:t>
      </w:r>
      <w:r w:rsidR="003C635C" w:rsidRPr="00F37CDA">
        <w:rPr>
          <w:lang w:val="es-ES"/>
        </w:rPr>
        <w:t>es</w:t>
      </w:r>
      <w:r w:rsidR="009D3B8B" w:rsidRPr="00F37CDA">
        <w:rPr>
          <w:lang w:val="es-ES"/>
        </w:rPr>
        <w:t xml:space="preserve">, de concentrar sus recursos técnicos y humanos en el repunte de la traducción </w:t>
      </w:r>
      <w:r w:rsidR="003C635C" w:rsidRPr="00F37CDA">
        <w:rPr>
          <w:lang w:val="es-ES"/>
        </w:rPr>
        <w:t xml:space="preserve">ocasionado por </w:t>
      </w:r>
      <w:r w:rsidR="009D3B8B" w:rsidRPr="00F37CDA">
        <w:rPr>
          <w:lang w:val="es-ES"/>
        </w:rPr>
        <w:t>los registros internacionales</w:t>
      </w:r>
      <w:r w:rsidRPr="00F37CDA">
        <w:rPr>
          <w:lang w:val="es-ES"/>
        </w:rPr>
        <w:t xml:space="preserve">.  </w:t>
      </w:r>
      <w:r w:rsidR="009D3B8B" w:rsidRPr="00F37CDA">
        <w:rPr>
          <w:lang w:val="es-ES"/>
        </w:rPr>
        <w:t xml:space="preserve">Desde la perspectiva de los usuarios, esta es una de las </w:t>
      </w:r>
      <w:r w:rsidR="00A14249" w:rsidRPr="00F37CDA">
        <w:rPr>
          <w:lang w:val="es-ES"/>
        </w:rPr>
        <w:t xml:space="preserve">operaciones </w:t>
      </w:r>
      <w:r w:rsidR="009D3B8B" w:rsidRPr="00F37CDA">
        <w:rPr>
          <w:lang w:val="es-ES"/>
        </w:rPr>
        <w:t xml:space="preserve">más importantes porque es </w:t>
      </w:r>
      <w:r w:rsidR="00942B38">
        <w:rPr>
          <w:lang w:val="es-ES"/>
        </w:rPr>
        <w:t>aquella</w:t>
      </w:r>
      <w:r w:rsidR="009D3B8B" w:rsidRPr="00F37CDA">
        <w:rPr>
          <w:lang w:val="es-ES"/>
        </w:rPr>
        <w:t xml:space="preserve"> en </w:t>
      </w:r>
      <w:r w:rsidR="003C635C" w:rsidRPr="00F37CDA">
        <w:rPr>
          <w:lang w:val="es-ES"/>
        </w:rPr>
        <w:t xml:space="preserve">la </w:t>
      </w:r>
      <w:r w:rsidR="009D3B8B" w:rsidRPr="00F37CDA">
        <w:rPr>
          <w:lang w:val="es-ES"/>
        </w:rPr>
        <w:t xml:space="preserve">que el alcance de la protección que se </w:t>
      </w:r>
      <w:r w:rsidR="006D1AED" w:rsidRPr="00F37CDA">
        <w:rPr>
          <w:lang w:val="es-ES"/>
        </w:rPr>
        <w:t>solicita</w:t>
      </w:r>
      <w:r w:rsidR="009D3B8B" w:rsidRPr="00F37CDA">
        <w:rPr>
          <w:lang w:val="es-ES"/>
        </w:rPr>
        <w:t xml:space="preserve"> se inscribe </w:t>
      </w:r>
      <w:r w:rsidR="0037670C" w:rsidRPr="00F37CDA">
        <w:rPr>
          <w:lang w:val="es-ES"/>
        </w:rPr>
        <w:t xml:space="preserve">primero </w:t>
      </w:r>
      <w:r w:rsidR="009D3B8B" w:rsidRPr="00F37CDA">
        <w:rPr>
          <w:lang w:val="es-ES"/>
        </w:rPr>
        <w:t xml:space="preserve">en el Registro Internacional y se notifica </w:t>
      </w:r>
      <w:r w:rsidR="003C635C" w:rsidRPr="00F37CDA">
        <w:rPr>
          <w:lang w:val="es-ES"/>
        </w:rPr>
        <w:t xml:space="preserve">como tal </w:t>
      </w:r>
      <w:r w:rsidR="009D3B8B" w:rsidRPr="00F37CDA">
        <w:rPr>
          <w:lang w:val="es-ES"/>
        </w:rPr>
        <w:t xml:space="preserve">a las Oficinas de las Partes </w:t>
      </w:r>
      <w:r w:rsidR="00F27847" w:rsidRPr="00F37CDA">
        <w:rPr>
          <w:lang w:val="es-ES"/>
        </w:rPr>
        <w:t>Contratantes</w:t>
      </w:r>
      <w:r w:rsidR="009D3B8B" w:rsidRPr="00F37CDA">
        <w:rPr>
          <w:lang w:val="es-ES"/>
        </w:rPr>
        <w:t xml:space="preserve"> designadas</w:t>
      </w:r>
      <w:r w:rsidRPr="00F37CDA">
        <w:rPr>
          <w:lang w:val="es-ES"/>
        </w:rPr>
        <w:t xml:space="preserve">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3F5186" w:rsidRPr="00F37CDA">
        <w:rPr>
          <w:lang w:val="es-ES"/>
        </w:rPr>
        <w:t xml:space="preserve">El </w:t>
      </w:r>
      <w:r w:rsidR="00477732" w:rsidRPr="00F37CDA">
        <w:rPr>
          <w:lang w:val="es-ES"/>
        </w:rPr>
        <w:t>procedimiento</w:t>
      </w:r>
      <w:r w:rsidR="003F5186" w:rsidRPr="00F37CDA">
        <w:rPr>
          <w:lang w:val="es-ES"/>
        </w:rPr>
        <w:t xml:space="preserve"> de traducción automática establecido por la Oficina Internacional </w:t>
      </w:r>
      <w:r w:rsidR="00F07E5C" w:rsidRPr="00F37CDA">
        <w:rPr>
          <w:lang w:val="es-ES"/>
        </w:rPr>
        <w:t>sigue requiriendo la</w:t>
      </w:r>
      <w:r w:rsidR="003F5186" w:rsidRPr="00F37CDA">
        <w:rPr>
          <w:lang w:val="es-ES"/>
        </w:rPr>
        <w:t xml:space="preserve"> intervención humana </w:t>
      </w:r>
      <w:r w:rsidR="00F07E5C" w:rsidRPr="00F37CDA">
        <w:rPr>
          <w:lang w:val="es-ES"/>
        </w:rPr>
        <w:t xml:space="preserve">en </w:t>
      </w:r>
      <w:r w:rsidR="003F5186" w:rsidRPr="00F37CDA">
        <w:rPr>
          <w:lang w:val="es-ES"/>
        </w:rPr>
        <w:t xml:space="preserve">la gestión general del </w:t>
      </w:r>
      <w:r w:rsidR="00477732" w:rsidRPr="00F37CDA">
        <w:rPr>
          <w:lang w:val="es-ES"/>
        </w:rPr>
        <w:t>procedimiento</w:t>
      </w:r>
      <w:r w:rsidRPr="00F37CDA">
        <w:rPr>
          <w:lang w:val="es-ES"/>
        </w:rPr>
        <w:t xml:space="preserve">, </w:t>
      </w:r>
      <w:r w:rsidR="003F5186" w:rsidRPr="00F37CDA">
        <w:rPr>
          <w:lang w:val="es-ES"/>
        </w:rPr>
        <w:t xml:space="preserve">a </w:t>
      </w:r>
      <w:r w:rsidR="00F07E5C" w:rsidRPr="00F37CDA">
        <w:rPr>
          <w:lang w:val="es-ES"/>
        </w:rPr>
        <w:t xml:space="preserve">los </w:t>
      </w:r>
      <w:r w:rsidR="003F5186" w:rsidRPr="00F37CDA">
        <w:rPr>
          <w:lang w:val="es-ES"/>
        </w:rPr>
        <w:t xml:space="preserve">fines de garantía de la calidad, </w:t>
      </w:r>
      <w:r w:rsidR="00F22C96" w:rsidRPr="00F37CDA">
        <w:rPr>
          <w:lang w:val="es-ES"/>
        </w:rPr>
        <w:t xml:space="preserve">para </w:t>
      </w:r>
      <w:r w:rsidR="003F5186" w:rsidRPr="00F37CDA">
        <w:rPr>
          <w:lang w:val="es-ES"/>
        </w:rPr>
        <w:t xml:space="preserve">reflejar los </w:t>
      </w:r>
      <w:r w:rsidR="00F07E5C" w:rsidRPr="00F37CDA">
        <w:rPr>
          <w:lang w:val="es-ES"/>
        </w:rPr>
        <w:t xml:space="preserve">matices </w:t>
      </w:r>
      <w:r w:rsidR="003F5186" w:rsidRPr="00F37CDA">
        <w:rPr>
          <w:lang w:val="es-ES"/>
        </w:rPr>
        <w:t xml:space="preserve">de las indicaciones de los productos y servicios o </w:t>
      </w:r>
      <w:r w:rsidR="00F22C96" w:rsidRPr="00F37CDA">
        <w:rPr>
          <w:lang w:val="es-ES"/>
        </w:rPr>
        <w:t xml:space="preserve">para </w:t>
      </w:r>
      <w:r w:rsidR="00D42B44" w:rsidRPr="00F37CDA">
        <w:rPr>
          <w:lang w:val="es-ES"/>
        </w:rPr>
        <w:t xml:space="preserve">revisar una traducción automática </w:t>
      </w:r>
      <w:r w:rsidR="003F5186" w:rsidRPr="00F37CDA">
        <w:rPr>
          <w:lang w:val="es-ES"/>
        </w:rPr>
        <w:t xml:space="preserve">o traducir nuevos términos utilizados </w:t>
      </w:r>
      <w:r w:rsidR="00FE1D61" w:rsidRPr="00F37CDA">
        <w:rPr>
          <w:lang w:val="es-ES"/>
        </w:rPr>
        <w:t xml:space="preserve">para </w:t>
      </w:r>
      <w:r w:rsidR="003F5186" w:rsidRPr="00F37CDA">
        <w:rPr>
          <w:lang w:val="es-ES"/>
        </w:rPr>
        <w:t>describir innovaciones en un campo particular</w:t>
      </w:r>
      <w:r w:rsidRPr="00F37CDA">
        <w:rPr>
          <w:lang w:val="es-ES"/>
        </w:rPr>
        <w:t xml:space="preserve">.  </w:t>
      </w:r>
      <w:r w:rsidR="003F5186" w:rsidRPr="00F37CDA">
        <w:rPr>
          <w:lang w:val="es-ES"/>
        </w:rPr>
        <w:t xml:space="preserve">No obstante, como demuestra la medida especial adoptada por la Oficina </w:t>
      </w:r>
      <w:r w:rsidRPr="00F37CDA">
        <w:rPr>
          <w:lang w:val="es-ES"/>
        </w:rPr>
        <w:t>Interna</w:t>
      </w:r>
      <w:r w:rsidR="003F5186" w:rsidRPr="00F37CDA">
        <w:rPr>
          <w:lang w:val="es-ES"/>
        </w:rPr>
        <w:t>c</w:t>
      </w:r>
      <w:r w:rsidRPr="00F37CDA">
        <w:rPr>
          <w:lang w:val="es-ES"/>
        </w:rPr>
        <w:t>ional</w:t>
      </w:r>
      <w:r w:rsidR="00F07E5C" w:rsidRPr="00F37CDA">
        <w:rPr>
          <w:lang w:val="es-ES"/>
        </w:rPr>
        <w:t xml:space="preserve"> mencionada anteriormente</w:t>
      </w:r>
      <w:r w:rsidRPr="00F37CDA">
        <w:rPr>
          <w:lang w:val="es-ES"/>
        </w:rPr>
        <w:t xml:space="preserve">, </w:t>
      </w:r>
      <w:r w:rsidR="003F5186" w:rsidRPr="00F37CDA">
        <w:rPr>
          <w:lang w:val="es-ES"/>
        </w:rPr>
        <w:t xml:space="preserve">las soluciones de T.I. </w:t>
      </w:r>
      <w:r w:rsidR="00F07E5C" w:rsidRPr="00F37CDA">
        <w:rPr>
          <w:lang w:val="es-ES"/>
        </w:rPr>
        <w:t xml:space="preserve">implantadas </w:t>
      </w:r>
      <w:r w:rsidR="003F5186" w:rsidRPr="00F37CDA">
        <w:rPr>
          <w:lang w:val="es-ES"/>
        </w:rPr>
        <w:t xml:space="preserve">tienen capacidad </w:t>
      </w:r>
      <w:r w:rsidR="00F07E5C" w:rsidRPr="00F37CDA">
        <w:rPr>
          <w:lang w:val="es-ES"/>
        </w:rPr>
        <w:t xml:space="preserve">para </w:t>
      </w:r>
      <w:r w:rsidR="006D1AED" w:rsidRPr="00F37CDA">
        <w:rPr>
          <w:lang w:val="es-ES"/>
        </w:rPr>
        <w:t>sacar</w:t>
      </w:r>
      <w:r w:rsidR="00FE1D61" w:rsidRPr="00F37CDA">
        <w:rPr>
          <w:lang w:val="es-ES"/>
        </w:rPr>
        <w:t xml:space="preserve"> aún más</w:t>
      </w:r>
      <w:r w:rsidR="005B090C" w:rsidRPr="00F37CDA">
        <w:rPr>
          <w:lang w:val="es-ES"/>
        </w:rPr>
        <w:t xml:space="preserve"> </w:t>
      </w:r>
      <w:r w:rsidR="006D1AED" w:rsidRPr="00F37CDA">
        <w:rPr>
          <w:lang w:val="es-ES"/>
        </w:rPr>
        <w:t xml:space="preserve">partido de </w:t>
      </w:r>
      <w:r w:rsidR="003F5186" w:rsidRPr="00F37CDA">
        <w:rPr>
          <w:lang w:val="es-ES"/>
        </w:rPr>
        <w:t>la traducción automática</w:t>
      </w:r>
      <w:r w:rsidRPr="00F37CDA">
        <w:rPr>
          <w:lang w:val="es-ES"/>
        </w:rPr>
        <w:t xml:space="preserve">.  </w:t>
      </w:r>
    </w:p>
    <w:p w:rsidR="00F26D55" w:rsidRDefault="00F26D55" w:rsidP="00F37CDA">
      <w:pPr>
        <w:widowControl w:val="0"/>
        <w:rPr>
          <w:lang w:val="es-ES"/>
        </w:rPr>
      </w:pPr>
      <w:r>
        <w:rPr>
          <w:lang w:val="es-ES"/>
        </w:rPr>
        <w:br w:type="page"/>
      </w: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5B090C" w:rsidRPr="00F37CDA">
        <w:rPr>
          <w:lang w:val="es-ES"/>
        </w:rPr>
        <w:t>Si bien</w:t>
      </w:r>
      <w:r w:rsidR="00517960" w:rsidRPr="00F37CDA">
        <w:rPr>
          <w:lang w:val="es-ES"/>
        </w:rPr>
        <w:t xml:space="preserve"> los resultados conseguidos por lo que se refiere a la traducción automática son alentadores</w:t>
      </w:r>
      <w:r w:rsidRPr="00F37CDA">
        <w:rPr>
          <w:lang w:val="es-ES"/>
        </w:rPr>
        <w:t xml:space="preserve">, </w:t>
      </w:r>
      <w:r w:rsidR="005B090C" w:rsidRPr="00F37CDA">
        <w:rPr>
          <w:lang w:val="es-ES"/>
        </w:rPr>
        <w:t xml:space="preserve">cabe seguir trabajando </w:t>
      </w:r>
      <w:r w:rsidR="002179C3" w:rsidRPr="00F37CDA">
        <w:rPr>
          <w:lang w:val="es-ES"/>
        </w:rPr>
        <w:t>a fin de</w:t>
      </w:r>
      <w:r w:rsidR="00517960" w:rsidRPr="00F37CDA">
        <w:rPr>
          <w:lang w:val="es-ES"/>
        </w:rPr>
        <w:t xml:space="preserve"> garantizar que el rendimiento obtenido de las soluciones tecnológicas implantadas se mantenga estable y </w:t>
      </w:r>
      <w:r w:rsidR="002179C3" w:rsidRPr="00F37CDA">
        <w:rPr>
          <w:lang w:val="es-ES"/>
        </w:rPr>
        <w:t xml:space="preserve">de </w:t>
      </w:r>
      <w:r w:rsidR="00517960" w:rsidRPr="00F37CDA">
        <w:rPr>
          <w:lang w:val="es-ES"/>
        </w:rPr>
        <w:t xml:space="preserve">aumentar </w:t>
      </w:r>
      <w:r w:rsidR="006D67D8" w:rsidRPr="00F37CDA">
        <w:rPr>
          <w:lang w:val="es-ES"/>
        </w:rPr>
        <w:t xml:space="preserve">aún más </w:t>
      </w:r>
      <w:r w:rsidR="00517960" w:rsidRPr="00F37CDA">
        <w:rPr>
          <w:lang w:val="es-ES"/>
        </w:rPr>
        <w:t>el nivel de automatización que ya se ha alcanzado</w:t>
      </w:r>
      <w:r w:rsidRPr="00F37CDA">
        <w:rPr>
          <w:lang w:val="es-ES"/>
        </w:rPr>
        <w:t xml:space="preserve">.  </w:t>
      </w:r>
      <w:r w:rsidR="005B090C" w:rsidRPr="00F37CDA">
        <w:rPr>
          <w:lang w:val="es-ES"/>
        </w:rPr>
        <w:t xml:space="preserve">Los </w:t>
      </w:r>
      <w:r w:rsidR="00517960" w:rsidRPr="00F37CDA">
        <w:rPr>
          <w:lang w:val="es-ES"/>
        </w:rPr>
        <w:t xml:space="preserve">recursos humanos </w:t>
      </w:r>
      <w:r w:rsidR="005B090C" w:rsidRPr="00F37CDA">
        <w:rPr>
          <w:lang w:val="es-ES"/>
        </w:rPr>
        <w:t xml:space="preserve">siguen siendo necesarios </w:t>
      </w:r>
      <w:r w:rsidR="00517960" w:rsidRPr="00F37CDA">
        <w:rPr>
          <w:lang w:val="es-ES"/>
        </w:rPr>
        <w:t xml:space="preserve">para mantener y garantizar </w:t>
      </w:r>
      <w:r w:rsidR="005B090C" w:rsidRPr="00F37CDA">
        <w:rPr>
          <w:lang w:val="es-ES"/>
        </w:rPr>
        <w:t xml:space="preserve">la </w:t>
      </w:r>
      <w:r w:rsidR="00517960" w:rsidRPr="00F37CDA">
        <w:rPr>
          <w:lang w:val="es-ES"/>
        </w:rPr>
        <w:t>calidad de las traducciones</w:t>
      </w:r>
      <w:r w:rsidRPr="00F37CDA">
        <w:rPr>
          <w:lang w:val="es-ES"/>
        </w:rPr>
        <w:t xml:space="preserve">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517960" w:rsidRPr="00F37CDA">
        <w:rPr>
          <w:lang w:val="es-ES"/>
        </w:rPr>
        <w:t>Teniendo en cuenta lo anterior</w:t>
      </w:r>
      <w:r w:rsidRPr="00F37CDA">
        <w:rPr>
          <w:lang w:val="es-ES"/>
        </w:rPr>
        <w:t xml:space="preserve">, </w:t>
      </w:r>
      <w:r w:rsidR="00FE1D61" w:rsidRPr="00F37CDA">
        <w:rPr>
          <w:lang w:val="es-ES"/>
        </w:rPr>
        <w:t xml:space="preserve">en la actualidad </w:t>
      </w:r>
      <w:r w:rsidR="00517960" w:rsidRPr="00F37CDA">
        <w:rPr>
          <w:lang w:val="es-ES"/>
        </w:rPr>
        <w:t xml:space="preserve">la Oficina Internacional se encontraría en condiciones de traducir automáticamente las listas de productos y servicios de </w:t>
      </w:r>
      <w:r w:rsidR="006D67D8" w:rsidRPr="00F37CDA">
        <w:rPr>
          <w:lang w:val="es-ES"/>
        </w:rPr>
        <w:t xml:space="preserve">las </w:t>
      </w:r>
      <w:r w:rsidR="00517960" w:rsidRPr="00F37CDA">
        <w:rPr>
          <w:lang w:val="es-ES"/>
        </w:rPr>
        <w:t>declaraciones de concesión de la protección, enviadas en virtud de la Regla</w:t>
      </w:r>
      <w:r w:rsidRPr="00F37CDA">
        <w:rPr>
          <w:lang w:val="es-ES"/>
        </w:rPr>
        <w:t> 18</w:t>
      </w:r>
      <w:r w:rsidRPr="00F37CDA">
        <w:rPr>
          <w:i/>
          <w:lang w:val="es-ES"/>
        </w:rPr>
        <w:t>ter</w:t>
      </w:r>
      <w:r w:rsidR="00517960" w:rsidRPr="00F37CDA">
        <w:rPr>
          <w:lang w:val="es-ES"/>
        </w:rPr>
        <w:t>.2)</w:t>
      </w:r>
      <w:r w:rsidRPr="00F37CDA">
        <w:rPr>
          <w:lang w:val="es-ES"/>
        </w:rPr>
        <w:t xml:space="preserve">ii) </w:t>
      </w:r>
      <w:r w:rsidR="00517960" w:rsidRPr="00F37CDA">
        <w:rPr>
          <w:lang w:val="es-ES"/>
        </w:rPr>
        <w:t xml:space="preserve">del Reglamento Común, </w:t>
      </w:r>
      <w:r w:rsidR="00FE1D61" w:rsidRPr="00F37CDA">
        <w:rPr>
          <w:lang w:val="es-ES"/>
        </w:rPr>
        <w:t xml:space="preserve">mediante </w:t>
      </w:r>
      <w:r w:rsidR="00517960" w:rsidRPr="00F37CDA">
        <w:rPr>
          <w:lang w:val="es-ES"/>
        </w:rPr>
        <w:t xml:space="preserve">las soluciones tecnológicas implantadas </w:t>
      </w:r>
      <w:r w:rsidRPr="00F37CDA">
        <w:rPr>
          <w:lang w:val="es-ES"/>
        </w:rPr>
        <w:t>(WS </w:t>
      </w:r>
      <w:r w:rsidR="00517960" w:rsidRPr="00F37CDA">
        <w:rPr>
          <w:lang w:val="es-ES"/>
        </w:rPr>
        <w:t>y</w:t>
      </w:r>
      <w:r w:rsidRPr="00F37CDA">
        <w:rPr>
          <w:lang w:val="es-ES"/>
        </w:rPr>
        <w:t xml:space="preserve"> TAPTA4MARKS), </w:t>
      </w:r>
      <w:r w:rsidR="00E2044A">
        <w:rPr>
          <w:lang w:val="es-ES"/>
        </w:rPr>
        <w:t>restringiendo</w:t>
      </w:r>
      <w:r w:rsidR="00FE1D61" w:rsidRPr="00F37CDA">
        <w:rPr>
          <w:lang w:val="es-ES"/>
        </w:rPr>
        <w:t xml:space="preserve"> </w:t>
      </w:r>
      <w:r w:rsidR="0074082E" w:rsidRPr="00F37CDA">
        <w:rPr>
          <w:lang w:val="es-ES"/>
        </w:rPr>
        <w:t xml:space="preserve">la labor de </w:t>
      </w:r>
      <w:r w:rsidR="00D42B44" w:rsidRPr="00F37CDA">
        <w:rPr>
          <w:lang w:val="es-ES"/>
        </w:rPr>
        <w:t xml:space="preserve">revisión </w:t>
      </w:r>
      <w:r w:rsidR="00271747" w:rsidRPr="00271747">
        <w:rPr>
          <w:lang w:val="es-ES"/>
        </w:rPr>
        <w:t xml:space="preserve">posterior de la traducción automática </w:t>
      </w:r>
      <w:r w:rsidR="0074082E" w:rsidRPr="00F37CDA">
        <w:rPr>
          <w:lang w:val="es-ES"/>
        </w:rPr>
        <w:t xml:space="preserve">a </w:t>
      </w:r>
      <w:r w:rsidR="00517960" w:rsidRPr="00F37CDA">
        <w:rPr>
          <w:lang w:val="es-ES"/>
        </w:rPr>
        <w:t>las traducciones efectuadas al idioma de comunicaci</w:t>
      </w:r>
      <w:r w:rsidR="00B910FC" w:rsidRPr="00F37CDA">
        <w:rPr>
          <w:lang w:val="es-ES"/>
        </w:rPr>
        <w:t xml:space="preserve">ón con </w:t>
      </w:r>
      <w:r w:rsidR="00517960" w:rsidRPr="00F37CDA">
        <w:rPr>
          <w:lang w:val="es-ES"/>
        </w:rPr>
        <w:t xml:space="preserve">el titular, </w:t>
      </w:r>
      <w:r w:rsidR="00E2044A">
        <w:rPr>
          <w:lang w:val="es-ES"/>
        </w:rPr>
        <w:t>procedimiento</w:t>
      </w:r>
      <w:r w:rsidR="00E2044A" w:rsidRPr="00F37CDA">
        <w:rPr>
          <w:lang w:val="es-ES"/>
        </w:rPr>
        <w:t xml:space="preserve"> </w:t>
      </w:r>
      <w:r w:rsidR="00517960" w:rsidRPr="00F37CDA">
        <w:rPr>
          <w:lang w:val="es-ES"/>
        </w:rPr>
        <w:t xml:space="preserve">que ya </w:t>
      </w:r>
      <w:r w:rsidR="00E2044A">
        <w:rPr>
          <w:lang w:val="es-ES"/>
        </w:rPr>
        <w:t>está comprendido dentro de</w:t>
      </w:r>
      <w:r w:rsidR="00E2044A" w:rsidRPr="00F37CDA">
        <w:rPr>
          <w:lang w:val="es-ES"/>
        </w:rPr>
        <w:t xml:space="preserve"> </w:t>
      </w:r>
      <w:r w:rsidR="00517960" w:rsidRPr="00F37CDA">
        <w:rPr>
          <w:lang w:val="es-ES"/>
        </w:rPr>
        <w:t>la</w:t>
      </w:r>
      <w:r w:rsidR="0074082E" w:rsidRPr="00F37CDA">
        <w:rPr>
          <w:lang w:val="es-ES"/>
        </w:rPr>
        <w:t>s</w:t>
      </w:r>
      <w:r w:rsidR="00517960" w:rsidRPr="00F37CDA">
        <w:rPr>
          <w:lang w:val="es-ES"/>
        </w:rPr>
        <w:t xml:space="preserve"> práctica</w:t>
      </w:r>
      <w:r w:rsidR="0074082E" w:rsidRPr="00F37CDA">
        <w:rPr>
          <w:lang w:val="es-ES"/>
        </w:rPr>
        <w:t>s</w:t>
      </w:r>
      <w:r w:rsidR="00517960" w:rsidRPr="00F37CDA">
        <w:rPr>
          <w:lang w:val="es-ES"/>
        </w:rPr>
        <w:t xml:space="preserve"> </w:t>
      </w:r>
      <w:r w:rsidR="000853C6" w:rsidRPr="00F37CDA">
        <w:rPr>
          <w:lang w:val="es-ES"/>
        </w:rPr>
        <w:t>vigente</w:t>
      </w:r>
      <w:r w:rsidR="000157C1" w:rsidRPr="00F37CDA">
        <w:rPr>
          <w:lang w:val="es-ES"/>
        </w:rPr>
        <w:t>s</w:t>
      </w:r>
      <w:r w:rsidR="00265FDD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B910FC" w:rsidRPr="00F37CDA">
        <w:rPr>
          <w:lang w:val="es-ES"/>
        </w:rPr>
        <w:t>Asimismo, la Oficina Internacional podría traducir</w:t>
      </w:r>
      <w:r w:rsidR="00C37A61">
        <w:rPr>
          <w:lang w:val="es-ES"/>
        </w:rPr>
        <w:t>, siguiendo el mismo procedimiento,</w:t>
      </w:r>
      <w:r w:rsidR="00B910FC" w:rsidRPr="00F37CDA">
        <w:rPr>
          <w:lang w:val="es-ES"/>
        </w:rPr>
        <w:t xml:space="preserve"> las listas de productos y servicios de las limitaciones a un idioma distinto al de comunicación con el titular o la Oficina correspondiente</w:t>
      </w:r>
      <w:r w:rsidRPr="00F37CDA">
        <w:rPr>
          <w:lang w:val="es-ES"/>
        </w:rPr>
        <w:t xml:space="preserve">.  </w:t>
      </w:r>
      <w:r w:rsidR="00B910FC" w:rsidRPr="00F37CDA">
        <w:rPr>
          <w:lang w:val="es-ES"/>
        </w:rPr>
        <w:t xml:space="preserve">Dado que las soluciones de traducción </w:t>
      </w:r>
      <w:r w:rsidR="000157C1" w:rsidRPr="00F37CDA">
        <w:rPr>
          <w:lang w:val="es-ES"/>
        </w:rPr>
        <w:t xml:space="preserve">implantadas </w:t>
      </w:r>
      <w:r w:rsidR="00B910FC" w:rsidRPr="00F37CDA">
        <w:rPr>
          <w:lang w:val="es-ES"/>
        </w:rPr>
        <w:t>por la Oficina Internacional han reducido los retrasos y el tiempo total de procesamiento de las traducciones</w:t>
      </w:r>
      <w:r w:rsidRPr="00F37CDA">
        <w:rPr>
          <w:lang w:val="es-ES"/>
        </w:rPr>
        <w:t xml:space="preserve">, </w:t>
      </w:r>
      <w:r w:rsidR="000157C1" w:rsidRPr="00F37CDA">
        <w:rPr>
          <w:lang w:val="es-ES"/>
        </w:rPr>
        <w:t xml:space="preserve">el método sugerido no provocaría que </w:t>
      </w:r>
      <w:r w:rsidR="00B910FC" w:rsidRPr="00F37CDA">
        <w:rPr>
          <w:lang w:val="es-ES"/>
        </w:rPr>
        <w:t xml:space="preserve">los titulares </w:t>
      </w:r>
      <w:r w:rsidR="000157C1" w:rsidRPr="00F37CDA">
        <w:rPr>
          <w:lang w:val="es-ES"/>
        </w:rPr>
        <w:t xml:space="preserve">se vieran afectados por un </w:t>
      </w:r>
      <w:r w:rsidR="002179C3" w:rsidRPr="00F37CDA">
        <w:rPr>
          <w:lang w:val="es-ES"/>
        </w:rPr>
        <w:t>incremento</w:t>
      </w:r>
      <w:r w:rsidR="000157C1" w:rsidRPr="00F37CDA">
        <w:rPr>
          <w:lang w:val="es-ES"/>
        </w:rPr>
        <w:t xml:space="preserve"> d</w:t>
      </w:r>
      <w:r w:rsidR="00B910FC" w:rsidRPr="00F37CDA">
        <w:rPr>
          <w:lang w:val="es-ES"/>
        </w:rPr>
        <w:t>el tiempo de tramitación de la inscripción y la notificación de las limitaciones</w:t>
      </w:r>
      <w:r w:rsidR="00D12DDD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B910FC" w:rsidRPr="00F37CDA">
        <w:rPr>
          <w:lang w:val="es-ES"/>
        </w:rPr>
        <w:t xml:space="preserve">A raíz de la aplicación de las medidas propuestas </w:t>
      </w:r>
      <w:r w:rsidR="00AD5D24" w:rsidRPr="00F37CDA">
        <w:rPr>
          <w:lang w:val="es-ES"/>
        </w:rPr>
        <w:t xml:space="preserve">que se han descrito </w:t>
      </w:r>
      <w:r w:rsidR="00B910FC" w:rsidRPr="00F37CDA">
        <w:rPr>
          <w:lang w:val="es-ES"/>
        </w:rPr>
        <w:t xml:space="preserve">anteriormente, la práctica </w:t>
      </w:r>
      <w:r w:rsidR="006A0F3D" w:rsidRPr="00F37CDA">
        <w:rPr>
          <w:lang w:val="es-ES"/>
        </w:rPr>
        <w:t xml:space="preserve">actual de las peticiones </w:t>
      </w:r>
      <w:r w:rsidR="00B910FC" w:rsidRPr="00F37CDA">
        <w:rPr>
          <w:lang w:val="es-ES"/>
        </w:rPr>
        <w:t xml:space="preserve">de traducción dejaría de ser necesaria, puesto que la lista de productos y servicios </w:t>
      </w:r>
      <w:r w:rsidR="006A0F3D" w:rsidRPr="00F37CDA">
        <w:rPr>
          <w:lang w:val="es-ES"/>
        </w:rPr>
        <w:t xml:space="preserve">de </w:t>
      </w:r>
      <w:r w:rsidR="00B910FC" w:rsidRPr="00F37CDA">
        <w:rPr>
          <w:lang w:val="es-ES"/>
        </w:rPr>
        <w:t>las declaraciones de concesión de la protección enviadas en virtud de la Regla </w:t>
      </w:r>
      <w:r w:rsidRPr="00F37CDA">
        <w:rPr>
          <w:lang w:val="es-ES"/>
        </w:rPr>
        <w:t>18</w:t>
      </w:r>
      <w:r w:rsidRPr="00F37CDA">
        <w:rPr>
          <w:i/>
          <w:lang w:val="es-ES"/>
        </w:rPr>
        <w:t>ter</w:t>
      </w:r>
      <w:r w:rsidR="006B1677" w:rsidRPr="00F37CDA">
        <w:rPr>
          <w:lang w:val="es-ES"/>
        </w:rPr>
        <w:t>.</w:t>
      </w:r>
      <w:r w:rsidR="00B910FC" w:rsidRPr="00F37CDA">
        <w:rPr>
          <w:lang w:val="es-ES"/>
        </w:rPr>
        <w:t>2</w:t>
      </w:r>
      <w:proofErr w:type="gramStart"/>
      <w:r w:rsidR="00B910FC" w:rsidRPr="00F37CDA">
        <w:rPr>
          <w:lang w:val="es-ES"/>
        </w:rPr>
        <w:t>)</w:t>
      </w:r>
      <w:r w:rsidRPr="00F37CDA">
        <w:rPr>
          <w:lang w:val="es-ES"/>
        </w:rPr>
        <w:t>ii</w:t>
      </w:r>
      <w:proofErr w:type="gramEnd"/>
      <w:r w:rsidRPr="00F37CDA">
        <w:rPr>
          <w:lang w:val="es-ES"/>
        </w:rPr>
        <w:t xml:space="preserve">) </w:t>
      </w:r>
      <w:r w:rsidR="00B910FC" w:rsidRPr="00F37CDA">
        <w:rPr>
          <w:lang w:val="es-ES"/>
        </w:rPr>
        <w:t xml:space="preserve">del Reglamento Común y </w:t>
      </w:r>
      <w:r w:rsidR="006A0F3D" w:rsidRPr="00F37CDA">
        <w:rPr>
          <w:lang w:val="es-ES"/>
        </w:rPr>
        <w:t>de</w:t>
      </w:r>
      <w:r w:rsidR="00B910FC" w:rsidRPr="00F37CDA">
        <w:rPr>
          <w:lang w:val="es-ES"/>
        </w:rPr>
        <w:t xml:space="preserve"> las limitaciones se traduciría a todos los idiomas de trabajo del Sistema de Madrid antes de su inscripción, notificación y publicación</w:t>
      </w:r>
      <w:r w:rsidR="00D12DDD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AD5D24" w:rsidRPr="00F37CDA">
        <w:rPr>
          <w:lang w:val="es-ES"/>
        </w:rPr>
        <w:t xml:space="preserve">Para garantizar </w:t>
      </w:r>
      <w:r w:rsidR="00C37A61">
        <w:rPr>
          <w:lang w:val="es-ES"/>
        </w:rPr>
        <w:t>la implantación de</w:t>
      </w:r>
      <w:r w:rsidR="00C37A61" w:rsidRPr="00F37CDA">
        <w:rPr>
          <w:lang w:val="es-ES"/>
        </w:rPr>
        <w:t xml:space="preserve"> </w:t>
      </w:r>
      <w:r w:rsidR="00181F91" w:rsidRPr="00F37CDA">
        <w:rPr>
          <w:lang w:val="es-ES"/>
        </w:rPr>
        <w:t>todos los ajus</w:t>
      </w:r>
      <w:r w:rsidR="00AD5D24" w:rsidRPr="00F37CDA">
        <w:rPr>
          <w:lang w:val="es-ES"/>
        </w:rPr>
        <w:t>tes tecnológicos necesarios</w:t>
      </w:r>
      <w:r w:rsidR="00181F91" w:rsidRPr="00F37CDA">
        <w:rPr>
          <w:lang w:val="es-ES"/>
        </w:rPr>
        <w:t xml:space="preserve">, se propone que la Oficina Internacional </w:t>
      </w:r>
      <w:r w:rsidR="00AD5D24" w:rsidRPr="00F37CDA">
        <w:rPr>
          <w:lang w:val="es-ES"/>
        </w:rPr>
        <w:t>adopte</w:t>
      </w:r>
      <w:r w:rsidR="00181F91" w:rsidRPr="00F37CDA">
        <w:rPr>
          <w:lang w:val="es-ES"/>
        </w:rPr>
        <w:t xml:space="preserve"> las medidas sugeridas </w:t>
      </w:r>
      <w:r w:rsidR="00AD5D24" w:rsidRPr="00F37CDA">
        <w:rPr>
          <w:lang w:val="es-ES"/>
        </w:rPr>
        <w:t>par</w:t>
      </w:r>
      <w:r w:rsidR="00181F91" w:rsidRPr="00F37CDA">
        <w:rPr>
          <w:lang w:val="es-ES"/>
        </w:rPr>
        <w:t>a la traducción de la</w:t>
      </w:r>
      <w:r w:rsidR="006A0F3D" w:rsidRPr="00F37CDA">
        <w:rPr>
          <w:lang w:val="es-ES"/>
        </w:rPr>
        <w:t>s</w:t>
      </w:r>
      <w:r w:rsidR="00181F91" w:rsidRPr="00F37CDA">
        <w:rPr>
          <w:lang w:val="es-ES"/>
        </w:rPr>
        <w:t xml:space="preserve"> lista</w:t>
      </w:r>
      <w:r w:rsidR="006A0F3D" w:rsidRPr="00F37CDA">
        <w:rPr>
          <w:lang w:val="es-ES"/>
        </w:rPr>
        <w:t>s</w:t>
      </w:r>
      <w:r w:rsidR="00181F91" w:rsidRPr="00F37CDA">
        <w:rPr>
          <w:lang w:val="es-ES"/>
        </w:rPr>
        <w:t xml:space="preserve"> de productos y servicios </w:t>
      </w:r>
      <w:r w:rsidR="006A0F3D" w:rsidRPr="00F37CDA">
        <w:rPr>
          <w:lang w:val="es-ES"/>
        </w:rPr>
        <w:t xml:space="preserve">de </w:t>
      </w:r>
      <w:r w:rsidR="00181F91" w:rsidRPr="00F37CDA">
        <w:rPr>
          <w:lang w:val="es-ES"/>
        </w:rPr>
        <w:t xml:space="preserve">las declaraciones de </w:t>
      </w:r>
      <w:r w:rsidR="00F27847" w:rsidRPr="00F37CDA">
        <w:rPr>
          <w:lang w:val="es-ES"/>
        </w:rPr>
        <w:t>concesión</w:t>
      </w:r>
      <w:r w:rsidR="00181F91" w:rsidRPr="00F37CDA">
        <w:rPr>
          <w:lang w:val="es-ES"/>
        </w:rPr>
        <w:t xml:space="preserve"> de la protección enviadas en virtud de la Regla</w:t>
      </w:r>
      <w:r w:rsidRPr="00F37CDA">
        <w:rPr>
          <w:lang w:val="es-ES"/>
        </w:rPr>
        <w:t> 18</w:t>
      </w:r>
      <w:r w:rsidRPr="00F37CDA">
        <w:rPr>
          <w:i/>
          <w:lang w:val="es-ES"/>
        </w:rPr>
        <w:t>ter</w:t>
      </w:r>
      <w:r w:rsidR="00181F91" w:rsidRPr="00F37CDA">
        <w:rPr>
          <w:lang w:val="es-ES"/>
        </w:rPr>
        <w:t>.2)</w:t>
      </w:r>
      <w:r w:rsidRPr="00F37CDA">
        <w:rPr>
          <w:lang w:val="es-ES"/>
        </w:rPr>
        <w:t xml:space="preserve">ii) </w:t>
      </w:r>
      <w:r w:rsidR="00181F91" w:rsidRPr="00F37CDA">
        <w:rPr>
          <w:lang w:val="es-ES"/>
        </w:rPr>
        <w:t xml:space="preserve">del Reglamento Común y </w:t>
      </w:r>
      <w:r w:rsidR="006A0F3D" w:rsidRPr="00F37CDA">
        <w:rPr>
          <w:lang w:val="es-ES"/>
        </w:rPr>
        <w:t xml:space="preserve">de las </w:t>
      </w:r>
      <w:r w:rsidR="00181F91" w:rsidRPr="00F37CDA">
        <w:rPr>
          <w:lang w:val="es-ES"/>
        </w:rPr>
        <w:t>limi</w:t>
      </w:r>
      <w:r w:rsidR="00D12DDD">
        <w:rPr>
          <w:lang w:val="es-ES"/>
        </w:rPr>
        <w:t>taciones recibidas a partir del </w:t>
      </w:r>
      <w:r w:rsidR="00181F91" w:rsidRPr="00F37CDA">
        <w:rPr>
          <w:lang w:val="es-ES"/>
        </w:rPr>
        <w:t>1</w:t>
      </w:r>
      <w:r w:rsidR="00D12DDD">
        <w:rPr>
          <w:lang w:val="es-ES"/>
        </w:rPr>
        <w:t> </w:t>
      </w:r>
      <w:r w:rsidR="00181F91" w:rsidRPr="00F37CDA">
        <w:rPr>
          <w:lang w:val="es-ES"/>
        </w:rPr>
        <w:t xml:space="preserve">de abril de </w:t>
      </w:r>
      <w:r w:rsidRPr="00F37CDA">
        <w:rPr>
          <w:lang w:val="es-ES"/>
        </w:rPr>
        <w:t>2016.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  <w:r w:rsidRPr="00F37CDA">
        <w:rPr>
          <w:lang w:val="es-ES"/>
        </w:rPr>
        <w:fldChar w:fldCharType="begin"/>
      </w:r>
      <w:r w:rsidRPr="00F37CDA">
        <w:rPr>
          <w:lang w:val="es-ES"/>
        </w:rPr>
        <w:instrText xml:space="preserve"> AUTONUM  </w:instrText>
      </w:r>
      <w:r w:rsidRPr="00F37CDA">
        <w:rPr>
          <w:lang w:val="es-ES"/>
        </w:rPr>
        <w:fldChar w:fldCharType="end"/>
      </w:r>
      <w:r w:rsidRPr="00F37CDA">
        <w:rPr>
          <w:lang w:val="es-ES"/>
        </w:rPr>
        <w:tab/>
      </w:r>
      <w:r w:rsidR="00181F91" w:rsidRPr="00F37CDA">
        <w:rPr>
          <w:lang w:val="es-ES"/>
        </w:rPr>
        <w:t xml:space="preserve">Por último, </w:t>
      </w:r>
      <w:r w:rsidR="00F27847" w:rsidRPr="00F37CDA">
        <w:rPr>
          <w:lang w:val="es-ES"/>
        </w:rPr>
        <w:t>conforme</w:t>
      </w:r>
      <w:r w:rsidR="00181F91" w:rsidRPr="00F37CDA">
        <w:rPr>
          <w:lang w:val="es-ES"/>
        </w:rPr>
        <w:t xml:space="preserve"> a la</w:t>
      </w:r>
      <w:r w:rsidR="006A0F3D" w:rsidRPr="00F37CDA">
        <w:rPr>
          <w:lang w:val="es-ES"/>
        </w:rPr>
        <w:t>s</w:t>
      </w:r>
      <w:r w:rsidR="00181F91" w:rsidRPr="00F37CDA">
        <w:rPr>
          <w:lang w:val="es-ES"/>
        </w:rPr>
        <w:t xml:space="preserve"> práctica</w:t>
      </w:r>
      <w:r w:rsidR="006A0F3D" w:rsidRPr="00F37CDA">
        <w:rPr>
          <w:lang w:val="es-ES"/>
        </w:rPr>
        <w:t>s actuales</w:t>
      </w:r>
      <w:r w:rsidRPr="00F37CDA">
        <w:rPr>
          <w:lang w:val="es-ES"/>
        </w:rPr>
        <w:t xml:space="preserve">, </w:t>
      </w:r>
      <w:r w:rsidR="00181F91" w:rsidRPr="00F37CDA">
        <w:rPr>
          <w:lang w:val="es-ES"/>
        </w:rPr>
        <w:t xml:space="preserve">entre </w:t>
      </w:r>
      <w:r w:rsidRPr="00F37CDA">
        <w:rPr>
          <w:lang w:val="es-ES"/>
        </w:rPr>
        <w:t xml:space="preserve">2012 </w:t>
      </w:r>
      <w:r w:rsidR="00181F91" w:rsidRPr="00F37CDA">
        <w:rPr>
          <w:lang w:val="es-ES"/>
        </w:rPr>
        <w:t xml:space="preserve">y </w:t>
      </w:r>
      <w:r w:rsidRPr="00F37CDA">
        <w:rPr>
          <w:lang w:val="es-ES"/>
        </w:rPr>
        <w:t xml:space="preserve">2014 </w:t>
      </w:r>
      <w:r w:rsidR="00181F91" w:rsidRPr="00F37CDA">
        <w:rPr>
          <w:lang w:val="es-ES"/>
        </w:rPr>
        <w:t xml:space="preserve">la Oficina Internacional no </w:t>
      </w:r>
      <w:r w:rsidR="006A0F3D" w:rsidRPr="00F37CDA">
        <w:rPr>
          <w:lang w:val="es-ES"/>
        </w:rPr>
        <w:t xml:space="preserve">tuvo </w:t>
      </w:r>
      <w:r w:rsidR="00181F91" w:rsidRPr="00F37CDA">
        <w:rPr>
          <w:lang w:val="es-ES"/>
        </w:rPr>
        <w:t xml:space="preserve">que traducir </w:t>
      </w:r>
      <w:r w:rsidRPr="00F37CDA">
        <w:rPr>
          <w:lang w:val="es-ES"/>
        </w:rPr>
        <w:t>26 </w:t>
      </w:r>
      <w:r w:rsidR="00181F91" w:rsidRPr="00F37CDA">
        <w:rPr>
          <w:lang w:val="es-ES"/>
        </w:rPr>
        <w:t xml:space="preserve">millones de palabras incluidas en las listas de productos y servicios de </w:t>
      </w:r>
      <w:r w:rsidR="006A0F3D" w:rsidRPr="00F37CDA">
        <w:rPr>
          <w:lang w:val="es-ES"/>
        </w:rPr>
        <w:t xml:space="preserve">distintas </w:t>
      </w:r>
      <w:r w:rsidR="00181F91" w:rsidRPr="00F37CDA">
        <w:rPr>
          <w:lang w:val="es-ES"/>
        </w:rPr>
        <w:t>declaraciones de concesión de la protección enviadas en virtud de la Regla </w:t>
      </w:r>
      <w:r w:rsidRPr="00F37CDA">
        <w:rPr>
          <w:lang w:val="es-ES"/>
        </w:rPr>
        <w:t>18</w:t>
      </w:r>
      <w:r w:rsidRPr="00F37CDA">
        <w:rPr>
          <w:i/>
          <w:lang w:val="es-ES"/>
        </w:rPr>
        <w:t>ter</w:t>
      </w:r>
      <w:r w:rsidR="00181F91" w:rsidRPr="00F37CDA">
        <w:rPr>
          <w:lang w:val="es-ES"/>
        </w:rPr>
        <w:t>.2</w:t>
      </w:r>
      <w:proofErr w:type="gramStart"/>
      <w:r w:rsidR="00181F91" w:rsidRPr="00F37CDA">
        <w:rPr>
          <w:lang w:val="es-ES"/>
        </w:rPr>
        <w:t>)</w:t>
      </w:r>
      <w:r w:rsidRPr="00F37CDA">
        <w:rPr>
          <w:lang w:val="es-ES"/>
        </w:rPr>
        <w:t>ii</w:t>
      </w:r>
      <w:proofErr w:type="gramEnd"/>
      <w:r w:rsidRPr="00F37CDA">
        <w:rPr>
          <w:lang w:val="es-ES"/>
        </w:rPr>
        <w:t xml:space="preserve">) </w:t>
      </w:r>
      <w:r w:rsidR="00181F91" w:rsidRPr="00F37CDA">
        <w:rPr>
          <w:lang w:val="es-ES"/>
        </w:rPr>
        <w:t xml:space="preserve">del Reglamento Común ni 3 millones de palabras contenidas en las listas de productos y servicios de </w:t>
      </w:r>
      <w:r w:rsidR="006A0F3D" w:rsidRPr="00F37CDA">
        <w:rPr>
          <w:lang w:val="es-ES"/>
        </w:rPr>
        <w:t xml:space="preserve">diferentes </w:t>
      </w:r>
      <w:r w:rsidR="00181F91" w:rsidRPr="00F37CDA">
        <w:rPr>
          <w:lang w:val="es-ES"/>
        </w:rPr>
        <w:t>limitaciones</w:t>
      </w:r>
      <w:r w:rsidRPr="00F37CDA">
        <w:rPr>
          <w:lang w:val="es-ES"/>
        </w:rPr>
        <w:t xml:space="preserve">.  </w:t>
      </w:r>
      <w:r w:rsidR="00181F91" w:rsidRPr="00F37CDA">
        <w:rPr>
          <w:lang w:val="es-ES"/>
        </w:rPr>
        <w:t>Convendría adoptar una medida especial</w:t>
      </w:r>
      <w:r w:rsidRPr="00F37CDA">
        <w:rPr>
          <w:lang w:val="es-ES"/>
        </w:rPr>
        <w:t xml:space="preserve">, </w:t>
      </w:r>
      <w:r w:rsidR="00181F91" w:rsidRPr="00F37CDA">
        <w:rPr>
          <w:lang w:val="es-ES"/>
        </w:rPr>
        <w:t>similar a la descrita en los párrafos</w:t>
      </w:r>
      <w:r w:rsidRPr="00F37CDA">
        <w:rPr>
          <w:lang w:val="es-ES"/>
        </w:rPr>
        <w:t xml:space="preserve"> 26 </w:t>
      </w:r>
      <w:r w:rsidR="00181F91" w:rsidRPr="00F37CDA">
        <w:rPr>
          <w:lang w:val="es-ES"/>
        </w:rPr>
        <w:t>a</w:t>
      </w:r>
      <w:r w:rsidRPr="00F37CDA">
        <w:rPr>
          <w:lang w:val="es-ES"/>
        </w:rPr>
        <w:t xml:space="preserve"> 28 </w:t>
      </w:r>
      <w:r w:rsidR="00181F91" w:rsidRPr="00F37CDA">
        <w:rPr>
          <w:i/>
          <w:lang w:val="es-ES"/>
        </w:rPr>
        <w:t>supra</w:t>
      </w:r>
      <w:r w:rsidRPr="00F37CDA">
        <w:rPr>
          <w:lang w:val="es-ES"/>
        </w:rPr>
        <w:t xml:space="preserve">, </w:t>
      </w:r>
      <w:r w:rsidR="00181F91" w:rsidRPr="00F37CDA">
        <w:rPr>
          <w:lang w:val="es-ES"/>
        </w:rPr>
        <w:t>para estos documentos recibidos antes del 1 de</w:t>
      </w:r>
      <w:r w:rsidR="00453322">
        <w:rPr>
          <w:lang w:val="es-ES"/>
        </w:rPr>
        <w:t> </w:t>
      </w:r>
      <w:r w:rsidR="00181F91" w:rsidRPr="00F37CDA">
        <w:rPr>
          <w:lang w:val="es-ES"/>
        </w:rPr>
        <w:t>abril</w:t>
      </w:r>
      <w:r w:rsidR="00453322">
        <w:rPr>
          <w:lang w:val="es-ES"/>
        </w:rPr>
        <w:t> </w:t>
      </w:r>
      <w:bookmarkStart w:id="5" w:name="_GoBack"/>
      <w:bookmarkEnd w:id="5"/>
      <w:r w:rsidR="00181F91" w:rsidRPr="00F37CDA">
        <w:rPr>
          <w:lang w:val="es-ES"/>
        </w:rPr>
        <w:t>de 2016</w:t>
      </w:r>
      <w:r w:rsidR="00D12DDD">
        <w:rPr>
          <w:lang w:val="es-ES"/>
        </w:rPr>
        <w:t>.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52696B" w:rsidP="00F37CDA">
      <w:pPr>
        <w:widowControl w:val="0"/>
        <w:ind w:left="5533"/>
        <w:rPr>
          <w:i/>
          <w:lang w:val="es-ES"/>
        </w:rPr>
      </w:pPr>
      <w:r w:rsidRPr="00F37CDA">
        <w:rPr>
          <w:i/>
          <w:lang w:val="es-ES"/>
        </w:rPr>
        <w:t>38</w:t>
      </w:r>
      <w:r w:rsidR="006B1677" w:rsidRPr="00F37CDA">
        <w:rPr>
          <w:i/>
          <w:lang w:val="es-ES"/>
        </w:rPr>
        <w:t>.</w:t>
      </w:r>
      <w:r w:rsidR="00A4218B" w:rsidRPr="00F37CDA">
        <w:rPr>
          <w:i/>
          <w:lang w:val="es-ES"/>
        </w:rPr>
        <w:tab/>
      </w:r>
      <w:r w:rsidR="00B910FC" w:rsidRPr="00F37CDA">
        <w:rPr>
          <w:i/>
          <w:lang w:val="es-ES"/>
        </w:rPr>
        <w:t>Se invita al Grupo de Trabajo a</w:t>
      </w:r>
      <w:r w:rsidR="00A4218B" w:rsidRPr="00F37CDA">
        <w:rPr>
          <w:i/>
          <w:lang w:val="es-ES"/>
        </w:rPr>
        <w:t xml:space="preserve">:  </w:t>
      </w:r>
    </w:p>
    <w:p w:rsidR="00A4218B" w:rsidRPr="00F37CDA" w:rsidRDefault="00A4218B" w:rsidP="00F37CDA">
      <w:pPr>
        <w:widowControl w:val="0"/>
        <w:ind w:left="5533"/>
        <w:rPr>
          <w:i/>
          <w:lang w:val="es-ES"/>
        </w:rPr>
      </w:pPr>
    </w:p>
    <w:p w:rsidR="00A4218B" w:rsidRPr="00F37CDA" w:rsidRDefault="000C1063" w:rsidP="000C1063">
      <w:pPr>
        <w:widowControl w:val="0"/>
        <w:tabs>
          <w:tab w:val="left" w:pos="6237"/>
        </w:tabs>
        <w:ind w:left="5533"/>
        <w:rPr>
          <w:i/>
          <w:lang w:val="es-ES"/>
        </w:rPr>
      </w:pPr>
      <w:r>
        <w:rPr>
          <w:i/>
          <w:lang w:val="es-ES"/>
        </w:rPr>
        <w:tab/>
      </w:r>
      <w:r w:rsidR="00A4218B" w:rsidRPr="00F37CDA">
        <w:rPr>
          <w:i/>
          <w:lang w:val="es-ES"/>
        </w:rPr>
        <w:t>i)</w:t>
      </w:r>
      <w:r w:rsidR="00A4218B" w:rsidRPr="00F37CDA">
        <w:rPr>
          <w:i/>
          <w:lang w:val="es-ES"/>
        </w:rPr>
        <w:tab/>
      </w:r>
      <w:r w:rsidR="00181F91" w:rsidRPr="00F37CDA">
        <w:rPr>
          <w:i/>
          <w:lang w:val="es-ES"/>
        </w:rPr>
        <w:t>examinar la información contenida en el presente documento</w:t>
      </w:r>
      <w:r w:rsidR="00A4218B" w:rsidRPr="00F37CDA">
        <w:rPr>
          <w:i/>
          <w:lang w:val="es-ES"/>
        </w:rPr>
        <w:t xml:space="preserve">;  </w:t>
      </w:r>
      <w:r w:rsidR="00181F91" w:rsidRPr="00F37CDA">
        <w:rPr>
          <w:i/>
          <w:lang w:val="es-ES"/>
        </w:rPr>
        <w:t>y</w:t>
      </w:r>
    </w:p>
    <w:p w:rsidR="00A4218B" w:rsidRPr="00F37CDA" w:rsidRDefault="00A4218B" w:rsidP="00F37CDA">
      <w:pPr>
        <w:widowControl w:val="0"/>
        <w:ind w:left="5533"/>
        <w:rPr>
          <w:i/>
          <w:lang w:val="es-ES"/>
        </w:rPr>
      </w:pPr>
    </w:p>
    <w:p w:rsidR="00A4218B" w:rsidRPr="00F37CDA" w:rsidRDefault="000C1063" w:rsidP="000C1063">
      <w:pPr>
        <w:widowControl w:val="0"/>
        <w:tabs>
          <w:tab w:val="left" w:pos="6237"/>
        </w:tabs>
        <w:ind w:left="5533"/>
        <w:rPr>
          <w:i/>
          <w:lang w:val="es-ES"/>
        </w:rPr>
      </w:pPr>
      <w:r>
        <w:rPr>
          <w:i/>
          <w:lang w:val="es-ES"/>
        </w:rPr>
        <w:tab/>
      </w:r>
      <w:r w:rsidR="00A4218B" w:rsidRPr="00F37CDA">
        <w:rPr>
          <w:i/>
          <w:lang w:val="es-ES"/>
        </w:rPr>
        <w:t>ii)</w:t>
      </w:r>
      <w:r w:rsidR="00A4218B" w:rsidRPr="00F37CDA">
        <w:rPr>
          <w:i/>
          <w:lang w:val="es-ES"/>
        </w:rPr>
        <w:tab/>
      </w:r>
      <w:r w:rsidR="00181F91" w:rsidRPr="00F37CDA">
        <w:rPr>
          <w:i/>
          <w:lang w:val="es-ES"/>
        </w:rPr>
        <w:t>indicar si está de acuerdo con las medidas propuestas que figuran en los párrafos</w:t>
      </w:r>
      <w:r w:rsidR="00A4218B" w:rsidRPr="00F37CDA">
        <w:rPr>
          <w:i/>
          <w:lang w:val="es-ES"/>
        </w:rPr>
        <w:t xml:space="preserve"> 33 </w:t>
      </w:r>
      <w:r w:rsidR="00181F91" w:rsidRPr="00F37CDA">
        <w:rPr>
          <w:i/>
          <w:lang w:val="es-ES"/>
        </w:rPr>
        <w:t>a</w:t>
      </w:r>
      <w:r w:rsidR="00A4218B" w:rsidRPr="00F37CDA">
        <w:rPr>
          <w:i/>
          <w:lang w:val="es-ES"/>
        </w:rPr>
        <w:t xml:space="preserve"> 37.  </w:t>
      </w: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</w:p>
    <w:p w:rsidR="00A4218B" w:rsidRPr="00F37CDA" w:rsidRDefault="00A4218B" w:rsidP="00F37CDA">
      <w:pPr>
        <w:widowControl w:val="0"/>
        <w:rPr>
          <w:lang w:val="es-ES"/>
        </w:rPr>
      </w:pPr>
    </w:p>
    <w:p w:rsidR="00637B19" w:rsidRPr="00F37CDA" w:rsidRDefault="00A4218B" w:rsidP="00F37CDA">
      <w:pPr>
        <w:pStyle w:val="Endofdocument-Annex"/>
        <w:widowControl w:val="0"/>
        <w:rPr>
          <w:lang w:val="es-ES"/>
        </w:rPr>
      </w:pPr>
      <w:r w:rsidRPr="00F37CDA">
        <w:rPr>
          <w:lang w:val="es-ES"/>
        </w:rPr>
        <w:t>[</w:t>
      </w:r>
      <w:r w:rsidR="00C262F5" w:rsidRPr="00F37CDA">
        <w:rPr>
          <w:lang w:val="es-ES"/>
        </w:rPr>
        <w:t>Fin del documento</w:t>
      </w:r>
      <w:r w:rsidRPr="00F37CDA">
        <w:rPr>
          <w:lang w:val="es-ES"/>
        </w:rPr>
        <w:t>]</w:t>
      </w:r>
    </w:p>
    <w:sectPr w:rsidR="00637B19" w:rsidRPr="00F37CDA" w:rsidSect="00F26D5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0A" w:rsidRDefault="00C46B0A">
      <w:r>
        <w:separator/>
      </w:r>
    </w:p>
  </w:endnote>
  <w:endnote w:type="continuationSeparator" w:id="0">
    <w:p w:rsidR="00C46B0A" w:rsidRDefault="00C46B0A" w:rsidP="00A326CA">
      <w:r>
        <w:separator/>
      </w:r>
    </w:p>
    <w:p w:rsidR="00C46B0A" w:rsidRPr="0078064A" w:rsidRDefault="00C46B0A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46B0A" w:rsidRPr="0078064A" w:rsidRDefault="00C46B0A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0A" w:rsidRDefault="00C46B0A">
      <w:r>
        <w:separator/>
      </w:r>
    </w:p>
  </w:footnote>
  <w:footnote w:type="continuationSeparator" w:id="0">
    <w:p w:rsidR="00C46B0A" w:rsidRDefault="00C46B0A" w:rsidP="00A326CA">
      <w:r>
        <w:separator/>
      </w:r>
    </w:p>
    <w:p w:rsidR="00C46B0A" w:rsidRPr="0078064A" w:rsidRDefault="00C46B0A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46B0A" w:rsidRPr="0078064A" w:rsidRDefault="00C46B0A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  <w:footnote w:id="2">
    <w:p w:rsidR="00C46B0A" w:rsidRPr="00F26597" w:rsidRDefault="00C46B0A" w:rsidP="00A4218B">
      <w:pPr>
        <w:pStyle w:val="FootnoteText"/>
      </w:pPr>
      <w:r>
        <w:rPr>
          <w:rStyle w:val="FootnoteReference"/>
        </w:rPr>
        <w:footnoteRef/>
      </w:r>
      <w:r>
        <w:tab/>
        <w:t xml:space="preserve">Véase el documento MM/A/45/5, párrafos 21 a 24.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0A" w:rsidRPr="00637B19" w:rsidRDefault="00C46B0A" w:rsidP="00473D8E">
    <w:pPr>
      <w:jc w:val="right"/>
      <w:rPr>
        <w:lang w:val="es-ES"/>
      </w:rPr>
    </w:pPr>
    <w:r w:rsidRPr="00637B19">
      <w:rPr>
        <w:lang w:val="es-ES"/>
      </w:rPr>
      <w:t>M</w:t>
    </w:r>
    <w:r>
      <w:rPr>
        <w:lang w:val="es-ES"/>
      </w:rPr>
      <w:t>M/LD/WG/13/5</w:t>
    </w:r>
  </w:p>
  <w:p w:rsidR="00C46B0A" w:rsidRPr="00637B19" w:rsidRDefault="00C46B0A" w:rsidP="00473D8E">
    <w:pPr>
      <w:pStyle w:val="Header"/>
      <w:jc w:val="right"/>
      <w:rPr>
        <w:lang w:val="es-ES"/>
      </w:rPr>
    </w:pPr>
    <w:r w:rsidRPr="00637B19">
      <w:rPr>
        <w:lang w:val="es-ES"/>
      </w:rPr>
      <w:t xml:space="preserve">página </w:t>
    </w:r>
    <w:r>
      <w:fldChar w:fldCharType="begin"/>
    </w:r>
    <w:r w:rsidRPr="00637B19">
      <w:rPr>
        <w:lang w:val="es-ES"/>
      </w:rPr>
      <w:instrText xml:space="preserve"> PAGE   \* MERGEFORMAT </w:instrText>
    </w:r>
    <w:r>
      <w:fldChar w:fldCharType="separate"/>
    </w:r>
    <w:r w:rsidR="00453322">
      <w:rPr>
        <w:noProof/>
        <w:lang w:val="es-ES"/>
      </w:rPr>
      <w:t>8</w:t>
    </w:r>
    <w:r>
      <w:rPr>
        <w:noProof/>
      </w:rPr>
      <w:fldChar w:fldCharType="end"/>
    </w:r>
  </w:p>
  <w:p w:rsidR="00C46B0A" w:rsidRPr="00763DA9" w:rsidRDefault="00C46B0A" w:rsidP="00582A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02D34"/>
    <w:rsid w:val="000157C1"/>
    <w:rsid w:val="0001740E"/>
    <w:rsid w:val="00034259"/>
    <w:rsid w:val="00035CAA"/>
    <w:rsid w:val="000604BB"/>
    <w:rsid w:val="00063294"/>
    <w:rsid w:val="00065A2B"/>
    <w:rsid w:val="00071F3B"/>
    <w:rsid w:val="0007619A"/>
    <w:rsid w:val="000779D9"/>
    <w:rsid w:val="000853C6"/>
    <w:rsid w:val="00086610"/>
    <w:rsid w:val="00093CF1"/>
    <w:rsid w:val="000A5E07"/>
    <w:rsid w:val="000B5DEE"/>
    <w:rsid w:val="000C0861"/>
    <w:rsid w:val="000C1063"/>
    <w:rsid w:val="000E00D5"/>
    <w:rsid w:val="000E111C"/>
    <w:rsid w:val="000F4C01"/>
    <w:rsid w:val="000F5E56"/>
    <w:rsid w:val="001055A9"/>
    <w:rsid w:val="001139BB"/>
    <w:rsid w:val="00115924"/>
    <w:rsid w:val="001252D0"/>
    <w:rsid w:val="00143A5A"/>
    <w:rsid w:val="00153F8F"/>
    <w:rsid w:val="00161089"/>
    <w:rsid w:val="00162AAB"/>
    <w:rsid w:val="00171501"/>
    <w:rsid w:val="001724E4"/>
    <w:rsid w:val="00175D7F"/>
    <w:rsid w:val="00181F91"/>
    <w:rsid w:val="00182665"/>
    <w:rsid w:val="001A126D"/>
    <w:rsid w:val="001A510C"/>
    <w:rsid w:val="001B013D"/>
    <w:rsid w:val="001B5728"/>
    <w:rsid w:val="001B7714"/>
    <w:rsid w:val="001D050B"/>
    <w:rsid w:val="001E6C90"/>
    <w:rsid w:val="001F4B99"/>
    <w:rsid w:val="001F6716"/>
    <w:rsid w:val="001F6C4E"/>
    <w:rsid w:val="0020074E"/>
    <w:rsid w:val="00203272"/>
    <w:rsid w:val="00205FDA"/>
    <w:rsid w:val="00206417"/>
    <w:rsid w:val="00213215"/>
    <w:rsid w:val="002179C3"/>
    <w:rsid w:val="002375C5"/>
    <w:rsid w:val="002378E6"/>
    <w:rsid w:val="00250D1E"/>
    <w:rsid w:val="00263A71"/>
    <w:rsid w:val="00265FDD"/>
    <w:rsid w:val="00271747"/>
    <w:rsid w:val="00272C4B"/>
    <w:rsid w:val="002774F4"/>
    <w:rsid w:val="002825E0"/>
    <w:rsid w:val="002839A6"/>
    <w:rsid w:val="00284C09"/>
    <w:rsid w:val="0029293A"/>
    <w:rsid w:val="002C31DD"/>
    <w:rsid w:val="002D19D5"/>
    <w:rsid w:val="002D7482"/>
    <w:rsid w:val="002E3D72"/>
    <w:rsid w:val="002E44D1"/>
    <w:rsid w:val="002E693B"/>
    <w:rsid w:val="002E6B1D"/>
    <w:rsid w:val="003063F5"/>
    <w:rsid w:val="00310E4C"/>
    <w:rsid w:val="00314498"/>
    <w:rsid w:val="00336198"/>
    <w:rsid w:val="00336CB9"/>
    <w:rsid w:val="00351236"/>
    <w:rsid w:val="003522A9"/>
    <w:rsid w:val="00353E45"/>
    <w:rsid w:val="00354A76"/>
    <w:rsid w:val="00361F46"/>
    <w:rsid w:val="00370D7C"/>
    <w:rsid w:val="00376436"/>
    <w:rsid w:val="0037670C"/>
    <w:rsid w:val="00384B19"/>
    <w:rsid w:val="003931B6"/>
    <w:rsid w:val="003A49F5"/>
    <w:rsid w:val="003B1D18"/>
    <w:rsid w:val="003B6398"/>
    <w:rsid w:val="003B6CDA"/>
    <w:rsid w:val="003C4C41"/>
    <w:rsid w:val="003C5A19"/>
    <w:rsid w:val="003C635C"/>
    <w:rsid w:val="003C6ACD"/>
    <w:rsid w:val="003E64CA"/>
    <w:rsid w:val="003F0E2F"/>
    <w:rsid w:val="003F1195"/>
    <w:rsid w:val="003F5186"/>
    <w:rsid w:val="00400A48"/>
    <w:rsid w:val="0040359E"/>
    <w:rsid w:val="00404BCA"/>
    <w:rsid w:val="00404F2A"/>
    <w:rsid w:val="0043611F"/>
    <w:rsid w:val="004361AA"/>
    <w:rsid w:val="00441C1E"/>
    <w:rsid w:val="00453322"/>
    <w:rsid w:val="00455D34"/>
    <w:rsid w:val="00461979"/>
    <w:rsid w:val="00462821"/>
    <w:rsid w:val="00467A87"/>
    <w:rsid w:val="00473D8E"/>
    <w:rsid w:val="00477732"/>
    <w:rsid w:val="0048479C"/>
    <w:rsid w:val="004851A7"/>
    <w:rsid w:val="004965FE"/>
    <w:rsid w:val="004C242B"/>
    <w:rsid w:val="004C3B69"/>
    <w:rsid w:val="004C3C52"/>
    <w:rsid w:val="004D14E8"/>
    <w:rsid w:val="004D18A2"/>
    <w:rsid w:val="004D46B1"/>
    <w:rsid w:val="004E2881"/>
    <w:rsid w:val="0050662A"/>
    <w:rsid w:val="005166C4"/>
    <w:rsid w:val="00517960"/>
    <w:rsid w:val="00524649"/>
    <w:rsid w:val="0052696B"/>
    <w:rsid w:val="00536380"/>
    <w:rsid w:val="00544DCC"/>
    <w:rsid w:val="00544E65"/>
    <w:rsid w:val="0056739E"/>
    <w:rsid w:val="00570DA1"/>
    <w:rsid w:val="00582AD5"/>
    <w:rsid w:val="00592179"/>
    <w:rsid w:val="005921C4"/>
    <w:rsid w:val="005A38C9"/>
    <w:rsid w:val="005B090C"/>
    <w:rsid w:val="005B29DB"/>
    <w:rsid w:val="005B7806"/>
    <w:rsid w:val="005C12B8"/>
    <w:rsid w:val="005C5796"/>
    <w:rsid w:val="005C6BE1"/>
    <w:rsid w:val="005D0F2F"/>
    <w:rsid w:val="005E7366"/>
    <w:rsid w:val="00610C00"/>
    <w:rsid w:val="00610E9B"/>
    <w:rsid w:val="00620B43"/>
    <w:rsid w:val="006226D5"/>
    <w:rsid w:val="006340AC"/>
    <w:rsid w:val="006345D6"/>
    <w:rsid w:val="00637B19"/>
    <w:rsid w:val="00641E54"/>
    <w:rsid w:val="00641EB3"/>
    <w:rsid w:val="00645583"/>
    <w:rsid w:val="00645D07"/>
    <w:rsid w:val="00647BF9"/>
    <w:rsid w:val="00662936"/>
    <w:rsid w:val="00671E17"/>
    <w:rsid w:val="00675D12"/>
    <w:rsid w:val="00676DF3"/>
    <w:rsid w:val="0067722D"/>
    <w:rsid w:val="00677C4C"/>
    <w:rsid w:val="00681119"/>
    <w:rsid w:val="006829C8"/>
    <w:rsid w:val="00684892"/>
    <w:rsid w:val="00687600"/>
    <w:rsid w:val="006A008E"/>
    <w:rsid w:val="006A0F3D"/>
    <w:rsid w:val="006A5621"/>
    <w:rsid w:val="006B1677"/>
    <w:rsid w:val="006C4801"/>
    <w:rsid w:val="006C71F6"/>
    <w:rsid w:val="006D19A6"/>
    <w:rsid w:val="006D1AED"/>
    <w:rsid w:val="006D408A"/>
    <w:rsid w:val="006D67D8"/>
    <w:rsid w:val="006E0231"/>
    <w:rsid w:val="006E19E2"/>
    <w:rsid w:val="006E5189"/>
    <w:rsid w:val="006F7EA8"/>
    <w:rsid w:val="007031DC"/>
    <w:rsid w:val="00703329"/>
    <w:rsid w:val="00704CAA"/>
    <w:rsid w:val="00706F84"/>
    <w:rsid w:val="00707500"/>
    <w:rsid w:val="00712783"/>
    <w:rsid w:val="00713ADE"/>
    <w:rsid w:val="00724661"/>
    <w:rsid w:val="00730D57"/>
    <w:rsid w:val="0074082E"/>
    <w:rsid w:val="00752BD0"/>
    <w:rsid w:val="007544CA"/>
    <w:rsid w:val="00757800"/>
    <w:rsid w:val="00763DA9"/>
    <w:rsid w:val="0076693F"/>
    <w:rsid w:val="0078064A"/>
    <w:rsid w:val="0078767F"/>
    <w:rsid w:val="00787D08"/>
    <w:rsid w:val="00791207"/>
    <w:rsid w:val="007A688D"/>
    <w:rsid w:val="007A753D"/>
    <w:rsid w:val="007B39D9"/>
    <w:rsid w:val="007B5CAC"/>
    <w:rsid w:val="007C0489"/>
    <w:rsid w:val="007E1941"/>
    <w:rsid w:val="007E727D"/>
    <w:rsid w:val="007F0734"/>
    <w:rsid w:val="007F0D69"/>
    <w:rsid w:val="007F217D"/>
    <w:rsid w:val="008029E8"/>
    <w:rsid w:val="00815E7A"/>
    <w:rsid w:val="00822918"/>
    <w:rsid w:val="00823E89"/>
    <w:rsid w:val="00824D8B"/>
    <w:rsid w:val="00835153"/>
    <w:rsid w:val="008430EA"/>
    <w:rsid w:val="0084354F"/>
    <w:rsid w:val="0085436D"/>
    <w:rsid w:val="00856389"/>
    <w:rsid w:val="00867EBF"/>
    <w:rsid w:val="00875569"/>
    <w:rsid w:val="0087722B"/>
    <w:rsid w:val="008A74E4"/>
    <w:rsid w:val="008B0447"/>
    <w:rsid w:val="008B6120"/>
    <w:rsid w:val="008C7D32"/>
    <w:rsid w:val="008D1135"/>
    <w:rsid w:val="008D1931"/>
    <w:rsid w:val="008D1BB2"/>
    <w:rsid w:val="008D59A1"/>
    <w:rsid w:val="008D61B2"/>
    <w:rsid w:val="008E3A5E"/>
    <w:rsid w:val="008F03CA"/>
    <w:rsid w:val="009044E8"/>
    <w:rsid w:val="009057EF"/>
    <w:rsid w:val="00915BDD"/>
    <w:rsid w:val="0092080B"/>
    <w:rsid w:val="00930075"/>
    <w:rsid w:val="009320B5"/>
    <w:rsid w:val="00933D0B"/>
    <w:rsid w:val="00942B38"/>
    <w:rsid w:val="009552D7"/>
    <w:rsid w:val="009620E2"/>
    <w:rsid w:val="00963CF5"/>
    <w:rsid w:val="009727A6"/>
    <w:rsid w:val="00987813"/>
    <w:rsid w:val="009A59B4"/>
    <w:rsid w:val="009B4CAB"/>
    <w:rsid w:val="009C2D02"/>
    <w:rsid w:val="009D3B8B"/>
    <w:rsid w:val="009D4D50"/>
    <w:rsid w:val="009E6B3E"/>
    <w:rsid w:val="009F1FB4"/>
    <w:rsid w:val="00A05021"/>
    <w:rsid w:val="00A128A2"/>
    <w:rsid w:val="00A14249"/>
    <w:rsid w:val="00A149E8"/>
    <w:rsid w:val="00A20A3C"/>
    <w:rsid w:val="00A20B76"/>
    <w:rsid w:val="00A31568"/>
    <w:rsid w:val="00A326CA"/>
    <w:rsid w:val="00A374A1"/>
    <w:rsid w:val="00A4218B"/>
    <w:rsid w:val="00A421D4"/>
    <w:rsid w:val="00A42B64"/>
    <w:rsid w:val="00A446B1"/>
    <w:rsid w:val="00A625DE"/>
    <w:rsid w:val="00A73F59"/>
    <w:rsid w:val="00A82387"/>
    <w:rsid w:val="00A849BC"/>
    <w:rsid w:val="00A87782"/>
    <w:rsid w:val="00A937A0"/>
    <w:rsid w:val="00A953E1"/>
    <w:rsid w:val="00AB0BF6"/>
    <w:rsid w:val="00AC1B3F"/>
    <w:rsid w:val="00AC7C47"/>
    <w:rsid w:val="00AD357C"/>
    <w:rsid w:val="00AD5D24"/>
    <w:rsid w:val="00AE3AD8"/>
    <w:rsid w:val="00AE7135"/>
    <w:rsid w:val="00AE7BBF"/>
    <w:rsid w:val="00AF53CC"/>
    <w:rsid w:val="00AF6EFB"/>
    <w:rsid w:val="00AF77D8"/>
    <w:rsid w:val="00B053E3"/>
    <w:rsid w:val="00B066BE"/>
    <w:rsid w:val="00B06B9D"/>
    <w:rsid w:val="00B1179E"/>
    <w:rsid w:val="00B12835"/>
    <w:rsid w:val="00B274FD"/>
    <w:rsid w:val="00B544AA"/>
    <w:rsid w:val="00B7400B"/>
    <w:rsid w:val="00B86C8E"/>
    <w:rsid w:val="00B910FC"/>
    <w:rsid w:val="00B918A2"/>
    <w:rsid w:val="00BC6236"/>
    <w:rsid w:val="00BD6F85"/>
    <w:rsid w:val="00BE1373"/>
    <w:rsid w:val="00BE3F19"/>
    <w:rsid w:val="00BE5C92"/>
    <w:rsid w:val="00BF09C9"/>
    <w:rsid w:val="00BF58A8"/>
    <w:rsid w:val="00BF7080"/>
    <w:rsid w:val="00C03950"/>
    <w:rsid w:val="00C05228"/>
    <w:rsid w:val="00C228F0"/>
    <w:rsid w:val="00C262F5"/>
    <w:rsid w:val="00C31614"/>
    <w:rsid w:val="00C33D1A"/>
    <w:rsid w:val="00C34D91"/>
    <w:rsid w:val="00C37A61"/>
    <w:rsid w:val="00C46B0A"/>
    <w:rsid w:val="00C52FB8"/>
    <w:rsid w:val="00C62940"/>
    <w:rsid w:val="00C6506E"/>
    <w:rsid w:val="00C65322"/>
    <w:rsid w:val="00C65811"/>
    <w:rsid w:val="00C71487"/>
    <w:rsid w:val="00C81256"/>
    <w:rsid w:val="00CA1A97"/>
    <w:rsid w:val="00CB05B3"/>
    <w:rsid w:val="00CB1A20"/>
    <w:rsid w:val="00CD3120"/>
    <w:rsid w:val="00CD6E93"/>
    <w:rsid w:val="00CD6F48"/>
    <w:rsid w:val="00CD7860"/>
    <w:rsid w:val="00CD7A15"/>
    <w:rsid w:val="00D0543F"/>
    <w:rsid w:val="00D05E9C"/>
    <w:rsid w:val="00D065A4"/>
    <w:rsid w:val="00D12DDD"/>
    <w:rsid w:val="00D2050E"/>
    <w:rsid w:val="00D3367D"/>
    <w:rsid w:val="00D33F2E"/>
    <w:rsid w:val="00D40C48"/>
    <w:rsid w:val="00D42B44"/>
    <w:rsid w:val="00D51B11"/>
    <w:rsid w:val="00D54A90"/>
    <w:rsid w:val="00D66980"/>
    <w:rsid w:val="00D7035D"/>
    <w:rsid w:val="00D73975"/>
    <w:rsid w:val="00D74987"/>
    <w:rsid w:val="00D758C8"/>
    <w:rsid w:val="00DA19BB"/>
    <w:rsid w:val="00DA3B2C"/>
    <w:rsid w:val="00DA5A0F"/>
    <w:rsid w:val="00DB55D5"/>
    <w:rsid w:val="00DD3395"/>
    <w:rsid w:val="00DD5FE9"/>
    <w:rsid w:val="00DE5C3A"/>
    <w:rsid w:val="00DE6D56"/>
    <w:rsid w:val="00DF470F"/>
    <w:rsid w:val="00DF63BE"/>
    <w:rsid w:val="00E107C1"/>
    <w:rsid w:val="00E172D7"/>
    <w:rsid w:val="00E2044A"/>
    <w:rsid w:val="00E22D4B"/>
    <w:rsid w:val="00E35798"/>
    <w:rsid w:val="00E37C77"/>
    <w:rsid w:val="00E46994"/>
    <w:rsid w:val="00E46B01"/>
    <w:rsid w:val="00E4702C"/>
    <w:rsid w:val="00E47674"/>
    <w:rsid w:val="00E638AE"/>
    <w:rsid w:val="00E74ACC"/>
    <w:rsid w:val="00E759F8"/>
    <w:rsid w:val="00E829F8"/>
    <w:rsid w:val="00E95DEB"/>
    <w:rsid w:val="00E9651A"/>
    <w:rsid w:val="00E96DCB"/>
    <w:rsid w:val="00EA4A88"/>
    <w:rsid w:val="00EC774D"/>
    <w:rsid w:val="00ED0FEE"/>
    <w:rsid w:val="00ED1837"/>
    <w:rsid w:val="00ED29A3"/>
    <w:rsid w:val="00ED55BA"/>
    <w:rsid w:val="00EF4756"/>
    <w:rsid w:val="00EF4990"/>
    <w:rsid w:val="00EF5537"/>
    <w:rsid w:val="00EF6DD2"/>
    <w:rsid w:val="00F07E5C"/>
    <w:rsid w:val="00F135D1"/>
    <w:rsid w:val="00F14860"/>
    <w:rsid w:val="00F22C96"/>
    <w:rsid w:val="00F25A24"/>
    <w:rsid w:val="00F26D55"/>
    <w:rsid w:val="00F27847"/>
    <w:rsid w:val="00F32C9D"/>
    <w:rsid w:val="00F37CDA"/>
    <w:rsid w:val="00F410BC"/>
    <w:rsid w:val="00F43F0F"/>
    <w:rsid w:val="00F5171F"/>
    <w:rsid w:val="00F51DCB"/>
    <w:rsid w:val="00F5390A"/>
    <w:rsid w:val="00F57430"/>
    <w:rsid w:val="00F77421"/>
    <w:rsid w:val="00F8207D"/>
    <w:rsid w:val="00F94196"/>
    <w:rsid w:val="00FA39FE"/>
    <w:rsid w:val="00FB0C5D"/>
    <w:rsid w:val="00FD1E97"/>
    <w:rsid w:val="00FD736B"/>
    <w:rsid w:val="00FD76FE"/>
    <w:rsid w:val="00FE1D61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link w:val="HeaderChar"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115924"/>
    <w:pPr>
      <w:ind w:left="5534"/>
    </w:pPr>
    <w:rPr>
      <w:lang w:val="en-US"/>
    </w:rPr>
  </w:style>
  <w:style w:type="character" w:styleId="FootnoteReference">
    <w:name w:val="footnote reference"/>
    <w:basedOn w:val="DefaultParagraphFont"/>
    <w:rsid w:val="00B1179E"/>
    <w:rPr>
      <w:vertAlign w:val="superscript"/>
    </w:rPr>
  </w:style>
  <w:style w:type="paragraph" w:styleId="BalloonText">
    <w:name w:val="Balloon Text"/>
    <w:basedOn w:val="Normal"/>
    <w:link w:val="BalloonTextChar"/>
    <w:rsid w:val="008A7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4E4"/>
    <w:rPr>
      <w:rFonts w:ascii="Tahoma" w:eastAsia="SimSun" w:hAnsi="Tahoma" w:cs="Tahoma"/>
      <w:sz w:val="16"/>
      <w:szCs w:val="16"/>
      <w:lang w:val="es-ES_tradnl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73D8E"/>
    <w:rPr>
      <w:rFonts w:ascii="Arial" w:eastAsia="SimSun" w:hAnsi="Arial" w:cs="Arial"/>
      <w:sz w:val="22"/>
      <w:lang w:val="es-ES_tradnl" w:eastAsia="zh-CN"/>
    </w:rPr>
  </w:style>
  <w:style w:type="paragraph" w:styleId="Revision">
    <w:name w:val="Revision"/>
    <w:hidden/>
    <w:uiPriority w:val="99"/>
    <w:semiHidden/>
    <w:rsid w:val="002D7482"/>
    <w:rPr>
      <w:rFonts w:ascii="Arial" w:eastAsia="SimSun" w:hAnsi="Arial" w:cs="Arial"/>
      <w:sz w:val="22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link w:val="HeaderChar"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paragraph" w:customStyle="1" w:styleId="Endofdocument-Annex">
    <w:name w:val="[End of document - Annex]"/>
    <w:basedOn w:val="Normal"/>
    <w:rsid w:val="00115924"/>
    <w:pPr>
      <w:ind w:left="5534"/>
    </w:pPr>
    <w:rPr>
      <w:lang w:val="en-US"/>
    </w:rPr>
  </w:style>
  <w:style w:type="character" w:styleId="FootnoteReference">
    <w:name w:val="footnote reference"/>
    <w:basedOn w:val="DefaultParagraphFont"/>
    <w:rsid w:val="00B1179E"/>
    <w:rPr>
      <w:vertAlign w:val="superscript"/>
    </w:rPr>
  </w:style>
  <w:style w:type="paragraph" w:styleId="BalloonText">
    <w:name w:val="Balloon Text"/>
    <w:basedOn w:val="Normal"/>
    <w:link w:val="BalloonTextChar"/>
    <w:rsid w:val="008A7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4E4"/>
    <w:rPr>
      <w:rFonts w:ascii="Tahoma" w:eastAsia="SimSun" w:hAnsi="Tahoma" w:cs="Tahoma"/>
      <w:sz w:val="16"/>
      <w:szCs w:val="16"/>
      <w:lang w:val="es-ES_tradnl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73D8E"/>
    <w:rPr>
      <w:rFonts w:ascii="Arial" w:eastAsia="SimSun" w:hAnsi="Arial" w:cs="Arial"/>
      <w:sz w:val="22"/>
      <w:lang w:val="es-ES_tradnl" w:eastAsia="zh-CN"/>
    </w:rPr>
  </w:style>
  <w:style w:type="paragraph" w:styleId="Revision">
    <w:name w:val="Revision"/>
    <w:hidden/>
    <w:uiPriority w:val="99"/>
    <w:semiHidden/>
    <w:rsid w:val="002D7482"/>
    <w:rPr>
      <w:rFonts w:ascii="Arial" w:eastAsia="SimSun" w:hAnsi="Arial" w:cs="Arial"/>
      <w:sz w:val="22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F076-50A2-496F-996A-16D25336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3543</Words>
  <Characters>20034</Characters>
  <Application>Microsoft Office Word</Application>
  <DocSecurity>0</DocSecurity>
  <Lines>742</Lines>
  <Paragraphs>481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MM/LD/WG/13/5</dc:subject>
  <dc:creator>LOPEZ OLIVARES Dolores</dc:creator>
  <cp:lastModifiedBy>DIAZ Natacha</cp:lastModifiedBy>
  <cp:revision>7</cp:revision>
  <cp:lastPrinted>2015-07-21T12:50:00Z</cp:lastPrinted>
  <dcterms:created xsi:type="dcterms:W3CDTF">2015-08-18T15:52:00Z</dcterms:created>
  <dcterms:modified xsi:type="dcterms:W3CDTF">2015-08-19T11:56:00Z</dcterms:modified>
</cp:coreProperties>
</file>