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8E137E">
      <w:pPr>
        <w:spacing w:before="360" w:after="240"/>
        <w:jc w:val="right"/>
        <w:rPr>
          <w:b/>
          <w:sz w:val="32"/>
          <w:szCs w:val="40"/>
        </w:rPr>
      </w:pPr>
      <w:r>
        <w:rPr>
          <w:noProof/>
          <w:sz w:val="28"/>
          <w:szCs w:val="28"/>
          <w:lang w:eastAsia="en-US"/>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8B2CC1" w:rsidRPr="00F1085F" w:rsidRDefault="008E137E" w:rsidP="008E137E">
      <w:pPr>
        <w:pBdr>
          <w:top w:val="single" w:sz="4" w:space="16" w:color="auto"/>
        </w:pBdr>
        <w:jc w:val="right"/>
        <w:rPr>
          <w:rFonts w:ascii="Arial Black" w:hAnsi="Arial Black"/>
          <w:caps/>
          <w:sz w:val="15"/>
          <w:szCs w:val="15"/>
        </w:rPr>
      </w:pPr>
      <w:r>
        <w:rPr>
          <w:rFonts w:ascii="Arial Black" w:hAnsi="Arial Black"/>
          <w:caps/>
          <w:sz w:val="15"/>
          <w:szCs w:val="15"/>
        </w:rPr>
        <w:t>MM</w:t>
      </w:r>
      <w:r w:rsidR="00556656" w:rsidRPr="00F1085F">
        <w:rPr>
          <w:rFonts w:ascii="Arial Black" w:hAnsi="Arial Black"/>
          <w:caps/>
          <w:sz w:val="15"/>
          <w:szCs w:val="15"/>
        </w:rPr>
        <w:t>/</w:t>
      </w:r>
      <w:r>
        <w:rPr>
          <w:rFonts w:ascii="Arial Black" w:hAnsi="Arial Black"/>
          <w:caps/>
          <w:sz w:val="15"/>
          <w:szCs w:val="15"/>
        </w:rPr>
        <w:t>LD</w:t>
      </w:r>
      <w:r w:rsidR="00556656" w:rsidRPr="00F1085F">
        <w:rPr>
          <w:rFonts w:ascii="Arial Black" w:hAnsi="Arial Black"/>
          <w:caps/>
          <w:sz w:val="15"/>
          <w:szCs w:val="15"/>
        </w:rPr>
        <w:t>/</w:t>
      </w:r>
      <w:bookmarkStart w:id="0" w:name="Code"/>
      <w:r>
        <w:rPr>
          <w:rFonts w:ascii="Arial Black" w:hAnsi="Arial Black"/>
          <w:caps/>
          <w:sz w:val="15"/>
          <w:szCs w:val="15"/>
        </w:rPr>
        <w:t>WG/18/</w:t>
      </w:r>
      <w:r w:rsidR="00FB7145">
        <w:rPr>
          <w:rFonts w:ascii="Arial Black" w:hAnsi="Arial Black"/>
          <w:caps/>
          <w:sz w:val="15"/>
          <w:szCs w:val="15"/>
        </w:rPr>
        <w:t>8</w:t>
      </w:r>
    </w:p>
    <w:bookmarkEnd w:id="0"/>
    <w:p w:rsidR="008B2CC1" w:rsidRPr="000A3D97" w:rsidRDefault="00EB2F76" w:rsidP="008E137E">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7177FB">
        <w:rPr>
          <w:rFonts w:ascii="Arial Black" w:hAnsi="Arial Black"/>
          <w:caps/>
          <w:sz w:val="15"/>
          <w:szCs w:val="15"/>
        </w:rPr>
        <w:t xml:space="preserve"> French</w:t>
      </w:r>
      <w:bookmarkStart w:id="2" w:name="_GoBack"/>
      <w:bookmarkEnd w:id="2"/>
    </w:p>
    <w:bookmarkEnd w:id="1"/>
    <w:p w:rsidR="008B2CC1" w:rsidRPr="000A3D97" w:rsidRDefault="00EB2F76" w:rsidP="008E137E">
      <w:pPr>
        <w:spacing w:after="1200"/>
        <w:jc w:val="right"/>
        <w:rPr>
          <w:rFonts w:ascii="Arial Black" w:hAnsi="Arial Black"/>
          <w:caps/>
          <w:sz w:val="15"/>
          <w:szCs w:val="15"/>
        </w:rPr>
      </w:pPr>
      <w:r w:rsidRPr="000A3D97">
        <w:rPr>
          <w:rFonts w:ascii="Arial Black" w:hAnsi="Arial Black"/>
          <w:caps/>
          <w:sz w:val="15"/>
          <w:szCs w:val="15"/>
        </w:rPr>
        <w:t>DATE:</w:t>
      </w:r>
      <w:r w:rsidR="008E137E">
        <w:rPr>
          <w:rFonts w:ascii="Arial Black" w:hAnsi="Arial Black"/>
          <w:caps/>
          <w:sz w:val="15"/>
          <w:szCs w:val="15"/>
        </w:rPr>
        <w:t xml:space="preserve"> </w:t>
      </w:r>
      <w:r w:rsidRPr="000A3D97">
        <w:rPr>
          <w:rFonts w:ascii="Arial Black" w:hAnsi="Arial Black"/>
          <w:caps/>
          <w:sz w:val="15"/>
          <w:szCs w:val="15"/>
        </w:rPr>
        <w:t xml:space="preserve"> </w:t>
      </w:r>
      <w:bookmarkStart w:id="3" w:name="Date"/>
      <w:r w:rsidR="00177C78">
        <w:rPr>
          <w:rFonts w:ascii="Arial Black" w:hAnsi="Arial Black"/>
          <w:caps/>
          <w:sz w:val="15"/>
          <w:szCs w:val="15"/>
        </w:rPr>
        <w:t>August</w:t>
      </w:r>
      <w:r w:rsidR="00595792">
        <w:rPr>
          <w:rFonts w:ascii="Arial Black" w:hAnsi="Arial Black"/>
          <w:caps/>
          <w:sz w:val="15"/>
          <w:szCs w:val="15"/>
        </w:rPr>
        <w:t xml:space="preserve"> 13</w:t>
      </w:r>
      <w:r w:rsidR="008E137E">
        <w:rPr>
          <w:rFonts w:ascii="Arial Black" w:hAnsi="Arial Black"/>
          <w:caps/>
          <w:sz w:val="15"/>
          <w:szCs w:val="15"/>
        </w:rPr>
        <w:t>, 2020</w:t>
      </w:r>
    </w:p>
    <w:bookmarkEnd w:id="3"/>
    <w:p w:rsidR="008E137E" w:rsidRPr="008E137E" w:rsidRDefault="008E137E" w:rsidP="008E137E">
      <w:pPr>
        <w:spacing w:after="720"/>
        <w:outlineLvl w:val="1"/>
        <w:rPr>
          <w:b/>
          <w:bCs/>
          <w:kern w:val="32"/>
          <w:sz w:val="28"/>
          <w:szCs w:val="28"/>
        </w:rPr>
      </w:pPr>
      <w:r w:rsidRPr="008E137E">
        <w:rPr>
          <w:b/>
          <w:bCs/>
          <w:kern w:val="32"/>
          <w:sz w:val="28"/>
          <w:szCs w:val="28"/>
        </w:rPr>
        <w:t>Working Group on the Legal Development of the Madrid System for the International Registration of Marks</w:t>
      </w:r>
    </w:p>
    <w:p w:rsidR="00656457" w:rsidRDefault="008E137E" w:rsidP="00656457">
      <w:pPr>
        <w:outlineLvl w:val="0"/>
        <w:rPr>
          <w:b/>
          <w:sz w:val="24"/>
          <w:szCs w:val="24"/>
        </w:rPr>
      </w:pPr>
      <w:bookmarkStart w:id="4" w:name="TitleOfDoc"/>
      <w:r w:rsidRPr="008E137E">
        <w:rPr>
          <w:b/>
          <w:sz w:val="24"/>
          <w:szCs w:val="24"/>
        </w:rPr>
        <w:t>Eighteenth Session</w:t>
      </w:r>
    </w:p>
    <w:p w:rsidR="008E137E" w:rsidRPr="008E137E" w:rsidRDefault="008E137E" w:rsidP="008E137E">
      <w:pPr>
        <w:spacing w:after="360"/>
        <w:outlineLvl w:val="0"/>
        <w:rPr>
          <w:b/>
          <w:sz w:val="24"/>
          <w:szCs w:val="24"/>
        </w:rPr>
      </w:pPr>
      <w:r w:rsidRPr="008E137E">
        <w:rPr>
          <w:b/>
          <w:sz w:val="24"/>
          <w:szCs w:val="24"/>
        </w:rPr>
        <w:t xml:space="preserve">Geneva, </w:t>
      </w:r>
      <w:r w:rsidR="00177C78">
        <w:rPr>
          <w:b/>
          <w:sz w:val="24"/>
          <w:szCs w:val="24"/>
        </w:rPr>
        <w:t>October 12 to 16</w:t>
      </w:r>
      <w:r w:rsidRPr="008E137E">
        <w:rPr>
          <w:b/>
          <w:sz w:val="24"/>
          <w:szCs w:val="24"/>
        </w:rPr>
        <w:t>, 20</w:t>
      </w:r>
      <w:r w:rsidR="008379A3">
        <w:rPr>
          <w:b/>
          <w:sz w:val="24"/>
          <w:szCs w:val="24"/>
        </w:rPr>
        <w:t>20</w:t>
      </w:r>
    </w:p>
    <w:p w:rsidR="008B2CC1" w:rsidRPr="003845C1" w:rsidRDefault="00FB7145" w:rsidP="008E137E">
      <w:pPr>
        <w:spacing w:after="360"/>
        <w:outlineLvl w:val="0"/>
        <w:rPr>
          <w:caps/>
          <w:sz w:val="24"/>
        </w:rPr>
      </w:pPr>
      <w:r>
        <w:rPr>
          <w:caps/>
          <w:sz w:val="24"/>
        </w:rPr>
        <w:t>Proposal by The Delegation of Switzerland</w:t>
      </w:r>
    </w:p>
    <w:bookmarkEnd w:id="4"/>
    <w:p w:rsidR="00FB7145" w:rsidRDefault="00FB7145" w:rsidP="00FB7145">
      <w:pPr>
        <w:pStyle w:val="ONUME"/>
      </w:pPr>
      <w:r>
        <w:t>In a communication dated May 1, 2020, the International Bureau received a proposal from</w:t>
      </w:r>
      <w:r w:rsidR="00575EE7">
        <w:t> </w:t>
      </w:r>
      <w:r>
        <w:t>the Delegation of Switzerland concerning limitations provided for in the Madrid System for</w:t>
      </w:r>
      <w:r w:rsidR="00575EE7">
        <w:t> </w:t>
      </w:r>
      <w:r>
        <w:t>the International Registration of Marks, for considerat</w:t>
      </w:r>
      <w:r w:rsidR="00575EE7">
        <w:t>ion by the Working Group on the </w:t>
      </w:r>
      <w:r>
        <w:t>Legal</w:t>
      </w:r>
      <w:r w:rsidR="00575EE7">
        <w:t> </w:t>
      </w:r>
      <w:r>
        <w:t>Development of the Madrid System for the International Registration of Marks at its</w:t>
      </w:r>
      <w:r w:rsidR="00575EE7">
        <w:t> </w:t>
      </w:r>
      <w:r>
        <w:t xml:space="preserve">eighteenth session, which will be held in Geneva from October 12 to 16, 2020.  </w:t>
      </w:r>
    </w:p>
    <w:p w:rsidR="00FB7145" w:rsidRDefault="00FB7145" w:rsidP="00FB7145">
      <w:pPr>
        <w:pStyle w:val="ONUME"/>
      </w:pPr>
      <w:r>
        <w:t xml:space="preserve">The above-mentioned proposal is attached to this document as an Annex.  </w:t>
      </w:r>
    </w:p>
    <w:p w:rsidR="00FB7145" w:rsidRDefault="008E137E" w:rsidP="00C25709">
      <w:pPr>
        <w:pStyle w:val="Endofdocument-Annex"/>
        <w:spacing w:before="660"/>
        <w:sectPr w:rsidR="00FB7145" w:rsidSect="00542F78">
          <w:headerReference w:type="default" r:id="rId9"/>
          <w:footnotePr>
            <w:numFmt w:val="chicago"/>
          </w:footnotePr>
          <w:endnotePr>
            <w:numFmt w:val="decimal"/>
          </w:endnotePr>
          <w:pgSz w:w="11907" w:h="16840" w:code="9"/>
          <w:pgMar w:top="567" w:right="1134" w:bottom="1418" w:left="1418" w:header="510" w:footer="1021" w:gutter="0"/>
          <w:cols w:space="720"/>
          <w:titlePg/>
          <w:docGrid w:linePitch="299"/>
        </w:sectPr>
      </w:pPr>
      <w:r w:rsidRPr="00C25709">
        <w:t>[</w:t>
      </w:r>
      <w:r w:rsidR="00FB7145">
        <w:t>Annex follows</w:t>
      </w:r>
      <w:r w:rsidRPr="00C25709">
        <w:t>]</w:t>
      </w:r>
    </w:p>
    <w:p w:rsidR="00FB7145" w:rsidRDefault="00FB7145" w:rsidP="00AB1923">
      <w:pPr>
        <w:pStyle w:val="Style1"/>
        <w:rPr>
          <w:lang w:val="en-US"/>
        </w:rPr>
      </w:pPr>
      <w:r>
        <w:rPr>
          <w:lang w:val="en-US"/>
        </w:rPr>
        <w:lastRenderedPageBreak/>
        <w:t xml:space="preserve">Proposal by the Delegation </w:t>
      </w:r>
      <w:r w:rsidR="005F6952">
        <w:rPr>
          <w:lang w:val="en-US"/>
        </w:rPr>
        <w:t>of Switzerland:  limitations in</w:t>
      </w:r>
      <w:r w:rsidR="00575EE7">
        <w:rPr>
          <w:lang w:val="en-US"/>
        </w:rPr>
        <w:t> </w:t>
      </w:r>
      <w:r w:rsidR="005F6952">
        <w:rPr>
          <w:lang w:val="en-US"/>
        </w:rPr>
        <w:t>international applications</w:t>
      </w:r>
    </w:p>
    <w:p w:rsidR="00FB7145" w:rsidRDefault="00FB7145" w:rsidP="00FB7145">
      <w:pPr>
        <w:spacing w:before="240" w:after="240"/>
      </w:pPr>
      <w:r>
        <w:t>The last few sessions of the Working Group on the Legal Development of the Madrid System for</w:t>
      </w:r>
      <w:r w:rsidR="00575EE7">
        <w:t> </w:t>
      </w:r>
      <w:r>
        <w:t>the International Registration of Marks (Working Group) have been partially devoted to the question of which Office was responsible for examining limitations in th</w:t>
      </w:r>
      <w:r w:rsidR="00575EE7">
        <w:t>e I</w:t>
      </w:r>
      <w:r>
        <w:t xml:space="preserve">nternational </w:t>
      </w:r>
      <w:r w:rsidR="00575EE7">
        <w:t>R</w:t>
      </w:r>
      <w:r>
        <w:t xml:space="preserve">egister.  The discussions have shown that the issue lacked clarity and transparency and that some limitations recorded in the </w:t>
      </w:r>
      <w:r w:rsidR="00575EE7">
        <w:t>International R</w:t>
      </w:r>
      <w:r>
        <w:t>egister had never been examined by an Office, either before or after registration.</w:t>
      </w:r>
    </w:p>
    <w:p w:rsidR="00FB7145" w:rsidRDefault="00FB7145" w:rsidP="00FB7145">
      <w:pPr>
        <w:spacing w:after="240"/>
        <w:rPr>
          <w:b/>
          <w:u w:val="single"/>
        </w:rPr>
      </w:pPr>
      <w:r>
        <w:t>The situation is not satisfactory.  Discussions on this subject during the 17</w:t>
      </w:r>
      <w:r>
        <w:rPr>
          <w:vertAlign w:val="superscript"/>
        </w:rPr>
        <w:t>th</w:t>
      </w:r>
      <w:r>
        <w:t xml:space="preserve"> W</w:t>
      </w:r>
      <w:r w:rsidR="006A1575">
        <w:t>orking Group (based on document </w:t>
      </w:r>
      <w:r>
        <w:t>MM/LD</w:t>
      </w:r>
      <w:r w:rsidR="006A1575">
        <w:t>/</w:t>
      </w:r>
      <w:r>
        <w:t xml:space="preserve">WG/17/9) showed that it was difficult to address different types of limitations at the same time.  </w:t>
      </w:r>
      <w:r>
        <w:rPr>
          <w:b/>
        </w:rPr>
        <w:t>Furthermore, the Delegation of Switzerland, as proposed during the 17</w:t>
      </w:r>
      <w:r>
        <w:rPr>
          <w:b/>
          <w:vertAlign w:val="superscript"/>
        </w:rPr>
        <w:t>th</w:t>
      </w:r>
      <w:r>
        <w:rPr>
          <w:b/>
        </w:rPr>
        <w:t xml:space="preserve"> session of the Working Group, only addresses the issue of </w:t>
      </w:r>
      <w:r>
        <w:rPr>
          <w:b/>
          <w:u w:val="single"/>
        </w:rPr>
        <w:t>limitations embodied in international applications</w:t>
      </w:r>
      <w:r>
        <w:rPr>
          <w:b/>
        </w:rPr>
        <w:t xml:space="preserve"> (Rule 9 of the Common Regulations) in this document and would like the 18</w:t>
      </w:r>
      <w:r>
        <w:rPr>
          <w:b/>
          <w:vertAlign w:val="superscript"/>
        </w:rPr>
        <w:t>th</w:t>
      </w:r>
      <w:r>
        <w:rPr>
          <w:b/>
        </w:rPr>
        <w:t xml:space="preserve"> session of the Working Group in June</w:t>
      </w:r>
      <w:r>
        <w:rPr>
          <w:rStyle w:val="FootnoteReference"/>
          <w:b/>
        </w:rPr>
        <w:footnoteReference w:id="2"/>
      </w:r>
      <w:r>
        <w:rPr>
          <w:b/>
        </w:rPr>
        <w:t xml:space="preserve"> 2020 to recommend that several amendments to the Common Regulations be adopted in order to clarify the role of each of the Offices involved.</w:t>
      </w:r>
    </w:p>
    <w:p w:rsidR="00FB7145" w:rsidRDefault="00FB7145" w:rsidP="00FB7145">
      <w:r>
        <w:t>The issues related to other types of limitations and to cancellations may be processed subsequently.</w:t>
      </w:r>
    </w:p>
    <w:p w:rsidR="00FB7145" w:rsidRDefault="00FB7145" w:rsidP="00FB7145">
      <w:pPr>
        <w:pStyle w:val="Heading1"/>
      </w:pPr>
      <w:r>
        <w:t>Preamble</w:t>
      </w:r>
    </w:p>
    <w:p w:rsidR="00FB7145" w:rsidRDefault="00FB7145" w:rsidP="00FB7145">
      <w:pPr>
        <w:autoSpaceDE w:val="0"/>
        <w:autoSpaceDN w:val="0"/>
        <w:adjustRightInd w:val="0"/>
        <w:rPr>
          <w:rFonts w:eastAsia="Times New Roman"/>
          <w:color w:val="000000"/>
          <w:szCs w:val="22"/>
          <w:lang w:eastAsia="en-US"/>
        </w:rPr>
      </w:pPr>
      <w:r>
        <w:rPr>
          <w:rFonts w:eastAsia="Times New Roman"/>
          <w:color w:val="000000"/>
          <w:szCs w:val="22"/>
          <w:lang w:eastAsia="en-US"/>
        </w:rPr>
        <w:t>Switzerland is convinced that, as the Office through which all requests for limitations to the</w:t>
      </w:r>
      <w:r w:rsidR="006A1575">
        <w:rPr>
          <w:rFonts w:eastAsia="Times New Roman"/>
          <w:color w:val="000000"/>
          <w:szCs w:val="22"/>
          <w:lang w:eastAsia="en-US"/>
        </w:rPr>
        <w:t> </w:t>
      </w:r>
      <w:r>
        <w:rPr>
          <w:rFonts w:eastAsia="Times New Roman"/>
          <w:color w:val="000000"/>
          <w:szCs w:val="22"/>
          <w:lang w:eastAsia="en-US"/>
        </w:rPr>
        <w:t>International Register are submitted, since it is the custodian of the Madrid and Nice Agreements, the International Bureau should play a central role in examining limitations.  It is nonetheless aware that a solution centered on the International Bureau would not be acceptable to all of the Offices that are members of the Madrid System.  It therefore proposes that the various interests at stake be taken into account in order to achieve a solution satisfactory to all parties.</w:t>
      </w:r>
    </w:p>
    <w:p w:rsidR="00FB7145" w:rsidRDefault="00FB7145" w:rsidP="00FB7145">
      <w:pPr>
        <w:pStyle w:val="Heading1"/>
      </w:pPr>
      <w:r>
        <w:t>1.</w:t>
      </w:r>
      <w:r>
        <w:tab/>
        <w:t>LIMITATION EMBODIED IN INT</w:t>
      </w:r>
      <w:r w:rsidR="006A1575">
        <w:t>ERNATIONAL APPLICATIONS (RULE 9 </w:t>
      </w:r>
      <w:r>
        <w:t>OF THE</w:t>
      </w:r>
      <w:r w:rsidR="004C6E7A">
        <w:t> </w:t>
      </w:r>
      <w:r>
        <w:t>COMMON REGULATIONS</w:t>
      </w:r>
    </w:p>
    <w:p w:rsidR="00FB7145" w:rsidRDefault="00FB7145" w:rsidP="00FB7145">
      <w:pPr>
        <w:autoSpaceDE w:val="0"/>
        <w:autoSpaceDN w:val="0"/>
        <w:adjustRightInd w:val="0"/>
        <w:rPr>
          <w:rFonts w:eastAsia="Times New Roman"/>
          <w:color w:val="000000"/>
          <w:szCs w:val="22"/>
          <w:lang w:eastAsia="en-US"/>
        </w:rPr>
      </w:pPr>
      <w:bookmarkStart w:id="6" w:name="1.1_Examen_par_l’Office_d’Origine"/>
      <w:bookmarkEnd w:id="6"/>
      <w:r>
        <w:rPr>
          <w:rFonts w:eastAsia="Times New Roman"/>
          <w:color w:val="000000"/>
          <w:szCs w:val="22"/>
          <w:lang w:eastAsia="en-US"/>
        </w:rPr>
        <w:t>In making an international application, a holder may indicate a desire for limitations of protection for a list of goods or services in respect of specific designated Contracting Parties (Rule</w:t>
      </w:r>
      <w:r w:rsidR="004C6E7A">
        <w:rPr>
          <w:rFonts w:eastAsia="Times New Roman"/>
          <w:color w:val="000000"/>
          <w:szCs w:val="22"/>
          <w:lang w:eastAsia="en-US"/>
        </w:rPr>
        <w:t> </w:t>
      </w:r>
      <w:r>
        <w:rPr>
          <w:rFonts w:eastAsia="Times New Roman"/>
          <w:color w:val="000000"/>
          <w:szCs w:val="22"/>
          <w:lang w:eastAsia="en-US"/>
        </w:rPr>
        <w:t>9(4)(a)(xiii) of the Common Regulations).</w:t>
      </w:r>
      <w:r w:rsidR="006A1575">
        <w:rPr>
          <w:rFonts w:eastAsia="Times New Roman"/>
          <w:color w:val="000000"/>
          <w:szCs w:val="22"/>
          <w:lang w:eastAsia="en-US"/>
        </w:rPr>
        <w:t xml:space="preserve">  </w:t>
      </w:r>
    </w:p>
    <w:p w:rsidR="00FB7145" w:rsidRPr="004C6E7A" w:rsidRDefault="00FB7145" w:rsidP="004C6E7A">
      <w:pPr>
        <w:pStyle w:val="Heading2"/>
      </w:pPr>
      <w:r w:rsidRPr="004C6E7A">
        <w:t>1.1</w:t>
      </w:r>
      <w:r w:rsidRPr="004C6E7A">
        <w:tab/>
        <w:t>Examination by the Office of Origin</w:t>
      </w:r>
    </w:p>
    <w:p w:rsidR="00FB7145" w:rsidRDefault="00FB7145" w:rsidP="004C6E7A">
      <w:pPr>
        <w:autoSpaceDE w:val="0"/>
        <w:autoSpaceDN w:val="0"/>
        <w:adjustRightInd w:val="0"/>
        <w:spacing w:after="240"/>
        <w:rPr>
          <w:rFonts w:eastAsia="Times New Roman"/>
          <w:color w:val="000000"/>
          <w:szCs w:val="22"/>
          <w:lang w:eastAsia="en-US"/>
        </w:rPr>
      </w:pPr>
      <w:bookmarkStart w:id="7" w:name="1.2_Examen_par_le_bureau_international"/>
      <w:bookmarkEnd w:id="7"/>
      <w:r>
        <w:rPr>
          <w:rFonts w:eastAsia="Times New Roman"/>
          <w:color w:val="000000"/>
          <w:szCs w:val="22"/>
          <w:lang w:eastAsia="en-US"/>
        </w:rPr>
        <w:t>Most Offices, as Offices of Origin, consider that it is their certification duty (Rule 9(5)(d)(vi) of the Common Regulations) to ascertain that the limitation list in an international application is covered both by the list for the underlying mark and by the main list in the international registration.  It is only through such vetting that international registration in its entirety (main list and limited list) can be assuredly based on the underlying mark.</w:t>
      </w:r>
    </w:p>
    <w:p w:rsidR="00FB7145" w:rsidRDefault="00FB7145" w:rsidP="00FB7145">
      <w:pPr>
        <w:autoSpaceDE w:val="0"/>
        <w:autoSpaceDN w:val="0"/>
        <w:adjustRightInd w:val="0"/>
        <w:rPr>
          <w:rFonts w:eastAsia="Times New Roman"/>
          <w:i/>
          <w:color w:val="000000"/>
          <w:szCs w:val="22"/>
          <w:lang w:eastAsia="en-US"/>
        </w:rPr>
        <w:sectPr w:rsidR="00FB7145" w:rsidSect="00542F78">
          <w:headerReference w:type="first" r:id="rId10"/>
          <w:footnotePr>
            <w:numFmt w:val="chicago"/>
          </w:footnotePr>
          <w:endnotePr>
            <w:numFmt w:val="decimal"/>
          </w:endnotePr>
          <w:pgSz w:w="11907" w:h="16840" w:code="9"/>
          <w:pgMar w:top="567" w:right="1134" w:bottom="1418" w:left="1418" w:header="510" w:footer="1021" w:gutter="0"/>
          <w:cols w:space="720"/>
          <w:titlePg/>
          <w:docGrid w:linePitch="299"/>
        </w:sectPr>
      </w:pPr>
      <w:r>
        <w:rPr>
          <w:rFonts w:eastAsia="Times New Roman"/>
          <w:color w:val="000000"/>
          <w:szCs w:val="22"/>
          <w:lang w:eastAsia="en-US"/>
        </w:rPr>
        <w:t xml:space="preserve">Although this principle is very widely accepted, </w:t>
      </w:r>
      <w:r>
        <w:rPr>
          <w:rFonts w:eastAsia="Times New Roman"/>
          <w:i/>
          <w:color w:val="000000"/>
          <w:szCs w:val="22"/>
          <w:lang w:eastAsia="en-US"/>
        </w:rPr>
        <w:t>Switzerland proposes that the current Rules be amended in order to state the principle clearly (see the proposed amendment at the end of the</w:t>
      </w:r>
      <w:r w:rsidR="006A1575">
        <w:rPr>
          <w:rFonts w:eastAsia="Times New Roman"/>
          <w:i/>
          <w:color w:val="000000"/>
          <w:szCs w:val="22"/>
          <w:lang w:eastAsia="en-US"/>
        </w:rPr>
        <w:t> </w:t>
      </w:r>
      <w:r>
        <w:rPr>
          <w:rFonts w:eastAsia="Times New Roman"/>
          <w:i/>
          <w:color w:val="000000"/>
          <w:szCs w:val="22"/>
          <w:lang w:eastAsia="en-US"/>
        </w:rPr>
        <w:t xml:space="preserve">document).  </w:t>
      </w:r>
    </w:p>
    <w:p w:rsidR="00FB7145" w:rsidRPr="004C6E7A" w:rsidRDefault="00FB7145" w:rsidP="004C6E7A">
      <w:pPr>
        <w:pStyle w:val="Heading2"/>
      </w:pPr>
      <w:r w:rsidRPr="004C6E7A">
        <w:lastRenderedPageBreak/>
        <w:t>1.2</w:t>
      </w:r>
      <w:r w:rsidRPr="004C6E7A">
        <w:tab/>
        <w:t>Examination by the International Bureau</w:t>
      </w:r>
    </w:p>
    <w:p w:rsidR="006A1575" w:rsidRDefault="00FB7145" w:rsidP="004C6E7A">
      <w:pPr>
        <w:keepNext/>
        <w:autoSpaceDE w:val="0"/>
        <w:autoSpaceDN w:val="0"/>
        <w:adjustRightInd w:val="0"/>
        <w:spacing w:after="240"/>
        <w:rPr>
          <w:rFonts w:eastAsia="Times New Roman"/>
          <w:color w:val="000000"/>
          <w:szCs w:val="22"/>
          <w:lang w:eastAsia="en-US"/>
        </w:rPr>
      </w:pPr>
      <w:r>
        <w:rPr>
          <w:rFonts w:eastAsia="Times New Roman"/>
          <w:color w:val="000000"/>
          <w:szCs w:val="22"/>
          <w:lang w:eastAsia="en-US"/>
        </w:rPr>
        <w:t>The International Bureau currently examines limitations in international applications in</w:t>
      </w:r>
      <w:r w:rsidR="006A1575">
        <w:rPr>
          <w:rFonts w:eastAsia="Times New Roman"/>
          <w:color w:val="000000"/>
          <w:szCs w:val="22"/>
          <w:lang w:eastAsia="en-US"/>
        </w:rPr>
        <w:t> </w:t>
      </w:r>
      <w:r>
        <w:rPr>
          <w:rFonts w:eastAsia="Times New Roman"/>
          <w:color w:val="000000"/>
          <w:szCs w:val="22"/>
          <w:lang w:eastAsia="en-US"/>
        </w:rPr>
        <w:t>accordance with Rule</w:t>
      </w:r>
      <w:r w:rsidR="006A1575">
        <w:rPr>
          <w:rFonts w:eastAsia="Times New Roman"/>
          <w:color w:val="000000"/>
          <w:szCs w:val="22"/>
          <w:lang w:eastAsia="en-US"/>
        </w:rPr>
        <w:t> </w:t>
      </w:r>
      <w:r>
        <w:rPr>
          <w:rFonts w:eastAsia="Times New Roman"/>
          <w:color w:val="000000"/>
          <w:szCs w:val="22"/>
          <w:lang w:eastAsia="en-US"/>
        </w:rPr>
        <w:t>12 (classification, see Rule 12(8</w:t>
      </w:r>
      <w:r>
        <w:rPr>
          <w:rFonts w:eastAsia="Times New Roman"/>
          <w:i/>
          <w:color w:val="000000"/>
          <w:szCs w:val="22"/>
          <w:lang w:eastAsia="en-US"/>
        </w:rPr>
        <w:t>bis</w:t>
      </w:r>
      <w:r>
        <w:rPr>
          <w:rFonts w:eastAsia="Times New Roman"/>
          <w:color w:val="000000"/>
          <w:szCs w:val="22"/>
          <w:lang w:eastAsia="en-US"/>
        </w:rPr>
        <w:t>) of the Common Regulations).  It</w:t>
      </w:r>
      <w:r w:rsidR="006A1575">
        <w:rPr>
          <w:rFonts w:eastAsia="Times New Roman"/>
          <w:color w:val="000000"/>
          <w:szCs w:val="22"/>
          <w:lang w:eastAsia="en-US"/>
        </w:rPr>
        <w:t> </w:t>
      </w:r>
      <w:r>
        <w:rPr>
          <w:rFonts w:eastAsia="Times New Roman"/>
          <w:color w:val="000000"/>
          <w:szCs w:val="22"/>
          <w:lang w:eastAsia="en-US"/>
        </w:rPr>
        <w:t>also examines suc</w:t>
      </w:r>
      <w:r w:rsidR="006A1575">
        <w:rPr>
          <w:rFonts w:eastAsia="Times New Roman"/>
          <w:color w:val="000000"/>
          <w:szCs w:val="22"/>
          <w:lang w:eastAsia="en-US"/>
        </w:rPr>
        <w:t>h limitations in line with Rule </w:t>
      </w:r>
      <w:r>
        <w:rPr>
          <w:rFonts w:eastAsia="Times New Roman"/>
          <w:color w:val="000000"/>
          <w:szCs w:val="22"/>
          <w:lang w:eastAsia="en-US"/>
        </w:rPr>
        <w:t>13 (accuracy), although this is not required in</w:t>
      </w:r>
      <w:r w:rsidR="006A1575">
        <w:rPr>
          <w:rFonts w:eastAsia="Times New Roman"/>
          <w:color w:val="000000"/>
          <w:szCs w:val="22"/>
          <w:lang w:eastAsia="en-US"/>
        </w:rPr>
        <w:t> </w:t>
      </w:r>
      <w:r>
        <w:rPr>
          <w:rFonts w:eastAsia="Times New Roman"/>
          <w:color w:val="000000"/>
          <w:szCs w:val="22"/>
          <w:lang w:eastAsia="en-US"/>
        </w:rPr>
        <w:t xml:space="preserve">any provision in the Common Regulations.  </w:t>
      </w:r>
    </w:p>
    <w:p w:rsidR="00FB7145" w:rsidRDefault="00FB7145" w:rsidP="006A1575">
      <w:pPr>
        <w:autoSpaceDE w:val="0"/>
        <w:autoSpaceDN w:val="0"/>
        <w:adjustRightInd w:val="0"/>
        <w:spacing w:after="240"/>
        <w:rPr>
          <w:rFonts w:eastAsia="Times New Roman"/>
          <w:color w:val="000000"/>
          <w:szCs w:val="22"/>
          <w:lang w:eastAsia="en-US"/>
        </w:rPr>
      </w:pPr>
      <w:r>
        <w:rPr>
          <w:rFonts w:eastAsia="Times New Roman"/>
          <w:i/>
          <w:color w:val="000000"/>
          <w:szCs w:val="22"/>
          <w:lang w:eastAsia="en-US"/>
        </w:rPr>
        <w:t>Switzerland therefore proposes explicit provisions on the subject (see the proposed amendment at the end of the document)</w:t>
      </w:r>
      <w:r>
        <w:rPr>
          <w:rFonts w:eastAsia="Times New Roman"/>
          <w:color w:val="000000"/>
          <w:szCs w:val="22"/>
          <w:lang w:eastAsia="en-US"/>
        </w:rPr>
        <w:t>.</w:t>
      </w:r>
    </w:p>
    <w:p w:rsidR="00FB7145" w:rsidRDefault="00FB7145" w:rsidP="004C6E7A">
      <w:pPr>
        <w:autoSpaceDE w:val="0"/>
        <w:autoSpaceDN w:val="0"/>
        <w:adjustRightInd w:val="0"/>
        <w:spacing w:after="240"/>
        <w:rPr>
          <w:rFonts w:eastAsia="Times New Roman"/>
          <w:color w:val="000000"/>
          <w:szCs w:val="22"/>
          <w:lang w:eastAsia="en-US"/>
        </w:rPr>
      </w:pPr>
      <w:r>
        <w:rPr>
          <w:rFonts w:eastAsia="Times New Roman"/>
          <w:color w:val="000000"/>
          <w:szCs w:val="22"/>
          <w:lang w:eastAsia="en-US"/>
        </w:rPr>
        <w:t>However, Switzerland considers that the International Bureau must do more.  It should consider in its examination whether the scope of the limitation is acceptable (is the limitation covered by the main list?).  The aims here would be to avoid the recording of “gross” errors (which may occur, despite the certification duty of the Office of Origin) and to promote the harmonization of (practical) interpretations among Offices.</w:t>
      </w:r>
    </w:p>
    <w:p w:rsidR="00FB7145" w:rsidRDefault="00FB7145" w:rsidP="004C6E7A">
      <w:pPr>
        <w:autoSpaceDE w:val="0"/>
        <w:autoSpaceDN w:val="0"/>
        <w:adjustRightInd w:val="0"/>
        <w:spacing w:after="240"/>
        <w:rPr>
          <w:rFonts w:eastAsia="Times New Roman"/>
          <w:color w:val="000000"/>
          <w:szCs w:val="22"/>
          <w:lang w:eastAsia="en-US"/>
        </w:rPr>
      </w:pPr>
      <w:r>
        <w:rPr>
          <w:rFonts w:eastAsia="Times New Roman"/>
          <w:color w:val="000000"/>
          <w:szCs w:val="22"/>
          <w:lang w:eastAsia="en-US"/>
        </w:rPr>
        <w:t>As many Offices believe in the primacy of the certification duty of the Office of Origin, irregularity notifications issued by the International Bureau could b</w:t>
      </w:r>
      <w:r w:rsidR="006A1575">
        <w:rPr>
          <w:rFonts w:eastAsia="Times New Roman"/>
          <w:color w:val="000000"/>
          <w:szCs w:val="22"/>
          <w:lang w:eastAsia="en-US"/>
        </w:rPr>
        <w:t>e based on and included in Rule </w:t>
      </w:r>
      <w:r>
        <w:rPr>
          <w:rFonts w:eastAsia="Times New Roman"/>
          <w:color w:val="000000"/>
          <w:szCs w:val="22"/>
          <w:lang w:eastAsia="en-US"/>
        </w:rPr>
        <w:t>13 of the Common Regulations insofar as the final decision on the recording of the limitation would not rest with the International Bureau.  Upon notification by the International Bureau, the Office of Origin could either amend the list or leave it unchanged.  If it remains unchanged, an annotation, such as “extensive term, in the opinion of the International Bureau”, could be made to the limitation list.  The purpose of such an annotation is to ensure that t</w:t>
      </w:r>
      <w:r w:rsidR="00AA5C06">
        <w:rPr>
          <w:rFonts w:eastAsia="Times New Roman"/>
          <w:color w:val="000000"/>
          <w:szCs w:val="22"/>
          <w:lang w:eastAsia="en-US"/>
        </w:rPr>
        <w:t>he information included in the R</w:t>
      </w:r>
      <w:r>
        <w:rPr>
          <w:rFonts w:eastAsia="Times New Roman"/>
          <w:color w:val="000000"/>
          <w:szCs w:val="22"/>
          <w:lang w:eastAsia="en-US"/>
        </w:rPr>
        <w:t>egister is transparent.</w:t>
      </w:r>
    </w:p>
    <w:p w:rsidR="00FB7145" w:rsidRDefault="00FB7145" w:rsidP="004C6E7A">
      <w:pPr>
        <w:autoSpaceDE w:val="0"/>
        <w:autoSpaceDN w:val="0"/>
        <w:adjustRightInd w:val="0"/>
        <w:spacing w:after="240"/>
        <w:rPr>
          <w:rFonts w:eastAsia="Times New Roman"/>
          <w:i/>
          <w:iCs/>
          <w:color w:val="000000"/>
          <w:szCs w:val="22"/>
          <w:lang w:eastAsia="en-US"/>
        </w:rPr>
      </w:pPr>
      <w:r>
        <w:rPr>
          <w:rFonts w:eastAsia="Times New Roman"/>
          <w:i/>
          <w:color w:val="000000"/>
          <w:szCs w:val="22"/>
          <w:lang w:eastAsia="en-US"/>
        </w:rPr>
        <w:t xml:space="preserve">Switzerland proposes </w:t>
      </w:r>
      <w:r>
        <w:rPr>
          <w:rFonts w:eastAsia="Times New Roman"/>
          <w:i/>
          <w:iCs/>
          <w:color w:val="000000"/>
          <w:szCs w:val="22"/>
          <w:lang w:eastAsia="en-US"/>
        </w:rPr>
        <w:t>an amendment to that end (see the proposed amendment at the end of the document).</w:t>
      </w:r>
    </w:p>
    <w:p w:rsidR="00FB7145" w:rsidRPr="004C6E7A" w:rsidRDefault="00FB7145" w:rsidP="004C6E7A">
      <w:pPr>
        <w:pStyle w:val="Heading2"/>
      </w:pPr>
      <w:bookmarkStart w:id="8" w:name="1.3_Examen_par_l’office_désigné"/>
      <w:bookmarkEnd w:id="8"/>
      <w:r w:rsidRPr="004C6E7A">
        <w:t>1.3</w:t>
      </w:r>
      <w:r w:rsidRPr="004C6E7A">
        <w:tab/>
        <w:t>Examination by the designated Office</w:t>
      </w:r>
    </w:p>
    <w:p w:rsidR="00FB7145" w:rsidRDefault="00FB7145" w:rsidP="00FB7145">
      <w:pPr>
        <w:spacing w:after="240"/>
      </w:pPr>
      <w:r>
        <w:t>Switzerland believes that the designated Office should not be able to question the examination made by the Office of Origin as regards the limitation contained in the international application.  By accepting the limitation, the Office of Origin makes it clear that it considers that it is covered by the basis, which is the national registration, of which it is the guarantor.  Just as the designated Office does not question that the main list of the international application is protected by the list of the national registration, it should not question that the “limited” list is equally protected by the main list of the international application.  This examination is part of the</w:t>
      </w:r>
      <w:r w:rsidR="00AA5C06">
        <w:t> </w:t>
      </w:r>
      <w:r>
        <w:rPr>
          <w:rFonts w:eastAsia="Times New Roman"/>
          <w:color w:val="000000"/>
          <w:szCs w:val="22"/>
          <w:lang w:eastAsia="en-US"/>
        </w:rPr>
        <w:t>certification duty of the Office of Origin.</w:t>
      </w:r>
    </w:p>
    <w:p w:rsidR="00FB7145" w:rsidRDefault="00FB7145" w:rsidP="00FB7145">
      <w:pPr>
        <w:spacing w:after="240"/>
        <w:rPr>
          <w:rFonts w:eastAsia="Times New Roman"/>
          <w:color w:val="000000"/>
          <w:szCs w:val="22"/>
          <w:lang w:eastAsia="en-US"/>
        </w:rPr>
      </w:pPr>
      <w:r>
        <w:rPr>
          <w:rFonts w:eastAsia="Times New Roman"/>
          <w:color w:val="000000"/>
          <w:szCs w:val="22"/>
          <w:lang w:eastAsia="en-US"/>
        </w:rPr>
        <w:t>During the 17</w:t>
      </w:r>
      <w:r>
        <w:rPr>
          <w:rFonts w:eastAsia="Times New Roman"/>
          <w:color w:val="000000"/>
          <w:szCs w:val="22"/>
          <w:vertAlign w:val="superscript"/>
          <w:lang w:eastAsia="en-US"/>
        </w:rPr>
        <w:t>th</w:t>
      </w:r>
      <w:r>
        <w:rPr>
          <w:rFonts w:eastAsia="Times New Roman"/>
          <w:color w:val="000000"/>
          <w:szCs w:val="22"/>
          <w:lang w:eastAsia="en-US"/>
        </w:rPr>
        <w:t xml:space="preserve"> session of the Working Group, Switzerland indicated in its proposal that “there is no need for a specific provision to enable the designated Office to examine the scope of a limitation, given the primacy of the certification duty of the Office of Origin.”</w:t>
      </w:r>
    </w:p>
    <w:p w:rsidR="00FB7145" w:rsidRDefault="00FB7145" w:rsidP="00FB7145">
      <w:pPr>
        <w:spacing w:after="240"/>
      </w:pPr>
      <w:r>
        <w:t>This year, Switzerland would like to explicitly provide that the designated Office may not challenge this examination.  This proposal would be “alternative 1”.  It could be made by means of an interpretative declaration of Rule</w:t>
      </w:r>
      <w:r w:rsidR="00AA5C06">
        <w:t> </w:t>
      </w:r>
      <w:r>
        <w:t xml:space="preserve">17(2)(iv) of the Common Regulations, through which it is stated that the provisional refusal cannot be based on the ground that the limitation is, in reality, an extension.  Rule 27(5) of the Common Regulations, </w:t>
      </w:r>
      <w:r>
        <w:rPr>
          <w:i/>
        </w:rPr>
        <w:t>which</w:t>
      </w:r>
      <w:r>
        <w:t xml:space="preserve"> </w:t>
      </w:r>
      <w:r>
        <w:rPr>
          <w:i/>
        </w:rPr>
        <w:t>only applies to limitations recorded according to Rule 25 of the Common Regulations</w:t>
      </w:r>
      <w:r>
        <w:t xml:space="preserve"> does not, in the opinion of Switzerland, require amendments to indicate this fact, as no other interpretation is possible.</w:t>
      </w:r>
    </w:p>
    <w:p w:rsidR="00FB7145" w:rsidRDefault="00FB7145" w:rsidP="00FB7145">
      <w:r>
        <w:t xml:space="preserve">If “alternative 1” is not accepted, the text should be left as it currently stands in the Common Regulations (alternative 2).  </w:t>
      </w:r>
      <w:r>
        <w:br w:type="page"/>
      </w:r>
    </w:p>
    <w:p w:rsidR="00FB7145" w:rsidRPr="004C6E7A" w:rsidRDefault="00FB7145" w:rsidP="004C6E7A">
      <w:pPr>
        <w:pStyle w:val="Heading1"/>
      </w:pPr>
      <w:r w:rsidRPr="004C6E7A">
        <w:lastRenderedPageBreak/>
        <w:t>2.</w:t>
      </w:r>
      <w:r w:rsidRPr="004C6E7A">
        <w:tab/>
        <w:t>Illustrations of our proposals</w:t>
      </w:r>
    </w:p>
    <w:p w:rsidR="00FB7145" w:rsidRPr="004C6E7A" w:rsidRDefault="00FB7145" w:rsidP="004C6E7A">
      <w:pPr>
        <w:pStyle w:val="Heading2"/>
        <w:rPr>
          <w:rStyle w:val="Strong"/>
          <w:b w:val="0"/>
          <w:bCs/>
        </w:rPr>
      </w:pPr>
      <w:r w:rsidRPr="004C6E7A">
        <w:rPr>
          <w:rStyle w:val="Strong"/>
          <w:b w:val="0"/>
          <w:bCs/>
        </w:rPr>
        <w:t>Alternative 1 (our preferred solution)</w:t>
      </w:r>
    </w:p>
    <w:p w:rsidR="00FB7145" w:rsidRDefault="00FB7145" w:rsidP="00FB7145">
      <w:pPr>
        <w:rPr>
          <w:b/>
        </w:rPr>
      </w:pPr>
      <w:r>
        <w:rPr>
          <w:noProof/>
          <w:lang w:eastAsia="en-US"/>
        </w:rPr>
        <w:drawing>
          <wp:anchor distT="0" distB="0" distL="0" distR="0" simplePos="0" relativeHeight="251660288" behindDoc="0" locked="0" layoutInCell="1" allowOverlap="1">
            <wp:simplePos x="0" y="0"/>
            <wp:positionH relativeFrom="page">
              <wp:posOffset>900430</wp:posOffset>
            </wp:positionH>
            <wp:positionV relativeFrom="paragraph">
              <wp:posOffset>219710</wp:posOffset>
            </wp:positionV>
            <wp:extent cx="4832985" cy="3422015"/>
            <wp:effectExtent l="0" t="0" r="5715" b="6985"/>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832985" cy="3422015"/>
                    </a:xfrm>
                    <a:prstGeom prst="rect">
                      <a:avLst/>
                    </a:prstGeom>
                    <a:noFill/>
                  </pic:spPr>
                </pic:pic>
              </a:graphicData>
            </a:graphic>
            <wp14:sizeRelH relativeFrom="page">
              <wp14:pctWidth>0</wp14:pctWidth>
            </wp14:sizeRelH>
            <wp14:sizeRelV relativeFrom="page">
              <wp14:pctHeight>0</wp14:pctHeight>
            </wp14:sizeRelV>
          </wp:anchor>
        </w:drawing>
      </w:r>
    </w:p>
    <w:p w:rsidR="00FB7145" w:rsidRDefault="00FB7145" w:rsidP="004C6E7A">
      <w:pPr>
        <w:pStyle w:val="Heading2"/>
        <w:rPr>
          <w:b/>
        </w:rPr>
      </w:pPr>
      <w:r>
        <w:t>Alternative 2</w:t>
      </w:r>
    </w:p>
    <w:p w:rsidR="00FB7145" w:rsidRDefault="00FB7145" w:rsidP="00FB7145">
      <w:r>
        <w:rPr>
          <w:noProof/>
          <w:lang w:eastAsia="en-US"/>
        </w:rPr>
        <w:drawing>
          <wp:anchor distT="0" distB="0" distL="0" distR="0" simplePos="0" relativeHeight="251659264" behindDoc="0" locked="0" layoutInCell="1" allowOverlap="1">
            <wp:simplePos x="0" y="0"/>
            <wp:positionH relativeFrom="page">
              <wp:posOffset>900430</wp:posOffset>
            </wp:positionH>
            <wp:positionV relativeFrom="paragraph">
              <wp:posOffset>158115</wp:posOffset>
            </wp:positionV>
            <wp:extent cx="4799965" cy="3437890"/>
            <wp:effectExtent l="0" t="0" r="63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99965" cy="3437890"/>
                    </a:xfrm>
                    <a:prstGeom prst="rect">
                      <a:avLst/>
                    </a:prstGeom>
                    <a:noFill/>
                  </pic:spPr>
                </pic:pic>
              </a:graphicData>
            </a:graphic>
            <wp14:sizeRelH relativeFrom="page">
              <wp14:pctWidth>0</wp14:pctWidth>
            </wp14:sizeRelH>
            <wp14:sizeRelV relativeFrom="page">
              <wp14:pctHeight>0</wp14:pctHeight>
            </wp14:sizeRelV>
          </wp:anchor>
        </w:drawing>
      </w:r>
    </w:p>
    <w:p w:rsidR="00FB7145" w:rsidRDefault="00FB7145" w:rsidP="00FB7145">
      <w:r>
        <w:br w:type="page"/>
      </w:r>
    </w:p>
    <w:p w:rsidR="00FB7145" w:rsidRPr="004C6E7A" w:rsidRDefault="00FB7145" w:rsidP="004C6E7A">
      <w:pPr>
        <w:pStyle w:val="Heading1"/>
        <w:rPr>
          <w:rStyle w:val="Strong"/>
          <w:b/>
          <w:bCs/>
        </w:rPr>
      </w:pPr>
      <w:r w:rsidRPr="004C6E7A">
        <w:rPr>
          <w:rStyle w:val="Strong"/>
          <w:b/>
          <w:bCs/>
        </w:rPr>
        <w:lastRenderedPageBreak/>
        <w:t>3.</w:t>
      </w:r>
      <w:r w:rsidRPr="004C6E7A">
        <w:rPr>
          <w:rStyle w:val="Strong"/>
          <w:b/>
          <w:bCs/>
        </w:rPr>
        <w:tab/>
        <w:t>Proposed amendments</w:t>
      </w:r>
    </w:p>
    <w:p w:rsidR="00FB7145" w:rsidRPr="004C6E7A" w:rsidRDefault="00FB7145" w:rsidP="004C6E7A">
      <w:pPr>
        <w:pStyle w:val="Heading2"/>
      </w:pPr>
      <w:bookmarkStart w:id="9" w:name="3.1.1_Rôle_de_l’Office_d’Origine"/>
      <w:bookmarkEnd w:id="9"/>
      <w:r w:rsidRPr="004C6E7A">
        <w:t>3.1.1</w:t>
      </w:r>
      <w:r w:rsidRPr="004C6E7A">
        <w:tab/>
        <w:t>Role of the Office of Origin</w:t>
      </w:r>
    </w:p>
    <w:p w:rsidR="00FB7145" w:rsidRPr="004C6E7A" w:rsidRDefault="00FB7145" w:rsidP="004C6E7A">
      <w:pPr>
        <w:pStyle w:val="Heading2"/>
        <w:spacing w:after="240"/>
        <w:rPr>
          <w:i/>
          <w:caps w:val="0"/>
          <w:szCs w:val="22"/>
        </w:rPr>
      </w:pPr>
      <w:r w:rsidRPr="004C6E7A">
        <w:rPr>
          <w:i/>
          <w:caps w:val="0"/>
          <w:szCs w:val="22"/>
        </w:rPr>
        <w:t>Rule 9</w:t>
      </w:r>
      <w:r w:rsidRPr="004C6E7A">
        <w:rPr>
          <w:i/>
          <w:caps w:val="0"/>
          <w:szCs w:val="22"/>
        </w:rPr>
        <w:br/>
        <w:t>Requirements Concerning the International Application</w:t>
      </w:r>
    </w:p>
    <w:p w:rsidR="00FB7145" w:rsidRDefault="00FB7145" w:rsidP="00FB7145">
      <w:pPr>
        <w:spacing w:after="240"/>
        <w:jc w:val="both"/>
      </w:pPr>
      <w:r>
        <w:t>[…]</w:t>
      </w:r>
    </w:p>
    <w:p w:rsidR="00FB7145" w:rsidRDefault="00FB7145" w:rsidP="00FB7145">
      <w:pPr>
        <w:spacing w:after="240"/>
        <w:ind w:left="567" w:hanging="567"/>
        <w:jc w:val="both"/>
        <w:rPr>
          <w:i/>
        </w:rPr>
      </w:pPr>
      <w:r>
        <w:t xml:space="preserve">(5) </w:t>
      </w:r>
      <w:r>
        <w:tab/>
      </w:r>
      <w:r>
        <w:rPr>
          <w:i/>
        </w:rPr>
        <w:t>[Additional Contents of an International Application]</w:t>
      </w:r>
    </w:p>
    <w:p w:rsidR="00FB7145" w:rsidRDefault="00FB7145" w:rsidP="00FB7145">
      <w:pPr>
        <w:spacing w:after="240"/>
        <w:ind w:left="567"/>
        <w:jc w:val="both"/>
      </w:pPr>
      <w:r>
        <w:t>[…]</w:t>
      </w:r>
    </w:p>
    <w:p w:rsidR="00FB7145" w:rsidRDefault="00FB7145" w:rsidP="00FB7145">
      <w:pPr>
        <w:spacing w:after="240"/>
        <w:ind w:left="1134" w:hanging="567"/>
        <w:jc w:val="both"/>
      </w:pPr>
      <w:r>
        <w:t xml:space="preserve">(d) </w:t>
      </w:r>
      <w:r>
        <w:tab/>
      </w:r>
      <w:r>
        <w:rPr>
          <w:rFonts w:eastAsia="Times New Roman"/>
          <w:iCs/>
          <w:color w:val="000000"/>
          <w:szCs w:val="22"/>
          <w:lang w:eastAsia="en-US"/>
        </w:rPr>
        <w:t>The international application shall contain a declaration by the Office of Origin certifying</w:t>
      </w:r>
    </w:p>
    <w:p w:rsidR="00FB7145" w:rsidRDefault="00FB7145" w:rsidP="00FB7145">
      <w:pPr>
        <w:spacing w:after="240"/>
        <w:ind w:left="1701" w:hanging="567"/>
        <w:jc w:val="both"/>
      </w:pPr>
      <w:r>
        <w:t>[…]</w:t>
      </w:r>
    </w:p>
    <w:p w:rsidR="00FB7145" w:rsidRDefault="00FB7145" w:rsidP="00FB7145">
      <w:pPr>
        <w:spacing w:after="240"/>
        <w:ind w:left="1701" w:hanging="567"/>
        <w:jc w:val="both"/>
      </w:pPr>
      <w:r>
        <w:t xml:space="preserve">(vi) </w:t>
      </w:r>
      <w:r>
        <w:tab/>
        <w:t xml:space="preserve">that the goods and services indicated in the international application are covered by the list of goods and services appearing in the basic application or basic registration, as the case may be, </w:t>
      </w:r>
      <w:r>
        <w:rPr>
          <w:color w:val="0070C0"/>
          <w:u w:val="single"/>
        </w:rPr>
        <w:t>and, where applicable, that the goods and services indicated in any limitation are covered by the list of goods and services indicated in the international application.</w:t>
      </w:r>
    </w:p>
    <w:p w:rsidR="00FB7145" w:rsidRDefault="00FB7145" w:rsidP="00FB7145">
      <w:pPr>
        <w:spacing w:after="240"/>
      </w:pPr>
      <w:r>
        <w:t>[…]</w:t>
      </w:r>
    </w:p>
    <w:p w:rsidR="00FB7145" w:rsidRPr="004C6E7A" w:rsidRDefault="00FB7145" w:rsidP="004C6E7A">
      <w:pPr>
        <w:pStyle w:val="Heading2"/>
      </w:pPr>
      <w:bookmarkStart w:id="10" w:name="3.1.2_Rôle_du_Bureau_international"/>
      <w:bookmarkEnd w:id="10"/>
      <w:r w:rsidRPr="004C6E7A">
        <w:t>3.1.2</w:t>
      </w:r>
      <w:r w:rsidRPr="004C6E7A">
        <w:tab/>
        <w:t>Role of the International Bureau</w:t>
      </w:r>
    </w:p>
    <w:p w:rsidR="00FB7145" w:rsidRDefault="00FB7145" w:rsidP="00FB7145">
      <w:pPr>
        <w:pStyle w:val="Heading4"/>
        <w:spacing w:after="240"/>
      </w:pPr>
      <w:r>
        <w:t>Rule 13</w:t>
      </w:r>
      <w:r>
        <w:br/>
        <w:t>Irregularities with Respect to the Indication of Goods and Services</w:t>
      </w:r>
    </w:p>
    <w:p w:rsidR="00FB7145" w:rsidRDefault="00FB7145" w:rsidP="00FB7145">
      <w:pPr>
        <w:numPr>
          <w:ilvl w:val="0"/>
          <w:numId w:val="8"/>
        </w:numPr>
        <w:spacing w:after="240"/>
        <w:ind w:left="567" w:hanging="567"/>
        <w:jc w:val="both"/>
      </w:pPr>
      <w:r>
        <w:rPr>
          <w:i/>
        </w:rPr>
        <w:t>[</w:t>
      </w:r>
      <w:r>
        <w:rPr>
          <w:rFonts w:eastAsia="Times New Roman"/>
          <w:i/>
          <w:iCs/>
          <w:color w:val="000000"/>
          <w:szCs w:val="22"/>
          <w:lang w:eastAsia="en-US"/>
        </w:rPr>
        <w:t xml:space="preserve">Communication of Irregularity by the International Bureau to the Office of Origin] </w:t>
      </w:r>
      <w:r>
        <w:rPr>
          <w:rFonts w:eastAsia="Times New Roman"/>
          <w:color w:val="000000"/>
          <w:szCs w:val="22"/>
          <w:lang w:eastAsia="en-US"/>
        </w:rPr>
        <w:t xml:space="preserve">If the International Bureau considers that any of the goods and services is indicated in the international application by a term that is too vague for the purposes of classification or is incomprehensible or is linguistically incorrect </w:t>
      </w:r>
      <w:r>
        <w:rPr>
          <w:rFonts w:eastAsia="Times New Roman"/>
          <w:color w:val="0070C0"/>
          <w:szCs w:val="22"/>
          <w:lang w:eastAsia="en-US"/>
        </w:rPr>
        <w:t xml:space="preserve">or, where applicable, if it considers that some of the goods and services indicated in a limitation are not covered by the main list of the international application, </w:t>
      </w:r>
      <w:r>
        <w:rPr>
          <w:rFonts w:eastAsia="Times New Roman"/>
          <w:color w:val="000000"/>
          <w:szCs w:val="22"/>
          <w:lang w:eastAsia="en-US"/>
        </w:rPr>
        <w:t>it shall notify the Office of Origin accordingly and at the same time inform the applicant.  In the same notification, the International Bureau may suggest a substitute term, or the deletion of the term.</w:t>
      </w:r>
    </w:p>
    <w:p w:rsidR="00FB7145" w:rsidRDefault="00FB7145" w:rsidP="00FB7145">
      <w:pPr>
        <w:spacing w:after="240"/>
        <w:jc w:val="both"/>
        <w:rPr>
          <w:i/>
        </w:rPr>
      </w:pPr>
      <w:r>
        <w:t>(2)</w:t>
      </w:r>
      <w:r>
        <w:tab/>
      </w:r>
      <w:r>
        <w:rPr>
          <w:i/>
        </w:rPr>
        <w:t>[</w:t>
      </w:r>
      <w:r>
        <w:rPr>
          <w:rFonts w:eastAsia="Times New Roman"/>
          <w:i/>
          <w:iCs/>
          <w:color w:val="000000"/>
          <w:szCs w:val="22"/>
          <w:lang w:eastAsia="en-US"/>
        </w:rPr>
        <w:t>Time Allowed to Remedy Irregularity]</w:t>
      </w:r>
    </w:p>
    <w:p w:rsidR="00FB7145" w:rsidRDefault="00FB7145" w:rsidP="00FB7145">
      <w:pPr>
        <w:spacing w:after="240"/>
        <w:ind w:left="1134" w:hanging="567"/>
        <w:jc w:val="both"/>
      </w:pPr>
      <w:r>
        <w:t>(a)</w:t>
      </w:r>
      <w:r>
        <w:tab/>
      </w:r>
      <w:r>
        <w:rPr>
          <w:rFonts w:eastAsia="Times New Roman"/>
          <w:color w:val="000000"/>
          <w:szCs w:val="22"/>
          <w:lang w:eastAsia="en-US"/>
        </w:rPr>
        <w:t>The Office of Origin may make a proposal for remedying the irregularity within three months from the date of the notification referred to in paragraph (1).</w:t>
      </w:r>
    </w:p>
    <w:p w:rsidR="00FB7145" w:rsidRDefault="00FB7145" w:rsidP="00FB7145">
      <w:pPr>
        <w:keepLines/>
        <w:spacing w:after="240"/>
        <w:ind w:left="1134" w:hanging="567"/>
        <w:jc w:val="both"/>
      </w:pPr>
      <w:r>
        <w:lastRenderedPageBreak/>
        <w:t>(b)</w:t>
      </w:r>
      <w:r>
        <w:tab/>
      </w:r>
      <w:r>
        <w:rPr>
          <w:rFonts w:eastAsia="Times New Roman"/>
          <w:color w:val="000000"/>
          <w:szCs w:val="22"/>
          <w:lang w:eastAsia="en-US"/>
        </w:rPr>
        <w:t xml:space="preserve">If no proposal acceptable to the International Bureau for remedying the irregularity is made within the period indicated in subparagraph (a), the International Bureau shall include in the international registration the term as appearing in the international application </w:t>
      </w:r>
      <w:r>
        <w:rPr>
          <w:rFonts w:eastAsia="Times New Roman"/>
          <w:color w:val="0070C0"/>
          <w:szCs w:val="22"/>
          <w:u w:val="single"/>
          <w:lang w:eastAsia="en-US"/>
        </w:rPr>
        <w:t>or the limitation in the international application</w:t>
      </w:r>
      <w:r>
        <w:rPr>
          <w:rFonts w:eastAsia="Times New Roman"/>
          <w:color w:val="000000"/>
          <w:szCs w:val="22"/>
          <w:lang w:eastAsia="en-US"/>
        </w:rPr>
        <w:t xml:space="preserve">, provided that the Office of Origin has specified the class in which such term should be classified;  the international registration shall contain an indication to the effect that, in the opinion of the International Bureau, the specified term is too vague for the purposes of classification or is incomprehensible or is linguistically incorrect, </w:t>
      </w:r>
      <w:r>
        <w:rPr>
          <w:rFonts w:eastAsia="Times New Roman"/>
          <w:color w:val="0070C0"/>
          <w:szCs w:val="22"/>
          <w:u w:val="single"/>
          <w:lang w:eastAsia="en-US"/>
        </w:rPr>
        <w:t>or extensive in relation to the main list,</w:t>
      </w:r>
      <w:r>
        <w:rPr>
          <w:rFonts w:eastAsia="Times New Roman"/>
          <w:szCs w:val="22"/>
          <w:lang w:eastAsia="en-US"/>
        </w:rPr>
        <w:t xml:space="preserve"> </w:t>
      </w:r>
      <w:r>
        <w:rPr>
          <w:rFonts w:eastAsia="Times New Roman"/>
          <w:color w:val="000000"/>
          <w:szCs w:val="22"/>
          <w:lang w:eastAsia="en-US"/>
        </w:rPr>
        <w:t xml:space="preserve">as the case may be.  Where no class has been specified by the Office of Origin, the International Bureau shall delete the said term </w:t>
      </w:r>
      <w:r w:rsidRPr="00AA5C06">
        <w:rPr>
          <w:rFonts w:eastAsia="Times New Roman"/>
          <w:i/>
          <w:color w:val="000000"/>
          <w:szCs w:val="22"/>
          <w:lang w:eastAsia="en-US"/>
        </w:rPr>
        <w:t>ex officio</w:t>
      </w:r>
      <w:r>
        <w:rPr>
          <w:rFonts w:eastAsia="Times New Roman"/>
          <w:color w:val="000000"/>
          <w:szCs w:val="22"/>
          <w:lang w:eastAsia="en-US"/>
        </w:rPr>
        <w:t xml:space="preserve"> and shall notify the Office of Origin accordingly and at the same time inform the applicant.</w:t>
      </w:r>
    </w:p>
    <w:p w:rsidR="00FB7145" w:rsidRPr="004C6E7A" w:rsidRDefault="00FB7145" w:rsidP="004C6E7A">
      <w:pPr>
        <w:pStyle w:val="Heading2"/>
      </w:pPr>
      <w:r w:rsidRPr="004C6E7A">
        <w:t>3.1.3</w:t>
      </w:r>
      <w:r w:rsidRPr="004C6E7A">
        <w:tab/>
        <w:t>Role of the designated Office</w:t>
      </w:r>
    </w:p>
    <w:p w:rsidR="00FB7145" w:rsidRDefault="00FB7145" w:rsidP="00FB7145">
      <w:pPr>
        <w:pStyle w:val="Heading3"/>
      </w:pPr>
      <w:bookmarkStart w:id="11" w:name="3.1.3.1_Variante_1"/>
      <w:bookmarkEnd w:id="11"/>
      <w:r>
        <w:t>3.1.3.1</w:t>
      </w:r>
      <w:r>
        <w:tab/>
        <w:t>Alternative 1</w:t>
      </w:r>
    </w:p>
    <w:p w:rsidR="00FB7145" w:rsidRDefault="00FB7145" w:rsidP="00FB7145">
      <w:pPr>
        <w:pStyle w:val="Heading4"/>
        <w:spacing w:after="240"/>
      </w:pPr>
      <w:r>
        <w:t>Rule 17</w:t>
      </w:r>
      <w:r>
        <w:br/>
        <w:t>Provisional Refusal</w:t>
      </w:r>
    </w:p>
    <w:p w:rsidR="00FB7145" w:rsidRDefault="00FB7145" w:rsidP="00FB7145">
      <w:pPr>
        <w:spacing w:after="240"/>
        <w:jc w:val="both"/>
        <w:rPr>
          <w:i/>
        </w:rPr>
      </w:pPr>
      <w:r>
        <w:t>(2)</w:t>
      </w:r>
      <w:r>
        <w:tab/>
      </w:r>
      <w:r>
        <w:rPr>
          <w:i/>
        </w:rPr>
        <w:t>[Content of the Notification]</w:t>
      </w:r>
      <w:r>
        <w:rPr>
          <w:szCs w:val="22"/>
        </w:rPr>
        <w:t>  </w:t>
      </w:r>
      <w:r>
        <w:t>A notification of provisional refusal shall contain or indicate</w:t>
      </w:r>
    </w:p>
    <w:p w:rsidR="00FB7145" w:rsidRDefault="00FB7145" w:rsidP="00FB7145">
      <w:pPr>
        <w:spacing w:after="240"/>
        <w:ind w:left="1701" w:hanging="567"/>
        <w:jc w:val="both"/>
      </w:pPr>
      <w:r>
        <w:t>[…]</w:t>
      </w:r>
    </w:p>
    <w:p w:rsidR="00FB7145" w:rsidRDefault="00FB7145" w:rsidP="00FB7145">
      <w:pPr>
        <w:spacing w:after="240"/>
        <w:ind w:left="1701" w:hanging="567"/>
        <w:jc w:val="both"/>
      </w:pPr>
      <w:r>
        <w:t>(iv)</w:t>
      </w:r>
      <w:r>
        <w:tab/>
        <w:t>all the grounds on which the provisional refusal is based, together with a reference to the corresponding essential provisions of the law</w:t>
      </w:r>
      <w:r w:rsidR="005F6952">
        <w:t>,</w:t>
      </w:r>
      <w:r>
        <w:rPr>
          <w:color w:val="0070C0"/>
          <w:u w:val="single"/>
          <w:vertAlign w:val="superscript"/>
        </w:rPr>
        <w:t>1</w:t>
      </w:r>
    </w:p>
    <w:p w:rsidR="00FB7145" w:rsidRPr="00ED1367" w:rsidRDefault="00FB7145" w:rsidP="00E015CF">
      <w:pPr>
        <w:pStyle w:val="ListParagraph"/>
        <w:numPr>
          <w:ilvl w:val="0"/>
          <w:numId w:val="9"/>
        </w:numPr>
        <w:spacing w:after="240"/>
        <w:ind w:left="567" w:hanging="567"/>
        <w:jc w:val="both"/>
        <w:rPr>
          <w:color w:val="0070C0"/>
          <w:sz w:val="20"/>
          <w:lang w:val="en-US"/>
        </w:rPr>
      </w:pPr>
      <w:r w:rsidRPr="00ED1367">
        <w:rPr>
          <w:color w:val="0070C0"/>
          <w:sz w:val="20"/>
          <w:u w:val="single"/>
          <w:lang w:val="en-US"/>
        </w:rPr>
        <w:t>Interpretative statement endorsed by the Assembly of the Madrid Union:</w:t>
      </w:r>
      <w:r w:rsidR="00ED1367" w:rsidRPr="00ED1367">
        <w:rPr>
          <w:color w:val="0070C0"/>
          <w:sz w:val="20"/>
          <w:u w:val="single"/>
          <w:lang w:val="en-US"/>
        </w:rPr>
        <w:t xml:space="preserve">  </w:t>
      </w:r>
      <w:r w:rsidRPr="00ED1367">
        <w:rPr>
          <w:color w:val="0070C0"/>
          <w:sz w:val="20"/>
          <w:u w:val="single"/>
          <w:lang w:val="en-US"/>
        </w:rPr>
        <w:t xml:space="preserve">“In Rule 17(2)(iv), the fact </w:t>
      </w:r>
      <w:r w:rsidRPr="005F6952">
        <w:rPr>
          <w:color w:val="0070C0"/>
          <w:sz w:val="20"/>
          <w:u w:val="single"/>
          <w:lang w:val="en-US"/>
        </w:rPr>
        <w:t xml:space="preserve">that the scope of the limitation included in the international </w:t>
      </w:r>
      <w:r w:rsidR="005F6952" w:rsidRPr="005F6952">
        <w:rPr>
          <w:color w:val="0070C0"/>
          <w:sz w:val="20"/>
          <w:u w:val="single"/>
          <w:lang w:val="en-US"/>
        </w:rPr>
        <w:t>application</w:t>
      </w:r>
      <w:r w:rsidRPr="005F6952">
        <w:rPr>
          <w:color w:val="0070C0"/>
          <w:sz w:val="20"/>
          <w:u w:val="single"/>
          <w:lang w:val="en-US"/>
        </w:rPr>
        <w:t xml:space="preserve"> is extensive in relation to the</w:t>
      </w:r>
      <w:r w:rsidRPr="00ED1367">
        <w:rPr>
          <w:color w:val="0070C0"/>
          <w:sz w:val="20"/>
          <w:u w:val="single"/>
          <w:lang w:val="en-US"/>
        </w:rPr>
        <w:t xml:space="preserve"> main list of the international application is not a ground for provisional refusal.”</w:t>
      </w:r>
    </w:p>
    <w:p w:rsidR="00FB7145" w:rsidRPr="00ED1367" w:rsidRDefault="00FB7145" w:rsidP="00ED1367">
      <w:pPr>
        <w:pStyle w:val="Heading3"/>
      </w:pPr>
      <w:bookmarkStart w:id="12" w:name="3.1.3.2_Variante_2"/>
      <w:bookmarkEnd w:id="12"/>
      <w:r w:rsidRPr="00ED1367">
        <w:t>3.1.3.2</w:t>
      </w:r>
      <w:r w:rsidRPr="00ED1367">
        <w:tab/>
        <w:t>Alternative 2</w:t>
      </w:r>
    </w:p>
    <w:p w:rsidR="00FB7145" w:rsidRDefault="00FB7145" w:rsidP="00FB7145">
      <w:pPr>
        <w:spacing w:before="240"/>
      </w:pPr>
      <w:r>
        <w:t>No amendments.</w:t>
      </w:r>
    </w:p>
    <w:p w:rsidR="00FB7145" w:rsidRDefault="00FB7145" w:rsidP="00BF048F">
      <w:pPr>
        <w:spacing w:before="660"/>
        <w:ind w:left="5534"/>
      </w:pPr>
      <w:r>
        <w:t>[End of Annex and of document]</w:t>
      </w:r>
    </w:p>
    <w:sectPr w:rsidR="00FB7145" w:rsidSect="00FB7145">
      <w:headerReference w:type="first" r:id="rId13"/>
      <w:footnotePr>
        <w:numFmt w:val="chicago"/>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2F78" w:rsidRDefault="00542F78">
      <w:r>
        <w:separator/>
      </w:r>
    </w:p>
  </w:endnote>
  <w:endnote w:type="continuationSeparator" w:id="0">
    <w:p w:rsidR="00542F78" w:rsidRDefault="00542F78" w:rsidP="003B38C1">
      <w:r>
        <w:separator/>
      </w:r>
    </w:p>
    <w:p w:rsidR="00542F78" w:rsidRPr="003B38C1" w:rsidRDefault="00542F78" w:rsidP="003B38C1">
      <w:pPr>
        <w:spacing w:after="60"/>
        <w:rPr>
          <w:sz w:val="17"/>
        </w:rPr>
      </w:pPr>
      <w:r>
        <w:rPr>
          <w:sz w:val="17"/>
        </w:rPr>
        <w:t>[Endnote continued from previous page]</w:t>
      </w:r>
    </w:p>
  </w:endnote>
  <w:endnote w:type="continuationNotice" w:id="1">
    <w:p w:rsidR="00542F78" w:rsidRPr="003B38C1" w:rsidRDefault="00542F7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embedRegular r:id="rId1" w:fontKey="{D98104E9-1D66-4E3B-9C3A-4CEB01AE5F12}"/>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2F78" w:rsidRDefault="00542F78">
      <w:r>
        <w:separator/>
      </w:r>
    </w:p>
  </w:footnote>
  <w:footnote w:type="continuationSeparator" w:id="0">
    <w:p w:rsidR="00542F78" w:rsidRDefault="00542F78" w:rsidP="008B60B2">
      <w:r>
        <w:separator/>
      </w:r>
    </w:p>
    <w:p w:rsidR="00542F78" w:rsidRPr="00ED77FB" w:rsidRDefault="00542F78" w:rsidP="008B60B2">
      <w:pPr>
        <w:spacing w:after="60"/>
        <w:rPr>
          <w:sz w:val="17"/>
          <w:szCs w:val="17"/>
        </w:rPr>
      </w:pPr>
      <w:r w:rsidRPr="00ED77FB">
        <w:rPr>
          <w:sz w:val="17"/>
          <w:szCs w:val="17"/>
        </w:rPr>
        <w:t>[Footnote continued from previous page]</w:t>
      </w:r>
    </w:p>
  </w:footnote>
  <w:footnote w:type="continuationNotice" w:id="1">
    <w:p w:rsidR="00542F78" w:rsidRPr="00ED77FB" w:rsidRDefault="00542F78" w:rsidP="008B60B2">
      <w:pPr>
        <w:spacing w:before="60"/>
        <w:jc w:val="right"/>
        <w:rPr>
          <w:sz w:val="17"/>
          <w:szCs w:val="17"/>
        </w:rPr>
      </w:pPr>
      <w:r w:rsidRPr="00ED77FB">
        <w:rPr>
          <w:sz w:val="17"/>
          <w:szCs w:val="17"/>
        </w:rPr>
        <w:t>[Footnote continued on next page]</w:t>
      </w:r>
    </w:p>
  </w:footnote>
  <w:footnote w:id="2">
    <w:p w:rsidR="00FB7145" w:rsidRDefault="00FB7145" w:rsidP="00FB7145">
      <w:pPr>
        <w:pStyle w:val="FootnoteText"/>
        <w:rPr>
          <w:lang w:val="en-GB"/>
        </w:rPr>
      </w:pPr>
      <w:r>
        <w:rPr>
          <w:rStyle w:val="FootnoteReference"/>
        </w:rPr>
        <w:footnoteRef/>
      </w:r>
      <w:r>
        <w:t xml:space="preserve"> </w:t>
      </w:r>
      <w:r>
        <w:tab/>
      </w:r>
      <w:r>
        <w:rPr>
          <w:lang w:val="en-GB"/>
        </w:rPr>
        <w:t xml:space="preserve">The </w:t>
      </w:r>
      <w:r w:rsidR="004C6E7A">
        <w:rPr>
          <w:lang w:val="en-GB"/>
        </w:rPr>
        <w:t>eighteenth</w:t>
      </w:r>
      <w:r>
        <w:rPr>
          <w:lang w:val="en-GB"/>
        </w:rPr>
        <w:t xml:space="preserve"> session of the Working Group</w:t>
      </w:r>
      <w:r>
        <w:t xml:space="preserve"> </w:t>
      </w:r>
      <w:r>
        <w:rPr>
          <w:lang w:val="en-GB"/>
        </w:rPr>
        <w:t xml:space="preserve">on the Legal Development of the Madrid System for the International Registration of Marks was initially scheduled to be held from June 22 to 26, 2020. </w:t>
      </w:r>
      <w:r w:rsidR="004C6E7A">
        <w:rPr>
          <w:lang w:val="en-GB"/>
        </w:rPr>
        <w:t xml:space="preserve"> </w:t>
      </w:r>
      <w:r>
        <w:rPr>
          <w:lang w:val="en-GB"/>
        </w:rPr>
        <w:t>This session was postponed until October because of the C</w:t>
      </w:r>
      <w:r w:rsidR="006A1575">
        <w:rPr>
          <w:lang w:val="en-GB"/>
        </w:rPr>
        <w:t>OVID</w:t>
      </w:r>
      <w:r>
        <w:rPr>
          <w:lang w:val="en-GB"/>
        </w:rPr>
        <w:t>-19 pandemic.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6457" w:rsidRPr="00656457" w:rsidRDefault="00656457" w:rsidP="00656457">
    <w:pPr>
      <w:jc w:val="right"/>
      <w:rPr>
        <w:caps/>
      </w:rPr>
    </w:pPr>
    <w:bookmarkStart w:id="5" w:name="Code2"/>
    <w:r w:rsidRPr="00656457">
      <w:rPr>
        <w:caps/>
      </w:rPr>
      <w:t>MM/LD/</w:t>
    </w:r>
    <w:r>
      <w:rPr>
        <w:caps/>
      </w:rPr>
      <w:t>WG/18/</w:t>
    </w:r>
    <w:r w:rsidR="00575EE7">
      <w:rPr>
        <w:caps/>
      </w:rPr>
      <w:t>8</w:t>
    </w:r>
  </w:p>
  <w:bookmarkEnd w:id="5"/>
  <w:p w:rsidR="00D07C78" w:rsidRDefault="00D07C78" w:rsidP="00656457">
    <w:pPr>
      <w:spacing w:after="440"/>
      <w:jc w:val="right"/>
    </w:pPr>
    <w:r>
      <w:t xml:space="preserve">page </w:t>
    </w:r>
    <w:r>
      <w:fldChar w:fldCharType="begin"/>
    </w:r>
    <w:r>
      <w:instrText xml:space="preserve"> PAGE  \* MERGEFORMAT </w:instrText>
    </w:r>
    <w:r>
      <w:fldChar w:fldCharType="separate"/>
    </w:r>
    <w:r w:rsidR="00892576">
      <w:rPr>
        <w:noProof/>
      </w:rPr>
      <w:t>5</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145" w:rsidRPr="00FB7145" w:rsidRDefault="00FB7145" w:rsidP="00FB7145">
    <w:pPr>
      <w:jc w:val="right"/>
      <w:rPr>
        <w:lang w:val="fr-CH"/>
      </w:rPr>
    </w:pPr>
    <w:r w:rsidRPr="00FB7145">
      <w:rPr>
        <w:lang w:val="fr-CH"/>
      </w:rPr>
      <w:t>MM/LD/WG/18/8</w:t>
    </w:r>
  </w:p>
  <w:p w:rsidR="00FB7145" w:rsidRPr="00FB7145" w:rsidRDefault="00FB7145" w:rsidP="00FB7145">
    <w:pPr>
      <w:spacing w:after="440"/>
      <w:jc w:val="right"/>
      <w:rPr>
        <w:lang w:val="fr-CH"/>
      </w:rPr>
    </w:pPr>
    <w:r>
      <w:rPr>
        <w:lang w:val="fr-CH"/>
      </w:rPr>
      <w:t>ANNEX</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145" w:rsidRPr="00FB7145" w:rsidRDefault="00FB7145" w:rsidP="00FB7145">
    <w:pPr>
      <w:jc w:val="right"/>
      <w:rPr>
        <w:lang w:val="fr-CH"/>
      </w:rPr>
    </w:pPr>
    <w:r w:rsidRPr="00FB7145">
      <w:rPr>
        <w:lang w:val="fr-CH"/>
      </w:rPr>
      <w:t>MM/LD/WG/18/8</w:t>
    </w:r>
  </w:p>
  <w:p w:rsidR="00FB7145" w:rsidRPr="00FB7145" w:rsidRDefault="00FB7145" w:rsidP="00FB7145">
    <w:pPr>
      <w:spacing w:after="440"/>
      <w:jc w:val="right"/>
      <w:rPr>
        <w:lang w:val="fr-CH"/>
      </w:rPr>
    </w:pPr>
    <w:proofErr w:type="spellStart"/>
    <w:r>
      <w:rPr>
        <w:lang w:val="fr-CH"/>
      </w:rPr>
      <w:t>Annex</w:t>
    </w:r>
    <w:proofErr w:type="spellEnd"/>
    <w:r>
      <w:rPr>
        <w:lang w:val="fr-CH"/>
      </w:rPr>
      <w:t xml:space="preserve">, page </w:t>
    </w:r>
    <w:r w:rsidRPr="00FB7145">
      <w:rPr>
        <w:lang w:val="fr-CH"/>
      </w:rPr>
      <w:fldChar w:fldCharType="begin"/>
    </w:r>
    <w:r w:rsidRPr="00FB7145">
      <w:rPr>
        <w:lang w:val="fr-CH"/>
      </w:rPr>
      <w:instrText xml:space="preserve"> PAGE   \* MERGEFORMAT </w:instrText>
    </w:r>
    <w:r w:rsidRPr="00FB7145">
      <w:rPr>
        <w:lang w:val="fr-CH"/>
      </w:rPr>
      <w:fldChar w:fldCharType="separate"/>
    </w:r>
    <w:r w:rsidR="00892576">
      <w:rPr>
        <w:noProof/>
        <w:lang w:val="fr-CH"/>
      </w:rPr>
      <w:t>2</w:t>
    </w:r>
    <w:r w:rsidRPr="00FB7145">
      <w:rPr>
        <w:noProof/>
        <w:lang w:val="fr-CH"/>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7DC5284"/>
    <w:multiLevelType w:val="hybridMultilevel"/>
    <w:tmpl w:val="DC5C4FAC"/>
    <w:lvl w:ilvl="0" w:tplc="8C8092DE">
      <w:start w:val="1"/>
      <w:numFmt w:val="decimal"/>
      <w:lvlText w:val="(%1)"/>
      <w:lvlJc w:val="left"/>
      <w:pPr>
        <w:ind w:left="118" w:hanging="257"/>
      </w:pPr>
      <w:rPr>
        <w:i w:val="0"/>
        <w:spacing w:val="-1"/>
        <w:w w:val="100"/>
        <w:sz w:val="22"/>
        <w:szCs w:val="22"/>
      </w:rPr>
    </w:lvl>
    <w:lvl w:ilvl="1" w:tplc="0D3AD444">
      <w:start w:val="1"/>
      <w:numFmt w:val="lowerLetter"/>
      <w:lvlText w:val="%2)"/>
      <w:lvlJc w:val="left"/>
      <w:pPr>
        <w:ind w:left="684" w:hanging="260"/>
      </w:pPr>
      <w:rPr>
        <w:rFonts w:ascii="Arial" w:eastAsia="Arial" w:hAnsi="Arial" w:cs="Arial" w:hint="default"/>
        <w:spacing w:val="-1"/>
        <w:w w:val="100"/>
        <w:sz w:val="22"/>
        <w:szCs w:val="22"/>
      </w:rPr>
    </w:lvl>
    <w:lvl w:ilvl="2" w:tplc="C7C8C35C">
      <w:numFmt w:val="bullet"/>
      <w:lvlText w:val="•"/>
      <w:lvlJc w:val="left"/>
      <w:pPr>
        <w:ind w:left="1731" w:hanging="260"/>
      </w:pPr>
    </w:lvl>
    <w:lvl w:ilvl="3" w:tplc="40EAC014">
      <w:numFmt w:val="bullet"/>
      <w:lvlText w:val="•"/>
      <w:lvlJc w:val="left"/>
      <w:pPr>
        <w:ind w:left="2783" w:hanging="260"/>
      </w:pPr>
    </w:lvl>
    <w:lvl w:ilvl="4" w:tplc="405200A0">
      <w:numFmt w:val="bullet"/>
      <w:lvlText w:val="•"/>
      <w:lvlJc w:val="left"/>
      <w:pPr>
        <w:ind w:left="3835" w:hanging="260"/>
      </w:pPr>
    </w:lvl>
    <w:lvl w:ilvl="5" w:tplc="79AE8A20">
      <w:numFmt w:val="bullet"/>
      <w:lvlText w:val="•"/>
      <w:lvlJc w:val="left"/>
      <w:pPr>
        <w:ind w:left="4887" w:hanging="260"/>
      </w:pPr>
    </w:lvl>
    <w:lvl w:ilvl="6" w:tplc="64E4DCC8">
      <w:numFmt w:val="bullet"/>
      <w:lvlText w:val="•"/>
      <w:lvlJc w:val="left"/>
      <w:pPr>
        <w:ind w:left="5939" w:hanging="260"/>
      </w:pPr>
    </w:lvl>
    <w:lvl w:ilvl="7" w:tplc="9C5AD36E">
      <w:numFmt w:val="bullet"/>
      <w:lvlText w:val="•"/>
      <w:lvlJc w:val="left"/>
      <w:pPr>
        <w:ind w:left="6990" w:hanging="260"/>
      </w:pPr>
    </w:lvl>
    <w:lvl w:ilvl="8" w:tplc="C6B0F814">
      <w:numFmt w:val="bullet"/>
      <w:lvlText w:val="•"/>
      <w:lvlJc w:val="left"/>
      <w:pPr>
        <w:ind w:left="8042" w:hanging="260"/>
      </w:pPr>
    </w:lvl>
  </w:abstractNum>
  <w:abstractNum w:abstractNumId="7" w15:restartNumberingAfterBreak="0">
    <w:nsid w:val="69147BB7"/>
    <w:multiLevelType w:val="hybridMultilevel"/>
    <w:tmpl w:val="5D12D108"/>
    <w:lvl w:ilvl="0" w:tplc="D4EA9E40">
      <w:start w:val="1"/>
      <w:numFmt w:val="decimal"/>
      <w:lvlText w:val="%1"/>
      <w:lvlJc w:val="left"/>
      <w:pPr>
        <w:ind w:left="930" w:hanging="570"/>
      </w:pPr>
      <w:rPr>
        <w:vertAlign w:val="superscrip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
    <w:abstractNumId w:val="6"/>
    <w:lvlOverride w:ilvl="0">
      <w:startOverride w:val="1"/>
    </w:lvlOverride>
    <w:lvlOverride w:ilvl="1">
      <w:startOverride w:val="1"/>
    </w:lvlOverride>
    <w:lvlOverride w:ilvl="2"/>
    <w:lvlOverride w:ilvl="3"/>
    <w:lvlOverride w:ilvl="4"/>
    <w:lvlOverride w:ilvl="5"/>
    <w:lvlOverride w:ilvl="6"/>
    <w:lvlOverride w:ilvl="7"/>
    <w:lvlOverride w:ilvl="8"/>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6"/>
  <w:embedTrueTypeFonts/>
  <w:saveSubsetFonts/>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numFmt w:val="chicago"/>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F78"/>
    <w:rsid w:val="000244F3"/>
    <w:rsid w:val="00043CAA"/>
    <w:rsid w:val="00056816"/>
    <w:rsid w:val="00075432"/>
    <w:rsid w:val="000968ED"/>
    <w:rsid w:val="000A3D97"/>
    <w:rsid w:val="000F5E56"/>
    <w:rsid w:val="001362EE"/>
    <w:rsid w:val="00143ED6"/>
    <w:rsid w:val="001647D5"/>
    <w:rsid w:val="00177C78"/>
    <w:rsid w:val="001832A6"/>
    <w:rsid w:val="001D4107"/>
    <w:rsid w:val="00203D24"/>
    <w:rsid w:val="0021217E"/>
    <w:rsid w:val="00243430"/>
    <w:rsid w:val="002634C4"/>
    <w:rsid w:val="002928D3"/>
    <w:rsid w:val="002F0016"/>
    <w:rsid w:val="002F1FE6"/>
    <w:rsid w:val="002F4E68"/>
    <w:rsid w:val="00312F7F"/>
    <w:rsid w:val="00361450"/>
    <w:rsid w:val="003673CF"/>
    <w:rsid w:val="003845C1"/>
    <w:rsid w:val="003A6F89"/>
    <w:rsid w:val="003B38C1"/>
    <w:rsid w:val="003C34E9"/>
    <w:rsid w:val="00423E3E"/>
    <w:rsid w:val="00426FFE"/>
    <w:rsid w:val="00427AF4"/>
    <w:rsid w:val="004647DA"/>
    <w:rsid w:val="00474062"/>
    <w:rsid w:val="00477D6B"/>
    <w:rsid w:val="004C6E7A"/>
    <w:rsid w:val="004F646D"/>
    <w:rsid w:val="005019FF"/>
    <w:rsid w:val="0053057A"/>
    <w:rsid w:val="00542F78"/>
    <w:rsid w:val="00556076"/>
    <w:rsid w:val="00556656"/>
    <w:rsid w:val="00560A29"/>
    <w:rsid w:val="00575EE7"/>
    <w:rsid w:val="00582CF1"/>
    <w:rsid w:val="00595792"/>
    <w:rsid w:val="005C6649"/>
    <w:rsid w:val="005F6952"/>
    <w:rsid w:val="00605827"/>
    <w:rsid w:val="00646050"/>
    <w:rsid w:val="00656457"/>
    <w:rsid w:val="006713CA"/>
    <w:rsid w:val="00676C5C"/>
    <w:rsid w:val="006942A7"/>
    <w:rsid w:val="006A1575"/>
    <w:rsid w:val="007077C5"/>
    <w:rsid w:val="007177FB"/>
    <w:rsid w:val="00720EFD"/>
    <w:rsid w:val="00793A7C"/>
    <w:rsid w:val="007A398A"/>
    <w:rsid w:val="007D1613"/>
    <w:rsid w:val="007E4C0E"/>
    <w:rsid w:val="00824653"/>
    <w:rsid w:val="008379A3"/>
    <w:rsid w:val="00874BD3"/>
    <w:rsid w:val="00892576"/>
    <w:rsid w:val="008A134B"/>
    <w:rsid w:val="008A75FD"/>
    <w:rsid w:val="008B2CC1"/>
    <w:rsid w:val="008B60B2"/>
    <w:rsid w:val="008E137E"/>
    <w:rsid w:val="008E7E48"/>
    <w:rsid w:val="0090678D"/>
    <w:rsid w:val="0090731E"/>
    <w:rsid w:val="00916EE2"/>
    <w:rsid w:val="00966A22"/>
    <w:rsid w:val="0096722F"/>
    <w:rsid w:val="00980843"/>
    <w:rsid w:val="009E2791"/>
    <w:rsid w:val="009E3F6F"/>
    <w:rsid w:val="009F499F"/>
    <w:rsid w:val="00A37342"/>
    <w:rsid w:val="00A42DAF"/>
    <w:rsid w:val="00A45BD8"/>
    <w:rsid w:val="00A869B7"/>
    <w:rsid w:val="00AA5C06"/>
    <w:rsid w:val="00AB1923"/>
    <w:rsid w:val="00AC205C"/>
    <w:rsid w:val="00AF0A6B"/>
    <w:rsid w:val="00B05A69"/>
    <w:rsid w:val="00B25737"/>
    <w:rsid w:val="00B75281"/>
    <w:rsid w:val="00B92F1F"/>
    <w:rsid w:val="00B9734B"/>
    <w:rsid w:val="00BA30E2"/>
    <w:rsid w:val="00BF048F"/>
    <w:rsid w:val="00C11BFE"/>
    <w:rsid w:val="00C25709"/>
    <w:rsid w:val="00C5068F"/>
    <w:rsid w:val="00C86D74"/>
    <w:rsid w:val="00CC0B3E"/>
    <w:rsid w:val="00CD04F1"/>
    <w:rsid w:val="00CF681A"/>
    <w:rsid w:val="00D07C78"/>
    <w:rsid w:val="00D347B2"/>
    <w:rsid w:val="00D45252"/>
    <w:rsid w:val="00D71B4D"/>
    <w:rsid w:val="00D93D55"/>
    <w:rsid w:val="00DC7FC8"/>
    <w:rsid w:val="00DD7B7F"/>
    <w:rsid w:val="00E15015"/>
    <w:rsid w:val="00E335FE"/>
    <w:rsid w:val="00EA7D6E"/>
    <w:rsid w:val="00EB2F76"/>
    <w:rsid w:val="00EC4E49"/>
    <w:rsid w:val="00ED1367"/>
    <w:rsid w:val="00ED77FB"/>
    <w:rsid w:val="00EE45FA"/>
    <w:rsid w:val="00F043DE"/>
    <w:rsid w:val="00F1085F"/>
    <w:rsid w:val="00F66152"/>
    <w:rsid w:val="00F874D6"/>
    <w:rsid w:val="00F9165B"/>
    <w:rsid w:val="00FA7424"/>
    <w:rsid w:val="00FB714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1A7835F0"/>
  <w15:docId w15:val="{D9FB24C4-90EC-4C35-8726-51F248880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basedOn w:val="DefaultParagraphFont"/>
    <w:semiHidden/>
    <w:unhideWhenUsed/>
    <w:rsid w:val="008E137E"/>
    <w:rPr>
      <w:vertAlign w:val="superscript"/>
    </w:rPr>
  </w:style>
  <w:style w:type="character" w:styleId="Hyperlink">
    <w:name w:val="Hyperlink"/>
    <w:basedOn w:val="DefaultParagraphFont"/>
    <w:unhideWhenUsed/>
    <w:rsid w:val="00582CF1"/>
    <w:rPr>
      <w:color w:val="0000FF" w:themeColor="hyperlink"/>
      <w:u w:val="single"/>
    </w:rPr>
  </w:style>
  <w:style w:type="character" w:customStyle="1" w:styleId="Heading1Char">
    <w:name w:val="Heading 1 Char"/>
    <w:basedOn w:val="DefaultParagraphFont"/>
    <w:link w:val="Heading1"/>
    <w:rsid w:val="00FB7145"/>
    <w:rPr>
      <w:rFonts w:ascii="Arial" w:eastAsia="SimSun" w:hAnsi="Arial" w:cs="Arial"/>
      <w:b/>
      <w:bCs/>
      <w:caps/>
      <w:kern w:val="32"/>
      <w:sz w:val="22"/>
      <w:szCs w:val="32"/>
      <w:lang w:val="en-US" w:eastAsia="zh-CN"/>
    </w:rPr>
  </w:style>
  <w:style w:type="character" w:customStyle="1" w:styleId="Heading2Char">
    <w:name w:val="Heading 2 Char"/>
    <w:basedOn w:val="DefaultParagraphFont"/>
    <w:link w:val="Heading2"/>
    <w:rsid w:val="00FB7145"/>
    <w:rPr>
      <w:rFonts w:ascii="Arial" w:eastAsia="SimSun" w:hAnsi="Arial" w:cs="Arial"/>
      <w:bCs/>
      <w:iCs/>
      <w:caps/>
      <w:sz w:val="22"/>
      <w:szCs w:val="28"/>
      <w:lang w:val="en-US" w:eastAsia="zh-CN"/>
    </w:rPr>
  </w:style>
  <w:style w:type="character" w:customStyle="1" w:styleId="FootnoteTextChar">
    <w:name w:val="Footnote Text Char"/>
    <w:basedOn w:val="DefaultParagraphFont"/>
    <w:link w:val="FootnoteText"/>
    <w:semiHidden/>
    <w:rsid w:val="00FB7145"/>
    <w:rPr>
      <w:rFonts w:ascii="Arial" w:eastAsia="SimSun" w:hAnsi="Arial" w:cs="Arial"/>
      <w:sz w:val="18"/>
      <w:lang w:val="en-US" w:eastAsia="zh-CN"/>
    </w:rPr>
  </w:style>
  <w:style w:type="character" w:customStyle="1" w:styleId="Style1Char">
    <w:name w:val="Style1 Char"/>
    <w:basedOn w:val="DefaultParagraphFont"/>
    <w:link w:val="Style1"/>
    <w:locked/>
    <w:rsid w:val="00FB7145"/>
    <w:rPr>
      <w:rFonts w:ascii="Arial" w:eastAsia="SimSun" w:hAnsi="Arial" w:cs="Arial"/>
      <w:b/>
      <w:sz w:val="32"/>
      <w:szCs w:val="32"/>
      <w:lang w:eastAsia="zh-CN"/>
    </w:rPr>
  </w:style>
  <w:style w:type="paragraph" w:customStyle="1" w:styleId="Style1">
    <w:name w:val="Style1"/>
    <w:basedOn w:val="Normal"/>
    <w:link w:val="Style1Char"/>
    <w:qFormat/>
    <w:rsid w:val="00FB7145"/>
    <w:rPr>
      <w:b/>
      <w:sz w:val="32"/>
      <w:szCs w:val="32"/>
      <w:lang w:val="fr-CH"/>
    </w:rPr>
  </w:style>
  <w:style w:type="character" w:styleId="Strong">
    <w:name w:val="Strong"/>
    <w:basedOn w:val="DefaultParagraphFont"/>
    <w:qFormat/>
    <w:rsid w:val="00FB7145"/>
    <w:rPr>
      <w:b/>
      <w:bCs/>
    </w:rPr>
  </w:style>
  <w:style w:type="character" w:customStyle="1" w:styleId="Heading4Char">
    <w:name w:val="Heading 4 Char"/>
    <w:basedOn w:val="DefaultParagraphFont"/>
    <w:link w:val="Heading4"/>
    <w:rsid w:val="00FB7145"/>
    <w:rPr>
      <w:rFonts w:ascii="Arial" w:eastAsia="SimSun" w:hAnsi="Arial" w:cs="Arial"/>
      <w:bCs/>
      <w:i/>
      <w:sz w:val="22"/>
      <w:szCs w:val="28"/>
      <w:lang w:val="en-US" w:eastAsia="zh-CN"/>
    </w:rPr>
  </w:style>
  <w:style w:type="character" w:customStyle="1" w:styleId="Heading3Char">
    <w:name w:val="Heading 3 Char"/>
    <w:basedOn w:val="DefaultParagraphFont"/>
    <w:link w:val="Heading3"/>
    <w:rsid w:val="00FB7145"/>
    <w:rPr>
      <w:rFonts w:ascii="Arial" w:eastAsia="SimSun" w:hAnsi="Arial" w:cs="Arial"/>
      <w:bCs/>
      <w:sz w:val="22"/>
      <w:szCs w:val="26"/>
      <w:u w:val="single"/>
      <w:lang w:val="en-US" w:eastAsia="zh-CN"/>
    </w:rPr>
  </w:style>
  <w:style w:type="paragraph" w:styleId="ListParagraph">
    <w:name w:val="List Paragraph"/>
    <w:basedOn w:val="Normal"/>
    <w:uiPriority w:val="34"/>
    <w:qFormat/>
    <w:rsid w:val="00FB7145"/>
    <w:pPr>
      <w:ind w:left="720"/>
      <w:contextualSpacing/>
    </w:pPr>
    <w:rPr>
      <w:lang w:val="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17283">
      <w:bodyDiv w:val="1"/>
      <w:marLeft w:val="0"/>
      <w:marRight w:val="0"/>
      <w:marTop w:val="0"/>
      <w:marBottom w:val="0"/>
      <w:divBdr>
        <w:top w:val="none" w:sz="0" w:space="0" w:color="auto"/>
        <w:left w:val="none" w:sz="0" w:space="0" w:color="auto"/>
        <w:bottom w:val="none" w:sz="0" w:space="0" w:color="auto"/>
        <w:right w:val="none" w:sz="0" w:space="0" w:color="auto"/>
      </w:divBdr>
    </w:div>
    <w:div w:id="96406873">
      <w:bodyDiv w:val="1"/>
      <w:marLeft w:val="0"/>
      <w:marRight w:val="0"/>
      <w:marTop w:val="0"/>
      <w:marBottom w:val="0"/>
      <w:divBdr>
        <w:top w:val="none" w:sz="0" w:space="0" w:color="auto"/>
        <w:left w:val="none" w:sz="0" w:space="0" w:color="auto"/>
        <w:bottom w:val="none" w:sz="0" w:space="0" w:color="auto"/>
        <w:right w:val="none" w:sz="0" w:space="0" w:color="auto"/>
      </w:divBdr>
    </w:div>
    <w:div w:id="218370128">
      <w:bodyDiv w:val="1"/>
      <w:marLeft w:val="0"/>
      <w:marRight w:val="0"/>
      <w:marTop w:val="0"/>
      <w:marBottom w:val="0"/>
      <w:divBdr>
        <w:top w:val="none" w:sz="0" w:space="0" w:color="auto"/>
        <w:left w:val="none" w:sz="0" w:space="0" w:color="auto"/>
        <w:bottom w:val="none" w:sz="0" w:space="0" w:color="auto"/>
        <w:right w:val="none" w:sz="0" w:space="0" w:color="auto"/>
      </w:divBdr>
    </w:div>
    <w:div w:id="324746251">
      <w:bodyDiv w:val="1"/>
      <w:marLeft w:val="0"/>
      <w:marRight w:val="0"/>
      <w:marTop w:val="0"/>
      <w:marBottom w:val="0"/>
      <w:divBdr>
        <w:top w:val="none" w:sz="0" w:space="0" w:color="auto"/>
        <w:left w:val="none" w:sz="0" w:space="0" w:color="auto"/>
        <w:bottom w:val="none" w:sz="0" w:space="0" w:color="auto"/>
        <w:right w:val="none" w:sz="0" w:space="0" w:color="auto"/>
      </w:divBdr>
    </w:div>
    <w:div w:id="482739218">
      <w:bodyDiv w:val="1"/>
      <w:marLeft w:val="0"/>
      <w:marRight w:val="0"/>
      <w:marTop w:val="0"/>
      <w:marBottom w:val="0"/>
      <w:divBdr>
        <w:top w:val="none" w:sz="0" w:space="0" w:color="auto"/>
        <w:left w:val="none" w:sz="0" w:space="0" w:color="auto"/>
        <w:bottom w:val="none" w:sz="0" w:space="0" w:color="auto"/>
        <w:right w:val="none" w:sz="0" w:space="0" w:color="auto"/>
      </w:divBdr>
    </w:div>
    <w:div w:id="1630814733">
      <w:bodyDiv w:val="1"/>
      <w:marLeft w:val="0"/>
      <w:marRight w:val="0"/>
      <w:marTop w:val="0"/>
      <w:marBottom w:val="0"/>
      <w:divBdr>
        <w:top w:val="none" w:sz="0" w:space="0" w:color="auto"/>
        <w:left w:val="none" w:sz="0" w:space="0" w:color="auto"/>
        <w:bottom w:val="none" w:sz="0" w:space="0" w:color="auto"/>
        <w:right w:val="none" w:sz="0" w:space="0" w:color="auto"/>
      </w:divBdr>
    </w:div>
    <w:div w:id="1788115523">
      <w:bodyDiv w:val="1"/>
      <w:marLeft w:val="0"/>
      <w:marRight w:val="0"/>
      <w:marTop w:val="0"/>
      <w:marBottom w:val="0"/>
      <w:divBdr>
        <w:top w:val="none" w:sz="0" w:space="0" w:color="auto"/>
        <w:left w:val="none" w:sz="0" w:space="0" w:color="auto"/>
        <w:bottom w:val="none" w:sz="0" w:space="0" w:color="auto"/>
        <w:right w:val="none" w:sz="0" w:space="0" w:color="auto"/>
      </w:divBdr>
    </w:div>
    <w:div w:id="1970740742">
      <w:bodyDiv w:val="1"/>
      <w:marLeft w:val="0"/>
      <w:marRight w:val="0"/>
      <w:marTop w:val="0"/>
      <w:marBottom w:val="0"/>
      <w:divBdr>
        <w:top w:val="none" w:sz="0" w:space="0" w:color="auto"/>
        <w:left w:val="none" w:sz="0" w:space="0" w:color="auto"/>
        <w:bottom w:val="none" w:sz="0" w:space="0" w:color="auto"/>
        <w:right w:val="none" w:sz="0" w:space="0" w:color="auto"/>
      </w:divBdr>
    </w:div>
    <w:div w:id="209867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2E38CA-191B-4B52-8F6A-17AD6D247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6</Pages>
  <Words>1668</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MM/LD/WG</vt:lpstr>
    </vt:vector>
  </TitlesOfParts>
  <Company>WIPO</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MM/LD/WG</dc:title>
  <dc:creator>Madrid Legal Division</dc:creator>
  <cp:keywords>FOR OFFICIAL USE ONLY</cp:keywords>
  <cp:lastModifiedBy>DIAZ Natacha</cp:lastModifiedBy>
  <cp:revision>14</cp:revision>
  <cp:lastPrinted>2020-08-17T07:08:00Z</cp:lastPrinted>
  <dcterms:created xsi:type="dcterms:W3CDTF">2020-08-12T08:58:00Z</dcterms:created>
  <dcterms:modified xsi:type="dcterms:W3CDTF">2020-08-17T07:08:00Z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