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1124D8">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F1C7E">
              <w:rPr>
                <w:rFonts w:ascii="Arial Black" w:hAnsi="Arial Black"/>
                <w:caps/>
                <w:sz w:val="15"/>
              </w:rPr>
              <w:t>6</w:t>
            </w:r>
            <w:r w:rsidR="003C5432">
              <w:rPr>
                <w:rFonts w:ascii="Arial Black" w:hAnsi="Arial Black"/>
                <w:caps/>
                <w:sz w:val="15"/>
              </w:rPr>
              <w:t>/</w:t>
            </w:r>
            <w:r w:rsidR="001124D8">
              <w:rPr>
                <w:rFonts w:ascii="Arial Black" w:hAnsi="Arial Black"/>
                <w:caps/>
                <w:sz w:val="15"/>
              </w:rPr>
              <w:t>10</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6964">
            <w:pPr>
              <w:jc w:val="right"/>
              <w:rPr>
                <w:rFonts w:ascii="Arial Black" w:hAnsi="Arial Black"/>
                <w:caps/>
                <w:sz w:val="15"/>
              </w:rPr>
            </w:pPr>
            <w:r w:rsidRPr="00432291">
              <w:rPr>
                <w:rFonts w:ascii="Arial Black" w:hAnsi="Arial Black"/>
                <w:caps/>
                <w:sz w:val="15"/>
              </w:rPr>
              <w:t>DATE:</w:t>
            </w:r>
            <w:r w:rsidR="00A42DAF" w:rsidRPr="00432291">
              <w:rPr>
                <w:rFonts w:ascii="Arial Black" w:hAnsi="Arial Black"/>
                <w:caps/>
                <w:sz w:val="15"/>
              </w:rPr>
              <w:t xml:space="preserve"> </w:t>
            </w:r>
            <w:r w:rsidRPr="00432291">
              <w:rPr>
                <w:rFonts w:ascii="Arial Black" w:hAnsi="Arial Black"/>
                <w:caps/>
                <w:sz w:val="15"/>
              </w:rPr>
              <w:t xml:space="preserve"> </w:t>
            </w:r>
            <w:bookmarkStart w:id="2" w:name="Date"/>
            <w:bookmarkEnd w:id="2"/>
            <w:r w:rsidR="00A75098" w:rsidRPr="00432291">
              <w:rPr>
                <w:rFonts w:ascii="Arial Black" w:hAnsi="Arial Black"/>
                <w:caps/>
                <w:sz w:val="15"/>
              </w:rPr>
              <w:t>June</w:t>
            </w:r>
            <w:r w:rsidR="00DC2080" w:rsidRPr="00432291">
              <w:rPr>
                <w:rFonts w:ascii="Arial Black" w:hAnsi="Arial Black"/>
                <w:caps/>
                <w:sz w:val="15"/>
              </w:rPr>
              <w:t xml:space="preserve"> </w:t>
            </w:r>
            <w:r w:rsidR="00336964">
              <w:rPr>
                <w:rFonts w:ascii="Arial Black" w:hAnsi="Arial Black"/>
                <w:caps/>
                <w:sz w:val="15"/>
              </w:rPr>
              <w:t>22</w:t>
            </w:r>
            <w:bookmarkStart w:id="3" w:name="_GoBack"/>
            <w:bookmarkEnd w:id="3"/>
            <w:r w:rsidR="000C3895" w:rsidRPr="00432291">
              <w:rPr>
                <w:rFonts w:ascii="Arial Black" w:hAnsi="Arial Black"/>
                <w:caps/>
                <w:sz w:val="15"/>
              </w:rPr>
              <w:t>, 201</w:t>
            </w:r>
            <w:r w:rsidR="00DC2080" w:rsidRPr="00432291">
              <w:rPr>
                <w:rFonts w:ascii="Arial Black" w:hAnsi="Arial Black"/>
                <w:caps/>
                <w:sz w:val="15"/>
              </w:rPr>
              <w:t>8</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Sixteenth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ly 2 to 6</w:t>
      </w:r>
      <w:r w:rsidR="000C3895" w:rsidRPr="00DC0174">
        <w:rPr>
          <w:b/>
          <w:sz w:val="24"/>
          <w:szCs w:val="24"/>
        </w:rPr>
        <w:t>, 201</w:t>
      </w:r>
      <w:r w:rsidR="00DC0174" w:rsidRPr="00DC0174">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A75098" w:rsidP="008B2CC1">
      <w:pPr>
        <w:rPr>
          <w:caps/>
          <w:sz w:val="24"/>
        </w:rPr>
      </w:pPr>
      <w:bookmarkStart w:id="4" w:name="TitleOfDoc"/>
      <w:bookmarkEnd w:id="4"/>
      <w:r>
        <w:rPr>
          <w:caps/>
          <w:sz w:val="24"/>
        </w:rPr>
        <w:t xml:space="preserve">PROPOSAL BY </w:t>
      </w:r>
      <w:r w:rsidR="00815D43">
        <w:rPr>
          <w:caps/>
          <w:sz w:val="24"/>
        </w:rPr>
        <w:t xml:space="preserve">the delegation </w:t>
      </w:r>
      <w:r w:rsidR="005043FE">
        <w:rPr>
          <w:caps/>
          <w:sz w:val="24"/>
        </w:rPr>
        <w:t xml:space="preserve">of </w:t>
      </w:r>
      <w:r w:rsidR="002F0F78">
        <w:rPr>
          <w:caps/>
          <w:sz w:val="24"/>
        </w:rPr>
        <w:t xml:space="preserve">THE </w:t>
      </w:r>
      <w:r w:rsidR="001124D8">
        <w:rPr>
          <w:caps/>
          <w:sz w:val="24"/>
        </w:rPr>
        <w:t>United States of America</w:t>
      </w:r>
    </w:p>
    <w:p w:rsidR="008B2CC1" w:rsidRPr="008B2CC1" w:rsidRDefault="008B2CC1" w:rsidP="008B2CC1"/>
    <w:p w:rsidR="000F5E56" w:rsidRDefault="000F5E56">
      <w:bookmarkStart w:id="5" w:name="Prepared"/>
      <w:bookmarkEnd w:id="5"/>
    </w:p>
    <w:p w:rsidR="002928D3" w:rsidRDefault="002928D3" w:rsidP="0053057A"/>
    <w:p w:rsidR="005B6B85" w:rsidRDefault="005B6B85" w:rsidP="0053057A"/>
    <w:p w:rsidR="005B6B85" w:rsidRDefault="00A75098" w:rsidP="00A75098">
      <w:pPr>
        <w:pStyle w:val="ONUME"/>
      </w:pPr>
      <w:r>
        <w:t xml:space="preserve">In a communication </w:t>
      </w:r>
      <w:r w:rsidR="00CF5B9A">
        <w:t>dated June 1</w:t>
      </w:r>
      <w:r w:rsidR="001124D8">
        <w:t>9</w:t>
      </w:r>
      <w:r w:rsidRPr="00A75098">
        <w:t>,</w:t>
      </w:r>
      <w:r w:rsidR="00CF5B9A">
        <w:t> </w:t>
      </w:r>
      <w:r w:rsidRPr="00A75098">
        <w:t xml:space="preserve">2018, the International Bureau received a proposal from </w:t>
      </w:r>
      <w:r w:rsidR="00815D43">
        <w:t xml:space="preserve">the Delegation of </w:t>
      </w:r>
      <w:r w:rsidR="002F0F78">
        <w:t xml:space="preserve">the </w:t>
      </w:r>
      <w:r w:rsidR="001124D8">
        <w:t>United States of America</w:t>
      </w:r>
      <w:r w:rsidR="002F0F78">
        <w:t xml:space="preserve"> </w:t>
      </w:r>
      <w:r w:rsidR="001124D8">
        <w:t>entitled “Contribution to the Financial Well</w:t>
      </w:r>
      <w:r w:rsidR="001124D8">
        <w:noBreakHyphen/>
        <w:t xml:space="preserve">being of the Organization” </w:t>
      </w:r>
      <w:r w:rsidRPr="00A75098">
        <w:t>for consideration by the Working Group on the Legal Development of the Madrid System for the</w:t>
      </w:r>
      <w:r w:rsidR="00C03186">
        <w:t> </w:t>
      </w:r>
      <w:r w:rsidRPr="00A75098">
        <w:t>International Registration of Marks, at its sixteenth session to be held in Geneva from</w:t>
      </w:r>
      <w:r w:rsidR="00C03186">
        <w:t> </w:t>
      </w:r>
      <w:r w:rsidRPr="00A75098">
        <w:t>July</w:t>
      </w:r>
      <w:r w:rsidR="00C03186">
        <w:t> </w:t>
      </w:r>
      <w:r w:rsidRPr="00A75098">
        <w:t>2</w:t>
      </w:r>
      <w:r w:rsidR="00C03186">
        <w:t> </w:t>
      </w:r>
      <w:r w:rsidRPr="00A75098">
        <w:t>to 6, 2018.</w:t>
      </w:r>
      <w:r>
        <w:t xml:space="preserve">  </w:t>
      </w:r>
    </w:p>
    <w:p w:rsidR="00A75098" w:rsidRDefault="00A75098" w:rsidP="00A75098">
      <w:pPr>
        <w:pStyle w:val="ONUME"/>
      </w:pPr>
      <w:r>
        <w:t xml:space="preserve">The said proposal is annexed to this document.  </w:t>
      </w:r>
    </w:p>
    <w:p w:rsidR="005B6B85" w:rsidRPr="00A75098" w:rsidRDefault="005B6B85" w:rsidP="00A75098">
      <w:pPr>
        <w:ind w:left="5533"/>
        <w:rPr>
          <w:i/>
        </w:rPr>
      </w:pPr>
    </w:p>
    <w:p w:rsidR="00A75098" w:rsidRPr="00A75098" w:rsidRDefault="00A75098" w:rsidP="00A75098">
      <w:pPr>
        <w:ind w:left="5533"/>
        <w:rPr>
          <w:i/>
        </w:rPr>
      </w:pPr>
    </w:p>
    <w:p w:rsidR="005B6B85" w:rsidRDefault="005B6B85" w:rsidP="005B6B85">
      <w:pPr>
        <w:pStyle w:val="Endofdocument-Annex"/>
      </w:pPr>
      <w:r>
        <w:t>[</w:t>
      </w:r>
      <w:r w:rsidR="00A75098">
        <w:t>Annex follow</w:t>
      </w:r>
      <w:r w:rsidR="0059708D">
        <w:t>s</w:t>
      </w:r>
      <w:r>
        <w:t>]</w:t>
      </w:r>
    </w:p>
    <w:p w:rsidR="00A75098" w:rsidRDefault="00A75098" w:rsidP="005B6B85">
      <w:pPr>
        <w:pStyle w:val="Endofdocument-Annex"/>
      </w:pPr>
    </w:p>
    <w:p w:rsidR="00A75098" w:rsidRDefault="00A75098" w:rsidP="005B6B85">
      <w:pPr>
        <w:pStyle w:val="Endofdocument-Annex"/>
        <w:sectPr w:rsidR="00A75098" w:rsidSect="000C3895">
          <w:footnotePr>
            <w:numFmt w:val="chicago"/>
          </w:footnotePr>
          <w:endnotePr>
            <w:numFmt w:val="decimal"/>
          </w:endnotePr>
          <w:pgSz w:w="11907" w:h="16840" w:code="9"/>
          <w:pgMar w:top="567" w:right="1134" w:bottom="1418" w:left="1418" w:header="510" w:footer="1021" w:gutter="0"/>
          <w:cols w:space="720"/>
          <w:titlePg/>
          <w:docGrid w:linePitch="299"/>
        </w:sectPr>
      </w:pPr>
    </w:p>
    <w:p w:rsidR="001124D8" w:rsidRPr="001124D8" w:rsidRDefault="001124D8" w:rsidP="001124D8">
      <w:pPr>
        <w:jc w:val="center"/>
        <w:rPr>
          <w:rFonts w:eastAsia="Times New Roman"/>
          <w:b/>
          <w:color w:val="242929"/>
          <w:szCs w:val="22"/>
          <w:lang w:eastAsia="en-US"/>
        </w:rPr>
      </w:pPr>
      <w:r w:rsidRPr="001124D8">
        <w:rPr>
          <w:rFonts w:eastAsia="Times New Roman"/>
          <w:b/>
          <w:color w:val="242929"/>
          <w:szCs w:val="22"/>
          <w:lang w:eastAsia="en-US"/>
        </w:rPr>
        <w:lastRenderedPageBreak/>
        <w:t>Contributing to the Financial Well-being of the Organization</w:t>
      </w:r>
    </w:p>
    <w:p w:rsidR="001124D8" w:rsidRPr="001124D8" w:rsidRDefault="001124D8" w:rsidP="001124D8">
      <w:pPr>
        <w:jc w:val="center"/>
        <w:rPr>
          <w:rFonts w:eastAsia="Times New Roman"/>
          <w:b/>
          <w:color w:val="242929"/>
          <w:szCs w:val="22"/>
          <w:lang w:eastAsia="en-US"/>
        </w:rPr>
      </w:pPr>
    </w:p>
    <w:p w:rsidR="001124D8" w:rsidRPr="001124D8" w:rsidRDefault="001124D8" w:rsidP="001124D8">
      <w:pPr>
        <w:jc w:val="center"/>
        <w:rPr>
          <w:rFonts w:eastAsia="Times New Roman"/>
          <w:b/>
          <w:color w:val="242929"/>
          <w:szCs w:val="22"/>
          <w:lang w:eastAsia="en-US"/>
        </w:rPr>
      </w:pPr>
      <w:r w:rsidRPr="001124D8">
        <w:rPr>
          <w:rFonts w:eastAsia="Times New Roman"/>
          <w:b/>
          <w:color w:val="242929"/>
          <w:szCs w:val="22"/>
          <w:lang w:eastAsia="en-US"/>
        </w:rPr>
        <w:t>Submission of the United States to the Madrid Working Group</w:t>
      </w:r>
    </w:p>
    <w:p w:rsidR="001124D8" w:rsidRDefault="001124D8" w:rsidP="001124D8">
      <w:pPr>
        <w:rPr>
          <w:rFonts w:eastAsia="Times New Roman"/>
          <w:b/>
          <w:color w:val="242929"/>
          <w:szCs w:val="22"/>
          <w:lang w:eastAsia="en-US"/>
        </w:rPr>
      </w:pPr>
    </w:p>
    <w:p w:rsidR="005C1532" w:rsidRPr="001124D8" w:rsidRDefault="005C1532" w:rsidP="001124D8">
      <w:pPr>
        <w:rPr>
          <w:rFonts w:eastAsia="Times New Roman"/>
          <w:b/>
          <w:color w:val="242929"/>
          <w:szCs w:val="22"/>
          <w:lang w:eastAsia="en-US"/>
        </w:rPr>
      </w:pP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In the interests of contributing to the well-being of the World Intellectual Property Organization (WIPO), we propose that the Working Group on the Legal Development of the Madrid System for the International Registration of Marks (Madrid Working Group) consider whether the level of fees is sufficient to cover expenses and more broadly contribute to the common expenses of the Organization.  While the Madrid Working Group has indicated its intent to pursue a discussion of fee revision and payment options in the medium term on the Working Group priorities roadmap</w:t>
      </w:r>
      <w:r w:rsidRPr="001124D8">
        <w:rPr>
          <w:rFonts w:eastAsia="Times New Roman"/>
          <w:color w:val="242929"/>
          <w:szCs w:val="22"/>
          <w:vertAlign w:val="superscript"/>
          <w:lang w:eastAsia="en-US"/>
        </w:rPr>
        <w:footnoteReference w:id="2"/>
      </w:r>
      <w:r w:rsidRPr="001124D8">
        <w:rPr>
          <w:rFonts w:eastAsia="Times New Roman"/>
          <w:color w:val="242929"/>
          <w:szCs w:val="22"/>
          <w:lang w:eastAsia="en-US"/>
        </w:rPr>
        <w:t>, the United States proposes to move that discussion to the near term to ensure that the Madrid Union is able to responsibly contribute to the financial well</w:t>
      </w:r>
      <w:r>
        <w:rPr>
          <w:rFonts w:eastAsia="Times New Roman"/>
          <w:color w:val="242929"/>
          <w:szCs w:val="22"/>
          <w:lang w:eastAsia="en-US"/>
        </w:rPr>
        <w:noBreakHyphen/>
      </w:r>
      <w:r w:rsidRPr="001124D8">
        <w:rPr>
          <w:rFonts w:eastAsia="Times New Roman"/>
          <w:color w:val="242929"/>
          <w:szCs w:val="22"/>
          <w:lang w:eastAsia="en-US"/>
        </w:rPr>
        <w:t xml:space="preserve">being of the Organization at the soonest opportunity. </w:t>
      </w:r>
      <w:r>
        <w:rPr>
          <w:rFonts w:eastAsia="Times New Roman"/>
          <w:color w:val="242929"/>
          <w:szCs w:val="22"/>
          <w:lang w:eastAsia="en-US"/>
        </w:rPr>
        <w:t xml:space="preserve"> </w:t>
      </w:r>
    </w:p>
    <w:p w:rsidR="001124D8" w:rsidRPr="001124D8" w:rsidRDefault="001124D8" w:rsidP="001124D8">
      <w:pPr>
        <w:rPr>
          <w:rFonts w:eastAsia="Times New Roman"/>
          <w:color w:val="242929"/>
          <w:szCs w:val="22"/>
          <w:lang w:eastAsia="en-US"/>
        </w:rPr>
      </w:pP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According to the October 2017 WIPO Assemblies decision on the 2018-2019 WIPO Program and Budget</w:t>
      </w:r>
      <w:r w:rsidRPr="001124D8">
        <w:rPr>
          <w:rFonts w:eastAsia="Times New Roman"/>
          <w:color w:val="242929"/>
          <w:szCs w:val="22"/>
          <w:vertAlign w:val="superscript"/>
          <w:lang w:eastAsia="en-US"/>
        </w:rPr>
        <w:footnoteReference w:id="3"/>
      </w:r>
      <w:r w:rsidRPr="001124D8">
        <w:rPr>
          <w:rFonts w:eastAsia="Times New Roman"/>
          <w:color w:val="242929"/>
          <w:szCs w:val="22"/>
          <w:lang w:eastAsia="en-US"/>
        </w:rPr>
        <w:t>, the fee</w:t>
      </w:r>
      <w:r>
        <w:rPr>
          <w:rFonts w:eastAsia="Times New Roman"/>
          <w:color w:val="242929"/>
          <w:szCs w:val="22"/>
          <w:lang w:eastAsia="en-US"/>
        </w:rPr>
        <w:noBreakHyphen/>
      </w:r>
      <w:r w:rsidRPr="001124D8">
        <w:rPr>
          <w:rFonts w:eastAsia="Times New Roman"/>
          <w:color w:val="242929"/>
          <w:szCs w:val="22"/>
          <w:lang w:eastAsia="en-US"/>
        </w:rPr>
        <w:t xml:space="preserve">financed Unions are each expected to review their budgets and to ensure that they are not in a deficit. </w:t>
      </w:r>
      <w:r>
        <w:rPr>
          <w:rFonts w:eastAsia="Times New Roman"/>
          <w:color w:val="242929"/>
          <w:szCs w:val="22"/>
          <w:lang w:eastAsia="en-US"/>
        </w:rPr>
        <w:t xml:space="preserve"> </w:t>
      </w:r>
      <w:r w:rsidRPr="001124D8">
        <w:rPr>
          <w:rFonts w:eastAsia="Times New Roman"/>
          <w:color w:val="242929"/>
          <w:szCs w:val="22"/>
          <w:lang w:eastAsia="en-US"/>
        </w:rPr>
        <w:t>The United States believes that the fee</w:t>
      </w:r>
      <w:r>
        <w:rPr>
          <w:rFonts w:eastAsia="Times New Roman"/>
          <w:color w:val="242929"/>
          <w:szCs w:val="22"/>
          <w:lang w:eastAsia="en-US"/>
        </w:rPr>
        <w:noBreakHyphen/>
      </w:r>
      <w:r w:rsidRPr="001124D8">
        <w:rPr>
          <w:rFonts w:eastAsia="Times New Roman"/>
          <w:color w:val="242929"/>
          <w:szCs w:val="22"/>
          <w:lang w:eastAsia="en-US"/>
        </w:rPr>
        <w:t>financed Unions should cover their own expenses as well as contribute to the common expenses of the Organization.  Furthermore, we believe that the</w:t>
      </w:r>
      <w:r>
        <w:rPr>
          <w:rFonts w:eastAsia="Times New Roman"/>
          <w:color w:val="242929"/>
          <w:szCs w:val="22"/>
          <w:lang w:eastAsia="en-US"/>
        </w:rPr>
        <w:t xml:space="preserve"> fee</w:t>
      </w:r>
      <w:r>
        <w:rPr>
          <w:rFonts w:eastAsia="Times New Roman"/>
          <w:color w:val="242929"/>
          <w:szCs w:val="22"/>
          <w:lang w:eastAsia="en-US"/>
        </w:rPr>
        <w:noBreakHyphen/>
      </w:r>
      <w:r w:rsidRPr="001124D8">
        <w:rPr>
          <w:rFonts w:eastAsia="Times New Roman"/>
          <w:color w:val="242929"/>
          <w:szCs w:val="22"/>
          <w:lang w:eastAsia="en-US"/>
        </w:rPr>
        <w:t>financed Unions should also consider supporting the costs of the contribution</w:t>
      </w:r>
      <w:r>
        <w:rPr>
          <w:rFonts w:eastAsia="Times New Roman"/>
          <w:color w:val="242929"/>
          <w:szCs w:val="22"/>
          <w:lang w:eastAsia="en-US"/>
        </w:rPr>
        <w:noBreakHyphen/>
      </w:r>
      <w:r w:rsidRPr="001124D8">
        <w:rPr>
          <w:rFonts w:eastAsia="Times New Roman"/>
          <w:color w:val="242929"/>
          <w:szCs w:val="22"/>
          <w:lang w:eastAsia="en-US"/>
        </w:rPr>
        <w:t xml:space="preserve">financed Unions (CF Unions) which are struggling financially. </w:t>
      </w:r>
      <w:r>
        <w:rPr>
          <w:rFonts w:eastAsia="Times New Roman"/>
          <w:color w:val="242929"/>
          <w:szCs w:val="22"/>
          <w:lang w:eastAsia="en-US"/>
        </w:rPr>
        <w:t xml:space="preserve"> </w:t>
      </w:r>
    </w:p>
    <w:p w:rsidR="001124D8" w:rsidRPr="001124D8" w:rsidRDefault="001124D8" w:rsidP="001124D8">
      <w:pPr>
        <w:rPr>
          <w:rFonts w:eastAsia="Times New Roman"/>
          <w:color w:val="242929"/>
          <w:szCs w:val="22"/>
          <w:lang w:eastAsia="en-US"/>
        </w:rPr>
      </w:pP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In 2017, the Madrid Union Assembly, together with all other WIPO Assemblies</w:t>
      </w:r>
      <w:r w:rsidRPr="001124D8">
        <w:rPr>
          <w:rFonts w:eastAsia="Times New Roman"/>
          <w:color w:val="242929"/>
          <w:szCs w:val="22"/>
          <w:vertAlign w:val="superscript"/>
          <w:lang w:eastAsia="en-US"/>
        </w:rPr>
        <w:footnoteReference w:id="4"/>
      </w:r>
      <w:r w:rsidRPr="001124D8">
        <w:rPr>
          <w:rFonts w:eastAsia="Times New Roman"/>
          <w:color w:val="242929"/>
          <w:szCs w:val="22"/>
          <w:lang w:eastAsia="en-US"/>
        </w:rPr>
        <w:t>:</w:t>
      </w:r>
    </w:p>
    <w:p w:rsidR="001124D8" w:rsidRPr="001124D8" w:rsidRDefault="001124D8" w:rsidP="001124D8">
      <w:pPr>
        <w:rPr>
          <w:rFonts w:eastAsia="Times New Roman"/>
          <w:color w:val="242929"/>
          <w:szCs w:val="22"/>
          <w:lang w:eastAsia="en-US"/>
        </w:rPr>
      </w:pPr>
    </w:p>
    <w:p w:rsidR="001124D8" w:rsidRPr="001124D8" w:rsidRDefault="001124D8" w:rsidP="001124D8">
      <w:pPr>
        <w:rPr>
          <w:rFonts w:eastAsia="Times New Roman"/>
          <w:color w:val="242929"/>
          <w:szCs w:val="22"/>
          <w:lang w:eastAsia="en-US"/>
        </w:rPr>
      </w:pPr>
      <w:r w:rsidRPr="001124D8">
        <w:rPr>
          <w:rFonts w:eastAsia="Times New Roman"/>
          <w:color w:val="242929"/>
          <w:szCs w:val="22"/>
          <w:lang w:eastAsia="en-US"/>
        </w:rPr>
        <w:t>“</w:t>
      </w:r>
      <w:r w:rsidR="005C1532">
        <w:rPr>
          <w:rFonts w:eastAsia="Times New Roman"/>
          <w:color w:val="242929"/>
          <w:szCs w:val="22"/>
          <w:lang w:eastAsia="en-US"/>
        </w:rPr>
        <w:t>…</w:t>
      </w:r>
      <w:r>
        <w:rPr>
          <w:rFonts w:eastAsia="Times New Roman"/>
          <w:color w:val="242929"/>
          <w:szCs w:val="22"/>
          <w:lang w:eastAsia="en-US"/>
        </w:rPr>
        <w:tab/>
      </w:r>
      <w:r w:rsidRPr="001124D8">
        <w:rPr>
          <w:rFonts w:eastAsia="Times New Roman"/>
          <w:color w:val="242929"/>
          <w:szCs w:val="22"/>
          <w:lang w:eastAsia="en-US"/>
        </w:rPr>
        <w:t xml:space="preserve">(ii) </w:t>
      </w:r>
      <w:r>
        <w:rPr>
          <w:rFonts w:eastAsia="Times New Roman"/>
          <w:color w:val="242929"/>
          <w:szCs w:val="22"/>
          <w:lang w:eastAsia="en-US"/>
        </w:rPr>
        <w:tab/>
      </w:r>
      <w:r w:rsidRPr="001124D8">
        <w:rPr>
          <w:rFonts w:eastAsia="Times New Roman"/>
          <w:color w:val="242929"/>
          <w:szCs w:val="22"/>
          <w:lang w:eastAsia="en-US"/>
        </w:rPr>
        <w:t>Recalled that, in accordance with the Treaties of the fee-financed Unions, each</w:t>
      </w:r>
      <w:r>
        <w:rPr>
          <w:rFonts w:eastAsia="Times New Roman"/>
          <w:color w:val="242929"/>
          <w:szCs w:val="22"/>
          <w:lang w:eastAsia="en-US"/>
        </w:rPr>
        <w:t xml:space="preserve"> </w:t>
      </w:r>
      <w:r w:rsidRPr="001124D8">
        <w:rPr>
          <w:rFonts w:eastAsia="Times New Roman"/>
          <w:color w:val="242929"/>
          <w:szCs w:val="22"/>
          <w:lang w:eastAsia="en-US"/>
        </w:rPr>
        <w:t>Union should have revenue sufficient to cover its own expenses;</w:t>
      </w:r>
      <w:r>
        <w:rPr>
          <w:rFonts w:eastAsia="Times New Roman"/>
          <w:color w:val="242929"/>
          <w:szCs w:val="22"/>
          <w:lang w:eastAsia="en-US"/>
        </w:rPr>
        <w:t xml:space="preserve">  </w:t>
      </w: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(iii) Noted that fee-financed Unions with a projected biennial deficit in the 2018/19</w:t>
      </w:r>
      <w:r>
        <w:rPr>
          <w:rFonts w:eastAsia="Times New Roman"/>
          <w:color w:val="242929"/>
          <w:szCs w:val="22"/>
          <w:lang w:eastAsia="en-US"/>
        </w:rPr>
        <w:t xml:space="preserve"> </w:t>
      </w:r>
      <w:r w:rsidRPr="001124D8">
        <w:rPr>
          <w:rFonts w:eastAsia="Times New Roman"/>
          <w:color w:val="242929"/>
          <w:szCs w:val="22"/>
          <w:lang w:eastAsia="en-US"/>
        </w:rPr>
        <w:t>biennium should examine measures in accordance with its own treaty to address that</w:t>
      </w:r>
      <w:r>
        <w:rPr>
          <w:rFonts w:eastAsia="Times New Roman"/>
          <w:color w:val="242929"/>
          <w:szCs w:val="22"/>
          <w:lang w:eastAsia="en-US"/>
        </w:rPr>
        <w:t xml:space="preserve"> </w:t>
      </w:r>
      <w:r w:rsidRPr="001124D8">
        <w:rPr>
          <w:rFonts w:eastAsia="Times New Roman"/>
          <w:color w:val="242929"/>
          <w:szCs w:val="22"/>
          <w:lang w:eastAsia="en-US"/>
        </w:rPr>
        <w:t>deficit…”</w:t>
      </w:r>
    </w:p>
    <w:p w:rsidR="001124D8" w:rsidRPr="001124D8" w:rsidRDefault="001124D8" w:rsidP="001124D8">
      <w:pPr>
        <w:rPr>
          <w:rFonts w:eastAsia="Times New Roman"/>
          <w:color w:val="242929"/>
          <w:szCs w:val="22"/>
          <w:lang w:eastAsia="en-US"/>
        </w:rPr>
      </w:pPr>
    </w:p>
    <w:p w:rsidR="001124D8" w:rsidRPr="001124D8" w:rsidRDefault="005C1532" w:rsidP="001124D8">
      <w:pPr>
        <w:rPr>
          <w:rFonts w:eastAsia="Times New Roman"/>
          <w:color w:val="242929"/>
          <w:szCs w:val="22"/>
          <w:lang w:eastAsia="en-US"/>
        </w:rPr>
      </w:pPr>
      <w:r>
        <w:rPr>
          <w:rFonts w:eastAsia="Times New Roman"/>
          <w:color w:val="242929"/>
          <w:szCs w:val="22"/>
          <w:lang w:eastAsia="en-US"/>
        </w:rPr>
        <w:tab/>
      </w:r>
      <w:r w:rsidR="001124D8" w:rsidRPr="001124D8">
        <w:rPr>
          <w:rFonts w:eastAsia="Times New Roman"/>
          <w:color w:val="242929"/>
          <w:szCs w:val="22"/>
          <w:lang w:eastAsia="en-US"/>
        </w:rPr>
        <w:t xml:space="preserve">Annex III of the Program and Budget for 2018/19 biennium shows the Budget of Unions, and clearly shows that the Madrid Union is not in deficit.  The Madrid Union projects an income of 143,114,000 CHF, well over its projected expenses of 137,405,000 Swiss Francs.  </w:t>
      </w:r>
    </w:p>
    <w:p w:rsidR="001124D8" w:rsidRPr="001124D8" w:rsidRDefault="001124D8" w:rsidP="001124D8">
      <w:pPr>
        <w:rPr>
          <w:rFonts w:eastAsia="Times New Roman"/>
          <w:b/>
          <w:color w:val="242929"/>
          <w:szCs w:val="22"/>
          <w:lang w:eastAsia="en-US"/>
        </w:rPr>
      </w:pPr>
    </w:p>
    <w:p w:rsidR="005C1532" w:rsidRDefault="005C1532" w:rsidP="005C1532">
      <w:pPr>
        <w:jc w:val="center"/>
        <w:rPr>
          <w:rFonts w:eastAsia="Times New Roman"/>
          <w:b/>
          <w:color w:val="242929"/>
          <w:szCs w:val="22"/>
          <w:lang w:eastAsia="en-US"/>
        </w:rPr>
      </w:pPr>
      <w:r>
        <w:rPr>
          <w:rFonts w:eastAsia="Times New Roman"/>
          <w:b/>
          <w:color w:val="242929"/>
          <w:szCs w:val="22"/>
          <w:lang w:eastAsia="en-US"/>
        </w:rPr>
        <w:br w:type="page"/>
      </w:r>
    </w:p>
    <w:p w:rsidR="001124D8" w:rsidRPr="001124D8" w:rsidRDefault="001124D8" w:rsidP="005C1532">
      <w:pPr>
        <w:jc w:val="center"/>
        <w:rPr>
          <w:rFonts w:eastAsia="Times New Roman"/>
          <w:b/>
          <w:color w:val="242929"/>
          <w:szCs w:val="22"/>
          <w:lang w:eastAsia="en-US"/>
        </w:rPr>
      </w:pPr>
      <w:r w:rsidRPr="001124D8">
        <w:rPr>
          <w:rFonts w:eastAsia="Times New Roman"/>
          <w:b/>
          <w:color w:val="242929"/>
          <w:szCs w:val="22"/>
          <w:lang w:eastAsia="en-US"/>
        </w:rPr>
        <w:lastRenderedPageBreak/>
        <w:t>Table 11:  Overall Scenario by Union</w:t>
      </w:r>
      <w:r>
        <w:rPr>
          <w:rStyle w:val="FootnoteReference"/>
          <w:rFonts w:eastAsia="Times New Roman"/>
          <w:b/>
          <w:color w:val="242929"/>
          <w:szCs w:val="22"/>
          <w:lang w:eastAsia="en-US"/>
        </w:rPr>
        <w:footnoteReference w:id="5"/>
      </w:r>
    </w:p>
    <w:p w:rsidR="001124D8" w:rsidRPr="001124D8" w:rsidRDefault="001124D8" w:rsidP="005C1532">
      <w:pPr>
        <w:jc w:val="center"/>
        <w:rPr>
          <w:rFonts w:eastAsia="Times New Roman"/>
          <w:i/>
          <w:color w:val="242929"/>
          <w:szCs w:val="22"/>
          <w:lang w:eastAsia="en-US"/>
        </w:rPr>
      </w:pPr>
      <w:r w:rsidRPr="001124D8">
        <w:rPr>
          <w:rFonts w:eastAsia="Times New Roman"/>
          <w:color w:val="242929"/>
          <w:szCs w:val="22"/>
          <w:lang w:eastAsia="en-US"/>
        </w:rPr>
        <w:t>(</w:t>
      </w:r>
      <w:proofErr w:type="gramStart"/>
      <w:r w:rsidRPr="001124D8">
        <w:rPr>
          <w:rFonts w:eastAsia="Times New Roman"/>
          <w:i/>
          <w:color w:val="242929"/>
          <w:szCs w:val="22"/>
          <w:lang w:eastAsia="en-US"/>
        </w:rPr>
        <w:t>in</w:t>
      </w:r>
      <w:proofErr w:type="gramEnd"/>
      <w:r w:rsidRPr="001124D8">
        <w:rPr>
          <w:rFonts w:eastAsia="Times New Roman"/>
          <w:i/>
          <w:color w:val="242929"/>
          <w:szCs w:val="22"/>
          <w:lang w:eastAsia="en-US"/>
        </w:rPr>
        <w:t xml:space="preserve"> thousands of Swiss francs)</w:t>
      </w:r>
    </w:p>
    <w:p w:rsidR="001124D8" w:rsidRDefault="001124D8" w:rsidP="001124D8">
      <w:pPr>
        <w:rPr>
          <w:rFonts w:eastAsia="Times New Roman"/>
          <w:bCs/>
          <w:color w:val="242929"/>
          <w:szCs w:val="22"/>
          <w:lang w:eastAsia="en-US"/>
        </w:rPr>
      </w:pPr>
      <w:r w:rsidRPr="001124D8">
        <w:rPr>
          <w:rFonts w:eastAsia="Times New Roman"/>
          <w:noProof/>
          <w:color w:val="242929"/>
          <w:szCs w:val="22"/>
          <w:lang w:eastAsia="en-US"/>
        </w:rPr>
        <w:drawing>
          <wp:inline distT="0" distB="0" distL="0" distR="0" wp14:anchorId="41425FD1" wp14:editId="2A62AC12">
            <wp:extent cx="5848049" cy="1960473"/>
            <wp:effectExtent l="0" t="0" r="635" b="190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202" cy="1960524"/>
                    </a:xfrm>
                    <a:prstGeom prst="rect">
                      <a:avLst/>
                    </a:prstGeom>
                    <a:noFill/>
                    <a:ln>
                      <a:noFill/>
                    </a:ln>
                  </pic:spPr>
                </pic:pic>
              </a:graphicData>
            </a:graphic>
          </wp:inline>
        </w:drawing>
      </w:r>
    </w:p>
    <w:p w:rsidR="005C1532" w:rsidRPr="001124D8" w:rsidRDefault="005C1532" w:rsidP="001124D8">
      <w:pPr>
        <w:rPr>
          <w:rFonts w:eastAsia="Times New Roman"/>
          <w:bCs/>
          <w:color w:val="242929"/>
          <w:szCs w:val="22"/>
          <w:lang w:eastAsia="en-US"/>
        </w:rPr>
      </w:pPr>
    </w:p>
    <w:p w:rsidR="001124D8" w:rsidRPr="001124D8" w:rsidRDefault="001124D8" w:rsidP="001124D8">
      <w:pPr>
        <w:rPr>
          <w:rFonts w:eastAsia="Times New Roman"/>
          <w:i/>
          <w:iCs/>
          <w:color w:val="242929"/>
          <w:sz w:val="18"/>
          <w:szCs w:val="18"/>
          <w:lang w:eastAsia="en-US"/>
        </w:rPr>
      </w:pPr>
      <w:r w:rsidRPr="001124D8">
        <w:rPr>
          <w:rFonts w:eastAsia="Times New Roman"/>
          <w:i/>
          <w:iCs/>
          <w:color w:val="242929"/>
          <w:sz w:val="18"/>
          <w:szCs w:val="18"/>
          <w:lang w:eastAsia="en-US"/>
        </w:rPr>
        <w:t>*RWCF targets are calculated as percent of the biennial budgetary expenditure for each Union</w:t>
      </w:r>
    </w:p>
    <w:p w:rsidR="001124D8" w:rsidRPr="001124D8" w:rsidRDefault="001124D8" w:rsidP="001124D8">
      <w:pPr>
        <w:rPr>
          <w:rFonts w:eastAsia="Times New Roman"/>
          <w:i/>
          <w:iCs/>
          <w:color w:val="242929"/>
          <w:szCs w:val="22"/>
          <w:lang w:eastAsia="en-US"/>
        </w:rPr>
      </w:pP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 xml:space="preserve">From the Table, one can see that several WIPO Unions project a deficit, including the CF Unions. </w:t>
      </w:r>
      <w:r>
        <w:rPr>
          <w:rFonts w:eastAsia="Times New Roman"/>
          <w:color w:val="242929"/>
          <w:szCs w:val="22"/>
          <w:lang w:eastAsia="en-US"/>
        </w:rPr>
        <w:t xml:space="preserve"> </w:t>
      </w:r>
      <w:r w:rsidRPr="001124D8">
        <w:rPr>
          <w:rFonts w:eastAsia="Times New Roman"/>
          <w:color w:val="242929"/>
          <w:szCs w:val="22"/>
          <w:lang w:eastAsia="en-US"/>
        </w:rPr>
        <w:t>We believe that all fee</w:t>
      </w:r>
      <w:r>
        <w:rPr>
          <w:rFonts w:eastAsia="Times New Roman"/>
          <w:color w:val="242929"/>
          <w:szCs w:val="22"/>
          <w:lang w:eastAsia="en-US"/>
        </w:rPr>
        <w:noBreakHyphen/>
      </w:r>
      <w:r w:rsidRPr="001124D8">
        <w:rPr>
          <w:rFonts w:eastAsia="Times New Roman"/>
          <w:color w:val="242929"/>
          <w:szCs w:val="22"/>
          <w:lang w:eastAsia="en-US"/>
        </w:rPr>
        <w:t xml:space="preserve">financed Unions should assess the level of their fees in relation to their costs and common expenses and the overall financial well-being of the Organization.  </w:t>
      </w:r>
    </w:p>
    <w:p w:rsidR="001124D8" w:rsidRDefault="001124D8" w:rsidP="001124D8">
      <w:pPr>
        <w:rPr>
          <w:rFonts w:eastAsia="Times New Roman"/>
          <w:color w:val="242929"/>
          <w:szCs w:val="22"/>
          <w:lang w:eastAsia="en-US"/>
        </w:rPr>
      </w:pP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The CF Unions currently support work on Copyright, Traditional Knowledge, Traditional Cultural Expressions and Genetic Resources, Classification and Standards, and Information Technology.  In addition, the CF unions contribute to the common activities of the Organization, such as costs associated with maintenance of WIPO’s buildings.  The CF Unions have also been loaning the Lisbon Union funds to cover the deficit of the Lisbon Union, and because the Lisbon Union has not taken steps to adequately reduce or eliminate its deficit</w:t>
      </w:r>
      <w:r w:rsidRPr="001124D8">
        <w:rPr>
          <w:rFonts w:eastAsia="Times New Roman"/>
          <w:color w:val="242929"/>
          <w:szCs w:val="22"/>
          <w:vertAlign w:val="superscript"/>
          <w:lang w:eastAsia="en-US"/>
        </w:rPr>
        <w:footnoteReference w:id="6"/>
      </w:r>
      <w:r w:rsidRPr="001124D8">
        <w:rPr>
          <w:rFonts w:eastAsia="Times New Roman"/>
          <w:color w:val="242929"/>
          <w:szCs w:val="22"/>
          <w:lang w:eastAsia="en-US"/>
        </w:rPr>
        <w:t>, it appears likely to continue to need financial support.  Continued financial support of the CF unions appears time limited, because the CF Unions projected a nearly two million CHF deficit, and their reserves are only adequate for a few more years of deficit spending.  The Hague Union has also been experiencing significant deficits</w:t>
      </w:r>
      <w:r w:rsidRPr="001124D8">
        <w:rPr>
          <w:rFonts w:eastAsia="Times New Roman"/>
          <w:color w:val="242929"/>
          <w:szCs w:val="22"/>
          <w:vertAlign w:val="superscript"/>
          <w:lang w:eastAsia="en-US"/>
        </w:rPr>
        <w:footnoteReference w:id="7"/>
      </w:r>
      <w:r w:rsidRPr="001124D8">
        <w:rPr>
          <w:rFonts w:eastAsia="Times New Roman"/>
          <w:color w:val="242929"/>
          <w:szCs w:val="22"/>
          <w:lang w:eastAsia="en-US"/>
        </w:rPr>
        <w:t xml:space="preserve">.  As a result, between the potential for continued loans to the Lisbon and Hague Unions, and continued deficit spending of the CF Unions, additional funds will need to be found for the CF Unions to be solvent.  </w:t>
      </w:r>
    </w:p>
    <w:p w:rsidR="001124D8" w:rsidRPr="001124D8" w:rsidRDefault="001124D8" w:rsidP="001124D8">
      <w:pPr>
        <w:rPr>
          <w:rFonts w:eastAsia="Times New Roman"/>
          <w:color w:val="242929"/>
          <w:szCs w:val="22"/>
          <w:lang w:eastAsia="en-US"/>
        </w:rPr>
      </w:pPr>
    </w:p>
    <w:p w:rsidR="001124D8" w:rsidRPr="001124D8" w:rsidRDefault="001124D8" w:rsidP="001124D8">
      <w:pPr>
        <w:rPr>
          <w:rFonts w:eastAsia="Times New Roman"/>
          <w:color w:val="242929"/>
          <w:szCs w:val="22"/>
          <w:lang w:eastAsia="en-US"/>
        </w:rPr>
      </w:pPr>
      <w:r>
        <w:rPr>
          <w:rFonts w:eastAsia="Times New Roman"/>
          <w:color w:val="242929"/>
          <w:szCs w:val="22"/>
          <w:lang w:eastAsia="en-US"/>
        </w:rPr>
        <w:tab/>
      </w:r>
      <w:r w:rsidRPr="001124D8">
        <w:rPr>
          <w:rFonts w:eastAsia="Times New Roman"/>
          <w:color w:val="242929"/>
          <w:szCs w:val="22"/>
          <w:lang w:eastAsia="en-US"/>
        </w:rPr>
        <w:t>Traditionally, the PCT has covered a disproportionate share of the overall expenses of the Organization.  We believe the other fee</w:t>
      </w:r>
      <w:r>
        <w:rPr>
          <w:rFonts w:eastAsia="Times New Roman"/>
          <w:color w:val="242929"/>
          <w:szCs w:val="22"/>
          <w:lang w:eastAsia="en-US"/>
        </w:rPr>
        <w:noBreakHyphen/>
      </w:r>
      <w:r w:rsidRPr="001124D8">
        <w:rPr>
          <w:rFonts w:eastAsia="Times New Roman"/>
          <w:color w:val="242929"/>
          <w:szCs w:val="22"/>
          <w:lang w:eastAsia="en-US"/>
        </w:rPr>
        <w:t>financed Unions of WIPO, including the Madrid Union, should examine their fee levels in order to contribute responsibly to the overall financial well</w:t>
      </w:r>
      <w:r>
        <w:rPr>
          <w:rFonts w:eastAsia="Times New Roman"/>
          <w:color w:val="242929"/>
          <w:szCs w:val="22"/>
          <w:lang w:eastAsia="en-US"/>
        </w:rPr>
        <w:noBreakHyphen/>
      </w:r>
      <w:r w:rsidRPr="001124D8">
        <w:rPr>
          <w:rFonts w:eastAsia="Times New Roman"/>
          <w:color w:val="242929"/>
          <w:szCs w:val="22"/>
          <w:lang w:eastAsia="en-US"/>
        </w:rPr>
        <w:t>being of the Organization.</w:t>
      </w:r>
    </w:p>
    <w:p w:rsidR="001124D8" w:rsidRPr="001124D8" w:rsidRDefault="001124D8" w:rsidP="001124D8">
      <w:pPr>
        <w:rPr>
          <w:rFonts w:eastAsia="Times New Roman"/>
          <w:color w:val="242929"/>
          <w:szCs w:val="22"/>
          <w:lang w:eastAsia="en-US"/>
        </w:rPr>
      </w:pPr>
    </w:p>
    <w:p w:rsidR="001124D8" w:rsidRPr="001124D8" w:rsidRDefault="001124D8" w:rsidP="001124D8">
      <w:pPr>
        <w:rPr>
          <w:rFonts w:eastAsia="Times New Roman"/>
          <w:color w:val="242929"/>
          <w:szCs w:val="22"/>
          <w:lang w:eastAsia="en-US"/>
        </w:rPr>
      </w:pPr>
    </w:p>
    <w:p w:rsidR="00C14049" w:rsidRDefault="00C14049" w:rsidP="00813B9C">
      <w:pPr>
        <w:rPr>
          <w:rFonts w:eastAsia="Times New Roman"/>
          <w:color w:val="242929"/>
          <w:szCs w:val="22"/>
          <w:lang w:eastAsia="en-US"/>
        </w:rPr>
      </w:pPr>
    </w:p>
    <w:p w:rsidR="006169BC" w:rsidRPr="006169BC" w:rsidRDefault="006169BC" w:rsidP="006169BC">
      <w:pPr>
        <w:pStyle w:val="Endofdocument-Annex"/>
        <w:rPr>
          <w:lang w:eastAsia="en-US"/>
        </w:rPr>
      </w:pPr>
      <w:r>
        <w:rPr>
          <w:lang w:eastAsia="en-US"/>
        </w:rPr>
        <w:t>[End of Annex and of document]</w:t>
      </w:r>
    </w:p>
    <w:sectPr w:rsidR="006169BC" w:rsidRPr="006169BC" w:rsidSect="003C06E1">
      <w:headerReference w:type="default" r:id="rId11"/>
      <w:headerReference w:type="first" r:id="rId12"/>
      <w:endnotePr>
        <w:numFmt w:val="decimal"/>
      </w:endnotePr>
      <w:pgSz w:w="11907" w:h="16840" w:code="9"/>
      <w:pgMar w:top="567" w:right="1134" w:bottom="170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1124D8" w:rsidRPr="001124D8" w:rsidRDefault="001124D8" w:rsidP="001124D8">
      <w:pPr>
        <w:pStyle w:val="FootnoteText"/>
        <w:rPr>
          <w:szCs w:val="18"/>
        </w:rPr>
      </w:pPr>
      <w:r w:rsidRPr="001124D8">
        <w:rPr>
          <w:rStyle w:val="FootnoteReference"/>
          <w:szCs w:val="18"/>
        </w:rPr>
        <w:footnoteRef/>
      </w:r>
      <w:r w:rsidRPr="001124D8">
        <w:rPr>
          <w:szCs w:val="18"/>
        </w:rPr>
        <w:t xml:space="preserve"> </w:t>
      </w:r>
      <w:r>
        <w:rPr>
          <w:szCs w:val="18"/>
        </w:rPr>
        <w:tab/>
      </w:r>
      <w:r w:rsidRPr="001124D8">
        <w:rPr>
          <w:szCs w:val="18"/>
        </w:rPr>
        <w:t>See Annex IV to MM/LD/WG/14/6 (Summary by the Chair).</w:t>
      </w:r>
    </w:p>
  </w:footnote>
  <w:footnote w:id="3">
    <w:p w:rsidR="001124D8" w:rsidRPr="001124D8" w:rsidRDefault="001124D8" w:rsidP="001124D8">
      <w:pPr>
        <w:pStyle w:val="FootnoteText"/>
        <w:rPr>
          <w:szCs w:val="18"/>
        </w:rPr>
      </w:pPr>
      <w:r w:rsidRPr="001124D8">
        <w:rPr>
          <w:rStyle w:val="FootnoteReference"/>
          <w:szCs w:val="18"/>
        </w:rPr>
        <w:footnoteRef/>
      </w:r>
      <w:r w:rsidRPr="001124D8">
        <w:rPr>
          <w:szCs w:val="18"/>
        </w:rPr>
        <w:t xml:space="preserve"> </w:t>
      </w:r>
      <w:r>
        <w:rPr>
          <w:szCs w:val="18"/>
        </w:rPr>
        <w:tab/>
      </w:r>
      <w:r w:rsidRPr="001124D8">
        <w:rPr>
          <w:szCs w:val="18"/>
        </w:rPr>
        <w:t xml:space="preserve">See </w:t>
      </w:r>
      <w:r w:rsidRPr="001124D8">
        <w:rPr>
          <w:rFonts w:eastAsiaTheme="minorHAnsi"/>
          <w:szCs w:val="18"/>
          <w:lang w:eastAsia="en-US"/>
        </w:rPr>
        <w:t>paragraph 88 of document A/57/12 (General Report).</w:t>
      </w:r>
    </w:p>
  </w:footnote>
  <w:footnote w:id="4">
    <w:p w:rsidR="001124D8" w:rsidRPr="001124D8" w:rsidRDefault="001124D8" w:rsidP="001124D8">
      <w:pPr>
        <w:autoSpaceDE w:val="0"/>
        <w:autoSpaceDN w:val="0"/>
        <w:adjustRightInd w:val="0"/>
        <w:rPr>
          <w:rFonts w:eastAsiaTheme="minorHAnsi"/>
          <w:sz w:val="18"/>
          <w:szCs w:val="18"/>
          <w:lang w:eastAsia="en-US"/>
        </w:rPr>
      </w:pPr>
      <w:r w:rsidRPr="001124D8">
        <w:rPr>
          <w:rStyle w:val="FootnoteReference"/>
          <w:sz w:val="18"/>
          <w:szCs w:val="18"/>
        </w:rPr>
        <w:footnoteRef/>
      </w:r>
      <w:r w:rsidRPr="001124D8">
        <w:rPr>
          <w:sz w:val="18"/>
          <w:szCs w:val="18"/>
        </w:rPr>
        <w:t xml:space="preserve"> </w:t>
      </w:r>
      <w:r>
        <w:rPr>
          <w:rFonts w:eastAsiaTheme="minorHAnsi"/>
          <w:sz w:val="18"/>
          <w:szCs w:val="18"/>
          <w:lang w:eastAsia="en-US"/>
        </w:rPr>
        <w:tab/>
      </w:r>
      <w:r w:rsidRPr="001124D8">
        <w:rPr>
          <w:rFonts w:eastAsiaTheme="minorHAnsi"/>
          <w:sz w:val="18"/>
          <w:szCs w:val="18"/>
          <w:lang w:eastAsia="en-US"/>
        </w:rPr>
        <w:t>Id.</w:t>
      </w:r>
    </w:p>
  </w:footnote>
  <w:footnote w:id="5">
    <w:p w:rsidR="001124D8" w:rsidRPr="001124D8" w:rsidRDefault="001124D8">
      <w:pPr>
        <w:pStyle w:val="FootnoteText"/>
      </w:pPr>
      <w:r>
        <w:rPr>
          <w:rStyle w:val="FootnoteReference"/>
        </w:rPr>
        <w:footnoteRef/>
      </w:r>
      <w:r>
        <w:t xml:space="preserve"> </w:t>
      </w:r>
      <w:r>
        <w:tab/>
        <w:t xml:space="preserve">See WO/PBC/27/8, page 206.  </w:t>
      </w:r>
    </w:p>
  </w:footnote>
  <w:footnote w:id="6">
    <w:p w:rsidR="001124D8" w:rsidRDefault="001124D8" w:rsidP="001124D8">
      <w:pPr>
        <w:pStyle w:val="FootnoteText"/>
      </w:pPr>
      <w:r>
        <w:rPr>
          <w:rStyle w:val="FootnoteReference"/>
        </w:rPr>
        <w:footnoteRef/>
      </w:r>
      <w:r>
        <w:t xml:space="preserve"> </w:t>
      </w:r>
      <w:r>
        <w:tab/>
        <w:t xml:space="preserve">At the most recent meeting June 11-12, 2018, the Working Group on the Development of the Lisbon Union considered a proposal to provide for a fee reduction rather than considering an increase in fees to address their budget deficit.  </w:t>
      </w:r>
    </w:p>
  </w:footnote>
  <w:footnote w:id="7">
    <w:p w:rsidR="001124D8" w:rsidRDefault="001124D8" w:rsidP="001124D8">
      <w:pPr>
        <w:pStyle w:val="FootnoteText"/>
      </w:pPr>
      <w:r>
        <w:rPr>
          <w:rStyle w:val="FootnoteReference"/>
        </w:rPr>
        <w:footnoteRef/>
      </w:r>
      <w:r>
        <w:t xml:space="preserve"> </w:t>
      </w:r>
      <w:r>
        <w:tab/>
        <w:t xml:space="preserve">The Working Group on the Legal Development of the Hague System for the International Registration of Industrial Designs will be considering a fee increase in its next meeting July 16-18,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1E" w:rsidRPr="00432291" w:rsidRDefault="00AD6C2B" w:rsidP="00452B1E">
    <w:pPr>
      <w:pStyle w:val="Header"/>
      <w:jc w:val="right"/>
      <w:rPr>
        <w:lang w:val="fr-CH"/>
      </w:rPr>
    </w:pPr>
    <w:r>
      <w:rPr>
        <w:lang w:val="fr-CH"/>
      </w:rPr>
      <w:t>MM/LD/WG/16/10</w:t>
    </w:r>
  </w:p>
  <w:p w:rsidR="00452B1E" w:rsidRPr="00432291" w:rsidRDefault="00452B1E" w:rsidP="00452B1E">
    <w:pPr>
      <w:pStyle w:val="Header"/>
      <w:jc w:val="right"/>
      <w:rPr>
        <w:lang w:val="fr-CH"/>
      </w:rPr>
    </w:pPr>
    <w:proofErr w:type="spellStart"/>
    <w:r w:rsidRPr="00432291">
      <w:rPr>
        <w:lang w:val="fr-CH"/>
      </w:rPr>
      <w:t>Annex</w:t>
    </w:r>
    <w:proofErr w:type="spellEnd"/>
    <w:r w:rsidRPr="00432291">
      <w:rPr>
        <w:lang w:val="fr-CH"/>
      </w:rPr>
      <w:t xml:space="preserve">, page </w:t>
    </w:r>
    <w:r>
      <w:fldChar w:fldCharType="begin"/>
    </w:r>
    <w:r w:rsidRPr="00432291">
      <w:rPr>
        <w:lang w:val="fr-CH"/>
      </w:rPr>
      <w:instrText xml:space="preserve"> PAGE   \* MERGEFORMAT </w:instrText>
    </w:r>
    <w:r>
      <w:fldChar w:fldCharType="separate"/>
    </w:r>
    <w:r w:rsidR="00336964">
      <w:rPr>
        <w:noProof/>
        <w:lang w:val="fr-CH"/>
      </w:rPr>
      <w:t>2</w:t>
    </w:r>
    <w:r>
      <w:rPr>
        <w:noProof/>
      </w:rPr>
      <w:fldChar w:fldCharType="end"/>
    </w:r>
  </w:p>
  <w:p w:rsidR="00452B1E" w:rsidRPr="00432291" w:rsidRDefault="00452B1E">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E6" w:rsidRDefault="00871B51" w:rsidP="00A75098">
    <w:pPr>
      <w:pStyle w:val="Header"/>
      <w:jc w:val="right"/>
    </w:pPr>
    <w:r>
      <w:t>MM/LD/WG/16/</w:t>
    </w:r>
    <w:r w:rsidR="001124D8">
      <w:t>10</w:t>
    </w:r>
  </w:p>
  <w:p w:rsidR="000643E6" w:rsidRDefault="000643E6" w:rsidP="00A75098">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595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92A"/>
    <w:rsid w:val="00043CAA"/>
    <w:rsid w:val="00046F15"/>
    <w:rsid w:val="000643E6"/>
    <w:rsid w:val="00075432"/>
    <w:rsid w:val="000968ED"/>
    <w:rsid w:val="000C3895"/>
    <w:rsid w:val="000F1EBB"/>
    <w:rsid w:val="000F5E56"/>
    <w:rsid w:val="001124D8"/>
    <w:rsid w:val="00117964"/>
    <w:rsid w:val="00133168"/>
    <w:rsid w:val="001362EE"/>
    <w:rsid w:val="00145C7B"/>
    <w:rsid w:val="0015155C"/>
    <w:rsid w:val="00180B57"/>
    <w:rsid w:val="001832A6"/>
    <w:rsid w:val="001D5374"/>
    <w:rsid w:val="00215BAC"/>
    <w:rsid w:val="00216AFD"/>
    <w:rsid w:val="00232E14"/>
    <w:rsid w:val="00243B94"/>
    <w:rsid w:val="0024626D"/>
    <w:rsid w:val="0025395E"/>
    <w:rsid w:val="002602E3"/>
    <w:rsid w:val="002634C4"/>
    <w:rsid w:val="0028752D"/>
    <w:rsid w:val="002928D3"/>
    <w:rsid w:val="002945BA"/>
    <w:rsid w:val="002F0F78"/>
    <w:rsid w:val="002F1FE6"/>
    <w:rsid w:val="002F4E68"/>
    <w:rsid w:val="00312F7F"/>
    <w:rsid w:val="00336964"/>
    <w:rsid w:val="00361450"/>
    <w:rsid w:val="003673CF"/>
    <w:rsid w:val="003705FB"/>
    <w:rsid w:val="003845C1"/>
    <w:rsid w:val="003903E0"/>
    <w:rsid w:val="00397196"/>
    <w:rsid w:val="003A6F89"/>
    <w:rsid w:val="003A7CEE"/>
    <w:rsid w:val="003B38C1"/>
    <w:rsid w:val="003C06E1"/>
    <w:rsid w:val="003C5432"/>
    <w:rsid w:val="003D595D"/>
    <w:rsid w:val="003E2CED"/>
    <w:rsid w:val="00414DE5"/>
    <w:rsid w:val="00423E3E"/>
    <w:rsid w:val="00427AF4"/>
    <w:rsid w:val="00432291"/>
    <w:rsid w:val="00452B1E"/>
    <w:rsid w:val="004647DA"/>
    <w:rsid w:val="00474062"/>
    <w:rsid w:val="00477D6B"/>
    <w:rsid w:val="005019FF"/>
    <w:rsid w:val="00503871"/>
    <w:rsid w:val="005043FE"/>
    <w:rsid w:val="0053057A"/>
    <w:rsid w:val="00536882"/>
    <w:rsid w:val="0054150D"/>
    <w:rsid w:val="00560A29"/>
    <w:rsid w:val="00574923"/>
    <w:rsid w:val="00597066"/>
    <w:rsid w:val="0059708D"/>
    <w:rsid w:val="005A142B"/>
    <w:rsid w:val="005B05D8"/>
    <w:rsid w:val="005B6B85"/>
    <w:rsid w:val="005C1532"/>
    <w:rsid w:val="005C2E38"/>
    <w:rsid w:val="005C306B"/>
    <w:rsid w:val="005C479F"/>
    <w:rsid w:val="005C6649"/>
    <w:rsid w:val="005D09FB"/>
    <w:rsid w:val="005F1C7E"/>
    <w:rsid w:val="005F2005"/>
    <w:rsid w:val="006041E7"/>
    <w:rsid w:val="00605827"/>
    <w:rsid w:val="006169BC"/>
    <w:rsid w:val="00646050"/>
    <w:rsid w:val="00653500"/>
    <w:rsid w:val="006713CA"/>
    <w:rsid w:val="00676C5C"/>
    <w:rsid w:val="00681884"/>
    <w:rsid w:val="00682871"/>
    <w:rsid w:val="006A21E0"/>
    <w:rsid w:val="006A6546"/>
    <w:rsid w:val="006D1BE3"/>
    <w:rsid w:val="0071158F"/>
    <w:rsid w:val="00735D69"/>
    <w:rsid w:val="00743D2F"/>
    <w:rsid w:val="00795C33"/>
    <w:rsid w:val="007A7D35"/>
    <w:rsid w:val="007B5D69"/>
    <w:rsid w:val="007D1613"/>
    <w:rsid w:val="00813B9C"/>
    <w:rsid w:val="00815D43"/>
    <w:rsid w:val="008256E7"/>
    <w:rsid w:val="00842850"/>
    <w:rsid w:val="0086299D"/>
    <w:rsid w:val="00871B51"/>
    <w:rsid w:val="008800CC"/>
    <w:rsid w:val="0089575B"/>
    <w:rsid w:val="008A3878"/>
    <w:rsid w:val="008B2CC1"/>
    <w:rsid w:val="008B60B2"/>
    <w:rsid w:val="008F3415"/>
    <w:rsid w:val="008F756E"/>
    <w:rsid w:val="0090731E"/>
    <w:rsid w:val="00916EE2"/>
    <w:rsid w:val="00923A92"/>
    <w:rsid w:val="009248C8"/>
    <w:rsid w:val="00932C36"/>
    <w:rsid w:val="00966A22"/>
    <w:rsid w:val="0096722F"/>
    <w:rsid w:val="00980843"/>
    <w:rsid w:val="0099674C"/>
    <w:rsid w:val="009A6E26"/>
    <w:rsid w:val="009B6AAB"/>
    <w:rsid w:val="009E2791"/>
    <w:rsid w:val="009E3F6F"/>
    <w:rsid w:val="009F499F"/>
    <w:rsid w:val="00A42DAF"/>
    <w:rsid w:val="00A45BD8"/>
    <w:rsid w:val="00A6558D"/>
    <w:rsid w:val="00A6673C"/>
    <w:rsid w:val="00A75098"/>
    <w:rsid w:val="00A869B7"/>
    <w:rsid w:val="00A9139E"/>
    <w:rsid w:val="00AC205C"/>
    <w:rsid w:val="00AC54CE"/>
    <w:rsid w:val="00AD5F99"/>
    <w:rsid w:val="00AD6C2B"/>
    <w:rsid w:val="00AF0A6B"/>
    <w:rsid w:val="00AF394F"/>
    <w:rsid w:val="00B004E1"/>
    <w:rsid w:val="00B05A69"/>
    <w:rsid w:val="00B36CFF"/>
    <w:rsid w:val="00B70B9F"/>
    <w:rsid w:val="00B7115A"/>
    <w:rsid w:val="00B71C4B"/>
    <w:rsid w:val="00B8384B"/>
    <w:rsid w:val="00B93CF4"/>
    <w:rsid w:val="00B9734B"/>
    <w:rsid w:val="00BD030E"/>
    <w:rsid w:val="00C03030"/>
    <w:rsid w:val="00C03186"/>
    <w:rsid w:val="00C100AA"/>
    <w:rsid w:val="00C11BFE"/>
    <w:rsid w:val="00C13DF7"/>
    <w:rsid w:val="00C14049"/>
    <w:rsid w:val="00C51317"/>
    <w:rsid w:val="00C6022B"/>
    <w:rsid w:val="00CC0472"/>
    <w:rsid w:val="00CD788D"/>
    <w:rsid w:val="00CE431A"/>
    <w:rsid w:val="00CE4D7B"/>
    <w:rsid w:val="00CF0D3B"/>
    <w:rsid w:val="00CF5B9A"/>
    <w:rsid w:val="00D177A6"/>
    <w:rsid w:val="00D1792B"/>
    <w:rsid w:val="00D45252"/>
    <w:rsid w:val="00D62433"/>
    <w:rsid w:val="00D64DC8"/>
    <w:rsid w:val="00D71B4D"/>
    <w:rsid w:val="00D85DB6"/>
    <w:rsid w:val="00D93D55"/>
    <w:rsid w:val="00DC0174"/>
    <w:rsid w:val="00DC2080"/>
    <w:rsid w:val="00DC4268"/>
    <w:rsid w:val="00DE21FD"/>
    <w:rsid w:val="00E245CF"/>
    <w:rsid w:val="00E335FE"/>
    <w:rsid w:val="00E5238C"/>
    <w:rsid w:val="00E84E33"/>
    <w:rsid w:val="00E86FA5"/>
    <w:rsid w:val="00EB117B"/>
    <w:rsid w:val="00EB2D9E"/>
    <w:rsid w:val="00EC4E49"/>
    <w:rsid w:val="00ED77FB"/>
    <w:rsid w:val="00ED7ED8"/>
    <w:rsid w:val="00EE1CE7"/>
    <w:rsid w:val="00EE45FA"/>
    <w:rsid w:val="00F00BAF"/>
    <w:rsid w:val="00F23F46"/>
    <w:rsid w:val="00F25FAD"/>
    <w:rsid w:val="00F641C2"/>
    <w:rsid w:val="00F64F97"/>
    <w:rsid w:val="00F66152"/>
    <w:rsid w:val="00FD465D"/>
    <w:rsid w:val="00FE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169BC"/>
    <w:rPr>
      <w:sz w:val="30"/>
      <w:szCs w:val="30"/>
    </w:rPr>
  </w:style>
  <w:style w:type="paragraph" w:customStyle="1" w:styleId="indentihang">
    <w:name w:val="indent_i_hang"/>
    <w:basedOn w:val="Normal"/>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169BC"/>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169BC"/>
    <w:rPr>
      <w:sz w:val="30"/>
      <w:szCs w:val="30"/>
    </w:rPr>
  </w:style>
  <w:style w:type="paragraph" w:customStyle="1" w:styleId="indentihang">
    <w:name w:val="indent_i_hang"/>
    <w:basedOn w:val="Normal"/>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169BC"/>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029">
      <w:bodyDiv w:val="1"/>
      <w:marLeft w:val="0"/>
      <w:marRight w:val="0"/>
      <w:marTop w:val="0"/>
      <w:marBottom w:val="0"/>
      <w:divBdr>
        <w:top w:val="none" w:sz="0" w:space="0" w:color="auto"/>
        <w:left w:val="none" w:sz="0" w:space="0" w:color="auto"/>
        <w:bottom w:val="none" w:sz="0" w:space="0" w:color="auto"/>
        <w:right w:val="none" w:sz="0" w:space="0" w:color="auto"/>
      </w:divBdr>
    </w:div>
    <w:div w:id="1009135649">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4C779-918E-4978-945D-8B6F11A7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746</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25</cp:revision>
  <cp:lastPrinted>2018-06-19T14:57:00Z</cp:lastPrinted>
  <dcterms:created xsi:type="dcterms:W3CDTF">2018-06-04T14:15:00Z</dcterms:created>
  <dcterms:modified xsi:type="dcterms:W3CDTF">2018-06-20T14:54:00Z</dcterms:modified>
</cp:coreProperties>
</file>