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DE1E0B">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D1792B">
              <w:rPr>
                <w:rFonts w:ascii="Arial Black" w:hAnsi="Arial Black"/>
                <w:caps/>
                <w:sz w:val="15"/>
              </w:rPr>
              <w:t>3</w:t>
            </w:r>
            <w:r w:rsidR="003C5432">
              <w:rPr>
                <w:rFonts w:ascii="Arial Black" w:hAnsi="Arial Black"/>
                <w:caps/>
                <w:sz w:val="15"/>
              </w:rPr>
              <w:t>/</w:t>
            </w:r>
            <w:r w:rsidR="00DE1E0B">
              <w:rPr>
                <w:rFonts w:ascii="Arial Black" w:hAnsi="Arial Black"/>
                <w:caps/>
                <w:sz w:val="15"/>
              </w:rPr>
              <w:t>5</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2204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22040">
              <w:rPr>
                <w:rFonts w:ascii="Arial Black" w:hAnsi="Arial Black"/>
                <w:caps/>
                <w:sz w:val="15"/>
              </w:rPr>
              <w:t>September 1</w:t>
            </w:r>
            <w:r w:rsidR="000C3895">
              <w:rPr>
                <w:rFonts w:ascii="Arial Black" w:hAnsi="Arial Black"/>
                <w:caps/>
                <w:sz w:val="15"/>
              </w:rPr>
              <w:t>, 201</w:t>
            </w:r>
            <w:r w:rsidR="00D1792B">
              <w:rPr>
                <w:rFonts w:ascii="Arial Black" w:hAnsi="Arial Black"/>
                <w:caps/>
                <w:sz w:val="15"/>
              </w:rPr>
              <w:t>5</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3845C1" w:rsidRDefault="005B05D8" w:rsidP="008B2CC1">
      <w:pPr>
        <w:rPr>
          <w:b/>
          <w:sz w:val="24"/>
          <w:szCs w:val="24"/>
        </w:rPr>
      </w:pPr>
      <w:r>
        <w:rPr>
          <w:b/>
          <w:sz w:val="24"/>
          <w:szCs w:val="24"/>
        </w:rPr>
        <w:t>T</w:t>
      </w:r>
      <w:r w:rsidR="00D1792B">
        <w:rPr>
          <w:b/>
          <w:sz w:val="24"/>
          <w:szCs w:val="24"/>
        </w:rPr>
        <w:t xml:space="preserve">hirteenth </w:t>
      </w:r>
      <w:r w:rsidR="003845C1" w:rsidRPr="003845C1">
        <w:rPr>
          <w:b/>
          <w:sz w:val="24"/>
          <w:szCs w:val="24"/>
        </w:rPr>
        <w:t>Session</w:t>
      </w:r>
    </w:p>
    <w:p w:rsidR="008B2CC1" w:rsidRPr="003845C1" w:rsidRDefault="00D1792B" w:rsidP="008B2CC1">
      <w:pPr>
        <w:rPr>
          <w:b/>
          <w:sz w:val="24"/>
          <w:szCs w:val="24"/>
        </w:rPr>
      </w:pPr>
      <w:r>
        <w:rPr>
          <w:b/>
          <w:sz w:val="24"/>
          <w:szCs w:val="24"/>
        </w:rPr>
        <w:t xml:space="preserve">Geneva, November </w:t>
      </w:r>
      <w:r w:rsidR="005B05D8">
        <w:rPr>
          <w:b/>
          <w:sz w:val="24"/>
          <w:szCs w:val="24"/>
        </w:rPr>
        <w:t>2</w:t>
      </w:r>
      <w:r w:rsidR="000C3895">
        <w:rPr>
          <w:b/>
          <w:sz w:val="24"/>
          <w:szCs w:val="24"/>
        </w:rPr>
        <w:t xml:space="preserve"> to </w:t>
      </w:r>
      <w:r>
        <w:rPr>
          <w:b/>
          <w:sz w:val="24"/>
          <w:szCs w:val="24"/>
        </w:rPr>
        <w:t>6</w:t>
      </w:r>
      <w:r w:rsidR="000C3895">
        <w:rPr>
          <w:b/>
          <w:sz w:val="24"/>
          <w:szCs w:val="24"/>
        </w:rPr>
        <w:t>, 201</w:t>
      </w:r>
      <w:r>
        <w:rPr>
          <w:b/>
          <w:sz w:val="24"/>
          <w:szCs w:val="24"/>
        </w:rPr>
        <w:t>5</w:t>
      </w:r>
    </w:p>
    <w:p w:rsidR="008B2CC1" w:rsidRPr="008B2CC1" w:rsidRDefault="008B2CC1" w:rsidP="008B2CC1"/>
    <w:p w:rsidR="008B2CC1" w:rsidRPr="008B2CC1" w:rsidRDefault="008B2CC1" w:rsidP="008B2CC1"/>
    <w:p w:rsidR="008B2CC1" w:rsidRPr="008B2CC1" w:rsidRDefault="008B2CC1" w:rsidP="008B2CC1"/>
    <w:p w:rsidR="008B2CC1" w:rsidRPr="003845C1" w:rsidRDefault="00DE1E0B" w:rsidP="008B2CC1">
      <w:pPr>
        <w:rPr>
          <w:caps/>
          <w:sz w:val="24"/>
        </w:rPr>
      </w:pPr>
      <w:bookmarkStart w:id="3" w:name="TitleOfDoc"/>
      <w:bookmarkEnd w:id="3"/>
      <w:r>
        <w:rPr>
          <w:caps/>
          <w:sz w:val="24"/>
        </w:rPr>
        <w:t>Review of the Translation Practice Mandated by the Madrid Union Assembly</w:t>
      </w:r>
    </w:p>
    <w:p w:rsidR="008B2CC1" w:rsidRPr="008B2CC1" w:rsidRDefault="008B2CC1" w:rsidP="008B2CC1"/>
    <w:p w:rsidR="008B2CC1" w:rsidRPr="008B2CC1" w:rsidRDefault="00DE1E0B" w:rsidP="008B2CC1">
      <w:pPr>
        <w:rPr>
          <w:i/>
        </w:rPr>
      </w:pPr>
      <w:bookmarkStart w:id="4" w:name="Prepared"/>
      <w:bookmarkEnd w:id="4"/>
      <w:r>
        <w:rPr>
          <w:i/>
        </w:rPr>
        <w:t>Document prepared by the International Bureau</w:t>
      </w:r>
    </w:p>
    <w:p w:rsidR="00AC205C" w:rsidRDefault="00AC205C"/>
    <w:p w:rsidR="002928D3" w:rsidRDefault="002928D3" w:rsidP="0053057A"/>
    <w:p w:rsidR="005B6B85" w:rsidRDefault="005B6B85" w:rsidP="0053057A"/>
    <w:p w:rsidR="002928D3" w:rsidRDefault="00DE1E0B" w:rsidP="00DE1E0B">
      <w:pPr>
        <w:pStyle w:val="Heading1"/>
      </w:pPr>
      <w:r>
        <w:t>Introduction</w:t>
      </w:r>
    </w:p>
    <w:p w:rsidR="00DE1E0B" w:rsidRDefault="00DE1E0B" w:rsidP="00DE1E0B"/>
    <w:p w:rsidR="00DE1E0B" w:rsidRDefault="00DE1E0B" w:rsidP="007C38FF">
      <w:pPr>
        <w:autoSpaceDE w:val="0"/>
        <w:autoSpaceDN w:val="0"/>
        <w:adjustRightInd w:val="0"/>
      </w:pPr>
      <w:r>
        <w:fldChar w:fldCharType="begin"/>
      </w:r>
      <w:r>
        <w:instrText xml:space="preserve"> AUTONUM  </w:instrText>
      </w:r>
      <w:r>
        <w:fldChar w:fldCharType="end"/>
      </w:r>
      <w:r>
        <w:tab/>
        <w:t xml:space="preserve">The recording in the International Register and publication in the </w:t>
      </w:r>
      <w:r w:rsidRPr="00DE1E0B">
        <w:rPr>
          <w:i/>
        </w:rPr>
        <w:t>WIPO Gazette of International Marks</w:t>
      </w:r>
      <w:r>
        <w:t xml:space="preserve"> (“the Gazette”) of an international registration and of any data recorded and published under the </w:t>
      </w:r>
      <w:r w:rsidR="007C38FF">
        <w:rPr>
          <w:rFonts w:eastAsia="Times New Roman"/>
          <w:szCs w:val="22"/>
          <w:lang w:eastAsia="en-US"/>
        </w:rPr>
        <w:t>Common Regulations under the Madrid Agreement Concerning the International Registration of Marks and the Protocol Relating to that Agreement (hereinafter referred to, respectively, as “the Common Regulations”, “the Agreement” and “the Protocol”)</w:t>
      </w:r>
      <w:r w:rsidR="007C38FF">
        <w:t xml:space="preserve"> </w:t>
      </w:r>
      <w:r>
        <w:t>related to an international registration shall be in English, French and Spanish.  This trilingual regime follows from paragraph</w:t>
      </w:r>
      <w:r w:rsidR="007C38FF">
        <w:t> </w:t>
      </w:r>
      <w:r>
        <w:t>(3) of Rule</w:t>
      </w:r>
      <w:r w:rsidR="007C38FF">
        <w:t> </w:t>
      </w:r>
      <w:r>
        <w:t xml:space="preserve">6 of the Common Regulations. </w:t>
      </w:r>
      <w:r w:rsidR="007C38FF">
        <w:t xml:space="preserve"> </w:t>
      </w:r>
      <w:r>
        <w:t>Under paragraph</w:t>
      </w:r>
      <w:r w:rsidR="007C38FF">
        <w:t> </w:t>
      </w:r>
      <w:r>
        <w:t xml:space="preserve">(4) of the same Rule, the International Bureau shall make the necessary translations for the said recordings and publications and for their communication to Offices of the Contracting Parties, to applicants and to holders.  </w:t>
      </w:r>
    </w:p>
    <w:p w:rsidR="00DE1E0B" w:rsidRDefault="00DE1E0B" w:rsidP="00DE1E0B"/>
    <w:p w:rsidR="00DE1E0B" w:rsidRDefault="007C38FF" w:rsidP="00DE1E0B">
      <w:r>
        <w:fldChar w:fldCharType="begin"/>
      </w:r>
      <w:r>
        <w:instrText xml:space="preserve"> AUTONUM  </w:instrText>
      </w:r>
      <w:r>
        <w:fldChar w:fldCharType="end"/>
      </w:r>
      <w:r>
        <w:tab/>
      </w:r>
      <w:r w:rsidR="00DE1E0B">
        <w:t>Nevertheless, under the current translation practice implemented by the International Bureau, the list of goods and services for two</w:t>
      </w:r>
      <w:r>
        <w:t> </w:t>
      </w:r>
      <w:r w:rsidR="00DE1E0B">
        <w:t>specific recordings is only translated, before recording, publication and notification, into the language of communication of the holder and of the Offices concerned and into the language of the international appli</w:t>
      </w:r>
      <w:r>
        <w:t>cation.  Any translation of the</w:t>
      </w:r>
      <w:r w:rsidR="00DE1E0B">
        <w:t xml:space="preserve"> list of goods and services into another working language of the Madrid System</w:t>
      </w:r>
      <w:r>
        <w:t xml:space="preserve"> for the International Registration of Marks (hereinafter referred to as “the Madrid System”)</w:t>
      </w:r>
      <w:r w:rsidR="00DE1E0B">
        <w:t>, as required by Rule</w:t>
      </w:r>
      <w:r>
        <w:t> </w:t>
      </w:r>
      <w:r w:rsidR="00DE1E0B">
        <w:t xml:space="preserve">6 of the Common Regulations, is only made upon receiving a request from any interested party (the holder, an Office or a third party).  </w:t>
      </w:r>
    </w:p>
    <w:p w:rsidR="00DE1E0B" w:rsidRDefault="00DE1E0B" w:rsidP="00DE1E0B"/>
    <w:p w:rsidR="00DE1E0B" w:rsidRDefault="007C38FF" w:rsidP="005C7B38">
      <w:pPr>
        <w:keepNext/>
        <w:keepLines/>
      </w:pPr>
      <w:r>
        <w:lastRenderedPageBreak/>
        <w:fldChar w:fldCharType="begin"/>
      </w:r>
      <w:r>
        <w:instrText xml:space="preserve"> AUTONUM  </w:instrText>
      </w:r>
      <w:r>
        <w:fldChar w:fldCharType="end"/>
      </w:r>
      <w:r>
        <w:tab/>
      </w:r>
      <w:r w:rsidR="00DE1E0B">
        <w:t>This practice applies to the list of goods and services in the following two recordings:</w:t>
      </w:r>
      <w:r>
        <w:t xml:space="preserve">  </w:t>
      </w:r>
    </w:p>
    <w:p w:rsidR="00DE1E0B" w:rsidRDefault="00DE1E0B" w:rsidP="005C7B38">
      <w:pPr>
        <w:keepNext/>
        <w:keepLines/>
      </w:pPr>
    </w:p>
    <w:p w:rsidR="00DE1E0B" w:rsidRDefault="007C38FF" w:rsidP="005C7B38">
      <w:pPr>
        <w:keepNext/>
        <w:keepLines/>
        <w:ind w:firstLine="567"/>
      </w:pPr>
      <w:r>
        <w:t>–</w:t>
      </w:r>
      <w:r w:rsidR="00DE1E0B">
        <w:tab/>
      </w:r>
      <w:proofErr w:type="gramStart"/>
      <w:r w:rsidR="00DE1E0B">
        <w:t>statements</w:t>
      </w:r>
      <w:proofErr w:type="gramEnd"/>
      <w:r w:rsidR="00DE1E0B">
        <w:t xml:space="preserve"> of grant of protection made under Rule</w:t>
      </w:r>
      <w:r>
        <w:t> </w:t>
      </w:r>
      <w:r w:rsidR="00DE1E0B">
        <w:t>18</w:t>
      </w:r>
      <w:r w:rsidR="00DE1E0B" w:rsidRPr="007C38FF">
        <w:rPr>
          <w:i/>
        </w:rPr>
        <w:t>ter</w:t>
      </w:r>
      <w:r w:rsidR="00DE1E0B">
        <w:t xml:space="preserve">(2)(ii) of the Common Regulations (i.e., after a provisional refusal); </w:t>
      </w:r>
      <w:r>
        <w:t xml:space="preserve"> </w:t>
      </w:r>
      <w:r w:rsidR="00DE1E0B">
        <w:t>and,</w:t>
      </w:r>
    </w:p>
    <w:p w:rsidR="007C38FF" w:rsidRDefault="007C38FF" w:rsidP="005C7B38">
      <w:pPr>
        <w:keepNext/>
        <w:keepLines/>
        <w:ind w:firstLine="567"/>
      </w:pPr>
    </w:p>
    <w:p w:rsidR="00DE1E0B" w:rsidRDefault="007C38FF" w:rsidP="005C7B38">
      <w:pPr>
        <w:keepNext/>
        <w:keepLines/>
        <w:ind w:firstLine="567"/>
      </w:pPr>
      <w:r>
        <w:t>–</w:t>
      </w:r>
      <w:r w:rsidR="00DE1E0B">
        <w:tab/>
      </w:r>
      <w:proofErr w:type="gramStart"/>
      <w:r w:rsidR="00DE1E0B">
        <w:t>limitations</w:t>
      </w:r>
      <w:proofErr w:type="gramEnd"/>
      <w:r w:rsidR="00DE1E0B">
        <w:t xml:space="preserve"> requested in an international application, a subsequent designation or as the recording of a change.  </w:t>
      </w:r>
    </w:p>
    <w:p w:rsidR="007C38FF" w:rsidRDefault="007C38FF" w:rsidP="00DE1E0B"/>
    <w:p w:rsidR="00DE1E0B" w:rsidRDefault="00C500D6" w:rsidP="00DE1E0B">
      <w:r>
        <w:fldChar w:fldCharType="begin"/>
      </w:r>
      <w:r>
        <w:instrText xml:space="preserve"> AUTONUM  </w:instrText>
      </w:r>
      <w:r>
        <w:fldChar w:fldCharType="end"/>
      </w:r>
      <w:r>
        <w:tab/>
      </w:r>
      <w:r w:rsidR="00DE1E0B">
        <w:t>The translation practice currently in place was last reviewed by the Working Group on the</w:t>
      </w:r>
      <w:r>
        <w:t> </w:t>
      </w:r>
      <w:r w:rsidR="00DE1E0B">
        <w:t>Legal Development of the Madrid System for the International Registration of Marks (“the</w:t>
      </w:r>
      <w:r>
        <w:t> </w:t>
      </w:r>
      <w:r w:rsidR="00DE1E0B">
        <w:t xml:space="preserve">Working Group”), at its tenth session, when it recommended that the Madrid Union Assembly continue to take note of the translation practice in place.  </w:t>
      </w:r>
    </w:p>
    <w:p w:rsidR="00DE1E0B" w:rsidRDefault="00DE1E0B" w:rsidP="00DE1E0B"/>
    <w:p w:rsidR="00DE1E0B" w:rsidRDefault="00C500D6" w:rsidP="00DE1E0B">
      <w:r>
        <w:fldChar w:fldCharType="begin"/>
      </w:r>
      <w:r>
        <w:instrText xml:space="preserve"> AUTONUM  </w:instrText>
      </w:r>
      <w:r>
        <w:fldChar w:fldCharType="end"/>
      </w:r>
      <w:r>
        <w:tab/>
      </w:r>
      <w:r w:rsidR="00DE1E0B">
        <w:t>The Madrid Union Assembly, at its forty-fifth session, continued to take note of the pra</w:t>
      </w:r>
      <w:r>
        <w:t>ctice, as described in document </w:t>
      </w:r>
      <w:r w:rsidR="00DE1E0B">
        <w:t>MM/A/45/1, and mandated the International Bureau to review this practice after a period of three</w:t>
      </w:r>
      <w:r>
        <w:t> </w:t>
      </w:r>
      <w:r w:rsidR="00DE1E0B">
        <w:t>years</w:t>
      </w:r>
      <w:r w:rsidR="00F26597">
        <w:rPr>
          <w:rStyle w:val="FootnoteReference"/>
        </w:rPr>
        <w:footnoteReference w:id="2"/>
      </w:r>
      <w:r w:rsidR="00DE1E0B">
        <w:t xml:space="preserve">.  </w:t>
      </w:r>
    </w:p>
    <w:p w:rsidR="00DE1E0B" w:rsidRDefault="00DE1E0B" w:rsidP="00DE1E0B"/>
    <w:p w:rsidR="00DE1E0B" w:rsidRDefault="00C500D6" w:rsidP="00DE1E0B">
      <w:r>
        <w:fldChar w:fldCharType="begin"/>
      </w:r>
      <w:r>
        <w:instrText xml:space="preserve"> AUTONUM  </w:instrText>
      </w:r>
      <w:r>
        <w:fldChar w:fldCharType="end"/>
      </w:r>
      <w:r>
        <w:tab/>
      </w:r>
      <w:r w:rsidR="00DE1E0B">
        <w:t>The purpose of the present document is to review the current translation practice, after the three</w:t>
      </w:r>
      <w:r>
        <w:t> </w:t>
      </w:r>
      <w:r w:rsidR="00DE1E0B">
        <w:t xml:space="preserve">year period, as mandated by the Madrid Union Assembly.  More specifically, this document presents background information on the overall translation tasks undertaken by the International Bureau since this issue was last reviewed by the Working Group, describes the impact of the translation practice, and reviews this practice in light of ongoing developments in information technology and automated translation.  </w:t>
      </w:r>
    </w:p>
    <w:p w:rsidR="007C38FF" w:rsidRDefault="007C38FF" w:rsidP="00DE1E0B"/>
    <w:p w:rsidR="00DE1E0B" w:rsidRDefault="00C500D6" w:rsidP="00DE1E0B">
      <w:r>
        <w:fldChar w:fldCharType="begin"/>
      </w:r>
      <w:r>
        <w:instrText xml:space="preserve"> AUTONUM  </w:instrText>
      </w:r>
      <w:r>
        <w:fldChar w:fldCharType="end"/>
      </w:r>
      <w:r>
        <w:tab/>
      </w:r>
      <w:r w:rsidR="00DE1E0B">
        <w:t>For a more detailed explanation of the current translation practice, a furthe</w:t>
      </w:r>
      <w:r>
        <w:t>r reference is made to document </w:t>
      </w:r>
      <w:r w:rsidR="00DE1E0B">
        <w:t>MM/LD/WG/10/5, paragraphs</w:t>
      </w:r>
      <w:r>
        <w:t> </w:t>
      </w:r>
      <w:r w:rsidR="00DE1E0B">
        <w:t>48 to</w:t>
      </w:r>
      <w:r>
        <w:t> </w:t>
      </w:r>
      <w:r w:rsidR="00DE1E0B">
        <w:t xml:space="preserve">63.  </w:t>
      </w:r>
    </w:p>
    <w:p w:rsidR="00DE1E0B" w:rsidRDefault="00DE1E0B" w:rsidP="00C500D6">
      <w:pPr>
        <w:pStyle w:val="Heading1"/>
      </w:pPr>
      <w:r>
        <w:t xml:space="preserve">TRANSLATION RELATED TASKS UNDERTAKEN BY THE INTERNATIONAL BUREAU UNDER THE MADRID SYSTEM: </w:t>
      </w:r>
      <w:r w:rsidR="00C500D6">
        <w:t xml:space="preserve"> </w:t>
      </w:r>
      <w:r>
        <w:t>2012 TO 2014</w:t>
      </w:r>
    </w:p>
    <w:p w:rsidR="00DE1E0B" w:rsidRDefault="00DE1E0B" w:rsidP="00DE1E0B"/>
    <w:p w:rsidR="00DE1E0B" w:rsidRDefault="00C500D6" w:rsidP="00DE1E0B">
      <w:r>
        <w:fldChar w:fldCharType="begin"/>
      </w:r>
      <w:r>
        <w:instrText xml:space="preserve"> AUTONUM  </w:instrText>
      </w:r>
      <w:r>
        <w:fldChar w:fldCharType="end"/>
      </w:r>
      <w:r>
        <w:tab/>
        <w:t>Between 2012 and </w:t>
      </w:r>
      <w:r w:rsidR="00DE1E0B">
        <w:t>2014, there has been a substantial increase in the translation workload.  The number of recordings has increased by 15</w:t>
      </w:r>
      <w:r>
        <w:t>%</w:t>
      </w:r>
      <w:r w:rsidR="00DE1E0B">
        <w:t>, while, in the same period, the number of translated</w:t>
      </w:r>
      <w:r>
        <w:t xml:space="preserve"> words increased by 77%</w:t>
      </w:r>
      <w:r w:rsidR="00DE1E0B">
        <w:t>.  In</w:t>
      </w:r>
      <w:r>
        <w:t> </w:t>
      </w:r>
      <w:r w:rsidR="00DE1E0B">
        <w:t>2012, the International Bureau made 612,712</w:t>
      </w:r>
      <w:r>
        <w:t> </w:t>
      </w:r>
      <w:r w:rsidR="00DE1E0B">
        <w:t>recordings, translating over 15</w:t>
      </w:r>
      <w:r>
        <w:t> </w:t>
      </w:r>
      <w:r w:rsidR="00DE1E0B">
        <w:t>million words.  In</w:t>
      </w:r>
      <w:r>
        <w:t> </w:t>
      </w:r>
      <w:r w:rsidR="00DE1E0B">
        <w:t>2014, these numbers had increased to</w:t>
      </w:r>
      <w:r>
        <w:t> </w:t>
      </w:r>
      <w:r w:rsidR="00DE1E0B">
        <w:t>704,748</w:t>
      </w:r>
      <w:r>
        <w:t> </w:t>
      </w:r>
      <w:r w:rsidR="00DE1E0B">
        <w:t>recordings, involving the translation of more than 26.6</w:t>
      </w:r>
      <w:r>
        <w:t> </w:t>
      </w:r>
      <w:r w:rsidR="00DE1E0B">
        <w:t>million words (see Tabl</w:t>
      </w:r>
      <w:r>
        <w:t xml:space="preserve">e I).  </w:t>
      </w:r>
    </w:p>
    <w:p w:rsidR="00DE1E0B" w:rsidRDefault="00DE1E0B" w:rsidP="00F26597">
      <w:pPr>
        <w:pStyle w:val="Heading4"/>
      </w:pPr>
      <w:r>
        <w:t>Table</w:t>
      </w:r>
      <w:r w:rsidR="00F26597">
        <w:t> </w:t>
      </w:r>
      <w:r>
        <w:t xml:space="preserve">I: </w:t>
      </w:r>
      <w:r w:rsidR="00F26597">
        <w:t xml:space="preserve"> </w:t>
      </w:r>
      <w:r>
        <w:t xml:space="preserve">Translation </w:t>
      </w:r>
      <w:r w:rsidR="00F26597">
        <w:t>A</w:t>
      </w:r>
      <w:r>
        <w:t>ctivities</w:t>
      </w:r>
      <w:r w:rsidR="00F26597">
        <w:t xml:space="preserve"> –</w:t>
      </w:r>
      <w:r>
        <w:t xml:space="preserve"> 2012 to 2014</w:t>
      </w:r>
    </w:p>
    <w:p w:rsidR="00DE1E0B" w:rsidRDefault="00DE1E0B" w:rsidP="00DE1E0B"/>
    <w:tbl>
      <w:tblPr>
        <w:tblW w:w="9360" w:type="dxa"/>
        <w:jc w:val="center"/>
        <w:tblCellMar>
          <w:left w:w="57" w:type="dxa"/>
          <w:right w:w="57" w:type="dxa"/>
        </w:tblCellMar>
        <w:tblLook w:val="0000" w:firstRow="0" w:lastRow="0" w:firstColumn="0" w:lastColumn="0" w:noHBand="0" w:noVBand="0"/>
      </w:tblPr>
      <w:tblGrid>
        <w:gridCol w:w="1128"/>
        <w:gridCol w:w="2837"/>
        <w:gridCol w:w="2837"/>
        <w:gridCol w:w="2558"/>
      </w:tblGrid>
      <w:tr w:rsidR="00F26597" w:rsidRPr="00545393" w:rsidTr="008F563D">
        <w:trPr>
          <w:trHeight w:val="765"/>
          <w:jc w:val="center"/>
        </w:trPr>
        <w:tc>
          <w:tcPr>
            <w:tcW w:w="1128" w:type="dxa"/>
            <w:tcBorders>
              <w:top w:val="nil"/>
              <w:left w:val="nil"/>
              <w:bottom w:val="nil"/>
              <w:right w:val="nil"/>
            </w:tcBorders>
            <w:shd w:val="clear" w:color="auto" w:fill="auto"/>
            <w:noWrap/>
            <w:vAlign w:val="center"/>
          </w:tcPr>
          <w:p w:rsidR="00F26597" w:rsidRPr="00817F28" w:rsidRDefault="00F26597" w:rsidP="008F563D">
            <w:pPr>
              <w:tabs>
                <w:tab w:val="num" w:pos="284"/>
              </w:tabs>
              <w:jc w:val="center"/>
              <w:rPr>
                <w:sz w:val="18"/>
                <w:szCs w:val="18"/>
              </w:rPr>
            </w:pPr>
          </w:p>
        </w:tc>
        <w:tc>
          <w:tcPr>
            <w:tcW w:w="2837" w:type="dxa"/>
            <w:tcBorders>
              <w:top w:val="single" w:sz="4" w:space="0" w:color="auto"/>
              <w:left w:val="single" w:sz="4" w:space="0" w:color="auto"/>
              <w:bottom w:val="nil"/>
              <w:right w:val="single" w:sz="4" w:space="0" w:color="auto"/>
            </w:tcBorders>
            <w:shd w:val="clear" w:color="auto" w:fill="auto"/>
            <w:vAlign w:val="center"/>
          </w:tcPr>
          <w:p w:rsidR="00F26597" w:rsidRPr="00817F28" w:rsidRDefault="00F26597" w:rsidP="008F563D">
            <w:pPr>
              <w:tabs>
                <w:tab w:val="num" w:pos="284"/>
              </w:tabs>
              <w:jc w:val="center"/>
              <w:rPr>
                <w:sz w:val="18"/>
                <w:szCs w:val="18"/>
              </w:rPr>
            </w:pPr>
            <w:r w:rsidRPr="00817F28">
              <w:rPr>
                <w:sz w:val="18"/>
                <w:szCs w:val="18"/>
              </w:rPr>
              <w:t>Recordings in the</w:t>
            </w:r>
            <w:r w:rsidRPr="00817F28">
              <w:rPr>
                <w:sz w:val="18"/>
                <w:szCs w:val="18"/>
              </w:rPr>
              <w:br/>
              <w:t>International Register</w:t>
            </w:r>
          </w:p>
        </w:tc>
        <w:tc>
          <w:tcPr>
            <w:tcW w:w="2837" w:type="dxa"/>
            <w:tcBorders>
              <w:top w:val="single" w:sz="4" w:space="0" w:color="auto"/>
              <w:left w:val="nil"/>
              <w:bottom w:val="nil"/>
              <w:right w:val="single" w:sz="4" w:space="0" w:color="auto"/>
            </w:tcBorders>
            <w:shd w:val="clear" w:color="auto" w:fill="auto"/>
            <w:vAlign w:val="center"/>
          </w:tcPr>
          <w:p w:rsidR="00F26597" w:rsidRPr="00817F28" w:rsidRDefault="00F26597" w:rsidP="008F563D">
            <w:pPr>
              <w:tabs>
                <w:tab w:val="num" w:pos="284"/>
              </w:tabs>
              <w:jc w:val="center"/>
              <w:rPr>
                <w:sz w:val="18"/>
                <w:szCs w:val="18"/>
              </w:rPr>
            </w:pPr>
            <w:r w:rsidRPr="00817F28">
              <w:rPr>
                <w:sz w:val="18"/>
                <w:szCs w:val="18"/>
              </w:rPr>
              <w:t>Number of Translations</w:t>
            </w:r>
          </w:p>
        </w:tc>
        <w:tc>
          <w:tcPr>
            <w:tcW w:w="2558" w:type="dxa"/>
            <w:tcBorders>
              <w:top w:val="single" w:sz="4" w:space="0" w:color="auto"/>
              <w:left w:val="nil"/>
              <w:bottom w:val="nil"/>
              <w:right w:val="single" w:sz="4" w:space="0" w:color="auto"/>
            </w:tcBorders>
            <w:shd w:val="clear" w:color="auto" w:fill="auto"/>
            <w:vAlign w:val="center"/>
          </w:tcPr>
          <w:p w:rsidR="00F26597" w:rsidRPr="00817F28" w:rsidRDefault="00F26597" w:rsidP="008F563D">
            <w:pPr>
              <w:tabs>
                <w:tab w:val="num" w:pos="284"/>
              </w:tabs>
              <w:jc w:val="center"/>
              <w:rPr>
                <w:sz w:val="18"/>
                <w:szCs w:val="18"/>
              </w:rPr>
            </w:pPr>
            <w:r w:rsidRPr="00817F28">
              <w:rPr>
                <w:sz w:val="18"/>
                <w:szCs w:val="18"/>
              </w:rPr>
              <w:t>Number of Words Translated</w:t>
            </w:r>
          </w:p>
        </w:tc>
      </w:tr>
      <w:tr w:rsidR="00F26597" w:rsidRPr="00076990" w:rsidTr="008F563D">
        <w:trPr>
          <w:trHeight w:val="255"/>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26597" w:rsidRPr="00817F28" w:rsidRDefault="00F26597" w:rsidP="008F563D">
            <w:pPr>
              <w:tabs>
                <w:tab w:val="num" w:pos="284"/>
              </w:tabs>
              <w:jc w:val="center"/>
              <w:rPr>
                <w:sz w:val="18"/>
                <w:szCs w:val="18"/>
              </w:rPr>
            </w:pPr>
            <w:r w:rsidRPr="00817F28">
              <w:rPr>
                <w:sz w:val="18"/>
                <w:szCs w:val="18"/>
              </w:rPr>
              <w:t>2012</w:t>
            </w:r>
          </w:p>
        </w:tc>
        <w:tc>
          <w:tcPr>
            <w:tcW w:w="2837" w:type="dxa"/>
            <w:tcBorders>
              <w:top w:val="single" w:sz="4" w:space="0" w:color="auto"/>
              <w:left w:val="nil"/>
              <w:bottom w:val="single" w:sz="4" w:space="0" w:color="auto"/>
              <w:right w:val="single" w:sz="4" w:space="0" w:color="auto"/>
            </w:tcBorders>
            <w:shd w:val="clear" w:color="auto" w:fill="auto"/>
            <w:noWrap/>
            <w:vAlign w:val="center"/>
          </w:tcPr>
          <w:p w:rsidR="00F26597" w:rsidRPr="00817F28" w:rsidRDefault="00F26597" w:rsidP="008F563D">
            <w:pPr>
              <w:tabs>
                <w:tab w:val="num" w:pos="284"/>
              </w:tabs>
              <w:jc w:val="center"/>
              <w:rPr>
                <w:sz w:val="18"/>
                <w:szCs w:val="18"/>
              </w:rPr>
            </w:pPr>
            <w:r w:rsidRPr="00817F28">
              <w:rPr>
                <w:sz w:val="18"/>
                <w:szCs w:val="18"/>
              </w:rPr>
              <w:t>612,712</w:t>
            </w:r>
          </w:p>
        </w:tc>
        <w:tc>
          <w:tcPr>
            <w:tcW w:w="2837" w:type="dxa"/>
            <w:tcBorders>
              <w:top w:val="single" w:sz="4" w:space="0" w:color="auto"/>
              <w:left w:val="nil"/>
              <w:bottom w:val="single" w:sz="4" w:space="0" w:color="auto"/>
              <w:right w:val="single" w:sz="4" w:space="0" w:color="auto"/>
            </w:tcBorders>
            <w:shd w:val="clear" w:color="auto" w:fill="auto"/>
            <w:noWrap/>
            <w:vAlign w:val="center"/>
          </w:tcPr>
          <w:p w:rsidR="00F26597" w:rsidRPr="00817F28" w:rsidRDefault="00F26597" w:rsidP="008F563D">
            <w:pPr>
              <w:tabs>
                <w:tab w:val="num" w:pos="284"/>
              </w:tabs>
              <w:jc w:val="center"/>
              <w:rPr>
                <w:sz w:val="18"/>
                <w:szCs w:val="18"/>
              </w:rPr>
            </w:pPr>
            <w:r w:rsidRPr="00817F28">
              <w:rPr>
                <w:sz w:val="18"/>
                <w:szCs w:val="18"/>
              </w:rPr>
              <w:t>123,668</w:t>
            </w:r>
          </w:p>
        </w:tc>
        <w:tc>
          <w:tcPr>
            <w:tcW w:w="2558" w:type="dxa"/>
            <w:tcBorders>
              <w:top w:val="single" w:sz="4" w:space="0" w:color="auto"/>
              <w:left w:val="nil"/>
              <w:bottom w:val="single" w:sz="4" w:space="0" w:color="auto"/>
              <w:right w:val="single" w:sz="4" w:space="0" w:color="auto"/>
            </w:tcBorders>
            <w:shd w:val="clear" w:color="auto" w:fill="auto"/>
            <w:noWrap/>
            <w:vAlign w:val="center"/>
          </w:tcPr>
          <w:p w:rsidR="00F26597" w:rsidRPr="00817F28" w:rsidRDefault="00F26597" w:rsidP="008F563D">
            <w:pPr>
              <w:tabs>
                <w:tab w:val="num" w:pos="284"/>
              </w:tabs>
              <w:jc w:val="center"/>
              <w:rPr>
                <w:sz w:val="18"/>
                <w:szCs w:val="18"/>
              </w:rPr>
            </w:pPr>
            <w:r w:rsidRPr="00817F28">
              <w:rPr>
                <w:sz w:val="18"/>
                <w:szCs w:val="18"/>
              </w:rPr>
              <w:t>15,029,668</w:t>
            </w:r>
          </w:p>
        </w:tc>
      </w:tr>
      <w:tr w:rsidR="00F26597" w:rsidRPr="00076990" w:rsidTr="008F563D">
        <w:trPr>
          <w:trHeight w:val="255"/>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26597" w:rsidRPr="00817F28" w:rsidRDefault="00F26597" w:rsidP="008F563D">
            <w:pPr>
              <w:tabs>
                <w:tab w:val="num" w:pos="284"/>
              </w:tabs>
              <w:jc w:val="center"/>
              <w:rPr>
                <w:sz w:val="18"/>
                <w:szCs w:val="18"/>
              </w:rPr>
            </w:pPr>
            <w:r w:rsidRPr="00817F28">
              <w:rPr>
                <w:sz w:val="18"/>
                <w:szCs w:val="18"/>
              </w:rPr>
              <w:t>2013</w:t>
            </w:r>
          </w:p>
        </w:tc>
        <w:tc>
          <w:tcPr>
            <w:tcW w:w="2837" w:type="dxa"/>
            <w:tcBorders>
              <w:top w:val="single" w:sz="4" w:space="0" w:color="auto"/>
              <w:left w:val="nil"/>
              <w:bottom w:val="single" w:sz="4" w:space="0" w:color="auto"/>
              <w:right w:val="single" w:sz="4" w:space="0" w:color="auto"/>
            </w:tcBorders>
            <w:shd w:val="clear" w:color="auto" w:fill="auto"/>
            <w:noWrap/>
            <w:vAlign w:val="center"/>
          </w:tcPr>
          <w:p w:rsidR="00F26597" w:rsidRPr="00817F28" w:rsidRDefault="00F26597" w:rsidP="008F563D">
            <w:pPr>
              <w:tabs>
                <w:tab w:val="num" w:pos="284"/>
              </w:tabs>
              <w:jc w:val="center"/>
              <w:rPr>
                <w:sz w:val="18"/>
                <w:szCs w:val="18"/>
              </w:rPr>
            </w:pPr>
            <w:r w:rsidRPr="00817F28">
              <w:rPr>
                <w:sz w:val="18"/>
                <w:szCs w:val="18"/>
              </w:rPr>
              <w:t>722,363</w:t>
            </w:r>
          </w:p>
        </w:tc>
        <w:tc>
          <w:tcPr>
            <w:tcW w:w="2837" w:type="dxa"/>
            <w:tcBorders>
              <w:top w:val="single" w:sz="4" w:space="0" w:color="auto"/>
              <w:left w:val="nil"/>
              <w:bottom w:val="single" w:sz="4" w:space="0" w:color="auto"/>
              <w:right w:val="single" w:sz="4" w:space="0" w:color="auto"/>
            </w:tcBorders>
            <w:shd w:val="clear" w:color="auto" w:fill="auto"/>
            <w:noWrap/>
            <w:vAlign w:val="center"/>
          </w:tcPr>
          <w:p w:rsidR="00F26597" w:rsidRPr="00817F28" w:rsidRDefault="00F26597" w:rsidP="008F563D">
            <w:pPr>
              <w:tabs>
                <w:tab w:val="num" w:pos="284"/>
              </w:tabs>
              <w:jc w:val="center"/>
              <w:rPr>
                <w:sz w:val="18"/>
                <w:szCs w:val="18"/>
              </w:rPr>
            </w:pPr>
            <w:r w:rsidRPr="00817F28">
              <w:rPr>
                <w:sz w:val="18"/>
                <w:szCs w:val="18"/>
              </w:rPr>
              <w:t>123,624</w:t>
            </w:r>
          </w:p>
        </w:tc>
        <w:tc>
          <w:tcPr>
            <w:tcW w:w="2558" w:type="dxa"/>
            <w:tcBorders>
              <w:top w:val="single" w:sz="4" w:space="0" w:color="auto"/>
              <w:left w:val="nil"/>
              <w:bottom w:val="single" w:sz="4" w:space="0" w:color="auto"/>
              <w:right w:val="single" w:sz="4" w:space="0" w:color="auto"/>
            </w:tcBorders>
            <w:shd w:val="clear" w:color="auto" w:fill="auto"/>
            <w:noWrap/>
            <w:vAlign w:val="center"/>
          </w:tcPr>
          <w:p w:rsidR="00F26597" w:rsidRPr="00817F28" w:rsidRDefault="00F26597" w:rsidP="008F563D">
            <w:pPr>
              <w:tabs>
                <w:tab w:val="num" w:pos="284"/>
              </w:tabs>
              <w:jc w:val="center"/>
              <w:rPr>
                <w:sz w:val="18"/>
                <w:szCs w:val="18"/>
              </w:rPr>
            </w:pPr>
            <w:r w:rsidRPr="00817F28">
              <w:rPr>
                <w:sz w:val="18"/>
                <w:szCs w:val="18"/>
              </w:rPr>
              <w:t>24,511,019</w:t>
            </w:r>
          </w:p>
        </w:tc>
      </w:tr>
      <w:tr w:rsidR="00F26597" w:rsidRPr="00076990" w:rsidTr="008F563D">
        <w:trPr>
          <w:trHeight w:val="255"/>
          <w:jc w:val="center"/>
        </w:trPr>
        <w:tc>
          <w:tcPr>
            <w:tcW w:w="1128" w:type="dxa"/>
            <w:tcBorders>
              <w:top w:val="nil"/>
              <w:left w:val="single" w:sz="4" w:space="0" w:color="auto"/>
              <w:bottom w:val="single" w:sz="4" w:space="0" w:color="auto"/>
              <w:right w:val="single" w:sz="4" w:space="0" w:color="auto"/>
            </w:tcBorders>
            <w:shd w:val="clear" w:color="auto" w:fill="auto"/>
            <w:vAlign w:val="center"/>
          </w:tcPr>
          <w:p w:rsidR="00F26597" w:rsidRPr="00817F28" w:rsidRDefault="00F26597" w:rsidP="008F563D">
            <w:pPr>
              <w:tabs>
                <w:tab w:val="num" w:pos="284"/>
              </w:tabs>
              <w:jc w:val="center"/>
              <w:rPr>
                <w:sz w:val="18"/>
                <w:szCs w:val="18"/>
              </w:rPr>
            </w:pPr>
            <w:r w:rsidRPr="00817F28">
              <w:rPr>
                <w:sz w:val="18"/>
                <w:szCs w:val="18"/>
              </w:rPr>
              <w:t>2014</w:t>
            </w:r>
          </w:p>
        </w:tc>
        <w:tc>
          <w:tcPr>
            <w:tcW w:w="2837" w:type="dxa"/>
            <w:tcBorders>
              <w:top w:val="nil"/>
              <w:left w:val="nil"/>
              <w:bottom w:val="single" w:sz="4" w:space="0" w:color="auto"/>
              <w:right w:val="single" w:sz="4" w:space="0" w:color="auto"/>
            </w:tcBorders>
            <w:shd w:val="clear" w:color="auto" w:fill="auto"/>
            <w:noWrap/>
            <w:vAlign w:val="center"/>
          </w:tcPr>
          <w:p w:rsidR="00F26597" w:rsidRPr="00817F28" w:rsidRDefault="00F26597" w:rsidP="008F563D">
            <w:pPr>
              <w:tabs>
                <w:tab w:val="num" w:pos="284"/>
              </w:tabs>
              <w:jc w:val="center"/>
              <w:rPr>
                <w:sz w:val="18"/>
                <w:szCs w:val="18"/>
              </w:rPr>
            </w:pPr>
            <w:r w:rsidRPr="00817F28">
              <w:rPr>
                <w:sz w:val="18"/>
                <w:szCs w:val="18"/>
              </w:rPr>
              <w:t>704,748</w:t>
            </w:r>
          </w:p>
        </w:tc>
        <w:tc>
          <w:tcPr>
            <w:tcW w:w="2837" w:type="dxa"/>
            <w:tcBorders>
              <w:top w:val="nil"/>
              <w:left w:val="nil"/>
              <w:bottom w:val="single" w:sz="4" w:space="0" w:color="auto"/>
              <w:right w:val="single" w:sz="4" w:space="0" w:color="auto"/>
            </w:tcBorders>
            <w:shd w:val="clear" w:color="auto" w:fill="auto"/>
            <w:noWrap/>
            <w:vAlign w:val="center"/>
          </w:tcPr>
          <w:p w:rsidR="00F26597" w:rsidRPr="00817F28" w:rsidRDefault="00F26597" w:rsidP="008F563D">
            <w:pPr>
              <w:tabs>
                <w:tab w:val="num" w:pos="284"/>
              </w:tabs>
              <w:jc w:val="center"/>
              <w:rPr>
                <w:sz w:val="18"/>
                <w:szCs w:val="18"/>
              </w:rPr>
            </w:pPr>
            <w:r w:rsidRPr="00817F28">
              <w:rPr>
                <w:sz w:val="18"/>
                <w:szCs w:val="18"/>
              </w:rPr>
              <w:t>116,632</w:t>
            </w:r>
          </w:p>
        </w:tc>
        <w:tc>
          <w:tcPr>
            <w:tcW w:w="2558" w:type="dxa"/>
            <w:tcBorders>
              <w:top w:val="nil"/>
              <w:left w:val="nil"/>
              <w:bottom w:val="single" w:sz="4" w:space="0" w:color="auto"/>
              <w:right w:val="single" w:sz="4" w:space="0" w:color="auto"/>
            </w:tcBorders>
            <w:shd w:val="clear" w:color="auto" w:fill="auto"/>
            <w:noWrap/>
            <w:vAlign w:val="center"/>
          </w:tcPr>
          <w:p w:rsidR="00F26597" w:rsidRPr="00817F28" w:rsidRDefault="00F26597" w:rsidP="008F563D">
            <w:pPr>
              <w:tabs>
                <w:tab w:val="num" w:pos="284"/>
              </w:tabs>
              <w:jc w:val="center"/>
              <w:rPr>
                <w:sz w:val="18"/>
                <w:szCs w:val="18"/>
              </w:rPr>
            </w:pPr>
            <w:r w:rsidRPr="00817F28">
              <w:rPr>
                <w:sz w:val="18"/>
                <w:szCs w:val="18"/>
              </w:rPr>
              <w:t>26,608,859</w:t>
            </w:r>
          </w:p>
        </w:tc>
      </w:tr>
    </w:tbl>
    <w:p w:rsidR="00DE1E0B" w:rsidRDefault="00DE1E0B" w:rsidP="00DE1E0B"/>
    <w:p w:rsidR="00DE1E0B" w:rsidRDefault="00F26597" w:rsidP="00DE1E0B">
      <w:r>
        <w:fldChar w:fldCharType="begin"/>
      </w:r>
      <w:r>
        <w:instrText xml:space="preserve"> AUTONUM  </w:instrText>
      </w:r>
      <w:r>
        <w:fldChar w:fldCharType="end"/>
      </w:r>
      <w:r>
        <w:tab/>
      </w:r>
      <w:r w:rsidR="00DE1E0B">
        <w:t>The main cause of the increase in the translation workload is a surge in the number of words in international registrations.  Indeed, the number of translated words in international registrations went from almost 12.6</w:t>
      </w:r>
      <w:r>
        <w:t> </w:t>
      </w:r>
      <w:r w:rsidR="00DE1E0B">
        <w:t>million, in</w:t>
      </w:r>
      <w:r>
        <w:t> </w:t>
      </w:r>
      <w:r w:rsidR="00DE1E0B">
        <w:t>2012, to almost 23</w:t>
      </w:r>
      <w:r>
        <w:t> million, in </w:t>
      </w:r>
      <w:r w:rsidR="00DE1E0B">
        <w:t>2014, an increase of over 82</w:t>
      </w:r>
      <w:r>
        <w:t>%</w:t>
      </w:r>
      <w:r w:rsidR="00DE1E0B">
        <w:t>, while the number of words translated in other recordings increased by 50</w:t>
      </w:r>
      <w:r>
        <w:t>%</w:t>
      </w:r>
      <w:r w:rsidR="00DE1E0B">
        <w:t xml:space="preserve"> (see</w:t>
      </w:r>
      <w:r>
        <w:t> </w:t>
      </w:r>
      <w:r w:rsidR="00DE1E0B">
        <w:t xml:space="preserve">Table II).  </w:t>
      </w:r>
    </w:p>
    <w:p w:rsidR="007C38FF" w:rsidRDefault="007C38FF" w:rsidP="00DE1E0B">
      <w:bookmarkStart w:id="5" w:name="_GoBack"/>
      <w:bookmarkEnd w:id="5"/>
    </w:p>
    <w:p w:rsidR="00DE1E0B" w:rsidRDefault="00F26597" w:rsidP="00F26597">
      <w:pPr>
        <w:keepNext/>
        <w:keepLines/>
      </w:pPr>
      <w:r>
        <w:lastRenderedPageBreak/>
        <w:fldChar w:fldCharType="begin"/>
      </w:r>
      <w:r>
        <w:instrText xml:space="preserve"> AUTONUM  </w:instrText>
      </w:r>
      <w:r>
        <w:fldChar w:fldCharType="end"/>
      </w:r>
      <w:r>
        <w:tab/>
      </w:r>
      <w:r w:rsidR="00DE1E0B">
        <w:t>Taking into account the number of words translated, the highest translation workload continues to result from international registrations, representing over 86</w:t>
      </w:r>
      <w:r>
        <w:t>%</w:t>
      </w:r>
      <w:r w:rsidR="00DE1E0B">
        <w:t xml:space="preserve"> of all translations, followed by statements of grant of protection sent under Rule</w:t>
      </w:r>
      <w:r>
        <w:t> </w:t>
      </w:r>
      <w:r w:rsidR="00DE1E0B">
        <w:t>18</w:t>
      </w:r>
      <w:r w:rsidR="00DE1E0B" w:rsidRPr="00F26597">
        <w:rPr>
          <w:i/>
        </w:rPr>
        <w:t>ter</w:t>
      </w:r>
      <w:r w:rsidR="00DE1E0B">
        <w:t xml:space="preserve"> of the Common Regulations, which, under the current practice, account for 8</w:t>
      </w:r>
      <w:r>
        <w:t>%</w:t>
      </w:r>
      <w:r w:rsidR="00DE1E0B">
        <w:t xml:space="preserve">. </w:t>
      </w:r>
      <w:r>
        <w:t xml:space="preserve"> </w:t>
      </w:r>
    </w:p>
    <w:p w:rsidR="00DE1E0B" w:rsidRDefault="00DE1E0B" w:rsidP="00F26597">
      <w:pPr>
        <w:pStyle w:val="Heading4"/>
      </w:pPr>
      <w:r>
        <w:t xml:space="preserve">Table II: </w:t>
      </w:r>
      <w:r w:rsidR="00F26597">
        <w:t xml:space="preserve"> </w:t>
      </w:r>
      <w:r>
        <w:t xml:space="preserve">Translated </w:t>
      </w:r>
      <w:r w:rsidR="00F26597">
        <w:t>W</w:t>
      </w:r>
      <w:r>
        <w:t xml:space="preserve">ords per </w:t>
      </w:r>
      <w:r w:rsidR="00F26597">
        <w:t>R</w:t>
      </w:r>
      <w:r>
        <w:t xml:space="preserve">ecording </w:t>
      </w:r>
      <w:r w:rsidR="00F26597">
        <w:t>Type –</w:t>
      </w:r>
      <w:r>
        <w:t xml:space="preserve"> 2012 to 2014</w:t>
      </w:r>
    </w:p>
    <w:p w:rsidR="00DE1E0B" w:rsidRDefault="00DE1E0B" w:rsidP="00DE1E0B"/>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31"/>
        <w:gridCol w:w="1171"/>
        <w:gridCol w:w="1171"/>
        <w:gridCol w:w="1171"/>
        <w:gridCol w:w="1170"/>
        <w:gridCol w:w="1171"/>
        <w:gridCol w:w="1171"/>
      </w:tblGrid>
      <w:tr w:rsidR="008F563D" w:rsidRPr="00545393" w:rsidTr="008F563D">
        <w:trPr>
          <w:trHeight w:val="270"/>
        </w:trPr>
        <w:tc>
          <w:tcPr>
            <w:tcW w:w="2331" w:type="dxa"/>
            <w:vMerge w:val="restart"/>
            <w:tcBorders>
              <w:top w:val="nil"/>
              <w:left w:val="nil"/>
              <w:bottom w:val="single" w:sz="4" w:space="0" w:color="auto"/>
            </w:tcBorders>
            <w:shd w:val="clear" w:color="auto" w:fill="auto"/>
            <w:vAlign w:val="center"/>
          </w:tcPr>
          <w:p w:rsidR="008F563D" w:rsidRPr="00817F28" w:rsidRDefault="008F563D" w:rsidP="008F563D">
            <w:pPr>
              <w:rPr>
                <w:rFonts w:eastAsia="MS Mincho"/>
                <w:bCs/>
                <w:sz w:val="18"/>
                <w:szCs w:val="18"/>
                <w:lang w:eastAsia="ja-JP"/>
              </w:rPr>
            </w:pPr>
          </w:p>
        </w:tc>
        <w:tc>
          <w:tcPr>
            <w:tcW w:w="2342" w:type="dxa"/>
            <w:gridSpan w:val="2"/>
            <w:shd w:val="clear" w:color="auto" w:fill="auto"/>
            <w:vAlign w:val="center"/>
          </w:tcPr>
          <w:p w:rsidR="008F563D" w:rsidRPr="00817F28" w:rsidRDefault="008F563D" w:rsidP="008F563D">
            <w:pPr>
              <w:jc w:val="center"/>
              <w:rPr>
                <w:rFonts w:eastAsia="MS Mincho"/>
                <w:bCs/>
                <w:sz w:val="18"/>
                <w:szCs w:val="18"/>
                <w:lang w:eastAsia="ja-JP"/>
              </w:rPr>
            </w:pPr>
            <w:r w:rsidRPr="00817F28">
              <w:rPr>
                <w:rFonts w:eastAsia="MS Mincho"/>
                <w:bCs/>
                <w:sz w:val="18"/>
                <w:szCs w:val="18"/>
                <w:lang w:eastAsia="ja-JP"/>
              </w:rPr>
              <w:t>2012</w:t>
            </w:r>
          </w:p>
        </w:tc>
        <w:tc>
          <w:tcPr>
            <w:tcW w:w="2341" w:type="dxa"/>
            <w:gridSpan w:val="2"/>
            <w:shd w:val="clear" w:color="auto" w:fill="auto"/>
            <w:vAlign w:val="center"/>
          </w:tcPr>
          <w:p w:rsidR="008F563D" w:rsidRPr="00817F28" w:rsidRDefault="008F563D" w:rsidP="008F563D">
            <w:pPr>
              <w:jc w:val="center"/>
              <w:rPr>
                <w:rFonts w:eastAsia="MS Mincho"/>
                <w:bCs/>
                <w:sz w:val="18"/>
                <w:szCs w:val="18"/>
                <w:lang w:eastAsia="ja-JP"/>
              </w:rPr>
            </w:pPr>
            <w:r w:rsidRPr="00817F28">
              <w:rPr>
                <w:rFonts w:eastAsia="MS Mincho"/>
                <w:bCs/>
                <w:sz w:val="18"/>
                <w:szCs w:val="18"/>
                <w:lang w:eastAsia="ja-JP"/>
              </w:rPr>
              <w:t>2013</w:t>
            </w:r>
          </w:p>
        </w:tc>
        <w:tc>
          <w:tcPr>
            <w:tcW w:w="2342" w:type="dxa"/>
            <w:gridSpan w:val="2"/>
            <w:shd w:val="clear" w:color="auto" w:fill="auto"/>
            <w:vAlign w:val="center"/>
          </w:tcPr>
          <w:p w:rsidR="008F563D" w:rsidRPr="00817F28" w:rsidRDefault="008F563D" w:rsidP="008F563D">
            <w:pPr>
              <w:jc w:val="center"/>
              <w:rPr>
                <w:rFonts w:eastAsia="MS Mincho"/>
                <w:bCs/>
                <w:sz w:val="18"/>
                <w:szCs w:val="18"/>
                <w:lang w:eastAsia="ja-JP"/>
              </w:rPr>
            </w:pPr>
            <w:r w:rsidRPr="00817F28">
              <w:rPr>
                <w:rFonts w:eastAsia="MS Mincho"/>
                <w:bCs/>
                <w:sz w:val="18"/>
                <w:szCs w:val="18"/>
                <w:lang w:eastAsia="ja-JP"/>
              </w:rPr>
              <w:t>2014</w:t>
            </w:r>
          </w:p>
        </w:tc>
      </w:tr>
      <w:tr w:rsidR="008F563D" w:rsidRPr="00545393" w:rsidTr="008F563D">
        <w:trPr>
          <w:trHeight w:val="270"/>
        </w:trPr>
        <w:tc>
          <w:tcPr>
            <w:tcW w:w="2331" w:type="dxa"/>
            <w:vMerge/>
            <w:tcBorders>
              <w:left w:val="nil"/>
              <w:bottom w:val="single" w:sz="4" w:space="0" w:color="auto"/>
            </w:tcBorders>
            <w:shd w:val="clear" w:color="auto" w:fill="auto"/>
            <w:vAlign w:val="center"/>
          </w:tcPr>
          <w:p w:rsidR="008F563D" w:rsidRPr="00817F28" w:rsidRDefault="008F563D" w:rsidP="008F563D">
            <w:pPr>
              <w:rPr>
                <w:rFonts w:eastAsia="MS Mincho"/>
                <w:bCs/>
                <w:sz w:val="18"/>
                <w:szCs w:val="18"/>
                <w:lang w:eastAsia="ja-JP"/>
              </w:rPr>
            </w:pPr>
          </w:p>
        </w:tc>
        <w:tc>
          <w:tcPr>
            <w:tcW w:w="1171" w:type="dxa"/>
            <w:shd w:val="clear" w:color="auto" w:fill="auto"/>
            <w:vAlign w:val="center"/>
          </w:tcPr>
          <w:p w:rsidR="008F563D" w:rsidRPr="00817F28" w:rsidRDefault="008F563D" w:rsidP="008F563D">
            <w:pPr>
              <w:jc w:val="center"/>
              <w:rPr>
                <w:rFonts w:eastAsia="MS Mincho"/>
                <w:bCs/>
                <w:sz w:val="18"/>
                <w:szCs w:val="18"/>
                <w:lang w:eastAsia="ja-JP"/>
              </w:rPr>
            </w:pPr>
            <w:r w:rsidRPr="00817F28">
              <w:rPr>
                <w:rFonts w:eastAsia="MS Mincho"/>
                <w:bCs/>
                <w:sz w:val="18"/>
                <w:szCs w:val="18"/>
                <w:lang w:eastAsia="ja-JP"/>
              </w:rPr>
              <w:t>Translations</w:t>
            </w:r>
          </w:p>
        </w:tc>
        <w:tc>
          <w:tcPr>
            <w:tcW w:w="1171" w:type="dxa"/>
            <w:shd w:val="clear" w:color="auto" w:fill="auto"/>
            <w:vAlign w:val="center"/>
          </w:tcPr>
          <w:p w:rsidR="008F563D" w:rsidRPr="00817F28" w:rsidRDefault="008F563D" w:rsidP="008F563D">
            <w:pPr>
              <w:jc w:val="center"/>
              <w:rPr>
                <w:rFonts w:eastAsia="MS Mincho"/>
                <w:bCs/>
                <w:sz w:val="18"/>
                <w:szCs w:val="18"/>
                <w:lang w:eastAsia="ja-JP"/>
              </w:rPr>
            </w:pPr>
            <w:r w:rsidRPr="00817F28">
              <w:rPr>
                <w:rFonts w:eastAsia="MS Mincho"/>
                <w:bCs/>
                <w:sz w:val="18"/>
                <w:szCs w:val="18"/>
                <w:lang w:eastAsia="ja-JP"/>
              </w:rPr>
              <w:t>Words</w:t>
            </w:r>
          </w:p>
        </w:tc>
        <w:tc>
          <w:tcPr>
            <w:tcW w:w="1171" w:type="dxa"/>
            <w:shd w:val="clear" w:color="auto" w:fill="auto"/>
            <w:vAlign w:val="center"/>
          </w:tcPr>
          <w:p w:rsidR="008F563D" w:rsidRPr="00817F28" w:rsidRDefault="008F563D" w:rsidP="008F563D">
            <w:pPr>
              <w:jc w:val="center"/>
              <w:rPr>
                <w:rFonts w:eastAsia="MS Mincho"/>
                <w:bCs/>
                <w:sz w:val="18"/>
                <w:szCs w:val="18"/>
                <w:lang w:eastAsia="ja-JP"/>
              </w:rPr>
            </w:pPr>
            <w:r w:rsidRPr="00817F28">
              <w:rPr>
                <w:rFonts w:eastAsia="MS Mincho"/>
                <w:bCs/>
                <w:sz w:val="18"/>
                <w:szCs w:val="18"/>
                <w:lang w:eastAsia="ja-JP"/>
              </w:rPr>
              <w:t>Translations</w:t>
            </w:r>
          </w:p>
        </w:tc>
        <w:tc>
          <w:tcPr>
            <w:tcW w:w="1170" w:type="dxa"/>
            <w:shd w:val="clear" w:color="auto" w:fill="auto"/>
            <w:vAlign w:val="center"/>
          </w:tcPr>
          <w:p w:rsidR="008F563D" w:rsidRPr="00817F28" w:rsidRDefault="008F563D" w:rsidP="008F563D">
            <w:pPr>
              <w:jc w:val="center"/>
              <w:rPr>
                <w:rFonts w:eastAsia="MS Mincho"/>
                <w:bCs/>
                <w:sz w:val="18"/>
                <w:szCs w:val="18"/>
                <w:lang w:eastAsia="ja-JP"/>
              </w:rPr>
            </w:pPr>
            <w:r w:rsidRPr="00817F28">
              <w:rPr>
                <w:rFonts w:eastAsia="MS Mincho"/>
                <w:bCs/>
                <w:sz w:val="18"/>
                <w:szCs w:val="18"/>
                <w:lang w:eastAsia="ja-JP"/>
              </w:rPr>
              <w:t>Words</w:t>
            </w:r>
          </w:p>
        </w:tc>
        <w:tc>
          <w:tcPr>
            <w:tcW w:w="1171" w:type="dxa"/>
            <w:shd w:val="clear" w:color="auto" w:fill="auto"/>
            <w:vAlign w:val="center"/>
          </w:tcPr>
          <w:p w:rsidR="008F563D" w:rsidRPr="00817F28" w:rsidRDefault="008F563D" w:rsidP="008F563D">
            <w:pPr>
              <w:jc w:val="center"/>
              <w:rPr>
                <w:rFonts w:eastAsia="MS Mincho"/>
                <w:bCs/>
                <w:sz w:val="18"/>
                <w:szCs w:val="18"/>
                <w:lang w:eastAsia="ja-JP"/>
              </w:rPr>
            </w:pPr>
            <w:r w:rsidRPr="00817F28">
              <w:rPr>
                <w:rFonts w:eastAsia="MS Mincho"/>
                <w:bCs/>
                <w:sz w:val="18"/>
                <w:szCs w:val="18"/>
                <w:lang w:eastAsia="ja-JP"/>
              </w:rPr>
              <w:t>Translations</w:t>
            </w:r>
          </w:p>
        </w:tc>
        <w:tc>
          <w:tcPr>
            <w:tcW w:w="1171" w:type="dxa"/>
            <w:shd w:val="clear" w:color="auto" w:fill="auto"/>
            <w:vAlign w:val="center"/>
          </w:tcPr>
          <w:p w:rsidR="008F563D" w:rsidRPr="00817F28" w:rsidRDefault="008F563D" w:rsidP="008F563D">
            <w:pPr>
              <w:jc w:val="center"/>
              <w:rPr>
                <w:rFonts w:eastAsia="MS Mincho"/>
                <w:bCs/>
                <w:sz w:val="18"/>
                <w:szCs w:val="18"/>
                <w:lang w:eastAsia="ja-JP"/>
              </w:rPr>
            </w:pPr>
            <w:r w:rsidRPr="00817F28">
              <w:rPr>
                <w:rFonts w:eastAsia="MS Mincho"/>
                <w:bCs/>
                <w:sz w:val="18"/>
                <w:szCs w:val="18"/>
                <w:lang w:eastAsia="ja-JP"/>
              </w:rPr>
              <w:t>Words</w:t>
            </w:r>
          </w:p>
        </w:tc>
      </w:tr>
      <w:tr w:rsidR="00817F28" w:rsidTr="008F563D">
        <w:trPr>
          <w:trHeight w:val="255"/>
        </w:trPr>
        <w:tc>
          <w:tcPr>
            <w:tcW w:w="2331" w:type="dxa"/>
            <w:tcBorders>
              <w:top w:val="single" w:sz="4" w:space="0" w:color="auto"/>
            </w:tcBorders>
            <w:shd w:val="clear" w:color="auto" w:fill="auto"/>
            <w:noWrap/>
            <w:vAlign w:val="center"/>
          </w:tcPr>
          <w:p w:rsidR="00817F28" w:rsidRPr="00817F28" w:rsidRDefault="00817F28" w:rsidP="008F563D">
            <w:pPr>
              <w:rPr>
                <w:sz w:val="18"/>
                <w:szCs w:val="18"/>
              </w:rPr>
            </w:pPr>
            <w:r w:rsidRPr="00817F28">
              <w:rPr>
                <w:sz w:val="18"/>
                <w:szCs w:val="18"/>
              </w:rPr>
              <w:t>International Registration (Rule</w:t>
            </w:r>
            <w:r w:rsidR="005C7B38">
              <w:rPr>
                <w:sz w:val="18"/>
                <w:szCs w:val="18"/>
              </w:rPr>
              <w:t> </w:t>
            </w:r>
            <w:r w:rsidRPr="00817F28">
              <w:rPr>
                <w:sz w:val="18"/>
                <w:szCs w:val="18"/>
              </w:rPr>
              <w:t>14)</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103,110</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12,579,875</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96,061</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21,179,259</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91,383</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22,927,428</w:t>
            </w:r>
          </w:p>
        </w:tc>
      </w:tr>
      <w:tr w:rsidR="00817F28" w:rsidTr="008F563D">
        <w:trPr>
          <w:trHeight w:val="255"/>
        </w:trPr>
        <w:tc>
          <w:tcPr>
            <w:tcW w:w="2331" w:type="dxa"/>
            <w:shd w:val="clear" w:color="auto" w:fill="auto"/>
            <w:noWrap/>
            <w:vAlign w:val="center"/>
          </w:tcPr>
          <w:p w:rsidR="00817F28" w:rsidRPr="00817F28" w:rsidRDefault="005C7B38" w:rsidP="008F563D">
            <w:pPr>
              <w:rPr>
                <w:sz w:val="18"/>
                <w:szCs w:val="18"/>
              </w:rPr>
            </w:pPr>
            <w:r>
              <w:rPr>
                <w:sz w:val="18"/>
                <w:szCs w:val="18"/>
              </w:rPr>
              <w:t>Refusal</w:t>
            </w:r>
            <w:r>
              <w:rPr>
                <w:sz w:val="18"/>
                <w:szCs w:val="18"/>
              </w:rPr>
              <w:br/>
              <w:t>(Rule </w:t>
            </w:r>
            <w:r w:rsidR="00817F28" w:rsidRPr="00817F28">
              <w:rPr>
                <w:sz w:val="18"/>
                <w:szCs w:val="18"/>
              </w:rPr>
              <w:t>17(1))</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809</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58,093</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133</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4,006</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194</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7,877</w:t>
            </w:r>
          </w:p>
        </w:tc>
      </w:tr>
      <w:tr w:rsidR="00817F28" w:rsidRPr="00291808" w:rsidTr="008F563D">
        <w:trPr>
          <w:trHeight w:val="255"/>
        </w:trPr>
        <w:tc>
          <w:tcPr>
            <w:tcW w:w="2331" w:type="dxa"/>
            <w:shd w:val="clear" w:color="auto" w:fill="auto"/>
            <w:noWrap/>
            <w:vAlign w:val="center"/>
          </w:tcPr>
          <w:p w:rsidR="00817F28" w:rsidRPr="00817F28" w:rsidRDefault="00817F28" w:rsidP="008F563D">
            <w:pPr>
              <w:rPr>
                <w:sz w:val="18"/>
                <w:szCs w:val="18"/>
              </w:rPr>
            </w:pPr>
            <w:r w:rsidRPr="00817F28">
              <w:rPr>
                <w:sz w:val="18"/>
                <w:szCs w:val="18"/>
              </w:rPr>
              <w:t>Final and Further Decision (Rules</w:t>
            </w:r>
            <w:r w:rsidR="005C7B38">
              <w:rPr>
                <w:sz w:val="18"/>
                <w:szCs w:val="18"/>
              </w:rPr>
              <w:t> </w:t>
            </w:r>
            <w:r w:rsidR="00222040">
              <w:rPr>
                <w:sz w:val="18"/>
                <w:szCs w:val="18"/>
              </w:rPr>
              <w:t>1</w:t>
            </w:r>
            <w:r w:rsidRPr="00817F28">
              <w:rPr>
                <w:sz w:val="18"/>
                <w:szCs w:val="18"/>
              </w:rPr>
              <w:t>8</w:t>
            </w:r>
            <w:r w:rsidRPr="00817F28">
              <w:rPr>
                <w:i/>
                <w:iCs/>
                <w:sz w:val="18"/>
                <w:szCs w:val="18"/>
              </w:rPr>
              <w:t>ter</w:t>
            </w:r>
            <w:r w:rsidRPr="00817F28">
              <w:rPr>
                <w:sz w:val="18"/>
                <w:szCs w:val="18"/>
              </w:rPr>
              <w:t>(2)(ii) and</w:t>
            </w:r>
            <w:r w:rsidR="005C7B38">
              <w:rPr>
                <w:sz w:val="18"/>
                <w:szCs w:val="18"/>
              </w:rPr>
              <w:t> </w:t>
            </w:r>
            <w:r w:rsidRPr="00817F28">
              <w:rPr>
                <w:sz w:val="18"/>
                <w:szCs w:val="18"/>
              </w:rPr>
              <w:t>(4))</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6,497</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781,150</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11,310</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1,752,731</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10,606</w:t>
            </w:r>
          </w:p>
        </w:tc>
        <w:tc>
          <w:tcPr>
            <w:tcW w:w="1171" w:type="dxa"/>
            <w:shd w:val="clear" w:color="auto" w:fill="auto"/>
            <w:noWrap/>
            <w:vAlign w:val="center"/>
          </w:tcPr>
          <w:p w:rsidR="00817F28" w:rsidRPr="00817F28" w:rsidRDefault="00817F28" w:rsidP="008F563D">
            <w:pPr>
              <w:jc w:val="center"/>
              <w:rPr>
                <w:color w:val="000000"/>
                <w:sz w:val="18"/>
                <w:szCs w:val="18"/>
                <w:highlight w:val="cyan"/>
              </w:rPr>
            </w:pPr>
            <w:r w:rsidRPr="00817F28">
              <w:rPr>
                <w:color w:val="000000"/>
                <w:sz w:val="18"/>
                <w:szCs w:val="18"/>
              </w:rPr>
              <w:t>2,207,104</w:t>
            </w:r>
          </w:p>
        </w:tc>
      </w:tr>
      <w:tr w:rsidR="00817F28" w:rsidRPr="007023D0" w:rsidTr="008F563D">
        <w:trPr>
          <w:trHeight w:val="255"/>
        </w:trPr>
        <w:tc>
          <w:tcPr>
            <w:tcW w:w="2331" w:type="dxa"/>
            <w:shd w:val="clear" w:color="auto" w:fill="auto"/>
            <w:noWrap/>
            <w:vAlign w:val="center"/>
          </w:tcPr>
          <w:p w:rsidR="00817F28" w:rsidRPr="00817F28" w:rsidRDefault="00817F28" w:rsidP="008F563D">
            <w:pPr>
              <w:rPr>
                <w:sz w:val="18"/>
                <w:szCs w:val="18"/>
              </w:rPr>
            </w:pPr>
            <w:r w:rsidRPr="00817F28">
              <w:rPr>
                <w:sz w:val="18"/>
                <w:szCs w:val="18"/>
              </w:rPr>
              <w:t>Invalidation</w:t>
            </w:r>
            <w:r w:rsidRPr="00817F28">
              <w:rPr>
                <w:sz w:val="18"/>
                <w:szCs w:val="18"/>
              </w:rPr>
              <w:br/>
              <w:t>(Rule</w:t>
            </w:r>
            <w:r w:rsidR="005C7B38">
              <w:rPr>
                <w:sz w:val="18"/>
                <w:szCs w:val="18"/>
              </w:rPr>
              <w:t> </w:t>
            </w:r>
            <w:r w:rsidRPr="00817F28">
              <w:rPr>
                <w:sz w:val="18"/>
                <w:szCs w:val="18"/>
              </w:rPr>
              <w:t>19)</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49</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1,508</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418</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16,822</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866</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66,700</w:t>
            </w:r>
          </w:p>
        </w:tc>
      </w:tr>
      <w:tr w:rsidR="00817F28" w:rsidRPr="007023D0" w:rsidTr="008F563D">
        <w:trPr>
          <w:trHeight w:val="255"/>
        </w:trPr>
        <w:tc>
          <w:tcPr>
            <w:tcW w:w="2331" w:type="dxa"/>
            <w:shd w:val="clear" w:color="auto" w:fill="auto"/>
            <w:noWrap/>
            <w:vAlign w:val="center"/>
          </w:tcPr>
          <w:p w:rsidR="00817F28" w:rsidRPr="00817F28" w:rsidRDefault="00817F28" w:rsidP="008F563D">
            <w:pPr>
              <w:rPr>
                <w:sz w:val="18"/>
                <w:szCs w:val="18"/>
              </w:rPr>
            </w:pPr>
            <w:r w:rsidRPr="00817F28">
              <w:rPr>
                <w:sz w:val="18"/>
                <w:szCs w:val="18"/>
              </w:rPr>
              <w:t>Restriction of the Holder's Right (Rule</w:t>
            </w:r>
            <w:r w:rsidR="005C7B38">
              <w:rPr>
                <w:sz w:val="18"/>
                <w:szCs w:val="18"/>
              </w:rPr>
              <w:t> </w:t>
            </w:r>
            <w:r w:rsidRPr="00817F28">
              <w:rPr>
                <w:sz w:val="18"/>
                <w:szCs w:val="18"/>
              </w:rPr>
              <w:t>20)</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178</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17,871</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581</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41,447</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598</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44,773</w:t>
            </w:r>
          </w:p>
        </w:tc>
      </w:tr>
      <w:tr w:rsidR="00817F28" w:rsidRPr="007023D0" w:rsidTr="008F563D">
        <w:trPr>
          <w:trHeight w:val="255"/>
        </w:trPr>
        <w:tc>
          <w:tcPr>
            <w:tcW w:w="2331" w:type="dxa"/>
            <w:shd w:val="clear" w:color="auto" w:fill="auto"/>
            <w:noWrap/>
            <w:vAlign w:val="center"/>
          </w:tcPr>
          <w:p w:rsidR="00817F28" w:rsidRPr="00817F28" w:rsidRDefault="00817F28" w:rsidP="008F563D">
            <w:pPr>
              <w:rPr>
                <w:sz w:val="18"/>
                <w:szCs w:val="18"/>
              </w:rPr>
            </w:pPr>
            <w:r w:rsidRPr="00817F28">
              <w:rPr>
                <w:sz w:val="18"/>
                <w:szCs w:val="18"/>
              </w:rPr>
              <w:t>License</w:t>
            </w:r>
            <w:r w:rsidRPr="00817F28">
              <w:rPr>
                <w:sz w:val="18"/>
                <w:szCs w:val="18"/>
              </w:rPr>
              <w:br/>
              <w:t>(Rule</w:t>
            </w:r>
            <w:r w:rsidR="005C7B38">
              <w:rPr>
                <w:sz w:val="18"/>
                <w:szCs w:val="18"/>
              </w:rPr>
              <w:t> </w:t>
            </w:r>
            <w:r w:rsidRPr="00817F28">
              <w:rPr>
                <w:sz w:val="18"/>
                <w:szCs w:val="18"/>
              </w:rPr>
              <w:t>20</w:t>
            </w:r>
            <w:r w:rsidRPr="00817F28">
              <w:rPr>
                <w:i/>
                <w:iCs/>
                <w:sz w:val="18"/>
                <w:szCs w:val="18"/>
              </w:rPr>
              <w:t>bis</w:t>
            </w:r>
            <w:r w:rsidRPr="00817F28">
              <w:rPr>
                <w:sz w:val="18"/>
                <w:szCs w:val="18"/>
              </w:rPr>
              <w:t>)</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293</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4,517</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604</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8,195</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684</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13,133</w:t>
            </w:r>
          </w:p>
        </w:tc>
      </w:tr>
      <w:tr w:rsidR="00817F28" w:rsidRPr="007023D0" w:rsidTr="008F563D">
        <w:trPr>
          <w:trHeight w:val="255"/>
        </w:trPr>
        <w:tc>
          <w:tcPr>
            <w:tcW w:w="2331" w:type="dxa"/>
            <w:shd w:val="clear" w:color="auto" w:fill="auto"/>
            <w:noWrap/>
            <w:vAlign w:val="center"/>
          </w:tcPr>
          <w:p w:rsidR="00817F28" w:rsidRPr="00817F28" w:rsidRDefault="00817F28" w:rsidP="008F563D">
            <w:pPr>
              <w:rPr>
                <w:sz w:val="18"/>
                <w:szCs w:val="18"/>
              </w:rPr>
            </w:pPr>
            <w:r w:rsidRPr="00817F28">
              <w:rPr>
                <w:sz w:val="18"/>
                <w:szCs w:val="18"/>
              </w:rPr>
              <w:t>Ceasing of Effect</w:t>
            </w:r>
            <w:r w:rsidRPr="00817F28">
              <w:rPr>
                <w:sz w:val="18"/>
                <w:szCs w:val="18"/>
              </w:rPr>
              <w:br/>
              <w:t>(Rule</w:t>
            </w:r>
            <w:r w:rsidR="005C7B38">
              <w:rPr>
                <w:sz w:val="18"/>
                <w:szCs w:val="18"/>
              </w:rPr>
              <w:t> </w:t>
            </w:r>
            <w:r w:rsidRPr="00817F28">
              <w:rPr>
                <w:sz w:val="18"/>
                <w:szCs w:val="18"/>
              </w:rPr>
              <w:t>22)</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4,441</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618,012</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9,167</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1,063,896</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7,299</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871,835</w:t>
            </w:r>
          </w:p>
        </w:tc>
      </w:tr>
      <w:tr w:rsidR="00817F28" w:rsidRPr="007023D0" w:rsidTr="008F563D">
        <w:trPr>
          <w:trHeight w:val="255"/>
        </w:trPr>
        <w:tc>
          <w:tcPr>
            <w:tcW w:w="2331" w:type="dxa"/>
            <w:shd w:val="clear" w:color="auto" w:fill="auto"/>
            <w:noWrap/>
            <w:vAlign w:val="center"/>
          </w:tcPr>
          <w:p w:rsidR="00817F28" w:rsidRPr="00817F28" w:rsidRDefault="00817F28" w:rsidP="008F563D">
            <w:pPr>
              <w:rPr>
                <w:sz w:val="18"/>
                <w:szCs w:val="18"/>
              </w:rPr>
            </w:pPr>
            <w:r w:rsidRPr="00817F28">
              <w:rPr>
                <w:sz w:val="18"/>
                <w:szCs w:val="18"/>
              </w:rPr>
              <w:t>Subsequent Designation (Rule</w:t>
            </w:r>
            <w:r w:rsidR="005C7B38">
              <w:rPr>
                <w:sz w:val="18"/>
                <w:szCs w:val="18"/>
              </w:rPr>
              <w:t> </w:t>
            </w:r>
            <w:r w:rsidRPr="00817F28">
              <w:rPr>
                <w:sz w:val="18"/>
                <w:szCs w:val="18"/>
              </w:rPr>
              <w:t>24)</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2,880</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360,246</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2,054</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149,742</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2,286</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195,673</w:t>
            </w:r>
          </w:p>
        </w:tc>
      </w:tr>
      <w:tr w:rsidR="00817F28" w:rsidRPr="007023D0" w:rsidTr="008F563D">
        <w:trPr>
          <w:trHeight w:val="255"/>
        </w:trPr>
        <w:tc>
          <w:tcPr>
            <w:tcW w:w="2331" w:type="dxa"/>
            <w:shd w:val="clear" w:color="auto" w:fill="auto"/>
            <w:noWrap/>
            <w:vAlign w:val="center"/>
          </w:tcPr>
          <w:p w:rsidR="00817F28" w:rsidRPr="00817F28" w:rsidRDefault="00817F28" w:rsidP="008F563D">
            <w:pPr>
              <w:rPr>
                <w:sz w:val="18"/>
                <w:szCs w:val="18"/>
              </w:rPr>
            </w:pPr>
            <w:r w:rsidRPr="00817F28">
              <w:rPr>
                <w:sz w:val="18"/>
                <w:szCs w:val="18"/>
              </w:rPr>
              <w:t>Change in Ownership</w:t>
            </w:r>
            <w:r w:rsidRPr="00817F28">
              <w:rPr>
                <w:sz w:val="18"/>
                <w:szCs w:val="18"/>
              </w:rPr>
              <w:br/>
              <w:t>(Rule</w:t>
            </w:r>
            <w:r w:rsidR="005C7B38">
              <w:rPr>
                <w:sz w:val="18"/>
                <w:szCs w:val="18"/>
              </w:rPr>
              <w:t> </w:t>
            </w:r>
            <w:r w:rsidRPr="00817F28">
              <w:rPr>
                <w:sz w:val="18"/>
                <w:szCs w:val="18"/>
              </w:rPr>
              <w:t>25(1)(a)(i))</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116</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19,612</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222</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58,784</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87</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11,749</w:t>
            </w:r>
          </w:p>
        </w:tc>
      </w:tr>
      <w:tr w:rsidR="00817F28" w:rsidTr="008F563D">
        <w:trPr>
          <w:trHeight w:val="255"/>
        </w:trPr>
        <w:tc>
          <w:tcPr>
            <w:tcW w:w="2331" w:type="dxa"/>
            <w:shd w:val="clear" w:color="auto" w:fill="auto"/>
            <w:noWrap/>
            <w:vAlign w:val="center"/>
          </w:tcPr>
          <w:p w:rsidR="00817F28" w:rsidRPr="00817F28" w:rsidRDefault="00817F28" w:rsidP="008F563D">
            <w:pPr>
              <w:rPr>
                <w:sz w:val="18"/>
                <w:szCs w:val="18"/>
              </w:rPr>
            </w:pPr>
            <w:r w:rsidRPr="00817F28">
              <w:rPr>
                <w:sz w:val="18"/>
                <w:szCs w:val="18"/>
              </w:rPr>
              <w:t>Limitation</w:t>
            </w:r>
            <w:r w:rsidRPr="00817F28">
              <w:rPr>
                <w:sz w:val="18"/>
                <w:szCs w:val="18"/>
              </w:rPr>
              <w:br/>
              <w:t>(Rule</w:t>
            </w:r>
            <w:r w:rsidR="005C7B38">
              <w:rPr>
                <w:sz w:val="18"/>
                <w:szCs w:val="18"/>
              </w:rPr>
              <w:t> </w:t>
            </w:r>
            <w:r w:rsidRPr="00817F28">
              <w:rPr>
                <w:sz w:val="18"/>
                <w:szCs w:val="18"/>
              </w:rPr>
              <w:t>25(1)(a)(ii))</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4,391</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572,441</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1,745</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186,706</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1,873</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224,113</w:t>
            </w:r>
          </w:p>
        </w:tc>
      </w:tr>
      <w:tr w:rsidR="00817F28" w:rsidTr="008F563D">
        <w:trPr>
          <w:trHeight w:val="255"/>
        </w:trPr>
        <w:tc>
          <w:tcPr>
            <w:tcW w:w="2331" w:type="dxa"/>
            <w:shd w:val="clear" w:color="auto" w:fill="auto"/>
            <w:noWrap/>
            <w:vAlign w:val="center"/>
          </w:tcPr>
          <w:p w:rsidR="00817F28" w:rsidRPr="00817F28" w:rsidRDefault="00817F28" w:rsidP="008F563D">
            <w:pPr>
              <w:rPr>
                <w:sz w:val="18"/>
                <w:szCs w:val="18"/>
              </w:rPr>
            </w:pPr>
            <w:r w:rsidRPr="00817F28">
              <w:rPr>
                <w:sz w:val="18"/>
                <w:szCs w:val="18"/>
              </w:rPr>
              <w:t>Partial Cancellation</w:t>
            </w:r>
            <w:r w:rsidRPr="00817F28">
              <w:rPr>
                <w:sz w:val="18"/>
                <w:szCs w:val="18"/>
              </w:rPr>
              <w:br/>
              <w:t>(Rule</w:t>
            </w:r>
            <w:r w:rsidR="005C7B38">
              <w:rPr>
                <w:sz w:val="18"/>
                <w:szCs w:val="18"/>
              </w:rPr>
              <w:t> </w:t>
            </w:r>
            <w:r w:rsidRPr="00817F28">
              <w:rPr>
                <w:sz w:val="18"/>
                <w:szCs w:val="18"/>
              </w:rPr>
              <w:t>25(1)(a)(v))</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403</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11,618</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605</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25,000</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567</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29,453</w:t>
            </w:r>
          </w:p>
        </w:tc>
      </w:tr>
      <w:tr w:rsidR="00817F28" w:rsidTr="008F563D">
        <w:trPr>
          <w:trHeight w:val="255"/>
        </w:trPr>
        <w:tc>
          <w:tcPr>
            <w:tcW w:w="2331" w:type="dxa"/>
            <w:shd w:val="clear" w:color="auto" w:fill="auto"/>
            <w:noWrap/>
            <w:vAlign w:val="center"/>
          </w:tcPr>
          <w:p w:rsidR="00817F28" w:rsidRPr="00817F28" w:rsidRDefault="00817F28" w:rsidP="008F563D">
            <w:pPr>
              <w:rPr>
                <w:sz w:val="18"/>
                <w:szCs w:val="18"/>
              </w:rPr>
            </w:pPr>
            <w:r w:rsidRPr="00817F28">
              <w:rPr>
                <w:sz w:val="18"/>
                <w:szCs w:val="18"/>
              </w:rPr>
              <w:t>Limitation Has no Effect (Rule</w:t>
            </w:r>
            <w:r w:rsidR="005C7B38">
              <w:rPr>
                <w:sz w:val="18"/>
                <w:szCs w:val="18"/>
              </w:rPr>
              <w:t> </w:t>
            </w:r>
            <w:r w:rsidRPr="00817F28">
              <w:rPr>
                <w:sz w:val="18"/>
                <w:szCs w:val="18"/>
              </w:rPr>
              <w:t>27(5))</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61</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2,587</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442</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11,259</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61</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3,738</w:t>
            </w:r>
          </w:p>
        </w:tc>
      </w:tr>
      <w:tr w:rsidR="00817F28" w:rsidTr="008F563D">
        <w:trPr>
          <w:trHeight w:val="255"/>
        </w:trPr>
        <w:tc>
          <w:tcPr>
            <w:tcW w:w="2331" w:type="dxa"/>
            <w:shd w:val="clear" w:color="auto" w:fill="auto"/>
            <w:noWrap/>
            <w:vAlign w:val="center"/>
          </w:tcPr>
          <w:p w:rsidR="00817F28" w:rsidRPr="00817F28" w:rsidRDefault="00817F28" w:rsidP="008F563D">
            <w:pPr>
              <w:rPr>
                <w:color w:val="000000"/>
                <w:sz w:val="18"/>
                <w:szCs w:val="18"/>
              </w:rPr>
            </w:pPr>
            <w:r w:rsidRPr="00817F28">
              <w:rPr>
                <w:sz w:val="18"/>
                <w:szCs w:val="18"/>
              </w:rPr>
              <w:t>Replacement</w:t>
            </w:r>
            <w:r w:rsidRPr="00817F28">
              <w:rPr>
                <w:sz w:val="18"/>
                <w:szCs w:val="18"/>
              </w:rPr>
              <w:br/>
              <w:t>(Article</w:t>
            </w:r>
            <w:r w:rsidR="005C7B38">
              <w:rPr>
                <w:sz w:val="18"/>
                <w:szCs w:val="18"/>
              </w:rPr>
              <w:t> </w:t>
            </w:r>
            <w:r w:rsidRPr="00817F28">
              <w:rPr>
                <w:sz w:val="18"/>
                <w:szCs w:val="18"/>
              </w:rPr>
              <w:t>4</w:t>
            </w:r>
            <w:r w:rsidRPr="00817F28">
              <w:rPr>
                <w:i/>
                <w:iCs/>
                <w:sz w:val="18"/>
                <w:szCs w:val="18"/>
              </w:rPr>
              <w:t>bis</w:t>
            </w:r>
            <w:r w:rsidRPr="00817F28">
              <w:rPr>
                <w:sz w:val="18"/>
                <w:szCs w:val="18"/>
              </w:rPr>
              <w:t>)</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41</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2,138</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282</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13,172</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126</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5,180</w:t>
            </w:r>
          </w:p>
        </w:tc>
      </w:tr>
      <w:tr w:rsidR="00817F28" w:rsidTr="008F563D">
        <w:trPr>
          <w:trHeight w:val="255"/>
        </w:trPr>
        <w:tc>
          <w:tcPr>
            <w:tcW w:w="2331" w:type="dxa"/>
            <w:shd w:val="clear" w:color="auto" w:fill="auto"/>
            <w:noWrap/>
            <w:vAlign w:val="center"/>
          </w:tcPr>
          <w:p w:rsidR="00817F28" w:rsidRPr="00817F28" w:rsidRDefault="008F563D" w:rsidP="008F563D">
            <w:pPr>
              <w:rPr>
                <w:rFonts w:eastAsia="MS Mincho"/>
                <w:bCs/>
                <w:sz w:val="18"/>
                <w:szCs w:val="18"/>
                <w:lang w:eastAsia="ja-JP"/>
              </w:rPr>
            </w:pPr>
            <w:r>
              <w:rPr>
                <w:rFonts w:eastAsia="MS Mincho"/>
                <w:bCs/>
                <w:sz w:val="18"/>
                <w:szCs w:val="18"/>
                <w:lang w:eastAsia="ja-JP"/>
              </w:rPr>
              <w:t>Translation on R</w:t>
            </w:r>
            <w:r w:rsidR="00817F28" w:rsidRPr="00817F28">
              <w:rPr>
                <w:rFonts w:eastAsia="MS Mincho"/>
                <w:bCs/>
                <w:sz w:val="18"/>
                <w:szCs w:val="18"/>
                <w:lang w:eastAsia="ja-JP"/>
              </w:rPr>
              <w:t>equest</w:t>
            </w:r>
          </w:p>
        </w:tc>
        <w:tc>
          <w:tcPr>
            <w:tcW w:w="1171" w:type="dxa"/>
            <w:shd w:val="clear" w:color="auto" w:fill="auto"/>
            <w:noWrap/>
            <w:vAlign w:val="center"/>
          </w:tcPr>
          <w:p w:rsidR="00817F28" w:rsidRPr="00817F28" w:rsidRDefault="00817F28" w:rsidP="008F563D">
            <w:pPr>
              <w:jc w:val="center"/>
              <w:rPr>
                <w:color w:val="000000"/>
                <w:sz w:val="18"/>
                <w:szCs w:val="18"/>
              </w:rPr>
            </w:pPr>
          </w:p>
        </w:tc>
        <w:tc>
          <w:tcPr>
            <w:tcW w:w="1171" w:type="dxa"/>
            <w:shd w:val="clear" w:color="auto" w:fill="auto"/>
            <w:noWrap/>
            <w:vAlign w:val="center"/>
          </w:tcPr>
          <w:p w:rsidR="00817F28" w:rsidRPr="00817F28" w:rsidRDefault="00817F28" w:rsidP="008F563D">
            <w:pPr>
              <w:jc w:val="center"/>
              <w:rPr>
                <w:color w:val="000000"/>
                <w:sz w:val="18"/>
                <w:szCs w:val="18"/>
              </w:rPr>
            </w:pPr>
          </w:p>
        </w:tc>
        <w:tc>
          <w:tcPr>
            <w:tcW w:w="1171" w:type="dxa"/>
            <w:shd w:val="clear" w:color="auto" w:fill="auto"/>
            <w:noWrap/>
            <w:vAlign w:val="center"/>
          </w:tcPr>
          <w:p w:rsidR="00817F28" w:rsidRPr="00817F28" w:rsidRDefault="00817F28" w:rsidP="008F563D">
            <w:pPr>
              <w:jc w:val="center"/>
              <w:rPr>
                <w:color w:val="000000"/>
                <w:sz w:val="18"/>
                <w:szCs w:val="18"/>
              </w:rPr>
            </w:pPr>
          </w:p>
        </w:tc>
        <w:tc>
          <w:tcPr>
            <w:tcW w:w="1170" w:type="dxa"/>
            <w:shd w:val="clear" w:color="auto" w:fill="auto"/>
            <w:noWrap/>
            <w:vAlign w:val="center"/>
          </w:tcPr>
          <w:p w:rsidR="00817F28" w:rsidRPr="00817F28" w:rsidRDefault="00817F28" w:rsidP="008F563D">
            <w:pPr>
              <w:jc w:val="center"/>
              <w:rPr>
                <w:color w:val="000000"/>
                <w:sz w:val="18"/>
                <w:szCs w:val="18"/>
              </w:rPr>
            </w:pP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103</w:t>
            </w:r>
          </w:p>
        </w:tc>
      </w:tr>
      <w:tr w:rsidR="00817F28" w:rsidRPr="007023D0" w:rsidTr="008F563D">
        <w:trPr>
          <w:trHeight w:val="255"/>
        </w:trPr>
        <w:tc>
          <w:tcPr>
            <w:tcW w:w="2331" w:type="dxa"/>
            <w:shd w:val="clear" w:color="auto" w:fill="auto"/>
            <w:noWrap/>
            <w:vAlign w:val="center"/>
          </w:tcPr>
          <w:p w:rsidR="00817F28" w:rsidRPr="00817F28" w:rsidRDefault="00817F28" w:rsidP="008F563D">
            <w:pPr>
              <w:rPr>
                <w:sz w:val="18"/>
                <w:szCs w:val="18"/>
                <w:highlight w:val="yellow"/>
              </w:rPr>
            </w:pPr>
            <w:r w:rsidRPr="00817F28">
              <w:rPr>
                <w:rFonts w:eastAsia="MS Mincho"/>
                <w:bCs/>
                <w:sz w:val="18"/>
                <w:szCs w:val="18"/>
                <w:lang w:eastAsia="ja-JP"/>
              </w:rPr>
              <w:t>Total</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123,668</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15,029,221</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123,624</w:t>
            </w:r>
          </w:p>
        </w:tc>
        <w:tc>
          <w:tcPr>
            <w:tcW w:w="1170"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24,511,019</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116,632</w:t>
            </w:r>
          </w:p>
        </w:tc>
        <w:tc>
          <w:tcPr>
            <w:tcW w:w="1171" w:type="dxa"/>
            <w:shd w:val="clear" w:color="auto" w:fill="auto"/>
            <w:noWrap/>
            <w:vAlign w:val="center"/>
          </w:tcPr>
          <w:p w:rsidR="00817F28" w:rsidRPr="00817F28" w:rsidRDefault="00817F28" w:rsidP="008F563D">
            <w:pPr>
              <w:jc w:val="center"/>
              <w:rPr>
                <w:color w:val="000000"/>
                <w:sz w:val="18"/>
                <w:szCs w:val="18"/>
              </w:rPr>
            </w:pPr>
            <w:r w:rsidRPr="00817F28">
              <w:rPr>
                <w:color w:val="000000"/>
                <w:sz w:val="18"/>
                <w:szCs w:val="18"/>
              </w:rPr>
              <w:t>26,608,859</w:t>
            </w:r>
          </w:p>
        </w:tc>
      </w:tr>
    </w:tbl>
    <w:p w:rsidR="00DE1E0B" w:rsidRDefault="00DE1E0B" w:rsidP="00DE1E0B"/>
    <w:p w:rsidR="00DE1E0B" w:rsidRDefault="00817F28" w:rsidP="00DE1E0B">
      <w:r>
        <w:fldChar w:fldCharType="begin"/>
      </w:r>
      <w:r>
        <w:instrText xml:space="preserve"> AUTONUM  </w:instrText>
      </w:r>
      <w:r>
        <w:fldChar w:fldCharType="end"/>
      </w:r>
      <w:r>
        <w:tab/>
      </w:r>
      <w:r w:rsidR="00DE1E0B">
        <w:t>The distribution of the translation workload by target language has varied since it was last reported to</w:t>
      </w:r>
      <w:r>
        <w:t xml:space="preserve"> the Working Group in </w:t>
      </w:r>
      <w:r w:rsidR="00DE1E0B">
        <w:t>2011, when English represented 15</w:t>
      </w:r>
      <w:r>
        <w:t>%</w:t>
      </w:r>
      <w:r w:rsidR="00DE1E0B">
        <w:t>, French 36</w:t>
      </w:r>
      <w:r>
        <w:t>%</w:t>
      </w:r>
      <w:r w:rsidR="00DE1E0B">
        <w:t xml:space="preserve"> and Spanish 49</w:t>
      </w:r>
      <w:r>
        <w:t>%</w:t>
      </w:r>
      <w:r w:rsidR="00DE1E0B">
        <w:t>.  In</w:t>
      </w:r>
      <w:r>
        <w:t> </w:t>
      </w:r>
      <w:r w:rsidR="00DE1E0B">
        <w:t>2014, English represented 10</w:t>
      </w:r>
      <w:r>
        <w:t>%</w:t>
      </w:r>
      <w:r w:rsidR="00DE1E0B">
        <w:t>, French 45</w:t>
      </w:r>
      <w:r>
        <w:t>%</w:t>
      </w:r>
      <w:r w:rsidR="00DE1E0B">
        <w:t xml:space="preserve"> and Spanish also 45</w:t>
      </w:r>
      <w:r>
        <w:t>%</w:t>
      </w:r>
      <w:r w:rsidR="00DE1E0B">
        <w:t xml:space="preserve"> (see</w:t>
      </w:r>
      <w:r>
        <w:t> </w:t>
      </w:r>
      <w:r w:rsidR="00DE1E0B">
        <w:t>Table</w:t>
      </w:r>
      <w:r>
        <w:t> </w:t>
      </w:r>
      <w:r w:rsidR="00DE1E0B">
        <w:t>III).</w:t>
      </w:r>
      <w:r>
        <w:t xml:space="preserve">  </w:t>
      </w:r>
    </w:p>
    <w:p w:rsidR="00DE1E0B" w:rsidRDefault="00DE1E0B" w:rsidP="00DE1E0B"/>
    <w:p w:rsidR="00DE1E0B" w:rsidRDefault="00DE1E0B" w:rsidP="005C7B38">
      <w:pPr>
        <w:pStyle w:val="Heading4"/>
        <w:keepLines/>
      </w:pPr>
      <w:r>
        <w:t>Table III:</w:t>
      </w:r>
      <w:r w:rsidR="00817F28">
        <w:t xml:space="preserve">  Translated Words per Rec</w:t>
      </w:r>
      <w:r>
        <w:t xml:space="preserve">ording </w:t>
      </w:r>
      <w:r w:rsidR="00817F28">
        <w:t>Type and T</w:t>
      </w:r>
      <w:r>
        <w:t xml:space="preserve">arget </w:t>
      </w:r>
      <w:r w:rsidR="00817F28">
        <w:t>L</w:t>
      </w:r>
      <w:r>
        <w:t>anguage in</w:t>
      </w:r>
      <w:r w:rsidR="00817F28">
        <w:t> </w:t>
      </w:r>
      <w:r>
        <w:t>2014</w:t>
      </w:r>
    </w:p>
    <w:p w:rsidR="00DE1E0B" w:rsidRDefault="00DE1E0B" w:rsidP="005C7B38">
      <w:pPr>
        <w:keepNext/>
        <w:keepLines/>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306"/>
        <w:gridCol w:w="1237"/>
        <w:gridCol w:w="1058"/>
        <w:gridCol w:w="1252"/>
        <w:gridCol w:w="1252"/>
        <w:gridCol w:w="1251"/>
        <w:gridCol w:w="1113"/>
      </w:tblGrid>
      <w:tr w:rsidR="008F563D" w:rsidRPr="00545393" w:rsidTr="008F563D">
        <w:trPr>
          <w:trHeight w:val="270"/>
          <w:jc w:val="center"/>
        </w:trPr>
        <w:tc>
          <w:tcPr>
            <w:tcW w:w="2306" w:type="dxa"/>
            <w:vMerge w:val="restart"/>
            <w:tcBorders>
              <w:top w:val="nil"/>
              <w:left w:val="nil"/>
            </w:tcBorders>
            <w:shd w:val="clear" w:color="auto" w:fill="auto"/>
            <w:vAlign w:val="center"/>
          </w:tcPr>
          <w:p w:rsidR="008F563D" w:rsidRPr="00545393" w:rsidRDefault="008F563D" w:rsidP="005C7B38">
            <w:pPr>
              <w:keepNext/>
              <w:keepLines/>
              <w:jc w:val="center"/>
              <w:rPr>
                <w:rFonts w:eastAsia="MS Mincho"/>
                <w:bCs/>
                <w:sz w:val="18"/>
                <w:szCs w:val="18"/>
                <w:lang w:eastAsia="ja-JP"/>
              </w:rPr>
            </w:pPr>
          </w:p>
        </w:tc>
        <w:tc>
          <w:tcPr>
            <w:tcW w:w="2295" w:type="dxa"/>
            <w:gridSpan w:val="2"/>
            <w:shd w:val="clear" w:color="auto" w:fill="auto"/>
            <w:vAlign w:val="center"/>
          </w:tcPr>
          <w:p w:rsidR="008F563D" w:rsidRPr="00545393" w:rsidRDefault="008F563D" w:rsidP="008F563D">
            <w:pPr>
              <w:keepNext/>
              <w:keepLines/>
              <w:jc w:val="center"/>
              <w:rPr>
                <w:rFonts w:eastAsia="MS Mincho"/>
                <w:bCs/>
                <w:sz w:val="18"/>
                <w:szCs w:val="18"/>
                <w:lang w:eastAsia="ja-JP"/>
              </w:rPr>
            </w:pPr>
            <w:r w:rsidRPr="00545393">
              <w:rPr>
                <w:rFonts w:eastAsia="MS Mincho"/>
                <w:bCs/>
                <w:sz w:val="18"/>
                <w:szCs w:val="18"/>
                <w:lang w:eastAsia="ja-JP"/>
              </w:rPr>
              <w:t>English</w:t>
            </w:r>
          </w:p>
        </w:tc>
        <w:tc>
          <w:tcPr>
            <w:tcW w:w="2504" w:type="dxa"/>
            <w:gridSpan w:val="2"/>
            <w:shd w:val="clear" w:color="auto" w:fill="auto"/>
            <w:vAlign w:val="center"/>
          </w:tcPr>
          <w:p w:rsidR="008F563D" w:rsidRPr="00545393" w:rsidRDefault="008F563D" w:rsidP="008F563D">
            <w:pPr>
              <w:keepNext/>
              <w:keepLines/>
              <w:jc w:val="center"/>
              <w:rPr>
                <w:rFonts w:eastAsia="MS Mincho"/>
                <w:bCs/>
                <w:sz w:val="18"/>
                <w:szCs w:val="18"/>
                <w:lang w:eastAsia="ja-JP"/>
              </w:rPr>
            </w:pPr>
            <w:r w:rsidRPr="00545393">
              <w:rPr>
                <w:rFonts w:eastAsia="MS Mincho"/>
                <w:bCs/>
                <w:sz w:val="18"/>
                <w:szCs w:val="18"/>
                <w:lang w:eastAsia="ja-JP"/>
              </w:rPr>
              <w:t>French</w:t>
            </w:r>
          </w:p>
        </w:tc>
        <w:tc>
          <w:tcPr>
            <w:tcW w:w="2364" w:type="dxa"/>
            <w:gridSpan w:val="2"/>
            <w:shd w:val="clear" w:color="auto" w:fill="auto"/>
            <w:vAlign w:val="center"/>
          </w:tcPr>
          <w:p w:rsidR="008F563D" w:rsidRPr="00545393" w:rsidRDefault="008F563D" w:rsidP="008F563D">
            <w:pPr>
              <w:keepNext/>
              <w:keepLines/>
              <w:jc w:val="center"/>
              <w:rPr>
                <w:rFonts w:eastAsia="MS Mincho"/>
                <w:bCs/>
                <w:sz w:val="18"/>
                <w:szCs w:val="18"/>
                <w:lang w:eastAsia="ja-JP"/>
              </w:rPr>
            </w:pPr>
            <w:r w:rsidRPr="00545393">
              <w:rPr>
                <w:rFonts w:eastAsia="MS Mincho"/>
                <w:bCs/>
                <w:sz w:val="18"/>
                <w:szCs w:val="18"/>
                <w:lang w:eastAsia="ja-JP"/>
              </w:rPr>
              <w:t>Spanish</w:t>
            </w:r>
          </w:p>
        </w:tc>
      </w:tr>
      <w:tr w:rsidR="008F563D" w:rsidRPr="00545393" w:rsidTr="008F563D">
        <w:trPr>
          <w:trHeight w:val="270"/>
          <w:jc w:val="center"/>
        </w:trPr>
        <w:tc>
          <w:tcPr>
            <w:tcW w:w="2306" w:type="dxa"/>
            <w:vMerge/>
            <w:tcBorders>
              <w:left w:val="nil"/>
            </w:tcBorders>
            <w:shd w:val="clear" w:color="auto" w:fill="auto"/>
            <w:vAlign w:val="center"/>
          </w:tcPr>
          <w:p w:rsidR="008F563D" w:rsidRPr="00545393" w:rsidRDefault="008F563D" w:rsidP="005C7B38">
            <w:pPr>
              <w:keepNext/>
              <w:keepLines/>
              <w:jc w:val="center"/>
              <w:rPr>
                <w:rFonts w:eastAsia="MS Mincho"/>
                <w:bCs/>
                <w:sz w:val="18"/>
                <w:szCs w:val="18"/>
                <w:lang w:eastAsia="ja-JP"/>
              </w:rPr>
            </w:pPr>
          </w:p>
        </w:tc>
        <w:tc>
          <w:tcPr>
            <w:tcW w:w="1237" w:type="dxa"/>
            <w:shd w:val="clear" w:color="auto" w:fill="auto"/>
            <w:vAlign w:val="center"/>
          </w:tcPr>
          <w:p w:rsidR="008F563D" w:rsidRPr="00545393" w:rsidRDefault="008F563D" w:rsidP="008F563D">
            <w:pPr>
              <w:keepNext/>
              <w:keepLines/>
              <w:jc w:val="center"/>
              <w:rPr>
                <w:rFonts w:eastAsia="MS Mincho"/>
                <w:bCs/>
                <w:sz w:val="18"/>
                <w:szCs w:val="18"/>
                <w:lang w:eastAsia="ja-JP"/>
              </w:rPr>
            </w:pPr>
            <w:r w:rsidRPr="00545393">
              <w:rPr>
                <w:rFonts w:eastAsia="MS Mincho"/>
                <w:bCs/>
                <w:sz w:val="18"/>
                <w:szCs w:val="18"/>
                <w:lang w:eastAsia="ja-JP"/>
              </w:rPr>
              <w:t>Translations</w:t>
            </w:r>
          </w:p>
        </w:tc>
        <w:tc>
          <w:tcPr>
            <w:tcW w:w="1058" w:type="dxa"/>
            <w:shd w:val="clear" w:color="auto" w:fill="auto"/>
            <w:vAlign w:val="center"/>
          </w:tcPr>
          <w:p w:rsidR="008F563D" w:rsidRPr="00545393" w:rsidRDefault="008F563D" w:rsidP="008F563D">
            <w:pPr>
              <w:keepNext/>
              <w:keepLines/>
              <w:jc w:val="center"/>
              <w:rPr>
                <w:rFonts w:eastAsia="MS Mincho"/>
                <w:bCs/>
                <w:sz w:val="18"/>
                <w:szCs w:val="18"/>
                <w:lang w:eastAsia="ja-JP"/>
              </w:rPr>
            </w:pPr>
            <w:r w:rsidRPr="00545393">
              <w:rPr>
                <w:rFonts w:eastAsia="MS Mincho"/>
                <w:bCs/>
                <w:sz w:val="18"/>
                <w:szCs w:val="18"/>
                <w:lang w:eastAsia="ja-JP"/>
              </w:rPr>
              <w:t>Words</w:t>
            </w:r>
          </w:p>
        </w:tc>
        <w:tc>
          <w:tcPr>
            <w:tcW w:w="1252" w:type="dxa"/>
            <w:shd w:val="clear" w:color="auto" w:fill="auto"/>
            <w:vAlign w:val="center"/>
          </w:tcPr>
          <w:p w:rsidR="008F563D" w:rsidRPr="00545393" w:rsidRDefault="008F563D" w:rsidP="008F563D">
            <w:pPr>
              <w:keepNext/>
              <w:keepLines/>
              <w:jc w:val="center"/>
              <w:rPr>
                <w:rFonts w:eastAsia="MS Mincho"/>
                <w:bCs/>
                <w:sz w:val="18"/>
                <w:szCs w:val="18"/>
                <w:lang w:eastAsia="ja-JP"/>
              </w:rPr>
            </w:pPr>
            <w:r w:rsidRPr="00545393">
              <w:rPr>
                <w:rFonts w:eastAsia="MS Mincho"/>
                <w:bCs/>
                <w:sz w:val="18"/>
                <w:szCs w:val="18"/>
                <w:lang w:eastAsia="ja-JP"/>
              </w:rPr>
              <w:t>Translations</w:t>
            </w:r>
          </w:p>
        </w:tc>
        <w:tc>
          <w:tcPr>
            <w:tcW w:w="1252" w:type="dxa"/>
            <w:shd w:val="clear" w:color="auto" w:fill="auto"/>
            <w:vAlign w:val="center"/>
          </w:tcPr>
          <w:p w:rsidR="008F563D" w:rsidRPr="00545393" w:rsidRDefault="008F563D" w:rsidP="008F563D">
            <w:pPr>
              <w:keepNext/>
              <w:keepLines/>
              <w:jc w:val="center"/>
              <w:rPr>
                <w:rFonts w:eastAsia="MS Mincho"/>
                <w:bCs/>
                <w:sz w:val="18"/>
                <w:szCs w:val="18"/>
                <w:lang w:eastAsia="ja-JP"/>
              </w:rPr>
            </w:pPr>
            <w:r w:rsidRPr="00545393">
              <w:rPr>
                <w:rFonts w:eastAsia="MS Mincho"/>
                <w:bCs/>
                <w:sz w:val="18"/>
                <w:szCs w:val="18"/>
                <w:lang w:eastAsia="ja-JP"/>
              </w:rPr>
              <w:t>Words</w:t>
            </w:r>
          </w:p>
        </w:tc>
        <w:tc>
          <w:tcPr>
            <w:tcW w:w="1251" w:type="dxa"/>
            <w:shd w:val="clear" w:color="auto" w:fill="auto"/>
            <w:vAlign w:val="center"/>
          </w:tcPr>
          <w:p w:rsidR="008F563D" w:rsidRPr="00545393" w:rsidRDefault="008F563D" w:rsidP="008F563D">
            <w:pPr>
              <w:keepNext/>
              <w:keepLines/>
              <w:jc w:val="center"/>
              <w:rPr>
                <w:rFonts w:eastAsia="MS Mincho"/>
                <w:bCs/>
                <w:sz w:val="18"/>
                <w:szCs w:val="18"/>
                <w:lang w:eastAsia="ja-JP"/>
              </w:rPr>
            </w:pPr>
            <w:r w:rsidRPr="00545393">
              <w:rPr>
                <w:rFonts w:eastAsia="MS Mincho"/>
                <w:bCs/>
                <w:sz w:val="18"/>
                <w:szCs w:val="18"/>
                <w:lang w:eastAsia="ja-JP"/>
              </w:rPr>
              <w:t>Translations</w:t>
            </w:r>
          </w:p>
        </w:tc>
        <w:tc>
          <w:tcPr>
            <w:tcW w:w="1113" w:type="dxa"/>
            <w:shd w:val="clear" w:color="auto" w:fill="auto"/>
            <w:vAlign w:val="center"/>
          </w:tcPr>
          <w:p w:rsidR="008F563D" w:rsidRPr="00545393" w:rsidRDefault="008F563D" w:rsidP="008F563D">
            <w:pPr>
              <w:keepNext/>
              <w:keepLines/>
              <w:jc w:val="center"/>
              <w:rPr>
                <w:rFonts w:eastAsia="MS Mincho"/>
                <w:bCs/>
                <w:sz w:val="18"/>
                <w:szCs w:val="18"/>
                <w:lang w:eastAsia="ja-JP"/>
              </w:rPr>
            </w:pPr>
            <w:r w:rsidRPr="00545393">
              <w:rPr>
                <w:rFonts w:eastAsia="MS Mincho"/>
                <w:bCs/>
                <w:sz w:val="18"/>
                <w:szCs w:val="18"/>
                <w:lang w:eastAsia="ja-JP"/>
              </w:rPr>
              <w:t>Words</w:t>
            </w:r>
          </w:p>
        </w:tc>
      </w:tr>
      <w:tr w:rsidR="005C7B38" w:rsidRPr="00EA5E33" w:rsidTr="008F563D">
        <w:trPr>
          <w:trHeight w:val="255"/>
          <w:jc w:val="center"/>
        </w:trPr>
        <w:tc>
          <w:tcPr>
            <w:tcW w:w="2306" w:type="dxa"/>
            <w:shd w:val="clear" w:color="auto" w:fill="auto"/>
            <w:noWrap/>
            <w:vAlign w:val="bottom"/>
          </w:tcPr>
          <w:p w:rsidR="005C7B38" w:rsidRPr="00545393" w:rsidRDefault="005C7B38" w:rsidP="005C7B38">
            <w:pPr>
              <w:keepNext/>
              <w:keepLines/>
              <w:rPr>
                <w:sz w:val="18"/>
                <w:szCs w:val="18"/>
              </w:rPr>
            </w:pPr>
            <w:r w:rsidRPr="00545393">
              <w:rPr>
                <w:sz w:val="18"/>
                <w:szCs w:val="18"/>
              </w:rPr>
              <w:t>I</w:t>
            </w:r>
            <w:r>
              <w:rPr>
                <w:sz w:val="18"/>
                <w:szCs w:val="18"/>
              </w:rPr>
              <w:t>nternational Registration (Rule </w:t>
            </w:r>
            <w:r w:rsidRPr="00545393">
              <w:rPr>
                <w:sz w:val="18"/>
                <w:szCs w:val="18"/>
              </w:rPr>
              <w:t>14)</w:t>
            </w:r>
          </w:p>
        </w:tc>
        <w:tc>
          <w:tcPr>
            <w:tcW w:w="1237" w:type="dxa"/>
            <w:shd w:val="clear" w:color="auto" w:fill="auto"/>
            <w:noWrap/>
            <w:vAlign w:val="center"/>
          </w:tcPr>
          <w:p w:rsidR="005C7B38" w:rsidRPr="00EA5E33" w:rsidRDefault="005C7B38" w:rsidP="008F563D">
            <w:pPr>
              <w:keepNext/>
              <w:keepLines/>
              <w:jc w:val="center"/>
              <w:rPr>
                <w:sz w:val="18"/>
                <w:szCs w:val="18"/>
              </w:rPr>
            </w:pPr>
            <w:r w:rsidRPr="00EA5E33">
              <w:rPr>
                <w:sz w:val="18"/>
                <w:szCs w:val="18"/>
              </w:rPr>
              <w:t>9</w:t>
            </w:r>
            <w:r>
              <w:rPr>
                <w:sz w:val="18"/>
                <w:szCs w:val="18"/>
              </w:rPr>
              <w:t>,</w:t>
            </w:r>
            <w:r w:rsidRPr="00EA5E33">
              <w:rPr>
                <w:sz w:val="18"/>
                <w:szCs w:val="18"/>
              </w:rPr>
              <w:t>850</w:t>
            </w:r>
          </w:p>
        </w:tc>
        <w:tc>
          <w:tcPr>
            <w:tcW w:w="1058" w:type="dxa"/>
            <w:shd w:val="clear" w:color="auto" w:fill="auto"/>
            <w:noWrap/>
            <w:vAlign w:val="center"/>
          </w:tcPr>
          <w:p w:rsidR="005C7B38" w:rsidRPr="00EA5E33" w:rsidRDefault="005C7B38" w:rsidP="008F563D">
            <w:pPr>
              <w:keepNext/>
              <w:keepLines/>
              <w:jc w:val="center"/>
              <w:rPr>
                <w:sz w:val="18"/>
                <w:szCs w:val="18"/>
              </w:rPr>
            </w:pPr>
            <w:r w:rsidRPr="00EA5E33">
              <w:rPr>
                <w:sz w:val="18"/>
                <w:szCs w:val="18"/>
              </w:rPr>
              <w:t>2</w:t>
            </w:r>
            <w:r>
              <w:rPr>
                <w:sz w:val="18"/>
                <w:szCs w:val="18"/>
              </w:rPr>
              <w:t>,</w:t>
            </w:r>
            <w:r w:rsidRPr="00EA5E33">
              <w:rPr>
                <w:sz w:val="18"/>
                <w:szCs w:val="18"/>
              </w:rPr>
              <w:t>101</w:t>
            </w:r>
            <w:r>
              <w:rPr>
                <w:sz w:val="18"/>
                <w:szCs w:val="18"/>
              </w:rPr>
              <w:t>,</w:t>
            </w:r>
            <w:r w:rsidRPr="00EA5E33">
              <w:rPr>
                <w:sz w:val="18"/>
                <w:szCs w:val="18"/>
              </w:rPr>
              <w:t>772</w:t>
            </w:r>
          </w:p>
        </w:tc>
        <w:tc>
          <w:tcPr>
            <w:tcW w:w="1252" w:type="dxa"/>
            <w:shd w:val="clear" w:color="auto" w:fill="auto"/>
            <w:noWrap/>
            <w:vAlign w:val="center"/>
          </w:tcPr>
          <w:p w:rsidR="005C7B38" w:rsidRPr="00EA5E33" w:rsidRDefault="005C7B38" w:rsidP="008F563D">
            <w:pPr>
              <w:keepNext/>
              <w:keepLines/>
              <w:jc w:val="center"/>
              <w:rPr>
                <w:sz w:val="18"/>
                <w:szCs w:val="18"/>
              </w:rPr>
            </w:pPr>
            <w:r w:rsidRPr="00EA5E33">
              <w:rPr>
                <w:sz w:val="18"/>
                <w:szCs w:val="18"/>
              </w:rPr>
              <w:t>37</w:t>
            </w:r>
            <w:r>
              <w:rPr>
                <w:sz w:val="18"/>
                <w:szCs w:val="18"/>
              </w:rPr>
              <w:t>,</w:t>
            </w:r>
            <w:r w:rsidRPr="00EA5E33">
              <w:rPr>
                <w:sz w:val="18"/>
                <w:szCs w:val="18"/>
              </w:rPr>
              <w:t>279</w:t>
            </w:r>
          </w:p>
        </w:tc>
        <w:tc>
          <w:tcPr>
            <w:tcW w:w="1252" w:type="dxa"/>
            <w:shd w:val="clear" w:color="auto" w:fill="auto"/>
            <w:noWrap/>
            <w:vAlign w:val="center"/>
          </w:tcPr>
          <w:p w:rsidR="005C7B38" w:rsidRPr="00EA5E33" w:rsidRDefault="005C7B38" w:rsidP="008F563D">
            <w:pPr>
              <w:keepNext/>
              <w:keepLines/>
              <w:jc w:val="center"/>
              <w:rPr>
                <w:sz w:val="18"/>
                <w:szCs w:val="18"/>
              </w:rPr>
            </w:pPr>
            <w:r w:rsidRPr="00EA5E33">
              <w:rPr>
                <w:sz w:val="18"/>
                <w:szCs w:val="18"/>
              </w:rPr>
              <w:t>9</w:t>
            </w:r>
            <w:r>
              <w:rPr>
                <w:sz w:val="18"/>
                <w:szCs w:val="18"/>
              </w:rPr>
              <w:t>,</w:t>
            </w:r>
            <w:r w:rsidRPr="00EA5E33">
              <w:rPr>
                <w:sz w:val="18"/>
                <w:szCs w:val="18"/>
              </w:rPr>
              <w:t>649</w:t>
            </w:r>
            <w:r>
              <w:rPr>
                <w:sz w:val="18"/>
                <w:szCs w:val="18"/>
              </w:rPr>
              <w:t>,</w:t>
            </w:r>
            <w:r w:rsidRPr="00EA5E33">
              <w:rPr>
                <w:sz w:val="18"/>
                <w:szCs w:val="18"/>
              </w:rPr>
              <w:t>441</w:t>
            </w:r>
          </w:p>
        </w:tc>
        <w:tc>
          <w:tcPr>
            <w:tcW w:w="1251" w:type="dxa"/>
            <w:shd w:val="clear" w:color="auto" w:fill="auto"/>
            <w:noWrap/>
            <w:vAlign w:val="center"/>
          </w:tcPr>
          <w:p w:rsidR="005C7B38" w:rsidRPr="00EA5E33" w:rsidRDefault="005C7B38" w:rsidP="008F563D">
            <w:pPr>
              <w:keepNext/>
              <w:keepLines/>
              <w:jc w:val="center"/>
              <w:rPr>
                <w:sz w:val="18"/>
                <w:szCs w:val="18"/>
              </w:rPr>
            </w:pPr>
            <w:r w:rsidRPr="00EA5E33">
              <w:rPr>
                <w:sz w:val="18"/>
                <w:szCs w:val="18"/>
              </w:rPr>
              <w:t>44</w:t>
            </w:r>
            <w:r>
              <w:rPr>
                <w:sz w:val="18"/>
                <w:szCs w:val="18"/>
              </w:rPr>
              <w:t>,</w:t>
            </w:r>
            <w:r w:rsidRPr="00EA5E33">
              <w:rPr>
                <w:sz w:val="18"/>
                <w:szCs w:val="18"/>
              </w:rPr>
              <w:t>254</w:t>
            </w:r>
          </w:p>
        </w:tc>
        <w:tc>
          <w:tcPr>
            <w:tcW w:w="1113" w:type="dxa"/>
            <w:shd w:val="clear" w:color="auto" w:fill="auto"/>
            <w:noWrap/>
            <w:vAlign w:val="center"/>
          </w:tcPr>
          <w:p w:rsidR="005C7B38" w:rsidRPr="00EA5E33" w:rsidRDefault="005C7B38" w:rsidP="008F563D">
            <w:pPr>
              <w:keepNext/>
              <w:keepLines/>
              <w:jc w:val="center"/>
              <w:rPr>
                <w:sz w:val="18"/>
                <w:szCs w:val="18"/>
              </w:rPr>
            </w:pPr>
            <w:r w:rsidRPr="00EA5E33">
              <w:rPr>
                <w:sz w:val="18"/>
                <w:szCs w:val="18"/>
              </w:rPr>
              <w:t>11</w:t>
            </w:r>
            <w:r>
              <w:rPr>
                <w:sz w:val="18"/>
                <w:szCs w:val="18"/>
              </w:rPr>
              <w:t>,</w:t>
            </w:r>
            <w:r w:rsidRPr="00EA5E33">
              <w:rPr>
                <w:sz w:val="18"/>
                <w:szCs w:val="18"/>
              </w:rPr>
              <w:t>176</w:t>
            </w:r>
            <w:r>
              <w:rPr>
                <w:sz w:val="18"/>
                <w:szCs w:val="18"/>
              </w:rPr>
              <w:t>,</w:t>
            </w:r>
            <w:r w:rsidRPr="00EA5E33">
              <w:rPr>
                <w:sz w:val="18"/>
                <w:szCs w:val="18"/>
              </w:rPr>
              <w:t>215</w:t>
            </w:r>
          </w:p>
        </w:tc>
      </w:tr>
      <w:tr w:rsidR="005C7B38" w:rsidRPr="008A2E36" w:rsidTr="008F563D">
        <w:trPr>
          <w:trHeight w:val="255"/>
          <w:jc w:val="center"/>
        </w:trPr>
        <w:tc>
          <w:tcPr>
            <w:tcW w:w="2306" w:type="dxa"/>
            <w:shd w:val="clear" w:color="auto" w:fill="auto"/>
            <w:noWrap/>
            <w:vAlign w:val="bottom"/>
          </w:tcPr>
          <w:p w:rsidR="005C7B38" w:rsidRPr="00545393" w:rsidRDefault="005C7B38" w:rsidP="005C7B38">
            <w:pPr>
              <w:keepNext/>
              <w:keepLines/>
              <w:rPr>
                <w:sz w:val="18"/>
                <w:szCs w:val="18"/>
              </w:rPr>
            </w:pPr>
            <w:r w:rsidRPr="00545393">
              <w:rPr>
                <w:sz w:val="18"/>
                <w:szCs w:val="18"/>
              </w:rPr>
              <w:t>Refusal</w:t>
            </w:r>
            <w:r w:rsidRPr="00545393">
              <w:rPr>
                <w:sz w:val="18"/>
                <w:szCs w:val="18"/>
              </w:rPr>
              <w:br/>
              <w:t>(Rule</w:t>
            </w:r>
            <w:r>
              <w:rPr>
                <w:sz w:val="18"/>
                <w:szCs w:val="18"/>
              </w:rPr>
              <w:t> </w:t>
            </w:r>
            <w:r w:rsidRPr="00545393">
              <w:rPr>
                <w:sz w:val="18"/>
                <w:szCs w:val="18"/>
              </w:rPr>
              <w:t>17(1))</w:t>
            </w:r>
          </w:p>
        </w:tc>
        <w:tc>
          <w:tcPr>
            <w:tcW w:w="1237" w:type="dxa"/>
            <w:shd w:val="clear" w:color="auto" w:fill="auto"/>
            <w:noWrap/>
            <w:vAlign w:val="center"/>
          </w:tcPr>
          <w:p w:rsidR="005C7B38" w:rsidRPr="008A2E36" w:rsidRDefault="005C7B38" w:rsidP="008F563D">
            <w:pPr>
              <w:keepNext/>
              <w:keepLines/>
              <w:jc w:val="center"/>
              <w:rPr>
                <w:sz w:val="18"/>
                <w:szCs w:val="18"/>
              </w:rPr>
            </w:pPr>
            <w:r w:rsidRPr="008A2E36">
              <w:rPr>
                <w:sz w:val="18"/>
                <w:szCs w:val="18"/>
              </w:rPr>
              <w:t>28</w:t>
            </w:r>
          </w:p>
        </w:tc>
        <w:tc>
          <w:tcPr>
            <w:tcW w:w="1058" w:type="dxa"/>
            <w:shd w:val="clear" w:color="auto" w:fill="auto"/>
            <w:noWrap/>
            <w:vAlign w:val="center"/>
          </w:tcPr>
          <w:p w:rsidR="005C7B38" w:rsidRPr="008A2E36" w:rsidRDefault="005C7B38" w:rsidP="008F563D">
            <w:pPr>
              <w:keepNext/>
              <w:keepLines/>
              <w:jc w:val="center"/>
              <w:rPr>
                <w:sz w:val="18"/>
                <w:szCs w:val="18"/>
              </w:rPr>
            </w:pPr>
            <w:r w:rsidRPr="008A2E36">
              <w:rPr>
                <w:sz w:val="18"/>
                <w:szCs w:val="18"/>
              </w:rPr>
              <w:t>488</w:t>
            </w:r>
          </w:p>
        </w:tc>
        <w:tc>
          <w:tcPr>
            <w:tcW w:w="1252" w:type="dxa"/>
            <w:shd w:val="clear" w:color="auto" w:fill="auto"/>
            <w:noWrap/>
            <w:vAlign w:val="center"/>
          </w:tcPr>
          <w:p w:rsidR="005C7B38" w:rsidRPr="008A2E36" w:rsidRDefault="005C7B38" w:rsidP="008F563D">
            <w:pPr>
              <w:keepNext/>
              <w:keepLines/>
              <w:jc w:val="center"/>
              <w:rPr>
                <w:sz w:val="18"/>
                <w:szCs w:val="18"/>
              </w:rPr>
            </w:pPr>
            <w:r w:rsidRPr="008A2E36">
              <w:rPr>
                <w:sz w:val="18"/>
                <w:szCs w:val="18"/>
              </w:rPr>
              <w:t>6</w:t>
            </w:r>
          </w:p>
        </w:tc>
        <w:tc>
          <w:tcPr>
            <w:tcW w:w="1252" w:type="dxa"/>
            <w:shd w:val="clear" w:color="auto" w:fill="auto"/>
            <w:noWrap/>
            <w:vAlign w:val="center"/>
          </w:tcPr>
          <w:p w:rsidR="005C7B38" w:rsidRPr="008A2E36" w:rsidRDefault="005C7B38" w:rsidP="008F563D">
            <w:pPr>
              <w:keepNext/>
              <w:keepLines/>
              <w:jc w:val="center"/>
              <w:rPr>
                <w:sz w:val="18"/>
                <w:szCs w:val="18"/>
              </w:rPr>
            </w:pPr>
            <w:r w:rsidRPr="008A2E36">
              <w:rPr>
                <w:sz w:val="18"/>
                <w:szCs w:val="18"/>
              </w:rPr>
              <w:t>187</w:t>
            </w:r>
          </w:p>
        </w:tc>
        <w:tc>
          <w:tcPr>
            <w:tcW w:w="1251" w:type="dxa"/>
            <w:shd w:val="clear" w:color="auto" w:fill="auto"/>
            <w:noWrap/>
            <w:vAlign w:val="center"/>
          </w:tcPr>
          <w:p w:rsidR="005C7B38" w:rsidRPr="008A2E36" w:rsidRDefault="005C7B38" w:rsidP="008F563D">
            <w:pPr>
              <w:keepNext/>
              <w:keepLines/>
              <w:jc w:val="center"/>
              <w:rPr>
                <w:sz w:val="18"/>
                <w:szCs w:val="18"/>
              </w:rPr>
            </w:pPr>
            <w:r w:rsidRPr="008A2E36">
              <w:rPr>
                <w:sz w:val="18"/>
                <w:szCs w:val="18"/>
              </w:rPr>
              <w:t>160</w:t>
            </w:r>
          </w:p>
        </w:tc>
        <w:tc>
          <w:tcPr>
            <w:tcW w:w="1113" w:type="dxa"/>
            <w:shd w:val="clear" w:color="auto" w:fill="auto"/>
            <w:noWrap/>
            <w:vAlign w:val="center"/>
          </w:tcPr>
          <w:p w:rsidR="005C7B38" w:rsidRPr="008A2E36" w:rsidRDefault="005C7B38" w:rsidP="008F563D">
            <w:pPr>
              <w:keepNext/>
              <w:keepLines/>
              <w:jc w:val="center"/>
              <w:rPr>
                <w:sz w:val="18"/>
                <w:szCs w:val="18"/>
              </w:rPr>
            </w:pPr>
            <w:r w:rsidRPr="008A2E36">
              <w:rPr>
                <w:sz w:val="18"/>
                <w:szCs w:val="18"/>
              </w:rPr>
              <w:t>7</w:t>
            </w:r>
            <w:r>
              <w:rPr>
                <w:sz w:val="18"/>
                <w:szCs w:val="18"/>
              </w:rPr>
              <w:t>,</w:t>
            </w:r>
            <w:r w:rsidRPr="008A2E36">
              <w:rPr>
                <w:sz w:val="18"/>
                <w:szCs w:val="18"/>
              </w:rPr>
              <w:t>202</w:t>
            </w:r>
          </w:p>
        </w:tc>
      </w:tr>
      <w:tr w:rsidR="005C7B38" w:rsidRPr="00660070" w:rsidTr="008F563D">
        <w:trPr>
          <w:trHeight w:val="255"/>
          <w:jc w:val="center"/>
        </w:trPr>
        <w:tc>
          <w:tcPr>
            <w:tcW w:w="2306" w:type="dxa"/>
            <w:shd w:val="clear" w:color="auto" w:fill="auto"/>
            <w:noWrap/>
            <w:vAlign w:val="bottom"/>
          </w:tcPr>
          <w:p w:rsidR="005C7B38" w:rsidRPr="00545393" w:rsidRDefault="005C7B38" w:rsidP="008F563D">
            <w:pPr>
              <w:keepNext/>
              <w:keepLines/>
              <w:rPr>
                <w:sz w:val="18"/>
                <w:szCs w:val="18"/>
              </w:rPr>
            </w:pPr>
            <w:r w:rsidRPr="00545393">
              <w:rPr>
                <w:sz w:val="18"/>
                <w:szCs w:val="18"/>
              </w:rPr>
              <w:t>Final and Further Decision (Rules</w:t>
            </w:r>
            <w:r>
              <w:rPr>
                <w:sz w:val="18"/>
                <w:szCs w:val="18"/>
              </w:rPr>
              <w:t> </w:t>
            </w:r>
            <w:r w:rsidRPr="00545393">
              <w:rPr>
                <w:sz w:val="18"/>
                <w:szCs w:val="18"/>
              </w:rPr>
              <w:t>18</w:t>
            </w:r>
            <w:r w:rsidRPr="00545393">
              <w:rPr>
                <w:i/>
                <w:iCs/>
                <w:sz w:val="18"/>
                <w:szCs w:val="18"/>
              </w:rPr>
              <w:t>ter</w:t>
            </w:r>
            <w:r w:rsidRPr="00545393">
              <w:rPr>
                <w:sz w:val="18"/>
                <w:szCs w:val="18"/>
              </w:rPr>
              <w:t>(2)(ii) and</w:t>
            </w:r>
            <w:r w:rsidR="008F563D">
              <w:rPr>
                <w:sz w:val="18"/>
                <w:szCs w:val="18"/>
              </w:rPr>
              <w:t> </w:t>
            </w:r>
            <w:r w:rsidRPr="00545393">
              <w:rPr>
                <w:sz w:val="18"/>
                <w:szCs w:val="18"/>
              </w:rPr>
              <w:t>(4))</w:t>
            </w:r>
          </w:p>
        </w:tc>
        <w:tc>
          <w:tcPr>
            <w:tcW w:w="1237" w:type="dxa"/>
            <w:shd w:val="clear" w:color="auto" w:fill="auto"/>
            <w:noWrap/>
            <w:vAlign w:val="center"/>
          </w:tcPr>
          <w:p w:rsidR="005C7B38" w:rsidRPr="00660070" w:rsidRDefault="005C7B38" w:rsidP="008F563D">
            <w:pPr>
              <w:keepNext/>
              <w:keepLines/>
              <w:jc w:val="center"/>
              <w:rPr>
                <w:sz w:val="18"/>
                <w:szCs w:val="18"/>
              </w:rPr>
            </w:pPr>
            <w:r w:rsidRPr="00660070">
              <w:rPr>
                <w:sz w:val="18"/>
                <w:szCs w:val="18"/>
              </w:rPr>
              <w:t>3</w:t>
            </w:r>
            <w:r>
              <w:rPr>
                <w:sz w:val="18"/>
                <w:szCs w:val="18"/>
              </w:rPr>
              <w:t>,</w:t>
            </w:r>
            <w:r w:rsidRPr="00660070">
              <w:rPr>
                <w:sz w:val="18"/>
                <w:szCs w:val="18"/>
              </w:rPr>
              <w:t>565</w:t>
            </w:r>
          </w:p>
        </w:tc>
        <w:tc>
          <w:tcPr>
            <w:tcW w:w="1058" w:type="dxa"/>
            <w:shd w:val="clear" w:color="auto" w:fill="auto"/>
            <w:noWrap/>
            <w:vAlign w:val="center"/>
          </w:tcPr>
          <w:p w:rsidR="005C7B38" w:rsidRPr="00660070" w:rsidRDefault="005C7B38" w:rsidP="008F563D">
            <w:pPr>
              <w:keepNext/>
              <w:keepLines/>
              <w:jc w:val="center"/>
              <w:rPr>
                <w:sz w:val="18"/>
                <w:szCs w:val="18"/>
              </w:rPr>
            </w:pPr>
            <w:r w:rsidRPr="00660070">
              <w:rPr>
                <w:sz w:val="18"/>
                <w:szCs w:val="18"/>
              </w:rPr>
              <w:t>501</w:t>
            </w:r>
            <w:r>
              <w:rPr>
                <w:sz w:val="18"/>
                <w:szCs w:val="18"/>
              </w:rPr>
              <w:t>,</w:t>
            </w:r>
            <w:r w:rsidRPr="00660070">
              <w:rPr>
                <w:sz w:val="18"/>
                <w:szCs w:val="18"/>
              </w:rPr>
              <w:t>058</w:t>
            </w:r>
          </w:p>
        </w:tc>
        <w:tc>
          <w:tcPr>
            <w:tcW w:w="1252" w:type="dxa"/>
            <w:shd w:val="clear" w:color="auto" w:fill="auto"/>
            <w:noWrap/>
            <w:vAlign w:val="center"/>
          </w:tcPr>
          <w:p w:rsidR="005C7B38" w:rsidRPr="00660070" w:rsidRDefault="005C7B38" w:rsidP="008F563D">
            <w:pPr>
              <w:keepNext/>
              <w:keepLines/>
              <w:jc w:val="center"/>
              <w:rPr>
                <w:sz w:val="18"/>
                <w:szCs w:val="18"/>
              </w:rPr>
            </w:pPr>
            <w:r w:rsidRPr="00660070">
              <w:rPr>
                <w:sz w:val="18"/>
                <w:szCs w:val="18"/>
              </w:rPr>
              <w:t>6</w:t>
            </w:r>
            <w:r>
              <w:rPr>
                <w:sz w:val="18"/>
                <w:szCs w:val="18"/>
              </w:rPr>
              <w:t>,</w:t>
            </w:r>
            <w:r w:rsidRPr="00660070">
              <w:rPr>
                <w:sz w:val="18"/>
                <w:szCs w:val="18"/>
              </w:rPr>
              <w:t>126</w:t>
            </w:r>
          </w:p>
        </w:tc>
        <w:tc>
          <w:tcPr>
            <w:tcW w:w="1252" w:type="dxa"/>
            <w:shd w:val="clear" w:color="auto" w:fill="auto"/>
            <w:noWrap/>
            <w:vAlign w:val="center"/>
          </w:tcPr>
          <w:p w:rsidR="005C7B38" w:rsidRPr="00660070" w:rsidRDefault="005C7B38" w:rsidP="008F563D">
            <w:pPr>
              <w:keepNext/>
              <w:keepLines/>
              <w:jc w:val="center"/>
              <w:rPr>
                <w:sz w:val="18"/>
                <w:szCs w:val="18"/>
              </w:rPr>
            </w:pPr>
            <w:r w:rsidRPr="00660070">
              <w:rPr>
                <w:sz w:val="18"/>
                <w:szCs w:val="18"/>
              </w:rPr>
              <w:t>1</w:t>
            </w:r>
            <w:r>
              <w:rPr>
                <w:sz w:val="18"/>
                <w:szCs w:val="18"/>
              </w:rPr>
              <w:t>,</w:t>
            </w:r>
            <w:r w:rsidRPr="00660070">
              <w:rPr>
                <w:sz w:val="18"/>
                <w:szCs w:val="18"/>
              </w:rPr>
              <w:t>548</w:t>
            </w:r>
            <w:r>
              <w:rPr>
                <w:sz w:val="18"/>
                <w:szCs w:val="18"/>
              </w:rPr>
              <w:t>,</w:t>
            </w:r>
            <w:r w:rsidRPr="00660070">
              <w:rPr>
                <w:sz w:val="18"/>
                <w:szCs w:val="18"/>
              </w:rPr>
              <w:t>579</w:t>
            </w:r>
          </w:p>
        </w:tc>
        <w:tc>
          <w:tcPr>
            <w:tcW w:w="1251" w:type="dxa"/>
            <w:shd w:val="clear" w:color="auto" w:fill="auto"/>
            <w:noWrap/>
            <w:vAlign w:val="center"/>
          </w:tcPr>
          <w:p w:rsidR="005C7B38" w:rsidRPr="00660070" w:rsidRDefault="005C7B38" w:rsidP="008F563D">
            <w:pPr>
              <w:keepNext/>
              <w:keepLines/>
              <w:jc w:val="center"/>
              <w:rPr>
                <w:sz w:val="18"/>
                <w:szCs w:val="18"/>
              </w:rPr>
            </w:pPr>
            <w:r w:rsidRPr="00660070">
              <w:rPr>
                <w:sz w:val="18"/>
                <w:szCs w:val="18"/>
              </w:rPr>
              <w:t>915</w:t>
            </w:r>
          </w:p>
        </w:tc>
        <w:tc>
          <w:tcPr>
            <w:tcW w:w="1113" w:type="dxa"/>
            <w:shd w:val="clear" w:color="auto" w:fill="auto"/>
            <w:noWrap/>
            <w:vAlign w:val="center"/>
          </w:tcPr>
          <w:p w:rsidR="005C7B38" w:rsidRPr="00660070" w:rsidRDefault="005C7B38" w:rsidP="008F563D">
            <w:pPr>
              <w:keepNext/>
              <w:keepLines/>
              <w:jc w:val="center"/>
              <w:rPr>
                <w:sz w:val="18"/>
                <w:szCs w:val="18"/>
              </w:rPr>
            </w:pPr>
            <w:r w:rsidRPr="00660070">
              <w:rPr>
                <w:sz w:val="18"/>
                <w:szCs w:val="18"/>
              </w:rPr>
              <w:t>157</w:t>
            </w:r>
            <w:r>
              <w:rPr>
                <w:sz w:val="18"/>
                <w:szCs w:val="18"/>
              </w:rPr>
              <w:t>,</w:t>
            </w:r>
            <w:r w:rsidRPr="00660070">
              <w:rPr>
                <w:sz w:val="18"/>
                <w:szCs w:val="18"/>
              </w:rPr>
              <w:t>467</w:t>
            </w:r>
          </w:p>
        </w:tc>
      </w:tr>
      <w:tr w:rsidR="005C7B38" w:rsidRPr="00660070" w:rsidTr="008F563D">
        <w:trPr>
          <w:trHeight w:val="255"/>
          <w:jc w:val="center"/>
        </w:trPr>
        <w:tc>
          <w:tcPr>
            <w:tcW w:w="2306" w:type="dxa"/>
            <w:shd w:val="clear" w:color="auto" w:fill="auto"/>
            <w:noWrap/>
            <w:vAlign w:val="bottom"/>
          </w:tcPr>
          <w:p w:rsidR="005C7B38" w:rsidRPr="00545393" w:rsidRDefault="005C7B38" w:rsidP="008F563D">
            <w:pPr>
              <w:keepNext/>
              <w:rPr>
                <w:sz w:val="18"/>
                <w:szCs w:val="18"/>
              </w:rPr>
            </w:pPr>
            <w:r w:rsidRPr="00545393">
              <w:rPr>
                <w:sz w:val="18"/>
                <w:szCs w:val="18"/>
              </w:rPr>
              <w:t>Invalidation</w:t>
            </w:r>
            <w:r w:rsidRPr="00545393">
              <w:rPr>
                <w:sz w:val="18"/>
                <w:szCs w:val="18"/>
              </w:rPr>
              <w:br/>
              <w:t>(Rule</w:t>
            </w:r>
            <w:r w:rsidR="008F563D">
              <w:rPr>
                <w:sz w:val="18"/>
                <w:szCs w:val="18"/>
              </w:rPr>
              <w:t> </w:t>
            </w:r>
            <w:r w:rsidRPr="00545393">
              <w:rPr>
                <w:sz w:val="18"/>
                <w:szCs w:val="18"/>
              </w:rPr>
              <w:t>19)</w:t>
            </w:r>
          </w:p>
        </w:tc>
        <w:tc>
          <w:tcPr>
            <w:tcW w:w="1237" w:type="dxa"/>
            <w:shd w:val="clear" w:color="auto" w:fill="auto"/>
            <w:noWrap/>
            <w:vAlign w:val="center"/>
          </w:tcPr>
          <w:p w:rsidR="005C7B38" w:rsidRPr="00660070" w:rsidRDefault="005C7B38" w:rsidP="008F563D">
            <w:pPr>
              <w:keepNext/>
              <w:jc w:val="center"/>
              <w:rPr>
                <w:sz w:val="18"/>
                <w:szCs w:val="18"/>
              </w:rPr>
            </w:pPr>
            <w:r w:rsidRPr="00660070">
              <w:rPr>
                <w:sz w:val="18"/>
                <w:szCs w:val="18"/>
              </w:rPr>
              <w:t>46</w:t>
            </w:r>
          </w:p>
        </w:tc>
        <w:tc>
          <w:tcPr>
            <w:tcW w:w="1058" w:type="dxa"/>
            <w:shd w:val="clear" w:color="auto" w:fill="auto"/>
            <w:noWrap/>
            <w:vAlign w:val="center"/>
          </w:tcPr>
          <w:p w:rsidR="005C7B38" w:rsidRPr="00660070" w:rsidRDefault="005C7B38" w:rsidP="008F563D">
            <w:pPr>
              <w:keepNext/>
              <w:jc w:val="center"/>
              <w:rPr>
                <w:sz w:val="18"/>
                <w:szCs w:val="18"/>
              </w:rPr>
            </w:pPr>
            <w:r w:rsidRPr="00660070">
              <w:rPr>
                <w:sz w:val="18"/>
                <w:szCs w:val="18"/>
              </w:rPr>
              <w:t>1</w:t>
            </w:r>
            <w:r>
              <w:rPr>
                <w:sz w:val="18"/>
                <w:szCs w:val="18"/>
              </w:rPr>
              <w:t>,</w:t>
            </w:r>
            <w:r w:rsidRPr="00660070">
              <w:rPr>
                <w:sz w:val="18"/>
                <w:szCs w:val="18"/>
              </w:rPr>
              <w:t>378</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782</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61</w:t>
            </w:r>
            <w:r>
              <w:rPr>
                <w:sz w:val="18"/>
                <w:szCs w:val="18"/>
              </w:rPr>
              <w:t>,</w:t>
            </w:r>
            <w:r w:rsidRPr="00660070">
              <w:rPr>
                <w:sz w:val="18"/>
                <w:szCs w:val="18"/>
              </w:rPr>
              <w:t>446</w:t>
            </w:r>
          </w:p>
        </w:tc>
        <w:tc>
          <w:tcPr>
            <w:tcW w:w="1251" w:type="dxa"/>
            <w:shd w:val="clear" w:color="auto" w:fill="auto"/>
            <w:noWrap/>
            <w:vAlign w:val="center"/>
          </w:tcPr>
          <w:p w:rsidR="005C7B38" w:rsidRPr="00660070" w:rsidRDefault="005C7B38" w:rsidP="008F563D">
            <w:pPr>
              <w:keepNext/>
              <w:jc w:val="center"/>
              <w:rPr>
                <w:sz w:val="18"/>
                <w:szCs w:val="18"/>
              </w:rPr>
            </w:pPr>
            <w:r w:rsidRPr="00660070">
              <w:rPr>
                <w:sz w:val="18"/>
                <w:szCs w:val="18"/>
              </w:rPr>
              <w:t>38</w:t>
            </w:r>
          </w:p>
        </w:tc>
        <w:tc>
          <w:tcPr>
            <w:tcW w:w="1113" w:type="dxa"/>
            <w:shd w:val="clear" w:color="auto" w:fill="auto"/>
            <w:noWrap/>
            <w:vAlign w:val="center"/>
          </w:tcPr>
          <w:p w:rsidR="005C7B38" w:rsidRPr="00660070" w:rsidRDefault="005C7B38" w:rsidP="008F563D">
            <w:pPr>
              <w:keepNext/>
              <w:jc w:val="center"/>
              <w:rPr>
                <w:sz w:val="18"/>
                <w:szCs w:val="18"/>
              </w:rPr>
            </w:pPr>
            <w:r w:rsidRPr="00660070">
              <w:rPr>
                <w:sz w:val="18"/>
                <w:szCs w:val="18"/>
              </w:rPr>
              <w:t>3</w:t>
            </w:r>
            <w:r>
              <w:rPr>
                <w:sz w:val="18"/>
                <w:szCs w:val="18"/>
              </w:rPr>
              <w:t>,</w:t>
            </w:r>
            <w:r w:rsidRPr="00660070">
              <w:rPr>
                <w:sz w:val="18"/>
                <w:szCs w:val="18"/>
              </w:rPr>
              <w:t>876</w:t>
            </w:r>
          </w:p>
        </w:tc>
      </w:tr>
      <w:tr w:rsidR="005C7B38" w:rsidRPr="00660070" w:rsidTr="008F563D">
        <w:trPr>
          <w:trHeight w:val="255"/>
          <w:jc w:val="center"/>
        </w:trPr>
        <w:tc>
          <w:tcPr>
            <w:tcW w:w="2306" w:type="dxa"/>
            <w:shd w:val="clear" w:color="auto" w:fill="auto"/>
            <w:noWrap/>
            <w:vAlign w:val="bottom"/>
          </w:tcPr>
          <w:p w:rsidR="005C7B38" w:rsidRPr="00545393" w:rsidRDefault="005C7B38" w:rsidP="008F563D">
            <w:pPr>
              <w:keepNext/>
              <w:rPr>
                <w:sz w:val="18"/>
                <w:szCs w:val="18"/>
              </w:rPr>
            </w:pPr>
            <w:r w:rsidRPr="00545393">
              <w:rPr>
                <w:sz w:val="18"/>
                <w:szCs w:val="18"/>
              </w:rPr>
              <w:t>Restriction of the Holder's Right (Rule</w:t>
            </w:r>
            <w:r w:rsidR="008F563D">
              <w:rPr>
                <w:sz w:val="18"/>
                <w:szCs w:val="18"/>
              </w:rPr>
              <w:t> </w:t>
            </w:r>
            <w:r w:rsidRPr="00545393">
              <w:rPr>
                <w:sz w:val="18"/>
                <w:szCs w:val="18"/>
              </w:rPr>
              <w:t>20)</w:t>
            </w:r>
          </w:p>
        </w:tc>
        <w:tc>
          <w:tcPr>
            <w:tcW w:w="1237" w:type="dxa"/>
            <w:shd w:val="clear" w:color="auto" w:fill="auto"/>
            <w:noWrap/>
            <w:vAlign w:val="center"/>
          </w:tcPr>
          <w:p w:rsidR="005C7B38" w:rsidRPr="00660070" w:rsidRDefault="005C7B38" w:rsidP="008F563D">
            <w:pPr>
              <w:keepNext/>
              <w:jc w:val="center"/>
              <w:rPr>
                <w:sz w:val="18"/>
                <w:szCs w:val="18"/>
              </w:rPr>
            </w:pPr>
            <w:r w:rsidRPr="00660070">
              <w:rPr>
                <w:sz w:val="18"/>
                <w:szCs w:val="18"/>
              </w:rPr>
              <w:t>94</w:t>
            </w:r>
          </w:p>
        </w:tc>
        <w:tc>
          <w:tcPr>
            <w:tcW w:w="1058" w:type="dxa"/>
            <w:shd w:val="clear" w:color="auto" w:fill="auto"/>
            <w:noWrap/>
            <w:vAlign w:val="center"/>
          </w:tcPr>
          <w:p w:rsidR="005C7B38" w:rsidRPr="00660070" w:rsidRDefault="005C7B38" w:rsidP="008F563D">
            <w:pPr>
              <w:keepNext/>
              <w:jc w:val="center"/>
              <w:rPr>
                <w:sz w:val="18"/>
                <w:szCs w:val="18"/>
              </w:rPr>
            </w:pPr>
            <w:r w:rsidRPr="00660070">
              <w:rPr>
                <w:sz w:val="18"/>
                <w:szCs w:val="18"/>
              </w:rPr>
              <w:t>6</w:t>
            </w:r>
            <w:r>
              <w:rPr>
                <w:sz w:val="18"/>
                <w:szCs w:val="18"/>
              </w:rPr>
              <w:t>,</w:t>
            </w:r>
            <w:r w:rsidRPr="00660070">
              <w:rPr>
                <w:sz w:val="18"/>
                <w:szCs w:val="18"/>
              </w:rPr>
              <w:t>858</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248</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18</w:t>
            </w:r>
            <w:r>
              <w:rPr>
                <w:sz w:val="18"/>
                <w:szCs w:val="18"/>
              </w:rPr>
              <w:t>,</w:t>
            </w:r>
            <w:r w:rsidRPr="00660070">
              <w:rPr>
                <w:sz w:val="18"/>
                <w:szCs w:val="18"/>
              </w:rPr>
              <w:t>319</w:t>
            </w:r>
          </w:p>
        </w:tc>
        <w:tc>
          <w:tcPr>
            <w:tcW w:w="1251" w:type="dxa"/>
            <w:shd w:val="clear" w:color="auto" w:fill="auto"/>
            <w:noWrap/>
            <w:vAlign w:val="center"/>
          </w:tcPr>
          <w:p w:rsidR="005C7B38" w:rsidRPr="00660070" w:rsidRDefault="005C7B38" w:rsidP="008F563D">
            <w:pPr>
              <w:keepNext/>
              <w:jc w:val="center"/>
              <w:rPr>
                <w:sz w:val="18"/>
                <w:szCs w:val="18"/>
              </w:rPr>
            </w:pPr>
            <w:r w:rsidRPr="00660070">
              <w:rPr>
                <w:sz w:val="18"/>
                <w:szCs w:val="18"/>
              </w:rPr>
              <w:t>256</w:t>
            </w:r>
          </w:p>
        </w:tc>
        <w:tc>
          <w:tcPr>
            <w:tcW w:w="1113" w:type="dxa"/>
            <w:shd w:val="clear" w:color="auto" w:fill="auto"/>
            <w:noWrap/>
            <w:vAlign w:val="center"/>
          </w:tcPr>
          <w:p w:rsidR="005C7B38" w:rsidRPr="00660070" w:rsidRDefault="005C7B38" w:rsidP="008F563D">
            <w:pPr>
              <w:keepNext/>
              <w:jc w:val="center"/>
              <w:rPr>
                <w:sz w:val="18"/>
                <w:szCs w:val="18"/>
              </w:rPr>
            </w:pPr>
            <w:r w:rsidRPr="00660070">
              <w:rPr>
                <w:sz w:val="18"/>
                <w:szCs w:val="18"/>
              </w:rPr>
              <w:t>19</w:t>
            </w:r>
            <w:r>
              <w:rPr>
                <w:sz w:val="18"/>
                <w:szCs w:val="18"/>
              </w:rPr>
              <w:t>,</w:t>
            </w:r>
            <w:r w:rsidRPr="00660070">
              <w:rPr>
                <w:sz w:val="18"/>
                <w:szCs w:val="18"/>
              </w:rPr>
              <w:t>596</w:t>
            </w:r>
          </w:p>
        </w:tc>
      </w:tr>
      <w:tr w:rsidR="005C7B38" w:rsidRPr="00660070" w:rsidTr="008F563D">
        <w:trPr>
          <w:trHeight w:val="255"/>
          <w:jc w:val="center"/>
        </w:trPr>
        <w:tc>
          <w:tcPr>
            <w:tcW w:w="2306" w:type="dxa"/>
            <w:shd w:val="clear" w:color="auto" w:fill="auto"/>
            <w:noWrap/>
            <w:vAlign w:val="bottom"/>
          </w:tcPr>
          <w:p w:rsidR="005C7B38" w:rsidRPr="00545393" w:rsidRDefault="005C7B38" w:rsidP="008F563D">
            <w:pPr>
              <w:keepNext/>
              <w:rPr>
                <w:sz w:val="18"/>
                <w:szCs w:val="18"/>
              </w:rPr>
            </w:pPr>
            <w:r w:rsidRPr="00545393">
              <w:rPr>
                <w:sz w:val="18"/>
                <w:szCs w:val="18"/>
              </w:rPr>
              <w:t>License</w:t>
            </w:r>
            <w:r w:rsidRPr="00545393">
              <w:rPr>
                <w:sz w:val="18"/>
                <w:szCs w:val="18"/>
              </w:rPr>
              <w:br/>
              <w:t>(Rule</w:t>
            </w:r>
            <w:r w:rsidR="008F563D">
              <w:rPr>
                <w:sz w:val="18"/>
                <w:szCs w:val="18"/>
              </w:rPr>
              <w:t> </w:t>
            </w:r>
            <w:r w:rsidRPr="00545393">
              <w:rPr>
                <w:sz w:val="18"/>
                <w:szCs w:val="18"/>
              </w:rPr>
              <w:t>20</w:t>
            </w:r>
            <w:r w:rsidRPr="00545393">
              <w:rPr>
                <w:i/>
                <w:iCs/>
                <w:sz w:val="18"/>
                <w:szCs w:val="18"/>
              </w:rPr>
              <w:t>bis</w:t>
            </w:r>
            <w:r w:rsidRPr="00545393">
              <w:rPr>
                <w:sz w:val="18"/>
                <w:szCs w:val="18"/>
              </w:rPr>
              <w:t>)</w:t>
            </w:r>
          </w:p>
        </w:tc>
        <w:tc>
          <w:tcPr>
            <w:tcW w:w="1237" w:type="dxa"/>
            <w:shd w:val="clear" w:color="auto" w:fill="auto"/>
            <w:noWrap/>
            <w:vAlign w:val="center"/>
          </w:tcPr>
          <w:p w:rsidR="005C7B38" w:rsidRPr="00660070" w:rsidRDefault="005C7B38" w:rsidP="008F563D">
            <w:pPr>
              <w:keepNext/>
              <w:jc w:val="center"/>
              <w:rPr>
                <w:sz w:val="18"/>
                <w:szCs w:val="18"/>
              </w:rPr>
            </w:pPr>
            <w:r w:rsidRPr="00660070">
              <w:rPr>
                <w:sz w:val="18"/>
                <w:szCs w:val="18"/>
              </w:rPr>
              <w:t>124</w:t>
            </w:r>
          </w:p>
        </w:tc>
        <w:tc>
          <w:tcPr>
            <w:tcW w:w="1058" w:type="dxa"/>
            <w:shd w:val="clear" w:color="auto" w:fill="auto"/>
            <w:noWrap/>
            <w:vAlign w:val="center"/>
          </w:tcPr>
          <w:p w:rsidR="005C7B38" w:rsidRPr="00660070" w:rsidRDefault="005C7B38" w:rsidP="008F563D">
            <w:pPr>
              <w:keepNext/>
              <w:jc w:val="center"/>
              <w:rPr>
                <w:sz w:val="18"/>
                <w:szCs w:val="18"/>
              </w:rPr>
            </w:pPr>
            <w:r w:rsidRPr="00660070">
              <w:rPr>
                <w:sz w:val="18"/>
                <w:szCs w:val="18"/>
              </w:rPr>
              <w:t>1</w:t>
            </w:r>
            <w:r>
              <w:rPr>
                <w:sz w:val="18"/>
                <w:szCs w:val="18"/>
              </w:rPr>
              <w:t>,</w:t>
            </w:r>
            <w:r w:rsidRPr="00660070">
              <w:rPr>
                <w:sz w:val="18"/>
                <w:szCs w:val="18"/>
              </w:rPr>
              <w:t>424</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252</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7</w:t>
            </w:r>
            <w:r>
              <w:rPr>
                <w:sz w:val="18"/>
                <w:szCs w:val="18"/>
              </w:rPr>
              <w:t>,</w:t>
            </w:r>
            <w:r w:rsidRPr="00660070">
              <w:rPr>
                <w:sz w:val="18"/>
                <w:szCs w:val="18"/>
              </w:rPr>
              <w:t>426</w:t>
            </w:r>
          </w:p>
        </w:tc>
        <w:tc>
          <w:tcPr>
            <w:tcW w:w="1251" w:type="dxa"/>
            <w:shd w:val="clear" w:color="auto" w:fill="auto"/>
            <w:noWrap/>
            <w:vAlign w:val="center"/>
          </w:tcPr>
          <w:p w:rsidR="005C7B38" w:rsidRPr="00660070" w:rsidRDefault="005C7B38" w:rsidP="008F563D">
            <w:pPr>
              <w:keepNext/>
              <w:jc w:val="center"/>
              <w:rPr>
                <w:sz w:val="18"/>
                <w:szCs w:val="18"/>
              </w:rPr>
            </w:pPr>
            <w:r w:rsidRPr="00660070">
              <w:rPr>
                <w:sz w:val="18"/>
                <w:szCs w:val="18"/>
              </w:rPr>
              <w:t>308</w:t>
            </w:r>
          </w:p>
        </w:tc>
        <w:tc>
          <w:tcPr>
            <w:tcW w:w="1113" w:type="dxa"/>
            <w:shd w:val="clear" w:color="auto" w:fill="auto"/>
            <w:noWrap/>
            <w:vAlign w:val="center"/>
          </w:tcPr>
          <w:p w:rsidR="005C7B38" w:rsidRPr="00660070" w:rsidRDefault="005C7B38" w:rsidP="008F563D">
            <w:pPr>
              <w:keepNext/>
              <w:jc w:val="center"/>
              <w:rPr>
                <w:sz w:val="18"/>
                <w:szCs w:val="18"/>
              </w:rPr>
            </w:pPr>
            <w:r w:rsidRPr="00660070">
              <w:rPr>
                <w:sz w:val="18"/>
                <w:szCs w:val="18"/>
              </w:rPr>
              <w:t>4</w:t>
            </w:r>
            <w:r>
              <w:rPr>
                <w:sz w:val="18"/>
                <w:szCs w:val="18"/>
              </w:rPr>
              <w:t>,</w:t>
            </w:r>
            <w:r w:rsidRPr="00660070">
              <w:rPr>
                <w:sz w:val="18"/>
                <w:szCs w:val="18"/>
              </w:rPr>
              <w:t>283</w:t>
            </w:r>
          </w:p>
        </w:tc>
      </w:tr>
      <w:tr w:rsidR="005C7B38" w:rsidRPr="00660070" w:rsidTr="008F563D">
        <w:trPr>
          <w:trHeight w:val="255"/>
          <w:jc w:val="center"/>
        </w:trPr>
        <w:tc>
          <w:tcPr>
            <w:tcW w:w="2306" w:type="dxa"/>
            <w:shd w:val="clear" w:color="auto" w:fill="auto"/>
            <w:noWrap/>
            <w:vAlign w:val="bottom"/>
          </w:tcPr>
          <w:p w:rsidR="005C7B38" w:rsidRPr="00545393" w:rsidRDefault="005C7B38" w:rsidP="008F563D">
            <w:pPr>
              <w:keepNext/>
              <w:rPr>
                <w:sz w:val="18"/>
                <w:szCs w:val="18"/>
              </w:rPr>
            </w:pPr>
            <w:r w:rsidRPr="00545393">
              <w:rPr>
                <w:sz w:val="18"/>
                <w:szCs w:val="18"/>
              </w:rPr>
              <w:t>Ceasing of Effect</w:t>
            </w:r>
            <w:r w:rsidRPr="00545393">
              <w:rPr>
                <w:sz w:val="18"/>
                <w:szCs w:val="18"/>
              </w:rPr>
              <w:br/>
              <w:t>(Rule</w:t>
            </w:r>
            <w:r w:rsidR="008F563D">
              <w:rPr>
                <w:sz w:val="18"/>
                <w:szCs w:val="18"/>
              </w:rPr>
              <w:t> </w:t>
            </w:r>
            <w:r w:rsidRPr="00545393">
              <w:rPr>
                <w:sz w:val="18"/>
                <w:szCs w:val="18"/>
              </w:rPr>
              <w:t>22)</w:t>
            </w:r>
          </w:p>
        </w:tc>
        <w:tc>
          <w:tcPr>
            <w:tcW w:w="1237" w:type="dxa"/>
            <w:shd w:val="clear" w:color="auto" w:fill="auto"/>
            <w:noWrap/>
            <w:vAlign w:val="center"/>
          </w:tcPr>
          <w:p w:rsidR="005C7B38" w:rsidRPr="00660070" w:rsidRDefault="005C7B38" w:rsidP="008F563D">
            <w:pPr>
              <w:keepNext/>
              <w:jc w:val="center"/>
              <w:rPr>
                <w:sz w:val="18"/>
                <w:szCs w:val="18"/>
              </w:rPr>
            </w:pPr>
            <w:r w:rsidRPr="00660070">
              <w:rPr>
                <w:sz w:val="18"/>
                <w:szCs w:val="18"/>
              </w:rPr>
              <w:t>322</w:t>
            </w:r>
          </w:p>
        </w:tc>
        <w:tc>
          <w:tcPr>
            <w:tcW w:w="1058" w:type="dxa"/>
            <w:shd w:val="clear" w:color="auto" w:fill="auto"/>
            <w:noWrap/>
            <w:vAlign w:val="center"/>
          </w:tcPr>
          <w:p w:rsidR="005C7B38" w:rsidRPr="00660070" w:rsidRDefault="005C7B38" w:rsidP="008F563D">
            <w:pPr>
              <w:keepNext/>
              <w:jc w:val="center"/>
              <w:rPr>
                <w:sz w:val="18"/>
                <w:szCs w:val="18"/>
              </w:rPr>
            </w:pPr>
            <w:r w:rsidRPr="00660070">
              <w:rPr>
                <w:sz w:val="18"/>
                <w:szCs w:val="18"/>
              </w:rPr>
              <w:t>24</w:t>
            </w:r>
            <w:r>
              <w:rPr>
                <w:sz w:val="18"/>
                <w:szCs w:val="18"/>
              </w:rPr>
              <w:t>,</w:t>
            </w:r>
            <w:r w:rsidRPr="00660070">
              <w:rPr>
                <w:sz w:val="18"/>
                <w:szCs w:val="18"/>
              </w:rPr>
              <w:t>706</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3</w:t>
            </w:r>
            <w:r>
              <w:rPr>
                <w:sz w:val="18"/>
                <w:szCs w:val="18"/>
              </w:rPr>
              <w:t>,</w:t>
            </w:r>
            <w:r w:rsidRPr="00660070">
              <w:rPr>
                <w:sz w:val="18"/>
                <w:szCs w:val="18"/>
              </w:rPr>
              <w:t>377</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417</w:t>
            </w:r>
            <w:r>
              <w:rPr>
                <w:sz w:val="18"/>
                <w:szCs w:val="18"/>
              </w:rPr>
              <w:t>,</w:t>
            </w:r>
            <w:r w:rsidRPr="00660070">
              <w:rPr>
                <w:sz w:val="18"/>
                <w:szCs w:val="18"/>
              </w:rPr>
              <w:t>173</w:t>
            </w:r>
          </w:p>
        </w:tc>
        <w:tc>
          <w:tcPr>
            <w:tcW w:w="1251" w:type="dxa"/>
            <w:shd w:val="clear" w:color="auto" w:fill="auto"/>
            <w:noWrap/>
            <w:vAlign w:val="center"/>
          </w:tcPr>
          <w:p w:rsidR="005C7B38" w:rsidRPr="00660070" w:rsidRDefault="005C7B38" w:rsidP="008F563D">
            <w:pPr>
              <w:keepNext/>
              <w:jc w:val="center"/>
              <w:rPr>
                <w:sz w:val="18"/>
                <w:szCs w:val="18"/>
              </w:rPr>
            </w:pPr>
            <w:r w:rsidRPr="00660070">
              <w:rPr>
                <w:sz w:val="18"/>
                <w:szCs w:val="18"/>
              </w:rPr>
              <w:t>3</w:t>
            </w:r>
            <w:r>
              <w:rPr>
                <w:sz w:val="18"/>
                <w:szCs w:val="18"/>
              </w:rPr>
              <w:t>,</w:t>
            </w:r>
            <w:r w:rsidRPr="00660070">
              <w:rPr>
                <w:sz w:val="18"/>
                <w:szCs w:val="18"/>
              </w:rPr>
              <w:t>600</w:t>
            </w:r>
          </w:p>
        </w:tc>
        <w:tc>
          <w:tcPr>
            <w:tcW w:w="1113" w:type="dxa"/>
            <w:shd w:val="clear" w:color="auto" w:fill="auto"/>
            <w:noWrap/>
            <w:vAlign w:val="center"/>
          </w:tcPr>
          <w:p w:rsidR="005C7B38" w:rsidRPr="00660070" w:rsidRDefault="005C7B38" w:rsidP="008F563D">
            <w:pPr>
              <w:keepNext/>
              <w:jc w:val="center"/>
              <w:rPr>
                <w:sz w:val="18"/>
                <w:szCs w:val="18"/>
              </w:rPr>
            </w:pPr>
            <w:r w:rsidRPr="00660070">
              <w:rPr>
                <w:sz w:val="18"/>
                <w:szCs w:val="18"/>
              </w:rPr>
              <w:t>429</w:t>
            </w:r>
            <w:r>
              <w:rPr>
                <w:sz w:val="18"/>
                <w:szCs w:val="18"/>
              </w:rPr>
              <w:t>,</w:t>
            </w:r>
            <w:r w:rsidRPr="00660070">
              <w:rPr>
                <w:sz w:val="18"/>
                <w:szCs w:val="18"/>
              </w:rPr>
              <w:t>956</w:t>
            </w:r>
          </w:p>
        </w:tc>
      </w:tr>
      <w:tr w:rsidR="005C7B38" w:rsidRPr="00660070" w:rsidTr="008F563D">
        <w:trPr>
          <w:trHeight w:val="255"/>
          <w:jc w:val="center"/>
        </w:trPr>
        <w:tc>
          <w:tcPr>
            <w:tcW w:w="2306" w:type="dxa"/>
            <w:shd w:val="clear" w:color="auto" w:fill="auto"/>
            <w:noWrap/>
            <w:vAlign w:val="bottom"/>
          </w:tcPr>
          <w:p w:rsidR="005C7B38" w:rsidRPr="00545393" w:rsidRDefault="005C7B38" w:rsidP="008F563D">
            <w:pPr>
              <w:keepNext/>
              <w:rPr>
                <w:sz w:val="18"/>
                <w:szCs w:val="18"/>
              </w:rPr>
            </w:pPr>
            <w:r w:rsidRPr="00545393">
              <w:rPr>
                <w:sz w:val="18"/>
                <w:szCs w:val="18"/>
              </w:rPr>
              <w:t>Subsequent Designation (Rule</w:t>
            </w:r>
            <w:r w:rsidR="008F563D">
              <w:rPr>
                <w:sz w:val="18"/>
                <w:szCs w:val="18"/>
              </w:rPr>
              <w:t> </w:t>
            </w:r>
            <w:r w:rsidRPr="00545393">
              <w:rPr>
                <w:sz w:val="18"/>
                <w:szCs w:val="18"/>
              </w:rPr>
              <w:t>24)</w:t>
            </w:r>
          </w:p>
        </w:tc>
        <w:tc>
          <w:tcPr>
            <w:tcW w:w="1237" w:type="dxa"/>
            <w:shd w:val="clear" w:color="auto" w:fill="auto"/>
            <w:noWrap/>
            <w:vAlign w:val="center"/>
          </w:tcPr>
          <w:p w:rsidR="005C7B38" w:rsidRPr="00660070" w:rsidRDefault="005C7B38" w:rsidP="008F563D">
            <w:pPr>
              <w:keepNext/>
              <w:jc w:val="center"/>
              <w:rPr>
                <w:sz w:val="18"/>
                <w:szCs w:val="18"/>
              </w:rPr>
            </w:pPr>
            <w:r w:rsidRPr="00660070">
              <w:rPr>
                <w:sz w:val="18"/>
                <w:szCs w:val="18"/>
              </w:rPr>
              <w:t>632</w:t>
            </w:r>
          </w:p>
        </w:tc>
        <w:tc>
          <w:tcPr>
            <w:tcW w:w="1058" w:type="dxa"/>
            <w:shd w:val="clear" w:color="auto" w:fill="auto"/>
            <w:noWrap/>
            <w:vAlign w:val="center"/>
          </w:tcPr>
          <w:p w:rsidR="005C7B38" w:rsidRPr="00660070" w:rsidRDefault="005C7B38" w:rsidP="008F563D">
            <w:pPr>
              <w:keepNext/>
              <w:jc w:val="center"/>
              <w:rPr>
                <w:sz w:val="18"/>
                <w:szCs w:val="18"/>
              </w:rPr>
            </w:pPr>
            <w:r w:rsidRPr="00660070">
              <w:rPr>
                <w:sz w:val="18"/>
                <w:szCs w:val="18"/>
              </w:rPr>
              <w:t>35</w:t>
            </w:r>
            <w:r>
              <w:rPr>
                <w:sz w:val="18"/>
                <w:szCs w:val="18"/>
              </w:rPr>
              <w:t>,</w:t>
            </w:r>
            <w:r w:rsidRPr="00660070">
              <w:rPr>
                <w:sz w:val="18"/>
                <w:szCs w:val="18"/>
              </w:rPr>
              <w:t>202</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1</w:t>
            </w:r>
            <w:r>
              <w:rPr>
                <w:sz w:val="18"/>
                <w:szCs w:val="18"/>
              </w:rPr>
              <w:t>,</w:t>
            </w:r>
            <w:r w:rsidRPr="00660070">
              <w:rPr>
                <w:sz w:val="18"/>
                <w:szCs w:val="18"/>
              </w:rPr>
              <w:t>052</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105</w:t>
            </w:r>
            <w:r>
              <w:rPr>
                <w:sz w:val="18"/>
                <w:szCs w:val="18"/>
              </w:rPr>
              <w:t>,</w:t>
            </w:r>
            <w:r w:rsidRPr="00660070">
              <w:rPr>
                <w:sz w:val="18"/>
                <w:szCs w:val="18"/>
              </w:rPr>
              <w:t>364</w:t>
            </w:r>
          </w:p>
        </w:tc>
        <w:tc>
          <w:tcPr>
            <w:tcW w:w="1251" w:type="dxa"/>
            <w:shd w:val="clear" w:color="auto" w:fill="auto"/>
            <w:noWrap/>
            <w:vAlign w:val="center"/>
          </w:tcPr>
          <w:p w:rsidR="005C7B38" w:rsidRPr="00660070" w:rsidRDefault="005C7B38" w:rsidP="008F563D">
            <w:pPr>
              <w:keepNext/>
              <w:jc w:val="center"/>
              <w:rPr>
                <w:sz w:val="18"/>
                <w:szCs w:val="18"/>
              </w:rPr>
            </w:pPr>
            <w:r w:rsidRPr="00660070">
              <w:rPr>
                <w:sz w:val="18"/>
                <w:szCs w:val="18"/>
              </w:rPr>
              <w:t>602</w:t>
            </w:r>
          </w:p>
        </w:tc>
        <w:tc>
          <w:tcPr>
            <w:tcW w:w="1113" w:type="dxa"/>
            <w:shd w:val="clear" w:color="auto" w:fill="auto"/>
            <w:noWrap/>
            <w:vAlign w:val="center"/>
          </w:tcPr>
          <w:p w:rsidR="005C7B38" w:rsidRPr="00660070" w:rsidRDefault="005C7B38" w:rsidP="008F563D">
            <w:pPr>
              <w:keepNext/>
              <w:jc w:val="center"/>
              <w:rPr>
                <w:sz w:val="18"/>
                <w:szCs w:val="18"/>
              </w:rPr>
            </w:pPr>
            <w:r w:rsidRPr="00660070">
              <w:rPr>
                <w:sz w:val="18"/>
                <w:szCs w:val="18"/>
              </w:rPr>
              <w:t>55</w:t>
            </w:r>
            <w:r>
              <w:rPr>
                <w:sz w:val="18"/>
                <w:szCs w:val="18"/>
              </w:rPr>
              <w:t>,</w:t>
            </w:r>
            <w:r w:rsidRPr="00660070">
              <w:rPr>
                <w:sz w:val="18"/>
                <w:szCs w:val="18"/>
              </w:rPr>
              <w:t>107</w:t>
            </w:r>
          </w:p>
        </w:tc>
      </w:tr>
      <w:tr w:rsidR="005C7B38" w:rsidRPr="00660070" w:rsidTr="008F563D">
        <w:trPr>
          <w:trHeight w:val="255"/>
          <w:jc w:val="center"/>
        </w:trPr>
        <w:tc>
          <w:tcPr>
            <w:tcW w:w="2306" w:type="dxa"/>
            <w:shd w:val="clear" w:color="auto" w:fill="auto"/>
            <w:noWrap/>
            <w:vAlign w:val="bottom"/>
          </w:tcPr>
          <w:p w:rsidR="005C7B38" w:rsidRPr="00545393" w:rsidRDefault="005C7B38" w:rsidP="008F563D">
            <w:pPr>
              <w:keepNext/>
              <w:rPr>
                <w:sz w:val="18"/>
                <w:szCs w:val="18"/>
              </w:rPr>
            </w:pPr>
            <w:r w:rsidRPr="00545393">
              <w:rPr>
                <w:sz w:val="18"/>
                <w:szCs w:val="18"/>
              </w:rPr>
              <w:t>Change in Ownership</w:t>
            </w:r>
            <w:r w:rsidRPr="00545393">
              <w:rPr>
                <w:sz w:val="18"/>
                <w:szCs w:val="18"/>
              </w:rPr>
              <w:br/>
              <w:t>(Rule</w:t>
            </w:r>
            <w:r w:rsidR="008F563D">
              <w:rPr>
                <w:sz w:val="18"/>
                <w:szCs w:val="18"/>
              </w:rPr>
              <w:t> </w:t>
            </w:r>
            <w:r w:rsidRPr="00545393">
              <w:rPr>
                <w:sz w:val="18"/>
                <w:szCs w:val="18"/>
              </w:rPr>
              <w:t>25(1)(a)(i))</w:t>
            </w:r>
          </w:p>
        </w:tc>
        <w:tc>
          <w:tcPr>
            <w:tcW w:w="1237" w:type="dxa"/>
            <w:shd w:val="clear" w:color="auto" w:fill="auto"/>
            <w:noWrap/>
            <w:vAlign w:val="center"/>
          </w:tcPr>
          <w:p w:rsidR="005C7B38" w:rsidRPr="00660070" w:rsidRDefault="005C7B38" w:rsidP="008F563D">
            <w:pPr>
              <w:keepNext/>
              <w:jc w:val="center"/>
              <w:rPr>
                <w:sz w:val="18"/>
                <w:szCs w:val="18"/>
              </w:rPr>
            </w:pPr>
            <w:r w:rsidRPr="00660070">
              <w:rPr>
                <w:sz w:val="18"/>
                <w:szCs w:val="18"/>
              </w:rPr>
              <w:t>13</w:t>
            </w:r>
          </w:p>
        </w:tc>
        <w:tc>
          <w:tcPr>
            <w:tcW w:w="1058" w:type="dxa"/>
            <w:shd w:val="clear" w:color="auto" w:fill="auto"/>
            <w:noWrap/>
            <w:vAlign w:val="center"/>
          </w:tcPr>
          <w:p w:rsidR="005C7B38" w:rsidRPr="00660070" w:rsidRDefault="005C7B38" w:rsidP="008F563D">
            <w:pPr>
              <w:keepNext/>
              <w:jc w:val="center"/>
              <w:rPr>
                <w:sz w:val="18"/>
                <w:szCs w:val="18"/>
              </w:rPr>
            </w:pPr>
            <w:r w:rsidRPr="00660070">
              <w:rPr>
                <w:sz w:val="18"/>
                <w:szCs w:val="18"/>
              </w:rPr>
              <w:t>2</w:t>
            </w:r>
            <w:r>
              <w:rPr>
                <w:sz w:val="18"/>
                <w:szCs w:val="18"/>
              </w:rPr>
              <w:t>,</w:t>
            </w:r>
            <w:r w:rsidRPr="00660070">
              <w:rPr>
                <w:sz w:val="18"/>
                <w:szCs w:val="18"/>
              </w:rPr>
              <w:t>290</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37</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4</w:t>
            </w:r>
            <w:r>
              <w:rPr>
                <w:sz w:val="18"/>
                <w:szCs w:val="18"/>
              </w:rPr>
              <w:t>,</w:t>
            </w:r>
            <w:r w:rsidRPr="00660070">
              <w:rPr>
                <w:sz w:val="18"/>
                <w:szCs w:val="18"/>
              </w:rPr>
              <w:t>478</w:t>
            </w:r>
          </w:p>
        </w:tc>
        <w:tc>
          <w:tcPr>
            <w:tcW w:w="1251" w:type="dxa"/>
            <w:shd w:val="clear" w:color="auto" w:fill="auto"/>
            <w:noWrap/>
            <w:vAlign w:val="center"/>
          </w:tcPr>
          <w:p w:rsidR="005C7B38" w:rsidRPr="00660070" w:rsidRDefault="005C7B38" w:rsidP="008F563D">
            <w:pPr>
              <w:keepNext/>
              <w:jc w:val="center"/>
              <w:rPr>
                <w:sz w:val="18"/>
                <w:szCs w:val="18"/>
              </w:rPr>
            </w:pPr>
            <w:r w:rsidRPr="00660070">
              <w:rPr>
                <w:sz w:val="18"/>
                <w:szCs w:val="18"/>
              </w:rPr>
              <w:t>37</w:t>
            </w:r>
          </w:p>
        </w:tc>
        <w:tc>
          <w:tcPr>
            <w:tcW w:w="1113" w:type="dxa"/>
            <w:shd w:val="clear" w:color="auto" w:fill="auto"/>
            <w:noWrap/>
            <w:vAlign w:val="center"/>
          </w:tcPr>
          <w:p w:rsidR="005C7B38" w:rsidRPr="00660070" w:rsidRDefault="005C7B38" w:rsidP="008F563D">
            <w:pPr>
              <w:keepNext/>
              <w:jc w:val="center"/>
              <w:rPr>
                <w:sz w:val="18"/>
                <w:szCs w:val="18"/>
              </w:rPr>
            </w:pPr>
            <w:r w:rsidRPr="00660070">
              <w:rPr>
                <w:sz w:val="18"/>
                <w:szCs w:val="18"/>
              </w:rPr>
              <w:t>4</w:t>
            </w:r>
            <w:r>
              <w:rPr>
                <w:sz w:val="18"/>
                <w:szCs w:val="18"/>
              </w:rPr>
              <w:t>,</w:t>
            </w:r>
            <w:r w:rsidRPr="00660070">
              <w:rPr>
                <w:sz w:val="18"/>
                <w:szCs w:val="18"/>
              </w:rPr>
              <w:t>981</w:t>
            </w:r>
          </w:p>
        </w:tc>
      </w:tr>
      <w:tr w:rsidR="005C7B38" w:rsidRPr="00660070" w:rsidTr="008F563D">
        <w:trPr>
          <w:trHeight w:val="255"/>
          <w:jc w:val="center"/>
        </w:trPr>
        <w:tc>
          <w:tcPr>
            <w:tcW w:w="2306" w:type="dxa"/>
            <w:shd w:val="clear" w:color="auto" w:fill="auto"/>
            <w:noWrap/>
            <w:vAlign w:val="bottom"/>
          </w:tcPr>
          <w:p w:rsidR="005C7B38" w:rsidRPr="00545393" w:rsidRDefault="005C7B38" w:rsidP="008F563D">
            <w:pPr>
              <w:keepNext/>
              <w:rPr>
                <w:sz w:val="18"/>
                <w:szCs w:val="18"/>
              </w:rPr>
            </w:pPr>
            <w:r w:rsidRPr="00545393">
              <w:rPr>
                <w:sz w:val="18"/>
                <w:szCs w:val="18"/>
              </w:rPr>
              <w:t>Limitation</w:t>
            </w:r>
            <w:r w:rsidRPr="00545393">
              <w:rPr>
                <w:sz w:val="18"/>
                <w:szCs w:val="18"/>
              </w:rPr>
              <w:br/>
              <w:t>(Rule</w:t>
            </w:r>
            <w:r w:rsidR="008F563D">
              <w:rPr>
                <w:sz w:val="18"/>
                <w:szCs w:val="18"/>
              </w:rPr>
              <w:t> </w:t>
            </w:r>
            <w:r w:rsidRPr="00545393">
              <w:rPr>
                <w:sz w:val="18"/>
                <w:szCs w:val="18"/>
              </w:rPr>
              <w:t>25(1)(a)(ii))</w:t>
            </w:r>
          </w:p>
        </w:tc>
        <w:tc>
          <w:tcPr>
            <w:tcW w:w="1237" w:type="dxa"/>
            <w:shd w:val="clear" w:color="auto" w:fill="auto"/>
            <w:noWrap/>
            <w:vAlign w:val="center"/>
          </w:tcPr>
          <w:p w:rsidR="005C7B38" w:rsidRPr="00660070" w:rsidRDefault="005C7B38" w:rsidP="008F563D">
            <w:pPr>
              <w:keepNext/>
              <w:jc w:val="center"/>
              <w:rPr>
                <w:sz w:val="18"/>
                <w:szCs w:val="18"/>
              </w:rPr>
            </w:pPr>
            <w:r w:rsidRPr="00660070">
              <w:rPr>
                <w:sz w:val="18"/>
                <w:szCs w:val="18"/>
              </w:rPr>
              <w:t>341</w:t>
            </w:r>
          </w:p>
        </w:tc>
        <w:tc>
          <w:tcPr>
            <w:tcW w:w="1058" w:type="dxa"/>
            <w:shd w:val="clear" w:color="auto" w:fill="auto"/>
            <w:noWrap/>
            <w:vAlign w:val="center"/>
          </w:tcPr>
          <w:p w:rsidR="005C7B38" w:rsidRPr="00660070" w:rsidRDefault="005C7B38" w:rsidP="008F563D">
            <w:pPr>
              <w:keepNext/>
              <w:jc w:val="center"/>
              <w:rPr>
                <w:sz w:val="18"/>
                <w:szCs w:val="18"/>
              </w:rPr>
            </w:pPr>
            <w:r w:rsidRPr="00660070">
              <w:rPr>
                <w:sz w:val="18"/>
                <w:szCs w:val="18"/>
              </w:rPr>
              <w:t>33</w:t>
            </w:r>
            <w:r>
              <w:rPr>
                <w:sz w:val="18"/>
                <w:szCs w:val="18"/>
              </w:rPr>
              <w:t>,</w:t>
            </w:r>
            <w:r w:rsidRPr="00660070">
              <w:rPr>
                <w:sz w:val="18"/>
                <w:szCs w:val="18"/>
              </w:rPr>
              <w:t>459</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1</w:t>
            </w:r>
            <w:r>
              <w:rPr>
                <w:sz w:val="18"/>
                <w:szCs w:val="18"/>
              </w:rPr>
              <w:t>,</w:t>
            </w:r>
            <w:r w:rsidRPr="00660070">
              <w:rPr>
                <w:sz w:val="18"/>
                <w:szCs w:val="18"/>
              </w:rPr>
              <w:t>310</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166</w:t>
            </w:r>
            <w:r>
              <w:rPr>
                <w:sz w:val="18"/>
                <w:szCs w:val="18"/>
              </w:rPr>
              <w:t>,</w:t>
            </w:r>
            <w:r w:rsidRPr="00660070">
              <w:rPr>
                <w:sz w:val="18"/>
                <w:szCs w:val="18"/>
              </w:rPr>
              <w:t>834</w:t>
            </w:r>
          </w:p>
        </w:tc>
        <w:tc>
          <w:tcPr>
            <w:tcW w:w="1251" w:type="dxa"/>
            <w:shd w:val="clear" w:color="auto" w:fill="auto"/>
            <w:noWrap/>
            <w:vAlign w:val="center"/>
          </w:tcPr>
          <w:p w:rsidR="005C7B38" w:rsidRPr="00660070" w:rsidRDefault="005C7B38" w:rsidP="008F563D">
            <w:pPr>
              <w:keepNext/>
              <w:jc w:val="center"/>
              <w:rPr>
                <w:sz w:val="18"/>
                <w:szCs w:val="18"/>
              </w:rPr>
            </w:pPr>
            <w:r w:rsidRPr="00660070">
              <w:rPr>
                <w:sz w:val="18"/>
                <w:szCs w:val="18"/>
              </w:rPr>
              <w:t>222</w:t>
            </w:r>
          </w:p>
        </w:tc>
        <w:tc>
          <w:tcPr>
            <w:tcW w:w="1113" w:type="dxa"/>
            <w:shd w:val="clear" w:color="auto" w:fill="auto"/>
            <w:noWrap/>
            <w:vAlign w:val="center"/>
          </w:tcPr>
          <w:p w:rsidR="005C7B38" w:rsidRPr="00660070" w:rsidRDefault="005C7B38" w:rsidP="008F563D">
            <w:pPr>
              <w:keepNext/>
              <w:jc w:val="center"/>
              <w:rPr>
                <w:sz w:val="18"/>
                <w:szCs w:val="18"/>
              </w:rPr>
            </w:pPr>
            <w:r w:rsidRPr="00660070">
              <w:rPr>
                <w:sz w:val="18"/>
                <w:szCs w:val="18"/>
              </w:rPr>
              <w:t>23</w:t>
            </w:r>
            <w:r>
              <w:rPr>
                <w:sz w:val="18"/>
                <w:szCs w:val="18"/>
              </w:rPr>
              <w:t>,</w:t>
            </w:r>
            <w:r w:rsidRPr="00660070">
              <w:rPr>
                <w:sz w:val="18"/>
                <w:szCs w:val="18"/>
              </w:rPr>
              <w:t>820</w:t>
            </w:r>
          </w:p>
        </w:tc>
      </w:tr>
      <w:tr w:rsidR="005C7B38" w:rsidRPr="00660070" w:rsidTr="008F563D">
        <w:trPr>
          <w:trHeight w:val="255"/>
          <w:jc w:val="center"/>
        </w:trPr>
        <w:tc>
          <w:tcPr>
            <w:tcW w:w="2306" w:type="dxa"/>
            <w:shd w:val="clear" w:color="auto" w:fill="auto"/>
            <w:noWrap/>
            <w:vAlign w:val="bottom"/>
          </w:tcPr>
          <w:p w:rsidR="005C7B38" w:rsidRPr="00545393" w:rsidRDefault="005C7B38" w:rsidP="008F563D">
            <w:pPr>
              <w:keepNext/>
              <w:rPr>
                <w:sz w:val="18"/>
                <w:szCs w:val="18"/>
              </w:rPr>
            </w:pPr>
            <w:r w:rsidRPr="00545393">
              <w:rPr>
                <w:sz w:val="18"/>
                <w:szCs w:val="18"/>
              </w:rPr>
              <w:t>Partial Cancellation</w:t>
            </w:r>
            <w:r w:rsidRPr="00545393">
              <w:rPr>
                <w:sz w:val="18"/>
                <w:szCs w:val="18"/>
              </w:rPr>
              <w:br/>
              <w:t>(Rule</w:t>
            </w:r>
            <w:r w:rsidR="008F563D">
              <w:rPr>
                <w:sz w:val="18"/>
                <w:szCs w:val="18"/>
              </w:rPr>
              <w:t> </w:t>
            </w:r>
            <w:r w:rsidRPr="00545393">
              <w:rPr>
                <w:sz w:val="18"/>
                <w:szCs w:val="18"/>
              </w:rPr>
              <w:t>25(1)(a)(v))</w:t>
            </w:r>
          </w:p>
        </w:tc>
        <w:tc>
          <w:tcPr>
            <w:tcW w:w="1237" w:type="dxa"/>
            <w:shd w:val="clear" w:color="auto" w:fill="auto"/>
            <w:noWrap/>
            <w:vAlign w:val="center"/>
          </w:tcPr>
          <w:p w:rsidR="005C7B38" w:rsidRPr="00660070" w:rsidRDefault="005C7B38" w:rsidP="008F563D">
            <w:pPr>
              <w:keepNext/>
              <w:jc w:val="center"/>
              <w:rPr>
                <w:sz w:val="18"/>
                <w:szCs w:val="18"/>
              </w:rPr>
            </w:pPr>
            <w:r w:rsidRPr="00660070">
              <w:rPr>
                <w:sz w:val="18"/>
                <w:szCs w:val="18"/>
              </w:rPr>
              <w:t>68</w:t>
            </w:r>
          </w:p>
        </w:tc>
        <w:tc>
          <w:tcPr>
            <w:tcW w:w="1058" w:type="dxa"/>
            <w:shd w:val="clear" w:color="auto" w:fill="auto"/>
            <w:noWrap/>
            <w:vAlign w:val="center"/>
          </w:tcPr>
          <w:p w:rsidR="005C7B38" w:rsidRPr="00660070" w:rsidRDefault="005C7B38" w:rsidP="008F563D">
            <w:pPr>
              <w:keepNext/>
              <w:jc w:val="center"/>
              <w:rPr>
                <w:sz w:val="18"/>
                <w:szCs w:val="18"/>
              </w:rPr>
            </w:pPr>
            <w:r w:rsidRPr="00660070">
              <w:rPr>
                <w:sz w:val="18"/>
                <w:szCs w:val="18"/>
              </w:rPr>
              <w:t>1</w:t>
            </w:r>
            <w:r>
              <w:rPr>
                <w:sz w:val="18"/>
                <w:szCs w:val="18"/>
              </w:rPr>
              <w:t>,</w:t>
            </w:r>
            <w:r w:rsidRPr="00660070">
              <w:rPr>
                <w:sz w:val="18"/>
                <w:szCs w:val="18"/>
              </w:rPr>
              <w:t>303</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264</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14</w:t>
            </w:r>
            <w:r>
              <w:rPr>
                <w:sz w:val="18"/>
                <w:szCs w:val="18"/>
              </w:rPr>
              <w:t>,</w:t>
            </w:r>
            <w:r w:rsidRPr="00660070">
              <w:rPr>
                <w:sz w:val="18"/>
                <w:szCs w:val="18"/>
              </w:rPr>
              <w:t>430</w:t>
            </w:r>
          </w:p>
        </w:tc>
        <w:tc>
          <w:tcPr>
            <w:tcW w:w="1251" w:type="dxa"/>
            <w:shd w:val="clear" w:color="auto" w:fill="auto"/>
            <w:noWrap/>
            <w:vAlign w:val="center"/>
          </w:tcPr>
          <w:p w:rsidR="005C7B38" w:rsidRPr="00660070" w:rsidRDefault="005C7B38" w:rsidP="008F563D">
            <w:pPr>
              <w:keepNext/>
              <w:jc w:val="center"/>
              <w:rPr>
                <w:sz w:val="18"/>
                <w:szCs w:val="18"/>
              </w:rPr>
            </w:pPr>
            <w:r w:rsidRPr="00660070">
              <w:rPr>
                <w:sz w:val="18"/>
                <w:szCs w:val="18"/>
              </w:rPr>
              <w:t>235</w:t>
            </w:r>
          </w:p>
        </w:tc>
        <w:tc>
          <w:tcPr>
            <w:tcW w:w="1113" w:type="dxa"/>
            <w:shd w:val="clear" w:color="auto" w:fill="auto"/>
            <w:noWrap/>
            <w:vAlign w:val="center"/>
          </w:tcPr>
          <w:p w:rsidR="005C7B38" w:rsidRPr="00660070" w:rsidRDefault="005C7B38" w:rsidP="008F563D">
            <w:pPr>
              <w:keepNext/>
              <w:jc w:val="center"/>
              <w:rPr>
                <w:sz w:val="18"/>
                <w:szCs w:val="18"/>
              </w:rPr>
            </w:pPr>
            <w:r w:rsidRPr="00660070">
              <w:rPr>
                <w:sz w:val="18"/>
                <w:szCs w:val="18"/>
              </w:rPr>
              <w:t>13</w:t>
            </w:r>
            <w:r>
              <w:rPr>
                <w:sz w:val="18"/>
                <w:szCs w:val="18"/>
              </w:rPr>
              <w:t>,</w:t>
            </w:r>
            <w:r w:rsidRPr="00660070">
              <w:rPr>
                <w:sz w:val="18"/>
                <w:szCs w:val="18"/>
              </w:rPr>
              <w:t>720</w:t>
            </w:r>
          </w:p>
        </w:tc>
      </w:tr>
      <w:tr w:rsidR="005C7B38" w:rsidRPr="00660070" w:rsidTr="008F563D">
        <w:trPr>
          <w:trHeight w:val="255"/>
          <w:jc w:val="center"/>
        </w:trPr>
        <w:tc>
          <w:tcPr>
            <w:tcW w:w="2306" w:type="dxa"/>
            <w:shd w:val="clear" w:color="auto" w:fill="auto"/>
            <w:noWrap/>
            <w:vAlign w:val="bottom"/>
          </w:tcPr>
          <w:p w:rsidR="005C7B38" w:rsidRPr="00545393" w:rsidRDefault="005C7B38" w:rsidP="008F563D">
            <w:pPr>
              <w:keepNext/>
              <w:rPr>
                <w:sz w:val="18"/>
                <w:szCs w:val="18"/>
              </w:rPr>
            </w:pPr>
            <w:r>
              <w:rPr>
                <w:sz w:val="18"/>
                <w:szCs w:val="18"/>
              </w:rPr>
              <w:t>Limitation H</w:t>
            </w:r>
            <w:r w:rsidRPr="00545393">
              <w:rPr>
                <w:sz w:val="18"/>
                <w:szCs w:val="18"/>
              </w:rPr>
              <w:t>as no Effect (Rule</w:t>
            </w:r>
            <w:r w:rsidR="008F563D">
              <w:rPr>
                <w:sz w:val="18"/>
                <w:szCs w:val="18"/>
              </w:rPr>
              <w:t> </w:t>
            </w:r>
            <w:r w:rsidRPr="00545393">
              <w:rPr>
                <w:sz w:val="18"/>
                <w:szCs w:val="18"/>
              </w:rPr>
              <w:t>27(5))</w:t>
            </w:r>
          </w:p>
        </w:tc>
        <w:tc>
          <w:tcPr>
            <w:tcW w:w="1237" w:type="dxa"/>
            <w:shd w:val="clear" w:color="auto" w:fill="auto"/>
            <w:noWrap/>
            <w:vAlign w:val="center"/>
          </w:tcPr>
          <w:p w:rsidR="005C7B38" w:rsidRPr="00660070" w:rsidRDefault="005C7B38" w:rsidP="008F563D">
            <w:pPr>
              <w:keepNext/>
              <w:jc w:val="center"/>
              <w:rPr>
                <w:sz w:val="18"/>
                <w:szCs w:val="18"/>
              </w:rPr>
            </w:pPr>
            <w:r w:rsidRPr="00660070">
              <w:rPr>
                <w:sz w:val="18"/>
                <w:szCs w:val="18"/>
              </w:rPr>
              <w:t>1</w:t>
            </w:r>
          </w:p>
        </w:tc>
        <w:tc>
          <w:tcPr>
            <w:tcW w:w="1058" w:type="dxa"/>
            <w:shd w:val="clear" w:color="auto" w:fill="auto"/>
            <w:noWrap/>
            <w:vAlign w:val="center"/>
          </w:tcPr>
          <w:p w:rsidR="005C7B38" w:rsidRPr="00660070" w:rsidRDefault="005C7B38" w:rsidP="008F563D">
            <w:pPr>
              <w:keepNext/>
              <w:jc w:val="center"/>
              <w:rPr>
                <w:sz w:val="18"/>
                <w:szCs w:val="18"/>
              </w:rPr>
            </w:pPr>
            <w:r w:rsidRPr="00660070">
              <w:rPr>
                <w:sz w:val="18"/>
                <w:szCs w:val="18"/>
              </w:rPr>
              <w:t>6</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58</w:t>
            </w:r>
          </w:p>
        </w:tc>
        <w:tc>
          <w:tcPr>
            <w:tcW w:w="1252" w:type="dxa"/>
            <w:shd w:val="clear" w:color="auto" w:fill="auto"/>
            <w:noWrap/>
            <w:vAlign w:val="center"/>
          </w:tcPr>
          <w:p w:rsidR="005C7B38" w:rsidRPr="00660070" w:rsidRDefault="005C7B38" w:rsidP="008F563D">
            <w:pPr>
              <w:keepNext/>
              <w:jc w:val="center"/>
              <w:rPr>
                <w:sz w:val="18"/>
                <w:szCs w:val="18"/>
              </w:rPr>
            </w:pPr>
            <w:r w:rsidRPr="00660070">
              <w:rPr>
                <w:sz w:val="18"/>
                <w:szCs w:val="18"/>
              </w:rPr>
              <w:t>3</w:t>
            </w:r>
            <w:r>
              <w:rPr>
                <w:sz w:val="18"/>
                <w:szCs w:val="18"/>
              </w:rPr>
              <w:t>,</w:t>
            </w:r>
            <w:r w:rsidRPr="00660070">
              <w:rPr>
                <w:sz w:val="18"/>
                <w:szCs w:val="18"/>
              </w:rPr>
              <w:t>621</w:t>
            </w:r>
          </w:p>
        </w:tc>
        <w:tc>
          <w:tcPr>
            <w:tcW w:w="1251" w:type="dxa"/>
            <w:shd w:val="clear" w:color="auto" w:fill="auto"/>
            <w:noWrap/>
            <w:vAlign w:val="center"/>
          </w:tcPr>
          <w:p w:rsidR="005C7B38" w:rsidRPr="00660070" w:rsidRDefault="005C7B38" w:rsidP="008F563D">
            <w:pPr>
              <w:keepNext/>
              <w:jc w:val="center"/>
              <w:rPr>
                <w:sz w:val="18"/>
                <w:szCs w:val="18"/>
              </w:rPr>
            </w:pPr>
            <w:r w:rsidRPr="00660070">
              <w:rPr>
                <w:sz w:val="18"/>
                <w:szCs w:val="18"/>
              </w:rPr>
              <w:t>2</w:t>
            </w:r>
          </w:p>
        </w:tc>
        <w:tc>
          <w:tcPr>
            <w:tcW w:w="1113" w:type="dxa"/>
            <w:shd w:val="clear" w:color="auto" w:fill="auto"/>
            <w:noWrap/>
            <w:vAlign w:val="center"/>
          </w:tcPr>
          <w:p w:rsidR="005C7B38" w:rsidRPr="00660070" w:rsidRDefault="005C7B38" w:rsidP="008F563D">
            <w:pPr>
              <w:keepNext/>
              <w:jc w:val="center"/>
              <w:rPr>
                <w:sz w:val="18"/>
                <w:szCs w:val="18"/>
              </w:rPr>
            </w:pPr>
            <w:r w:rsidRPr="00660070">
              <w:rPr>
                <w:sz w:val="18"/>
                <w:szCs w:val="18"/>
              </w:rPr>
              <w:t>111</w:t>
            </w:r>
          </w:p>
        </w:tc>
      </w:tr>
      <w:tr w:rsidR="005C7B38" w:rsidRPr="00660070" w:rsidTr="008F563D">
        <w:trPr>
          <w:trHeight w:val="255"/>
          <w:jc w:val="center"/>
        </w:trPr>
        <w:tc>
          <w:tcPr>
            <w:tcW w:w="2306" w:type="dxa"/>
            <w:shd w:val="clear" w:color="auto" w:fill="auto"/>
            <w:noWrap/>
            <w:vAlign w:val="bottom"/>
          </w:tcPr>
          <w:p w:rsidR="005C7B38" w:rsidRDefault="005C7B38" w:rsidP="008F563D">
            <w:pPr>
              <w:rPr>
                <w:rFonts w:ascii="Calibri" w:hAnsi="Calibri"/>
                <w:color w:val="000000"/>
                <w:szCs w:val="22"/>
              </w:rPr>
            </w:pPr>
            <w:r w:rsidRPr="00545393">
              <w:rPr>
                <w:sz w:val="18"/>
                <w:szCs w:val="18"/>
              </w:rPr>
              <w:t>Replacement</w:t>
            </w:r>
            <w:r w:rsidRPr="00545393">
              <w:rPr>
                <w:sz w:val="18"/>
                <w:szCs w:val="18"/>
              </w:rPr>
              <w:br/>
              <w:t>(Article</w:t>
            </w:r>
            <w:r w:rsidR="008F563D">
              <w:rPr>
                <w:sz w:val="18"/>
                <w:szCs w:val="18"/>
              </w:rPr>
              <w:t> </w:t>
            </w:r>
            <w:r w:rsidRPr="00545393">
              <w:rPr>
                <w:sz w:val="18"/>
                <w:szCs w:val="18"/>
              </w:rPr>
              <w:t>4</w:t>
            </w:r>
            <w:r w:rsidRPr="00545393">
              <w:rPr>
                <w:i/>
                <w:iCs/>
                <w:sz w:val="18"/>
                <w:szCs w:val="18"/>
              </w:rPr>
              <w:t>bis</w:t>
            </w:r>
            <w:r w:rsidRPr="00545393">
              <w:rPr>
                <w:sz w:val="18"/>
                <w:szCs w:val="18"/>
              </w:rPr>
              <w:t>)</w:t>
            </w:r>
          </w:p>
        </w:tc>
        <w:tc>
          <w:tcPr>
            <w:tcW w:w="1237" w:type="dxa"/>
            <w:shd w:val="clear" w:color="auto" w:fill="auto"/>
            <w:noWrap/>
            <w:vAlign w:val="center"/>
          </w:tcPr>
          <w:p w:rsidR="005C7B38" w:rsidRPr="00660070" w:rsidRDefault="005C7B38" w:rsidP="008F563D">
            <w:pPr>
              <w:jc w:val="center"/>
              <w:rPr>
                <w:sz w:val="18"/>
                <w:szCs w:val="18"/>
              </w:rPr>
            </w:pPr>
            <w:r w:rsidRPr="00660070">
              <w:rPr>
                <w:sz w:val="18"/>
                <w:szCs w:val="18"/>
              </w:rPr>
              <w:t>16</w:t>
            </w:r>
          </w:p>
        </w:tc>
        <w:tc>
          <w:tcPr>
            <w:tcW w:w="1058" w:type="dxa"/>
            <w:shd w:val="clear" w:color="auto" w:fill="auto"/>
            <w:noWrap/>
            <w:vAlign w:val="center"/>
          </w:tcPr>
          <w:p w:rsidR="005C7B38" w:rsidRPr="00660070" w:rsidRDefault="005C7B38" w:rsidP="008F563D">
            <w:pPr>
              <w:jc w:val="center"/>
              <w:rPr>
                <w:sz w:val="18"/>
                <w:szCs w:val="18"/>
              </w:rPr>
            </w:pPr>
            <w:r w:rsidRPr="00660070">
              <w:rPr>
                <w:sz w:val="18"/>
                <w:szCs w:val="18"/>
              </w:rPr>
              <w:t>410</w:t>
            </w:r>
          </w:p>
        </w:tc>
        <w:tc>
          <w:tcPr>
            <w:tcW w:w="1252" w:type="dxa"/>
            <w:shd w:val="clear" w:color="auto" w:fill="auto"/>
            <w:noWrap/>
            <w:vAlign w:val="center"/>
          </w:tcPr>
          <w:p w:rsidR="005C7B38" w:rsidRPr="00660070" w:rsidRDefault="005C7B38" w:rsidP="008F563D">
            <w:pPr>
              <w:jc w:val="center"/>
              <w:rPr>
                <w:sz w:val="18"/>
                <w:szCs w:val="18"/>
              </w:rPr>
            </w:pPr>
            <w:r w:rsidRPr="00660070">
              <w:rPr>
                <w:sz w:val="18"/>
                <w:szCs w:val="18"/>
              </w:rPr>
              <w:t>54</w:t>
            </w:r>
          </w:p>
        </w:tc>
        <w:tc>
          <w:tcPr>
            <w:tcW w:w="1252" w:type="dxa"/>
            <w:shd w:val="clear" w:color="auto" w:fill="auto"/>
            <w:noWrap/>
            <w:vAlign w:val="center"/>
          </w:tcPr>
          <w:p w:rsidR="005C7B38" w:rsidRPr="00660070" w:rsidRDefault="005C7B38" w:rsidP="008F563D">
            <w:pPr>
              <w:jc w:val="center"/>
              <w:rPr>
                <w:sz w:val="18"/>
                <w:szCs w:val="18"/>
              </w:rPr>
            </w:pPr>
            <w:r w:rsidRPr="00660070">
              <w:rPr>
                <w:sz w:val="18"/>
                <w:szCs w:val="18"/>
              </w:rPr>
              <w:t>2</w:t>
            </w:r>
            <w:r>
              <w:rPr>
                <w:sz w:val="18"/>
                <w:szCs w:val="18"/>
              </w:rPr>
              <w:t>,</w:t>
            </w:r>
            <w:r w:rsidRPr="00660070">
              <w:rPr>
                <w:sz w:val="18"/>
                <w:szCs w:val="18"/>
              </w:rPr>
              <w:t>322</w:t>
            </w:r>
          </w:p>
        </w:tc>
        <w:tc>
          <w:tcPr>
            <w:tcW w:w="1251" w:type="dxa"/>
            <w:shd w:val="clear" w:color="auto" w:fill="auto"/>
            <w:noWrap/>
            <w:vAlign w:val="center"/>
          </w:tcPr>
          <w:p w:rsidR="005C7B38" w:rsidRPr="00660070" w:rsidRDefault="005C7B38" w:rsidP="008F563D">
            <w:pPr>
              <w:jc w:val="center"/>
              <w:rPr>
                <w:sz w:val="18"/>
                <w:szCs w:val="18"/>
              </w:rPr>
            </w:pPr>
            <w:r w:rsidRPr="00660070">
              <w:rPr>
                <w:sz w:val="18"/>
                <w:szCs w:val="18"/>
              </w:rPr>
              <w:t>56</w:t>
            </w:r>
          </w:p>
        </w:tc>
        <w:tc>
          <w:tcPr>
            <w:tcW w:w="1113" w:type="dxa"/>
            <w:shd w:val="clear" w:color="auto" w:fill="auto"/>
            <w:noWrap/>
            <w:vAlign w:val="center"/>
          </w:tcPr>
          <w:p w:rsidR="005C7B38" w:rsidRPr="00660070" w:rsidRDefault="005C7B38" w:rsidP="008F563D">
            <w:pPr>
              <w:jc w:val="center"/>
              <w:rPr>
                <w:sz w:val="18"/>
                <w:szCs w:val="18"/>
              </w:rPr>
            </w:pPr>
            <w:r w:rsidRPr="00660070">
              <w:rPr>
                <w:sz w:val="18"/>
                <w:szCs w:val="18"/>
              </w:rPr>
              <w:t>2</w:t>
            </w:r>
            <w:r>
              <w:rPr>
                <w:sz w:val="18"/>
                <w:szCs w:val="18"/>
              </w:rPr>
              <w:t>,</w:t>
            </w:r>
            <w:r w:rsidRPr="00660070">
              <w:rPr>
                <w:sz w:val="18"/>
                <w:szCs w:val="18"/>
              </w:rPr>
              <w:t>448</w:t>
            </w:r>
          </w:p>
        </w:tc>
      </w:tr>
      <w:tr w:rsidR="005C7B38" w:rsidRPr="00660070" w:rsidTr="008F563D">
        <w:trPr>
          <w:trHeight w:val="255"/>
          <w:jc w:val="center"/>
        </w:trPr>
        <w:tc>
          <w:tcPr>
            <w:tcW w:w="2306" w:type="dxa"/>
            <w:shd w:val="clear" w:color="auto" w:fill="auto"/>
            <w:noWrap/>
            <w:vAlign w:val="center"/>
          </w:tcPr>
          <w:p w:rsidR="005C7B38" w:rsidRPr="00545393" w:rsidRDefault="008F563D" w:rsidP="008F563D">
            <w:pPr>
              <w:rPr>
                <w:rFonts w:eastAsia="MS Mincho"/>
                <w:bCs/>
                <w:sz w:val="18"/>
                <w:szCs w:val="18"/>
                <w:lang w:eastAsia="ja-JP"/>
              </w:rPr>
            </w:pPr>
            <w:r>
              <w:rPr>
                <w:rFonts w:eastAsia="MS Mincho"/>
                <w:bCs/>
                <w:sz w:val="18"/>
                <w:szCs w:val="18"/>
                <w:lang w:eastAsia="ja-JP"/>
              </w:rPr>
              <w:t>Translation on R</w:t>
            </w:r>
            <w:r w:rsidR="005C7B38">
              <w:rPr>
                <w:rFonts w:eastAsia="MS Mincho"/>
                <w:bCs/>
                <w:sz w:val="18"/>
                <w:szCs w:val="18"/>
                <w:lang w:eastAsia="ja-JP"/>
              </w:rPr>
              <w:t>equest</w:t>
            </w:r>
          </w:p>
        </w:tc>
        <w:tc>
          <w:tcPr>
            <w:tcW w:w="1237" w:type="dxa"/>
            <w:shd w:val="clear" w:color="auto" w:fill="auto"/>
            <w:noWrap/>
            <w:vAlign w:val="center"/>
          </w:tcPr>
          <w:p w:rsidR="005C7B38" w:rsidRPr="00660070" w:rsidRDefault="005C7B38" w:rsidP="008F563D">
            <w:pPr>
              <w:jc w:val="center"/>
              <w:rPr>
                <w:sz w:val="18"/>
                <w:szCs w:val="18"/>
              </w:rPr>
            </w:pPr>
            <w:r>
              <w:rPr>
                <w:sz w:val="18"/>
                <w:szCs w:val="18"/>
              </w:rPr>
              <w:t>1</w:t>
            </w:r>
          </w:p>
        </w:tc>
        <w:tc>
          <w:tcPr>
            <w:tcW w:w="1058" w:type="dxa"/>
            <w:shd w:val="clear" w:color="auto" w:fill="auto"/>
            <w:noWrap/>
            <w:vAlign w:val="center"/>
          </w:tcPr>
          <w:p w:rsidR="005C7B38" w:rsidRPr="00660070" w:rsidRDefault="005C7B38" w:rsidP="008F563D">
            <w:pPr>
              <w:jc w:val="center"/>
              <w:rPr>
                <w:sz w:val="18"/>
                <w:szCs w:val="18"/>
              </w:rPr>
            </w:pPr>
            <w:r>
              <w:rPr>
                <w:sz w:val="18"/>
                <w:szCs w:val="18"/>
              </w:rPr>
              <w:t>9</w:t>
            </w:r>
          </w:p>
        </w:tc>
        <w:tc>
          <w:tcPr>
            <w:tcW w:w="1252" w:type="dxa"/>
            <w:shd w:val="clear" w:color="auto" w:fill="auto"/>
            <w:noWrap/>
            <w:vAlign w:val="center"/>
          </w:tcPr>
          <w:p w:rsidR="005C7B38" w:rsidRPr="00660070" w:rsidRDefault="005C7B38" w:rsidP="008F563D">
            <w:pPr>
              <w:jc w:val="center"/>
              <w:rPr>
                <w:sz w:val="18"/>
                <w:szCs w:val="18"/>
              </w:rPr>
            </w:pPr>
            <w:r>
              <w:rPr>
                <w:sz w:val="18"/>
                <w:szCs w:val="18"/>
              </w:rPr>
              <w:t>1</w:t>
            </w:r>
          </w:p>
        </w:tc>
        <w:tc>
          <w:tcPr>
            <w:tcW w:w="1252" w:type="dxa"/>
            <w:shd w:val="clear" w:color="auto" w:fill="auto"/>
            <w:noWrap/>
            <w:vAlign w:val="center"/>
          </w:tcPr>
          <w:p w:rsidR="005C7B38" w:rsidRPr="00660070" w:rsidRDefault="005C7B38" w:rsidP="008F563D">
            <w:pPr>
              <w:jc w:val="center"/>
              <w:rPr>
                <w:sz w:val="18"/>
                <w:szCs w:val="18"/>
              </w:rPr>
            </w:pPr>
            <w:r>
              <w:rPr>
                <w:sz w:val="18"/>
                <w:szCs w:val="18"/>
              </w:rPr>
              <w:t>94</w:t>
            </w:r>
          </w:p>
        </w:tc>
        <w:tc>
          <w:tcPr>
            <w:tcW w:w="1251" w:type="dxa"/>
            <w:shd w:val="clear" w:color="auto" w:fill="auto"/>
            <w:noWrap/>
            <w:vAlign w:val="center"/>
          </w:tcPr>
          <w:p w:rsidR="005C7B38" w:rsidRPr="00660070" w:rsidRDefault="005C7B38" w:rsidP="008F563D">
            <w:pPr>
              <w:jc w:val="center"/>
              <w:rPr>
                <w:sz w:val="18"/>
                <w:szCs w:val="18"/>
              </w:rPr>
            </w:pPr>
            <w:r>
              <w:rPr>
                <w:sz w:val="18"/>
                <w:szCs w:val="18"/>
              </w:rPr>
              <w:t>0</w:t>
            </w:r>
          </w:p>
        </w:tc>
        <w:tc>
          <w:tcPr>
            <w:tcW w:w="1113" w:type="dxa"/>
            <w:shd w:val="clear" w:color="auto" w:fill="auto"/>
            <w:noWrap/>
            <w:vAlign w:val="center"/>
          </w:tcPr>
          <w:p w:rsidR="005C7B38" w:rsidRPr="00660070" w:rsidRDefault="005C7B38" w:rsidP="008F563D">
            <w:pPr>
              <w:jc w:val="center"/>
              <w:rPr>
                <w:sz w:val="18"/>
                <w:szCs w:val="18"/>
              </w:rPr>
            </w:pPr>
            <w:r>
              <w:rPr>
                <w:sz w:val="18"/>
                <w:szCs w:val="18"/>
              </w:rPr>
              <w:t>0</w:t>
            </w:r>
          </w:p>
        </w:tc>
      </w:tr>
      <w:tr w:rsidR="005C7B38" w:rsidRPr="00EA5E33" w:rsidTr="008F563D">
        <w:trPr>
          <w:trHeight w:val="255"/>
          <w:jc w:val="center"/>
        </w:trPr>
        <w:tc>
          <w:tcPr>
            <w:tcW w:w="2306" w:type="dxa"/>
            <w:shd w:val="clear" w:color="auto" w:fill="auto"/>
            <w:noWrap/>
            <w:vAlign w:val="center"/>
          </w:tcPr>
          <w:p w:rsidR="005C7B38" w:rsidRPr="00EA5E33" w:rsidRDefault="005C7B38" w:rsidP="008F563D">
            <w:pPr>
              <w:rPr>
                <w:sz w:val="18"/>
                <w:szCs w:val="18"/>
                <w:highlight w:val="yellow"/>
              </w:rPr>
            </w:pPr>
            <w:r w:rsidRPr="00545393">
              <w:rPr>
                <w:rFonts w:eastAsia="MS Mincho"/>
                <w:bCs/>
                <w:sz w:val="18"/>
                <w:szCs w:val="18"/>
                <w:lang w:eastAsia="ja-JP"/>
              </w:rPr>
              <w:t>Total</w:t>
            </w:r>
          </w:p>
        </w:tc>
        <w:tc>
          <w:tcPr>
            <w:tcW w:w="1237" w:type="dxa"/>
            <w:shd w:val="clear" w:color="auto" w:fill="auto"/>
            <w:noWrap/>
            <w:vAlign w:val="center"/>
          </w:tcPr>
          <w:p w:rsidR="005C7B38" w:rsidRPr="00EA5E33" w:rsidRDefault="005C7B38" w:rsidP="008F563D">
            <w:pPr>
              <w:jc w:val="center"/>
              <w:rPr>
                <w:sz w:val="18"/>
                <w:szCs w:val="18"/>
              </w:rPr>
            </w:pPr>
            <w:r w:rsidRPr="00660070">
              <w:rPr>
                <w:sz w:val="18"/>
                <w:szCs w:val="18"/>
              </w:rPr>
              <w:t>15</w:t>
            </w:r>
            <w:r>
              <w:rPr>
                <w:sz w:val="18"/>
                <w:szCs w:val="18"/>
              </w:rPr>
              <w:t>,</w:t>
            </w:r>
            <w:r w:rsidRPr="00660070">
              <w:rPr>
                <w:sz w:val="18"/>
                <w:szCs w:val="18"/>
              </w:rPr>
              <w:t>101</w:t>
            </w:r>
          </w:p>
        </w:tc>
        <w:tc>
          <w:tcPr>
            <w:tcW w:w="1058" w:type="dxa"/>
            <w:shd w:val="clear" w:color="auto" w:fill="auto"/>
            <w:noWrap/>
            <w:vAlign w:val="center"/>
          </w:tcPr>
          <w:p w:rsidR="005C7B38" w:rsidRPr="00EA5E33" w:rsidRDefault="005C7B38" w:rsidP="008F563D">
            <w:pPr>
              <w:jc w:val="center"/>
              <w:rPr>
                <w:sz w:val="18"/>
                <w:szCs w:val="18"/>
              </w:rPr>
            </w:pPr>
            <w:r w:rsidRPr="00660070">
              <w:rPr>
                <w:sz w:val="18"/>
                <w:szCs w:val="18"/>
              </w:rPr>
              <w:t>2</w:t>
            </w:r>
            <w:r>
              <w:rPr>
                <w:sz w:val="18"/>
                <w:szCs w:val="18"/>
              </w:rPr>
              <w:t>,</w:t>
            </w:r>
            <w:r w:rsidRPr="00660070">
              <w:rPr>
                <w:sz w:val="18"/>
                <w:szCs w:val="18"/>
              </w:rPr>
              <w:t>710</w:t>
            </w:r>
            <w:r>
              <w:rPr>
                <w:sz w:val="18"/>
                <w:szCs w:val="18"/>
              </w:rPr>
              <w:t>,</w:t>
            </w:r>
            <w:r w:rsidRPr="00660070">
              <w:rPr>
                <w:sz w:val="18"/>
                <w:szCs w:val="18"/>
              </w:rPr>
              <w:t>363</w:t>
            </w:r>
          </w:p>
        </w:tc>
        <w:tc>
          <w:tcPr>
            <w:tcW w:w="1252" w:type="dxa"/>
            <w:shd w:val="clear" w:color="auto" w:fill="auto"/>
            <w:noWrap/>
            <w:vAlign w:val="center"/>
          </w:tcPr>
          <w:p w:rsidR="005C7B38" w:rsidRPr="00EA5E33" w:rsidRDefault="005C7B38" w:rsidP="008F563D">
            <w:pPr>
              <w:jc w:val="center"/>
              <w:rPr>
                <w:sz w:val="18"/>
                <w:szCs w:val="18"/>
              </w:rPr>
            </w:pPr>
            <w:r w:rsidRPr="00660070">
              <w:rPr>
                <w:sz w:val="18"/>
                <w:szCs w:val="18"/>
              </w:rPr>
              <w:t>50</w:t>
            </w:r>
            <w:r>
              <w:rPr>
                <w:sz w:val="18"/>
                <w:szCs w:val="18"/>
              </w:rPr>
              <w:t>,</w:t>
            </w:r>
            <w:r w:rsidRPr="00660070">
              <w:rPr>
                <w:sz w:val="18"/>
                <w:szCs w:val="18"/>
              </w:rPr>
              <w:t>846</w:t>
            </w:r>
          </w:p>
        </w:tc>
        <w:tc>
          <w:tcPr>
            <w:tcW w:w="1252" w:type="dxa"/>
            <w:shd w:val="clear" w:color="auto" w:fill="auto"/>
            <w:noWrap/>
            <w:vAlign w:val="center"/>
          </w:tcPr>
          <w:p w:rsidR="005C7B38" w:rsidRPr="00EA5E33" w:rsidRDefault="005C7B38" w:rsidP="008F563D">
            <w:pPr>
              <w:jc w:val="center"/>
              <w:rPr>
                <w:sz w:val="18"/>
                <w:szCs w:val="18"/>
              </w:rPr>
            </w:pPr>
            <w:r w:rsidRPr="00660070">
              <w:rPr>
                <w:sz w:val="18"/>
                <w:szCs w:val="18"/>
              </w:rPr>
              <w:t>11</w:t>
            </w:r>
            <w:r>
              <w:rPr>
                <w:sz w:val="18"/>
                <w:szCs w:val="18"/>
              </w:rPr>
              <w:t>,</w:t>
            </w:r>
            <w:r w:rsidRPr="00660070">
              <w:rPr>
                <w:sz w:val="18"/>
                <w:szCs w:val="18"/>
              </w:rPr>
              <w:t>999</w:t>
            </w:r>
            <w:r>
              <w:rPr>
                <w:sz w:val="18"/>
                <w:szCs w:val="18"/>
              </w:rPr>
              <w:t>,714</w:t>
            </w:r>
          </w:p>
        </w:tc>
        <w:tc>
          <w:tcPr>
            <w:tcW w:w="1251" w:type="dxa"/>
            <w:shd w:val="clear" w:color="auto" w:fill="auto"/>
            <w:noWrap/>
            <w:vAlign w:val="center"/>
          </w:tcPr>
          <w:p w:rsidR="005C7B38" w:rsidRPr="00EA5E33" w:rsidRDefault="005C7B38" w:rsidP="008F563D">
            <w:pPr>
              <w:jc w:val="center"/>
              <w:rPr>
                <w:sz w:val="18"/>
                <w:szCs w:val="18"/>
              </w:rPr>
            </w:pPr>
            <w:r w:rsidRPr="00660070">
              <w:rPr>
                <w:sz w:val="18"/>
                <w:szCs w:val="18"/>
              </w:rPr>
              <w:t>50</w:t>
            </w:r>
            <w:r>
              <w:rPr>
                <w:sz w:val="18"/>
                <w:szCs w:val="18"/>
              </w:rPr>
              <w:t>,</w:t>
            </w:r>
            <w:r w:rsidRPr="00660070">
              <w:rPr>
                <w:sz w:val="18"/>
                <w:szCs w:val="18"/>
              </w:rPr>
              <w:t>685</w:t>
            </w:r>
          </w:p>
        </w:tc>
        <w:tc>
          <w:tcPr>
            <w:tcW w:w="1113" w:type="dxa"/>
            <w:shd w:val="clear" w:color="auto" w:fill="auto"/>
            <w:noWrap/>
            <w:vAlign w:val="center"/>
          </w:tcPr>
          <w:p w:rsidR="005C7B38" w:rsidRPr="00EA5E33" w:rsidRDefault="005C7B38" w:rsidP="008F563D">
            <w:pPr>
              <w:jc w:val="center"/>
              <w:rPr>
                <w:sz w:val="18"/>
                <w:szCs w:val="18"/>
              </w:rPr>
            </w:pPr>
            <w:r w:rsidRPr="00660070">
              <w:rPr>
                <w:sz w:val="18"/>
                <w:szCs w:val="18"/>
              </w:rPr>
              <w:t>11</w:t>
            </w:r>
            <w:r>
              <w:rPr>
                <w:sz w:val="18"/>
                <w:szCs w:val="18"/>
              </w:rPr>
              <w:t>,</w:t>
            </w:r>
            <w:r w:rsidRPr="00660070">
              <w:rPr>
                <w:sz w:val="18"/>
                <w:szCs w:val="18"/>
              </w:rPr>
              <w:t>898</w:t>
            </w:r>
            <w:r>
              <w:rPr>
                <w:sz w:val="18"/>
                <w:szCs w:val="18"/>
              </w:rPr>
              <w:t>,</w:t>
            </w:r>
            <w:r w:rsidRPr="00660070">
              <w:rPr>
                <w:sz w:val="18"/>
                <w:szCs w:val="18"/>
              </w:rPr>
              <w:t>7</w:t>
            </w:r>
            <w:r>
              <w:rPr>
                <w:sz w:val="18"/>
                <w:szCs w:val="18"/>
              </w:rPr>
              <w:t>82</w:t>
            </w:r>
          </w:p>
        </w:tc>
      </w:tr>
    </w:tbl>
    <w:p w:rsidR="00DE1E0B" w:rsidRDefault="00DE1E0B" w:rsidP="008F563D">
      <w:pPr>
        <w:pStyle w:val="Heading1"/>
      </w:pPr>
      <w:r>
        <w:t xml:space="preserve">IMPACT OF THE TRANSLATION PRACTICE ON STATEMENTS OF GRANT OF PROTECTION SENT UNDER RULE </w:t>
      </w:r>
      <w:proofErr w:type="gramStart"/>
      <w:r>
        <w:t>18</w:t>
      </w:r>
      <w:r w:rsidRPr="008F563D">
        <w:rPr>
          <w:i/>
        </w:rPr>
        <w:t>TER</w:t>
      </w:r>
      <w:r>
        <w:t>(</w:t>
      </w:r>
      <w:proofErr w:type="gramEnd"/>
      <w:r>
        <w:t>2)(II) OF THE COMMON REGULATIONS RECORDED IN 2014</w:t>
      </w:r>
    </w:p>
    <w:p w:rsidR="00DE1E0B" w:rsidRDefault="00DE1E0B" w:rsidP="00DE1E0B"/>
    <w:p w:rsidR="00DE1E0B" w:rsidRDefault="008F563D" w:rsidP="00DE1E0B">
      <w:r>
        <w:fldChar w:fldCharType="begin"/>
      </w:r>
      <w:r>
        <w:instrText xml:space="preserve"> AUTONUM  </w:instrText>
      </w:r>
      <w:r>
        <w:fldChar w:fldCharType="end"/>
      </w:r>
      <w:r>
        <w:tab/>
      </w:r>
      <w:r w:rsidR="00DE1E0B">
        <w:t>In</w:t>
      </w:r>
      <w:r>
        <w:t> </w:t>
      </w:r>
      <w:r w:rsidR="00DE1E0B">
        <w:t>2014, under the current practice, the International Bureau translated almost 2.3</w:t>
      </w:r>
      <w:r>
        <w:t> </w:t>
      </w:r>
      <w:r w:rsidR="00DE1E0B">
        <w:t>million words resulting from the recording of decisions sent by Offices.  Had the current translation practice not been in place, the International Bureau would have been required to translate more than 12.5</w:t>
      </w:r>
      <w:r>
        <w:t> </w:t>
      </w:r>
      <w:r w:rsidR="00DE1E0B">
        <w:t xml:space="preserve">million words resulting from the recording of those decisions. </w:t>
      </w:r>
      <w:r>
        <w:t xml:space="preserve"> </w:t>
      </w:r>
      <w:r w:rsidR="00DE1E0B">
        <w:t>In relative terms, the</w:t>
      </w:r>
      <w:r>
        <w:t xml:space="preserve"> </w:t>
      </w:r>
      <w:r w:rsidR="00DE1E0B">
        <w:t>translation workload of the International Bureau would have been 39</w:t>
      </w:r>
      <w:r>
        <w:t>%</w:t>
      </w:r>
      <w:r w:rsidR="00DE1E0B">
        <w:t xml:space="preserve"> higher (see Table</w:t>
      </w:r>
      <w:r>
        <w:t> </w:t>
      </w:r>
      <w:r w:rsidR="00DE1E0B">
        <w:t>IV).</w:t>
      </w:r>
      <w:r>
        <w:t xml:space="preserve">  </w:t>
      </w:r>
    </w:p>
    <w:p w:rsidR="00DE1E0B" w:rsidRDefault="00DE1E0B" w:rsidP="008F563D">
      <w:pPr>
        <w:pStyle w:val="Heading4"/>
      </w:pPr>
      <w:r>
        <w:t xml:space="preserve">Table IV: </w:t>
      </w:r>
      <w:r w:rsidR="008F563D">
        <w:t xml:space="preserve"> Translated W</w:t>
      </w:r>
      <w:r>
        <w:t>ords in</w:t>
      </w:r>
      <w:r w:rsidR="008F563D">
        <w:t> </w:t>
      </w:r>
      <w:r>
        <w:t>2014</w:t>
      </w:r>
    </w:p>
    <w:p w:rsidR="00DE1E0B" w:rsidRDefault="00DE1E0B" w:rsidP="00DE1E0B"/>
    <w:tbl>
      <w:tblPr>
        <w:tblW w:w="9356" w:type="dxa"/>
        <w:tblInd w:w="98" w:type="dxa"/>
        <w:tblCellMar>
          <w:left w:w="57" w:type="dxa"/>
          <w:right w:w="57" w:type="dxa"/>
        </w:tblCellMar>
        <w:tblLook w:val="0000" w:firstRow="0" w:lastRow="0" w:firstColumn="0" w:lastColumn="0" w:noHBand="0" w:noVBand="0"/>
      </w:tblPr>
      <w:tblGrid>
        <w:gridCol w:w="2679"/>
        <w:gridCol w:w="1312"/>
        <w:gridCol w:w="1310"/>
        <w:gridCol w:w="1660"/>
        <w:gridCol w:w="1339"/>
        <w:gridCol w:w="1056"/>
      </w:tblGrid>
      <w:tr w:rsidR="008F563D" w:rsidRPr="00545393" w:rsidTr="00D6562C">
        <w:trPr>
          <w:trHeight w:val="255"/>
        </w:trPr>
        <w:tc>
          <w:tcPr>
            <w:tcW w:w="2679" w:type="dxa"/>
            <w:tcBorders>
              <w:top w:val="nil"/>
              <w:left w:val="nil"/>
              <w:bottom w:val="nil"/>
              <w:right w:val="nil"/>
            </w:tcBorders>
            <w:shd w:val="clear" w:color="auto" w:fill="auto"/>
            <w:noWrap/>
            <w:vAlign w:val="center"/>
          </w:tcPr>
          <w:p w:rsidR="008F563D" w:rsidRPr="00545393" w:rsidRDefault="008F563D" w:rsidP="00D6562C">
            <w:pPr>
              <w:jc w:val="center"/>
              <w:rPr>
                <w:rFonts w:eastAsia="MS Mincho"/>
                <w:sz w:val="18"/>
                <w:szCs w:val="18"/>
                <w:lang w:eastAsia="ja-JP"/>
              </w:rPr>
            </w:pPr>
            <w:bookmarkStart w:id="6" w:name="_Hlk317231747"/>
          </w:p>
        </w:tc>
        <w:tc>
          <w:tcPr>
            <w:tcW w:w="6876" w:type="dxa"/>
            <w:gridSpan w:val="5"/>
            <w:tcBorders>
              <w:top w:val="single" w:sz="4" w:space="0" w:color="auto"/>
              <w:left w:val="single" w:sz="4" w:space="0" w:color="auto"/>
              <w:bottom w:val="single" w:sz="4" w:space="0" w:color="auto"/>
              <w:right w:val="single" w:sz="4" w:space="0" w:color="auto"/>
            </w:tcBorders>
            <w:vAlign w:val="center"/>
          </w:tcPr>
          <w:p w:rsidR="008F563D" w:rsidRPr="00545393" w:rsidRDefault="008F563D" w:rsidP="00D6562C">
            <w:pPr>
              <w:jc w:val="center"/>
              <w:rPr>
                <w:rFonts w:eastAsia="MS Mincho"/>
                <w:sz w:val="18"/>
                <w:szCs w:val="18"/>
                <w:lang w:eastAsia="ja-JP"/>
              </w:rPr>
            </w:pPr>
            <w:r w:rsidRPr="00545393">
              <w:rPr>
                <w:rFonts w:eastAsia="MS Mincho"/>
                <w:sz w:val="18"/>
                <w:szCs w:val="18"/>
                <w:lang w:eastAsia="ja-JP"/>
              </w:rPr>
              <w:t>Nu</w:t>
            </w:r>
            <w:r>
              <w:rPr>
                <w:rFonts w:eastAsia="MS Mincho"/>
                <w:sz w:val="18"/>
                <w:szCs w:val="18"/>
                <w:lang w:eastAsia="ja-JP"/>
              </w:rPr>
              <w:t>mber of Translated Words in 2014</w:t>
            </w:r>
          </w:p>
        </w:tc>
      </w:tr>
      <w:tr w:rsidR="008F563D" w:rsidRPr="00545393" w:rsidTr="00D6562C">
        <w:trPr>
          <w:trHeight w:val="765"/>
        </w:trPr>
        <w:tc>
          <w:tcPr>
            <w:tcW w:w="2679" w:type="dxa"/>
            <w:tcBorders>
              <w:top w:val="nil"/>
              <w:left w:val="nil"/>
              <w:bottom w:val="nil"/>
              <w:right w:val="nil"/>
            </w:tcBorders>
            <w:shd w:val="clear" w:color="auto" w:fill="auto"/>
            <w:noWrap/>
            <w:vAlign w:val="center"/>
          </w:tcPr>
          <w:p w:rsidR="008F563D" w:rsidRPr="00545393" w:rsidRDefault="008F563D" w:rsidP="00D6562C">
            <w:pPr>
              <w:jc w:val="center"/>
              <w:rPr>
                <w:rFonts w:eastAsia="MS Mincho"/>
                <w:sz w:val="18"/>
                <w:szCs w:val="18"/>
                <w:lang w:eastAsia="ja-JP"/>
              </w:rPr>
            </w:pPr>
          </w:p>
        </w:tc>
        <w:tc>
          <w:tcPr>
            <w:tcW w:w="1511" w:type="dxa"/>
            <w:tcBorders>
              <w:top w:val="nil"/>
              <w:left w:val="single" w:sz="4" w:space="0" w:color="auto"/>
              <w:bottom w:val="single" w:sz="4" w:space="0" w:color="auto"/>
              <w:right w:val="single" w:sz="4" w:space="0" w:color="auto"/>
            </w:tcBorders>
            <w:vAlign w:val="center"/>
          </w:tcPr>
          <w:p w:rsidR="008F563D" w:rsidRPr="00545393" w:rsidRDefault="008F563D" w:rsidP="00D6562C">
            <w:pPr>
              <w:jc w:val="center"/>
              <w:rPr>
                <w:rFonts w:eastAsia="MS Mincho"/>
                <w:sz w:val="18"/>
                <w:szCs w:val="18"/>
                <w:lang w:eastAsia="ja-JP"/>
              </w:rPr>
            </w:pPr>
            <w:r w:rsidRPr="00545393">
              <w:rPr>
                <w:rFonts w:eastAsia="MS Mincho"/>
                <w:sz w:val="18"/>
                <w:szCs w:val="18"/>
                <w:lang w:eastAsia="ja-JP"/>
              </w:rPr>
              <w:t>Actual</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8F563D" w:rsidRPr="00545393" w:rsidRDefault="00D6562C" w:rsidP="00D6562C">
            <w:pPr>
              <w:jc w:val="center"/>
              <w:rPr>
                <w:rFonts w:eastAsia="MS Mincho"/>
                <w:sz w:val="18"/>
                <w:szCs w:val="18"/>
                <w:lang w:eastAsia="ja-JP"/>
              </w:rPr>
            </w:pPr>
            <w:r>
              <w:rPr>
                <w:rFonts w:eastAsia="MS Mincho"/>
                <w:sz w:val="18"/>
                <w:szCs w:val="18"/>
                <w:lang w:eastAsia="ja-JP"/>
              </w:rPr>
              <w:t>Percentage</w:t>
            </w:r>
          </w:p>
        </w:tc>
        <w:tc>
          <w:tcPr>
            <w:tcW w:w="1660" w:type="dxa"/>
            <w:tcBorders>
              <w:top w:val="nil"/>
              <w:left w:val="nil"/>
              <w:bottom w:val="single" w:sz="4" w:space="0" w:color="auto"/>
              <w:right w:val="single" w:sz="4" w:space="0" w:color="auto"/>
            </w:tcBorders>
            <w:shd w:val="clear" w:color="auto" w:fill="auto"/>
            <w:noWrap/>
            <w:vAlign w:val="center"/>
          </w:tcPr>
          <w:p w:rsidR="008F563D" w:rsidRPr="00545393" w:rsidRDefault="008F563D" w:rsidP="00D6562C">
            <w:pPr>
              <w:jc w:val="center"/>
              <w:rPr>
                <w:rFonts w:eastAsia="MS Mincho"/>
                <w:sz w:val="18"/>
                <w:szCs w:val="18"/>
                <w:lang w:eastAsia="ja-JP"/>
              </w:rPr>
            </w:pPr>
            <w:r w:rsidRPr="00545393">
              <w:rPr>
                <w:rFonts w:eastAsia="MS Mincho"/>
                <w:sz w:val="18"/>
                <w:szCs w:val="18"/>
                <w:lang w:eastAsia="ja-JP"/>
              </w:rPr>
              <w:t>Simulation with Rule 18</w:t>
            </w:r>
            <w:r w:rsidRPr="00545393">
              <w:rPr>
                <w:rFonts w:eastAsia="MS Mincho"/>
                <w:i/>
                <w:sz w:val="18"/>
                <w:szCs w:val="18"/>
                <w:lang w:eastAsia="ja-JP"/>
              </w:rPr>
              <w:t>ter</w:t>
            </w:r>
            <w:r w:rsidRPr="00545393">
              <w:rPr>
                <w:rFonts w:eastAsia="MS Mincho"/>
                <w:sz w:val="18"/>
                <w:szCs w:val="18"/>
                <w:lang w:eastAsia="ja-JP"/>
              </w:rPr>
              <w:t>(2)(ii)</w:t>
            </w:r>
          </w:p>
        </w:tc>
        <w:tc>
          <w:tcPr>
            <w:tcW w:w="1339" w:type="dxa"/>
            <w:tcBorders>
              <w:top w:val="nil"/>
              <w:left w:val="nil"/>
              <w:bottom w:val="single" w:sz="4" w:space="0" w:color="auto"/>
              <w:right w:val="single" w:sz="4" w:space="0" w:color="auto"/>
            </w:tcBorders>
            <w:shd w:val="clear" w:color="auto" w:fill="auto"/>
            <w:vAlign w:val="center"/>
          </w:tcPr>
          <w:p w:rsidR="008F563D" w:rsidRPr="00545393" w:rsidRDefault="00D6562C" w:rsidP="00D6562C">
            <w:pPr>
              <w:jc w:val="center"/>
              <w:rPr>
                <w:rFonts w:eastAsia="MS Mincho"/>
                <w:sz w:val="18"/>
                <w:szCs w:val="18"/>
                <w:lang w:eastAsia="ja-JP"/>
              </w:rPr>
            </w:pPr>
            <w:r>
              <w:rPr>
                <w:rFonts w:eastAsia="MS Mincho"/>
                <w:sz w:val="18"/>
                <w:szCs w:val="18"/>
                <w:lang w:eastAsia="ja-JP"/>
              </w:rPr>
              <w:t>Percentage</w:t>
            </w:r>
          </w:p>
        </w:tc>
        <w:tc>
          <w:tcPr>
            <w:tcW w:w="1056" w:type="dxa"/>
            <w:tcBorders>
              <w:top w:val="nil"/>
              <w:left w:val="nil"/>
              <w:bottom w:val="single" w:sz="4" w:space="0" w:color="auto"/>
              <w:right w:val="single" w:sz="4" w:space="0" w:color="auto"/>
            </w:tcBorders>
            <w:shd w:val="clear" w:color="auto" w:fill="auto"/>
            <w:noWrap/>
            <w:vAlign w:val="center"/>
          </w:tcPr>
          <w:p w:rsidR="008F563D" w:rsidRPr="00545393" w:rsidRDefault="008F563D" w:rsidP="00D6562C">
            <w:pPr>
              <w:jc w:val="center"/>
              <w:rPr>
                <w:rFonts w:eastAsia="MS Mincho"/>
                <w:sz w:val="18"/>
                <w:szCs w:val="18"/>
                <w:lang w:eastAsia="ja-JP"/>
              </w:rPr>
            </w:pPr>
            <w:r w:rsidRPr="00545393">
              <w:rPr>
                <w:rFonts w:eastAsia="MS Mincho"/>
                <w:sz w:val="18"/>
                <w:szCs w:val="18"/>
                <w:lang w:eastAsia="ja-JP"/>
              </w:rPr>
              <w:t>Increase</w:t>
            </w:r>
          </w:p>
        </w:tc>
      </w:tr>
      <w:tr w:rsidR="008F563D" w:rsidRPr="00545393" w:rsidTr="00D6562C">
        <w:trPr>
          <w:trHeight w:val="255"/>
        </w:trPr>
        <w:tc>
          <w:tcPr>
            <w:tcW w:w="2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545393" w:rsidRDefault="008F563D" w:rsidP="00D6562C">
            <w:pPr>
              <w:rPr>
                <w:rFonts w:eastAsia="MS Mincho"/>
                <w:sz w:val="18"/>
                <w:szCs w:val="18"/>
                <w:lang w:eastAsia="ja-JP"/>
              </w:rPr>
            </w:pPr>
            <w:r w:rsidRPr="00545393">
              <w:rPr>
                <w:rFonts w:eastAsia="MS Mincho"/>
                <w:sz w:val="18"/>
                <w:szCs w:val="18"/>
                <w:lang w:eastAsia="ja-JP"/>
              </w:rPr>
              <w:t>International Registrations</w:t>
            </w:r>
          </w:p>
        </w:tc>
        <w:tc>
          <w:tcPr>
            <w:tcW w:w="1511" w:type="dxa"/>
            <w:tcBorders>
              <w:top w:val="nil"/>
              <w:left w:val="nil"/>
              <w:bottom w:val="single" w:sz="4" w:space="0" w:color="auto"/>
              <w:right w:val="single" w:sz="4" w:space="0" w:color="auto"/>
            </w:tcBorders>
            <w:vAlign w:val="center"/>
          </w:tcPr>
          <w:p w:rsidR="008F563D" w:rsidRPr="00291808" w:rsidRDefault="008F563D" w:rsidP="00D6562C">
            <w:pPr>
              <w:jc w:val="center"/>
              <w:rPr>
                <w:rFonts w:eastAsia="Calibri"/>
                <w:color w:val="000000"/>
                <w:sz w:val="18"/>
                <w:szCs w:val="18"/>
              </w:rPr>
            </w:pPr>
            <w:r>
              <w:rPr>
                <w:color w:val="000000"/>
                <w:sz w:val="18"/>
                <w:szCs w:val="18"/>
              </w:rPr>
              <w:t>22,927,428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86.2%</w:t>
            </w:r>
          </w:p>
        </w:tc>
        <w:tc>
          <w:tcPr>
            <w:tcW w:w="1660"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22,927,428</w:t>
            </w:r>
          </w:p>
        </w:tc>
        <w:tc>
          <w:tcPr>
            <w:tcW w:w="1339"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62.1%</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8F563D" w:rsidRPr="00291808" w:rsidRDefault="008F563D" w:rsidP="00D6562C">
            <w:pPr>
              <w:jc w:val="center"/>
              <w:rPr>
                <w:rFonts w:eastAsia="Calibri"/>
                <w:color w:val="000000"/>
                <w:sz w:val="18"/>
                <w:szCs w:val="18"/>
              </w:rPr>
            </w:pPr>
          </w:p>
        </w:tc>
      </w:tr>
      <w:tr w:rsidR="008F563D" w:rsidRPr="00545393" w:rsidTr="00D6562C">
        <w:trPr>
          <w:trHeight w:val="255"/>
        </w:trPr>
        <w:tc>
          <w:tcPr>
            <w:tcW w:w="2679" w:type="dxa"/>
            <w:tcBorders>
              <w:top w:val="nil"/>
              <w:left w:val="single" w:sz="4" w:space="0" w:color="auto"/>
              <w:bottom w:val="single" w:sz="4" w:space="0" w:color="auto"/>
              <w:right w:val="single" w:sz="4" w:space="0" w:color="auto"/>
            </w:tcBorders>
            <w:shd w:val="clear" w:color="auto" w:fill="auto"/>
            <w:noWrap/>
            <w:vAlign w:val="center"/>
          </w:tcPr>
          <w:p w:rsidR="008F563D" w:rsidRPr="00545393" w:rsidRDefault="008F563D" w:rsidP="00D6562C">
            <w:pPr>
              <w:rPr>
                <w:rFonts w:eastAsia="MS Mincho"/>
                <w:sz w:val="18"/>
                <w:szCs w:val="18"/>
                <w:lang w:eastAsia="ja-JP"/>
              </w:rPr>
            </w:pPr>
            <w:r w:rsidRPr="00545393">
              <w:rPr>
                <w:rFonts w:eastAsia="MS Mincho"/>
                <w:sz w:val="18"/>
                <w:szCs w:val="18"/>
                <w:lang w:eastAsia="ja-JP"/>
              </w:rPr>
              <w:t>Changes</w:t>
            </w:r>
          </w:p>
        </w:tc>
        <w:tc>
          <w:tcPr>
            <w:tcW w:w="1511" w:type="dxa"/>
            <w:tcBorders>
              <w:top w:val="nil"/>
              <w:left w:val="nil"/>
              <w:bottom w:val="single" w:sz="4" w:space="0" w:color="auto"/>
              <w:right w:val="single" w:sz="4" w:space="0" w:color="auto"/>
            </w:tcBorders>
            <w:vAlign w:val="center"/>
          </w:tcPr>
          <w:p w:rsidR="008F563D" w:rsidRPr="00291808" w:rsidRDefault="008F563D" w:rsidP="00D6562C">
            <w:pPr>
              <w:jc w:val="center"/>
              <w:rPr>
                <w:rFonts w:eastAsia="Calibri"/>
                <w:color w:val="000000"/>
                <w:sz w:val="18"/>
                <w:szCs w:val="18"/>
              </w:rPr>
            </w:pPr>
            <w:r>
              <w:rPr>
                <w:color w:val="000000"/>
                <w:sz w:val="18"/>
                <w:szCs w:val="18"/>
              </w:rPr>
              <w:t>527,812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2.0%</w:t>
            </w:r>
          </w:p>
        </w:tc>
        <w:tc>
          <w:tcPr>
            <w:tcW w:w="1660"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527,812</w:t>
            </w:r>
          </w:p>
        </w:tc>
        <w:tc>
          <w:tcPr>
            <w:tcW w:w="1339"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1.4%</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8F563D" w:rsidRPr="00291808" w:rsidRDefault="008F563D" w:rsidP="00D6562C">
            <w:pPr>
              <w:jc w:val="center"/>
              <w:rPr>
                <w:rFonts w:eastAsia="Calibri"/>
                <w:color w:val="000000"/>
                <w:sz w:val="18"/>
                <w:szCs w:val="18"/>
              </w:rPr>
            </w:pPr>
          </w:p>
        </w:tc>
      </w:tr>
      <w:tr w:rsidR="008F563D" w:rsidRPr="00545393" w:rsidTr="00D6562C">
        <w:trPr>
          <w:trHeight w:val="255"/>
        </w:trPr>
        <w:tc>
          <w:tcPr>
            <w:tcW w:w="2679" w:type="dxa"/>
            <w:tcBorders>
              <w:top w:val="nil"/>
              <w:left w:val="single" w:sz="4" w:space="0" w:color="auto"/>
              <w:bottom w:val="single" w:sz="4" w:space="0" w:color="auto"/>
              <w:right w:val="single" w:sz="4" w:space="0" w:color="auto"/>
            </w:tcBorders>
            <w:shd w:val="clear" w:color="auto" w:fill="auto"/>
            <w:noWrap/>
            <w:vAlign w:val="center"/>
          </w:tcPr>
          <w:p w:rsidR="008F563D" w:rsidRPr="00545393" w:rsidRDefault="008F563D" w:rsidP="00D6562C">
            <w:pPr>
              <w:rPr>
                <w:rFonts w:eastAsia="MS Mincho"/>
                <w:sz w:val="18"/>
                <w:szCs w:val="18"/>
                <w:lang w:eastAsia="ja-JP"/>
              </w:rPr>
            </w:pPr>
            <w:r w:rsidRPr="00545393">
              <w:rPr>
                <w:rFonts w:eastAsia="MS Mincho"/>
                <w:sz w:val="18"/>
                <w:szCs w:val="18"/>
                <w:lang w:eastAsia="ja-JP"/>
              </w:rPr>
              <w:t>Refusals</w:t>
            </w:r>
          </w:p>
        </w:tc>
        <w:tc>
          <w:tcPr>
            <w:tcW w:w="1511" w:type="dxa"/>
            <w:tcBorders>
              <w:top w:val="nil"/>
              <w:left w:val="nil"/>
              <w:bottom w:val="single" w:sz="4" w:space="0" w:color="auto"/>
              <w:right w:val="single" w:sz="4" w:space="0" w:color="auto"/>
            </w:tcBorders>
            <w:vAlign w:val="center"/>
          </w:tcPr>
          <w:p w:rsidR="008F563D" w:rsidRPr="00291808" w:rsidRDefault="008F563D" w:rsidP="00D6562C">
            <w:pPr>
              <w:jc w:val="center"/>
              <w:rPr>
                <w:rFonts w:eastAsia="Calibri"/>
                <w:color w:val="000000"/>
                <w:sz w:val="18"/>
                <w:szCs w:val="18"/>
              </w:rPr>
            </w:pPr>
            <w:r>
              <w:rPr>
                <w:color w:val="000000"/>
                <w:sz w:val="18"/>
                <w:szCs w:val="18"/>
              </w:rPr>
              <w:t>7,877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0.0%</w:t>
            </w:r>
          </w:p>
        </w:tc>
        <w:tc>
          <w:tcPr>
            <w:tcW w:w="1660"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7,877</w:t>
            </w:r>
          </w:p>
        </w:tc>
        <w:tc>
          <w:tcPr>
            <w:tcW w:w="1339"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0.0%</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8F563D" w:rsidRPr="00291808" w:rsidRDefault="008F563D" w:rsidP="00D6562C">
            <w:pPr>
              <w:jc w:val="center"/>
              <w:rPr>
                <w:rFonts w:eastAsia="Calibri"/>
                <w:color w:val="000000"/>
                <w:sz w:val="18"/>
                <w:szCs w:val="18"/>
              </w:rPr>
            </w:pPr>
          </w:p>
        </w:tc>
      </w:tr>
      <w:tr w:rsidR="008F563D" w:rsidRPr="00545393" w:rsidTr="00D6562C">
        <w:trPr>
          <w:trHeight w:val="255"/>
        </w:trPr>
        <w:tc>
          <w:tcPr>
            <w:tcW w:w="2679" w:type="dxa"/>
            <w:tcBorders>
              <w:top w:val="nil"/>
              <w:left w:val="single" w:sz="4" w:space="0" w:color="auto"/>
              <w:bottom w:val="single" w:sz="4" w:space="0" w:color="auto"/>
              <w:right w:val="single" w:sz="4" w:space="0" w:color="auto"/>
            </w:tcBorders>
            <w:shd w:val="clear" w:color="auto" w:fill="auto"/>
            <w:noWrap/>
            <w:vAlign w:val="center"/>
          </w:tcPr>
          <w:p w:rsidR="008F563D" w:rsidRPr="00545393" w:rsidRDefault="008F563D" w:rsidP="00D6562C">
            <w:pPr>
              <w:rPr>
                <w:rFonts w:eastAsia="MS Mincho"/>
                <w:sz w:val="18"/>
                <w:szCs w:val="18"/>
                <w:lang w:eastAsia="ja-JP"/>
              </w:rPr>
            </w:pPr>
            <w:r w:rsidRPr="00545393">
              <w:rPr>
                <w:rFonts w:eastAsia="MS Mincho"/>
                <w:sz w:val="18"/>
                <w:szCs w:val="18"/>
                <w:lang w:eastAsia="ja-JP"/>
              </w:rPr>
              <w:t>Ceasing of Effect</w:t>
            </w:r>
          </w:p>
        </w:tc>
        <w:tc>
          <w:tcPr>
            <w:tcW w:w="1511" w:type="dxa"/>
            <w:tcBorders>
              <w:top w:val="nil"/>
              <w:left w:val="nil"/>
              <w:bottom w:val="single" w:sz="4" w:space="0" w:color="auto"/>
              <w:right w:val="single" w:sz="4" w:space="0" w:color="auto"/>
            </w:tcBorders>
            <w:vAlign w:val="center"/>
          </w:tcPr>
          <w:p w:rsidR="008F563D" w:rsidRPr="00291808" w:rsidRDefault="008F563D" w:rsidP="00D6562C">
            <w:pPr>
              <w:jc w:val="center"/>
              <w:rPr>
                <w:rFonts w:eastAsia="Calibri"/>
                <w:color w:val="000000"/>
                <w:sz w:val="18"/>
                <w:szCs w:val="18"/>
              </w:rPr>
            </w:pPr>
            <w:r>
              <w:rPr>
                <w:color w:val="000000"/>
                <w:sz w:val="18"/>
                <w:szCs w:val="18"/>
              </w:rPr>
              <w:t>871,835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3.3%</w:t>
            </w:r>
          </w:p>
        </w:tc>
        <w:tc>
          <w:tcPr>
            <w:tcW w:w="1660"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871,835</w:t>
            </w:r>
          </w:p>
        </w:tc>
        <w:tc>
          <w:tcPr>
            <w:tcW w:w="1339"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2.4%</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8F563D" w:rsidRPr="00291808" w:rsidRDefault="008F563D" w:rsidP="00D6562C">
            <w:pPr>
              <w:jc w:val="center"/>
              <w:rPr>
                <w:rFonts w:eastAsia="Calibri"/>
                <w:color w:val="000000"/>
                <w:sz w:val="18"/>
                <w:szCs w:val="18"/>
              </w:rPr>
            </w:pPr>
          </w:p>
        </w:tc>
      </w:tr>
      <w:tr w:rsidR="008F563D" w:rsidRPr="00545393" w:rsidTr="00D6562C">
        <w:trPr>
          <w:trHeight w:val="255"/>
        </w:trPr>
        <w:tc>
          <w:tcPr>
            <w:tcW w:w="2679" w:type="dxa"/>
            <w:tcBorders>
              <w:top w:val="nil"/>
              <w:left w:val="single" w:sz="4" w:space="0" w:color="auto"/>
              <w:bottom w:val="single" w:sz="4" w:space="0" w:color="auto"/>
              <w:right w:val="single" w:sz="4" w:space="0" w:color="auto"/>
            </w:tcBorders>
            <w:shd w:val="clear" w:color="auto" w:fill="auto"/>
            <w:noWrap/>
            <w:vAlign w:val="center"/>
          </w:tcPr>
          <w:p w:rsidR="008F563D" w:rsidRPr="00545393" w:rsidRDefault="008F563D" w:rsidP="00D6562C">
            <w:pPr>
              <w:rPr>
                <w:rFonts w:eastAsia="MS Mincho"/>
                <w:sz w:val="18"/>
                <w:szCs w:val="18"/>
                <w:lang w:eastAsia="ja-JP"/>
              </w:rPr>
            </w:pPr>
            <w:r w:rsidRPr="00545393">
              <w:rPr>
                <w:rFonts w:eastAsia="MS Mincho"/>
                <w:sz w:val="18"/>
                <w:szCs w:val="18"/>
                <w:lang w:eastAsia="ja-JP"/>
              </w:rPr>
              <w:t>Other Decisions</w:t>
            </w:r>
          </w:p>
        </w:tc>
        <w:tc>
          <w:tcPr>
            <w:tcW w:w="1511" w:type="dxa"/>
            <w:tcBorders>
              <w:top w:val="nil"/>
              <w:left w:val="nil"/>
              <w:bottom w:val="single" w:sz="4" w:space="0" w:color="auto"/>
              <w:right w:val="single" w:sz="4" w:space="0" w:color="auto"/>
            </w:tcBorders>
            <w:vAlign w:val="center"/>
          </w:tcPr>
          <w:p w:rsidR="008F563D" w:rsidRPr="00291808" w:rsidRDefault="008F563D" w:rsidP="00D6562C">
            <w:pPr>
              <w:jc w:val="center"/>
              <w:rPr>
                <w:rFonts w:eastAsia="Calibri"/>
                <w:color w:val="000000"/>
                <w:sz w:val="18"/>
                <w:szCs w:val="18"/>
              </w:rPr>
            </w:pPr>
            <w:r>
              <w:rPr>
                <w:color w:val="000000"/>
                <w:sz w:val="18"/>
                <w:szCs w:val="18"/>
              </w:rPr>
              <w:t>2,273,907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8.5%</w:t>
            </w:r>
          </w:p>
        </w:tc>
        <w:tc>
          <w:tcPr>
            <w:tcW w:w="1660"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12,574,672</w:t>
            </w:r>
          </w:p>
        </w:tc>
        <w:tc>
          <w:tcPr>
            <w:tcW w:w="1339"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34.1%</w:t>
            </w:r>
          </w:p>
        </w:tc>
        <w:tc>
          <w:tcPr>
            <w:tcW w:w="1056"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453%</w:t>
            </w:r>
          </w:p>
        </w:tc>
      </w:tr>
      <w:tr w:rsidR="008F563D" w:rsidRPr="00545393" w:rsidTr="00D6562C">
        <w:trPr>
          <w:trHeight w:val="255"/>
        </w:trPr>
        <w:tc>
          <w:tcPr>
            <w:tcW w:w="2679" w:type="dxa"/>
            <w:tcBorders>
              <w:top w:val="nil"/>
              <w:left w:val="single" w:sz="4" w:space="0" w:color="auto"/>
              <w:bottom w:val="single" w:sz="4" w:space="0" w:color="auto"/>
              <w:right w:val="single" w:sz="4" w:space="0" w:color="auto"/>
            </w:tcBorders>
            <w:shd w:val="clear" w:color="auto" w:fill="auto"/>
            <w:noWrap/>
            <w:vAlign w:val="center"/>
          </w:tcPr>
          <w:p w:rsidR="008F563D" w:rsidRPr="00545393" w:rsidRDefault="008F563D" w:rsidP="00D6562C">
            <w:pPr>
              <w:rPr>
                <w:rFonts w:eastAsia="MS Mincho"/>
                <w:sz w:val="18"/>
                <w:szCs w:val="18"/>
                <w:lang w:eastAsia="ja-JP"/>
              </w:rPr>
            </w:pPr>
            <w:r w:rsidRPr="00545393">
              <w:rPr>
                <w:rFonts w:eastAsia="MS Mincho"/>
                <w:sz w:val="18"/>
                <w:szCs w:val="18"/>
                <w:lang w:eastAsia="ja-JP"/>
              </w:rPr>
              <w:t>Total</w:t>
            </w:r>
          </w:p>
        </w:tc>
        <w:tc>
          <w:tcPr>
            <w:tcW w:w="1511" w:type="dxa"/>
            <w:tcBorders>
              <w:top w:val="nil"/>
              <w:left w:val="nil"/>
              <w:bottom w:val="single" w:sz="4" w:space="0" w:color="auto"/>
              <w:right w:val="single" w:sz="4" w:space="0" w:color="auto"/>
            </w:tcBorders>
            <w:vAlign w:val="center"/>
          </w:tcPr>
          <w:p w:rsidR="008F563D" w:rsidRPr="00291808" w:rsidRDefault="008F563D" w:rsidP="00D6562C">
            <w:pPr>
              <w:jc w:val="center"/>
              <w:rPr>
                <w:rFonts w:eastAsia="Calibri"/>
                <w:color w:val="000000"/>
                <w:sz w:val="18"/>
                <w:szCs w:val="18"/>
              </w:rPr>
            </w:pPr>
            <w:r>
              <w:rPr>
                <w:color w:val="000000"/>
                <w:sz w:val="18"/>
                <w:szCs w:val="18"/>
              </w:rPr>
              <w:t>26,608,859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100.0%</w:t>
            </w:r>
          </w:p>
        </w:tc>
        <w:tc>
          <w:tcPr>
            <w:tcW w:w="1660"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36,909,624</w:t>
            </w:r>
          </w:p>
        </w:tc>
        <w:tc>
          <w:tcPr>
            <w:tcW w:w="1339"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100.0%</w:t>
            </w:r>
          </w:p>
        </w:tc>
        <w:tc>
          <w:tcPr>
            <w:tcW w:w="1056" w:type="dxa"/>
            <w:tcBorders>
              <w:top w:val="nil"/>
              <w:left w:val="nil"/>
              <w:bottom w:val="single" w:sz="4" w:space="0" w:color="auto"/>
              <w:right w:val="single" w:sz="4" w:space="0" w:color="auto"/>
            </w:tcBorders>
            <w:shd w:val="clear" w:color="auto" w:fill="auto"/>
            <w:noWrap/>
            <w:vAlign w:val="center"/>
          </w:tcPr>
          <w:p w:rsidR="008F563D" w:rsidRPr="00291808" w:rsidRDefault="008F563D" w:rsidP="00D6562C">
            <w:pPr>
              <w:jc w:val="center"/>
              <w:rPr>
                <w:rFonts w:eastAsia="Calibri"/>
                <w:color w:val="000000"/>
                <w:sz w:val="18"/>
                <w:szCs w:val="18"/>
              </w:rPr>
            </w:pPr>
            <w:r>
              <w:rPr>
                <w:color w:val="000000"/>
                <w:sz w:val="18"/>
                <w:szCs w:val="18"/>
              </w:rPr>
              <w:t>38.7%</w:t>
            </w:r>
          </w:p>
        </w:tc>
      </w:tr>
      <w:bookmarkEnd w:id="6"/>
    </w:tbl>
    <w:p w:rsidR="00437C8D" w:rsidRDefault="00437C8D" w:rsidP="00DE1E0B">
      <w:r>
        <w:br w:type="page"/>
      </w:r>
    </w:p>
    <w:p w:rsidR="00DE1E0B" w:rsidRDefault="00D6562C" w:rsidP="00DE1E0B">
      <w:r>
        <w:fldChar w:fldCharType="begin"/>
      </w:r>
      <w:r>
        <w:instrText xml:space="preserve"> AUTONUM  </w:instrText>
      </w:r>
      <w:r>
        <w:fldChar w:fldCharType="end"/>
      </w:r>
      <w:r>
        <w:tab/>
        <w:t>T</w:t>
      </w:r>
      <w:r w:rsidR="00DE1E0B">
        <w:t>he International Bureau took a nuanced approach to the translation of statements of grant of protection sent under Rule</w:t>
      </w:r>
      <w:r>
        <w:t> </w:t>
      </w:r>
      <w:r w:rsidR="00DE1E0B">
        <w:t>18</w:t>
      </w:r>
      <w:r w:rsidR="00DE1E0B" w:rsidRPr="00D6562C">
        <w:rPr>
          <w:i/>
        </w:rPr>
        <w:t>ter</w:t>
      </w:r>
      <w:r w:rsidR="00DE1E0B">
        <w:t xml:space="preserve">(2)(ii) of the Common Regulations because their recording rarely serves the needs of the holders, as they would probably have taken part in the proceedings leading to the statement. </w:t>
      </w:r>
      <w:r>
        <w:t xml:space="preserve"> </w:t>
      </w:r>
    </w:p>
    <w:p w:rsidR="00DE1E0B" w:rsidRDefault="00DE1E0B" w:rsidP="00DE1E0B"/>
    <w:p w:rsidR="00DE1E0B" w:rsidRDefault="00D6562C" w:rsidP="00DE1E0B">
      <w:r>
        <w:fldChar w:fldCharType="begin"/>
      </w:r>
      <w:r>
        <w:instrText xml:space="preserve"> AUTONUM  </w:instrText>
      </w:r>
      <w:r>
        <w:fldChar w:fldCharType="end"/>
      </w:r>
      <w:r>
        <w:tab/>
      </w:r>
      <w:r w:rsidR="00DE1E0B">
        <w:t>Since</w:t>
      </w:r>
      <w:r>
        <w:t> </w:t>
      </w:r>
      <w:r w:rsidR="00DE1E0B">
        <w:t xml:space="preserve">2011, a simple </w:t>
      </w:r>
      <w:r w:rsidR="00FD2030">
        <w:t>electr</w:t>
      </w:r>
      <w:r w:rsidR="00FD2030" w:rsidRPr="00FD2030">
        <w:t xml:space="preserve">onic </w:t>
      </w:r>
      <w:r w:rsidR="00DE1E0B" w:rsidRPr="00FD2030">
        <w:t>form</w:t>
      </w:r>
      <w:r w:rsidR="00DE1E0B">
        <w:t xml:space="preserve"> to request the translation of a document not translated under the current practice has been available on the Madrid System website.  The</w:t>
      </w:r>
      <w:r w:rsidR="00FD2030">
        <w:t> </w:t>
      </w:r>
      <w:r w:rsidR="00DE1E0B">
        <w:t>demand for the translation of statements of grant of protection has been minimal.  The International Bureau has received only three</w:t>
      </w:r>
      <w:r>
        <w:t> </w:t>
      </w:r>
      <w:r w:rsidR="00DE1E0B">
        <w:t>valid translation requests, two</w:t>
      </w:r>
      <w:r>
        <w:t> </w:t>
      </w:r>
      <w:r w:rsidR="00DE1E0B">
        <w:t>of them in</w:t>
      </w:r>
      <w:r w:rsidR="00FD2030">
        <w:t> </w:t>
      </w:r>
      <w:r w:rsidR="00DE1E0B">
        <w:t xml:space="preserve">2014.  The low demand for this service may be explained by the fact that the translation of these statements of grant of protection mainly serves the information needs of third parties. </w:t>
      </w:r>
      <w:r>
        <w:t xml:space="preserve"> </w:t>
      </w:r>
    </w:p>
    <w:p w:rsidR="00DE1E0B" w:rsidRDefault="00DE1E0B" w:rsidP="00D6562C">
      <w:pPr>
        <w:pStyle w:val="Heading1"/>
      </w:pPr>
      <w:r>
        <w:t>IMPACT OF THE TRANSLATION PRACTICE ON LIMITATIONS MADE IN INTERNATIONAL APPLICATIONS, SUBSEQUENT DESIGNATIONS AND REQUESTS FOR THE RECORDING OF A CHANGE RECORDED IN</w:t>
      </w:r>
      <w:r w:rsidR="00D6562C">
        <w:t> 2014</w:t>
      </w:r>
    </w:p>
    <w:p w:rsidR="00DE1E0B" w:rsidRDefault="00DE1E0B" w:rsidP="00DE1E0B"/>
    <w:p w:rsidR="00DE1E0B" w:rsidRDefault="00D6562C" w:rsidP="00DE1E0B">
      <w:r>
        <w:fldChar w:fldCharType="begin"/>
      </w:r>
      <w:r>
        <w:instrText xml:space="preserve"> AUTONUM  </w:instrText>
      </w:r>
      <w:r>
        <w:fldChar w:fldCharType="end"/>
      </w:r>
      <w:r>
        <w:tab/>
      </w:r>
      <w:r w:rsidR="00DE1E0B">
        <w:t>The rational for the current practice of selectively translating limitations is to expedite their recording and notification.  Typically, limitations are requested by the hol</w:t>
      </w:r>
      <w:r>
        <w:t>der to satisfy a time</w:t>
      </w:r>
      <w:r>
        <w:noBreakHyphen/>
      </w:r>
      <w:r w:rsidR="00DE1E0B">
        <w:t xml:space="preserve">sensitive need, such as to respond to a provisional refusal or to reduce the scope in a designated Contracting Party before the renewal of the international registration.  </w:t>
      </w:r>
    </w:p>
    <w:p w:rsidR="00D6562C" w:rsidRDefault="00D6562C" w:rsidP="00DE1E0B"/>
    <w:p w:rsidR="00DE1E0B" w:rsidRDefault="00D6562C" w:rsidP="00DE1E0B">
      <w:r>
        <w:fldChar w:fldCharType="begin"/>
      </w:r>
      <w:r>
        <w:instrText xml:space="preserve"> AUTONUM  </w:instrText>
      </w:r>
      <w:r>
        <w:fldChar w:fldCharType="end"/>
      </w:r>
      <w:r>
        <w:tab/>
      </w:r>
      <w:r w:rsidR="00DE1E0B">
        <w:t>In</w:t>
      </w:r>
      <w:r>
        <w:t> </w:t>
      </w:r>
      <w:r w:rsidR="00DE1E0B">
        <w:t xml:space="preserve">2014, the total number of limitations recorded, either as a change or simultaneously and as part of an international registration or subsequent designation, </w:t>
      </w:r>
      <w:proofErr w:type="gramStart"/>
      <w:r w:rsidR="00DE1E0B">
        <w:t>was</w:t>
      </w:r>
      <w:proofErr w:type="gramEnd"/>
      <w:r>
        <w:t> </w:t>
      </w:r>
      <w:r w:rsidR="00DE1E0B">
        <w:t>14,123.  In</w:t>
      </w:r>
      <w:r>
        <w:t> </w:t>
      </w:r>
      <w:r w:rsidR="00DE1E0B">
        <w:t>7,195 of those recordings, 51</w:t>
      </w:r>
      <w:r>
        <w:t>%</w:t>
      </w:r>
      <w:r w:rsidR="00DE1E0B">
        <w:t xml:space="preserve"> of the total, the language in which the request was filed was the same as</w:t>
      </w:r>
      <w:r>
        <w:t> </w:t>
      </w:r>
      <w:r w:rsidR="00DE1E0B">
        <w:t>the language of communication of the Office where the limitation was to have effect (see</w:t>
      </w:r>
      <w:r>
        <w:t> </w:t>
      </w:r>
      <w:r w:rsidR="00DE1E0B">
        <w:t>Table</w:t>
      </w:r>
      <w:r>
        <w:t> </w:t>
      </w:r>
      <w:r w:rsidR="00DE1E0B">
        <w:t xml:space="preserve">V).  </w:t>
      </w:r>
    </w:p>
    <w:p w:rsidR="00D6562C" w:rsidRDefault="00D6562C" w:rsidP="00DE1E0B"/>
    <w:p w:rsidR="00DE1E0B" w:rsidRDefault="00D6562C" w:rsidP="00DE1E0B">
      <w:r>
        <w:fldChar w:fldCharType="begin"/>
      </w:r>
      <w:r>
        <w:instrText xml:space="preserve"> AUTONUM  </w:instrText>
      </w:r>
      <w:r>
        <w:fldChar w:fldCharType="end"/>
      </w:r>
      <w:r>
        <w:tab/>
      </w:r>
      <w:r w:rsidR="00DE1E0B">
        <w:t xml:space="preserve">In other words, the time required to record more than half of the limitations was substantially reduced because they did not require translation.  This, as explained earlier, had significant benefits for the holders concerned.  </w:t>
      </w:r>
    </w:p>
    <w:p w:rsidR="00DE1E0B" w:rsidRDefault="00DE1E0B" w:rsidP="00D6562C">
      <w:pPr>
        <w:pStyle w:val="Heading4"/>
      </w:pPr>
      <w:r>
        <w:t>Table</w:t>
      </w:r>
      <w:r w:rsidR="00D6562C">
        <w:t> </w:t>
      </w:r>
      <w:r>
        <w:t xml:space="preserve">V: </w:t>
      </w:r>
      <w:r w:rsidR="00D6562C">
        <w:t xml:space="preserve"> </w:t>
      </w:r>
      <w:r>
        <w:t>Limitations recorded in</w:t>
      </w:r>
      <w:r w:rsidR="00D6562C">
        <w:t> </w:t>
      </w:r>
      <w:r>
        <w:t>2014</w:t>
      </w:r>
    </w:p>
    <w:p w:rsidR="00DE1E0B" w:rsidRDefault="00DE1E0B" w:rsidP="00DE1E0B"/>
    <w:tbl>
      <w:tblPr>
        <w:tblW w:w="9361" w:type="dxa"/>
        <w:jc w:val="center"/>
        <w:tblBorders>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77"/>
        <w:gridCol w:w="3342"/>
        <w:gridCol w:w="3342"/>
      </w:tblGrid>
      <w:tr w:rsidR="00D6562C" w:rsidRPr="00545393" w:rsidTr="00D6562C">
        <w:trPr>
          <w:trHeight w:val="510"/>
          <w:jc w:val="center"/>
        </w:trPr>
        <w:tc>
          <w:tcPr>
            <w:tcW w:w="2677" w:type="dxa"/>
            <w:tcBorders>
              <w:bottom w:val="single" w:sz="4" w:space="0" w:color="auto"/>
            </w:tcBorders>
            <w:shd w:val="clear" w:color="auto" w:fill="auto"/>
            <w:vAlign w:val="center"/>
          </w:tcPr>
          <w:p w:rsidR="00D6562C" w:rsidRPr="00D6562C" w:rsidRDefault="00D6562C" w:rsidP="00D6562C">
            <w:pPr>
              <w:rPr>
                <w:rFonts w:eastAsia="MS Mincho"/>
                <w:sz w:val="18"/>
                <w:szCs w:val="18"/>
                <w:lang w:eastAsia="ja-JP"/>
              </w:rPr>
            </w:pPr>
          </w:p>
        </w:tc>
        <w:tc>
          <w:tcPr>
            <w:tcW w:w="3342" w:type="dxa"/>
            <w:tcBorders>
              <w:top w:val="single" w:sz="4" w:space="0" w:color="auto"/>
            </w:tcBorders>
            <w:shd w:val="clear" w:color="auto" w:fill="auto"/>
            <w:vAlign w:val="center"/>
          </w:tcPr>
          <w:p w:rsidR="00D6562C" w:rsidRPr="00D6562C" w:rsidRDefault="00D6562C" w:rsidP="00D6562C">
            <w:pPr>
              <w:jc w:val="center"/>
              <w:rPr>
                <w:rFonts w:eastAsia="MS Mincho"/>
                <w:sz w:val="18"/>
                <w:szCs w:val="18"/>
                <w:lang w:eastAsia="ja-JP"/>
              </w:rPr>
            </w:pPr>
            <w:r w:rsidRPr="00D6562C">
              <w:rPr>
                <w:rFonts w:eastAsia="MS Mincho"/>
                <w:sz w:val="18"/>
                <w:szCs w:val="18"/>
                <w:lang w:eastAsia="ja-JP"/>
              </w:rPr>
              <w:t>Language of the Limitation = Language of Office Concerned</w:t>
            </w:r>
          </w:p>
        </w:tc>
        <w:tc>
          <w:tcPr>
            <w:tcW w:w="3342" w:type="dxa"/>
            <w:tcBorders>
              <w:top w:val="single" w:sz="4" w:space="0" w:color="auto"/>
            </w:tcBorders>
            <w:shd w:val="clear" w:color="auto" w:fill="auto"/>
            <w:vAlign w:val="center"/>
          </w:tcPr>
          <w:p w:rsidR="00D6562C" w:rsidRPr="00D6562C" w:rsidRDefault="00D6562C" w:rsidP="00D6562C">
            <w:pPr>
              <w:jc w:val="center"/>
              <w:rPr>
                <w:rFonts w:eastAsia="MS Mincho"/>
                <w:sz w:val="18"/>
                <w:szCs w:val="18"/>
                <w:lang w:eastAsia="ja-JP"/>
              </w:rPr>
            </w:pPr>
            <w:r w:rsidRPr="00D6562C">
              <w:rPr>
                <w:rFonts w:eastAsia="MS Mincho"/>
                <w:sz w:val="18"/>
                <w:szCs w:val="18"/>
                <w:lang w:eastAsia="ja-JP"/>
              </w:rPr>
              <w:t>Limitations</w:t>
            </w:r>
            <w:r w:rsidRPr="00D6562C">
              <w:rPr>
                <w:rFonts w:eastAsia="MS Mincho"/>
                <w:sz w:val="18"/>
                <w:szCs w:val="18"/>
                <w:lang w:eastAsia="ja-JP"/>
              </w:rPr>
              <w:br/>
              <w:t>Recorded</w:t>
            </w:r>
          </w:p>
        </w:tc>
      </w:tr>
      <w:tr w:rsidR="00D6562C" w:rsidRPr="0010507F" w:rsidTr="00D6562C">
        <w:trPr>
          <w:trHeight w:val="510"/>
          <w:jc w:val="center"/>
        </w:trPr>
        <w:tc>
          <w:tcPr>
            <w:tcW w:w="2677" w:type="dxa"/>
            <w:tcBorders>
              <w:top w:val="single" w:sz="4" w:space="0" w:color="auto"/>
              <w:left w:val="single" w:sz="4" w:space="0" w:color="auto"/>
            </w:tcBorders>
            <w:shd w:val="clear" w:color="auto" w:fill="auto"/>
            <w:vAlign w:val="center"/>
          </w:tcPr>
          <w:p w:rsidR="00D6562C" w:rsidRPr="00D6562C" w:rsidRDefault="00D6562C" w:rsidP="00D6562C">
            <w:pPr>
              <w:rPr>
                <w:rFonts w:eastAsia="MS Mincho"/>
                <w:sz w:val="18"/>
                <w:szCs w:val="18"/>
                <w:lang w:eastAsia="ja-JP"/>
              </w:rPr>
            </w:pPr>
            <w:r w:rsidRPr="00D6562C">
              <w:rPr>
                <w:rFonts w:eastAsia="MS Mincho"/>
                <w:sz w:val="18"/>
                <w:szCs w:val="18"/>
                <w:lang w:eastAsia="ja-JP"/>
              </w:rPr>
              <w:t>Limitations in an International Application</w:t>
            </w:r>
          </w:p>
        </w:tc>
        <w:tc>
          <w:tcPr>
            <w:tcW w:w="3342" w:type="dxa"/>
            <w:shd w:val="clear" w:color="auto" w:fill="auto"/>
            <w:vAlign w:val="center"/>
          </w:tcPr>
          <w:p w:rsidR="00D6562C" w:rsidRPr="00D6562C" w:rsidRDefault="00D6562C" w:rsidP="00D6562C">
            <w:pPr>
              <w:jc w:val="center"/>
              <w:rPr>
                <w:rFonts w:eastAsia="Calibri"/>
                <w:color w:val="000000"/>
                <w:sz w:val="18"/>
                <w:szCs w:val="18"/>
              </w:rPr>
            </w:pPr>
            <w:r w:rsidRPr="00D6562C">
              <w:rPr>
                <w:color w:val="000000"/>
                <w:sz w:val="18"/>
                <w:szCs w:val="18"/>
              </w:rPr>
              <w:t>1,770</w:t>
            </w:r>
          </w:p>
        </w:tc>
        <w:tc>
          <w:tcPr>
            <w:tcW w:w="3342" w:type="dxa"/>
            <w:shd w:val="clear" w:color="auto" w:fill="auto"/>
            <w:vAlign w:val="center"/>
          </w:tcPr>
          <w:p w:rsidR="00D6562C" w:rsidRPr="00D6562C" w:rsidRDefault="00D6562C" w:rsidP="00D6562C">
            <w:pPr>
              <w:jc w:val="center"/>
              <w:rPr>
                <w:rFonts w:ascii="Calibri" w:eastAsia="Calibri" w:hAnsi="Calibri"/>
                <w:color w:val="000000"/>
                <w:sz w:val="18"/>
                <w:szCs w:val="18"/>
              </w:rPr>
            </w:pPr>
            <w:r w:rsidRPr="00D6562C">
              <w:rPr>
                <w:color w:val="000000"/>
                <w:sz w:val="18"/>
                <w:szCs w:val="18"/>
              </w:rPr>
              <w:t>6,154</w:t>
            </w:r>
          </w:p>
        </w:tc>
      </w:tr>
      <w:tr w:rsidR="00D6562C" w:rsidRPr="0010507F" w:rsidTr="00D6562C">
        <w:trPr>
          <w:trHeight w:val="510"/>
          <w:jc w:val="center"/>
        </w:trPr>
        <w:tc>
          <w:tcPr>
            <w:tcW w:w="2677" w:type="dxa"/>
            <w:tcBorders>
              <w:top w:val="single" w:sz="4" w:space="0" w:color="auto"/>
              <w:left w:val="single" w:sz="4" w:space="0" w:color="auto"/>
            </w:tcBorders>
            <w:shd w:val="clear" w:color="auto" w:fill="auto"/>
            <w:vAlign w:val="center"/>
          </w:tcPr>
          <w:p w:rsidR="00D6562C" w:rsidRPr="00D6562C" w:rsidRDefault="00D6562C" w:rsidP="00D6562C">
            <w:pPr>
              <w:rPr>
                <w:rFonts w:eastAsia="MS Mincho"/>
                <w:sz w:val="18"/>
                <w:szCs w:val="18"/>
                <w:lang w:eastAsia="ja-JP"/>
              </w:rPr>
            </w:pPr>
            <w:r w:rsidRPr="00D6562C">
              <w:rPr>
                <w:rFonts w:eastAsia="MS Mincho"/>
                <w:sz w:val="18"/>
                <w:szCs w:val="18"/>
                <w:lang w:eastAsia="ja-JP"/>
              </w:rPr>
              <w:t>Limitations in a Subsequent Designation</w:t>
            </w:r>
          </w:p>
        </w:tc>
        <w:tc>
          <w:tcPr>
            <w:tcW w:w="3342" w:type="dxa"/>
            <w:shd w:val="clear" w:color="auto" w:fill="auto"/>
            <w:vAlign w:val="center"/>
          </w:tcPr>
          <w:p w:rsidR="00D6562C" w:rsidRPr="00D6562C" w:rsidRDefault="00D6562C" w:rsidP="00D6562C">
            <w:pPr>
              <w:jc w:val="center"/>
              <w:rPr>
                <w:rFonts w:eastAsia="Calibri"/>
                <w:color w:val="000000"/>
                <w:sz w:val="18"/>
                <w:szCs w:val="18"/>
              </w:rPr>
            </w:pPr>
            <w:r w:rsidRPr="00D6562C">
              <w:rPr>
                <w:color w:val="000000"/>
                <w:sz w:val="18"/>
                <w:szCs w:val="18"/>
              </w:rPr>
              <w:t>2,510</w:t>
            </w:r>
          </w:p>
        </w:tc>
        <w:tc>
          <w:tcPr>
            <w:tcW w:w="3342" w:type="dxa"/>
            <w:shd w:val="clear" w:color="auto" w:fill="auto"/>
            <w:vAlign w:val="center"/>
          </w:tcPr>
          <w:p w:rsidR="00D6562C" w:rsidRPr="00D6562C" w:rsidRDefault="00D6562C" w:rsidP="00D6562C">
            <w:pPr>
              <w:jc w:val="center"/>
              <w:rPr>
                <w:rFonts w:ascii="Calibri" w:eastAsia="Calibri" w:hAnsi="Calibri"/>
                <w:color w:val="000000"/>
                <w:sz w:val="18"/>
                <w:szCs w:val="18"/>
              </w:rPr>
            </w:pPr>
            <w:r w:rsidRPr="00D6562C">
              <w:rPr>
                <w:color w:val="000000"/>
                <w:sz w:val="18"/>
                <w:szCs w:val="18"/>
              </w:rPr>
              <w:t>3,580</w:t>
            </w:r>
          </w:p>
        </w:tc>
      </w:tr>
      <w:tr w:rsidR="00D6562C" w:rsidRPr="0010507F" w:rsidTr="00D6562C">
        <w:trPr>
          <w:trHeight w:val="510"/>
          <w:jc w:val="center"/>
        </w:trPr>
        <w:tc>
          <w:tcPr>
            <w:tcW w:w="2677" w:type="dxa"/>
            <w:tcBorders>
              <w:top w:val="single" w:sz="4" w:space="0" w:color="auto"/>
              <w:left w:val="single" w:sz="4" w:space="0" w:color="auto"/>
            </w:tcBorders>
            <w:shd w:val="clear" w:color="auto" w:fill="auto"/>
            <w:vAlign w:val="center"/>
          </w:tcPr>
          <w:p w:rsidR="00D6562C" w:rsidRPr="00D6562C" w:rsidRDefault="00D6562C" w:rsidP="00D6562C">
            <w:pPr>
              <w:rPr>
                <w:rFonts w:eastAsia="MS Mincho"/>
                <w:sz w:val="18"/>
                <w:szCs w:val="18"/>
                <w:lang w:eastAsia="ja-JP"/>
              </w:rPr>
            </w:pPr>
            <w:r w:rsidRPr="00D6562C">
              <w:rPr>
                <w:rFonts w:eastAsia="MS Mincho"/>
                <w:sz w:val="18"/>
                <w:szCs w:val="18"/>
                <w:lang w:eastAsia="ja-JP"/>
              </w:rPr>
              <w:t>As a Requests for the Recording of a Change</w:t>
            </w:r>
          </w:p>
        </w:tc>
        <w:tc>
          <w:tcPr>
            <w:tcW w:w="3342" w:type="dxa"/>
            <w:shd w:val="clear" w:color="auto" w:fill="auto"/>
            <w:vAlign w:val="center"/>
          </w:tcPr>
          <w:p w:rsidR="00D6562C" w:rsidRPr="00D6562C" w:rsidRDefault="00D6562C" w:rsidP="00D6562C">
            <w:pPr>
              <w:jc w:val="center"/>
              <w:rPr>
                <w:rFonts w:eastAsia="Calibri"/>
                <w:color w:val="000000"/>
                <w:sz w:val="18"/>
                <w:szCs w:val="18"/>
              </w:rPr>
            </w:pPr>
            <w:r w:rsidRPr="00D6562C">
              <w:rPr>
                <w:color w:val="000000"/>
                <w:sz w:val="18"/>
                <w:szCs w:val="18"/>
              </w:rPr>
              <w:t>2,915</w:t>
            </w:r>
          </w:p>
        </w:tc>
        <w:tc>
          <w:tcPr>
            <w:tcW w:w="3342" w:type="dxa"/>
            <w:shd w:val="clear" w:color="auto" w:fill="auto"/>
            <w:vAlign w:val="center"/>
          </w:tcPr>
          <w:p w:rsidR="00D6562C" w:rsidRPr="00D6562C" w:rsidRDefault="00D6562C" w:rsidP="00D6562C">
            <w:pPr>
              <w:jc w:val="center"/>
              <w:rPr>
                <w:rFonts w:eastAsia="Calibri"/>
                <w:color w:val="000000"/>
                <w:sz w:val="18"/>
                <w:szCs w:val="18"/>
              </w:rPr>
            </w:pPr>
            <w:r w:rsidRPr="00D6562C">
              <w:rPr>
                <w:color w:val="000000"/>
                <w:sz w:val="18"/>
                <w:szCs w:val="18"/>
              </w:rPr>
              <w:t>4,389</w:t>
            </w:r>
          </w:p>
        </w:tc>
      </w:tr>
      <w:tr w:rsidR="00D6562C" w:rsidTr="00D6562C">
        <w:trPr>
          <w:trHeight w:val="510"/>
          <w:jc w:val="center"/>
        </w:trPr>
        <w:tc>
          <w:tcPr>
            <w:tcW w:w="2677" w:type="dxa"/>
            <w:tcBorders>
              <w:top w:val="single" w:sz="4" w:space="0" w:color="auto"/>
              <w:left w:val="single" w:sz="4" w:space="0" w:color="auto"/>
            </w:tcBorders>
            <w:shd w:val="clear" w:color="auto" w:fill="auto"/>
            <w:vAlign w:val="center"/>
          </w:tcPr>
          <w:p w:rsidR="00D6562C" w:rsidRPr="00D6562C" w:rsidRDefault="00D6562C" w:rsidP="00D6562C">
            <w:pPr>
              <w:rPr>
                <w:rFonts w:eastAsia="MS Mincho"/>
                <w:sz w:val="18"/>
                <w:szCs w:val="18"/>
                <w:lang w:eastAsia="ja-JP"/>
              </w:rPr>
            </w:pPr>
            <w:r w:rsidRPr="00D6562C">
              <w:rPr>
                <w:rFonts w:eastAsia="MS Mincho"/>
                <w:sz w:val="18"/>
                <w:szCs w:val="18"/>
                <w:lang w:eastAsia="ja-JP"/>
              </w:rPr>
              <w:t>Total</w:t>
            </w:r>
          </w:p>
        </w:tc>
        <w:tc>
          <w:tcPr>
            <w:tcW w:w="3342" w:type="dxa"/>
            <w:shd w:val="clear" w:color="auto" w:fill="auto"/>
            <w:vAlign w:val="center"/>
          </w:tcPr>
          <w:p w:rsidR="00D6562C" w:rsidRPr="00D6562C" w:rsidRDefault="00D6562C" w:rsidP="00D6562C">
            <w:pPr>
              <w:jc w:val="center"/>
              <w:rPr>
                <w:color w:val="000000"/>
                <w:sz w:val="18"/>
                <w:szCs w:val="18"/>
              </w:rPr>
            </w:pPr>
            <w:r w:rsidRPr="00D6562C">
              <w:rPr>
                <w:color w:val="000000"/>
                <w:sz w:val="18"/>
                <w:szCs w:val="18"/>
              </w:rPr>
              <w:t>7,195</w:t>
            </w:r>
          </w:p>
        </w:tc>
        <w:tc>
          <w:tcPr>
            <w:tcW w:w="3342" w:type="dxa"/>
            <w:shd w:val="clear" w:color="auto" w:fill="auto"/>
            <w:vAlign w:val="center"/>
          </w:tcPr>
          <w:p w:rsidR="00D6562C" w:rsidRPr="00D6562C" w:rsidRDefault="00D6562C" w:rsidP="00D6562C">
            <w:pPr>
              <w:jc w:val="center"/>
              <w:rPr>
                <w:color w:val="000000"/>
                <w:sz w:val="18"/>
                <w:szCs w:val="18"/>
              </w:rPr>
            </w:pPr>
            <w:r w:rsidRPr="00D6562C">
              <w:rPr>
                <w:color w:val="000000"/>
                <w:sz w:val="18"/>
                <w:szCs w:val="18"/>
              </w:rPr>
              <w:t>14,123</w:t>
            </w:r>
          </w:p>
        </w:tc>
      </w:tr>
    </w:tbl>
    <w:p w:rsidR="00DE1E0B" w:rsidRDefault="00DE1E0B" w:rsidP="00DE1E0B"/>
    <w:p w:rsidR="00DE1E0B" w:rsidRDefault="00DE1E0B" w:rsidP="00D6562C">
      <w:pPr>
        <w:pStyle w:val="Heading1"/>
        <w:keepLines/>
      </w:pPr>
      <w:r>
        <w:t>DEPLOYMENT OF A NEW INFORMATION TECHNOLOGY BASED TRANSLATION PROCESS BY THE INTERNATIONAL BUREAU</w:t>
      </w:r>
    </w:p>
    <w:p w:rsidR="00DE1E0B" w:rsidRDefault="00DE1E0B" w:rsidP="00D6562C">
      <w:pPr>
        <w:keepNext/>
        <w:keepLines/>
      </w:pPr>
    </w:p>
    <w:p w:rsidR="00DE1E0B" w:rsidRDefault="00D6562C" w:rsidP="00D6562C">
      <w:pPr>
        <w:keepNext/>
        <w:keepLines/>
      </w:pPr>
      <w:r>
        <w:fldChar w:fldCharType="begin"/>
      </w:r>
      <w:r>
        <w:instrText xml:space="preserve"> AUTONUM  </w:instrText>
      </w:r>
      <w:r>
        <w:fldChar w:fldCharType="end"/>
      </w:r>
      <w:r>
        <w:tab/>
      </w:r>
      <w:r w:rsidR="00DE1E0B">
        <w:t>Starting in</w:t>
      </w:r>
      <w:r>
        <w:t> </w:t>
      </w:r>
      <w:r w:rsidR="00DE1E0B">
        <w:t>2012, to ensure consistency and quality in the tran</w:t>
      </w:r>
      <w:r>
        <w:t>slation output as well as a pre</w:t>
      </w:r>
      <w:r>
        <w:noBreakHyphen/>
      </w:r>
      <w:r w:rsidR="00DE1E0B">
        <w:t xml:space="preserve">emptive move to manage a foreseeable increase in translation workload, the International Bureau elected to deploy SDL </w:t>
      </w:r>
      <w:proofErr w:type="spellStart"/>
      <w:r w:rsidR="00DE1E0B">
        <w:t>WorldServer</w:t>
      </w:r>
      <w:proofErr w:type="spellEnd"/>
      <w:r w:rsidR="00DE1E0B">
        <w:t xml:space="preserve"> (WS) as its translation management system (TMS) of choice for Madrid, Hague and PCT procedures.  WS automates translations tasks based on an ever growing internal database of translation precedents and carefully vetted terms.  </w:t>
      </w:r>
      <w:r>
        <w:t>T</w:t>
      </w:r>
      <w:r w:rsidR="00DE1E0B">
        <w:t>he</w:t>
      </w:r>
      <w:r>
        <w:t xml:space="preserve"> </w:t>
      </w:r>
      <w:r w:rsidR="00DE1E0B">
        <w:t xml:space="preserve">decision to adopt WS was made after completing a thorough audit of potentially suitable TMS technologies and its deployment was undertaken within the IT Modernization Program.  </w:t>
      </w:r>
    </w:p>
    <w:p w:rsidR="00D6562C" w:rsidRDefault="00D6562C" w:rsidP="00D6562C">
      <w:pPr>
        <w:keepNext/>
        <w:keepLines/>
      </w:pPr>
    </w:p>
    <w:p w:rsidR="00DE1E0B" w:rsidRDefault="00D6562C" w:rsidP="00D6562C">
      <w:pPr>
        <w:keepNext/>
        <w:keepLines/>
      </w:pPr>
      <w:r w:rsidRPr="007275F8">
        <w:fldChar w:fldCharType="begin"/>
      </w:r>
      <w:r w:rsidRPr="007275F8">
        <w:instrText xml:space="preserve"> AUTONUM  </w:instrText>
      </w:r>
      <w:r w:rsidRPr="007275F8">
        <w:fldChar w:fldCharType="end"/>
      </w:r>
      <w:r w:rsidRPr="007275F8">
        <w:tab/>
      </w:r>
      <w:r w:rsidR="00DE1E0B" w:rsidRPr="007275F8">
        <w:t>As it was previously indicated, the number of words translated by the International Bureau increased by 77</w:t>
      </w:r>
      <w:r w:rsidRPr="007275F8">
        <w:t>%</w:t>
      </w:r>
      <w:r w:rsidR="00DE1E0B" w:rsidRPr="007275F8">
        <w:t xml:space="preserve"> between</w:t>
      </w:r>
      <w:r w:rsidRPr="007275F8">
        <w:t> </w:t>
      </w:r>
      <w:r w:rsidR="00DE1E0B" w:rsidRPr="007275F8">
        <w:t>2012 and</w:t>
      </w:r>
      <w:r w:rsidRPr="007275F8">
        <w:t> </w:t>
      </w:r>
      <w:r w:rsidR="00DE1E0B" w:rsidRPr="007275F8">
        <w:t>2014.  The International Bureau has been able to manage this increase th</w:t>
      </w:r>
      <w:r w:rsidRPr="007275F8">
        <w:t>rough the deployment of WS.  In </w:t>
      </w:r>
      <w:r w:rsidR="00DE1E0B" w:rsidRPr="007275F8">
        <w:t>2011, almost 26</w:t>
      </w:r>
      <w:r w:rsidRPr="007275F8">
        <w:t>%</w:t>
      </w:r>
      <w:r w:rsidR="00DE1E0B" w:rsidRPr="007275F8">
        <w:t xml:space="preserve"> of all translations were performed automatically.  In</w:t>
      </w:r>
      <w:r w:rsidRPr="007275F8">
        <w:t> </w:t>
      </w:r>
      <w:r w:rsidR="00DE1E0B" w:rsidRPr="007275F8">
        <w:t>2014, the percentage of translations that were performed automatically by using WS, without human intervention, had increased to more than 66</w:t>
      </w:r>
      <w:r w:rsidRPr="007275F8">
        <w:t>%</w:t>
      </w:r>
      <w:r w:rsidR="00DE1E0B" w:rsidRPr="007275F8">
        <w:t xml:space="preserve"> (see</w:t>
      </w:r>
      <w:r w:rsidRPr="007275F8">
        <w:t> </w:t>
      </w:r>
      <w:r w:rsidR="00DE1E0B" w:rsidRPr="007275F8">
        <w:t>Table</w:t>
      </w:r>
      <w:r w:rsidRPr="007275F8">
        <w:t> VI).</w:t>
      </w:r>
      <w:r>
        <w:t xml:space="preserve">  </w:t>
      </w:r>
    </w:p>
    <w:p w:rsidR="00DE1E0B" w:rsidRDefault="00DE1E0B" w:rsidP="00EA442A">
      <w:pPr>
        <w:pStyle w:val="Heading4"/>
      </w:pPr>
      <w:r>
        <w:t>Table</w:t>
      </w:r>
      <w:r w:rsidR="007275F8">
        <w:t> </w:t>
      </w:r>
      <w:r>
        <w:t>V</w:t>
      </w:r>
      <w:r w:rsidR="007275F8">
        <w:t>I</w:t>
      </w:r>
      <w:r>
        <w:t xml:space="preserve">: </w:t>
      </w:r>
      <w:r w:rsidR="00EA442A">
        <w:t xml:space="preserve"> Translated Words per Means of Translation and Target L</w:t>
      </w:r>
      <w:r>
        <w:t>anguage in 2014</w:t>
      </w:r>
    </w:p>
    <w:p w:rsidR="00DE1E0B" w:rsidRDefault="00DE1E0B" w:rsidP="00DE1E0B"/>
    <w:tbl>
      <w:tblPr>
        <w:tblW w:w="9457" w:type="dxa"/>
        <w:jc w:val="center"/>
        <w:tblBorders>
          <w:bottom w:val="single" w:sz="4" w:space="0" w:color="auto"/>
          <w:right w:val="single" w:sz="4" w:space="0" w:color="auto"/>
          <w:insideH w:val="single" w:sz="4" w:space="0" w:color="auto"/>
          <w:insideV w:val="single" w:sz="4" w:space="0" w:color="auto"/>
        </w:tblBorders>
        <w:tblCellMar>
          <w:left w:w="51" w:type="dxa"/>
          <w:right w:w="51" w:type="dxa"/>
        </w:tblCellMar>
        <w:tblLook w:val="0000" w:firstRow="0" w:lastRow="0" w:firstColumn="0" w:lastColumn="0" w:noHBand="0" w:noVBand="0"/>
      </w:tblPr>
      <w:tblGrid>
        <w:gridCol w:w="1229"/>
        <w:gridCol w:w="934"/>
        <w:gridCol w:w="1031"/>
        <w:gridCol w:w="1082"/>
        <w:gridCol w:w="1032"/>
        <w:gridCol w:w="1082"/>
        <w:gridCol w:w="1032"/>
        <w:gridCol w:w="1012"/>
        <w:gridCol w:w="1023"/>
      </w:tblGrid>
      <w:tr w:rsidR="00EA442A" w:rsidRPr="00EA442A" w:rsidTr="007275F8">
        <w:trPr>
          <w:trHeight w:val="252"/>
          <w:jc w:val="center"/>
        </w:trPr>
        <w:tc>
          <w:tcPr>
            <w:tcW w:w="1229" w:type="dxa"/>
            <w:tcBorders>
              <w:bottom w:val="single" w:sz="4" w:space="0" w:color="auto"/>
            </w:tcBorders>
            <w:shd w:val="clear" w:color="auto" w:fill="auto"/>
            <w:noWrap/>
            <w:vAlign w:val="center"/>
          </w:tcPr>
          <w:p w:rsidR="00EA442A" w:rsidRPr="00EA442A" w:rsidRDefault="00EA442A" w:rsidP="007275F8">
            <w:pPr>
              <w:rPr>
                <w:rFonts w:eastAsia="MS Mincho"/>
                <w:sz w:val="18"/>
                <w:szCs w:val="18"/>
                <w:lang w:eastAsia="ja-JP"/>
              </w:rPr>
            </w:pPr>
          </w:p>
        </w:tc>
        <w:tc>
          <w:tcPr>
            <w:tcW w:w="934" w:type="dxa"/>
            <w:tcBorders>
              <w:top w:val="single" w:sz="4" w:space="0" w:color="auto"/>
            </w:tcBorders>
            <w:shd w:val="clear" w:color="auto" w:fill="auto"/>
            <w:noWrap/>
            <w:vAlign w:val="center"/>
          </w:tcPr>
          <w:p w:rsidR="00EA442A" w:rsidRPr="00EA442A" w:rsidRDefault="00EA442A" w:rsidP="007275F8">
            <w:pPr>
              <w:jc w:val="center"/>
              <w:rPr>
                <w:rFonts w:eastAsia="MS Mincho"/>
                <w:sz w:val="18"/>
                <w:szCs w:val="18"/>
                <w:lang w:eastAsia="ja-JP"/>
              </w:rPr>
            </w:pPr>
            <w:r w:rsidRPr="00EA442A">
              <w:rPr>
                <w:rFonts w:eastAsia="MS Mincho"/>
                <w:color w:val="000000"/>
                <w:sz w:val="18"/>
                <w:szCs w:val="18"/>
                <w:lang w:eastAsia="ja-JP"/>
              </w:rPr>
              <w:t>English</w:t>
            </w:r>
          </w:p>
        </w:tc>
        <w:tc>
          <w:tcPr>
            <w:tcW w:w="1031" w:type="dxa"/>
            <w:tcBorders>
              <w:top w:val="single" w:sz="4" w:space="0" w:color="auto"/>
            </w:tcBorders>
            <w:shd w:val="clear" w:color="auto" w:fill="auto"/>
            <w:noWrap/>
            <w:vAlign w:val="center"/>
          </w:tcPr>
          <w:p w:rsidR="00EA442A" w:rsidRPr="00EA442A" w:rsidRDefault="00EA442A" w:rsidP="007275F8">
            <w:pPr>
              <w:jc w:val="center"/>
              <w:rPr>
                <w:rFonts w:eastAsia="MS Mincho"/>
                <w:sz w:val="18"/>
                <w:szCs w:val="18"/>
                <w:lang w:eastAsia="ja-JP"/>
              </w:rPr>
            </w:pPr>
            <w:r>
              <w:rPr>
                <w:rFonts w:eastAsia="MS Mincho"/>
                <w:color w:val="000000"/>
                <w:sz w:val="18"/>
                <w:szCs w:val="18"/>
                <w:lang w:eastAsia="ja-JP"/>
              </w:rPr>
              <w:t>Percentage</w:t>
            </w:r>
          </w:p>
        </w:tc>
        <w:tc>
          <w:tcPr>
            <w:tcW w:w="1082" w:type="dxa"/>
            <w:tcBorders>
              <w:top w:val="single" w:sz="4" w:space="0" w:color="auto"/>
            </w:tcBorders>
            <w:shd w:val="clear" w:color="auto" w:fill="auto"/>
            <w:noWrap/>
            <w:vAlign w:val="center"/>
          </w:tcPr>
          <w:p w:rsidR="00EA442A" w:rsidRPr="00EA442A" w:rsidRDefault="00EA442A" w:rsidP="007275F8">
            <w:pPr>
              <w:jc w:val="center"/>
              <w:rPr>
                <w:rFonts w:eastAsia="MS Mincho"/>
                <w:sz w:val="18"/>
                <w:szCs w:val="18"/>
                <w:lang w:eastAsia="ja-JP"/>
              </w:rPr>
            </w:pPr>
            <w:r w:rsidRPr="00EA442A">
              <w:rPr>
                <w:rFonts w:eastAsia="MS Mincho"/>
                <w:color w:val="000000"/>
                <w:sz w:val="18"/>
                <w:szCs w:val="18"/>
                <w:lang w:eastAsia="ja-JP"/>
              </w:rPr>
              <w:t>French</w:t>
            </w:r>
          </w:p>
        </w:tc>
        <w:tc>
          <w:tcPr>
            <w:tcW w:w="1032" w:type="dxa"/>
            <w:tcBorders>
              <w:top w:val="single" w:sz="4" w:space="0" w:color="auto"/>
            </w:tcBorders>
            <w:shd w:val="clear" w:color="auto" w:fill="auto"/>
            <w:noWrap/>
            <w:vAlign w:val="center"/>
          </w:tcPr>
          <w:p w:rsidR="00EA442A" w:rsidRPr="00EA442A" w:rsidRDefault="00EA442A" w:rsidP="007275F8">
            <w:pPr>
              <w:jc w:val="center"/>
              <w:rPr>
                <w:rFonts w:eastAsia="MS Mincho"/>
                <w:sz w:val="18"/>
                <w:szCs w:val="18"/>
                <w:lang w:eastAsia="ja-JP"/>
              </w:rPr>
            </w:pPr>
            <w:r>
              <w:rPr>
                <w:rFonts w:eastAsia="MS Mincho"/>
                <w:color w:val="000000"/>
                <w:sz w:val="18"/>
                <w:szCs w:val="18"/>
                <w:lang w:eastAsia="ja-JP"/>
              </w:rPr>
              <w:t>Percentage</w:t>
            </w:r>
          </w:p>
        </w:tc>
        <w:tc>
          <w:tcPr>
            <w:tcW w:w="1082" w:type="dxa"/>
            <w:tcBorders>
              <w:top w:val="single" w:sz="4" w:space="0" w:color="auto"/>
            </w:tcBorders>
            <w:shd w:val="clear" w:color="auto" w:fill="auto"/>
            <w:noWrap/>
            <w:vAlign w:val="center"/>
          </w:tcPr>
          <w:p w:rsidR="00EA442A" w:rsidRPr="00EA442A" w:rsidRDefault="00EA442A" w:rsidP="007275F8">
            <w:pPr>
              <w:jc w:val="center"/>
              <w:rPr>
                <w:rFonts w:eastAsia="MS Mincho"/>
                <w:sz w:val="18"/>
                <w:szCs w:val="18"/>
                <w:lang w:eastAsia="ja-JP"/>
              </w:rPr>
            </w:pPr>
            <w:r w:rsidRPr="00EA442A">
              <w:rPr>
                <w:rFonts w:eastAsia="MS Mincho"/>
                <w:color w:val="000000"/>
                <w:sz w:val="18"/>
                <w:szCs w:val="18"/>
                <w:lang w:eastAsia="ja-JP"/>
              </w:rPr>
              <w:t>Spanish</w:t>
            </w:r>
          </w:p>
        </w:tc>
        <w:tc>
          <w:tcPr>
            <w:tcW w:w="1032" w:type="dxa"/>
            <w:tcBorders>
              <w:top w:val="single" w:sz="4" w:space="0" w:color="auto"/>
            </w:tcBorders>
            <w:shd w:val="clear" w:color="auto" w:fill="auto"/>
            <w:noWrap/>
            <w:vAlign w:val="center"/>
          </w:tcPr>
          <w:p w:rsidR="00EA442A" w:rsidRPr="00EA442A" w:rsidRDefault="00EA442A" w:rsidP="007275F8">
            <w:pPr>
              <w:jc w:val="center"/>
              <w:rPr>
                <w:rFonts w:eastAsia="MS Mincho"/>
                <w:sz w:val="18"/>
                <w:szCs w:val="18"/>
                <w:lang w:eastAsia="ja-JP"/>
              </w:rPr>
            </w:pPr>
            <w:r>
              <w:rPr>
                <w:rFonts w:eastAsia="MS Mincho"/>
                <w:color w:val="000000"/>
                <w:sz w:val="18"/>
                <w:szCs w:val="18"/>
                <w:lang w:eastAsia="ja-JP"/>
              </w:rPr>
              <w:t>Percentage</w:t>
            </w:r>
          </w:p>
        </w:tc>
        <w:tc>
          <w:tcPr>
            <w:tcW w:w="1012" w:type="dxa"/>
            <w:tcBorders>
              <w:top w:val="single" w:sz="4" w:space="0" w:color="auto"/>
            </w:tcBorders>
            <w:shd w:val="clear" w:color="auto" w:fill="auto"/>
            <w:noWrap/>
            <w:vAlign w:val="center"/>
          </w:tcPr>
          <w:p w:rsidR="00EA442A" w:rsidRPr="00EA442A" w:rsidRDefault="00EA442A" w:rsidP="007275F8">
            <w:pPr>
              <w:jc w:val="center"/>
              <w:rPr>
                <w:rFonts w:eastAsia="MS Mincho"/>
                <w:sz w:val="18"/>
                <w:szCs w:val="18"/>
                <w:lang w:eastAsia="ja-JP"/>
              </w:rPr>
            </w:pPr>
            <w:r w:rsidRPr="00EA442A">
              <w:rPr>
                <w:rFonts w:eastAsia="MS Mincho"/>
                <w:color w:val="000000"/>
                <w:sz w:val="18"/>
                <w:szCs w:val="18"/>
                <w:lang w:eastAsia="ja-JP"/>
              </w:rPr>
              <w:t>Total</w:t>
            </w:r>
          </w:p>
        </w:tc>
        <w:tc>
          <w:tcPr>
            <w:tcW w:w="1023" w:type="dxa"/>
            <w:tcBorders>
              <w:top w:val="single" w:sz="4" w:space="0" w:color="auto"/>
            </w:tcBorders>
            <w:shd w:val="clear" w:color="auto" w:fill="auto"/>
            <w:noWrap/>
            <w:vAlign w:val="center"/>
          </w:tcPr>
          <w:p w:rsidR="00EA442A" w:rsidRPr="00EA442A" w:rsidRDefault="00EA442A" w:rsidP="007275F8">
            <w:pPr>
              <w:jc w:val="center"/>
              <w:rPr>
                <w:rFonts w:eastAsia="MS Mincho"/>
                <w:sz w:val="18"/>
                <w:szCs w:val="18"/>
                <w:lang w:eastAsia="ja-JP"/>
              </w:rPr>
            </w:pPr>
            <w:r>
              <w:rPr>
                <w:rFonts w:eastAsia="MS Mincho"/>
                <w:color w:val="000000"/>
                <w:sz w:val="18"/>
                <w:szCs w:val="18"/>
                <w:lang w:eastAsia="ja-JP"/>
              </w:rPr>
              <w:t>Percentage</w:t>
            </w:r>
          </w:p>
        </w:tc>
      </w:tr>
      <w:tr w:rsidR="00EA442A" w:rsidRPr="00EA442A" w:rsidTr="007275F8">
        <w:trPr>
          <w:trHeight w:val="252"/>
          <w:jc w:val="center"/>
        </w:trPr>
        <w:tc>
          <w:tcPr>
            <w:tcW w:w="1229" w:type="dxa"/>
            <w:tcBorders>
              <w:top w:val="single" w:sz="4" w:space="0" w:color="auto"/>
              <w:left w:val="single" w:sz="4" w:space="0" w:color="auto"/>
            </w:tcBorders>
            <w:shd w:val="clear" w:color="auto" w:fill="auto"/>
            <w:noWrap/>
            <w:vAlign w:val="center"/>
          </w:tcPr>
          <w:p w:rsidR="00EA442A" w:rsidRPr="00EA442A" w:rsidRDefault="00EA442A" w:rsidP="007275F8">
            <w:pPr>
              <w:rPr>
                <w:rFonts w:eastAsia="MS Mincho"/>
                <w:sz w:val="18"/>
                <w:szCs w:val="18"/>
                <w:lang w:eastAsia="ja-JP"/>
              </w:rPr>
            </w:pPr>
            <w:r w:rsidRPr="00EA442A">
              <w:rPr>
                <w:rFonts w:eastAsia="MS Mincho"/>
                <w:sz w:val="18"/>
                <w:szCs w:val="18"/>
                <w:lang w:eastAsia="ja-JP"/>
              </w:rPr>
              <w:t>Outsourced</w:t>
            </w:r>
          </w:p>
        </w:tc>
        <w:tc>
          <w:tcPr>
            <w:tcW w:w="934"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523,100</w:t>
            </w:r>
          </w:p>
        </w:tc>
        <w:tc>
          <w:tcPr>
            <w:tcW w:w="1031"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19.30%</w:t>
            </w:r>
          </w:p>
        </w:tc>
        <w:tc>
          <w:tcPr>
            <w:tcW w:w="108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3,359,920</w:t>
            </w:r>
          </w:p>
        </w:tc>
        <w:tc>
          <w:tcPr>
            <w:tcW w:w="103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28%</w:t>
            </w:r>
          </w:p>
        </w:tc>
        <w:tc>
          <w:tcPr>
            <w:tcW w:w="108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1,499,247</w:t>
            </w:r>
          </w:p>
        </w:tc>
        <w:tc>
          <w:tcPr>
            <w:tcW w:w="103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12.60%</w:t>
            </w:r>
          </w:p>
        </w:tc>
        <w:tc>
          <w:tcPr>
            <w:tcW w:w="101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5,382,267</w:t>
            </w:r>
          </w:p>
        </w:tc>
        <w:tc>
          <w:tcPr>
            <w:tcW w:w="1023"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20%</w:t>
            </w:r>
          </w:p>
        </w:tc>
      </w:tr>
      <w:tr w:rsidR="00EA442A" w:rsidRPr="00EA442A" w:rsidTr="007275F8">
        <w:trPr>
          <w:trHeight w:val="252"/>
          <w:jc w:val="center"/>
        </w:trPr>
        <w:tc>
          <w:tcPr>
            <w:tcW w:w="1229" w:type="dxa"/>
            <w:tcBorders>
              <w:top w:val="single" w:sz="4" w:space="0" w:color="auto"/>
              <w:left w:val="single" w:sz="4" w:space="0" w:color="auto"/>
            </w:tcBorders>
            <w:shd w:val="clear" w:color="auto" w:fill="auto"/>
            <w:noWrap/>
            <w:vAlign w:val="center"/>
          </w:tcPr>
          <w:p w:rsidR="00EA442A" w:rsidRPr="00EA442A" w:rsidRDefault="00EA442A" w:rsidP="007275F8">
            <w:pPr>
              <w:rPr>
                <w:rFonts w:eastAsia="MS Mincho"/>
                <w:sz w:val="18"/>
                <w:szCs w:val="18"/>
                <w:lang w:eastAsia="ja-JP"/>
              </w:rPr>
            </w:pPr>
            <w:r w:rsidRPr="00EA442A">
              <w:rPr>
                <w:rFonts w:eastAsia="MS Mincho"/>
                <w:sz w:val="18"/>
                <w:szCs w:val="18"/>
                <w:lang w:eastAsia="ja-JP"/>
              </w:rPr>
              <w:t>Automatically</w:t>
            </w:r>
          </w:p>
        </w:tc>
        <w:tc>
          <w:tcPr>
            <w:tcW w:w="934"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1,761,736</w:t>
            </w:r>
          </w:p>
        </w:tc>
        <w:tc>
          <w:tcPr>
            <w:tcW w:w="1031"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65%</w:t>
            </w:r>
          </w:p>
        </w:tc>
        <w:tc>
          <w:tcPr>
            <w:tcW w:w="108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7,883,812</w:t>
            </w:r>
          </w:p>
        </w:tc>
        <w:tc>
          <w:tcPr>
            <w:tcW w:w="103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65.70%</w:t>
            </w:r>
          </w:p>
        </w:tc>
        <w:tc>
          <w:tcPr>
            <w:tcW w:w="108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8,031,678</w:t>
            </w:r>
          </w:p>
        </w:tc>
        <w:tc>
          <w:tcPr>
            <w:tcW w:w="103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67.50%</w:t>
            </w:r>
          </w:p>
        </w:tc>
        <w:tc>
          <w:tcPr>
            <w:tcW w:w="101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17,677,226</w:t>
            </w:r>
          </w:p>
        </w:tc>
        <w:tc>
          <w:tcPr>
            <w:tcW w:w="1023"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66.50%</w:t>
            </w:r>
          </w:p>
        </w:tc>
      </w:tr>
      <w:tr w:rsidR="00EA442A" w:rsidRPr="00EA442A" w:rsidTr="007275F8">
        <w:trPr>
          <w:trHeight w:val="252"/>
          <w:jc w:val="center"/>
        </w:trPr>
        <w:tc>
          <w:tcPr>
            <w:tcW w:w="1229" w:type="dxa"/>
            <w:tcBorders>
              <w:top w:val="single" w:sz="4" w:space="0" w:color="auto"/>
              <w:left w:val="single" w:sz="4" w:space="0" w:color="auto"/>
            </w:tcBorders>
            <w:shd w:val="clear" w:color="auto" w:fill="auto"/>
            <w:noWrap/>
            <w:vAlign w:val="center"/>
          </w:tcPr>
          <w:p w:rsidR="00EA442A" w:rsidRPr="00EA442A" w:rsidRDefault="00EA442A" w:rsidP="007275F8">
            <w:pPr>
              <w:rPr>
                <w:rFonts w:eastAsia="MS Mincho"/>
                <w:sz w:val="18"/>
                <w:szCs w:val="18"/>
                <w:lang w:eastAsia="ja-JP"/>
              </w:rPr>
            </w:pPr>
            <w:r w:rsidRPr="00EA442A">
              <w:rPr>
                <w:rFonts w:eastAsia="MS Mincho"/>
                <w:sz w:val="18"/>
                <w:szCs w:val="18"/>
                <w:lang w:eastAsia="ja-JP"/>
              </w:rPr>
              <w:t>Internally</w:t>
            </w:r>
          </w:p>
        </w:tc>
        <w:tc>
          <w:tcPr>
            <w:tcW w:w="934"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425,527</w:t>
            </w:r>
          </w:p>
        </w:tc>
        <w:tc>
          <w:tcPr>
            <w:tcW w:w="1031"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15.70%</w:t>
            </w:r>
          </w:p>
        </w:tc>
        <w:tc>
          <w:tcPr>
            <w:tcW w:w="108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755,982</w:t>
            </w:r>
          </w:p>
        </w:tc>
        <w:tc>
          <w:tcPr>
            <w:tcW w:w="103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6.30%</w:t>
            </w:r>
          </w:p>
        </w:tc>
        <w:tc>
          <w:tcPr>
            <w:tcW w:w="108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2,367,858</w:t>
            </w:r>
          </w:p>
        </w:tc>
        <w:tc>
          <w:tcPr>
            <w:tcW w:w="103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19.90%</w:t>
            </w:r>
          </w:p>
        </w:tc>
        <w:tc>
          <w:tcPr>
            <w:tcW w:w="101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3,549,367</w:t>
            </w:r>
          </w:p>
        </w:tc>
        <w:tc>
          <w:tcPr>
            <w:tcW w:w="1023"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13.50%</w:t>
            </w:r>
          </w:p>
        </w:tc>
      </w:tr>
      <w:tr w:rsidR="00EA442A" w:rsidRPr="00EA442A" w:rsidTr="007275F8">
        <w:trPr>
          <w:trHeight w:val="252"/>
          <w:jc w:val="center"/>
        </w:trPr>
        <w:tc>
          <w:tcPr>
            <w:tcW w:w="1229" w:type="dxa"/>
            <w:tcBorders>
              <w:top w:val="single" w:sz="4" w:space="0" w:color="auto"/>
              <w:left w:val="single" w:sz="4" w:space="0" w:color="auto"/>
            </w:tcBorders>
            <w:shd w:val="clear" w:color="auto" w:fill="auto"/>
            <w:noWrap/>
            <w:vAlign w:val="center"/>
          </w:tcPr>
          <w:p w:rsidR="00EA442A" w:rsidRPr="00EA442A" w:rsidRDefault="00EA442A" w:rsidP="007275F8">
            <w:pPr>
              <w:rPr>
                <w:rFonts w:eastAsia="MS Mincho"/>
                <w:sz w:val="18"/>
                <w:szCs w:val="18"/>
                <w:lang w:eastAsia="ja-JP"/>
              </w:rPr>
            </w:pPr>
            <w:r w:rsidRPr="00EA442A">
              <w:rPr>
                <w:rFonts w:eastAsia="MS Mincho"/>
                <w:sz w:val="18"/>
                <w:szCs w:val="18"/>
                <w:lang w:eastAsia="ja-JP"/>
              </w:rPr>
              <w:t>Total</w:t>
            </w:r>
          </w:p>
        </w:tc>
        <w:tc>
          <w:tcPr>
            <w:tcW w:w="934"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2,710,363</w:t>
            </w:r>
          </w:p>
        </w:tc>
        <w:tc>
          <w:tcPr>
            <w:tcW w:w="1031" w:type="dxa"/>
            <w:shd w:val="clear" w:color="auto" w:fill="auto"/>
            <w:noWrap/>
            <w:vAlign w:val="center"/>
          </w:tcPr>
          <w:p w:rsidR="00EA442A" w:rsidRPr="00EA442A" w:rsidRDefault="00EA442A" w:rsidP="007275F8">
            <w:pPr>
              <w:jc w:val="center"/>
              <w:rPr>
                <w:rFonts w:eastAsia="MS Mincho"/>
                <w:sz w:val="18"/>
                <w:szCs w:val="18"/>
                <w:lang w:eastAsia="ja-JP"/>
              </w:rPr>
            </w:pPr>
            <w:r>
              <w:rPr>
                <w:color w:val="000000"/>
                <w:sz w:val="18"/>
                <w:szCs w:val="18"/>
              </w:rPr>
              <w:t>100%</w:t>
            </w:r>
          </w:p>
        </w:tc>
        <w:tc>
          <w:tcPr>
            <w:tcW w:w="108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11,999,714</w:t>
            </w:r>
          </w:p>
        </w:tc>
        <w:tc>
          <w:tcPr>
            <w:tcW w:w="1032" w:type="dxa"/>
            <w:shd w:val="clear" w:color="auto" w:fill="auto"/>
            <w:noWrap/>
            <w:vAlign w:val="center"/>
          </w:tcPr>
          <w:p w:rsidR="00EA442A" w:rsidRPr="00EA442A" w:rsidRDefault="00EA442A" w:rsidP="007275F8">
            <w:pPr>
              <w:jc w:val="center"/>
              <w:rPr>
                <w:rFonts w:eastAsia="MS Mincho"/>
                <w:sz w:val="18"/>
                <w:szCs w:val="18"/>
                <w:lang w:eastAsia="ja-JP"/>
              </w:rPr>
            </w:pPr>
            <w:r>
              <w:rPr>
                <w:color w:val="000000"/>
                <w:sz w:val="18"/>
                <w:szCs w:val="18"/>
              </w:rPr>
              <w:t>100%</w:t>
            </w:r>
          </w:p>
        </w:tc>
        <w:tc>
          <w:tcPr>
            <w:tcW w:w="108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11,898,782</w:t>
            </w:r>
          </w:p>
        </w:tc>
        <w:tc>
          <w:tcPr>
            <w:tcW w:w="1032" w:type="dxa"/>
            <w:shd w:val="clear" w:color="auto" w:fill="auto"/>
            <w:noWrap/>
            <w:vAlign w:val="center"/>
          </w:tcPr>
          <w:p w:rsidR="00EA442A" w:rsidRPr="00EA442A" w:rsidRDefault="00EA442A" w:rsidP="007275F8">
            <w:pPr>
              <w:jc w:val="center"/>
              <w:rPr>
                <w:rFonts w:eastAsia="MS Mincho"/>
                <w:sz w:val="18"/>
                <w:szCs w:val="18"/>
                <w:lang w:eastAsia="ja-JP"/>
              </w:rPr>
            </w:pPr>
            <w:r>
              <w:rPr>
                <w:color w:val="000000"/>
                <w:sz w:val="18"/>
                <w:szCs w:val="18"/>
              </w:rPr>
              <w:t>100%</w:t>
            </w:r>
          </w:p>
        </w:tc>
        <w:tc>
          <w:tcPr>
            <w:tcW w:w="1012" w:type="dxa"/>
            <w:shd w:val="clear" w:color="auto" w:fill="auto"/>
            <w:noWrap/>
            <w:vAlign w:val="center"/>
          </w:tcPr>
          <w:p w:rsidR="00EA442A" w:rsidRPr="00EA442A" w:rsidRDefault="00EA442A" w:rsidP="007275F8">
            <w:pPr>
              <w:jc w:val="center"/>
              <w:rPr>
                <w:rFonts w:eastAsia="MS Mincho"/>
                <w:sz w:val="18"/>
                <w:szCs w:val="18"/>
                <w:lang w:eastAsia="ja-JP"/>
              </w:rPr>
            </w:pPr>
            <w:r w:rsidRPr="00EA442A">
              <w:rPr>
                <w:color w:val="000000"/>
                <w:sz w:val="18"/>
                <w:szCs w:val="18"/>
              </w:rPr>
              <w:t>26,608,859</w:t>
            </w:r>
          </w:p>
        </w:tc>
        <w:tc>
          <w:tcPr>
            <w:tcW w:w="1023" w:type="dxa"/>
            <w:shd w:val="clear" w:color="auto" w:fill="auto"/>
            <w:noWrap/>
            <w:vAlign w:val="center"/>
          </w:tcPr>
          <w:p w:rsidR="00EA442A" w:rsidRPr="00EA442A" w:rsidRDefault="00EA442A" w:rsidP="007275F8">
            <w:pPr>
              <w:jc w:val="center"/>
              <w:rPr>
                <w:rFonts w:eastAsia="MS Mincho"/>
                <w:sz w:val="18"/>
                <w:szCs w:val="18"/>
                <w:lang w:eastAsia="ja-JP"/>
              </w:rPr>
            </w:pPr>
            <w:r>
              <w:rPr>
                <w:color w:val="000000"/>
                <w:sz w:val="18"/>
                <w:szCs w:val="18"/>
              </w:rPr>
              <w:t>100%</w:t>
            </w:r>
          </w:p>
        </w:tc>
      </w:tr>
    </w:tbl>
    <w:p w:rsidR="00DE1E0B" w:rsidRDefault="00DE1E0B" w:rsidP="00DE1E0B"/>
    <w:p w:rsidR="00DE1E0B" w:rsidRDefault="00F7540C" w:rsidP="00DE1E0B">
      <w:r>
        <w:fldChar w:fldCharType="begin"/>
      </w:r>
      <w:r>
        <w:instrText xml:space="preserve"> AUTONUM  </w:instrText>
      </w:r>
      <w:r>
        <w:fldChar w:fldCharType="end"/>
      </w:r>
      <w:r>
        <w:tab/>
      </w:r>
      <w:r w:rsidR="00DE1E0B">
        <w:t>To further complement the translation approach opted by the Internationa</w:t>
      </w:r>
      <w:r w:rsidR="00EA442A">
        <w:t>l Bureau, TAPTA4MARKS, a custom</w:t>
      </w:r>
      <w:r w:rsidR="00EA442A">
        <w:noBreakHyphen/>
      </w:r>
      <w:r w:rsidR="00DE1E0B">
        <w:t>trained machine translation (MT) engine has been added.  This is a customized version of the TAPTA technology (Translation Assistant for Patent Texts and Abstracts), developed by the Global Infrastructure Sector of WIPO and which is already deployed within a number of P</w:t>
      </w:r>
      <w:r w:rsidR="00EA442A">
        <w:t>CT</w:t>
      </w:r>
      <w:r w:rsidR="00DE1E0B">
        <w:t xml:space="preserve"> procedures and used in other U</w:t>
      </w:r>
      <w:r w:rsidR="00EA442A">
        <w:t xml:space="preserve">nited </w:t>
      </w:r>
      <w:r w:rsidR="00DE1E0B">
        <w:t>N</w:t>
      </w:r>
      <w:r w:rsidR="00EA442A">
        <w:t>ations</w:t>
      </w:r>
      <w:r w:rsidR="00DE1E0B">
        <w:t xml:space="preserve"> agencies for administrative documents.  A MT is a system configured to statistically analyze translation material and to leverage internal and external resources in order to render a likely translation that may require</w:t>
      </w:r>
      <w:r w:rsidR="007275F8">
        <w:t xml:space="preserve"> post translation editing (post</w:t>
      </w:r>
      <w:r w:rsidR="007275F8">
        <w:noBreakHyphen/>
      </w:r>
      <w:r w:rsidR="00DE1E0B">
        <w:t xml:space="preserve">editing). </w:t>
      </w:r>
      <w:r w:rsidR="00EA442A">
        <w:t xml:space="preserve"> </w:t>
      </w:r>
    </w:p>
    <w:p w:rsidR="00EA442A" w:rsidRDefault="00EA442A" w:rsidP="00DE1E0B"/>
    <w:p w:rsidR="00DE1E0B" w:rsidRDefault="00F7540C" w:rsidP="00DE1E0B">
      <w:r>
        <w:fldChar w:fldCharType="begin"/>
      </w:r>
      <w:r>
        <w:instrText xml:space="preserve"> AUTONUM  </w:instrText>
      </w:r>
      <w:r>
        <w:fldChar w:fldCharType="end"/>
      </w:r>
      <w:r>
        <w:tab/>
      </w:r>
      <w:r w:rsidR="00DE1E0B">
        <w:t>TAPTA4MARKS takes the 34</w:t>
      </w:r>
      <w:r w:rsidR="00EA442A">
        <w:t xml:space="preserve">% </w:t>
      </w:r>
      <w:r w:rsidR="00DE1E0B">
        <w:t>of indications of goods and services that are not translated by WS and proposes, with a high degree of reliability, their most likely translation.  A</w:t>
      </w:r>
      <w:r w:rsidR="00EA442A">
        <w:t> </w:t>
      </w:r>
      <w:r w:rsidR="00DE1E0B">
        <w:t>post</w:t>
      </w:r>
      <w:r w:rsidR="007275F8">
        <w:noBreakHyphen/>
      </w:r>
      <w:r w:rsidR="00DE1E0B">
        <w:t xml:space="preserve">editing review is conducted by either internal or external resources.  After this review, the translation proposed by TAPTA4MARKS is either validated or enhanced, thus reducing </w:t>
      </w:r>
      <w:r w:rsidR="007275F8">
        <w:t>human translation input to post</w:t>
      </w:r>
      <w:r w:rsidR="007275F8">
        <w:noBreakHyphen/>
      </w:r>
      <w:r w:rsidR="00DE1E0B">
        <w:t xml:space="preserve">editing process. </w:t>
      </w:r>
      <w:r w:rsidR="00EA442A">
        <w:t xml:space="preserve"> </w:t>
      </w:r>
    </w:p>
    <w:p w:rsidR="00EA442A" w:rsidRDefault="00EA442A" w:rsidP="00DE1E0B"/>
    <w:p w:rsidR="00DE1E0B" w:rsidRDefault="00F7540C" w:rsidP="00DE1E0B">
      <w:r>
        <w:fldChar w:fldCharType="begin"/>
      </w:r>
      <w:r>
        <w:instrText xml:space="preserve"> AUTONUM  </w:instrText>
      </w:r>
      <w:r>
        <w:fldChar w:fldCharType="end"/>
      </w:r>
      <w:r>
        <w:tab/>
      </w:r>
      <w:r w:rsidR="00DE1E0B">
        <w:t xml:space="preserve">As a result of WS and TAPTA4MARKS, there is, for each indication of the list of goods and services subject to translation, always an automated translation proposal, significantly enhancing the efficiency of the process.  The automated translation leveraging achieved has resulted in a reduction in translation backlog and processing time.  </w:t>
      </w:r>
    </w:p>
    <w:p w:rsidR="00EA442A" w:rsidRDefault="00EA442A" w:rsidP="00DE1E0B"/>
    <w:p w:rsidR="00DE1E0B" w:rsidRDefault="00F7540C" w:rsidP="00DE1E0B">
      <w:r>
        <w:fldChar w:fldCharType="begin"/>
      </w:r>
      <w:r>
        <w:instrText xml:space="preserve"> AUTONUM  </w:instrText>
      </w:r>
      <w:r>
        <w:fldChar w:fldCharType="end"/>
      </w:r>
      <w:r>
        <w:tab/>
      </w:r>
      <w:r w:rsidR="00EA442A">
        <w:t>The introduction of the MT post</w:t>
      </w:r>
      <w:r w:rsidR="00EA442A">
        <w:noBreakHyphen/>
      </w:r>
      <w:r w:rsidR="00DE1E0B">
        <w:t>editing process has expanded the International Bureau’s translation capacity, whilst allowing for efficient management of an ever</w:t>
      </w:r>
      <w:r w:rsidR="007275F8">
        <w:noBreakHyphen/>
      </w:r>
      <w:r w:rsidR="00DE1E0B">
        <w:t xml:space="preserve">increasing workload yet avoiding the need to augment human resources.  Internal resources focus on managing the translation inputs to the automated solutions and on deploying and overseeing a quality assurance process to safeguard the overall quality of the end-product.  </w:t>
      </w:r>
    </w:p>
    <w:p w:rsidR="007275F8" w:rsidRDefault="007275F8" w:rsidP="00DE1E0B"/>
    <w:p w:rsidR="00437C8D" w:rsidRDefault="00F7540C" w:rsidP="007275F8">
      <w:pPr>
        <w:keepLines/>
      </w:pPr>
      <w:r>
        <w:fldChar w:fldCharType="begin"/>
      </w:r>
      <w:r>
        <w:instrText xml:space="preserve"> AUTONUM  </w:instrText>
      </w:r>
      <w:r>
        <w:fldChar w:fldCharType="end"/>
      </w:r>
      <w:r>
        <w:tab/>
      </w:r>
      <w:r w:rsidR="00DE1E0B">
        <w:t>As part of its overall translation strategy, the International Bureau has forged long</w:t>
      </w:r>
      <w:r w:rsidR="007275F8">
        <w:noBreakHyphen/>
      </w:r>
      <w:r w:rsidR="00DE1E0B">
        <w:t>term partnerships with external translation agencies, which has reduced the cost of outsourcing translation, now averaging 0.05</w:t>
      </w:r>
      <w:r w:rsidR="007275F8">
        <w:t> </w:t>
      </w:r>
      <w:r w:rsidR="00DE1E0B">
        <w:t>Swiss francs per post</w:t>
      </w:r>
      <w:r w:rsidR="007275F8">
        <w:noBreakHyphen/>
      </w:r>
      <w:r w:rsidR="00DE1E0B">
        <w:t>edited word, instead of the prior average of 0.25</w:t>
      </w:r>
      <w:r w:rsidR="007275F8">
        <w:t> </w:t>
      </w:r>
      <w:r w:rsidR="00DE1E0B">
        <w:t xml:space="preserve">Swiss francs per translated word.  </w:t>
      </w:r>
      <w:r w:rsidR="00437C8D">
        <w:br w:type="page"/>
      </w:r>
    </w:p>
    <w:p w:rsidR="00DE1E0B" w:rsidRDefault="00F7540C" w:rsidP="00DE1E0B">
      <w:r>
        <w:fldChar w:fldCharType="begin"/>
      </w:r>
      <w:r>
        <w:instrText xml:space="preserve"> AUTONUM  </w:instrText>
      </w:r>
      <w:r>
        <w:fldChar w:fldCharType="end"/>
      </w:r>
      <w:r>
        <w:tab/>
      </w:r>
      <w:r w:rsidR="00DE1E0B">
        <w:t>Finally, as the International Bureau changed its translation process to align it with translation industry best practices, it also reformed its internal organization from three</w:t>
      </w:r>
      <w:r w:rsidR="007275F8">
        <w:t> </w:t>
      </w:r>
      <w:r w:rsidR="00DE1E0B">
        <w:t>linguistic units to a single section (the Madrid Translation and Terminology Section) managing all internal, external and automated translation processes.  Following this change, the com</w:t>
      </w:r>
      <w:r w:rsidR="007275F8">
        <w:t>bined section acts as a service</w:t>
      </w:r>
      <w:r w:rsidR="007275F8">
        <w:noBreakHyphen/>
      </w:r>
      <w:r w:rsidR="00DE1E0B">
        <w:t xml:space="preserve">focused group with a sole point of contact to distribute the work to the internal translators and the external translation partners. </w:t>
      </w:r>
      <w:r w:rsidR="007275F8">
        <w:t xml:space="preserve"> </w:t>
      </w:r>
    </w:p>
    <w:p w:rsidR="00DE1E0B" w:rsidRDefault="00DE1E0B" w:rsidP="007275F8">
      <w:pPr>
        <w:pStyle w:val="Heading1"/>
      </w:pPr>
      <w:r>
        <w:t xml:space="preserve">SPECIAL ACTION ON THE TRANSLATION BACKLOG OF STATEMENTS OF GRANT OF PROTECTION UNDER RULE </w:t>
      </w:r>
      <w:proofErr w:type="gramStart"/>
      <w:r>
        <w:t>18</w:t>
      </w:r>
      <w:r w:rsidRPr="007275F8">
        <w:rPr>
          <w:i/>
        </w:rPr>
        <w:t>TER</w:t>
      </w:r>
      <w:r>
        <w:t>(</w:t>
      </w:r>
      <w:proofErr w:type="gramEnd"/>
      <w:r>
        <w:t>2)(II) OF THE COM</w:t>
      </w:r>
      <w:r w:rsidR="007275F8">
        <w:t>MON REGULATIONS RECEIVED BEFORE </w:t>
      </w:r>
      <w:r>
        <w:t>2012</w:t>
      </w:r>
    </w:p>
    <w:p w:rsidR="00DE1E0B" w:rsidRDefault="00DE1E0B" w:rsidP="00DE1E0B"/>
    <w:p w:rsidR="00DE1E0B" w:rsidRDefault="00F7540C" w:rsidP="00DE1E0B">
      <w:r>
        <w:fldChar w:fldCharType="begin"/>
      </w:r>
      <w:r>
        <w:instrText xml:space="preserve"> AUTONUM  </w:instrText>
      </w:r>
      <w:r>
        <w:fldChar w:fldCharType="end"/>
      </w:r>
      <w:r>
        <w:tab/>
      </w:r>
      <w:r w:rsidR="00DE1E0B">
        <w:t>As reported in</w:t>
      </w:r>
      <w:r w:rsidR="007275F8">
        <w:t> </w:t>
      </w:r>
      <w:r w:rsidR="00DE1E0B">
        <w:t>2012, there were 133,794</w:t>
      </w:r>
      <w:r w:rsidR="007275F8">
        <w:t> </w:t>
      </w:r>
      <w:r w:rsidR="00DE1E0B">
        <w:t xml:space="preserve">pending translations resulting from statements of grant of protection under Rule </w:t>
      </w:r>
      <w:proofErr w:type="gramStart"/>
      <w:r w:rsidR="00DE1E0B">
        <w:t>18</w:t>
      </w:r>
      <w:r w:rsidR="00DE1E0B" w:rsidRPr="007275F8">
        <w:rPr>
          <w:i/>
        </w:rPr>
        <w:t>ter</w:t>
      </w:r>
      <w:r w:rsidR="00DE1E0B">
        <w:t>(</w:t>
      </w:r>
      <w:proofErr w:type="gramEnd"/>
      <w:r w:rsidR="00DE1E0B">
        <w:t>2)(ii) of the Commo</w:t>
      </w:r>
      <w:r w:rsidR="006F0164">
        <w:t>n Regulations received prior to </w:t>
      </w:r>
      <w:r w:rsidR="00DE1E0B">
        <w:t xml:space="preserve">2012.  </w:t>
      </w:r>
    </w:p>
    <w:p w:rsidR="006F0164" w:rsidRDefault="006F0164" w:rsidP="00DE1E0B"/>
    <w:p w:rsidR="00DE1E0B" w:rsidRDefault="00F7540C" w:rsidP="00DE1E0B">
      <w:r>
        <w:fldChar w:fldCharType="begin"/>
      </w:r>
      <w:r>
        <w:instrText xml:space="preserve"> AUTONUM  </w:instrText>
      </w:r>
      <w:r>
        <w:fldChar w:fldCharType="end"/>
      </w:r>
      <w:r>
        <w:tab/>
      </w:r>
      <w:r w:rsidR="00DE1E0B">
        <w:t>Following the deployment of the previously mentioned automated solutions and under a special action that took place between</w:t>
      </w:r>
      <w:r>
        <w:t> </w:t>
      </w:r>
      <w:r w:rsidR="00DE1E0B">
        <w:t>2012 and</w:t>
      </w:r>
      <w:r>
        <w:t> </w:t>
      </w:r>
      <w:r w:rsidR="00DE1E0B">
        <w:t>2013, the International Bureau has cleared this backlog, using automated tools to translate close to 32</w:t>
      </w:r>
      <w:r>
        <w:t> </w:t>
      </w:r>
      <w:r w:rsidR="00DE1E0B">
        <w:t xml:space="preserve">million words.  </w:t>
      </w:r>
    </w:p>
    <w:p w:rsidR="00F7540C" w:rsidRDefault="00F7540C" w:rsidP="00DE1E0B"/>
    <w:p w:rsidR="00DE1E0B" w:rsidRDefault="00F7540C" w:rsidP="00DE1E0B">
      <w:r>
        <w:fldChar w:fldCharType="begin"/>
      </w:r>
      <w:r>
        <w:instrText xml:space="preserve"> AUTONUM  </w:instrText>
      </w:r>
      <w:r>
        <w:fldChar w:fldCharType="end"/>
      </w:r>
      <w:r>
        <w:tab/>
      </w:r>
      <w:r w:rsidR="00DE1E0B">
        <w:t>The translation of the indications of goods and services in these statements of grant of protection was completely automated, without any human intervention or MT post</w:t>
      </w:r>
      <w:r>
        <w:noBreakHyphen/>
        <w:t xml:space="preserve">editing revision.  </w:t>
      </w:r>
    </w:p>
    <w:p w:rsidR="00DE1E0B" w:rsidRDefault="00DE1E0B" w:rsidP="00F7540C">
      <w:pPr>
        <w:pStyle w:val="Heading1"/>
      </w:pPr>
      <w:r>
        <w:t>REVIEW OF THE TRANSLATION PRACTIC</w:t>
      </w:r>
      <w:r w:rsidR="00F7540C">
        <w:t>E AND POSSIBLE FURTHER ACTIONS</w:t>
      </w:r>
    </w:p>
    <w:p w:rsidR="00DE1E0B" w:rsidRDefault="00DE1E0B" w:rsidP="00DE1E0B"/>
    <w:p w:rsidR="00DE1E0B" w:rsidRDefault="00F7540C" w:rsidP="00DE1E0B">
      <w:r>
        <w:fldChar w:fldCharType="begin"/>
      </w:r>
      <w:r>
        <w:instrText xml:space="preserve"> AUTONUM  </w:instrText>
      </w:r>
      <w:r>
        <w:fldChar w:fldCharType="end"/>
      </w:r>
      <w:r>
        <w:tab/>
      </w:r>
      <w:r w:rsidR="00DE1E0B">
        <w:t>The translation practice has permitted the International Bureau to implement an adeq</w:t>
      </w:r>
      <w:r>
        <w:t>uate process to manage the ever</w:t>
      </w:r>
      <w:r>
        <w:noBreakHyphen/>
      </w:r>
      <w:r w:rsidR="00DE1E0B">
        <w:t>growing translation workload without the need for an escalation of human resources.  The process leverages technological solutions to deliver a previously vetted translation or to propose</w:t>
      </w:r>
      <w:r>
        <w:t xml:space="preserve"> a new translation, with a high</w:t>
      </w:r>
      <w:r>
        <w:noBreakHyphen/>
      </w:r>
      <w:r w:rsidR="00DE1E0B">
        <w:t xml:space="preserve">degree of reliability. </w:t>
      </w:r>
      <w:r>
        <w:t xml:space="preserve"> </w:t>
      </w:r>
    </w:p>
    <w:p w:rsidR="00DE1E0B" w:rsidRDefault="00DE1E0B" w:rsidP="00DE1E0B"/>
    <w:p w:rsidR="00DE1E0B" w:rsidRDefault="00F7540C" w:rsidP="00DE1E0B">
      <w:r>
        <w:fldChar w:fldCharType="begin"/>
      </w:r>
      <w:r>
        <w:instrText xml:space="preserve"> AUTONUM  </w:instrText>
      </w:r>
      <w:r>
        <w:fldChar w:fldCharType="end"/>
      </w:r>
      <w:r>
        <w:tab/>
      </w:r>
      <w:r w:rsidR="00DE1E0B">
        <w:t xml:space="preserve">The International Bureau has been able, under the current practice, to focus its technical and human resources on the translation surge resulting from international registrations.  From the users’ perspective, this is one of the most important transactions because it is the one in which the scope of the protection that is being sought is first recorded in the International Register and, as such, notified to the Offices of the designated Contracting Parties.  </w:t>
      </w:r>
    </w:p>
    <w:p w:rsidR="00DE1E0B" w:rsidRDefault="00DE1E0B" w:rsidP="00DE1E0B"/>
    <w:p w:rsidR="00DE1E0B" w:rsidRDefault="00F7540C" w:rsidP="00DE1E0B">
      <w:r>
        <w:fldChar w:fldCharType="begin"/>
      </w:r>
      <w:r>
        <w:instrText xml:space="preserve"> AUTONUM  </w:instrText>
      </w:r>
      <w:r>
        <w:fldChar w:fldCharType="end"/>
      </w:r>
      <w:r>
        <w:tab/>
      </w:r>
      <w:r w:rsidR="00DE1E0B">
        <w:t>The automated translation process established by the International Bureau still requires human intervention for overall process management, for quality assurance purposes, to reflect the nuances of the indications of goods and services or to post</w:t>
      </w:r>
      <w:r w:rsidR="00B62EFE">
        <w:noBreakHyphen/>
      </w:r>
      <w:r w:rsidR="00DE1E0B">
        <w:t>edit or translate new terms used to describe innov</w:t>
      </w:r>
      <w:r w:rsidR="00B62EFE">
        <w:t xml:space="preserve">ations in a particular field.  </w:t>
      </w:r>
      <w:r w:rsidR="00DE1E0B">
        <w:t xml:space="preserve">Nevertheless, as demonstrated by the aforementioned special action taken by the International Bureau, the information technology solutions deployed are capable of rendering further increases in automated translation.  </w:t>
      </w:r>
    </w:p>
    <w:p w:rsidR="00DE1E0B" w:rsidRDefault="00DE1E0B" w:rsidP="00DE1E0B"/>
    <w:p w:rsidR="00DE1E0B" w:rsidRDefault="00F7540C" w:rsidP="00DE1E0B">
      <w:r>
        <w:fldChar w:fldCharType="begin"/>
      </w:r>
      <w:r>
        <w:instrText xml:space="preserve"> AUTONUM  </w:instrText>
      </w:r>
      <w:r>
        <w:fldChar w:fldCharType="end"/>
      </w:r>
      <w:r>
        <w:tab/>
      </w:r>
      <w:r w:rsidR="00DE1E0B">
        <w:t xml:space="preserve">While the results achieved in terms of automated translation are encouraging, continued work is required to ensure that the yield obtained from the technological solutions deployed remains stable and to further increase the degree of automation already accomplished.  Human resources are still required to maintain and ensure the quality level of the translation output.  </w:t>
      </w:r>
    </w:p>
    <w:p w:rsidR="00DE1E0B" w:rsidRDefault="00DE1E0B" w:rsidP="00DE1E0B"/>
    <w:p w:rsidR="00DE1E0B" w:rsidRDefault="00B62EFE" w:rsidP="00B62EFE">
      <w:pPr>
        <w:keepNext/>
        <w:keepLines/>
      </w:pPr>
      <w:r>
        <w:fldChar w:fldCharType="begin"/>
      </w:r>
      <w:r>
        <w:instrText xml:space="preserve"> AUTONUM  </w:instrText>
      </w:r>
      <w:r>
        <w:fldChar w:fldCharType="end"/>
      </w:r>
      <w:r>
        <w:tab/>
      </w:r>
      <w:r w:rsidR="00DE1E0B">
        <w:t>In view of the above, the International Bureau would now be in a position to automatically translate the list of goods and services in statements of grant of protection, sent under Rule</w:t>
      </w:r>
      <w:r>
        <w:t> </w:t>
      </w:r>
      <w:proofErr w:type="gramStart"/>
      <w:r w:rsidR="00DE1E0B">
        <w:t>18</w:t>
      </w:r>
      <w:r w:rsidR="00DE1E0B" w:rsidRPr="00B62EFE">
        <w:rPr>
          <w:i/>
        </w:rPr>
        <w:t>ter</w:t>
      </w:r>
      <w:r w:rsidR="00DE1E0B">
        <w:t>(</w:t>
      </w:r>
      <w:proofErr w:type="gramEnd"/>
      <w:r w:rsidR="00DE1E0B">
        <w:t>2)(ii) of the Common Regulations, using the implemen</w:t>
      </w:r>
      <w:r>
        <w:t>ted technological solutions (WS </w:t>
      </w:r>
      <w:r w:rsidR="00DE1E0B">
        <w:t>and TAPTA4MARKS), with post</w:t>
      </w:r>
      <w:r>
        <w:noBreakHyphen/>
      </w:r>
      <w:r w:rsidR="00DE1E0B">
        <w:t xml:space="preserve">editing limited to translations into the language of communication of the holder, a process that is already covered by the current practice.  </w:t>
      </w:r>
    </w:p>
    <w:p w:rsidR="00437C8D" w:rsidRDefault="00437C8D" w:rsidP="00DE1E0B">
      <w:r>
        <w:br w:type="page"/>
      </w:r>
    </w:p>
    <w:p w:rsidR="00DE1E0B" w:rsidRDefault="00B62EFE" w:rsidP="00DE1E0B">
      <w:r>
        <w:fldChar w:fldCharType="begin"/>
      </w:r>
      <w:r>
        <w:instrText xml:space="preserve"> AUTONUM  </w:instrText>
      </w:r>
      <w:r>
        <w:fldChar w:fldCharType="end"/>
      </w:r>
      <w:r>
        <w:tab/>
      </w:r>
      <w:r w:rsidR="00DE1E0B">
        <w:t>Similarly, the International Bureau would also be able to translate the list of goods and services in limitations into a language other than that of communication of the holder or the Office concerned.  Since the translation solutions put in place by the International Bureau have reduced translation backlog and overall processing time, the suggested course of action would not affect the holders by increasing the pendency time of the recording and notification of limitations.</w:t>
      </w:r>
      <w:r w:rsidR="004229AE">
        <w:t xml:space="preserve">  </w:t>
      </w:r>
    </w:p>
    <w:p w:rsidR="00DE1E0B" w:rsidRDefault="00DE1E0B" w:rsidP="00DE1E0B"/>
    <w:p w:rsidR="00DE1E0B" w:rsidRDefault="004229AE" w:rsidP="00DE1E0B">
      <w:r>
        <w:fldChar w:fldCharType="begin"/>
      </w:r>
      <w:r>
        <w:instrText xml:space="preserve"> AUTONUM  </w:instrText>
      </w:r>
      <w:r>
        <w:fldChar w:fldCharType="end"/>
      </w:r>
      <w:r>
        <w:tab/>
      </w:r>
      <w:r w:rsidR="00DE1E0B">
        <w:t>Following the implementation of the proposed measures described above, the current practice of translation upon request would no longer be required, as the list of goods and services in statements of grant of protection sent under Rule</w:t>
      </w:r>
      <w:r>
        <w:t> </w:t>
      </w:r>
      <w:proofErr w:type="gramStart"/>
      <w:r w:rsidR="00DE1E0B">
        <w:t>18</w:t>
      </w:r>
      <w:r w:rsidR="00DE1E0B" w:rsidRPr="004229AE">
        <w:rPr>
          <w:i/>
        </w:rPr>
        <w:t>ter</w:t>
      </w:r>
      <w:r w:rsidR="00DE1E0B">
        <w:t>(</w:t>
      </w:r>
      <w:proofErr w:type="gramEnd"/>
      <w:r w:rsidR="00DE1E0B">
        <w:t xml:space="preserve">2)(ii) of the Common Regulations and in limitations would be translated into all the working languages of the Madrid System prior to their inscription, notification and publication.  </w:t>
      </w:r>
    </w:p>
    <w:p w:rsidR="00DE1E0B" w:rsidRDefault="00DE1E0B" w:rsidP="00DE1E0B"/>
    <w:p w:rsidR="00DE1E0B" w:rsidRDefault="004229AE" w:rsidP="00DE1E0B">
      <w:r>
        <w:fldChar w:fldCharType="begin"/>
      </w:r>
      <w:r>
        <w:instrText xml:space="preserve"> AUTONUM  </w:instrText>
      </w:r>
      <w:r>
        <w:fldChar w:fldCharType="end"/>
      </w:r>
      <w:r>
        <w:tab/>
      </w:r>
      <w:r w:rsidR="00DE1E0B">
        <w:t>To ensure that all the necessary technological adjustments are in place, it is proposed that the International Bureau would apply the suggested measures to the translation of the list of goods and services in statements of grant of grant of protection sent under Rule</w:t>
      </w:r>
      <w:r>
        <w:t> </w:t>
      </w:r>
      <w:r w:rsidR="00DE1E0B">
        <w:t>18</w:t>
      </w:r>
      <w:r w:rsidR="00DE1E0B" w:rsidRPr="004229AE">
        <w:rPr>
          <w:i/>
        </w:rPr>
        <w:t>ter</w:t>
      </w:r>
      <w:r w:rsidR="00DE1E0B">
        <w:t>(2)(ii) of the Common Regulations and in limitations received as from April</w:t>
      </w:r>
      <w:r>
        <w:t> </w:t>
      </w:r>
      <w:r w:rsidR="00DE1E0B">
        <w:t>1,</w:t>
      </w:r>
      <w:r>
        <w:t> </w:t>
      </w:r>
      <w:r w:rsidR="00DE1E0B">
        <w:t xml:space="preserve">2016. </w:t>
      </w:r>
      <w:r>
        <w:t xml:space="preserve"> </w:t>
      </w:r>
    </w:p>
    <w:p w:rsidR="00DE1E0B" w:rsidRDefault="00DE1E0B" w:rsidP="00DE1E0B"/>
    <w:p w:rsidR="00DE1E0B" w:rsidRDefault="004229AE" w:rsidP="00DE1E0B">
      <w:r>
        <w:fldChar w:fldCharType="begin"/>
      </w:r>
      <w:r>
        <w:instrText xml:space="preserve"> AUTONUM  </w:instrText>
      </w:r>
      <w:r>
        <w:fldChar w:fldCharType="end"/>
      </w:r>
      <w:r>
        <w:tab/>
      </w:r>
      <w:r w:rsidR="00DE1E0B">
        <w:t>Finally, under the current practice, between</w:t>
      </w:r>
      <w:r>
        <w:t> </w:t>
      </w:r>
      <w:r w:rsidR="00DE1E0B">
        <w:t>2012 and</w:t>
      </w:r>
      <w:r>
        <w:t> </w:t>
      </w:r>
      <w:r w:rsidR="00DE1E0B">
        <w:t>2014, the International Bureau has not been required to translate 26</w:t>
      </w:r>
      <w:r>
        <w:t> </w:t>
      </w:r>
      <w:r w:rsidR="00DE1E0B">
        <w:t>million words contained in the lists of goods and services of statements of grant of protection sent under Rule 18</w:t>
      </w:r>
      <w:r w:rsidR="00DE1E0B" w:rsidRPr="004C4A36">
        <w:rPr>
          <w:i/>
        </w:rPr>
        <w:t>ter</w:t>
      </w:r>
      <w:r w:rsidR="00DE1E0B">
        <w:t xml:space="preserve">(2)(ii) of the Common Regulations and </w:t>
      </w:r>
      <w:r w:rsidR="004C4A36">
        <w:t>three </w:t>
      </w:r>
      <w:r w:rsidR="00DE1E0B">
        <w:t xml:space="preserve">million words contained in the list of goods and services in limitations.  A special action, similar to the one described in </w:t>
      </w:r>
      <w:r w:rsidR="00DE1E0B" w:rsidRPr="00411E81">
        <w:t>paragraphs</w:t>
      </w:r>
      <w:r w:rsidR="004C4A36" w:rsidRPr="00411E81">
        <w:t> </w:t>
      </w:r>
      <w:r w:rsidR="00DE1E0B" w:rsidRPr="00411E81">
        <w:t>26 to</w:t>
      </w:r>
      <w:r w:rsidR="004C4A36" w:rsidRPr="00411E81">
        <w:t> </w:t>
      </w:r>
      <w:r w:rsidR="00DE1E0B" w:rsidRPr="00411E81">
        <w:t>28 ab</w:t>
      </w:r>
      <w:r w:rsidR="00DE1E0B">
        <w:t>ove, could be taken for these documents received prior to April</w:t>
      </w:r>
      <w:r w:rsidR="004C4A36">
        <w:t> </w:t>
      </w:r>
      <w:r w:rsidR="00DE1E0B">
        <w:t>1,</w:t>
      </w:r>
      <w:r w:rsidR="004C4A36">
        <w:t> </w:t>
      </w:r>
      <w:r w:rsidR="00DE1E0B">
        <w:t>2016.</w:t>
      </w:r>
      <w:r w:rsidR="004C4A36">
        <w:t xml:space="preserve">  </w:t>
      </w:r>
    </w:p>
    <w:p w:rsidR="00DE1E0B" w:rsidRDefault="00DE1E0B" w:rsidP="00DE1E0B"/>
    <w:p w:rsidR="00DE1E0B" w:rsidRPr="004C4A36" w:rsidRDefault="00437C8D" w:rsidP="004C4A36">
      <w:pPr>
        <w:ind w:left="5533"/>
        <w:rPr>
          <w:i/>
        </w:rPr>
      </w:pPr>
      <w:r>
        <w:rPr>
          <w:i/>
        </w:rPr>
        <w:fldChar w:fldCharType="begin"/>
      </w:r>
      <w:r>
        <w:rPr>
          <w:i/>
        </w:rPr>
        <w:instrText xml:space="preserve"> AUTONUM  </w:instrText>
      </w:r>
      <w:r>
        <w:rPr>
          <w:i/>
        </w:rPr>
        <w:fldChar w:fldCharType="end"/>
      </w:r>
      <w:r>
        <w:rPr>
          <w:i/>
        </w:rPr>
        <w:tab/>
      </w:r>
      <w:r w:rsidR="00DE1E0B" w:rsidRPr="004C4A36">
        <w:rPr>
          <w:i/>
        </w:rPr>
        <w:t xml:space="preserve">The Working Group is invited to:  </w:t>
      </w:r>
    </w:p>
    <w:p w:rsidR="004C4A36" w:rsidRPr="004C4A36" w:rsidRDefault="004C4A36" w:rsidP="004C4A36">
      <w:pPr>
        <w:ind w:left="5533"/>
        <w:rPr>
          <w:i/>
        </w:rPr>
      </w:pPr>
    </w:p>
    <w:p w:rsidR="00DE1E0B" w:rsidRPr="004C4A36" w:rsidRDefault="004C4A36" w:rsidP="004C4A36">
      <w:pPr>
        <w:ind w:left="5533"/>
        <w:rPr>
          <w:i/>
        </w:rPr>
      </w:pPr>
      <w:r>
        <w:rPr>
          <w:i/>
        </w:rPr>
        <w:tab/>
      </w:r>
      <w:r>
        <w:rPr>
          <w:i/>
        </w:rPr>
        <w:tab/>
      </w:r>
      <w:r w:rsidR="00DE1E0B" w:rsidRPr="004C4A36">
        <w:rPr>
          <w:i/>
        </w:rPr>
        <w:t>(i)</w:t>
      </w:r>
      <w:r w:rsidR="00DE1E0B" w:rsidRPr="004C4A36">
        <w:rPr>
          <w:i/>
        </w:rPr>
        <w:tab/>
      </w:r>
      <w:proofErr w:type="gramStart"/>
      <w:r w:rsidR="00DE1E0B" w:rsidRPr="004C4A36">
        <w:rPr>
          <w:i/>
        </w:rPr>
        <w:t>consider</w:t>
      </w:r>
      <w:proofErr w:type="gramEnd"/>
      <w:r w:rsidR="00DE1E0B" w:rsidRPr="004C4A36">
        <w:rPr>
          <w:i/>
        </w:rPr>
        <w:t xml:space="preserve"> the information provided in the present document;  and</w:t>
      </w:r>
    </w:p>
    <w:p w:rsidR="00DE1E0B" w:rsidRPr="004C4A36" w:rsidRDefault="00DE1E0B" w:rsidP="004C4A36">
      <w:pPr>
        <w:ind w:left="5533"/>
        <w:rPr>
          <w:i/>
        </w:rPr>
      </w:pPr>
    </w:p>
    <w:p w:rsidR="00DE1E0B" w:rsidRPr="004C4A36" w:rsidRDefault="004C4A36" w:rsidP="004C4A36">
      <w:pPr>
        <w:ind w:left="5533"/>
        <w:rPr>
          <w:i/>
        </w:rPr>
      </w:pPr>
      <w:r>
        <w:rPr>
          <w:i/>
        </w:rPr>
        <w:tab/>
      </w:r>
      <w:r>
        <w:rPr>
          <w:i/>
        </w:rPr>
        <w:tab/>
      </w:r>
      <w:r w:rsidR="00DE1E0B" w:rsidRPr="004C4A36">
        <w:rPr>
          <w:i/>
        </w:rPr>
        <w:t>(ii)</w:t>
      </w:r>
      <w:r w:rsidR="00DE1E0B" w:rsidRPr="004C4A36">
        <w:rPr>
          <w:i/>
        </w:rPr>
        <w:tab/>
      </w:r>
      <w:proofErr w:type="gramStart"/>
      <w:r w:rsidR="00DE1E0B" w:rsidRPr="004C4A36">
        <w:rPr>
          <w:i/>
        </w:rPr>
        <w:t>indicate</w:t>
      </w:r>
      <w:proofErr w:type="gramEnd"/>
      <w:r w:rsidR="00DE1E0B" w:rsidRPr="004C4A36">
        <w:rPr>
          <w:i/>
        </w:rPr>
        <w:t xml:space="preserve"> whether it agrees with the actions proposed in </w:t>
      </w:r>
      <w:r w:rsidR="00DE1E0B" w:rsidRPr="00411E81">
        <w:rPr>
          <w:i/>
        </w:rPr>
        <w:t>paragraphs 33</w:t>
      </w:r>
      <w:r w:rsidRPr="00411E81">
        <w:rPr>
          <w:i/>
        </w:rPr>
        <w:t> </w:t>
      </w:r>
      <w:r w:rsidR="00DE1E0B" w:rsidRPr="00411E81">
        <w:rPr>
          <w:i/>
        </w:rPr>
        <w:t>to</w:t>
      </w:r>
      <w:r w:rsidRPr="00411E81">
        <w:rPr>
          <w:i/>
        </w:rPr>
        <w:t> </w:t>
      </w:r>
      <w:r w:rsidR="00DE1E0B" w:rsidRPr="00411E81">
        <w:rPr>
          <w:i/>
        </w:rPr>
        <w:t>37.</w:t>
      </w:r>
      <w:r w:rsidRPr="004C4A36">
        <w:rPr>
          <w:i/>
        </w:rPr>
        <w:t xml:space="preserve">  </w:t>
      </w:r>
    </w:p>
    <w:p w:rsidR="00DE1E0B" w:rsidRDefault="00DE1E0B" w:rsidP="00DE1E0B"/>
    <w:p w:rsidR="00DE1E0B" w:rsidRDefault="00DE1E0B" w:rsidP="00DE1E0B"/>
    <w:p w:rsidR="00DE1E0B" w:rsidRDefault="00DE1E0B" w:rsidP="00DE1E0B"/>
    <w:p w:rsidR="004C4A36" w:rsidRPr="00DE1E0B" w:rsidRDefault="004C4A36" w:rsidP="004C4A36">
      <w:pPr>
        <w:pStyle w:val="Endofdocument-Annex"/>
      </w:pPr>
      <w:r>
        <w:t>[End of document]</w:t>
      </w:r>
    </w:p>
    <w:sectPr w:rsidR="004C4A36" w:rsidRPr="00DE1E0B" w:rsidSect="00F26597">
      <w:headerReference w:type="default" r:id="rId10"/>
      <w:footnotePr>
        <w:numFmt w:val="chicago"/>
      </w:footnotePr>
      <w:endnotePr>
        <w:numFmt w:val="decimal"/>
      </w:endnotePr>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2A" w:rsidRDefault="00EA442A">
      <w:r>
        <w:separator/>
      </w:r>
    </w:p>
  </w:endnote>
  <w:endnote w:type="continuationSeparator" w:id="0">
    <w:p w:rsidR="00EA442A" w:rsidRDefault="00EA442A" w:rsidP="003B38C1">
      <w:r>
        <w:separator/>
      </w:r>
    </w:p>
    <w:p w:rsidR="00EA442A" w:rsidRPr="003B38C1" w:rsidRDefault="00EA442A" w:rsidP="003B38C1">
      <w:pPr>
        <w:spacing w:after="60"/>
        <w:rPr>
          <w:sz w:val="17"/>
        </w:rPr>
      </w:pPr>
      <w:r>
        <w:rPr>
          <w:sz w:val="17"/>
        </w:rPr>
        <w:t>[Endnote continued from previous page]</w:t>
      </w:r>
    </w:p>
  </w:endnote>
  <w:endnote w:type="continuationNotice" w:id="1">
    <w:p w:rsidR="00EA442A" w:rsidRPr="003B38C1" w:rsidRDefault="00EA44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2A" w:rsidRDefault="00EA442A">
      <w:r>
        <w:separator/>
      </w:r>
    </w:p>
  </w:footnote>
  <w:footnote w:type="continuationSeparator" w:id="0">
    <w:p w:rsidR="00EA442A" w:rsidRDefault="00EA442A" w:rsidP="008B60B2">
      <w:r>
        <w:separator/>
      </w:r>
    </w:p>
    <w:p w:rsidR="00EA442A" w:rsidRPr="00ED77FB" w:rsidRDefault="00EA442A" w:rsidP="008B60B2">
      <w:pPr>
        <w:spacing w:after="60"/>
        <w:rPr>
          <w:sz w:val="17"/>
          <w:szCs w:val="17"/>
        </w:rPr>
      </w:pPr>
      <w:r w:rsidRPr="00ED77FB">
        <w:rPr>
          <w:sz w:val="17"/>
          <w:szCs w:val="17"/>
        </w:rPr>
        <w:t>[Footnote continued from previous page]</w:t>
      </w:r>
    </w:p>
  </w:footnote>
  <w:footnote w:type="continuationNotice" w:id="1">
    <w:p w:rsidR="00EA442A" w:rsidRPr="00ED77FB" w:rsidRDefault="00EA442A" w:rsidP="008B60B2">
      <w:pPr>
        <w:spacing w:before="60"/>
        <w:jc w:val="right"/>
        <w:rPr>
          <w:sz w:val="17"/>
          <w:szCs w:val="17"/>
        </w:rPr>
      </w:pPr>
      <w:r w:rsidRPr="00ED77FB">
        <w:rPr>
          <w:sz w:val="17"/>
          <w:szCs w:val="17"/>
        </w:rPr>
        <w:t>[Footnote continued on next page]</w:t>
      </w:r>
    </w:p>
  </w:footnote>
  <w:footnote w:id="2">
    <w:p w:rsidR="00EA442A" w:rsidRPr="00F26597" w:rsidRDefault="00EA442A">
      <w:pPr>
        <w:pStyle w:val="FootnoteText"/>
      </w:pPr>
      <w:r>
        <w:rPr>
          <w:rStyle w:val="FootnoteReference"/>
        </w:rPr>
        <w:footnoteRef/>
      </w:r>
      <w:r>
        <w:tab/>
        <w:t xml:space="preserve">See document MM/A/45/5, paragraphs 21 to 24.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2A" w:rsidRDefault="00EA442A" w:rsidP="00477D6B">
    <w:pPr>
      <w:jc w:val="right"/>
    </w:pPr>
    <w:bookmarkStart w:id="7" w:name="Code2"/>
    <w:bookmarkEnd w:id="7"/>
    <w:r>
      <w:t>MM/LD/WG/13/5</w:t>
    </w:r>
  </w:p>
  <w:p w:rsidR="00EA442A" w:rsidRDefault="00EA442A" w:rsidP="00477D6B">
    <w:pPr>
      <w:jc w:val="right"/>
    </w:pPr>
    <w:proofErr w:type="gramStart"/>
    <w:r>
      <w:t>page</w:t>
    </w:r>
    <w:proofErr w:type="gramEnd"/>
    <w:r>
      <w:t xml:space="preserve"> </w:t>
    </w:r>
    <w:r>
      <w:fldChar w:fldCharType="begin"/>
    </w:r>
    <w:r>
      <w:instrText xml:space="preserve"> PAGE  \* MERGEFORMAT </w:instrText>
    </w:r>
    <w:r>
      <w:fldChar w:fldCharType="separate"/>
    </w:r>
    <w:r w:rsidR="00262847">
      <w:rPr>
        <w:noProof/>
      </w:rPr>
      <w:t>2</w:t>
    </w:r>
    <w:r>
      <w:fldChar w:fldCharType="end"/>
    </w:r>
  </w:p>
  <w:p w:rsidR="00EA442A" w:rsidRDefault="00EA442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017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43CAA"/>
    <w:rsid w:val="00075432"/>
    <w:rsid w:val="000968ED"/>
    <w:rsid w:val="000C3895"/>
    <w:rsid w:val="000F03F1"/>
    <w:rsid w:val="000F5E56"/>
    <w:rsid w:val="001362EE"/>
    <w:rsid w:val="00145C7B"/>
    <w:rsid w:val="00180B57"/>
    <w:rsid w:val="001832A6"/>
    <w:rsid w:val="00215BAC"/>
    <w:rsid w:val="00222040"/>
    <w:rsid w:val="00232E14"/>
    <w:rsid w:val="00243B94"/>
    <w:rsid w:val="0024626D"/>
    <w:rsid w:val="002602E3"/>
    <w:rsid w:val="00262847"/>
    <w:rsid w:val="002634C4"/>
    <w:rsid w:val="0028752D"/>
    <w:rsid w:val="002928D3"/>
    <w:rsid w:val="002F1FE6"/>
    <w:rsid w:val="002F4E68"/>
    <w:rsid w:val="00312F7F"/>
    <w:rsid w:val="00343007"/>
    <w:rsid w:val="00361450"/>
    <w:rsid w:val="003673CF"/>
    <w:rsid w:val="003845C1"/>
    <w:rsid w:val="003A6F89"/>
    <w:rsid w:val="003B1A2D"/>
    <w:rsid w:val="003B38C1"/>
    <w:rsid w:val="003C5432"/>
    <w:rsid w:val="003E2CED"/>
    <w:rsid w:val="00411E81"/>
    <w:rsid w:val="004229AE"/>
    <w:rsid w:val="00423E3E"/>
    <w:rsid w:val="00427AF4"/>
    <w:rsid w:val="00437C8D"/>
    <w:rsid w:val="004647DA"/>
    <w:rsid w:val="00474062"/>
    <w:rsid w:val="00477D6B"/>
    <w:rsid w:val="004C4A36"/>
    <w:rsid w:val="005019FF"/>
    <w:rsid w:val="0053057A"/>
    <w:rsid w:val="00560A29"/>
    <w:rsid w:val="005A142B"/>
    <w:rsid w:val="005B05D8"/>
    <w:rsid w:val="005B6B85"/>
    <w:rsid w:val="005C2E38"/>
    <w:rsid w:val="005C6649"/>
    <w:rsid w:val="005C7B38"/>
    <w:rsid w:val="006041E7"/>
    <w:rsid w:val="00605827"/>
    <w:rsid w:val="00646050"/>
    <w:rsid w:val="00653500"/>
    <w:rsid w:val="006713CA"/>
    <w:rsid w:val="00676C5C"/>
    <w:rsid w:val="00681884"/>
    <w:rsid w:val="006F0164"/>
    <w:rsid w:val="007275F8"/>
    <w:rsid w:val="00743D2F"/>
    <w:rsid w:val="007B31C6"/>
    <w:rsid w:val="007C38FF"/>
    <w:rsid w:val="007D1613"/>
    <w:rsid w:val="007E10FF"/>
    <w:rsid w:val="00817F28"/>
    <w:rsid w:val="008B2CC1"/>
    <w:rsid w:val="008B60B2"/>
    <w:rsid w:val="008F563D"/>
    <w:rsid w:val="0090731E"/>
    <w:rsid w:val="00916EE2"/>
    <w:rsid w:val="00923A92"/>
    <w:rsid w:val="00966A22"/>
    <w:rsid w:val="0096722F"/>
    <w:rsid w:val="00980843"/>
    <w:rsid w:val="009B4783"/>
    <w:rsid w:val="009B6AAB"/>
    <w:rsid w:val="009E2791"/>
    <w:rsid w:val="009E3F6F"/>
    <w:rsid w:val="009F499F"/>
    <w:rsid w:val="00A42DAF"/>
    <w:rsid w:val="00A45BD8"/>
    <w:rsid w:val="00A869B7"/>
    <w:rsid w:val="00A9139E"/>
    <w:rsid w:val="00AC205C"/>
    <w:rsid w:val="00AF0A6B"/>
    <w:rsid w:val="00B05A69"/>
    <w:rsid w:val="00B62EFE"/>
    <w:rsid w:val="00B7115A"/>
    <w:rsid w:val="00B71C4B"/>
    <w:rsid w:val="00B8384B"/>
    <w:rsid w:val="00B9734B"/>
    <w:rsid w:val="00C03030"/>
    <w:rsid w:val="00C11BFE"/>
    <w:rsid w:val="00C500D6"/>
    <w:rsid w:val="00CF0D3B"/>
    <w:rsid w:val="00D1792B"/>
    <w:rsid w:val="00D45252"/>
    <w:rsid w:val="00D62433"/>
    <w:rsid w:val="00D64DC8"/>
    <w:rsid w:val="00D6562C"/>
    <w:rsid w:val="00D71B4D"/>
    <w:rsid w:val="00D85DB6"/>
    <w:rsid w:val="00D93D55"/>
    <w:rsid w:val="00DE1E0B"/>
    <w:rsid w:val="00E335FE"/>
    <w:rsid w:val="00E5238C"/>
    <w:rsid w:val="00E84E33"/>
    <w:rsid w:val="00EA442A"/>
    <w:rsid w:val="00EB18A3"/>
    <w:rsid w:val="00EB2D9E"/>
    <w:rsid w:val="00EC4E49"/>
    <w:rsid w:val="00ED77FB"/>
    <w:rsid w:val="00EE45FA"/>
    <w:rsid w:val="00F00BAF"/>
    <w:rsid w:val="00F23F46"/>
    <w:rsid w:val="00F26597"/>
    <w:rsid w:val="00F66152"/>
    <w:rsid w:val="00F7540C"/>
    <w:rsid w:val="00FD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DB0F-49B6-461C-B62F-AE2E2B3A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3045</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6</cp:revision>
  <cp:lastPrinted>2015-07-01T07:39:00Z</cp:lastPrinted>
  <dcterms:created xsi:type="dcterms:W3CDTF">2015-08-17T14:52:00Z</dcterms:created>
  <dcterms:modified xsi:type="dcterms:W3CDTF">2015-08-19T11:45:00Z</dcterms:modified>
</cp:coreProperties>
</file>