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89382F">
            <w:pPr>
              <w:pStyle w:val="DocumentCodeAR"/>
              <w:bidi/>
              <w:rPr>
                <w:rtl/>
              </w:rPr>
            </w:pPr>
            <w:r>
              <w:t>MM/LD/WG/</w:t>
            </w:r>
            <w:r w:rsidR="0089382F">
              <w:t>16</w:t>
            </w:r>
            <w:r w:rsidR="00B6101C" w:rsidRPr="00B6101C">
              <w:t>/</w:t>
            </w:r>
            <w:r w:rsidR="001B1F2F">
              <w:t>2</w:t>
            </w:r>
          </w:p>
        </w:tc>
      </w:tr>
      <w:tr w:rsidR="001667B6" w:rsidTr="00BF164F">
        <w:tc>
          <w:tcPr>
            <w:tcW w:w="9571" w:type="dxa"/>
            <w:gridSpan w:val="3"/>
          </w:tcPr>
          <w:p w:rsidR="001667B6" w:rsidRPr="00B6101C" w:rsidRDefault="00B6101C" w:rsidP="00B27A46">
            <w:pPr>
              <w:pStyle w:val="DocumentLanguageAR"/>
              <w:bidi/>
              <w:rPr>
                <w:rtl/>
              </w:rPr>
            </w:pPr>
            <w:r w:rsidRPr="00B6101C">
              <w:rPr>
                <w:rFonts w:hint="cs"/>
                <w:rtl/>
              </w:rPr>
              <w:t xml:space="preserve">الأصل: </w:t>
            </w:r>
            <w:r w:rsidR="00B27A46">
              <w:rPr>
                <w:rFonts w:hint="cs"/>
                <w:rtl/>
              </w:rPr>
              <w:t>بالإنكليزية</w:t>
            </w:r>
          </w:p>
        </w:tc>
      </w:tr>
      <w:tr w:rsidR="001667B6" w:rsidRPr="00C34692" w:rsidTr="00BF164F">
        <w:tc>
          <w:tcPr>
            <w:tcW w:w="9571" w:type="dxa"/>
            <w:gridSpan w:val="3"/>
          </w:tcPr>
          <w:p w:rsidR="001667B6" w:rsidRPr="00C34692" w:rsidRDefault="00B6101C" w:rsidP="00981EAB">
            <w:pPr>
              <w:pStyle w:val="DocumentDateAR"/>
              <w:bidi/>
              <w:rPr>
                <w:rtl/>
              </w:rPr>
            </w:pPr>
            <w:r w:rsidRPr="00C34692">
              <w:rPr>
                <w:rFonts w:hint="cs"/>
                <w:rtl/>
              </w:rPr>
              <w:t>التاريخ:</w:t>
            </w:r>
            <w:bookmarkStart w:id="2" w:name="_GoBack"/>
            <w:bookmarkEnd w:id="2"/>
            <w:r w:rsidR="00981EAB">
              <w:rPr>
                <w:lang w:val="en-GB" w:bidi="ar-MA"/>
              </w:rPr>
              <w:t xml:space="preserve"> </w:t>
            </w:r>
            <w:r w:rsidR="00C34692" w:rsidRPr="00C34692">
              <w:rPr>
                <w:rFonts w:hint="cs"/>
                <w:rtl/>
              </w:rPr>
              <w:t>2 مايو</w:t>
            </w:r>
            <w:r w:rsidRPr="00C34692">
              <w:rPr>
                <w:rFonts w:hint="cs"/>
                <w:rtl/>
              </w:rPr>
              <w:t xml:space="preserve"> </w:t>
            </w:r>
            <w:r w:rsidR="0089382F" w:rsidRPr="00C34692">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89382F">
      <w:pPr>
        <w:pStyle w:val="MeetingSessionAR"/>
        <w:bidi/>
        <w:rPr>
          <w:rFonts w:ascii="Cambria Math" w:hAnsi="Cambria Math"/>
          <w:rtl/>
        </w:rPr>
      </w:pPr>
      <w:r w:rsidRPr="00F369E7">
        <w:rPr>
          <w:rFonts w:ascii="Cambria Math" w:hAnsi="Cambria Math"/>
          <w:rtl/>
        </w:rPr>
        <w:t xml:space="preserve">الدورة </w:t>
      </w:r>
      <w:r w:rsidR="0089382F">
        <w:rPr>
          <w:rFonts w:ascii="Cambria Math" w:hAnsi="Cambria Math" w:hint="cs"/>
          <w:rtl/>
        </w:rPr>
        <w:t>السادسة</w:t>
      </w:r>
      <w:r w:rsidR="00BA4140">
        <w:rPr>
          <w:rFonts w:ascii="Cambria Math" w:hAnsi="Cambria Math" w:hint="cs"/>
          <w:rtl/>
        </w:rPr>
        <w:t xml:space="preserve"> </w:t>
      </w:r>
      <w:r w:rsidRPr="00F369E7">
        <w:rPr>
          <w:rFonts w:ascii="Cambria Math" w:hAnsi="Cambria Math"/>
          <w:rtl/>
        </w:rPr>
        <w:t>عشرة</w:t>
      </w:r>
    </w:p>
    <w:p w:rsidR="00D61541" w:rsidRPr="00D61541" w:rsidRDefault="00D61541" w:rsidP="0089382F">
      <w:pPr>
        <w:pStyle w:val="MeetingDatesAR"/>
        <w:bidi/>
        <w:rPr>
          <w:rtl/>
        </w:rPr>
      </w:pPr>
      <w:r w:rsidRPr="00D61541">
        <w:rPr>
          <w:rFonts w:hint="cs"/>
          <w:rtl/>
        </w:rPr>
        <w:t xml:space="preserve">جنيف، من </w:t>
      </w:r>
      <w:r w:rsidR="0089382F">
        <w:rPr>
          <w:rFonts w:hint="cs"/>
          <w:rtl/>
        </w:rPr>
        <w:t>2</w:t>
      </w:r>
      <w:r w:rsidR="00100F97">
        <w:rPr>
          <w:rFonts w:hint="cs"/>
          <w:rtl/>
        </w:rPr>
        <w:t xml:space="preserve"> إلى </w:t>
      </w:r>
      <w:r w:rsidR="0089382F">
        <w:rPr>
          <w:rFonts w:hint="cs"/>
          <w:rtl/>
        </w:rPr>
        <w:t>6</w:t>
      </w:r>
      <w:r w:rsidR="00783D11">
        <w:rPr>
          <w:rFonts w:hint="cs"/>
          <w:rtl/>
        </w:rPr>
        <w:t xml:space="preserve"> </w:t>
      </w:r>
      <w:r w:rsidR="00B673DD">
        <w:rPr>
          <w:rFonts w:hint="cs"/>
          <w:rtl/>
        </w:rPr>
        <w:t>يوليو</w:t>
      </w:r>
      <w:r w:rsidR="007205B1">
        <w:rPr>
          <w:rFonts w:hint="cs"/>
          <w:rtl/>
        </w:rPr>
        <w:t xml:space="preserve"> </w:t>
      </w:r>
      <w:r w:rsidR="0089382F">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27A46" w:rsidP="00FB7EC9">
      <w:pPr>
        <w:pStyle w:val="DocumentTitleAR"/>
        <w:bidi/>
        <w:rPr>
          <w:rtl/>
        </w:rPr>
      </w:pPr>
      <w:r w:rsidRPr="00B27A46">
        <w:rPr>
          <w:rtl/>
        </w:rPr>
        <w:t>الاستعاضة</w:t>
      </w:r>
    </w:p>
    <w:p w:rsidR="00D61541" w:rsidRPr="00D61541" w:rsidRDefault="00B27A4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CF79DF" w:rsidRPr="00B27A46" w:rsidRDefault="00B27A46" w:rsidP="00B27A46">
      <w:pPr>
        <w:pStyle w:val="NormalParaAR"/>
        <w:keepNext/>
        <w:rPr>
          <w:b/>
          <w:bCs/>
          <w:sz w:val="40"/>
          <w:szCs w:val="40"/>
          <w:rtl/>
        </w:rPr>
      </w:pPr>
      <w:r w:rsidRPr="00B27A46">
        <w:rPr>
          <w:rFonts w:hint="cs"/>
          <w:b/>
          <w:bCs/>
          <w:sz w:val="40"/>
          <w:szCs w:val="40"/>
          <w:rtl/>
        </w:rPr>
        <w:t>مقدمة</w:t>
      </w:r>
    </w:p>
    <w:p w:rsidR="00B27A46" w:rsidRDefault="00E61DBA" w:rsidP="00AB729A">
      <w:pPr>
        <w:pStyle w:val="NormalParaAR"/>
        <w:numPr>
          <w:ilvl w:val="0"/>
          <w:numId w:val="21"/>
        </w:numPr>
        <w:ind w:left="-1" w:firstLine="0"/>
      </w:pPr>
      <w:r>
        <w:rPr>
          <w:rFonts w:hint="cs"/>
          <w:rtl/>
        </w:rPr>
        <w:t xml:space="preserve">وافق </w:t>
      </w:r>
      <w:r w:rsidRPr="00F369E7">
        <w:rPr>
          <w:rtl/>
        </w:rPr>
        <w:t>الفريق العامل المعني بالتطوير القانوني لنظام مدريد بشأن التسجيل الدولي للعلامات</w:t>
      </w:r>
      <w:r w:rsidR="00EE27CF">
        <w:rPr>
          <w:rFonts w:hint="cs"/>
          <w:rtl/>
        </w:rPr>
        <w:t xml:space="preserve"> </w:t>
      </w:r>
      <w:r w:rsidR="00B16545" w:rsidRPr="00B16545">
        <w:rPr>
          <w:rtl/>
        </w:rPr>
        <w:t>(المشار إليهما فيما يلي باسم "</w:t>
      </w:r>
      <w:r w:rsidR="00B16545">
        <w:rPr>
          <w:rFonts w:hint="cs"/>
          <w:rtl/>
        </w:rPr>
        <w:t>الفريق العامل</w:t>
      </w:r>
      <w:r w:rsidR="00B16545" w:rsidRPr="00B16545">
        <w:rPr>
          <w:rtl/>
        </w:rPr>
        <w:t>" و"</w:t>
      </w:r>
      <w:r w:rsidR="00B16545">
        <w:rPr>
          <w:rFonts w:hint="cs"/>
          <w:rtl/>
        </w:rPr>
        <w:t>نظام مدريد</w:t>
      </w:r>
      <w:r w:rsidR="00B16545" w:rsidRPr="00B16545">
        <w:rPr>
          <w:rtl/>
        </w:rPr>
        <w:t xml:space="preserve">" على التوالي) </w:t>
      </w:r>
      <w:r>
        <w:rPr>
          <w:rFonts w:hint="cs"/>
          <w:rtl/>
        </w:rPr>
        <w:t xml:space="preserve"> في دورته الخامسة عشرة ال</w:t>
      </w:r>
      <w:r w:rsidR="00B16545">
        <w:rPr>
          <w:rFonts w:hint="cs"/>
          <w:rtl/>
        </w:rPr>
        <w:t>م</w:t>
      </w:r>
      <w:r>
        <w:rPr>
          <w:rFonts w:hint="cs"/>
          <w:rtl/>
        </w:rPr>
        <w:t>عقودة في جنيف في الفترة من 19 إلى 22 يونيو</w:t>
      </w:r>
      <w:r w:rsidR="00B16545">
        <w:rPr>
          <w:rFonts w:hint="cs"/>
          <w:rtl/>
        </w:rPr>
        <w:t xml:space="preserve"> 2017</w:t>
      </w:r>
      <w:r w:rsidR="00BE1E5B">
        <w:rPr>
          <w:rFonts w:hint="cs"/>
          <w:rtl/>
        </w:rPr>
        <w:t xml:space="preserve"> مبدئيا على التعديلات </w:t>
      </w:r>
      <w:r w:rsidR="00EE27CF">
        <w:rPr>
          <w:rFonts w:hint="cs"/>
          <w:rtl/>
        </w:rPr>
        <w:t>المقترح إدخالها على القاعدة 21</w:t>
      </w:r>
      <w:r>
        <w:rPr>
          <w:rFonts w:hint="cs"/>
          <w:rtl/>
        </w:rPr>
        <w:t xml:space="preserve"> </w:t>
      </w:r>
      <w:r w:rsidR="00EE27CF">
        <w:rPr>
          <w:rFonts w:hint="cs"/>
          <w:rtl/>
        </w:rPr>
        <w:t>من اللوائح</w:t>
      </w:r>
      <w:r w:rsidR="002E2AA1">
        <w:rPr>
          <w:rFonts w:hint="cs"/>
          <w:rtl/>
        </w:rPr>
        <w:t xml:space="preserve"> التنفيذية</w:t>
      </w:r>
      <w:r w:rsidR="00EE27CF">
        <w:rPr>
          <w:rFonts w:hint="cs"/>
          <w:rtl/>
        </w:rPr>
        <w:t xml:space="preserve"> المشتركة في إطار اتفاق </w:t>
      </w:r>
      <w:r w:rsidR="00EE27CF" w:rsidRPr="00F369E7">
        <w:rPr>
          <w:rtl/>
        </w:rPr>
        <w:t>مدريد بشأن التسجيل الدولي للعلامات</w:t>
      </w:r>
      <w:r w:rsidRPr="00E61DBA">
        <w:rPr>
          <w:rtl/>
        </w:rPr>
        <w:t xml:space="preserve"> و</w:t>
      </w:r>
      <w:r w:rsidR="00EE27CF">
        <w:rPr>
          <w:rFonts w:hint="cs"/>
          <w:rtl/>
        </w:rPr>
        <w:t>ال</w:t>
      </w:r>
      <w:r w:rsidRPr="00E61DBA">
        <w:rPr>
          <w:rtl/>
        </w:rPr>
        <w:t>بروتوكول</w:t>
      </w:r>
      <w:r w:rsidR="00EE27CF">
        <w:rPr>
          <w:rFonts w:hint="cs"/>
          <w:rtl/>
        </w:rPr>
        <w:t xml:space="preserve"> المتعلق بهذا الاتفاق</w:t>
      </w:r>
      <w:r w:rsidRPr="00E61DBA">
        <w:rPr>
          <w:rtl/>
        </w:rPr>
        <w:t xml:space="preserve"> </w:t>
      </w:r>
      <w:r w:rsidR="002E2AA1" w:rsidRPr="002E2AA1">
        <w:rPr>
          <w:rtl/>
        </w:rPr>
        <w:t>(المشار إليهما فيما يلي باسم "اللائحة التنفيذية المشتركة" و"البروتوكول" على التوالي)</w:t>
      </w:r>
      <w:r w:rsidR="002E2AA1">
        <w:rPr>
          <w:rFonts w:hint="cs"/>
          <w:rtl/>
        </w:rPr>
        <w:t xml:space="preserve"> وعلى البند الجديد </w:t>
      </w:r>
      <w:r w:rsidR="002E2AA1" w:rsidRPr="002E2AA1">
        <w:rPr>
          <w:rtl/>
        </w:rPr>
        <w:t>7.8 من جدول الرسوم</w:t>
      </w:r>
      <w:r w:rsidR="002E2AA1">
        <w:rPr>
          <w:rFonts w:hint="cs"/>
          <w:rtl/>
        </w:rPr>
        <w:t xml:space="preserve"> كما هو مشار إليه في ال</w:t>
      </w:r>
      <w:r w:rsidR="008A4C3A">
        <w:rPr>
          <w:rFonts w:hint="cs"/>
          <w:rtl/>
        </w:rPr>
        <w:t>مرفق الأول من تقرير هذه الدورة.</w:t>
      </w:r>
      <w:r w:rsidR="008A4C3A">
        <w:rPr>
          <w:rStyle w:val="FootnoteReference"/>
          <w:rtl/>
        </w:rPr>
        <w:footnoteReference w:id="1"/>
      </w:r>
    </w:p>
    <w:p w:rsidR="006376E8" w:rsidRDefault="008E40F9" w:rsidP="006376E8">
      <w:pPr>
        <w:pStyle w:val="NormalParaAR"/>
        <w:numPr>
          <w:ilvl w:val="0"/>
          <w:numId w:val="21"/>
        </w:numPr>
        <w:ind w:left="-1" w:firstLine="0"/>
        <w:rPr>
          <w:rtl/>
        </w:rPr>
      </w:pPr>
      <w:r>
        <w:rPr>
          <w:rFonts w:hint="cs"/>
          <w:rtl/>
        </w:rPr>
        <w:t>وبالإضافة إلى ذلك</w:t>
      </w:r>
      <w:r w:rsidR="00747FEA">
        <w:rPr>
          <w:rFonts w:hint="cs"/>
          <w:rtl/>
        </w:rPr>
        <w:t>،</w:t>
      </w:r>
      <w:r>
        <w:rPr>
          <w:rFonts w:hint="cs"/>
          <w:rtl/>
        </w:rPr>
        <w:t xml:space="preserve"> </w:t>
      </w:r>
      <w:r w:rsidR="00747FEA">
        <w:rPr>
          <w:rFonts w:hint="cs"/>
          <w:rtl/>
        </w:rPr>
        <w:t>طلب</w:t>
      </w:r>
      <w:r w:rsidRPr="008E40F9">
        <w:rPr>
          <w:rtl/>
        </w:rPr>
        <w:t xml:space="preserve"> الفريق العامل من المكتب الدولي</w:t>
      </w:r>
      <w:r w:rsidR="009B6B4B">
        <w:rPr>
          <w:rFonts w:hint="cs"/>
          <w:rtl/>
        </w:rPr>
        <w:t xml:space="preserve"> إعداد وثيقة</w:t>
      </w:r>
      <w:r w:rsidRPr="008E40F9">
        <w:rPr>
          <w:rtl/>
        </w:rPr>
        <w:t xml:space="preserve"> </w:t>
      </w:r>
      <w:r>
        <w:rPr>
          <w:rFonts w:hint="cs"/>
          <w:rtl/>
        </w:rPr>
        <w:t>يقترح فيها تاريخا يدخل فيه التعديل على القاعدة 21 من اللوائح التنفيذية ال</w:t>
      </w:r>
      <w:r w:rsidR="009B6B4B">
        <w:rPr>
          <w:rFonts w:hint="cs"/>
          <w:rtl/>
        </w:rPr>
        <w:t xml:space="preserve">مشتركة </w:t>
      </w:r>
      <w:r w:rsidR="00FA30F1">
        <w:rPr>
          <w:rFonts w:hint="cs"/>
          <w:rtl/>
        </w:rPr>
        <w:t>حيز النفاذ</w:t>
      </w:r>
      <w:r w:rsidR="009B6B4B">
        <w:rPr>
          <w:rFonts w:hint="cs"/>
          <w:rtl/>
        </w:rPr>
        <w:t xml:space="preserve"> ويقترح أيضا مبلغ الرس</w:t>
      </w:r>
      <w:r w:rsidR="00FA30F1">
        <w:rPr>
          <w:rFonts w:hint="cs"/>
          <w:rtl/>
        </w:rPr>
        <w:t xml:space="preserve">م </w:t>
      </w:r>
      <w:r w:rsidR="009B6B4B">
        <w:rPr>
          <w:rFonts w:hint="cs"/>
          <w:rtl/>
        </w:rPr>
        <w:t>المقرر تحديده</w:t>
      </w:r>
      <w:r w:rsidR="00FA30F1">
        <w:rPr>
          <w:rFonts w:hint="cs"/>
          <w:rtl/>
        </w:rPr>
        <w:t xml:space="preserve"> في البند الجديد </w:t>
      </w:r>
      <w:r w:rsidR="009B6B4B">
        <w:rPr>
          <w:rFonts w:hint="cs"/>
          <w:rtl/>
        </w:rPr>
        <w:t>7.8</w:t>
      </w:r>
      <w:r w:rsidR="00FA30F1">
        <w:rPr>
          <w:rFonts w:hint="cs"/>
          <w:rtl/>
        </w:rPr>
        <w:t xml:space="preserve"> من جدول الرسوم،</w:t>
      </w:r>
      <w:r w:rsidR="009B6B4B">
        <w:rPr>
          <w:rFonts w:hint="cs"/>
          <w:rtl/>
        </w:rPr>
        <w:t xml:space="preserve"> على أن تناقش</w:t>
      </w:r>
      <w:r w:rsidR="00A76877">
        <w:rPr>
          <w:rFonts w:hint="cs"/>
          <w:rtl/>
        </w:rPr>
        <w:t xml:space="preserve"> هذه الوثيقة</w:t>
      </w:r>
      <w:r w:rsidR="009B6B4B">
        <w:rPr>
          <w:rFonts w:hint="cs"/>
          <w:rtl/>
        </w:rPr>
        <w:t xml:space="preserve"> في دورته </w:t>
      </w:r>
      <w:r w:rsidR="00EF11ED">
        <w:rPr>
          <w:rFonts w:hint="cs"/>
          <w:rtl/>
        </w:rPr>
        <w:t>القادمة</w:t>
      </w:r>
      <w:r w:rsidR="009B6B4B">
        <w:rPr>
          <w:rFonts w:hint="cs"/>
          <w:rtl/>
        </w:rPr>
        <w:t xml:space="preserve">. </w:t>
      </w:r>
      <w:r w:rsidR="00FA30F1">
        <w:rPr>
          <w:rFonts w:hint="cs"/>
          <w:rtl/>
        </w:rPr>
        <w:t xml:space="preserve"> </w:t>
      </w:r>
    </w:p>
    <w:p w:rsidR="006376E8" w:rsidRDefault="006376E8">
      <w:pPr>
        <w:rPr>
          <w:rFonts w:ascii="Arabic Typesetting" w:hAnsi="Arabic Typesetting" w:cs="Arabic Typesetting"/>
          <w:sz w:val="36"/>
          <w:szCs w:val="36"/>
          <w:rtl/>
        </w:rPr>
      </w:pPr>
      <w:r>
        <w:rPr>
          <w:rtl/>
        </w:rPr>
        <w:br w:type="page"/>
      </w:r>
    </w:p>
    <w:p w:rsidR="00D6333A" w:rsidRPr="006376E8" w:rsidRDefault="00990351" w:rsidP="00D6333A">
      <w:pPr>
        <w:pStyle w:val="NormalParaAR"/>
        <w:keepNext/>
        <w:numPr>
          <w:ilvl w:val="0"/>
          <w:numId w:val="21"/>
        </w:numPr>
        <w:ind w:left="-1" w:firstLine="0"/>
        <w:rPr>
          <w:b/>
          <w:bCs/>
          <w:sz w:val="40"/>
          <w:szCs w:val="40"/>
          <w:rtl/>
          <w:lang w:bidi="ar-EG"/>
        </w:rPr>
      </w:pPr>
      <w:r w:rsidRPr="006376E8">
        <w:rPr>
          <w:rFonts w:hint="cs"/>
          <w:b/>
          <w:bCs/>
          <w:sz w:val="40"/>
          <w:szCs w:val="40"/>
          <w:rtl/>
        </w:rPr>
        <w:lastRenderedPageBreak/>
        <w:t>تنفيذ الأطراف المتعاقدة  للتعديلات المقترحة</w:t>
      </w:r>
    </w:p>
    <w:p w:rsidR="00D6333A" w:rsidRDefault="004A3657" w:rsidP="00AB729A">
      <w:pPr>
        <w:pStyle w:val="NormalParaAR"/>
        <w:numPr>
          <w:ilvl w:val="0"/>
          <w:numId w:val="21"/>
        </w:numPr>
        <w:ind w:left="-1" w:firstLine="0"/>
      </w:pPr>
      <w:r>
        <w:rPr>
          <w:rFonts w:hint="cs"/>
          <w:rtl/>
        </w:rPr>
        <w:t>أثناء مناقشة التاريخ الذي يمكن أن تدخل فيه التعديلات المقترح إدخالها على القاعدة 21 من اللوائح المشتركة حيز النفاذ، أحاطت الوفود في الفريق العامل علما أن هذه التعديلات قد تتطلب إدخال تعديلات معيارية وإجرائية مهمة</w:t>
      </w:r>
      <w:r w:rsidR="00B978A4">
        <w:rPr>
          <w:rtl/>
        </w:rPr>
        <w:t>.</w:t>
      </w:r>
      <w:r>
        <w:t xml:space="preserve"> </w:t>
      </w:r>
      <w:r w:rsidR="00C00B48">
        <w:rPr>
          <w:rFonts w:hint="cs"/>
          <w:rtl/>
        </w:rPr>
        <w:t xml:space="preserve">وأعربت بعض الوفود أن هذه التغييرات </w:t>
      </w:r>
      <w:r w:rsidR="00E80673">
        <w:rPr>
          <w:rFonts w:hint="cs"/>
          <w:rtl/>
        </w:rPr>
        <w:t xml:space="preserve">قد تثمل عبئا ثقيلا على الأطراف المتعاقدة التي لديها إطارها القانوني وعملياتها على أرض الواقع </w:t>
      </w:r>
      <w:r w:rsidR="00254B69">
        <w:rPr>
          <w:rFonts w:hint="cs"/>
          <w:rtl/>
        </w:rPr>
        <w:t>من حيث إحاطتها علما</w:t>
      </w:r>
      <w:r w:rsidR="00E80673">
        <w:rPr>
          <w:rFonts w:hint="cs"/>
          <w:rtl/>
        </w:rPr>
        <w:t xml:space="preserve"> في سجلها بالاستعاضة عن تسجيل وطني أو إقليمي  بتسجيل دولي، طبقا </w:t>
      </w:r>
      <w:r w:rsidR="00FF55D8">
        <w:rPr>
          <w:rFonts w:hint="cs"/>
          <w:rtl/>
        </w:rPr>
        <w:t>ل</w:t>
      </w:r>
      <w:r w:rsidR="00FF55D8" w:rsidRPr="00FF55D8">
        <w:rPr>
          <w:rtl/>
        </w:rPr>
        <w:t>لمادة 4(ثانيا)(2)</w:t>
      </w:r>
      <w:r w:rsidR="00FF55D8">
        <w:rPr>
          <w:rFonts w:hint="cs"/>
          <w:rtl/>
        </w:rPr>
        <w:t xml:space="preserve"> من بروتوكول مدريد. وأشارت وفود أخرى أنه سيكون لإدخال التعديلات المذكورة تبعات على نظام تكنولوجيا المعلومات والاتصالات </w:t>
      </w:r>
      <w:r w:rsidR="00BC2021">
        <w:rPr>
          <w:rFonts w:hint="cs"/>
          <w:rtl/>
        </w:rPr>
        <w:t xml:space="preserve">للأطراف المتعاقدة. وطلبت الوفود أن يأخذ المكتب الدولي في الاعتبار ما ذكر سابقا عند اقتراح التاريخ الذي ستدخل فيه التعديلات المقترحة حيز النفاذ. </w:t>
      </w:r>
    </w:p>
    <w:p w:rsidR="00B978A4" w:rsidRDefault="00254B69" w:rsidP="00AB729A">
      <w:pPr>
        <w:pStyle w:val="NormalParaAR"/>
        <w:numPr>
          <w:ilvl w:val="0"/>
          <w:numId w:val="21"/>
        </w:numPr>
        <w:ind w:left="-1" w:firstLine="0"/>
      </w:pPr>
      <w:r>
        <w:rPr>
          <w:rFonts w:hint="cs"/>
          <w:rtl/>
        </w:rPr>
        <w:t xml:space="preserve">وبالإضافة </w:t>
      </w:r>
      <w:r w:rsidR="006323F7">
        <w:rPr>
          <w:rFonts w:hint="cs"/>
          <w:rtl/>
        </w:rPr>
        <w:t xml:space="preserve">إلى ذلك، بدا أنه لم يكن هناك توافق في الآراء بشأن </w:t>
      </w:r>
      <w:r w:rsidR="00BE72D2">
        <w:rPr>
          <w:rFonts w:hint="cs"/>
          <w:rtl/>
        </w:rPr>
        <w:t>التاريخ</w:t>
      </w:r>
      <w:r w:rsidR="006323F7">
        <w:rPr>
          <w:rFonts w:hint="cs"/>
          <w:rtl/>
        </w:rPr>
        <w:t xml:space="preserve"> الذي ستطلب فيه الأطراف المتعاقدة تطبيق التعديلات المذكورة أعلاه. </w:t>
      </w:r>
      <w:r w:rsidR="00C31AB0">
        <w:rPr>
          <w:rFonts w:hint="cs"/>
          <w:rtl/>
        </w:rPr>
        <w:t xml:space="preserve">واقترح رئيس الفريق </w:t>
      </w:r>
      <w:r w:rsidR="00946EEA">
        <w:rPr>
          <w:rFonts w:hint="cs"/>
          <w:rtl/>
        </w:rPr>
        <w:t>العامل</w:t>
      </w:r>
      <w:r w:rsidR="00C31AB0">
        <w:rPr>
          <w:rFonts w:hint="cs"/>
          <w:rtl/>
        </w:rPr>
        <w:t xml:space="preserve"> أن تتشاور الوفود مع </w:t>
      </w:r>
      <w:r w:rsidR="00B62C3A">
        <w:rPr>
          <w:rFonts w:hint="cs"/>
          <w:rtl/>
        </w:rPr>
        <w:t>السلطات</w:t>
      </w:r>
      <w:r w:rsidR="00C31AB0">
        <w:rPr>
          <w:rFonts w:hint="cs"/>
          <w:rtl/>
        </w:rPr>
        <w:t xml:space="preserve"> الوطنية أو الإقليمية ذات الصلة لتحديد هذا </w:t>
      </w:r>
      <w:r w:rsidR="009F2D85">
        <w:rPr>
          <w:rFonts w:hint="cs"/>
          <w:rtl/>
        </w:rPr>
        <w:t>التاريخ</w:t>
      </w:r>
      <w:r w:rsidR="00BE72D2">
        <w:rPr>
          <w:rFonts w:hint="cs"/>
          <w:rtl/>
        </w:rPr>
        <w:t xml:space="preserve"> والتعمق في مناقشة هذه القضية في الدورة القادمة للفريق العامل</w:t>
      </w:r>
      <w:r w:rsidR="00AF3F26" w:rsidRPr="00AF3F26">
        <w:rPr>
          <w:rtl/>
        </w:rPr>
        <w:t>.</w:t>
      </w:r>
    </w:p>
    <w:p w:rsidR="0005482C" w:rsidRDefault="00815D46" w:rsidP="00463D93">
      <w:pPr>
        <w:pStyle w:val="NormalParaAR"/>
        <w:numPr>
          <w:ilvl w:val="0"/>
          <w:numId w:val="21"/>
        </w:numPr>
        <w:ind w:left="-1" w:firstLine="0"/>
      </w:pPr>
      <w:r>
        <w:rPr>
          <w:rFonts w:hint="cs"/>
          <w:rtl/>
        </w:rPr>
        <w:t>وإن الفريق العامل مدعو لمناقشة القضية المشار إليها في الفقرة السابقة</w:t>
      </w:r>
      <w:r w:rsidR="00DA6152">
        <w:rPr>
          <w:rFonts w:hint="cs"/>
          <w:rtl/>
        </w:rPr>
        <w:t xml:space="preserve">، لتحدد التاريخ الذي </w:t>
      </w:r>
      <w:r w:rsidR="009116CC">
        <w:rPr>
          <w:rFonts w:hint="cs"/>
          <w:rtl/>
        </w:rPr>
        <w:t>تطلب</w:t>
      </w:r>
      <w:r w:rsidR="00DA6152">
        <w:rPr>
          <w:rFonts w:hint="cs"/>
          <w:rtl/>
        </w:rPr>
        <w:t xml:space="preserve"> فيه الأطراف المتعاقدة تنفيذ القاعدة 21 المعدلة</w:t>
      </w:r>
      <w:r w:rsidR="00BB53D3">
        <w:rPr>
          <w:rFonts w:hint="cs"/>
          <w:rtl/>
        </w:rPr>
        <w:t xml:space="preserve">، ولاسيما </w:t>
      </w:r>
      <w:r w:rsidR="00213A74">
        <w:rPr>
          <w:rFonts w:hint="cs"/>
          <w:rtl/>
        </w:rPr>
        <w:t>آلية الإيداع المركزي</w:t>
      </w:r>
      <w:r w:rsidR="00463D93">
        <w:rPr>
          <w:rFonts w:hint="cs"/>
          <w:rtl/>
        </w:rPr>
        <w:t xml:space="preserve"> </w:t>
      </w:r>
      <w:r w:rsidR="00213A74">
        <w:rPr>
          <w:rFonts w:hint="cs"/>
          <w:rtl/>
        </w:rPr>
        <w:t>الاختيارية</w:t>
      </w:r>
      <w:r w:rsidR="00E13344">
        <w:rPr>
          <w:rFonts w:hint="cs"/>
          <w:rtl/>
        </w:rPr>
        <w:t xml:space="preserve"> </w:t>
      </w:r>
      <w:r w:rsidR="00BB53D3">
        <w:rPr>
          <w:rFonts w:hint="cs"/>
          <w:rtl/>
        </w:rPr>
        <w:t>التي تنص عليها القاعدة المع</w:t>
      </w:r>
      <w:r w:rsidR="007E1667">
        <w:rPr>
          <w:rFonts w:hint="cs"/>
          <w:rtl/>
        </w:rPr>
        <w:t>د</w:t>
      </w:r>
      <w:r w:rsidR="00BB53D3">
        <w:rPr>
          <w:rFonts w:hint="cs"/>
          <w:rtl/>
        </w:rPr>
        <w:t xml:space="preserve">لة. </w:t>
      </w:r>
    </w:p>
    <w:p w:rsidR="00803FBB" w:rsidRDefault="00803FBB" w:rsidP="00803FBB">
      <w:pPr>
        <w:pStyle w:val="NormalParaAR"/>
        <w:keepNext/>
      </w:pPr>
      <w:r w:rsidRPr="00803FBB">
        <w:rPr>
          <w:b/>
          <w:bCs/>
          <w:sz w:val="40"/>
          <w:szCs w:val="40"/>
          <w:rtl/>
        </w:rPr>
        <w:t xml:space="preserve">تنفيذ </w:t>
      </w:r>
      <w:r>
        <w:rPr>
          <w:rFonts w:hint="cs"/>
          <w:b/>
          <w:bCs/>
          <w:sz w:val="40"/>
          <w:szCs w:val="40"/>
          <w:rtl/>
        </w:rPr>
        <w:t>المكتب الدولي</w:t>
      </w:r>
      <w:r w:rsidRPr="00803FBB">
        <w:rPr>
          <w:b/>
          <w:bCs/>
          <w:sz w:val="40"/>
          <w:szCs w:val="40"/>
          <w:rtl/>
        </w:rPr>
        <w:t xml:space="preserve"> للتعديلات المقترحة</w:t>
      </w:r>
    </w:p>
    <w:p w:rsidR="00753CFD" w:rsidRDefault="00BE0571" w:rsidP="00A4705D">
      <w:pPr>
        <w:pStyle w:val="NormalParaAR"/>
        <w:numPr>
          <w:ilvl w:val="0"/>
          <w:numId w:val="21"/>
        </w:numPr>
        <w:ind w:left="-1" w:firstLine="0"/>
      </w:pPr>
      <w:r>
        <w:rPr>
          <w:rFonts w:hint="cs"/>
          <w:rtl/>
        </w:rPr>
        <w:t xml:space="preserve">أحاطت الأمانة علما في الدورة الخامسة عشرة للفريق العامل أنه في هذه المرحلة لم يكن معروفا الوقت </w:t>
      </w:r>
      <w:r w:rsidR="00616A1B">
        <w:rPr>
          <w:rFonts w:hint="cs"/>
          <w:rtl/>
        </w:rPr>
        <w:t>اللازم ولا</w:t>
      </w:r>
      <w:r w:rsidR="00616A1B" w:rsidRPr="00616A1B">
        <w:rPr>
          <w:rtl/>
        </w:rPr>
        <w:t xml:space="preserve"> الموارد</w:t>
      </w:r>
      <w:r>
        <w:rPr>
          <w:rFonts w:hint="cs"/>
          <w:rtl/>
        </w:rPr>
        <w:t xml:space="preserve"> </w:t>
      </w:r>
      <w:r w:rsidR="00616A1B">
        <w:rPr>
          <w:rFonts w:hint="cs"/>
          <w:rtl/>
        </w:rPr>
        <w:t xml:space="preserve">الضرورية </w:t>
      </w:r>
      <w:r>
        <w:rPr>
          <w:rFonts w:hint="cs"/>
          <w:rtl/>
        </w:rPr>
        <w:t xml:space="preserve">لتنفيذ الإجراءات الجديدة المحتملة </w:t>
      </w:r>
      <w:r w:rsidR="00F446D8">
        <w:rPr>
          <w:rFonts w:hint="cs"/>
          <w:rtl/>
        </w:rPr>
        <w:t>ذات الصلة ب</w:t>
      </w:r>
      <w:r w:rsidR="00213A74">
        <w:rPr>
          <w:rFonts w:hint="cs"/>
          <w:rtl/>
        </w:rPr>
        <w:t>آلية الإيداع المركزي الاختيارية</w:t>
      </w:r>
      <w:r w:rsidR="00E13344">
        <w:rPr>
          <w:rFonts w:hint="cs"/>
          <w:rtl/>
        </w:rPr>
        <w:t xml:space="preserve"> </w:t>
      </w:r>
      <w:r w:rsidR="00F446D8">
        <w:rPr>
          <w:rFonts w:hint="cs"/>
          <w:rtl/>
        </w:rPr>
        <w:t>بموجب التعديلات المقترح إدخالها على القاعدة 21 من اللوائح التنفيذية المشتركة.</w:t>
      </w:r>
      <w:r w:rsidR="00065A97">
        <w:rPr>
          <w:rFonts w:hint="cs"/>
          <w:rtl/>
        </w:rPr>
        <w:t xml:space="preserve"> وأشارت الأمان</w:t>
      </w:r>
      <w:r w:rsidR="00065A97">
        <w:rPr>
          <w:rFonts w:hint="eastAsia"/>
          <w:rtl/>
        </w:rPr>
        <w:t>ة</w:t>
      </w:r>
      <w:r w:rsidR="00065A97">
        <w:rPr>
          <w:rFonts w:hint="cs"/>
          <w:rtl/>
        </w:rPr>
        <w:t xml:space="preserve"> إلى أن صياغة </w:t>
      </w:r>
      <w:proofErr w:type="spellStart"/>
      <w:r w:rsidR="00065A97">
        <w:rPr>
          <w:rFonts w:hint="cs"/>
          <w:rtl/>
        </w:rPr>
        <w:t>وأتمتة</w:t>
      </w:r>
      <w:proofErr w:type="spellEnd"/>
      <w:r w:rsidR="00065A97">
        <w:rPr>
          <w:rFonts w:hint="cs"/>
          <w:rtl/>
        </w:rPr>
        <w:t xml:space="preserve"> الإجراءات ذات الصلة كانت أكثر تعقيدا واستهلاكا للموارد أكثر ما بدا عليه الأمر في الوهلة الأولى</w:t>
      </w:r>
      <w:r w:rsidR="00C85837" w:rsidRPr="00C85837">
        <w:rPr>
          <w:rtl/>
        </w:rPr>
        <w:t>.</w:t>
      </w:r>
    </w:p>
    <w:p w:rsidR="00C85837" w:rsidRDefault="00065A97" w:rsidP="00BA2052">
      <w:pPr>
        <w:pStyle w:val="NormalParaAR"/>
        <w:numPr>
          <w:ilvl w:val="0"/>
          <w:numId w:val="21"/>
        </w:numPr>
        <w:ind w:left="-1" w:firstLine="0"/>
      </w:pPr>
      <w:r>
        <w:rPr>
          <w:rFonts w:hint="cs"/>
          <w:rtl/>
        </w:rPr>
        <w:t xml:space="preserve">وفي هذا السياق، </w:t>
      </w:r>
      <w:r w:rsidR="00BA2052">
        <w:rPr>
          <w:rFonts w:hint="cs"/>
          <w:rtl/>
        </w:rPr>
        <w:t>تجدر</w:t>
      </w:r>
      <w:r>
        <w:rPr>
          <w:rFonts w:hint="cs"/>
          <w:rtl/>
        </w:rPr>
        <w:t xml:space="preserve"> الإشارة، طبقا </w:t>
      </w:r>
      <w:r w:rsidR="00393CAC">
        <w:rPr>
          <w:rFonts w:hint="cs"/>
          <w:rtl/>
        </w:rPr>
        <w:t xml:space="preserve">لقرار الدول الأعضاء في الويبو، إلى أن نظام مدريد يعكف حاليا على مشروع  </w:t>
      </w:r>
      <w:r w:rsidR="005E2217">
        <w:rPr>
          <w:rFonts w:hint="cs"/>
          <w:rtl/>
        </w:rPr>
        <w:t>ال</w:t>
      </w:r>
      <w:r w:rsidR="00393CAC">
        <w:rPr>
          <w:rFonts w:hint="cs"/>
          <w:rtl/>
        </w:rPr>
        <w:t xml:space="preserve">منصة </w:t>
      </w:r>
      <w:r w:rsidR="005E2217">
        <w:rPr>
          <w:rFonts w:hint="cs"/>
          <w:rtl/>
        </w:rPr>
        <w:t>المعلوماتية</w:t>
      </w:r>
      <w:r w:rsidR="00393CAC">
        <w:rPr>
          <w:rFonts w:hint="cs"/>
          <w:rtl/>
        </w:rPr>
        <w:t xml:space="preserve"> بغرض تحقيق الهدف التالي: "[...] </w:t>
      </w:r>
      <w:r w:rsidR="00393CAC" w:rsidRPr="00393CAC">
        <w:rPr>
          <w:rtl/>
        </w:rPr>
        <w:t>تصميم وتخطيط وتنفيذ المكونات الأساسية لحل شامل وسريع وعلى أحدث طراز لأعمال جميع خدمات نظام مدريد</w:t>
      </w:r>
      <w:r w:rsidR="00393CAC">
        <w:rPr>
          <w:rFonts w:hint="cs"/>
          <w:rtl/>
        </w:rPr>
        <w:t>"</w:t>
      </w:r>
      <w:r w:rsidR="001F538A" w:rsidRPr="001F538A">
        <w:rPr>
          <w:rtl/>
        </w:rPr>
        <w:t>.</w:t>
      </w:r>
      <w:r w:rsidR="005E2217">
        <w:rPr>
          <w:rStyle w:val="FootnoteReference"/>
          <w:rtl/>
        </w:rPr>
        <w:footnoteReference w:id="2"/>
      </w:r>
    </w:p>
    <w:p w:rsidR="00825485" w:rsidRDefault="001A051F" w:rsidP="00AB729A">
      <w:pPr>
        <w:pStyle w:val="NormalParaAR"/>
        <w:numPr>
          <w:ilvl w:val="0"/>
          <w:numId w:val="21"/>
        </w:numPr>
        <w:ind w:left="-1" w:firstLine="0"/>
      </w:pPr>
      <w:r>
        <w:rPr>
          <w:rFonts w:hint="cs"/>
          <w:rtl/>
        </w:rPr>
        <w:t xml:space="preserve">وكجزء من المشروع، سيجري المكتب الدولي تقييما شاملا لجميع خدماته في نظام مدريد بغية استحداث </w:t>
      </w:r>
      <w:r w:rsidR="0045070C">
        <w:rPr>
          <w:rFonts w:hint="cs"/>
          <w:rtl/>
          <w:lang w:val="en-GB" w:bidi="ar-MA"/>
        </w:rPr>
        <w:t xml:space="preserve">منصة شاملة تركز على العملاء بغرض تقديم هذه الخدمات في صيغة </w:t>
      </w:r>
      <w:r w:rsidR="00C25988">
        <w:rPr>
          <w:rFonts w:hint="cs"/>
          <w:rtl/>
          <w:lang w:val="en-GB" w:bidi="ar-MA"/>
        </w:rPr>
        <w:t>تتميز</w:t>
      </w:r>
      <w:r w:rsidR="0045070C">
        <w:rPr>
          <w:rFonts w:hint="cs"/>
          <w:rtl/>
          <w:lang w:val="en-GB" w:bidi="ar-MA"/>
        </w:rPr>
        <w:t xml:space="preserve"> </w:t>
      </w:r>
      <w:r w:rsidR="00C25988">
        <w:rPr>
          <w:rFonts w:hint="cs"/>
          <w:rtl/>
          <w:lang w:val="en-GB" w:bidi="ar-MA"/>
        </w:rPr>
        <w:t>ب</w:t>
      </w:r>
      <w:r w:rsidR="0045070C">
        <w:rPr>
          <w:rFonts w:hint="cs"/>
          <w:rtl/>
          <w:lang w:val="en-GB" w:bidi="ar-MA"/>
        </w:rPr>
        <w:t>الجودة والمرونة والآنية التي يتوقعها المستخدمين</w:t>
      </w:r>
      <w:r w:rsidR="009C1BEF" w:rsidRPr="009C1BEF">
        <w:rPr>
          <w:rtl/>
        </w:rPr>
        <w:t>.</w:t>
      </w:r>
    </w:p>
    <w:p w:rsidR="009C1BEF" w:rsidRPr="001A1767" w:rsidRDefault="00311A9D" w:rsidP="00AB729A">
      <w:pPr>
        <w:pStyle w:val="NormalParaAR"/>
        <w:numPr>
          <w:ilvl w:val="0"/>
          <w:numId w:val="21"/>
        </w:numPr>
        <w:ind w:left="-1" w:firstLine="0"/>
      </w:pPr>
      <w:r>
        <w:rPr>
          <w:rFonts w:hint="cs"/>
          <w:rtl/>
        </w:rPr>
        <w:t>ووفقا لذلك، قد يكون الأمر حساسا إذا</w:t>
      </w:r>
      <w:r w:rsidR="00DA4B6C">
        <w:rPr>
          <w:rFonts w:hint="cs"/>
          <w:rtl/>
        </w:rPr>
        <w:t xml:space="preserve"> ما أُجل الشروع في العمليات المؤ</w:t>
      </w:r>
      <w:r>
        <w:rPr>
          <w:rFonts w:hint="cs"/>
          <w:rtl/>
        </w:rPr>
        <w:t>تمتة الجديدة حتى الانتهاء من إجراء التقييم السابق ذكره والشروع في العمل على إدخال التحسينات اللازمة ووضع النظم الجديدة المشار إليها في الفقرة السابقة</w:t>
      </w:r>
      <w:r w:rsidR="00561799" w:rsidRPr="001A1767">
        <w:rPr>
          <w:rtl/>
        </w:rPr>
        <w:t>.</w:t>
      </w:r>
    </w:p>
    <w:p w:rsidR="00AE4D0F" w:rsidRDefault="00DA4B6C" w:rsidP="003A3430">
      <w:pPr>
        <w:pStyle w:val="NormalParaAR"/>
        <w:numPr>
          <w:ilvl w:val="0"/>
          <w:numId w:val="21"/>
        </w:numPr>
        <w:ind w:left="-1" w:firstLine="0"/>
      </w:pPr>
      <w:r>
        <w:rPr>
          <w:rFonts w:hint="cs"/>
          <w:rtl/>
        </w:rPr>
        <w:t xml:space="preserve">وكنتيجة لما ذكر، لا يوجد المكتب الدولي في الوقت الحالي في وضع يخول له أن يوصي بتاريخ يمكن أن تدخل فيه التعديلات المقترحة على القاعدة 21 من اللوائح التنفيذية المشتركة حيز النفاذ، ولاسيما تلك اللوائح المتعلقة بتنفيذ </w:t>
      </w:r>
      <w:r w:rsidR="00213A74">
        <w:rPr>
          <w:rFonts w:hint="cs"/>
          <w:rtl/>
        </w:rPr>
        <w:t>آلية الإيداع المركزي الاختيارية</w:t>
      </w:r>
      <w:r w:rsidR="00E13344">
        <w:rPr>
          <w:rFonts w:hint="cs"/>
          <w:rtl/>
        </w:rPr>
        <w:t xml:space="preserve"> </w:t>
      </w:r>
      <w:r>
        <w:rPr>
          <w:rFonts w:hint="cs"/>
          <w:rtl/>
        </w:rPr>
        <w:t xml:space="preserve">فيما يخص طلب الإحاطة علما بالاستعاضة. ويمكن تقديم هذه التوصية حال </w:t>
      </w:r>
      <w:r w:rsidR="003A3430">
        <w:rPr>
          <w:rFonts w:hint="cs"/>
          <w:rtl/>
        </w:rPr>
        <w:t>توظيف</w:t>
      </w:r>
      <w:r w:rsidR="00CE35E9">
        <w:rPr>
          <w:rFonts w:hint="cs"/>
          <w:rtl/>
        </w:rPr>
        <w:t xml:space="preserve"> </w:t>
      </w:r>
      <w:r>
        <w:rPr>
          <w:rFonts w:hint="cs"/>
          <w:rtl/>
        </w:rPr>
        <w:t>التحسينات اللازمة ووضع النظم الجديدة المشار إليها في الفقرة 8 من هذه الوثيقة</w:t>
      </w:r>
      <w:r w:rsidR="00AE4D0F" w:rsidRPr="00AE4D0F">
        <w:rPr>
          <w:rtl/>
        </w:rPr>
        <w:t>.</w:t>
      </w:r>
    </w:p>
    <w:p w:rsidR="006977E4" w:rsidRDefault="00F92E10" w:rsidP="00F92E10">
      <w:pPr>
        <w:pStyle w:val="NormalParaAR"/>
        <w:keepNext/>
      </w:pPr>
      <w:r>
        <w:rPr>
          <w:rFonts w:hint="cs"/>
          <w:b/>
          <w:bCs/>
          <w:sz w:val="40"/>
          <w:szCs w:val="40"/>
          <w:rtl/>
        </w:rPr>
        <w:lastRenderedPageBreak/>
        <w:t>رسم الطلب المقدم بموجب القاعدة 21 المعدلة</w:t>
      </w:r>
    </w:p>
    <w:p w:rsidR="006E0E80" w:rsidRDefault="00F77ABA" w:rsidP="00AB729A">
      <w:pPr>
        <w:pStyle w:val="NormalParaAR"/>
        <w:numPr>
          <w:ilvl w:val="0"/>
          <w:numId w:val="21"/>
        </w:numPr>
        <w:ind w:left="-1" w:firstLine="0"/>
      </w:pPr>
      <w:r w:rsidRPr="00F77ABA">
        <w:rPr>
          <w:rtl/>
        </w:rPr>
        <w:t xml:space="preserve">اتفق الفريق العامل في دورته السابقة على إمكانية قيام المكتب الدولي بجمع رسوم مقابل تقديم طلب بموجب </w:t>
      </w:r>
      <w:r>
        <w:rPr>
          <w:rFonts w:hint="cs"/>
          <w:rtl/>
        </w:rPr>
        <w:t>القاعدة</w:t>
      </w:r>
      <w:r w:rsidRPr="00F77ABA">
        <w:rPr>
          <w:rtl/>
        </w:rPr>
        <w:t xml:space="preserve"> 21 المعدلة من اللائحة التنفيذية </w:t>
      </w:r>
      <w:r>
        <w:rPr>
          <w:rFonts w:hint="cs"/>
          <w:rtl/>
        </w:rPr>
        <w:t>المشتركة.</w:t>
      </w:r>
      <w:r>
        <w:rPr>
          <w:rStyle w:val="FootnoteReference"/>
          <w:rtl/>
        </w:rPr>
        <w:footnoteReference w:id="3"/>
      </w:r>
      <w:r>
        <w:rPr>
          <w:rFonts w:hint="cs"/>
          <w:rtl/>
        </w:rPr>
        <w:t xml:space="preserve"> </w:t>
      </w:r>
      <w:r w:rsidR="006E2ECF">
        <w:rPr>
          <w:rtl/>
        </w:rPr>
        <w:t>وبناءً عليه</w:t>
      </w:r>
      <w:r w:rsidRPr="00F77ABA">
        <w:rPr>
          <w:rtl/>
        </w:rPr>
        <w:t xml:space="preserve">، </w:t>
      </w:r>
      <w:r w:rsidR="006E2ECF">
        <w:rPr>
          <w:rFonts w:hint="cs"/>
          <w:rtl/>
        </w:rPr>
        <w:t>اُتفق</w:t>
      </w:r>
      <w:r w:rsidRPr="00F77ABA">
        <w:rPr>
          <w:rtl/>
        </w:rPr>
        <w:t xml:space="preserve"> من حيث المبدأ على </w:t>
      </w:r>
      <w:r w:rsidR="006E346B" w:rsidRPr="006E346B">
        <w:rPr>
          <w:rtl/>
        </w:rPr>
        <w:t xml:space="preserve">البند الجديد 7.8 </w:t>
      </w:r>
      <w:r w:rsidRPr="00F77ABA">
        <w:rPr>
          <w:rtl/>
        </w:rPr>
        <w:t>من جدول الرسوم. وطلبت عدة وفود</w:t>
      </w:r>
      <w:r w:rsidR="006E2ECF">
        <w:rPr>
          <w:rtl/>
        </w:rPr>
        <w:t xml:space="preserve"> أن يكون مبلغ هذا الرسم معقولا</w:t>
      </w:r>
      <w:r w:rsidR="00E13344">
        <w:rPr>
          <w:rFonts w:hint="cs"/>
          <w:rtl/>
        </w:rPr>
        <w:t xml:space="preserve"> و</w:t>
      </w:r>
      <w:r w:rsidR="00E13344">
        <w:rPr>
          <w:rtl/>
        </w:rPr>
        <w:t xml:space="preserve">شاملاً </w:t>
      </w:r>
      <w:r w:rsidR="00E13344">
        <w:rPr>
          <w:rFonts w:hint="cs"/>
          <w:rtl/>
        </w:rPr>
        <w:t>ل</w:t>
      </w:r>
      <w:r w:rsidRPr="00F77ABA">
        <w:rPr>
          <w:rtl/>
        </w:rPr>
        <w:t xml:space="preserve">لنفقات المرتبطة مباشرة </w:t>
      </w:r>
      <w:r w:rsidR="00E13344">
        <w:rPr>
          <w:rFonts w:hint="cs"/>
          <w:rtl/>
        </w:rPr>
        <w:t>بتقديم</w:t>
      </w:r>
      <w:r w:rsidRPr="00F77ABA">
        <w:rPr>
          <w:rtl/>
        </w:rPr>
        <w:t xml:space="preserve"> الطلب وليس الاستثمار اللازم لإنشاء آلية جديدة</w:t>
      </w:r>
      <w:r w:rsidR="00213A74">
        <w:rPr>
          <w:rFonts w:hint="cs"/>
          <w:rtl/>
        </w:rPr>
        <w:t xml:space="preserve"> اختيارية </w:t>
      </w:r>
      <w:r w:rsidRPr="00F77ABA">
        <w:rPr>
          <w:rtl/>
        </w:rPr>
        <w:t>للإيداع المركزي المتوخاة</w:t>
      </w:r>
      <w:r w:rsidR="00E13344">
        <w:rPr>
          <w:rtl/>
        </w:rPr>
        <w:t xml:space="preserve"> بموجب القاعدة المعدلة المقترحة</w:t>
      </w:r>
      <w:r w:rsidR="006E0E80" w:rsidRPr="006E0E80">
        <w:rPr>
          <w:rtl/>
        </w:rPr>
        <w:t>.</w:t>
      </w:r>
    </w:p>
    <w:p w:rsidR="003D2AA4" w:rsidRDefault="00154935" w:rsidP="00AB729A">
      <w:pPr>
        <w:pStyle w:val="NormalParaAR"/>
        <w:numPr>
          <w:ilvl w:val="0"/>
          <w:numId w:val="21"/>
        </w:numPr>
        <w:ind w:left="-1" w:firstLine="0"/>
      </w:pPr>
      <w:r>
        <w:rPr>
          <w:rFonts w:hint="cs"/>
          <w:rtl/>
        </w:rPr>
        <w:t>و</w:t>
      </w:r>
      <w:r w:rsidR="006E2ECF" w:rsidRPr="006E2ECF">
        <w:rPr>
          <w:rtl/>
        </w:rPr>
        <w:t>في ضوء تقييم خدمات نظام مدريد</w:t>
      </w:r>
      <w:r w:rsidR="006E2ECF">
        <w:rPr>
          <w:rFonts w:hint="cs"/>
          <w:rtl/>
        </w:rPr>
        <w:t xml:space="preserve"> المعلوماتية</w:t>
      </w:r>
      <w:r w:rsidR="006E2ECF" w:rsidRPr="006E2ECF">
        <w:rPr>
          <w:rtl/>
        </w:rPr>
        <w:t xml:space="preserve"> بالإضافة إلى التحسينات المحتملة </w:t>
      </w:r>
      <w:r w:rsidR="00A319E9">
        <w:rPr>
          <w:rFonts w:hint="cs"/>
          <w:rtl/>
        </w:rPr>
        <w:t>ووضع</w:t>
      </w:r>
      <w:r w:rsidR="006E2ECF" w:rsidRPr="006E2ECF">
        <w:rPr>
          <w:rtl/>
        </w:rPr>
        <w:t xml:space="preserve"> النظم الجديدة المشار إ</w:t>
      </w:r>
      <w:r w:rsidR="00A319E9">
        <w:rPr>
          <w:rtl/>
        </w:rPr>
        <w:t>ليها في الفقرة 8 من هذه الوثيقة</w:t>
      </w:r>
      <w:r w:rsidR="006E2ECF" w:rsidRPr="006E2ECF">
        <w:rPr>
          <w:rtl/>
        </w:rPr>
        <w:t>، من السابق لأوانه أن يقترح المكتب الدولي مبلغاً ل</w:t>
      </w:r>
      <w:r w:rsidR="00A319E9">
        <w:rPr>
          <w:rtl/>
        </w:rPr>
        <w:t>لبند الجديد 7.8 من جدول الرسوم. ومع ذلك</w:t>
      </w:r>
      <w:r w:rsidR="006E2ECF" w:rsidRPr="006E2ECF">
        <w:rPr>
          <w:rtl/>
        </w:rPr>
        <w:t>، عند إعادة ال</w:t>
      </w:r>
      <w:r w:rsidR="000B70F3">
        <w:rPr>
          <w:rtl/>
        </w:rPr>
        <w:t>نظر في هذه المسألة</w:t>
      </w:r>
      <w:r w:rsidR="006E2ECF" w:rsidRPr="006E2ECF">
        <w:rPr>
          <w:rtl/>
        </w:rPr>
        <w:t>، سيأخذ المكتب الدولي في الاعتبار الآراء التي أع</w:t>
      </w:r>
      <w:r w:rsidR="006E2ECF">
        <w:rPr>
          <w:rtl/>
        </w:rPr>
        <w:t>ربت عنها الوفود حول هذا الموضوع</w:t>
      </w:r>
      <w:r w:rsidR="003D2AA4" w:rsidRPr="003D2AA4">
        <w:rPr>
          <w:rtl/>
        </w:rPr>
        <w:t>.</w:t>
      </w:r>
    </w:p>
    <w:p w:rsidR="00C3639E" w:rsidRPr="00C3639E" w:rsidRDefault="00C3639E" w:rsidP="002B157F">
      <w:pPr>
        <w:pStyle w:val="NormalParaAR"/>
        <w:rPr>
          <w:b/>
          <w:bCs/>
        </w:rPr>
      </w:pPr>
      <w:r w:rsidRPr="00C3639E">
        <w:rPr>
          <w:rFonts w:hint="cs"/>
          <w:b/>
          <w:bCs/>
          <w:rtl/>
        </w:rPr>
        <w:t>الطريق</w:t>
      </w:r>
      <w:r w:rsidR="002B157F">
        <w:rPr>
          <w:rFonts w:hint="cs"/>
          <w:b/>
          <w:bCs/>
          <w:rtl/>
        </w:rPr>
        <w:t>ة</w:t>
      </w:r>
      <w:r w:rsidRPr="00C3639E">
        <w:rPr>
          <w:rFonts w:hint="cs"/>
          <w:b/>
          <w:bCs/>
          <w:rtl/>
        </w:rPr>
        <w:t xml:space="preserve"> الممكن</w:t>
      </w:r>
      <w:r w:rsidR="002B157F">
        <w:rPr>
          <w:rFonts w:hint="cs"/>
          <w:b/>
          <w:bCs/>
          <w:rtl/>
        </w:rPr>
        <w:t>ة</w:t>
      </w:r>
      <w:r w:rsidRPr="00C3639E">
        <w:rPr>
          <w:rFonts w:hint="cs"/>
          <w:b/>
          <w:bCs/>
          <w:rtl/>
        </w:rPr>
        <w:t xml:space="preserve"> للمضي قدما</w:t>
      </w:r>
    </w:p>
    <w:p w:rsidR="00817E19" w:rsidRDefault="00862896" w:rsidP="00AB729A">
      <w:pPr>
        <w:pStyle w:val="NormalParaAR"/>
        <w:numPr>
          <w:ilvl w:val="0"/>
          <w:numId w:val="21"/>
        </w:numPr>
        <w:ind w:left="-1" w:firstLine="0"/>
      </w:pPr>
      <w:r w:rsidRPr="00862896">
        <w:rPr>
          <w:rtl/>
        </w:rPr>
        <w:t>ناقش الفريق العامل الاستعاضة في دوراته الثانية عشرة</w:t>
      </w:r>
      <w:r>
        <w:rPr>
          <w:rStyle w:val="FootnoteReference"/>
          <w:rtl/>
        </w:rPr>
        <w:footnoteReference w:id="4"/>
      </w:r>
      <w:r w:rsidRPr="00862896">
        <w:rPr>
          <w:rtl/>
        </w:rPr>
        <w:t xml:space="preserve"> والثالثة عشرة</w:t>
      </w:r>
      <w:r w:rsidR="00CD242D">
        <w:rPr>
          <w:rStyle w:val="FootnoteReference"/>
          <w:rtl/>
        </w:rPr>
        <w:footnoteReference w:id="5"/>
      </w:r>
      <w:r w:rsidRPr="00862896">
        <w:rPr>
          <w:rtl/>
        </w:rPr>
        <w:t xml:space="preserve"> والرابعة عشرة</w:t>
      </w:r>
      <w:r w:rsidR="00C77F1E">
        <w:rPr>
          <w:rStyle w:val="FootnoteReference"/>
          <w:rtl/>
        </w:rPr>
        <w:footnoteReference w:id="6"/>
      </w:r>
      <w:r w:rsidRPr="00862896">
        <w:rPr>
          <w:rtl/>
        </w:rPr>
        <w:t xml:space="preserve"> والخامسة عشرة.</w:t>
      </w:r>
      <w:r w:rsidR="00654D2F">
        <w:rPr>
          <w:rStyle w:val="FootnoteReference"/>
          <w:rtl/>
        </w:rPr>
        <w:footnoteReference w:id="7"/>
      </w:r>
      <w:r w:rsidR="00BA1BDD">
        <w:rPr>
          <w:rFonts w:hint="cs"/>
          <w:rtl/>
        </w:rPr>
        <w:t xml:space="preserve"> </w:t>
      </w:r>
      <w:r w:rsidR="00EA700E">
        <w:rPr>
          <w:rFonts w:hint="cs"/>
          <w:rtl/>
        </w:rPr>
        <w:t>وكان ل</w:t>
      </w:r>
      <w:r w:rsidRPr="00862896">
        <w:rPr>
          <w:rtl/>
        </w:rPr>
        <w:t>لتعديلات المقترحة على المادة 2</w:t>
      </w:r>
      <w:r w:rsidR="00C77F1E">
        <w:rPr>
          <w:rtl/>
        </w:rPr>
        <w:t>1 من اللائحة التنفيذية المشتركة</w:t>
      </w:r>
      <w:r w:rsidRPr="00862896">
        <w:rPr>
          <w:rtl/>
        </w:rPr>
        <w:t>، التي وافق عل</w:t>
      </w:r>
      <w:r w:rsidR="00BA1BDD">
        <w:rPr>
          <w:rtl/>
        </w:rPr>
        <w:t>يها الفريق العامل من حيث المبدأ</w:t>
      </w:r>
      <w:r w:rsidRPr="00862896">
        <w:rPr>
          <w:rtl/>
        </w:rPr>
        <w:t xml:space="preserve">، </w:t>
      </w:r>
      <w:r w:rsidR="00EA700E">
        <w:rPr>
          <w:rtl/>
        </w:rPr>
        <w:t xml:space="preserve">هدفان. </w:t>
      </w:r>
      <w:r w:rsidR="00EA700E">
        <w:rPr>
          <w:rFonts w:hint="cs"/>
          <w:rtl/>
        </w:rPr>
        <w:t>حيث سعت هذه</w:t>
      </w:r>
      <w:r w:rsidRPr="00862896">
        <w:rPr>
          <w:rtl/>
        </w:rPr>
        <w:t xml:space="preserve"> التعديلات إلى تزويد المستخد</w:t>
      </w:r>
      <w:r w:rsidR="00C77F1E">
        <w:rPr>
          <w:rtl/>
        </w:rPr>
        <w:t xml:space="preserve">مين بآلية </w:t>
      </w:r>
      <w:r w:rsidR="00213A74">
        <w:rPr>
          <w:rFonts w:hint="cs"/>
          <w:rtl/>
        </w:rPr>
        <w:t>ا</w:t>
      </w:r>
      <w:r w:rsidR="00007DCB">
        <w:rPr>
          <w:rFonts w:hint="cs"/>
          <w:rtl/>
        </w:rPr>
        <w:t>ل</w:t>
      </w:r>
      <w:r w:rsidR="00C77F1E">
        <w:rPr>
          <w:rtl/>
        </w:rPr>
        <w:t xml:space="preserve">إيداع </w:t>
      </w:r>
      <w:r w:rsidR="00007DCB">
        <w:rPr>
          <w:rFonts w:hint="cs"/>
          <w:rtl/>
        </w:rPr>
        <w:t>ال</w:t>
      </w:r>
      <w:r w:rsidR="00213A74">
        <w:rPr>
          <w:rtl/>
        </w:rPr>
        <w:t>مركزي</w:t>
      </w:r>
      <w:r w:rsidR="00C77F1E">
        <w:rPr>
          <w:rtl/>
        </w:rPr>
        <w:t xml:space="preserve"> </w:t>
      </w:r>
      <w:r w:rsidR="00007DCB">
        <w:rPr>
          <w:rFonts w:hint="cs"/>
          <w:rtl/>
        </w:rPr>
        <w:t>ا</w:t>
      </w:r>
      <w:r w:rsidR="00213A74">
        <w:rPr>
          <w:rFonts w:hint="cs"/>
          <w:rtl/>
        </w:rPr>
        <w:t>لاختيارية</w:t>
      </w:r>
      <w:r w:rsidRPr="00862896">
        <w:rPr>
          <w:rtl/>
        </w:rPr>
        <w:t xml:space="preserve">، </w:t>
      </w:r>
      <w:r w:rsidR="00907248">
        <w:rPr>
          <w:rFonts w:hint="cs"/>
          <w:rtl/>
        </w:rPr>
        <w:t>وسعت أيضا</w:t>
      </w:r>
      <w:r w:rsidRPr="00862896">
        <w:rPr>
          <w:rtl/>
        </w:rPr>
        <w:t xml:space="preserve"> إلى تحديد عدد من المبادئ التي </w:t>
      </w:r>
      <w:r w:rsidR="00E14B49">
        <w:rPr>
          <w:rFonts w:hint="cs"/>
          <w:rtl/>
        </w:rPr>
        <w:t>تنظم</w:t>
      </w:r>
      <w:r w:rsidRPr="00862896">
        <w:rPr>
          <w:rtl/>
        </w:rPr>
        <w:t xml:space="preserve"> </w:t>
      </w:r>
      <w:r w:rsidR="00907248">
        <w:rPr>
          <w:rFonts w:hint="cs"/>
          <w:rtl/>
        </w:rPr>
        <w:t>الاستعاضة</w:t>
      </w:r>
      <w:r w:rsidRPr="00862896">
        <w:rPr>
          <w:rtl/>
        </w:rPr>
        <w:t>.</w:t>
      </w:r>
      <w:r w:rsidR="00187AAE">
        <w:rPr>
          <w:rFonts w:hint="cs"/>
          <w:rtl/>
        </w:rPr>
        <w:t xml:space="preserve"> وكانت</w:t>
      </w:r>
      <w:r w:rsidR="00187AAE">
        <w:rPr>
          <w:rtl/>
        </w:rPr>
        <w:t xml:space="preserve"> هذه المبادئ الأربعة</w:t>
      </w:r>
      <w:r w:rsidR="00187AAE">
        <w:rPr>
          <w:rFonts w:hint="cs"/>
          <w:rtl/>
        </w:rPr>
        <w:t xml:space="preserve"> </w:t>
      </w:r>
      <w:r w:rsidRPr="00862896">
        <w:rPr>
          <w:rtl/>
        </w:rPr>
        <w:t>التي نوقشت في ال</w:t>
      </w:r>
      <w:r>
        <w:rPr>
          <w:rtl/>
        </w:rPr>
        <w:t xml:space="preserve">دورات المذكورة أعلاه </w:t>
      </w:r>
      <w:r w:rsidR="00187AAE">
        <w:rPr>
          <w:rFonts w:hint="cs"/>
          <w:rtl/>
        </w:rPr>
        <w:t>كالتالي:</w:t>
      </w:r>
    </w:p>
    <w:p w:rsidR="00CE1677" w:rsidRDefault="00CE1677" w:rsidP="006376E8">
      <w:pPr>
        <w:pStyle w:val="NormalParaAR"/>
        <w:tabs>
          <w:tab w:val="right" w:pos="1275"/>
          <w:tab w:val="right" w:pos="1700"/>
        </w:tabs>
        <w:ind w:left="566"/>
        <w:rPr>
          <w:rtl/>
        </w:rPr>
      </w:pPr>
      <w:r>
        <w:rPr>
          <w:rFonts w:hint="cs"/>
          <w:rtl/>
        </w:rPr>
        <w:t>"1"</w:t>
      </w:r>
      <w:r>
        <w:rPr>
          <w:rFonts w:hint="cs"/>
          <w:rtl/>
        </w:rPr>
        <w:tab/>
      </w:r>
      <w:r>
        <w:rPr>
          <w:rFonts w:hint="cs"/>
          <w:rtl/>
        </w:rPr>
        <w:tab/>
      </w:r>
      <w:r>
        <w:rPr>
          <w:rtl/>
        </w:rPr>
        <w:t xml:space="preserve">التاريخ الفعلي </w:t>
      </w:r>
      <w:r w:rsidR="00DF5DA5">
        <w:rPr>
          <w:rFonts w:hint="cs"/>
          <w:rtl/>
        </w:rPr>
        <w:t>للاستعاضة</w:t>
      </w:r>
      <w:r>
        <w:rPr>
          <w:rtl/>
        </w:rPr>
        <w:t>:</w:t>
      </w:r>
      <w:r w:rsidR="00CC51ED">
        <w:rPr>
          <w:rFonts w:hint="cs"/>
          <w:rtl/>
        </w:rPr>
        <w:t xml:space="preserve"> ينبغي أن يكون</w:t>
      </w:r>
      <w:r>
        <w:rPr>
          <w:rtl/>
        </w:rPr>
        <w:t xml:space="preserve"> التاريخ </w:t>
      </w:r>
      <w:r w:rsidR="00CC51ED">
        <w:rPr>
          <w:rFonts w:hint="cs"/>
          <w:rtl/>
        </w:rPr>
        <w:t>الفعلي للاستعاضة</w:t>
      </w:r>
      <w:r w:rsidR="00CC51ED" w:rsidRPr="00CC51ED">
        <w:rPr>
          <w:rtl/>
        </w:rPr>
        <w:t xml:space="preserve"> </w:t>
      </w:r>
      <w:r w:rsidR="00CC51ED">
        <w:rPr>
          <w:rFonts w:hint="cs"/>
          <w:rtl/>
        </w:rPr>
        <w:t>هو نفسه تاريخ</w:t>
      </w:r>
      <w:r w:rsidR="00CC51ED" w:rsidRPr="00CC51ED">
        <w:rPr>
          <w:rtl/>
        </w:rPr>
        <w:t xml:space="preserve"> التسجيل الدولي أو </w:t>
      </w:r>
      <w:r w:rsidR="00CC51ED">
        <w:rPr>
          <w:rFonts w:hint="cs"/>
          <w:rtl/>
        </w:rPr>
        <w:t xml:space="preserve">تاريخ </w:t>
      </w:r>
      <w:r w:rsidR="00CC51ED" w:rsidRPr="00CC51ED">
        <w:rPr>
          <w:rtl/>
        </w:rPr>
        <w:t>التعيين اللاحق</w:t>
      </w:r>
      <w:r>
        <w:rPr>
          <w:rtl/>
        </w:rPr>
        <w:t>.</w:t>
      </w:r>
    </w:p>
    <w:p w:rsidR="00CE1677" w:rsidRDefault="00CE1677" w:rsidP="006376E8">
      <w:pPr>
        <w:pStyle w:val="NormalParaAR"/>
        <w:tabs>
          <w:tab w:val="right" w:pos="1275"/>
          <w:tab w:val="right" w:pos="1842"/>
        </w:tabs>
        <w:ind w:left="566"/>
        <w:rPr>
          <w:rtl/>
        </w:rPr>
      </w:pPr>
      <w:r w:rsidRPr="00CE1677">
        <w:rPr>
          <w:rtl/>
        </w:rPr>
        <w:t>"</w:t>
      </w:r>
      <w:r>
        <w:rPr>
          <w:rFonts w:hint="cs"/>
          <w:rtl/>
        </w:rPr>
        <w:t>2</w:t>
      </w:r>
      <w:r w:rsidRPr="00CE1677">
        <w:rPr>
          <w:rtl/>
        </w:rPr>
        <w:t>"</w:t>
      </w:r>
      <w:r>
        <w:rPr>
          <w:rFonts w:hint="cs"/>
          <w:rtl/>
        </w:rPr>
        <w:tab/>
      </w:r>
      <w:r>
        <w:rPr>
          <w:rFonts w:hint="cs"/>
          <w:rtl/>
        </w:rPr>
        <w:tab/>
      </w:r>
      <w:r w:rsidR="00F66CEE">
        <w:rPr>
          <w:rFonts w:hint="cs"/>
          <w:rtl/>
        </w:rPr>
        <w:t xml:space="preserve">التاريخ الذي يمكن فيه </w:t>
      </w:r>
      <w:r w:rsidR="0061237D">
        <w:rPr>
          <w:rFonts w:hint="cs"/>
          <w:rtl/>
        </w:rPr>
        <w:t>إيداع</w:t>
      </w:r>
      <w:r>
        <w:rPr>
          <w:rtl/>
        </w:rPr>
        <w:t xml:space="preserve"> طلب بموجب </w:t>
      </w:r>
      <w:r w:rsidR="00F66CEE">
        <w:rPr>
          <w:rFonts w:hint="cs"/>
          <w:rtl/>
        </w:rPr>
        <w:t>ا</w:t>
      </w:r>
      <w:r w:rsidR="00F66CEE" w:rsidRPr="00F66CEE">
        <w:rPr>
          <w:rtl/>
        </w:rPr>
        <w:t>لمادة 4(ثانيا)(2)</w:t>
      </w:r>
      <w:r w:rsidR="00F66CEE">
        <w:rPr>
          <w:rFonts w:hint="cs"/>
          <w:rtl/>
        </w:rPr>
        <w:t xml:space="preserve"> </w:t>
      </w:r>
      <w:r w:rsidR="0061237D">
        <w:rPr>
          <w:rFonts w:hint="cs"/>
          <w:rtl/>
        </w:rPr>
        <w:t>في</w:t>
      </w:r>
      <w:r>
        <w:rPr>
          <w:rtl/>
        </w:rPr>
        <w:t xml:space="preserve"> المكتب: ينبغي للمكاتب أن تقبل طلبات </w:t>
      </w:r>
      <w:r w:rsidR="005204EF">
        <w:rPr>
          <w:rFonts w:hint="cs"/>
          <w:rtl/>
        </w:rPr>
        <w:t>الإحاطة علما</w:t>
      </w:r>
      <w:r>
        <w:rPr>
          <w:rtl/>
        </w:rPr>
        <w:t xml:space="preserve"> </w:t>
      </w:r>
      <w:r w:rsidR="005204EF">
        <w:rPr>
          <w:rFonts w:hint="cs"/>
          <w:rtl/>
        </w:rPr>
        <w:t>بالاستعاضة</w:t>
      </w:r>
      <w:r w:rsidR="005204EF">
        <w:rPr>
          <w:rtl/>
        </w:rPr>
        <w:t xml:space="preserve"> اعتبارا من تاريخ </w:t>
      </w:r>
      <w:r>
        <w:rPr>
          <w:rtl/>
        </w:rPr>
        <w:t xml:space="preserve">إبلاغ </w:t>
      </w:r>
      <w:r w:rsidR="005204EF">
        <w:rPr>
          <w:rtl/>
        </w:rPr>
        <w:t xml:space="preserve">المكتب الدولي </w:t>
      </w:r>
      <w:r>
        <w:rPr>
          <w:rtl/>
        </w:rPr>
        <w:t xml:space="preserve">بالتسجيل الدولي أو بالتعيين </w:t>
      </w:r>
      <w:r w:rsidR="005204EF">
        <w:rPr>
          <w:rFonts w:hint="cs"/>
          <w:rtl/>
        </w:rPr>
        <w:t>اللاحق</w:t>
      </w:r>
      <w:r>
        <w:rPr>
          <w:rtl/>
        </w:rPr>
        <w:t>.</w:t>
      </w:r>
    </w:p>
    <w:p w:rsidR="00CE1677" w:rsidRDefault="00CE1677" w:rsidP="006376E8">
      <w:pPr>
        <w:pStyle w:val="NormalParaAR"/>
        <w:tabs>
          <w:tab w:val="right" w:pos="1275"/>
          <w:tab w:val="right" w:pos="1842"/>
        </w:tabs>
        <w:ind w:left="566"/>
        <w:rPr>
          <w:rtl/>
        </w:rPr>
      </w:pPr>
      <w:r w:rsidRPr="00CE1677">
        <w:rPr>
          <w:rtl/>
        </w:rPr>
        <w:t>"</w:t>
      </w:r>
      <w:r>
        <w:rPr>
          <w:rFonts w:hint="cs"/>
          <w:rtl/>
        </w:rPr>
        <w:t>3</w:t>
      </w:r>
      <w:r w:rsidRPr="00CE1677">
        <w:rPr>
          <w:rtl/>
        </w:rPr>
        <w:t>"</w:t>
      </w:r>
      <w:r>
        <w:rPr>
          <w:rFonts w:hint="cs"/>
          <w:rtl/>
        </w:rPr>
        <w:tab/>
      </w:r>
      <w:r>
        <w:rPr>
          <w:rFonts w:hint="cs"/>
          <w:rtl/>
        </w:rPr>
        <w:tab/>
      </w:r>
      <w:r>
        <w:rPr>
          <w:rtl/>
        </w:rPr>
        <w:t xml:space="preserve"> السلع والخدمات المدرجة في التسجيل الوطني أو الإقليمي: هناك </w:t>
      </w:r>
      <w:r w:rsidR="00DD20C7">
        <w:rPr>
          <w:rFonts w:hint="cs"/>
          <w:rtl/>
        </w:rPr>
        <w:t>قراءتان</w:t>
      </w:r>
      <w:r>
        <w:rPr>
          <w:rtl/>
        </w:rPr>
        <w:t xml:space="preserve"> مختلفتان للمادة </w:t>
      </w:r>
      <w:r w:rsidR="00DD20C7" w:rsidRPr="00DD20C7">
        <w:rPr>
          <w:rtl/>
        </w:rPr>
        <w:t xml:space="preserve">(ثانيا)(2) </w:t>
      </w:r>
      <w:r>
        <w:rPr>
          <w:rtl/>
        </w:rPr>
        <w:t xml:space="preserve">ونطاق </w:t>
      </w:r>
      <w:r w:rsidR="009417F3">
        <w:rPr>
          <w:rFonts w:hint="cs"/>
          <w:rtl/>
        </w:rPr>
        <w:t>الاستعاضة</w:t>
      </w:r>
      <w:r>
        <w:rPr>
          <w:rtl/>
        </w:rPr>
        <w:t>؛</w:t>
      </w:r>
    </w:p>
    <w:p w:rsidR="00CE1677" w:rsidRDefault="00F6015B" w:rsidP="005E16D8">
      <w:pPr>
        <w:pStyle w:val="NormalParaAR"/>
        <w:ind w:left="1275"/>
        <w:rPr>
          <w:rtl/>
        </w:rPr>
      </w:pPr>
      <w:r>
        <w:rPr>
          <w:rtl/>
        </w:rPr>
        <w:t xml:space="preserve">- </w:t>
      </w:r>
      <w:r w:rsidR="005E16D8">
        <w:rPr>
          <w:rFonts w:hint="cs"/>
          <w:rtl/>
        </w:rPr>
        <w:tab/>
      </w:r>
      <w:r>
        <w:rPr>
          <w:rtl/>
        </w:rPr>
        <w:t>القراءة الحرفية</w:t>
      </w:r>
      <w:r w:rsidR="00CE1677">
        <w:rPr>
          <w:rtl/>
        </w:rPr>
        <w:t xml:space="preserve">، </w:t>
      </w:r>
      <w:r>
        <w:rPr>
          <w:rFonts w:hint="cs"/>
          <w:rtl/>
        </w:rPr>
        <w:t>و</w:t>
      </w:r>
      <w:r w:rsidR="00CE1677">
        <w:rPr>
          <w:rtl/>
        </w:rPr>
        <w:t xml:space="preserve">التي </w:t>
      </w:r>
      <w:r w:rsidR="00ED6FE9">
        <w:rPr>
          <w:rFonts w:hint="cs"/>
          <w:rtl/>
        </w:rPr>
        <w:t>ت</w:t>
      </w:r>
      <w:r>
        <w:rPr>
          <w:rFonts w:hint="cs"/>
          <w:rtl/>
        </w:rPr>
        <w:t>قتضي</w:t>
      </w:r>
      <w:r w:rsidR="00CE1677">
        <w:rPr>
          <w:rtl/>
        </w:rPr>
        <w:t xml:space="preserve"> أن تكون أ</w:t>
      </w:r>
      <w:r>
        <w:rPr>
          <w:rtl/>
        </w:rPr>
        <w:t>سماء السلع والخدمات في التسجيل</w:t>
      </w:r>
      <w:r w:rsidR="00CE1677">
        <w:rPr>
          <w:rtl/>
        </w:rPr>
        <w:t xml:space="preserve"> أو التسجيلات الوطنية أو الإقليمية المعنية </w:t>
      </w:r>
      <w:r>
        <w:rPr>
          <w:rFonts w:hint="cs"/>
          <w:rtl/>
        </w:rPr>
        <w:t>بالاستعاضة</w:t>
      </w:r>
      <w:r w:rsidR="00CC5B2C">
        <w:rPr>
          <w:rtl/>
        </w:rPr>
        <w:t xml:space="preserve"> هي نفسها أو ما يعادل </w:t>
      </w:r>
      <w:r w:rsidR="0009337D">
        <w:rPr>
          <w:rtl/>
        </w:rPr>
        <w:t>تلك المشمولة بالتسجيل الدولي</w:t>
      </w:r>
      <w:r w:rsidR="00CC5B2C">
        <w:rPr>
          <w:rtl/>
        </w:rPr>
        <w:t xml:space="preserve">؛ </w:t>
      </w:r>
    </w:p>
    <w:p w:rsidR="00CE1677" w:rsidRDefault="00CE1677" w:rsidP="005E16D8">
      <w:pPr>
        <w:pStyle w:val="NormalParaAR"/>
        <w:ind w:left="1275"/>
        <w:rPr>
          <w:rtl/>
        </w:rPr>
      </w:pPr>
      <w:r>
        <w:rPr>
          <w:rtl/>
        </w:rPr>
        <w:t xml:space="preserve">- </w:t>
      </w:r>
      <w:r w:rsidR="005E16D8">
        <w:rPr>
          <w:rFonts w:hint="cs"/>
          <w:rtl/>
        </w:rPr>
        <w:tab/>
      </w:r>
      <w:r w:rsidR="0009337D">
        <w:rPr>
          <w:rFonts w:hint="cs"/>
          <w:rtl/>
        </w:rPr>
        <w:t>ال</w:t>
      </w:r>
      <w:r>
        <w:rPr>
          <w:rtl/>
        </w:rPr>
        <w:t xml:space="preserve">قراءة </w:t>
      </w:r>
      <w:r w:rsidR="0009337D">
        <w:rPr>
          <w:rFonts w:hint="cs"/>
          <w:rtl/>
        </w:rPr>
        <w:t>ال</w:t>
      </w:r>
      <w:r>
        <w:rPr>
          <w:rtl/>
        </w:rPr>
        <w:t>مرنة</w:t>
      </w:r>
      <w:r w:rsidR="0009337D">
        <w:rPr>
          <w:rFonts w:hint="cs"/>
          <w:rtl/>
        </w:rPr>
        <w:t>، والتي</w:t>
      </w:r>
      <w:r>
        <w:rPr>
          <w:rtl/>
        </w:rPr>
        <w:t xml:space="preserve"> تسمح بإجراء </w:t>
      </w:r>
      <w:r w:rsidR="0009337D">
        <w:rPr>
          <w:rFonts w:hint="cs"/>
          <w:rtl/>
        </w:rPr>
        <w:t>استعاضة</w:t>
      </w:r>
      <w:r w:rsidR="0009337D">
        <w:rPr>
          <w:rtl/>
        </w:rPr>
        <w:t xml:space="preserve"> "جزئ</w:t>
      </w:r>
      <w:r w:rsidR="0009337D">
        <w:rPr>
          <w:rFonts w:hint="cs"/>
          <w:rtl/>
        </w:rPr>
        <w:t>ية</w:t>
      </w:r>
      <w:r w:rsidR="00B826F0">
        <w:rPr>
          <w:rtl/>
        </w:rPr>
        <w:t>"</w:t>
      </w:r>
      <w:r>
        <w:rPr>
          <w:rtl/>
        </w:rPr>
        <w:t>،</w:t>
      </w:r>
      <w:r w:rsidR="00254151">
        <w:rPr>
          <w:rtl/>
        </w:rPr>
        <w:t xml:space="preserve"> حيث يعتبر التسجيل الدولي قد حل</w:t>
      </w:r>
      <w:r>
        <w:rPr>
          <w:rtl/>
        </w:rPr>
        <w:t xml:space="preserve"> محل التسجيل أو التسجيلات الوطنية أو الإقليمية فقط فيما يتعلق بالسلع والخدمات التي يغطيها التسجيل الدولي والتسجيل</w:t>
      </w:r>
      <w:r w:rsidR="00254151">
        <w:rPr>
          <w:rFonts w:hint="cs"/>
          <w:rtl/>
        </w:rPr>
        <w:t xml:space="preserve"> أو التسجيلات</w:t>
      </w:r>
      <w:r>
        <w:rPr>
          <w:rtl/>
        </w:rPr>
        <w:t xml:space="preserve"> الوطني</w:t>
      </w:r>
      <w:r w:rsidR="00254151">
        <w:rPr>
          <w:rFonts w:hint="cs"/>
          <w:rtl/>
        </w:rPr>
        <w:t>ة</w:t>
      </w:r>
      <w:r>
        <w:rPr>
          <w:rtl/>
        </w:rPr>
        <w:t xml:space="preserve"> أو الإقليمي</w:t>
      </w:r>
      <w:r w:rsidR="00254151">
        <w:rPr>
          <w:rFonts w:hint="cs"/>
          <w:rtl/>
        </w:rPr>
        <w:t>ة</w:t>
      </w:r>
      <w:r>
        <w:rPr>
          <w:rtl/>
        </w:rPr>
        <w:t>.</w:t>
      </w:r>
    </w:p>
    <w:p w:rsidR="00B826F0" w:rsidRDefault="00B826F0" w:rsidP="006376E8">
      <w:pPr>
        <w:pStyle w:val="NormalParaAR"/>
        <w:ind w:left="566"/>
      </w:pPr>
      <w:r w:rsidRPr="00CE1677">
        <w:rPr>
          <w:rtl/>
        </w:rPr>
        <w:t>"</w:t>
      </w:r>
      <w:r>
        <w:rPr>
          <w:rFonts w:hint="cs"/>
          <w:rtl/>
        </w:rPr>
        <w:t>4</w:t>
      </w:r>
      <w:r w:rsidRPr="00CE1677">
        <w:rPr>
          <w:rtl/>
        </w:rPr>
        <w:t>"</w:t>
      </w:r>
      <w:r>
        <w:rPr>
          <w:rFonts w:hint="cs"/>
          <w:rtl/>
        </w:rPr>
        <w:tab/>
      </w:r>
      <w:r w:rsidR="00EF2D88">
        <w:rPr>
          <w:rFonts w:hint="cs"/>
          <w:rtl/>
        </w:rPr>
        <w:t xml:space="preserve"> </w:t>
      </w:r>
      <w:r w:rsidR="00EF2D88" w:rsidRPr="00EF2D88">
        <w:rPr>
          <w:rtl/>
        </w:rPr>
        <w:t>آثار الا</w:t>
      </w:r>
      <w:r w:rsidR="00EF2D88">
        <w:rPr>
          <w:rFonts w:hint="cs"/>
          <w:rtl/>
        </w:rPr>
        <w:t>ستعاضة</w:t>
      </w:r>
      <w:r w:rsidR="00EF2D88" w:rsidRPr="00EF2D88">
        <w:rPr>
          <w:rtl/>
        </w:rPr>
        <w:t xml:space="preserve"> على التسجيل الوطني أو الإقليمي: ينبغي أن يكون</w:t>
      </w:r>
      <w:r w:rsidR="00C92D20">
        <w:rPr>
          <w:rFonts w:hint="cs"/>
          <w:rtl/>
        </w:rPr>
        <w:t xml:space="preserve"> بإمكان</w:t>
      </w:r>
      <w:r w:rsidR="00EF2D88" w:rsidRPr="00EF2D88">
        <w:rPr>
          <w:rtl/>
        </w:rPr>
        <w:t xml:space="preserve"> </w:t>
      </w:r>
      <w:r w:rsidR="00C92D20">
        <w:rPr>
          <w:rFonts w:hint="cs"/>
          <w:rtl/>
        </w:rPr>
        <w:t xml:space="preserve">كل من </w:t>
      </w:r>
      <w:r w:rsidR="00EF2D88" w:rsidRPr="00EF2D88">
        <w:rPr>
          <w:rtl/>
        </w:rPr>
        <w:t xml:space="preserve">التسجيل الوطني أو الإقليمي والتسجيل الدولي الذي يحل محله </w:t>
      </w:r>
      <w:r w:rsidR="00C92D20">
        <w:rPr>
          <w:rFonts w:hint="cs"/>
          <w:rtl/>
        </w:rPr>
        <w:t>التعايش معا</w:t>
      </w:r>
      <w:r w:rsidR="00C92D20">
        <w:rPr>
          <w:rtl/>
        </w:rPr>
        <w:t>.</w:t>
      </w:r>
      <w:r w:rsidR="00C92D20">
        <w:rPr>
          <w:rFonts w:hint="cs"/>
          <w:rtl/>
        </w:rPr>
        <w:t xml:space="preserve"> ولا تعني</w:t>
      </w:r>
      <w:r w:rsidR="00C92D20">
        <w:rPr>
          <w:rtl/>
        </w:rPr>
        <w:t xml:space="preserve"> الاست</w:t>
      </w:r>
      <w:r w:rsidR="00C92D20">
        <w:rPr>
          <w:rFonts w:hint="cs"/>
          <w:rtl/>
        </w:rPr>
        <w:t>عاضة</w:t>
      </w:r>
      <w:r w:rsidR="00EF2D88" w:rsidRPr="00EF2D88">
        <w:rPr>
          <w:rtl/>
        </w:rPr>
        <w:t xml:space="preserve"> نفسه</w:t>
      </w:r>
      <w:r w:rsidR="00C92D20">
        <w:rPr>
          <w:rFonts w:hint="cs"/>
          <w:rtl/>
        </w:rPr>
        <w:t>ا</w:t>
      </w:r>
      <w:r w:rsidR="00EF2D88" w:rsidRPr="00EF2D88">
        <w:rPr>
          <w:rtl/>
        </w:rPr>
        <w:t xml:space="preserve"> </w:t>
      </w:r>
      <w:r w:rsidR="00C92D20">
        <w:rPr>
          <w:rtl/>
        </w:rPr>
        <w:t>بالضرورة</w:t>
      </w:r>
      <w:r w:rsidR="00C92D20">
        <w:rPr>
          <w:rFonts w:hint="cs"/>
          <w:rtl/>
        </w:rPr>
        <w:t>،</w:t>
      </w:r>
      <w:r w:rsidR="00C92D20">
        <w:rPr>
          <w:rtl/>
        </w:rPr>
        <w:t xml:space="preserve"> أو </w:t>
      </w:r>
      <w:r w:rsidR="00C92D20">
        <w:rPr>
          <w:rFonts w:hint="cs"/>
          <w:rtl/>
        </w:rPr>
        <w:t>ت</w:t>
      </w:r>
      <w:r w:rsidR="00EF2D88" w:rsidRPr="00EF2D88">
        <w:rPr>
          <w:rtl/>
        </w:rPr>
        <w:t>تطلب</w:t>
      </w:r>
      <w:r w:rsidR="00C92D20">
        <w:rPr>
          <w:rFonts w:hint="cs"/>
          <w:rtl/>
        </w:rPr>
        <w:t>،</w:t>
      </w:r>
      <w:r w:rsidR="00EF2D88" w:rsidRPr="00EF2D88">
        <w:rPr>
          <w:rtl/>
        </w:rPr>
        <w:t xml:space="preserve"> إلغاء التسجيل الوطني أو الإقليمي. </w:t>
      </w:r>
      <w:r w:rsidR="00C92D20">
        <w:rPr>
          <w:rFonts w:hint="cs"/>
          <w:rtl/>
        </w:rPr>
        <w:t>ويرجع</w:t>
      </w:r>
      <w:r w:rsidR="00C92D20">
        <w:rPr>
          <w:rtl/>
        </w:rPr>
        <w:t xml:space="preserve"> قرار</w:t>
      </w:r>
      <w:r w:rsidR="00C92D20">
        <w:rPr>
          <w:rFonts w:hint="cs"/>
          <w:rtl/>
        </w:rPr>
        <w:t xml:space="preserve"> </w:t>
      </w:r>
      <w:r w:rsidR="00EF2D88" w:rsidRPr="00EF2D88">
        <w:rPr>
          <w:rtl/>
        </w:rPr>
        <w:t>ت</w:t>
      </w:r>
      <w:r w:rsidR="00C92D20">
        <w:rPr>
          <w:rtl/>
        </w:rPr>
        <w:t>جديد التسجيل الوطني أو الإقليمي</w:t>
      </w:r>
      <w:r w:rsidR="00C92D20">
        <w:rPr>
          <w:rFonts w:hint="cs"/>
          <w:rtl/>
        </w:rPr>
        <w:t xml:space="preserve"> إلى المالك</w:t>
      </w:r>
      <w:r>
        <w:rPr>
          <w:rtl/>
        </w:rPr>
        <w:t>.</w:t>
      </w:r>
    </w:p>
    <w:p w:rsidR="002D3AF9" w:rsidRDefault="00213A74" w:rsidP="00AB729A">
      <w:pPr>
        <w:pStyle w:val="NormalParaAR"/>
        <w:numPr>
          <w:ilvl w:val="0"/>
          <w:numId w:val="21"/>
        </w:numPr>
        <w:ind w:left="-1" w:firstLine="0"/>
      </w:pPr>
      <w:r w:rsidRPr="00213A74">
        <w:rPr>
          <w:rtl/>
        </w:rPr>
        <w:lastRenderedPageBreak/>
        <w:t>وبينما قد تستغرق</w:t>
      </w:r>
      <w:r>
        <w:rPr>
          <w:rtl/>
        </w:rPr>
        <w:t xml:space="preserve"> آلية الإيداع المركزي الاختيارية </w:t>
      </w:r>
      <w:r w:rsidR="00834350">
        <w:rPr>
          <w:rtl/>
        </w:rPr>
        <w:t>بعض الوقت للتنفيذ</w:t>
      </w:r>
      <w:r w:rsidRPr="00213A74">
        <w:rPr>
          <w:rtl/>
        </w:rPr>
        <w:t>، فإن ذلك لا ينبغي أ</w:t>
      </w:r>
      <w:r w:rsidR="00834350">
        <w:rPr>
          <w:rtl/>
        </w:rPr>
        <w:t>ن يؤخر اعتماد جمعية اتحاد مدريد</w:t>
      </w:r>
      <w:r w:rsidR="00834350" w:rsidRPr="00834350">
        <w:rPr>
          <w:rtl/>
        </w:rPr>
        <w:t xml:space="preserve"> </w:t>
      </w:r>
      <w:r w:rsidR="00834350">
        <w:rPr>
          <w:rFonts w:hint="cs"/>
          <w:rtl/>
        </w:rPr>
        <w:t>ل</w:t>
      </w:r>
      <w:r w:rsidR="00834350" w:rsidRPr="00834350">
        <w:rPr>
          <w:rtl/>
        </w:rPr>
        <w:t xml:space="preserve">لأحكام التي تحدد المبادئ التي </w:t>
      </w:r>
      <w:r w:rsidR="00834350">
        <w:rPr>
          <w:rFonts w:hint="cs"/>
          <w:rtl/>
        </w:rPr>
        <w:t>تنظم</w:t>
      </w:r>
      <w:r w:rsidR="00834350">
        <w:rPr>
          <w:rtl/>
        </w:rPr>
        <w:t xml:space="preserve"> الاست</w:t>
      </w:r>
      <w:r w:rsidR="00834350">
        <w:rPr>
          <w:rFonts w:hint="cs"/>
          <w:rtl/>
        </w:rPr>
        <w:t>عاضة</w:t>
      </w:r>
      <w:r w:rsidR="00834350" w:rsidRPr="00834350">
        <w:rPr>
          <w:rtl/>
        </w:rPr>
        <w:t xml:space="preserve"> حالياً </w:t>
      </w:r>
      <w:r w:rsidR="00834350">
        <w:rPr>
          <w:rFonts w:hint="cs"/>
          <w:rtl/>
        </w:rPr>
        <w:t>وكذا دخولها حيز النفاذ</w:t>
      </w:r>
      <w:r w:rsidR="00834350">
        <w:rPr>
          <w:rtl/>
        </w:rPr>
        <w:t>. وبناءً على ذلك</w:t>
      </w:r>
      <w:r w:rsidRPr="00213A74">
        <w:rPr>
          <w:rtl/>
        </w:rPr>
        <w:t xml:space="preserve">، يوصي المكتب الدولي بأن </w:t>
      </w:r>
      <w:r w:rsidR="000017B7">
        <w:rPr>
          <w:rFonts w:hint="cs"/>
          <w:rtl/>
        </w:rPr>
        <w:t>يأخذ</w:t>
      </w:r>
      <w:r w:rsidRPr="00213A74">
        <w:rPr>
          <w:rtl/>
        </w:rPr>
        <w:t xml:space="preserve"> الفريق العامل في</w:t>
      </w:r>
      <w:r w:rsidR="000017B7">
        <w:rPr>
          <w:rFonts w:hint="cs"/>
          <w:rtl/>
        </w:rPr>
        <w:t xml:space="preserve"> الاعتبار في دورته القادمة </w:t>
      </w:r>
      <w:r w:rsidRPr="00213A74">
        <w:rPr>
          <w:rtl/>
        </w:rPr>
        <w:t xml:space="preserve">مناقشة اقتراح جديد لتعديل المادة 21 من اللائحة التنفيذية </w:t>
      </w:r>
      <w:r w:rsidR="000017B7">
        <w:rPr>
          <w:rFonts w:hint="cs"/>
          <w:rtl/>
        </w:rPr>
        <w:t>المشتركة</w:t>
      </w:r>
      <w:r w:rsidRPr="00213A74">
        <w:rPr>
          <w:rtl/>
        </w:rPr>
        <w:t xml:space="preserve"> بما </w:t>
      </w:r>
      <w:r w:rsidR="000017B7">
        <w:rPr>
          <w:rtl/>
        </w:rPr>
        <w:t>يعكس المبادئ المذكورة أعلاه فقط</w:t>
      </w:r>
      <w:r w:rsidR="00AA7AE7" w:rsidRPr="00AA7AE7">
        <w:rPr>
          <w:rtl/>
        </w:rPr>
        <w:t>.</w:t>
      </w:r>
    </w:p>
    <w:p w:rsidR="00281D04" w:rsidRDefault="00A94C87" w:rsidP="00281D04">
      <w:pPr>
        <w:pStyle w:val="NormalParaAR"/>
        <w:numPr>
          <w:ilvl w:val="0"/>
          <w:numId w:val="21"/>
        </w:numPr>
        <w:ind w:left="5575" w:firstLine="0"/>
        <w:rPr>
          <w:i/>
          <w:iCs/>
        </w:rPr>
      </w:pPr>
      <w:r w:rsidRPr="00A94C87">
        <w:rPr>
          <w:i/>
          <w:iCs/>
          <w:rtl/>
        </w:rPr>
        <w:t>إن الفريق العامل مدعو إلى</w:t>
      </w:r>
      <w:r w:rsidR="003147F6">
        <w:rPr>
          <w:rFonts w:hint="cs"/>
          <w:i/>
          <w:iCs/>
          <w:rtl/>
        </w:rPr>
        <w:t xml:space="preserve"> ما يلي:</w:t>
      </w:r>
    </w:p>
    <w:p w:rsidR="00A94C87" w:rsidRDefault="00281D04" w:rsidP="005663DF">
      <w:pPr>
        <w:pStyle w:val="NormalParaAR"/>
        <w:ind w:left="5575" w:firstLine="661"/>
        <w:rPr>
          <w:i/>
          <w:iCs/>
          <w:rtl/>
        </w:rPr>
      </w:pPr>
      <w:r>
        <w:rPr>
          <w:rFonts w:hint="cs"/>
          <w:i/>
          <w:iCs/>
          <w:rtl/>
        </w:rPr>
        <w:t>"1"</w:t>
      </w:r>
      <w:r w:rsidR="005663DF">
        <w:rPr>
          <w:rFonts w:hint="cs"/>
          <w:i/>
          <w:iCs/>
          <w:rtl/>
        </w:rPr>
        <w:tab/>
      </w:r>
      <w:r w:rsidR="00A94C87" w:rsidRPr="00A94C87">
        <w:rPr>
          <w:i/>
          <w:iCs/>
          <w:rtl/>
        </w:rPr>
        <w:t xml:space="preserve">النظر </w:t>
      </w:r>
      <w:r w:rsidR="003147F6">
        <w:rPr>
          <w:rFonts w:hint="cs"/>
          <w:i/>
          <w:iCs/>
          <w:rtl/>
        </w:rPr>
        <w:t xml:space="preserve">في </w:t>
      </w:r>
      <w:r w:rsidR="007C0F98">
        <w:rPr>
          <w:i/>
          <w:iCs/>
          <w:rtl/>
        </w:rPr>
        <w:t>هذه الوثيقة</w:t>
      </w:r>
      <w:r w:rsidR="007C0F98">
        <w:rPr>
          <w:rFonts w:hint="cs"/>
          <w:i/>
          <w:iCs/>
          <w:rtl/>
        </w:rPr>
        <w:t>؛</w:t>
      </w:r>
    </w:p>
    <w:p w:rsidR="00281D04" w:rsidRPr="00A94C87" w:rsidRDefault="00281D04" w:rsidP="005663DF">
      <w:pPr>
        <w:pStyle w:val="NormalParaAR"/>
        <w:spacing w:after="600"/>
        <w:ind w:left="6236"/>
        <w:rPr>
          <w:i/>
          <w:iCs/>
        </w:rPr>
      </w:pPr>
      <w:r>
        <w:rPr>
          <w:rFonts w:hint="cs"/>
          <w:i/>
          <w:iCs/>
          <w:rtl/>
        </w:rPr>
        <w:t>"2"</w:t>
      </w:r>
      <w:r w:rsidR="005663DF">
        <w:rPr>
          <w:rFonts w:hint="cs"/>
          <w:i/>
          <w:iCs/>
          <w:rtl/>
        </w:rPr>
        <w:tab/>
      </w:r>
      <w:r w:rsidR="00820DB7" w:rsidRPr="00820DB7">
        <w:rPr>
          <w:i/>
          <w:iCs/>
          <w:rtl/>
        </w:rPr>
        <w:t xml:space="preserve">بيان ما إذا كان </w:t>
      </w:r>
      <w:r w:rsidR="00820DB7">
        <w:rPr>
          <w:rFonts w:hint="cs"/>
          <w:i/>
          <w:iCs/>
          <w:rtl/>
        </w:rPr>
        <w:t>ينبغي ل</w:t>
      </w:r>
      <w:r w:rsidR="00820DB7" w:rsidRPr="00820DB7">
        <w:rPr>
          <w:i/>
          <w:iCs/>
          <w:rtl/>
        </w:rPr>
        <w:t xml:space="preserve">لمكتب الدولي </w:t>
      </w:r>
      <w:r w:rsidR="007B657E" w:rsidRPr="007B657E">
        <w:rPr>
          <w:i/>
          <w:iCs/>
          <w:rtl/>
        </w:rPr>
        <w:t xml:space="preserve">تقديم اقتراح لتعديل المادة 21 من اللائحة التنفيذية </w:t>
      </w:r>
      <w:r w:rsidR="007C0F98">
        <w:rPr>
          <w:rFonts w:hint="cs"/>
          <w:i/>
          <w:iCs/>
          <w:rtl/>
        </w:rPr>
        <w:t>المشتركة</w:t>
      </w:r>
      <w:r w:rsidR="007B657E" w:rsidRPr="007B657E">
        <w:rPr>
          <w:i/>
          <w:iCs/>
          <w:rtl/>
        </w:rPr>
        <w:t xml:space="preserve"> </w:t>
      </w:r>
      <w:r w:rsidR="007C0F98">
        <w:rPr>
          <w:rFonts w:hint="cs"/>
          <w:i/>
          <w:iCs/>
          <w:rtl/>
        </w:rPr>
        <w:t>بما</w:t>
      </w:r>
      <w:r w:rsidR="007C0F98">
        <w:rPr>
          <w:i/>
          <w:iCs/>
          <w:rtl/>
        </w:rPr>
        <w:t xml:space="preserve"> </w:t>
      </w:r>
      <w:r w:rsidR="007C0F98">
        <w:rPr>
          <w:rFonts w:hint="cs"/>
          <w:i/>
          <w:iCs/>
          <w:rtl/>
        </w:rPr>
        <w:t>ي</w:t>
      </w:r>
      <w:r w:rsidR="007B657E" w:rsidRPr="007B657E">
        <w:rPr>
          <w:i/>
          <w:iCs/>
          <w:rtl/>
        </w:rPr>
        <w:t xml:space="preserve">عكس المبادئ التي </w:t>
      </w:r>
      <w:r w:rsidR="007C0F98">
        <w:rPr>
          <w:rFonts w:hint="cs"/>
          <w:i/>
          <w:iCs/>
          <w:rtl/>
        </w:rPr>
        <w:t>تنظم</w:t>
      </w:r>
      <w:r w:rsidR="007C0F98">
        <w:rPr>
          <w:i/>
          <w:iCs/>
          <w:rtl/>
        </w:rPr>
        <w:t xml:space="preserve"> الاست</w:t>
      </w:r>
      <w:r w:rsidR="007C0F98">
        <w:rPr>
          <w:rFonts w:hint="cs"/>
          <w:i/>
          <w:iCs/>
          <w:rtl/>
        </w:rPr>
        <w:t>عاضة</w:t>
      </w:r>
      <w:r w:rsidR="007B657E" w:rsidRPr="007B657E">
        <w:rPr>
          <w:i/>
          <w:iCs/>
          <w:rtl/>
        </w:rPr>
        <w:t xml:space="preserve">، على النحو </w:t>
      </w:r>
      <w:r w:rsidR="00164BFC">
        <w:rPr>
          <w:rFonts w:hint="cs"/>
          <w:i/>
          <w:iCs/>
          <w:rtl/>
        </w:rPr>
        <w:t xml:space="preserve">المقدَّم </w:t>
      </w:r>
      <w:r w:rsidR="007B657E" w:rsidRPr="007B657E">
        <w:rPr>
          <w:i/>
          <w:iCs/>
          <w:rtl/>
        </w:rPr>
        <w:t>في الفقرة 13 من هذه الوثيقة.</w:t>
      </w:r>
    </w:p>
    <w:p w:rsidR="00745FCD" w:rsidRPr="007F38D1" w:rsidRDefault="00A94C87" w:rsidP="00CF72AE">
      <w:pPr>
        <w:pStyle w:val="NormalParaAR"/>
        <w:spacing w:before="120"/>
        <w:ind w:left="5575"/>
        <w:rPr>
          <w:rtl/>
        </w:rPr>
      </w:pPr>
      <w:r>
        <w:rPr>
          <w:rFonts w:hint="cs"/>
          <w:rtl/>
        </w:rPr>
        <w:t>[</w:t>
      </w:r>
      <w:r w:rsidR="001848B3">
        <w:rPr>
          <w:rFonts w:hint="cs"/>
          <w:rtl/>
        </w:rPr>
        <w:t>نهاية الوثيقة</w:t>
      </w:r>
      <w:r>
        <w:rPr>
          <w:rFonts w:hint="cs"/>
          <w:rtl/>
        </w:rPr>
        <w:t>]</w:t>
      </w:r>
    </w:p>
    <w:sectPr w:rsidR="00745FCD" w:rsidRPr="007F38D1" w:rsidSect="006144B1">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0D" w:rsidRDefault="002C600D">
      <w:r>
        <w:separator/>
      </w:r>
    </w:p>
  </w:endnote>
  <w:endnote w:type="continuationSeparator" w:id="0">
    <w:p w:rsidR="002C600D" w:rsidRDefault="002C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0D" w:rsidRDefault="002C600D" w:rsidP="009622BF">
      <w:pPr>
        <w:bidi/>
      </w:pPr>
      <w:bookmarkStart w:id="0" w:name="OLE_LINK1"/>
      <w:bookmarkStart w:id="1" w:name="OLE_LINK2"/>
      <w:r>
        <w:separator/>
      </w:r>
      <w:bookmarkEnd w:id="0"/>
      <w:bookmarkEnd w:id="1"/>
    </w:p>
  </w:footnote>
  <w:footnote w:type="continuationSeparator" w:id="0">
    <w:p w:rsidR="002C600D" w:rsidRDefault="002C600D" w:rsidP="009622BF">
      <w:pPr>
        <w:bidi/>
      </w:pPr>
      <w:r>
        <w:separator/>
      </w:r>
    </w:p>
  </w:footnote>
  <w:footnote w:id="1">
    <w:p w:rsidR="008A4C3A" w:rsidRDefault="008A4C3A">
      <w:pPr>
        <w:pStyle w:val="FootnoteText"/>
        <w:rPr>
          <w:lang w:bidi="ar-MA"/>
        </w:rPr>
      </w:pPr>
      <w:r>
        <w:rPr>
          <w:rStyle w:val="FootnoteReference"/>
        </w:rPr>
        <w:footnoteRef/>
      </w:r>
      <w:r>
        <w:rPr>
          <w:rtl/>
        </w:rPr>
        <w:t xml:space="preserve"> </w:t>
      </w:r>
      <w:r>
        <w:rPr>
          <w:rFonts w:hint="cs"/>
          <w:rtl/>
          <w:lang w:bidi="ar-MA"/>
        </w:rPr>
        <w:t xml:space="preserve">انظر الوثيقة </w:t>
      </w:r>
      <w:r w:rsidRPr="008A4C3A">
        <w:rPr>
          <w:lang w:bidi="ar-MA"/>
        </w:rPr>
        <w:t>MM/LD/WG/15/6</w:t>
      </w:r>
      <w:r>
        <w:rPr>
          <w:rFonts w:hint="cs"/>
          <w:rtl/>
          <w:lang w:bidi="ar-MA"/>
        </w:rPr>
        <w:t xml:space="preserve">. </w:t>
      </w:r>
    </w:p>
  </w:footnote>
  <w:footnote w:id="2">
    <w:p w:rsidR="005E2217" w:rsidRDefault="005E2217">
      <w:pPr>
        <w:pStyle w:val="FootnoteText"/>
        <w:rPr>
          <w:lang w:bidi="ar-MA"/>
        </w:rPr>
      </w:pPr>
      <w:r>
        <w:rPr>
          <w:rStyle w:val="FootnoteReference"/>
        </w:rPr>
        <w:footnoteRef/>
      </w:r>
      <w:r>
        <w:rPr>
          <w:rtl/>
        </w:rPr>
        <w:t xml:space="preserve"> </w:t>
      </w:r>
      <w:r>
        <w:rPr>
          <w:rFonts w:hint="cs"/>
          <w:rtl/>
          <w:lang w:bidi="ar-MA"/>
        </w:rPr>
        <w:t xml:space="preserve">انظر </w:t>
      </w:r>
      <w:r w:rsidR="001D5C00">
        <w:rPr>
          <w:rFonts w:hint="cs"/>
          <w:rtl/>
          <w:lang w:bidi="ar-MA"/>
        </w:rPr>
        <w:t xml:space="preserve">الفقرة الثانية من </w:t>
      </w:r>
      <w:r>
        <w:rPr>
          <w:rFonts w:hint="cs"/>
          <w:rtl/>
          <w:lang w:bidi="ar-MA"/>
        </w:rPr>
        <w:t xml:space="preserve">الوثيقة </w:t>
      </w:r>
      <w:r w:rsidR="001D5C00" w:rsidRPr="001D5C00">
        <w:rPr>
          <w:lang w:bidi="ar-MA"/>
        </w:rPr>
        <w:t>WO/PBC/27/9</w:t>
      </w:r>
      <w:r w:rsidR="001D5C00">
        <w:rPr>
          <w:rFonts w:hint="cs"/>
          <w:rtl/>
          <w:lang w:bidi="ar-MA"/>
        </w:rPr>
        <w:t xml:space="preserve">، المرفق  الرابع "منصة مدريد المعلوماتية". </w:t>
      </w:r>
    </w:p>
  </w:footnote>
  <w:footnote w:id="3">
    <w:p w:rsidR="00F77ABA" w:rsidRDefault="00F77ABA" w:rsidP="00F77ABA">
      <w:pPr>
        <w:pStyle w:val="FootnoteText"/>
        <w:rPr>
          <w:lang w:bidi="ar-MA"/>
        </w:rPr>
      </w:pPr>
      <w:r>
        <w:rPr>
          <w:rStyle w:val="FootnoteReference"/>
        </w:rPr>
        <w:footnoteRef/>
      </w:r>
      <w:r>
        <w:rPr>
          <w:rtl/>
        </w:rPr>
        <w:t xml:space="preserve"> انظر الفقر</w:t>
      </w:r>
      <w:r>
        <w:rPr>
          <w:rFonts w:hint="cs"/>
          <w:rtl/>
        </w:rPr>
        <w:t xml:space="preserve">تين 12 و13 </w:t>
      </w:r>
      <w:r w:rsidRPr="00F77ABA">
        <w:rPr>
          <w:rtl/>
        </w:rPr>
        <w:t xml:space="preserve"> </w:t>
      </w:r>
      <w:r>
        <w:rPr>
          <w:rtl/>
        </w:rPr>
        <w:t>من الوثيق</w:t>
      </w:r>
      <w:r>
        <w:rPr>
          <w:rFonts w:hint="cs"/>
          <w:rtl/>
        </w:rPr>
        <w:t>تين</w:t>
      </w:r>
      <w:r w:rsidRPr="00F77ABA">
        <w:rPr>
          <w:rtl/>
        </w:rPr>
        <w:t xml:space="preserve"> </w:t>
      </w:r>
      <w:r w:rsidRPr="00F77ABA">
        <w:t>MM/LD/WG15/2</w:t>
      </w:r>
      <w:r w:rsidRPr="00F77ABA">
        <w:rPr>
          <w:rtl/>
        </w:rPr>
        <w:t xml:space="preserve"> </w:t>
      </w:r>
      <w:r>
        <w:rPr>
          <w:rFonts w:hint="cs"/>
          <w:rtl/>
        </w:rPr>
        <w:t xml:space="preserve"> و</w:t>
      </w:r>
      <w:r w:rsidRPr="00F77ABA">
        <w:t xml:space="preserve"> MM/LD/WG/15/5</w:t>
      </w:r>
      <w:r w:rsidR="008421B7">
        <w:rPr>
          <w:rFonts w:hint="cs"/>
          <w:rtl/>
        </w:rPr>
        <w:t>.</w:t>
      </w:r>
    </w:p>
  </w:footnote>
  <w:footnote w:id="4">
    <w:p w:rsidR="00862896" w:rsidRDefault="00862896" w:rsidP="00862896">
      <w:pPr>
        <w:pStyle w:val="FootnoteText"/>
      </w:pPr>
      <w:r>
        <w:rPr>
          <w:rStyle w:val="FootnoteReference"/>
        </w:rPr>
        <w:footnoteRef/>
      </w:r>
      <w:r>
        <w:rPr>
          <w:rtl/>
        </w:rPr>
        <w:t xml:space="preserve"> </w:t>
      </w:r>
      <w:r w:rsidRPr="00862896">
        <w:rPr>
          <w:rtl/>
        </w:rPr>
        <w:t xml:space="preserve">  انظر الوثيقة </w:t>
      </w:r>
      <w:r w:rsidRPr="00862896">
        <w:t>MM/LD/WG/12/5</w:t>
      </w:r>
      <w:r>
        <w:rPr>
          <w:rFonts w:hint="cs"/>
          <w:rtl/>
        </w:rPr>
        <w:t>.</w:t>
      </w:r>
    </w:p>
  </w:footnote>
  <w:footnote w:id="5">
    <w:p w:rsidR="00CD242D" w:rsidRDefault="00CD242D" w:rsidP="00CD242D">
      <w:pPr>
        <w:pStyle w:val="FootnoteText"/>
        <w:rPr>
          <w:lang w:bidi="ar-MA"/>
        </w:rPr>
      </w:pPr>
      <w:r>
        <w:rPr>
          <w:rStyle w:val="FootnoteReference"/>
        </w:rPr>
        <w:footnoteRef/>
      </w:r>
      <w:r>
        <w:rPr>
          <w:rtl/>
        </w:rPr>
        <w:t xml:space="preserve"> </w:t>
      </w:r>
      <w:r w:rsidRPr="00CD242D">
        <w:rPr>
          <w:rtl/>
        </w:rPr>
        <w:t xml:space="preserve">انظر الوثيقة </w:t>
      </w:r>
      <w:r w:rsidRPr="00CD242D">
        <w:t>MM/LD/WG/13/2</w:t>
      </w:r>
      <w:r>
        <w:rPr>
          <w:rFonts w:hint="cs"/>
          <w:rtl/>
        </w:rPr>
        <w:t>.</w:t>
      </w:r>
    </w:p>
  </w:footnote>
  <w:footnote w:id="6">
    <w:p w:rsidR="00C77F1E" w:rsidRDefault="00C77F1E" w:rsidP="00C77F1E">
      <w:pPr>
        <w:pStyle w:val="FootnoteText"/>
        <w:rPr>
          <w:lang w:bidi="ar-MA"/>
        </w:rPr>
      </w:pPr>
      <w:r>
        <w:rPr>
          <w:rStyle w:val="FootnoteReference"/>
        </w:rPr>
        <w:footnoteRef/>
      </w:r>
      <w:r>
        <w:rPr>
          <w:rtl/>
        </w:rPr>
        <w:t xml:space="preserve"> </w:t>
      </w:r>
      <w:r w:rsidRPr="00C77F1E">
        <w:rPr>
          <w:rtl/>
        </w:rPr>
        <w:t xml:space="preserve">انظر الوثيقة </w:t>
      </w:r>
      <w:r w:rsidRPr="00C77F1E">
        <w:t>MM/LD/WG/14/2 Rev</w:t>
      </w:r>
      <w:r w:rsidRPr="00C77F1E">
        <w:rPr>
          <w:rtl/>
        </w:rPr>
        <w:t>.</w:t>
      </w:r>
    </w:p>
  </w:footnote>
  <w:footnote w:id="7">
    <w:p w:rsidR="00654D2F" w:rsidRDefault="00654D2F" w:rsidP="00654D2F">
      <w:pPr>
        <w:pStyle w:val="FootnoteText"/>
        <w:rPr>
          <w:lang w:bidi="ar-MA"/>
        </w:rPr>
      </w:pPr>
      <w:r>
        <w:rPr>
          <w:rStyle w:val="FootnoteReference"/>
        </w:rPr>
        <w:footnoteRef/>
      </w:r>
      <w:r>
        <w:rPr>
          <w:rtl/>
        </w:rPr>
        <w:t xml:space="preserve"> </w:t>
      </w:r>
      <w:r w:rsidRPr="00654D2F">
        <w:rPr>
          <w:rtl/>
        </w:rPr>
        <w:t xml:space="preserve">انظر الوثيقة </w:t>
      </w:r>
      <w:r w:rsidRPr="00654D2F">
        <w:t>MM/LD/WG/15/2</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16" w:rsidRDefault="00674316" w:rsidP="00E13C44">
    <w:pPr>
      <w:rPr>
        <w:rtl/>
      </w:rPr>
    </w:pPr>
    <w:r w:rsidRPr="00F369E7">
      <w:t>MM/LD/WG/</w:t>
    </w:r>
    <w:r>
      <w:t>16</w:t>
    </w:r>
    <w:r w:rsidRPr="00F369E7">
      <w:t>/</w:t>
    </w:r>
    <w:r>
      <w:t>2</w:t>
    </w:r>
  </w:p>
  <w:p w:rsidR="00674316" w:rsidRDefault="00674316" w:rsidP="00D61541">
    <w:r>
      <w:fldChar w:fldCharType="begin"/>
    </w:r>
    <w:r>
      <w:instrText xml:space="preserve"> PAGE  \* MERGEFORMAT </w:instrText>
    </w:r>
    <w:r>
      <w:fldChar w:fldCharType="separate"/>
    </w:r>
    <w:r w:rsidR="00C61B98">
      <w:rPr>
        <w:noProof/>
      </w:rPr>
      <w:t>4</w:t>
    </w:r>
    <w:r>
      <w:fldChar w:fldCharType="end"/>
    </w:r>
  </w:p>
  <w:p w:rsidR="00674316" w:rsidRDefault="0067431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331963"/>
    <w:multiLevelType w:val="hybridMultilevel"/>
    <w:tmpl w:val="C4AC81F0"/>
    <w:lvl w:ilvl="0" w:tplc="57E691BE">
      <w:start w:val="1"/>
      <w:numFmt w:val="decimal"/>
      <w:lvlText w:val="&quot;%1&quot;"/>
      <w:lvlJc w:val="left"/>
      <w:pPr>
        <w:ind w:left="2425" w:hanging="360"/>
      </w:pPr>
      <w:rPr>
        <w:rFonts w:ascii="Arabic Typesetting" w:hAnsi="Arabic Typesetting" w:cs="Arabic Typesetting" w:hint="default"/>
        <w:b w:val="0"/>
        <w:bCs w:val="0"/>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3">
    <w:nsid w:val="19F32D60"/>
    <w:multiLevelType w:val="hybridMultilevel"/>
    <w:tmpl w:val="2326CC62"/>
    <w:lvl w:ilvl="0" w:tplc="60424AD8">
      <w:start w:val="1"/>
      <w:numFmt w:val="arabicAbjad"/>
      <w:lvlText w:val="(%1)"/>
      <w:lvlJc w:val="left"/>
      <w:pPr>
        <w:ind w:left="1255" w:hanging="360"/>
      </w:pPr>
      <w:rPr>
        <w:rFonts w:hint="default"/>
      </w:rPr>
    </w:lvl>
    <w:lvl w:ilvl="1" w:tplc="60424AD8">
      <w:start w:val="1"/>
      <w:numFmt w:val="arabicAbjad"/>
      <w:lvlText w:val="(%2)"/>
      <w:lvlJc w:val="left"/>
      <w:pPr>
        <w:ind w:left="1975" w:hanging="360"/>
      </w:pPr>
      <w:rPr>
        <w:rFonts w:hint="default"/>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EE2225"/>
    <w:multiLevelType w:val="hybridMultilevel"/>
    <w:tmpl w:val="3AAE76D6"/>
    <w:lvl w:ilvl="0" w:tplc="60424AD8">
      <w:start w:val="1"/>
      <w:numFmt w:val="arabicAbjad"/>
      <w:lvlText w:val="(%1)"/>
      <w:lvlJc w:val="left"/>
      <w:pPr>
        <w:ind w:left="1255" w:hanging="360"/>
      </w:pPr>
      <w:rPr>
        <w:rFonts w:hint="default"/>
      </w:r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882F5F"/>
    <w:multiLevelType w:val="hybridMultilevel"/>
    <w:tmpl w:val="90209610"/>
    <w:lvl w:ilvl="0" w:tplc="FE06C8F4">
      <w:start w:val="1"/>
      <w:numFmt w:val="decimal"/>
      <w:lvlText w:val="%1."/>
      <w:lvlJc w:val="left"/>
      <w:pPr>
        <w:ind w:left="720" w:hanging="360"/>
      </w:pPr>
      <w:rPr>
        <w:lang w:val="en-US"/>
      </w:rPr>
    </w:lvl>
    <w:lvl w:ilvl="1" w:tplc="6A90741E">
      <w:start w:val="1"/>
      <w:numFmt w:val="arabicAlpha"/>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0"/>
  </w:num>
  <w:num w:numId="5">
    <w:abstractNumId w:val="8"/>
  </w:num>
  <w:num w:numId="6">
    <w:abstractNumId w:val="21"/>
  </w:num>
  <w:num w:numId="7">
    <w:abstractNumId w:val="15"/>
  </w:num>
  <w:num w:numId="8">
    <w:abstractNumId w:val="19"/>
  </w:num>
  <w:num w:numId="9">
    <w:abstractNumId w:val="18"/>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13"/>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D9"/>
    <w:rsid w:val="00000E97"/>
    <w:rsid w:val="000017B7"/>
    <w:rsid w:val="00002CBE"/>
    <w:rsid w:val="00003232"/>
    <w:rsid w:val="000033DA"/>
    <w:rsid w:val="0000579F"/>
    <w:rsid w:val="000074D1"/>
    <w:rsid w:val="000076BD"/>
    <w:rsid w:val="00007DCB"/>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EC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23"/>
    <w:rsid w:val="00050C55"/>
    <w:rsid w:val="00050F28"/>
    <w:rsid w:val="00053836"/>
    <w:rsid w:val="00054659"/>
    <w:rsid w:val="0005482C"/>
    <w:rsid w:val="00055FA2"/>
    <w:rsid w:val="000571DD"/>
    <w:rsid w:val="00061FF5"/>
    <w:rsid w:val="00062502"/>
    <w:rsid w:val="00063C91"/>
    <w:rsid w:val="000640E7"/>
    <w:rsid w:val="00065A97"/>
    <w:rsid w:val="00066DC7"/>
    <w:rsid w:val="0006794A"/>
    <w:rsid w:val="00067F31"/>
    <w:rsid w:val="00071138"/>
    <w:rsid w:val="000733D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ECC"/>
    <w:rsid w:val="00091F52"/>
    <w:rsid w:val="00092982"/>
    <w:rsid w:val="00092DD6"/>
    <w:rsid w:val="0009337D"/>
    <w:rsid w:val="00094C85"/>
    <w:rsid w:val="00094D7E"/>
    <w:rsid w:val="0009517B"/>
    <w:rsid w:val="00095AE2"/>
    <w:rsid w:val="00095CD9"/>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0F3"/>
    <w:rsid w:val="000B73E6"/>
    <w:rsid w:val="000B7759"/>
    <w:rsid w:val="000B7F68"/>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E80"/>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0C4"/>
    <w:rsid w:val="00110107"/>
    <w:rsid w:val="00110531"/>
    <w:rsid w:val="00110794"/>
    <w:rsid w:val="00112524"/>
    <w:rsid w:val="00113769"/>
    <w:rsid w:val="00114141"/>
    <w:rsid w:val="00114827"/>
    <w:rsid w:val="00115266"/>
    <w:rsid w:val="001154FB"/>
    <w:rsid w:val="00115B51"/>
    <w:rsid w:val="00116DDF"/>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5E"/>
    <w:rsid w:val="00135C24"/>
    <w:rsid w:val="00136389"/>
    <w:rsid w:val="00136A1A"/>
    <w:rsid w:val="00136A96"/>
    <w:rsid w:val="001376B6"/>
    <w:rsid w:val="00140A35"/>
    <w:rsid w:val="001414FA"/>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935"/>
    <w:rsid w:val="001550DF"/>
    <w:rsid w:val="00155CEA"/>
    <w:rsid w:val="00156153"/>
    <w:rsid w:val="001563D9"/>
    <w:rsid w:val="00156428"/>
    <w:rsid w:val="001568F4"/>
    <w:rsid w:val="001572CE"/>
    <w:rsid w:val="001603F7"/>
    <w:rsid w:val="00160C95"/>
    <w:rsid w:val="00162777"/>
    <w:rsid w:val="0016337E"/>
    <w:rsid w:val="00164691"/>
    <w:rsid w:val="00164BD2"/>
    <w:rsid w:val="00164BFC"/>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8B3"/>
    <w:rsid w:val="00185718"/>
    <w:rsid w:val="001857AF"/>
    <w:rsid w:val="00185BBE"/>
    <w:rsid w:val="00186606"/>
    <w:rsid w:val="00187AAE"/>
    <w:rsid w:val="00190B6D"/>
    <w:rsid w:val="00191E75"/>
    <w:rsid w:val="00192022"/>
    <w:rsid w:val="0019301D"/>
    <w:rsid w:val="0019454F"/>
    <w:rsid w:val="00194719"/>
    <w:rsid w:val="00194774"/>
    <w:rsid w:val="00195CE0"/>
    <w:rsid w:val="00196665"/>
    <w:rsid w:val="001A051F"/>
    <w:rsid w:val="001A098F"/>
    <w:rsid w:val="001A10CB"/>
    <w:rsid w:val="001A110B"/>
    <w:rsid w:val="001A149A"/>
    <w:rsid w:val="001A1767"/>
    <w:rsid w:val="001A2AB7"/>
    <w:rsid w:val="001A3F04"/>
    <w:rsid w:val="001A4A9C"/>
    <w:rsid w:val="001A6B88"/>
    <w:rsid w:val="001A6C33"/>
    <w:rsid w:val="001A6E68"/>
    <w:rsid w:val="001B1F2F"/>
    <w:rsid w:val="001B3131"/>
    <w:rsid w:val="001B4B2F"/>
    <w:rsid w:val="001B7C00"/>
    <w:rsid w:val="001C09D2"/>
    <w:rsid w:val="001C1620"/>
    <w:rsid w:val="001C18B2"/>
    <w:rsid w:val="001C1994"/>
    <w:rsid w:val="001C2933"/>
    <w:rsid w:val="001C46A0"/>
    <w:rsid w:val="001C5EEE"/>
    <w:rsid w:val="001C6A73"/>
    <w:rsid w:val="001C73C2"/>
    <w:rsid w:val="001D0474"/>
    <w:rsid w:val="001D141D"/>
    <w:rsid w:val="001D1EBD"/>
    <w:rsid w:val="001D2184"/>
    <w:rsid w:val="001D24F3"/>
    <w:rsid w:val="001D2678"/>
    <w:rsid w:val="001D2DC4"/>
    <w:rsid w:val="001D5C0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38A"/>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A74"/>
    <w:rsid w:val="0021457F"/>
    <w:rsid w:val="0021505D"/>
    <w:rsid w:val="00215FB4"/>
    <w:rsid w:val="0021604B"/>
    <w:rsid w:val="00216545"/>
    <w:rsid w:val="00220227"/>
    <w:rsid w:val="00220D8C"/>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151"/>
    <w:rsid w:val="0025425F"/>
    <w:rsid w:val="00254468"/>
    <w:rsid w:val="00254B69"/>
    <w:rsid w:val="00254CF2"/>
    <w:rsid w:val="00254DE4"/>
    <w:rsid w:val="00254F66"/>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D04"/>
    <w:rsid w:val="00281F4F"/>
    <w:rsid w:val="0028491D"/>
    <w:rsid w:val="00286744"/>
    <w:rsid w:val="002909B9"/>
    <w:rsid w:val="00292CEE"/>
    <w:rsid w:val="00292D22"/>
    <w:rsid w:val="0029470D"/>
    <w:rsid w:val="00297B80"/>
    <w:rsid w:val="002A076C"/>
    <w:rsid w:val="002A1059"/>
    <w:rsid w:val="002A2411"/>
    <w:rsid w:val="002A3C9D"/>
    <w:rsid w:val="002A5250"/>
    <w:rsid w:val="002A5403"/>
    <w:rsid w:val="002A6C9F"/>
    <w:rsid w:val="002A77F3"/>
    <w:rsid w:val="002B14F0"/>
    <w:rsid w:val="002B157F"/>
    <w:rsid w:val="002B1F0F"/>
    <w:rsid w:val="002B53D3"/>
    <w:rsid w:val="002B6202"/>
    <w:rsid w:val="002C014C"/>
    <w:rsid w:val="002C05E5"/>
    <w:rsid w:val="002C060C"/>
    <w:rsid w:val="002C0BA6"/>
    <w:rsid w:val="002C12A7"/>
    <w:rsid w:val="002C2B6F"/>
    <w:rsid w:val="002C2BC4"/>
    <w:rsid w:val="002C314F"/>
    <w:rsid w:val="002C4AD1"/>
    <w:rsid w:val="002C600D"/>
    <w:rsid w:val="002C7D29"/>
    <w:rsid w:val="002D0298"/>
    <w:rsid w:val="002D1662"/>
    <w:rsid w:val="002D1DE5"/>
    <w:rsid w:val="002D3506"/>
    <w:rsid w:val="002D3670"/>
    <w:rsid w:val="002D3AF9"/>
    <w:rsid w:val="002D3BE3"/>
    <w:rsid w:val="002D4807"/>
    <w:rsid w:val="002D5DDC"/>
    <w:rsid w:val="002D5F16"/>
    <w:rsid w:val="002D62F1"/>
    <w:rsid w:val="002D6FD8"/>
    <w:rsid w:val="002D727B"/>
    <w:rsid w:val="002D7EAD"/>
    <w:rsid w:val="002E1169"/>
    <w:rsid w:val="002E1218"/>
    <w:rsid w:val="002E28F3"/>
    <w:rsid w:val="002E2AA1"/>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B3D"/>
    <w:rsid w:val="00311453"/>
    <w:rsid w:val="003114C9"/>
    <w:rsid w:val="00311A9D"/>
    <w:rsid w:val="0031229D"/>
    <w:rsid w:val="00313F6A"/>
    <w:rsid w:val="003147F6"/>
    <w:rsid w:val="00314AF3"/>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B9E"/>
    <w:rsid w:val="00327011"/>
    <w:rsid w:val="00334127"/>
    <w:rsid w:val="00334415"/>
    <w:rsid w:val="00335CA6"/>
    <w:rsid w:val="003365F0"/>
    <w:rsid w:val="00336C50"/>
    <w:rsid w:val="00337388"/>
    <w:rsid w:val="0034007D"/>
    <w:rsid w:val="003402C9"/>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E00"/>
    <w:rsid w:val="00390FC0"/>
    <w:rsid w:val="003911B2"/>
    <w:rsid w:val="00391AFE"/>
    <w:rsid w:val="00392705"/>
    <w:rsid w:val="00393A79"/>
    <w:rsid w:val="00393CAC"/>
    <w:rsid w:val="0039419C"/>
    <w:rsid w:val="00395987"/>
    <w:rsid w:val="00396375"/>
    <w:rsid w:val="00396801"/>
    <w:rsid w:val="00396D91"/>
    <w:rsid w:val="00396E82"/>
    <w:rsid w:val="003A07FF"/>
    <w:rsid w:val="003A146E"/>
    <w:rsid w:val="003A26CD"/>
    <w:rsid w:val="003A3430"/>
    <w:rsid w:val="003A37F7"/>
    <w:rsid w:val="003A54E9"/>
    <w:rsid w:val="003A5E7C"/>
    <w:rsid w:val="003A78C7"/>
    <w:rsid w:val="003A7E9A"/>
    <w:rsid w:val="003B15FE"/>
    <w:rsid w:val="003B1C41"/>
    <w:rsid w:val="003B3390"/>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AA4"/>
    <w:rsid w:val="003D2DF9"/>
    <w:rsid w:val="003D37D4"/>
    <w:rsid w:val="003D47A7"/>
    <w:rsid w:val="003D56B5"/>
    <w:rsid w:val="003D5DCC"/>
    <w:rsid w:val="003D6B84"/>
    <w:rsid w:val="003E1A49"/>
    <w:rsid w:val="003E2D01"/>
    <w:rsid w:val="003E330E"/>
    <w:rsid w:val="003E3AE3"/>
    <w:rsid w:val="003E4A3F"/>
    <w:rsid w:val="003E5733"/>
    <w:rsid w:val="003E5E27"/>
    <w:rsid w:val="003E6FD2"/>
    <w:rsid w:val="003E788F"/>
    <w:rsid w:val="003E7A97"/>
    <w:rsid w:val="003E7D3A"/>
    <w:rsid w:val="003F0950"/>
    <w:rsid w:val="003F09C9"/>
    <w:rsid w:val="003F1266"/>
    <w:rsid w:val="003F2FD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344"/>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70C"/>
    <w:rsid w:val="00450EEE"/>
    <w:rsid w:val="004512B2"/>
    <w:rsid w:val="004528EE"/>
    <w:rsid w:val="00453360"/>
    <w:rsid w:val="0045438F"/>
    <w:rsid w:val="00456409"/>
    <w:rsid w:val="004569C6"/>
    <w:rsid w:val="00456ADC"/>
    <w:rsid w:val="0045768F"/>
    <w:rsid w:val="00457769"/>
    <w:rsid w:val="004627AE"/>
    <w:rsid w:val="0046298E"/>
    <w:rsid w:val="00463D93"/>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657"/>
    <w:rsid w:val="004A48A7"/>
    <w:rsid w:val="004A655D"/>
    <w:rsid w:val="004A7D75"/>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21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4EF"/>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1799"/>
    <w:rsid w:val="0056248F"/>
    <w:rsid w:val="00564985"/>
    <w:rsid w:val="00565379"/>
    <w:rsid w:val="00565A21"/>
    <w:rsid w:val="005663DF"/>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775F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08B"/>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6D8"/>
    <w:rsid w:val="005E2154"/>
    <w:rsid w:val="005E2217"/>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A7F"/>
    <w:rsid w:val="00611858"/>
    <w:rsid w:val="0061237D"/>
    <w:rsid w:val="006144B1"/>
    <w:rsid w:val="00614EB1"/>
    <w:rsid w:val="00614F67"/>
    <w:rsid w:val="00615277"/>
    <w:rsid w:val="00615519"/>
    <w:rsid w:val="00615CED"/>
    <w:rsid w:val="00615CFC"/>
    <w:rsid w:val="00616A1B"/>
    <w:rsid w:val="00617A92"/>
    <w:rsid w:val="00620CEE"/>
    <w:rsid w:val="00620DDA"/>
    <w:rsid w:val="00622558"/>
    <w:rsid w:val="00622D5F"/>
    <w:rsid w:val="00622EAE"/>
    <w:rsid w:val="0062334E"/>
    <w:rsid w:val="00623A4F"/>
    <w:rsid w:val="00624D17"/>
    <w:rsid w:val="00624F56"/>
    <w:rsid w:val="00626594"/>
    <w:rsid w:val="00630187"/>
    <w:rsid w:val="00630442"/>
    <w:rsid w:val="0063048C"/>
    <w:rsid w:val="00630FCD"/>
    <w:rsid w:val="006319C2"/>
    <w:rsid w:val="00631FF6"/>
    <w:rsid w:val="006323F7"/>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6E8"/>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D2F"/>
    <w:rsid w:val="006575ED"/>
    <w:rsid w:val="006578FD"/>
    <w:rsid w:val="00660060"/>
    <w:rsid w:val="006609AA"/>
    <w:rsid w:val="00662EDE"/>
    <w:rsid w:val="00664C9F"/>
    <w:rsid w:val="00666548"/>
    <w:rsid w:val="00666A71"/>
    <w:rsid w:val="00667537"/>
    <w:rsid w:val="00670865"/>
    <w:rsid w:val="00671AED"/>
    <w:rsid w:val="006725B5"/>
    <w:rsid w:val="006730FA"/>
    <w:rsid w:val="00673521"/>
    <w:rsid w:val="00673767"/>
    <w:rsid w:val="00673F39"/>
    <w:rsid w:val="00674316"/>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E4"/>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0E80"/>
    <w:rsid w:val="006E1A47"/>
    <w:rsid w:val="006E287D"/>
    <w:rsid w:val="006E2ECF"/>
    <w:rsid w:val="006E346B"/>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09"/>
    <w:rsid w:val="00726DD6"/>
    <w:rsid w:val="0073076E"/>
    <w:rsid w:val="00732E1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5FCD"/>
    <w:rsid w:val="007462E8"/>
    <w:rsid w:val="00746F2D"/>
    <w:rsid w:val="0074734F"/>
    <w:rsid w:val="00747FEA"/>
    <w:rsid w:val="00750177"/>
    <w:rsid w:val="0075057F"/>
    <w:rsid w:val="0075066D"/>
    <w:rsid w:val="00752AEC"/>
    <w:rsid w:val="00752FBA"/>
    <w:rsid w:val="00753324"/>
    <w:rsid w:val="00753CFD"/>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1B8A"/>
    <w:rsid w:val="007A35D2"/>
    <w:rsid w:val="007A4584"/>
    <w:rsid w:val="007A4BB3"/>
    <w:rsid w:val="007A6307"/>
    <w:rsid w:val="007A6822"/>
    <w:rsid w:val="007A724D"/>
    <w:rsid w:val="007A749D"/>
    <w:rsid w:val="007A7B37"/>
    <w:rsid w:val="007B024C"/>
    <w:rsid w:val="007B1C4C"/>
    <w:rsid w:val="007B2800"/>
    <w:rsid w:val="007B38F7"/>
    <w:rsid w:val="007B40D4"/>
    <w:rsid w:val="007B4511"/>
    <w:rsid w:val="007B5C4B"/>
    <w:rsid w:val="007B5C86"/>
    <w:rsid w:val="007B6071"/>
    <w:rsid w:val="007B6540"/>
    <w:rsid w:val="007B657E"/>
    <w:rsid w:val="007B69A2"/>
    <w:rsid w:val="007C09C4"/>
    <w:rsid w:val="007C0F98"/>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667"/>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FBB"/>
    <w:rsid w:val="00806E68"/>
    <w:rsid w:val="00807FC3"/>
    <w:rsid w:val="00810034"/>
    <w:rsid w:val="008114CF"/>
    <w:rsid w:val="008117CC"/>
    <w:rsid w:val="00811AB3"/>
    <w:rsid w:val="0081421D"/>
    <w:rsid w:val="00814ADB"/>
    <w:rsid w:val="00815C5D"/>
    <w:rsid w:val="00815D46"/>
    <w:rsid w:val="0081618F"/>
    <w:rsid w:val="008174D1"/>
    <w:rsid w:val="008178B2"/>
    <w:rsid w:val="00817E19"/>
    <w:rsid w:val="00820DB7"/>
    <w:rsid w:val="0082165E"/>
    <w:rsid w:val="00822136"/>
    <w:rsid w:val="00822AAF"/>
    <w:rsid w:val="00822F01"/>
    <w:rsid w:val="008232A6"/>
    <w:rsid w:val="00823898"/>
    <w:rsid w:val="008239D1"/>
    <w:rsid w:val="00824071"/>
    <w:rsid w:val="008246B2"/>
    <w:rsid w:val="0082488A"/>
    <w:rsid w:val="00824C08"/>
    <w:rsid w:val="008250F6"/>
    <w:rsid w:val="00825485"/>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350"/>
    <w:rsid w:val="008344C4"/>
    <w:rsid w:val="008348DA"/>
    <w:rsid w:val="00835621"/>
    <w:rsid w:val="008362AE"/>
    <w:rsid w:val="00837719"/>
    <w:rsid w:val="00840419"/>
    <w:rsid w:val="00840A24"/>
    <w:rsid w:val="00840F1B"/>
    <w:rsid w:val="0084117A"/>
    <w:rsid w:val="008421B7"/>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89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A59"/>
    <w:rsid w:val="008803F5"/>
    <w:rsid w:val="008812BF"/>
    <w:rsid w:val="00881341"/>
    <w:rsid w:val="00882931"/>
    <w:rsid w:val="00884939"/>
    <w:rsid w:val="008853E0"/>
    <w:rsid w:val="00885BE2"/>
    <w:rsid w:val="00885C87"/>
    <w:rsid w:val="008863C8"/>
    <w:rsid w:val="00886D40"/>
    <w:rsid w:val="00887A0E"/>
    <w:rsid w:val="008907F3"/>
    <w:rsid w:val="008920C2"/>
    <w:rsid w:val="0089382F"/>
    <w:rsid w:val="00894132"/>
    <w:rsid w:val="00895702"/>
    <w:rsid w:val="00897566"/>
    <w:rsid w:val="0089757B"/>
    <w:rsid w:val="008A1594"/>
    <w:rsid w:val="008A1757"/>
    <w:rsid w:val="008A1CE6"/>
    <w:rsid w:val="008A1F25"/>
    <w:rsid w:val="008A47FB"/>
    <w:rsid w:val="008A4C3A"/>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0F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248"/>
    <w:rsid w:val="009116C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624"/>
    <w:rsid w:val="00931859"/>
    <w:rsid w:val="0093205C"/>
    <w:rsid w:val="009343F5"/>
    <w:rsid w:val="0093456A"/>
    <w:rsid w:val="009345AE"/>
    <w:rsid w:val="00935301"/>
    <w:rsid w:val="00936F64"/>
    <w:rsid w:val="00937B8E"/>
    <w:rsid w:val="00940C5B"/>
    <w:rsid w:val="009411F7"/>
    <w:rsid w:val="009417F1"/>
    <w:rsid w:val="009417F3"/>
    <w:rsid w:val="00941A84"/>
    <w:rsid w:val="0094204A"/>
    <w:rsid w:val="009443ED"/>
    <w:rsid w:val="00945DBF"/>
    <w:rsid w:val="00946042"/>
    <w:rsid w:val="00946AB3"/>
    <w:rsid w:val="00946EEA"/>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EAB"/>
    <w:rsid w:val="00983CEA"/>
    <w:rsid w:val="00984198"/>
    <w:rsid w:val="00984802"/>
    <w:rsid w:val="00984E04"/>
    <w:rsid w:val="00986194"/>
    <w:rsid w:val="009861D2"/>
    <w:rsid w:val="00986E53"/>
    <w:rsid w:val="00987CE5"/>
    <w:rsid w:val="00990351"/>
    <w:rsid w:val="00993CF0"/>
    <w:rsid w:val="0099428D"/>
    <w:rsid w:val="009949A7"/>
    <w:rsid w:val="00995CDC"/>
    <w:rsid w:val="009975CA"/>
    <w:rsid w:val="009A0C15"/>
    <w:rsid w:val="009A1088"/>
    <w:rsid w:val="009A14CB"/>
    <w:rsid w:val="009A27C7"/>
    <w:rsid w:val="009A2961"/>
    <w:rsid w:val="009A344A"/>
    <w:rsid w:val="009A41C7"/>
    <w:rsid w:val="009A488C"/>
    <w:rsid w:val="009A4F5A"/>
    <w:rsid w:val="009A5C82"/>
    <w:rsid w:val="009A7668"/>
    <w:rsid w:val="009B010D"/>
    <w:rsid w:val="009B0AAB"/>
    <w:rsid w:val="009B0D3E"/>
    <w:rsid w:val="009B2AD1"/>
    <w:rsid w:val="009B3224"/>
    <w:rsid w:val="009B3A61"/>
    <w:rsid w:val="009B528E"/>
    <w:rsid w:val="009B54FE"/>
    <w:rsid w:val="009B6B4B"/>
    <w:rsid w:val="009B77DD"/>
    <w:rsid w:val="009C0CED"/>
    <w:rsid w:val="009C13BF"/>
    <w:rsid w:val="009C1BEF"/>
    <w:rsid w:val="009C26F9"/>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D85"/>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9E9"/>
    <w:rsid w:val="00A31EC7"/>
    <w:rsid w:val="00A320BA"/>
    <w:rsid w:val="00A32283"/>
    <w:rsid w:val="00A32342"/>
    <w:rsid w:val="00A325EC"/>
    <w:rsid w:val="00A32B81"/>
    <w:rsid w:val="00A337E5"/>
    <w:rsid w:val="00A34297"/>
    <w:rsid w:val="00A3570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05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877"/>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2BF"/>
    <w:rsid w:val="00A94C87"/>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AE7"/>
    <w:rsid w:val="00AA7D1F"/>
    <w:rsid w:val="00AB02C6"/>
    <w:rsid w:val="00AB246B"/>
    <w:rsid w:val="00AB2D26"/>
    <w:rsid w:val="00AB2E96"/>
    <w:rsid w:val="00AB36D4"/>
    <w:rsid w:val="00AB5500"/>
    <w:rsid w:val="00AB5564"/>
    <w:rsid w:val="00AB56A1"/>
    <w:rsid w:val="00AB57FB"/>
    <w:rsid w:val="00AB729A"/>
    <w:rsid w:val="00AB7348"/>
    <w:rsid w:val="00AB7B2F"/>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D0F"/>
    <w:rsid w:val="00AE55E7"/>
    <w:rsid w:val="00AE6363"/>
    <w:rsid w:val="00AE6CD6"/>
    <w:rsid w:val="00AE7348"/>
    <w:rsid w:val="00AE7394"/>
    <w:rsid w:val="00AE7CD2"/>
    <w:rsid w:val="00AF0B77"/>
    <w:rsid w:val="00AF138B"/>
    <w:rsid w:val="00AF160F"/>
    <w:rsid w:val="00AF1919"/>
    <w:rsid w:val="00AF1B7B"/>
    <w:rsid w:val="00AF3291"/>
    <w:rsid w:val="00AF395E"/>
    <w:rsid w:val="00AF3F26"/>
    <w:rsid w:val="00AF4D6A"/>
    <w:rsid w:val="00AF5D2C"/>
    <w:rsid w:val="00AF5D6E"/>
    <w:rsid w:val="00AF6318"/>
    <w:rsid w:val="00B0072E"/>
    <w:rsid w:val="00B03B63"/>
    <w:rsid w:val="00B0513A"/>
    <w:rsid w:val="00B0620B"/>
    <w:rsid w:val="00B072A3"/>
    <w:rsid w:val="00B07FCD"/>
    <w:rsid w:val="00B10D3D"/>
    <w:rsid w:val="00B1149C"/>
    <w:rsid w:val="00B11F60"/>
    <w:rsid w:val="00B121EF"/>
    <w:rsid w:val="00B127AA"/>
    <w:rsid w:val="00B130CB"/>
    <w:rsid w:val="00B14D9D"/>
    <w:rsid w:val="00B14EF5"/>
    <w:rsid w:val="00B16048"/>
    <w:rsid w:val="00B16545"/>
    <w:rsid w:val="00B2028C"/>
    <w:rsid w:val="00B21771"/>
    <w:rsid w:val="00B2191C"/>
    <w:rsid w:val="00B21B30"/>
    <w:rsid w:val="00B2231E"/>
    <w:rsid w:val="00B22E76"/>
    <w:rsid w:val="00B23016"/>
    <w:rsid w:val="00B23771"/>
    <w:rsid w:val="00B24EA8"/>
    <w:rsid w:val="00B26625"/>
    <w:rsid w:val="00B26A5A"/>
    <w:rsid w:val="00B2713B"/>
    <w:rsid w:val="00B2769B"/>
    <w:rsid w:val="00B27A46"/>
    <w:rsid w:val="00B307D2"/>
    <w:rsid w:val="00B3398B"/>
    <w:rsid w:val="00B33B1E"/>
    <w:rsid w:val="00B3606F"/>
    <w:rsid w:val="00B362D9"/>
    <w:rsid w:val="00B36B99"/>
    <w:rsid w:val="00B36D20"/>
    <w:rsid w:val="00B36F67"/>
    <w:rsid w:val="00B40633"/>
    <w:rsid w:val="00B44049"/>
    <w:rsid w:val="00B44318"/>
    <w:rsid w:val="00B44C4B"/>
    <w:rsid w:val="00B477CB"/>
    <w:rsid w:val="00B508A7"/>
    <w:rsid w:val="00B52081"/>
    <w:rsid w:val="00B52695"/>
    <w:rsid w:val="00B52985"/>
    <w:rsid w:val="00B545AF"/>
    <w:rsid w:val="00B55B09"/>
    <w:rsid w:val="00B56711"/>
    <w:rsid w:val="00B57EF2"/>
    <w:rsid w:val="00B604F3"/>
    <w:rsid w:val="00B6101C"/>
    <w:rsid w:val="00B615ED"/>
    <w:rsid w:val="00B62C3A"/>
    <w:rsid w:val="00B637E8"/>
    <w:rsid w:val="00B63A9D"/>
    <w:rsid w:val="00B64727"/>
    <w:rsid w:val="00B64888"/>
    <w:rsid w:val="00B672E3"/>
    <w:rsid w:val="00B673DD"/>
    <w:rsid w:val="00B675F9"/>
    <w:rsid w:val="00B70849"/>
    <w:rsid w:val="00B72C1C"/>
    <w:rsid w:val="00B73BB7"/>
    <w:rsid w:val="00B751C3"/>
    <w:rsid w:val="00B76C0D"/>
    <w:rsid w:val="00B77D0D"/>
    <w:rsid w:val="00B80817"/>
    <w:rsid w:val="00B826F0"/>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978A4"/>
    <w:rsid w:val="00BA02F9"/>
    <w:rsid w:val="00BA1987"/>
    <w:rsid w:val="00BA1BDD"/>
    <w:rsid w:val="00BA2052"/>
    <w:rsid w:val="00BA2682"/>
    <w:rsid w:val="00BA31E4"/>
    <w:rsid w:val="00BA3959"/>
    <w:rsid w:val="00BA4140"/>
    <w:rsid w:val="00BA47CC"/>
    <w:rsid w:val="00BA524B"/>
    <w:rsid w:val="00BA54F7"/>
    <w:rsid w:val="00BA576C"/>
    <w:rsid w:val="00BA6205"/>
    <w:rsid w:val="00BA6CE5"/>
    <w:rsid w:val="00BA6F38"/>
    <w:rsid w:val="00BB1388"/>
    <w:rsid w:val="00BB222E"/>
    <w:rsid w:val="00BB2683"/>
    <w:rsid w:val="00BB40DF"/>
    <w:rsid w:val="00BB53D3"/>
    <w:rsid w:val="00BB5E2C"/>
    <w:rsid w:val="00BB7D9E"/>
    <w:rsid w:val="00BC16AC"/>
    <w:rsid w:val="00BC2021"/>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71"/>
    <w:rsid w:val="00BE05ED"/>
    <w:rsid w:val="00BE1E5B"/>
    <w:rsid w:val="00BE350E"/>
    <w:rsid w:val="00BE3801"/>
    <w:rsid w:val="00BE38CF"/>
    <w:rsid w:val="00BE394B"/>
    <w:rsid w:val="00BE48A8"/>
    <w:rsid w:val="00BE528F"/>
    <w:rsid w:val="00BE5850"/>
    <w:rsid w:val="00BE58D6"/>
    <w:rsid w:val="00BE5CA6"/>
    <w:rsid w:val="00BE707F"/>
    <w:rsid w:val="00BE72D2"/>
    <w:rsid w:val="00BE7F5D"/>
    <w:rsid w:val="00BF0707"/>
    <w:rsid w:val="00BF164F"/>
    <w:rsid w:val="00BF1AAF"/>
    <w:rsid w:val="00BF268B"/>
    <w:rsid w:val="00BF4D03"/>
    <w:rsid w:val="00BF4E85"/>
    <w:rsid w:val="00BF54BD"/>
    <w:rsid w:val="00BF5892"/>
    <w:rsid w:val="00C00B48"/>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988"/>
    <w:rsid w:val="00C31AB0"/>
    <w:rsid w:val="00C32151"/>
    <w:rsid w:val="00C3217A"/>
    <w:rsid w:val="00C33551"/>
    <w:rsid w:val="00C3357D"/>
    <w:rsid w:val="00C33BE9"/>
    <w:rsid w:val="00C33C13"/>
    <w:rsid w:val="00C34692"/>
    <w:rsid w:val="00C348C7"/>
    <w:rsid w:val="00C35B2A"/>
    <w:rsid w:val="00C3639E"/>
    <w:rsid w:val="00C36742"/>
    <w:rsid w:val="00C374AD"/>
    <w:rsid w:val="00C40DE4"/>
    <w:rsid w:val="00C40E63"/>
    <w:rsid w:val="00C41A06"/>
    <w:rsid w:val="00C4261B"/>
    <w:rsid w:val="00C42BFB"/>
    <w:rsid w:val="00C44DDC"/>
    <w:rsid w:val="00C5128B"/>
    <w:rsid w:val="00C51423"/>
    <w:rsid w:val="00C5294D"/>
    <w:rsid w:val="00C52F83"/>
    <w:rsid w:val="00C53084"/>
    <w:rsid w:val="00C54C1B"/>
    <w:rsid w:val="00C54DBA"/>
    <w:rsid w:val="00C554B2"/>
    <w:rsid w:val="00C57ED3"/>
    <w:rsid w:val="00C61640"/>
    <w:rsid w:val="00C61AA7"/>
    <w:rsid w:val="00C61B8E"/>
    <w:rsid w:val="00C61B98"/>
    <w:rsid w:val="00C668DE"/>
    <w:rsid w:val="00C7044F"/>
    <w:rsid w:val="00C720F8"/>
    <w:rsid w:val="00C7242E"/>
    <w:rsid w:val="00C7294B"/>
    <w:rsid w:val="00C75139"/>
    <w:rsid w:val="00C7525C"/>
    <w:rsid w:val="00C76CF7"/>
    <w:rsid w:val="00C77F1E"/>
    <w:rsid w:val="00C83A4C"/>
    <w:rsid w:val="00C8533B"/>
    <w:rsid w:val="00C85837"/>
    <w:rsid w:val="00C858BA"/>
    <w:rsid w:val="00C86977"/>
    <w:rsid w:val="00C916C8"/>
    <w:rsid w:val="00C92D20"/>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085D"/>
    <w:rsid w:val="00CB2575"/>
    <w:rsid w:val="00CB3677"/>
    <w:rsid w:val="00CB368F"/>
    <w:rsid w:val="00CB4C42"/>
    <w:rsid w:val="00CB4DFA"/>
    <w:rsid w:val="00CB7BD7"/>
    <w:rsid w:val="00CC4CB6"/>
    <w:rsid w:val="00CC4DB0"/>
    <w:rsid w:val="00CC5038"/>
    <w:rsid w:val="00CC51ED"/>
    <w:rsid w:val="00CC5326"/>
    <w:rsid w:val="00CC5B2C"/>
    <w:rsid w:val="00CC7426"/>
    <w:rsid w:val="00CC7910"/>
    <w:rsid w:val="00CD0C20"/>
    <w:rsid w:val="00CD242D"/>
    <w:rsid w:val="00CD297A"/>
    <w:rsid w:val="00CD3DB0"/>
    <w:rsid w:val="00CD4129"/>
    <w:rsid w:val="00CD5DBB"/>
    <w:rsid w:val="00CD67E7"/>
    <w:rsid w:val="00CD7388"/>
    <w:rsid w:val="00CE130A"/>
    <w:rsid w:val="00CE1677"/>
    <w:rsid w:val="00CE23CD"/>
    <w:rsid w:val="00CE247A"/>
    <w:rsid w:val="00CE2A1A"/>
    <w:rsid w:val="00CE2F05"/>
    <w:rsid w:val="00CE35E9"/>
    <w:rsid w:val="00CE4A51"/>
    <w:rsid w:val="00CE4F80"/>
    <w:rsid w:val="00CE50E4"/>
    <w:rsid w:val="00CE51E8"/>
    <w:rsid w:val="00CE56A1"/>
    <w:rsid w:val="00CE64A5"/>
    <w:rsid w:val="00CE669E"/>
    <w:rsid w:val="00CE66B5"/>
    <w:rsid w:val="00CE6BFE"/>
    <w:rsid w:val="00CE6C0D"/>
    <w:rsid w:val="00CE7031"/>
    <w:rsid w:val="00CE7258"/>
    <w:rsid w:val="00CF08DB"/>
    <w:rsid w:val="00CF0B9B"/>
    <w:rsid w:val="00CF0F7C"/>
    <w:rsid w:val="00CF13B8"/>
    <w:rsid w:val="00CF285E"/>
    <w:rsid w:val="00CF3739"/>
    <w:rsid w:val="00CF5597"/>
    <w:rsid w:val="00CF57B4"/>
    <w:rsid w:val="00CF5CA5"/>
    <w:rsid w:val="00CF658A"/>
    <w:rsid w:val="00CF66B6"/>
    <w:rsid w:val="00CF72AE"/>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4F51"/>
    <w:rsid w:val="00D2506D"/>
    <w:rsid w:val="00D263AE"/>
    <w:rsid w:val="00D2768A"/>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EC6"/>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33A"/>
    <w:rsid w:val="00D63C9A"/>
    <w:rsid w:val="00D640BC"/>
    <w:rsid w:val="00D654D5"/>
    <w:rsid w:val="00D65A9D"/>
    <w:rsid w:val="00D65CB5"/>
    <w:rsid w:val="00D677BB"/>
    <w:rsid w:val="00D70544"/>
    <w:rsid w:val="00D71463"/>
    <w:rsid w:val="00D7194A"/>
    <w:rsid w:val="00D72AE4"/>
    <w:rsid w:val="00D72F62"/>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4B6C"/>
    <w:rsid w:val="00DA5322"/>
    <w:rsid w:val="00DA55AC"/>
    <w:rsid w:val="00DA5600"/>
    <w:rsid w:val="00DA608B"/>
    <w:rsid w:val="00DA6152"/>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0C7"/>
    <w:rsid w:val="00DD26D0"/>
    <w:rsid w:val="00DD47D5"/>
    <w:rsid w:val="00DD6729"/>
    <w:rsid w:val="00DD7960"/>
    <w:rsid w:val="00DD7B0D"/>
    <w:rsid w:val="00DE1F29"/>
    <w:rsid w:val="00DE3822"/>
    <w:rsid w:val="00DE3FEB"/>
    <w:rsid w:val="00DE4905"/>
    <w:rsid w:val="00DE510C"/>
    <w:rsid w:val="00DE7822"/>
    <w:rsid w:val="00DF081A"/>
    <w:rsid w:val="00DF265D"/>
    <w:rsid w:val="00DF2EB0"/>
    <w:rsid w:val="00DF31C1"/>
    <w:rsid w:val="00DF427A"/>
    <w:rsid w:val="00DF45C5"/>
    <w:rsid w:val="00DF5A8C"/>
    <w:rsid w:val="00DF5DA5"/>
    <w:rsid w:val="00DF71D8"/>
    <w:rsid w:val="00E00CCA"/>
    <w:rsid w:val="00E01623"/>
    <w:rsid w:val="00E03FE3"/>
    <w:rsid w:val="00E06951"/>
    <w:rsid w:val="00E10C94"/>
    <w:rsid w:val="00E10EC4"/>
    <w:rsid w:val="00E118D7"/>
    <w:rsid w:val="00E13344"/>
    <w:rsid w:val="00E13C44"/>
    <w:rsid w:val="00E13F46"/>
    <w:rsid w:val="00E14B49"/>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1C3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DBA"/>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673"/>
    <w:rsid w:val="00E80A14"/>
    <w:rsid w:val="00E80A1A"/>
    <w:rsid w:val="00E8292A"/>
    <w:rsid w:val="00E82DE7"/>
    <w:rsid w:val="00E84116"/>
    <w:rsid w:val="00E84C5C"/>
    <w:rsid w:val="00E85068"/>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3FD6"/>
    <w:rsid w:val="00EA43C0"/>
    <w:rsid w:val="00EA4CB0"/>
    <w:rsid w:val="00EA566F"/>
    <w:rsid w:val="00EA700E"/>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6FE9"/>
    <w:rsid w:val="00ED7985"/>
    <w:rsid w:val="00EE270D"/>
    <w:rsid w:val="00EE27CF"/>
    <w:rsid w:val="00EE6989"/>
    <w:rsid w:val="00EE6C77"/>
    <w:rsid w:val="00EE7604"/>
    <w:rsid w:val="00EE7912"/>
    <w:rsid w:val="00EE7915"/>
    <w:rsid w:val="00EF0465"/>
    <w:rsid w:val="00EF11ED"/>
    <w:rsid w:val="00EF13C5"/>
    <w:rsid w:val="00EF16D8"/>
    <w:rsid w:val="00EF28EF"/>
    <w:rsid w:val="00EF2D88"/>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B8E"/>
    <w:rsid w:val="00F446D8"/>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15B"/>
    <w:rsid w:val="00F60996"/>
    <w:rsid w:val="00F60B5D"/>
    <w:rsid w:val="00F611E4"/>
    <w:rsid w:val="00F613D4"/>
    <w:rsid w:val="00F61FE7"/>
    <w:rsid w:val="00F62AFE"/>
    <w:rsid w:val="00F633E5"/>
    <w:rsid w:val="00F64A3A"/>
    <w:rsid w:val="00F64F35"/>
    <w:rsid w:val="00F64FC4"/>
    <w:rsid w:val="00F65DE3"/>
    <w:rsid w:val="00F66CEE"/>
    <w:rsid w:val="00F67E6A"/>
    <w:rsid w:val="00F70472"/>
    <w:rsid w:val="00F71430"/>
    <w:rsid w:val="00F71A8A"/>
    <w:rsid w:val="00F75896"/>
    <w:rsid w:val="00F76666"/>
    <w:rsid w:val="00F76ECB"/>
    <w:rsid w:val="00F76EF7"/>
    <w:rsid w:val="00F776B7"/>
    <w:rsid w:val="00F77758"/>
    <w:rsid w:val="00F77ABA"/>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E10"/>
    <w:rsid w:val="00F937AF"/>
    <w:rsid w:val="00F94494"/>
    <w:rsid w:val="00F94825"/>
    <w:rsid w:val="00F96483"/>
    <w:rsid w:val="00F9648C"/>
    <w:rsid w:val="00F96671"/>
    <w:rsid w:val="00F9680E"/>
    <w:rsid w:val="00F96E21"/>
    <w:rsid w:val="00FA00AF"/>
    <w:rsid w:val="00FA0A0A"/>
    <w:rsid w:val="00FA0C9D"/>
    <w:rsid w:val="00FA169B"/>
    <w:rsid w:val="00FA2C4B"/>
    <w:rsid w:val="00FA30F1"/>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7B9"/>
    <w:rsid w:val="00FD08AF"/>
    <w:rsid w:val="00FD1E7A"/>
    <w:rsid w:val="00FD2672"/>
    <w:rsid w:val="00FD28F4"/>
    <w:rsid w:val="00FD2CE2"/>
    <w:rsid w:val="00FD4A1E"/>
    <w:rsid w:val="00FD66A9"/>
    <w:rsid w:val="00FD6712"/>
    <w:rsid w:val="00FD6853"/>
    <w:rsid w:val="00FD6E54"/>
    <w:rsid w:val="00FE01B5"/>
    <w:rsid w:val="00FE03BB"/>
    <w:rsid w:val="00FE0881"/>
    <w:rsid w:val="00FE0BF0"/>
    <w:rsid w:val="00FE15A2"/>
    <w:rsid w:val="00FE3B37"/>
    <w:rsid w:val="00FE4B40"/>
    <w:rsid w:val="00FE5DC4"/>
    <w:rsid w:val="00FE6E94"/>
    <w:rsid w:val="00FE76CB"/>
    <w:rsid w:val="00FE7BD8"/>
    <w:rsid w:val="00FF12EF"/>
    <w:rsid w:val="00FF1D76"/>
    <w:rsid w:val="00FF309E"/>
    <w:rsid w:val="00FF3EE6"/>
    <w:rsid w:val="00FF434C"/>
    <w:rsid w:val="00FF55D8"/>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CommentReference">
    <w:name w:val="annotation reference"/>
    <w:basedOn w:val="DefaultParagraphFont"/>
    <w:semiHidden/>
    <w:unhideWhenUsed/>
    <w:rsid w:val="00AB56A1"/>
    <w:rPr>
      <w:sz w:val="16"/>
      <w:szCs w:val="16"/>
    </w:rPr>
  </w:style>
  <w:style w:type="paragraph" w:styleId="CommentSubject">
    <w:name w:val="annotation subject"/>
    <w:basedOn w:val="CommentText"/>
    <w:next w:val="CommentText"/>
    <w:link w:val="CommentSubjectChar"/>
    <w:semiHidden/>
    <w:unhideWhenUsed/>
    <w:rsid w:val="00AB56A1"/>
    <w:rPr>
      <w:b/>
      <w:bCs/>
      <w:sz w:val="20"/>
    </w:rPr>
  </w:style>
  <w:style w:type="character" w:customStyle="1" w:styleId="CommentTextChar">
    <w:name w:val="Comment Text Char"/>
    <w:basedOn w:val="DefaultParagraphFont"/>
    <w:link w:val="CommentText"/>
    <w:semiHidden/>
    <w:rsid w:val="00AB56A1"/>
    <w:rPr>
      <w:rFonts w:ascii="Arial" w:hAnsi="Arial" w:cs="Arial"/>
      <w:sz w:val="18"/>
    </w:rPr>
  </w:style>
  <w:style w:type="character" w:customStyle="1" w:styleId="CommentSubjectChar">
    <w:name w:val="Comment Subject Char"/>
    <w:basedOn w:val="CommentTextChar"/>
    <w:link w:val="CommentSubject"/>
    <w:semiHidden/>
    <w:rsid w:val="00AB56A1"/>
    <w:rPr>
      <w:rFonts w:ascii="Arial" w:hAnsi="Arial" w:cs="Arial"/>
      <w:b/>
      <w:bCs/>
      <w:sz w:val="18"/>
    </w:rPr>
  </w:style>
  <w:style w:type="paragraph" w:styleId="Revision">
    <w:name w:val="Revision"/>
    <w:hidden/>
    <w:uiPriority w:val="99"/>
    <w:semiHidden/>
    <w:rsid w:val="00AB56A1"/>
    <w:rPr>
      <w:rFonts w:ascii="Arial" w:hAnsi="Arial" w:cs="Arial"/>
      <w:sz w:val="22"/>
    </w:rPr>
  </w:style>
  <w:style w:type="paragraph" w:styleId="BalloonText">
    <w:name w:val="Balloon Text"/>
    <w:basedOn w:val="Normal"/>
    <w:link w:val="BalloonTextChar"/>
    <w:semiHidden/>
    <w:unhideWhenUsed/>
    <w:rsid w:val="00AB56A1"/>
    <w:rPr>
      <w:rFonts w:ascii="Tahoma" w:hAnsi="Tahoma" w:cs="Tahoma"/>
      <w:sz w:val="16"/>
      <w:szCs w:val="16"/>
    </w:rPr>
  </w:style>
  <w:style w:type="character" w:customStyle="1" w:styleId="BalloonTextChar">
    <w:name w:val="Balloon Text Char"/>
    <w:basedOn w:val="DefaultParagraphFont"/>
    <w:link w:val="BalloonText"/>
    <w:semiHidden/>
    <w:rsid w:val="00AB5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slator%202\Desktop\41825%20+%2041826\MM_LD_WG_1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A720-E517-4D10-A22A-B3CCF1EA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MM_LD_WG_15_AR.dotx</Template>
  <TotalTime>475</TotalTime>
  <Pages>4</Pages>
  <Words>1119</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MM/LD/WG/15/3 (Arabic)</vt:lpstr>
    </vt:vector>
  </TitlesOfParts>
  <Company>World Intellectual Property Organization</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MM/LD/WG/15/3 (Arabic)</dc:title>
  <dc:creator>Translator 2</dc:creator>
  <cp:lastModifiedBy>YOUSSEF Randa</cp:lastModifiedBy>
  <cp:revision>124</cp:revision>
  <cp:lastPrinted>2018-04-30T12:58:00Z</cp:lastPrinted>
  <dcterms:created xsi:type="dcterms:W3CDTF">2017-04-19T14:43:00Z</dcterms:created>
  <dcterms:modified xsi:type="dcterms:W3CDTF">2018-04-30T12:58:00Z</dcterms:modified>
</cp:coreProperties>
</file>